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1.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drawings/drawing3.xml" ContentType="application/vnd.openxmlformats-officedocument.drawingml.chartshapes+xml"/>
  <Override PartName="/word/charts/chart27.xml" ContentType="application/vnd.openxmlformats-officedocument.drawingml.chart+xml"/>
  <Override PartName="/word/drawings/drawing4.xml" ContentType="application/vnd.openxmlformats-officedocument.drawingml.chartshapes+xml"/>
  <Override PartName="/word/charts/chart28.xml" ContentType="application/vnd.openxmlformats-officedocument.drawingml.chart+xml"/>
  <Override PartName="/word/drawings/drawing5.xml" ContentType="application/vnd.openxmlformats-officedocument.drawingml.chartshapes+xml"/>
  <Override PartName="/word/charts/chart29.xml" ContentType="application/vnd.openxmlformats-officedocument.drawingml.chart+xml"/>
  <Override PartName="/word/drawings/drawing6.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9334051"/>
    <w:bookmarkEnd w:id="0"/>
    <w:p w14:paraId="25D41CE3" w14:textId="65BB0858" w:rsidR="00AF0F35" w:rsidRPr="00650EE4" w:rsidRDefault="00C80A11" w:rsidP="005A284C">
      <w:pPr>
        <w:pStyle w:val="Title"/>
        <w:spacing w:after="120"/>
        <w:jc w:val="center"/>
        <w:rPr>
          <w:rFonts w:ascii="Times New Roman" w:hAnsi="Times New Roman" w:cs="Times New Roman"/>
          <w:color w:val="000000" w:themeColor="text1"/>
          <w:sz w:val="22"/>
          <w:szCs w:val="22"/>
          <w:lang w:val="lt-LT"/>
        </w:rPr>
      </w:pPr>
      <w:r w:rsidRPr="00650EE4">
        <w:rPr>
          <w:rFonts w:ascii="Times New Roman" w:hAnsi="Times New Roman" w:cs="Times New Roman"/>
          <w:noProof/>
          <w:color w:val="000000" w:themeColor="text1"/>
          <w:lang w:val="lt-LT" w:eastAsia="lt-LT"/>
        </w:rPr>
        <mc:AlternateContent>
          <mc:Choice Requires="wps">
            <w:drawing>
              <wp:anchor distT="45720" distB="45720" distL="114300" distR="114300" simplePos="0" relativeHeight="251811840" behindDoc="0" locked="0" layoutInCell="1" allowOverlap="1" wp14:anchorId="62D0D3E4" wp14:editId="26C463BA">
                <wp:simplePos x="0" y="0"/>
                <wp:positionH relativeFrom="column">
                  <wp:posOffset>-151130</wp:posOffset>
                </wp:positionH>
                <wp:positionV relativeFrom="paragraph">
                  <wp:posOffset>1270</wp:posOffset>
                </wp:positionV>
                <wp:extent cx="6166485" cy="26238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2623820"/>
                        </a:xfrm>
                        <a:prstGeom prst="rect">
                          <a:avLst/>
                        </a:prstGeom>
                        <a:noFill/>
                        <a:ln w="9525">
                          <a:noFill/>
                          <a:miter lim="800000"/>
                          <a:headEnd/>
                          <a:tailEnd/>
                        </a:ln>
                      </wps:spPr>
                      <wps:txbx>
                        <w:txbxContent>
                          <w:p w14:paraId="35AA0534" w14:textId="11C00986" w:rsidR="005E392B" w:rsidRPr="00706E3E" w:rsidRDefault="005E392B" w:rsidP="00D92B70">
                            <w:pPr>
                              <w:jc w:val="center"/>
                              <w:rPr>
                                <w:rFonts w:ascii="Times New Roman" w:eastAsiaTheme="majorEastAsia" w:hAnsi="Times New Roman"/>
                                <w:b/>
                                <w:iCs/>
                                <w:caps/>
                                <w:color w:val="002060"/>
                                <w:spacing w:val="15"/>
                                <w:sz w:val="48"/>
                                <w:szCs w:val="48"/>
                              </w:rPr>
                            </w:pPr>
                            <w:r>
                              <w:rPr>
                                <w:rFonts w:ascii="Times New Roman" w:eastAsiaTheme="majorEastAsia" w:hAnsi="Times New Roman"/>
                                <w:b/>
                                <w:iCs/>
                                <w:caps/>
                                <w:color w:val="002060"/>
                                <w:spacing w:val="15"/>
                                <w:sz w:val="48"/>
                                <w:szCs w:val="48"/>
                              </w:rPr>
                              <w:br/>
                              <w:t>Lietuvos ilgalaikė renovacijos strategija</w:t>
                            </w:r>
                          </w:p>
                          <w:p w14:paraId="31A8977E" w14:textId="5B48C2F4" w:rsidR="005E392B" w:rsidRPr="000F4DCB" w:rsidRDefault="005E392B" w:rsidP="00D92B70">
                            <w:pPr>
                              <w:jc w:val="center"/>
                              <w:rPr>
                                <w:rFonts w:ascii="Times New Roman" w:eastAsiaTheme="majorEastAsia" w:hAnsi="Times New Roman"/>
                                <w:b/>
                                <w:iCs/>
                                <w:caps/>
                                <w:color w:val="000000" w:themeColor="text1"/>
                                <w:spacing w:val="15"/>
                                <w:sz w:val="40"/>
                                <w:szCs w:val="40"/>
                              </w:rPr>
                            </w:pPr>
                          </w:p>
                          <w:p w14:paraId="116BDF17" w14:textId="77777777" w:rsidR="005E392B" w:rsidRPr="000F4DCB" w:rsidRDefault="005E392B" w:rsidP="00D92B70">
                            <w:pPr>
                              <w:jc w:val="center"/>
                              <w:rPr>
                                <w:rFonts w:ascii="Times New Roman" w:eastAsiaTheme="majorEastAsia" w:hAnsi="Times New Roman"/>
                                <w:b/>
                                <w:iCs/>
                                <w:caps/>
                                <w:color w:val="000000" w:themeColor="text1"/>
                                <w:spacing w:val="15"/>
                                <w:sz w:val="40"/>
                                <w:szCs w:val="40"/>
                              </w:rPr>
                            </w:pPr>
                          </w:p>
                          <w:p w14:paraId="2BC895B7" w14:textId="65A908FC" w:rsidR="005E392B" w:rsidRPr="00A2164A" w:rsidRDefault="005E392B" w:rsidP="00D92B70">
                            <w:pPr>
                              <w:jc w:val="center"/>
                              <w:rPr>
                                <w:rFonts w:ascii="Times New Roman" w:eastAsiaTheme="majorEastAsia" w:hAnsi="Times New Roman"/>
                                <w:b/>
                                <w:iCs/>
                                <w:caps/>
                                <w:color w:val="002060"/>
                                <w:spacing w:val="15"/>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pt;margin-top:.1pt;width:485.55pt;height:206.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84DgIAAPUDAAAOAAAAZHJzL2Uyb0RvYy54bWysU11v2yAUfZ+0/4B4Xxx7SZpaIVXXrtOk&#10;7kNq9wMIxjEacBmQ2Nmv7wWnabS9VfWDBdx7D/ece1hdDUaTvfRBgWW0nEwpkVZAo+yW0V+Pdx+W&#10;lITIbcM1WMnoQQZ6tX7/btW7WlbQgW6kJwhiQ907RrsYXV0UQXTS8DABJy0GW/CGR9z6bdF43iO6&#10;0UU1nS6KHnzjPAgZAp7ejkG6zvhtK0X80bZBRqIZxd5i/vv836R/sV7xeuu565Q4tsFf0YXhyuKl&#10;J6hbHjnZefUflFHCQ4A2TgSYAtpWCZk5IJty+g+bh447mbmgOMGdZApvByu+7396ohpGq/KCEssN&#10;DulRDpF8goFUSZ/ehRrTHhwmxgGPcc6Za3D3IH4HYuGm43Yrr72HvpO8wf7KVFmclY44IYFs+m/Q&#10;4DV8FyEDDa03STyUgyA6zulwmk1qReDholwsZss5JQJj1aL6uKzy9ApeP5c7H+IXCYakBaMeh5/h&#10;+f4+xNQOr59T0m0W7pTW2QDakp7Ry3k1zwVnEaMi+lMrw+hymr7RMYnlZ9vk4siVHtd4gbZH2onp&#10;yDkOmwETkxYbaA4ogIfRh/hucNGB/0tJjx5kNPzZcS8p0V8tinhZzmbJtHkzm18gY+LPI5vzCLcC&#10;oRiNlIzLm5iNPnK9RrFblWV46eTYK3orq3N8B8m85/uc9fJa108AAAD//wMAUEsDBBQABgAIAAAA&#10;IQCS4ymF3gAAAAgBAAAPAAAAZHJzL2Rvd25yZXYueG1sTI9LT8MwEITvSP0P1lbi1tpNwqNpNhUC&#10;cQW1PKTe3HibRMTrKHab8O8xJziOZjTzTbGdbCcuNPjWMcJqqUAQV860XCO8vz0v7kH4oNnozjEh&#10;fJOHbTm7KnRu3Mg7uuxDLWIJ+1wjNCH0uZS+ashqv3Q9cfRObrA6RDnU0gx6jOW2k4lSt9LqluNC&#10;o3t6bKj62p8twsfL6fCZqdf6yd70o5uUZLuWiNfz6WEDItAU/sLwix/RoYxMR3dm40WHsEjSiB4Q&#10;EhDRXmd3KYgjQrZKM5BlIf8fKH8AAAD//wMAUEsBAi0AFAAGAAgAAAAhALaDOJL+AAAA4QEAABMA&#10;AAAAAAAAAAAAAAAAAAAAAFtDb250ZW50X1R5cGVzXS54bWxQSwECLQAUAAYACAAAACEAOP0h/9YA&#10;AACUAQAACwAAAAAAAAAAAAAAAAAvAQAAX3JlbHMvLnJlbHNQSwECLQAUAAYACAAAACEA/Zp/OA4C&#10;AAD1AwAADgAAAAAAAAAAAAAAAAAuAgAAZHJzL2Uyb0RvYy54bWxQSwECLQAUAAYACAAAACEAkuMp&#10;hd4AAAAIAQAADwAAAAAAAAAAAAAAAABoBAAAZHJzL2Rvd25yZXYueG1sUEsFBgAAAAAEAAQA8wAA&#10;AHMFAAAAAA==&#10;" filled="f" stroked="f">
                <v:textbox>
                  <w:txbxContent>
                    <w:p w14:paraId="35AA0534" w14:textId="11C00986" w:rsidR="005E392B" w:rsidRPr="00706E3E" w:rsidRDefault="005E392B" w:rsidP="00D92B70">
                      <w:pPr>
                        <w:jc w:val="center"/>
                        <w:rPr>
                          <w:rFonts w:ascii="Times New Roman" w:eastAsiaTheme="majorEastAsia" w:hAnsi="Times New Roman"/>
                          <w:b/>
                          <w:iCs/>
                          <w:caps/>
                          <w:color w:val="002060"/>
                          <w:spacing w:val="15"/>
                          <w:sz w:val="48"/>
                          <w:szCs w:val="48"/>
                        </w:rPr>
                      </w:pPr>
                      <w:r>
                        <w:rPr>
                          <w:rFonts w:ascii="Times New Roman" w:eastAsiaTheme="majorEastAsia" w:hAnsi="Times New Roman"/>
                          <w:b/>
                          <w:iCs/>
                          <w:caps/>
                          <w:color w:val="002060"/>
                          <w:spacing w:val="15"/>
                          <w:sz w:val="48"/>
                          <w:szCs w:val="48"/>
                        </w:rPr>
                        <w:br/>
                        <w:t>Lietuvos ilgalaikė renovacijos strategija</w:t>
                      </w:r>
                    </w:p>
                    <w:p w14:paraId="31A8977E" w14:textId="5B48C2F4" w:rsidR="005E392B" w:rsidRPr="000F4DCB" w:rsidRDefault="005E392B" w:rsidP="00D92B70">
                      <w:pPr>
                        <w:jc w:val="center"/>
                        <w:rPr>
                          <w:rFonts w:ascii="Times New Roman" w:eastAsiaTheme="majorEastAsia" w:hAnsi="Times New Roman"/>
                          <w:b/>
                          <w:iCs/>
                          <w:caps/>
                          <w:color w:val="000000" w:themeColor="text1"/>
                          <w:spacing w:val="15"/>
                          <w:sz w:val="40"/>
                          <w:szCs w:val="40"/>
                        </w:rPr>
                      </w:pPr>
                    </w:p>
                    <w:p w14:paraId="116BDF17" w14:textId="77777777" w:rsidR="005E392B" w:rsidRPr="000F4DCB" w:rsidRDefault="005E392B" w:rsidP="00D92B70">
                      <w:pPr>
                        <w:jc w:val="center"/>
                        <w:rPr>
                          <w:rFonts w:ascii="Times New Roman" w:eastAsiaTheme="majorEastAsia" w:hAnsi="Times New Roman"/>
                          <w:b/>
                          <w:iCs/>
                          <w:caps/>
                          <w:color w:val="000000" w:themeColor="text1"/>
                          <w:spacing w:val="15"/>
                          <w:sz w:val="40"/>
                          <w:szCs w:val="40"/>
                        </w:rPr>
                      </w:pPr>
                    </w:p>
                    <w:p w14:paraId="2BC895B7" w14:textId="65A908FC" w:rsidR="005E392B" w:rsidRPr="00A2164A" w:rsidRDefault="005E392B" w:rsidP="00D92B70">
                      <w:pPr>
                        <w:jc w:val="center"/>
                        <w:rPr>
                          <w:rFonts w:ascii="Times New Roman" w:eastAsiaTheme="majorEastAsia" w:hAnsi="Times New Roman"/>
                          <w:b/>
                          <w:iCs/>
                          <w:caps/>
                          <w:color w:val="002060"/>
                          <w:spacing w:val="15"/>
                          <w:sz w:val="32"/>
                          <w:szCs w:val="32"/>
                        </w:rPr>
                      </w:pPr>
                    </w:p>
                  </w:txbxContent>
                </v:textbox>
                <w10:wrap type="square"/>
              </v:shape>
            </w:pict>
          </mc:Fallback>
        </mc:AlternateContent>
      </w:r>
      <w:r w:rsidR="000F1356" w:rsidRPr="00650EE4">
        <w:rPr>
          <w:rFonts w:ascii="Times New Roman" w:hAnsi="Times New Roman" w:cs="Times New Roman"/>
          <w:noProof/>
          <w:color w:val="000000" w:themeColor="text1"/>
          <w:lang w:val="lt-LT" w:eastAsia="lt-LT"/>
        </w:rPr>
        <mc:AlternateContent>
          <mc:Choice Requires="wps">
            <w:drawing>
              <wp:anchor distT="0" distB="0" distL="114300" distR="114300" simplePos="0" relativeHeight="251657215" behindDoc="0" locked="0" layoutInCell="1" allowOverlap="1" wp14:anchorId="0A4040A4" wp14:editId="0AA389C7">
                <wp:simplePos x="0" y="0"/>
                <wp:positionH relativeFrom="column">
                  <wp:posOffset>-1356360</wp:posOffset>
                </wp:positionH>
                <wp:positionV relativeFrom="paragraph">
                  <wp:posOffset>-1592580</wp:posOffset>
                </wp:positionV>
                <wp:extent cx="7839075" cy="5695702"/>
                <wp:effectExtent l="0" t="0" r="9525" b="635"/>
                <wp:wrapNone/>
                <wp:docPr id="2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39075" cy="5695702"/>
                        </a:xfrm>
                        <a:prstGeom prst="rect">
                          <a:avLst/>
                        </a:prstGeom>
                        <a:solidFill>
                          <a:schemeClr val="bg1"/>
                        </a:solidFill>
                        <a:ln>
                          <a:noFill/>
                        </a:ln>
                      </wps:spPr>
                      <wps:txbx>
                        <w:txbxContent>
                          <w:p w14:paraId="509F6152" w14:textId="77777777" w:rsidR="005E392B" w:rsidRDefault="005E392B" w:rsidP="000F1356">
                            <w:pPr>
                              <w:jc w:val="center"/>
                              <w:rPr>
                                <w:rFonts w:ascii="Times New Roman" w:hAnsi="Times New Roman"/>
                                <w:noProof/>
                                <w:lang w:eastAsia="lt-LT"/>
                              </w:rPr>
                            </w:pPr>
                          </w:p>
                          <w:p w14:paraId="0D6572FD" w14:textId="77777777" w:rsidR="005E392B" w:rsidRDefault="005E392B" w:rsidP="000F1356">
                            <w:pPr>
                              <w:jc w:val="center"/>
                              <w:rPr>
                                <w:rFonts w:ascii="Times New Roman" w:hAnsi="Times New Roman"/>
                                <w:noProof/>
                                <w:lang w:eastAsia="lt-LT"/>
                              </w:rPr>
                            </w:pPr>
                          </w:p>
                          <w:p w14:paraId="07F9127B" w14:textId="77777777" w:rsidR="005E392B" w:rsidRDefault="005E392B" w:rsidP="000F1356">
                            <w:pPr>
                              <w:jc w:val="center"/>
                              <w:rPr>
                                <w:rFonts w:ascii="Times New Roman" w:hAnsi="Times New Roman"/>
                                <w:noProof/>
                                <w:lang w:eastAsia="lt-LT"/>
                              </w:rPr>
                            </w:pPr>
                          </w:p>
                          <w:p w14:paraId="79469F7E" w14:textId="77777777" w:rsidR="005E392B" w:rsidRDefault="005E392B" w:rsidP="000F1356">
                            <w:pPr>
                              <w:jc w:val="center"/>
                              <w:rPr>
                                <w:rFonts w:ascii="Times New Roman" w:hAnsi="Times New Roman"/>
                                <w:noProof/>
                                <w:lang w:eastAsia="lt-LT"/>
                              </w:rPr>
                            </w:pPr>
                          </w:p>
                          <w:p w14:paraId="2561A86D" w14:textId="77777777" w:rsidR="005E392B" w:rsidRDefault="005E392B" w:rsidP="000F1356">
                            <w:pPr>
                              <w:jc w:val="center"/>
                              <w:rPr>
                                <w:rFonts w:ascii="Times New Roman" w:hAnsi="Times New Roman"/>
                                <w:noProof/>
                                <w:lang w:eastAsia="lt-LT"/>
                              </w:rPr>
                            </w:pPr>
                          </w:p>
                          <w:p w14:paraId="2E87169F" w14:textId="77777777" w:rsidR="005E392B" w:rsidRDefault="005E392B" w:rsidP="000F1356">
                            <w:pPr>
                              <w:jc w:val="center"/>
                              <w:rPr>
                                <w:rFonts w:ascii="Times New Roman" w:hAnsi="Times New Roman"/>
                                <w:noProof/>
                                <w:lang w:eastAsia="lt-LT"/>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7" o:spid="_x0000_s1027" style="position:absolute;left:0;text-align:left;margin-left:-106.8pt;margin-top:-125.4pt;width:617.25pt;height:448.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n9wEAANgDAAAOAAAAZHJzL2Uyb0RvYy54bWysU1Fv0zAQfkfiP1h+p0mzdl2jphPaNIQ0&#10;2MTgBziOk1g4PnN2m45fz9npugJviBfL5zt/d9/nz5vrw2DYXqHXYCs+n+WcKSuh0bar+Levd++u&#10;OPNB2EYYsKriz8rz6+3bN5vRlaqAHkyjkBGI9eXoKt6H4Mos87JXg/AzcMpSsgUcRKAQu6xBMRL6&#10;YLIizy+zEbBxCFJ5T6e3U5JvE37bKhke2tarwEzFabaQVkxrHddsuxFlh8L1Wh7HEP8wxSC0paYn&#10;qFsRBNuh/gtq0BLBQxtmEoYM2lZLlTgQm3n+B5unXjiVuJA43p1k8v8PVn7ePyLTTcWLi4IzKwZ6&#10;pC8km7CdUWwVBRqdL6nuyT1ipOjdPcjvnhLZb5kYeKph9fgJGoIRuwBJlEOLQ7xJdNkhaf980l4d&#10;ApN0uLq6WOerJWeScsvL9XKVF7F5JsqX6w59+KBgYHFTcaQpE7zY3/swlb6UpDnB6OZOG5OCaCh1&#10;Y5DtBVmh7uZHcH9eZWystRBvTYDxJNGMzCYpwqE+JMUSRGRdQ/NMvBEme9F3oE0P+JOzkaxVcf9j&#10;J1BxZj5aerv1fLGIXkzBYrkqKMDzTH2eEVYSVMUDZ9P2Jkz+3TnUXU+d5kkFC+9J71YnJV6nOo5P&#10;9klaHq0e/Xkep6rXD7n9BQAA//8DAFBLAwQUAAYACAAAACEAWmCFbeEAAAAOAQAADwAAAGRycy9k&#10;b3ducmV2LnhtbEyP0UrDMBSG7wXfIRzBuy1ZXIt2TYcIUwRhuPkAWXPWVpuT0qRd9/amV3p3Dufj&#10;P9+fbyfbshF73zhSsFoKYEilMw1VCr6Ou8UjMB80Gd06QgVX9LAtbm9ynRl3oU8cD6FiMYR8phXU&#10;IXQZ576s0Wq/dB1SvJ1db3WIa19x0+tLDLctl0Kk3OqG4odad/hSY/lzGKyCffWRvA1WjsfXHUqx&#10;du/Xb5codX83PW+ABZzCHwyzflSHIjqd3EDGs1bBQq4e0sjOUyJii5kRUjwBOylI16kEXuT8f43i&#10;FwAA//8DAFBLAQItABQABgAIAAAAIQC2gziS/gAAAOEBAAATAAAAAAAAAAAAAAAAAAAAAABbQ29u&#10;dGVudF9UeXBlc10ueG1sUEsBAi0AFAAGAAgAAAAhADj9If/WAAAAlAEAAAsAAAAAAAAAAAAAAAAA&#10;LwEAAF9yZWxzLy5yZWxzUEsBAi0AFAAGAAgAAAAhALLGRif3AQAA2AMAAA4AAAAAAAAAAAAAAAAA&#10;LgIAAGRycy9lMm9Eb2MueG1sUEsBAi0AFAAGAAgAAAAhAFpghW3hAAAADgEAAA8AAAAAAAAAAAAA&#10;AAAAUQQAAGRycy9kb3ducmV2LnhtbFBLBQYAAAAABAAEAPMAAABfBQAAAAA=&#10;" fillcolor="white [3212]" stroked="f">
                <v:path arrowok="t"/>
                <v:textbox>
                  <w:txbxContent>
                    <w:p w14:paraId="509F6152" w14:textId="77777777" w:rsidR="005E392B" w:rsidRDefault="005E392B" w:rsidP="000F1356">
                      <w:pPr>
                        <w:jc w:val="center"/>
                        <w:rPr>
                          <w:rFonts w:ascii="Times New Roman" w:hAnsi="Times New Roman"/>
                          <w:noProof/>
                          <w:lang w:eastAsia="lt-LT"/>
                        </w:rPr>
                      </w:pPr>
                    </w:p>
                    <w:p w14:paraId="0D6572FD" w14:textId="77777777" w:rsidR="005E392B" w:rsidRDefault="005E392B" w:rsidP="000F1356">
                      <w:pPr>
                        <w:jc w:val="center"/>
                        <w:rPr>
                          <w:rFonts w:ascii="Times New Roman" w:hAnsi="Times New Roman"/>
                          <w:noProof/>
                          <w:lang w:eastAsia="lt-LT"/>
                        </w:rPr>
                      </w:pPr>
                    </w:p>
                    <w:p w14:paraId="07F9127B" w14:textId="77777777" w:rsidR="005E392B" w:rsidRDefault="005E392B" w:rsidP="000F1356">
                      <w:pPr>
                        <w:jc w:val="center"/>
                        <w:rPr>
                          <w:rFonts w:ascii="Times New Roman" w:hAnsi="Times New Roman"/>
                          <w:noProof/>
                          <w:lang w:eastAsia="lt-LT"/>
                        </w:rPr>
                      </w:pPr>
                    </w:p>
                    <w:p w14:paraId="79469F7E" w14:textId="77777777" w:rsidR="005E392B" w:rsidRDefault="005E392B" w:rsidP="000F1356">
                      <w:pPr>
                        <w:jc w:val="center"/>
                        <w:rPr>
                          <w:rFonts w:ascii="Times New Roman" w:hAnsi="Times New Roman"/>
                          <w:noProof/>
                          <w:lang w:eastAsia="lt-LT"/>
                        </w:rPr>
                      </w:pPr>
                    </w:p>
                    <w:p w14:paraId="2561A86D" w14:textId="77777777" w:rsidR="005E392B" w:rsidRDefault="005E392B" w:rsidP="000F1356">
                      <w:pPr>
                        <w:jc w:val="center"/>
                        <w:rPr>
                          <w:rFonts w:ascii="Times New Roman" w:hAnsi="Times New Roman"/>
                          <w:noProof/>
                          <w:lang w:eastAsia="lt-LT"/>
                        </w:rPr>
                      </w:pPr>
                    </w:p>
                    <w:p w14:paraId="2E87169F" w14:textId="77777777" w:rsidR="005E392B" w:rsidRDefault="005E392B" w:rsidP="000F1356">
                      <w:pPr>
                        <w:jc w:val="center"/>
                        <w:rPr>
                          <w:rFonts w:ascii="Times New Roman" w:hAnsi="Times New Roman"/>
                          <w:noProof/>
                          <w:lang w:eastAsia="lt-LT"/>
                        </w:rPr>
                      </w:pPr>
                    </w:p>
                  </w:txbxContent>
                </v:textbox>
              </v:rect>
            </w:pict>
          </mc:Fallback>
        </mc:AlternateContent>
      </w:r>
      <w:proofErr w:type="spellStart"/>
      <w:r w:rsidR="00F33F2E" w:rsidRPr="00650EE4">
        <w:rPr>
          <w:rFonts w:ascii="Times New Roman" w:hAnsi="Times New Roman" w:cs="Times New Roman"/>
          <w:color w:val="000000" w:themeColor="text1"/>
          <w:sz w:val="22"/>
          <w:szCs w:val="22"/>
          <w:lang w:val="lt-LT"/>
        </w:rPr>
        <w:t>au</w:t>
      </w:r>
      <w:proofErr w:type="spellEnd"/>
    </w:p>
    <w:sdt>
      <w:sdtPr>
        <w:rPr>
          <w:rFonts w:ascii="Times New Roman" w:eastAsiaTheme="minorHAnsi" w:hAnsi="Times New Roman" w:cs="Times New Roman"/>
          <w:b w:val="0"/>
          <w:i w:val="0"/>
          <w:color w:val="000000" w:themeColor="text1"/>
          <w:spacing w:val="0"/>
          <w:kern w:val="0"/>
          <w:sz w:val="20"/>
          <w:szCs w:val="20"/>
          <w:lang w:val="lt-LT"/>
        </w:rPr>
        <w:id w:val="107030470"/>
        <w:docPartObj>
          <w:docPartGallery w:val="Cover Pages"/>
          <w:docPartUnique/>
        </w:docPartObj>
      </w:sdtPr>
      <w:sdtEndPr>
        <w:rPr>
          <w:rFonts w:eastAsia="Arial"/>
          <w:sz w:val="22"/>
          <w:szCs w:val="21"/>
        </w:rPr>
      </w:sdtEndPr>
      <w:sdtContent>
        <w:p w14:paraId="6C16E2D9" w14:textId="3A9AF5E1" w:rsidR="00AF0F35" w:rsidRPr="00650EE4" w:rsidRDefault="00AF0F35" w:rsidP="000F1356">
          <w:pPr>
            <w:pStyle w:val="Title"/>
            <w:spacing w:before="360" w:after="120"/>
            <w:jc w:val="center"/>
            <w:rPr>
              <w:rFonts w:ascii="Times New Roman" w:hAnsi="Times New Roman" w:cs="Times New Roman"/>
              <w:color w:val="000000" w:themeColor="text1"/>
              <w:lang w:val="lt-LT"/>
            </w:rPr>
          </w:pPr>
        </w:p>
        <w:p w14:paraId="45098A0E" w14:textId="14AA6371" w:rsidR="00927BC1" w:rsidRPr="00650EE4" w:rsidRDefault="00927BC1" w:rsidP="00927BC1">
          <w:pPr>
            <w:rPr>
              <w:rFonts w:ascii="Times New Roman" w:hAnsi="Times New Roman"/>
              <w:color w:val="000000" w:themeColor="text1"/>
            </w:rPr>
          </w:pPr>
        </w:p>
        <w:p w14:paraId="5C821E6C" w14:textId="5EA4CC88" w:rsidR="00927BC1" w:rsidRPr="00650EE4" w:rsidRDefault="00927BC1" w:rsidP="00927BC1">
          <w:pPr>
            <w:rPr>
              <w:rFonts w:ascii="Times New Roman" w:hAnsi="Times New Roman"/>
              <w:color w:val="000000" w:themeColor="text1"/>
            </w:rPr>
          </w:pPr>
        </w:p>
        <w:p w14:paraId="06D60FE5" w14:textId="614FE38E" w:rsidR="00AF0F35" w:rsidRPr="00650EE4" w:rsidRDefault="00AF0F35" w:rsidP="00927BC1">
          <w:pPr>
            <w:rPr>
              <w:rFonts w:ascii="Times New Roman" w:hAnsi="Times New Roman"/>
              <w:color w:val="000000" w:themeColor="text1"/>
            </w:rPr>
          </w:pPr>
        </w:p>
        <w:p w14:paraId="5D2C84EE" w14:textId="73290EE9" w:rsidR="00AF0F35" w:rsidRPr="00650EE4" w:rsidRDefault="00AF0F35" w:rsidP="00927BC1">
          <w:pPr>
            <w:rPr>
              <w:rFonts w:ascii="Times New Roman" w:hAnsi="Times New Roman"/>
              <w:color w:val="000000" w:themeColor="text1"/>
            </w:rPr>
          </w:pPr>
        </w:p>
        <w:p w14:paraId="748619FF" w14:textId="0C748A8D" w:rsidR="000F1356" w:rsidRPr="00650EE4" w:rsidRDefault="000F1356" w:rsidP="005A284C">
          <w:pPr>
            <w:pStyle w:val="Subtitle"/>
            <w:spacing w:after="400"/>
            <w:jc w:val="center"/>
            <w:rPr>
              <w:rFonts w:ascii="Times New Roman" w:hAnsi="Times New Roman" w:cs="Times New Roman"/>
              <w:color w:val="000000" w:themeColor="text1"/>
              <w:sz w:val="32"/>
              <w:lang w:val="lt-LT"/>
            </w:rPr>
          </w:pPr>
        </w:p>
        <w:p w14:paraId="57A04073" w14:textId="1461BAE1" w:rsidR="000F1356" w:rsidRPr="00650EE4" w:rsidRDefault="000F1356" w:rsidP="005A284C">
          <w:pPr>
            <w:pStyle w:val="Subtitle"/>
            <w:spacing w:after="400"/>
            <w:jc w:val="center"/>
            <w:rPr>
              <w:rFonts w:ascii="Times New Roman" w:hAnsi="Times New Roman" w:cs="Times New Roman"/>
              <w:color w:val="000000" w:themeColor="text1"/>
              <w:sz w:val="32"/>
              <w:lang w:val="lt-LT"/>
            </w:rPr>
          </w:pPr>
        </w:p>
        <w:p w14:paraId="1B2B6F2E" w14:textId="6C550B54" w:rsidR="00C80A11" w:rsidRPr="00650EE4" w:rsidRDefault="00C80A11" w:rsidP="005A3CDC">
          <w:pPr>
            <w:pStyle w:val="BodyText"/>
            <w:tabs>
              <w:tab w:val="left" w:pos="1065"/>
            </w:tabs>
            <w:spacing w:line="240" w:lineRule="auto"/>
            <w:rPr>
              <w:rFonts w:ascii="Times New Roman" w:hAnsi="Times New Roman"/>
              <w:color w:val="000000" w:themeColor="text1"/>
              <w:lang w:val="lt-LT"/>
            </w:rPr>
          </w:pPr>
        </w:p>
        <w:p w14:paraId="15A08AA2" w14:textId="4AF318BB"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6B089A65" w14:textId="4417F413"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65FB5F95" w14:textId="778EB96F"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396CBD27" w14:textId="1BA15551"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1752B73B" w14:textId="5B4C0BC1"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0F6BC33B" w14:textId="77777777"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0605A93D" w14:textId="77777777" w:rsidR="00EF4DE9" w:rsidRDefault="00EF4DE9" w:rsidP="00BD5EC3">
          <w:pPr>
            <w:pStyle w:val="BodyText"/>
            <w:tabs>
              <w:tab w:val="left" w:pos="1065"/>
            </w:tabs>
            <w:spacing w:line="240" w:lineRule="auto"/>
            <w:ind w:hanging="284"/>
            <w:rPr>
              <w:rFonts w:ascii="Times New Roman" w:hAnsi="Times New Roman"/>
              <w:color w:val="000000" w:themeColor="text1"/>
              <w:lang w:val="lt-LT"/>
            </w:rPr>
          </w:pPr>
        </w:p>
        <w:p w14:paraId="03186330" w14:textId="77777777" w:rsidR="007B3E5C" w:rsidRDefault="007B3E5C" w:rsidP="00BD5EC3">
          <w:pPr>
            <w:pStyle w:val="BodyText"/>
            <w:tabs>
              <w:tab w:val="left" w:pos="1065"/>
            </w:tabs>
            <w:spacing w:line="240" w:lineRule="auto"/>
            <w:ind w:hanging="284"/>
            <w:rPr>
              <w:rFonts w:ascii="Times New Roman" w:hAnsi="Times New Roman"/>
              <w:color w:val="000000" w:themeColor="text1"/>
              <w:lang w:val="lt-LT"/>
            </w:rPr>
          </w:pPr>
        </w:p>
        <w:p w14:paraId="59A1DEE9" w14:textId="77777777" w:rsidR="007B3E5C" w:rsidRDefault="007B3E5C" w:rsidP="00BD5EC3">
          <w:pPr>
            <w:pStyle w:val="BodyText"/>
            <w:tabs>
              <w:tab w:val="left" w:pos="1065"/>
            </w:tabs>
            <w:spacing w:line="240" w:lineRule="auto"/>
            <w:ind w:hanging="284"/>
            <w:rPr>
              <w:rFonts w:ascii="Times New Roman" w:hAnsi="Times New Roman"/>
              <w:color w:val="000000" w:themeColor="text1"/>
              <w:lang w:val="lt-LT"/>
            </w:rPr>
          </w:pPr>
        </w:p>
        <w:p w14:paraId="31F16C83" w14:textId="77777777" w:rsidR="007B3E5C" w:rsidRPr="00650EE4" w:rsidRDefault="007B3E5C" w:rsidP="00BD5EC3">
          <w:pPr>
            <w:pStyle w:val="BodyText"/>
            <w:tabs>
              <w:tab w:val="left" w:pos="1065"/>
            </w:tabs>
            <w:spacing w:line="240" w:lineRule="auto"/>
            <w:ind w:hanging="284"/>
            <w:rPr>
              <w:rFonts w:ascii="Times New Roman" w:hAnsi="Times New Roman"/>
              <w:color w:val="000000" w:themeColor="text1"/>
              <w:lang w:val="lt-LT"/>
            </w:rPr>
          </w:pPr>
        </w:p>
        <w:p w14:paraId="26AB98C3" w14:textId="78BB6823" w:rsidR="007245BA" w:rsidRPr="00650EE4" w:rsidRDefault="007245BA" w:rsidP="00BD5EC3">
          <w:pPr>
            <w:pStyle w:val="BodyText"/>
            <w:tabs>
              <w:tab w:val="left" w:pos="1065"/>
            </w:tabs>
            <w:spacing w:line="240" w:lineRule="auto"/>
            <w:ind w:hanging="284"/>
            <w:rPr>
              <w:rFonts w:ascii="Times New Roman" w:hAnsi="Times New Roman"/>
              <w:color w:val="000000" w:themeColor="text1"/>
              <w:lang w:val="lt-LT"/>
            </w:rPr>
          </w:pPr>
        </w:p>
        <w:p w14:paraId="279E59F8" w14:textId="3A18B87C" w:rsidR="007245BA" w:rsidRPr="00650EE4" w:rsidRDefault="007245BA" w:rsidP="00BD5EC3">
          <w:pPr>
            <w:pStyle w:val="BodyText"/>
            <w:tabs>
              <w:tab w:val="left" w:pos="1065"/>
            </w:tabs>
            <w:spacing w:line="240" w:lineRule="auto"/>
            <w:ind w:hanging="284"/>
            <w:rPr>
              <w:rFonts w:ascii="Times New Roman" w:hAnsi="Times New Roman"/>
              <w:color w:val="000000" w:themeColor="text1"/>
              <w:lang w:val="lt-LT"/>
            </w:rPr>
          </w:pPr>
        </w:p>
        <w:tbl>
          <w:tblPr>
            <w:tblStyle w:val="TableGrid"/>
            <w:tblW w:w="5314"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4643"/>
            <w:gridCol w:w="5227"/>
          </w:tblGrid>
          <w:tr w:rsidR="000F4DCB" w:rsidRPr="00650EE4" w14:paraId="037AAF0C" w14:textId="77777777" w:rsidTr="00643EB0">
            <w:tc>
              <w:tcPr>
                <w:tcW w:w="4535" w:type="dxa"/>
                <w:vAlign w:val="center"/>
              </w:tcPr>
              <w:p w14:paraId="3E008EFB" w14:textId="17998B0B" w:rsidR="007245BA" w:rsidRPr="00650EE4" w:rsidRDefault="007245BA" w:rsidP="00BD5EC3">
                <w:pPr>
                  <w:pStyle w:val="BodyText"/>
                  <w:tabs>
                    <w:tab w:val="left" w:pos="1065"/>
                  </w:tabs>
                  <w:rPr>
                    <w:rFonts w:ascii="Times New Roman" w:hAnsi="Times New Roman"/>
                    <w:color w:val="000000" w:themeColor="text1"/>
                    <w:lang w:val="lt-LT"/>
                  </w:rPr>
                </w:pPr>
              </w:p>
            </w:tc>
            <w:tc>
              <w:tcPr>
                <w:tcW w:w="5106" w:type="dxa"/>
                <w:vAlign w:val="center"/>
              </w:tcPr>
              <w:p w14:paraId="367A0E13" w14:textId="7877E5F5" w:rsidR="007245BA" w:rsidRPr="00650EE4" w:rsidRDefault="007245BA" w:rsidP="00BD5EC3">
                <w:pPr>
                  <w:pStyle w:val="BodyText"/>
                  <w:tabs>
                    <w:tab w:val="left" w:pos="1065"/>
                  </w:tabs>
                  <w:jc w:val="right"/>
                  <w:rPr>
                    <w:rFonts w:ascii="Times New Roman" w:hAnsi="Times New Roman"/>
                    <w:color w:val="000000" w:themeColor="text1"/>
                    <w:lang w:val="lt-LT"/>
                  </w:rPr>
                </w:pPr>
              </w:p>
            </w:tc>
          </w:tr>
        </w:tbl>
        <w:p w14:paraId="7BC8FE10" w14:textId="77777777" w:rsidR="00BD5EC3" w:rsidRPr="00650EE4" w:rsidRDefault="00BD5EC3" w:rsidP="00BD5EC3">
          <w:pPr>
            <w:pStyle w:val="BodyText"/>
            <w:tabs>
              <w:tab w:val="left" w:pos="1065"/>
            </w:tabs>
            <w:spacing w:line="240" w:lineRule="auto"/>
            <w:ind w:hanging="709"/>
            <w:jc w:val="center"/>
            <w:rPr>
              <w:rFonts w:ascii="Times New Roman" w:hAnsi="Times New Roman"/>
              <w:color w:val="000000" w:themeColor="text1"/>
              <w:lang w:val="lt-LT"/>
            </w:rPr>
          </w:pPr>
        </w:p>
        <w:p w14:paraId="16DF6C22" w14:textId="77777777" w:rsidR="000802B5" w:rsidRPr="00650EE4" w:rsidRDefault="000802B5" w:rsidP="00BD5EC3">
          <w:pPr>
            <w:pStyle w:val="BodyText"/>
            <w:tabs>
              <w:tab w:val="left" w:pos="1065"/>
            </w:tabs>
            <w:spacing w:line="240" w:lineRule="auto"/>
            <w:ind w:hanging="709"/>
            <w:jc w:val="center"/>
            <w:rPr>
              <w:rFonts w:ascii="Times New Roman" w:hAnsi="Times New Roman"/>
              <w:color w:val="000000" w:themeColor="text1"/>
              <w:lang w:val="lt-LT"/>
            </w:rPr>
          </w:pPr>
        </w:p>
        <w:p w14:paraId="30B12136" w14:textId="131821CA" w:rsidR="00B85983" w:rsidRPr="00650EE4" w:rsidRDefault="007339AE" w:rsidP="00BD5EC3">
          <w:pPr>
            <w:pStyle w:val="BodyText"/>
            <w:tabs>
              <w:tab w:val="left" w:pos="1065"/>
            </w:tabs>
            <w:spacing w:line="240" w:lineRule="auto"/>
            <w:ind w:hanging="709"/>
            <w:jc w:val="center"/>
            <w:rPr>
              <w:rFonts w:ascii="Times New Roman" w:hAnsi="Times New Roman"/>
              <w:color w:val="000000" w:themeColor="text1"/>
              <w:sz w:val="24"/>
              <w:szCs w:val="24"/>
              <w:lang w:val="lt-LT"/>
            </w:rPr>
            <w:sectPr w:rsidR="00B85983" w:rsidRPr="00650EE4" w:rsidSect="00927BC1">
              <w:headerReference w:type="even" r:id="rId9"/>
              <w:headerReference w:type="default" r:id="rId10"/>
              <w:footerReference w:type="even" r:id="rId11"/>
              <w:footerReference w:type="default" r:id="rId12"/>
              <w:headerReference w:type="first" r:id="rId13"/>
              <w:footerReference w:type="first" r:id="rId14"/>
              <w:pgSz w:w="11906" w:h="16838" w:code="9"/>
              <w:pgMar w:top="2313" w:right="1134" w:bottom="1474" w:left="1701" w:header="567" w:footer="567" w:gutter="0"/>
              <w:cols w:space="708"/>
              <w:titlePg/>
              <w:docGrid w:linePitch="360"/>
            </w:sectPr>
          </w:pPr>
          <w:r>
            <w:rPr>
              <w:rFonts w:ascii="Times New Roman" w:hAnsi="Times New Roman"/>
              <w:color w:val="000000" w:themeColor="text1"/>
              <w:sz w:val="24"/>
              <w:szCs w:val="24"/>
              <w:lang w:val="lt-LT"/>
            </w:rPr>
            <w:t>2021</w:t>
          </w:r>
          <w:r w:rsidR="002E1893" w:rsidRPr="00650EE4">
            <w:rPr>
              <w:rFonts w:ascii="Times New Roman" w:hAnsi="Times New Roman"/>
              <w:color w:val="000000" w:themeColor="text1"/>
              <w:sz w:val="24"/>
              <w:szCs w:val="24"/>
              <w:lang w:val="lt-LT"/>
            </w:rPr>
            <w:t xml:space="preserve"> m.</w:t>
          </w:r>
          <w:r w:rsidR="009424A0" w:rsidRPr="00650EE4">
            <w:rPr>
              <w:rFonts w:ascii="Times New Roman" w:hAnsi="Times New Roman"/>
              <w:color w:val="000000" w:themeColor="text1"/>
              <w:sz w:val="24"/>
              <w:szCs w:val="24"/>
              <w:lang w:val="lt-LT"/>
            </w:rPr>
            <w:t xml:space="preserve"> </w:t>
          </w:r>
        </w:p>
        <w:p w14:paraId="5D0C2D9F" w14:textId="7DDC4F4B" w:rsidR="00DA1E77" w:rsidRPr="00650EE4" w:rsidRDefault="00727312" w:rsidP="00457F9B">
          <w:pPr>
            <w:pStyle w:val="Nenumeruojamosantrastes"/>
            <w:pBdr>
              <w:bottom w:val="single" w:sz="4" w:space="1" w:color="auto"/>
            </w:pBdr>
            <w:outlineLvl w:val="0"/>
            <w:rPr>
              <w:rFonts w:ascii="Times New Roman" w:hAnsi="Times New Roman"/>
              <w:color w:val="002060"/>
              <w:szCs w:val="28"/>
            </w:rPr>
          </w:pPr>
          <w:bookmarkStart w:id="1" w:name="_Toc420911920"/>
          <w:bookmarkStart w:id="2" w:name="_Toc521940871"/>
          <w:bookmarkStart w:id="3" w:name="_Hlk46922257"/>
          <w:bookmarkStart w:id="4" w:name="_Toc67925095"/>
          <w:r w:rsidRPr="00650EE4">
            <w:rPr>
              <w:rFonts w:ascii="Times New Roman" w:hAnsi="Times New Roman"/>
              <w:color w:val="002060"/>
              <w:szCs w:val="28"/>
            </w:rPr>
            <w:lastRenderedPageBreak/>
            <w:t>TURINYS</w:t>
          </w:r>
          <w:bookmarkEnd w:id="1"/>
          <w:bookmarkEnd w:id="2"/>
          <w:bookmarkEnd w:id="4"/>
          <w:r w:rsidR="00643EB0" w:rsidRPr="00650EE4">
            <w:rPr>
              <w:rFonts w:ascii="Times New Roman" w:hAnsi="Times New Roman"/>
              <w:color w:val="002060"/>
              <w:szCs w:val="28"/>
            </w:rPr>
            <w:tab/>
          </w:r>
        </w:p>
        <w:p w14:paraId="7CDD2583" w14:textId="77777777" w:rsidR="0045783E" w:rsidRDefault="00DA1E77">
          <w:pPr>
            <w:pStyle w:val="TOC1"/>
            <w:tabs>
              <w:tab w:val="right" w:leader="dot" w:pos="10194"/>
            </w:tabs>
            <w:rPr>
              <w:rFonts w:asciiTheme="minorHAnsi" w:eastAsiaTheme="minorEastAsia" w:hAnsiTheme="minorHAnsi" w:cstheme="minorBidi"/>
              <w:noProof/>
              <w:color w:val="auto"/>
              <w:szCs w:val="22"/>
              <w:lang w:val="lt-LT" w:eastAsia="lt-LT"/>
            </w:rPr>
          </w:pPr>
          <w:r w:rsidRPr="002D7C6C">
            <w:rPr>
              <w:rFonts w:ascii="Times New Roman" w:hAnsi="Times New Roman"/>
              <w:color w:val="000000" w:themeColor="text1"/>
              <w:szCs w:val="22"/>
              <w:lang w:val="lt-LT"/>
            </w:rPr>
            <w:fldChar w:fldCharType="begin"/>
          </w:r>
          <w:r w:rsidRPr="002D7C6C">
            <w:rPr>
              <w:rFonts w:ascii="Times New Roman" w:hAnsi="Times New Roman"/>
              <w:color w:val="000000" w:themeColor="text1"/>
              <w:szCs w:val="22"/>
              <w:lang w:val="lt-LT"/>
            </w:rPr>
            <w:instrText xml:space="preserve"> TOC \o "1-3" \h \z \u </w:instrText>
          </w:r>
          <w:r w:rsidRPr="002D7C6C">
            <w:rPr>
              <w:rFonts w:ascii="Times New Roman" w:hAnsi="Times New Roman"/>
              <w:color w:val="000000" w:themeColor="text1"/>
              <w:szCs w:val="22"/>
              <w:lang w:val="lt-LT"/>
            </w:rPr>
            <w:fldChar w:fldCharType="separate"/>
          </w:r>
          <w:hyperlink w:anchor="_Toc67925095" w:history="1">
            <w:r w:rsidR="0045783E" w:rsidRPr="006B6DA7">
              <w:rPr>
                <w:rStyle w:val="Hyperlink"/>
                <w:rFonts w:ascii="Times New Roman" w:hAnsi="Times New Roman"/>
                <w:noProof/>
              </w:rPr>
              <w:t>TURINYS</w:t>
            </w:r>
            <w:r w:rsidR="0045783E">
              <w:rPr>
                <w:noProof/>
                <w:webHidden/>
              </w:rPr>
              <w:tab/>
            </w:r>
            <w:r w:rsidR="0045783E">
              <w:rPr>
                <w:noProof/>
                <w:webHidden/>
              </w:rPr>
              <w:fldChar w:fldCharType="begin"/>
            </w:r>
            <w:r w:rsidR="0045783E">
              <w:rPr>
                <w:noProof/>
                <w:webHidden/>
              </w:rPr>
              <w:instrText xml:space="preserve"> PAGEREF _Toc67925095 \h </w:instrText>
            </w:r>
            <w:r w:rsidR="0045783E">
              <w:rPr>
                <w:noProof/>
                <w:webHidden/>
              </w:rPr>
            </w:r>
            <w:r w:rsidR="0045783E">
              <w:rPr>
                <w:noProof/>
                <w:webHidden/>
              </w:rPr>
              <w:fldChar w:fldCharType="separate"/>
            </w:r>
            <w:r w:rsidR="0045783E">
              <w:rPr>
                <w:noProof/>
                <w:webHidden/>
              </w:rPr>
              <w:t>2</w:t>
            </w:r>
            <w:r w:rsidR="0045783E">
              <w:rPr>
                <w:noProof/>
                <w:webHidden/>
              </w:rPr>
              <w:fldChar w:fldCharType="end"/>
            </w:r>
          </w:hyperlink>
        </w:p>
        <w:p w14:paraId="4AF520BA"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096" w:history="1">
            <w:r w:rsidRPr="006B6DA7">
              <w:rPr>
                <w:rStyle w:val="Hyperlink"/>
                <w:rFonts w:ascii="Times New Roman" w:hAnsi="Times New Roman"/>
                <w:noProof/>
              </w:rPr>
              <w:t>LENTELIŲ SĄRAŠAS</w:t>
            </w:r>
            <w:r>
              <w:rPr>
                <w:noProof/>
                <w:webHidden/>
              </w:rPr>
              <w:tab/>
            </w:r>
            <w:r>
              <w:rPr>
                <w:noProof/>
                <w:webHidden/>
              </w:rPr>
              <w:fldChar w:fldCharType="begin"/>
            </w:r>
            <w:r>
              <w:rPr>
                <w:noProof/>
                <w:webHidden/>
              </w:rPr>
              <w:instrText xml:space="preserve"> PAGEREF _Toc67925096 \h </w:instrText>
            </w:r>
            <w:r>
              <w:rPr>
                <w:noProof/>
                <w:webHidden/>
              </w:rPr>
            </w:r>
            <w:r>
              <w:rPr>
                <w:noProof/>
                <w:webHidden/>
              </w:rPr>
              <w:fldChar w:fldCharType="separate"/>
            </w:r>
            <w:r>
              <w:rPr>
                <w:noProof/>
                <w:webHidden/>
              </w:rPr>
              <w:t>5</w:t>
            </w:r>
            <w:r>
              <w:rPr>
                <w:noProof/>
                <w:webHidden/>
              </w:rPr>
              <w:fldChar w:fldCharType="end"/>
            </w:r>
          </w:hyperlink>
        </w:p>
        <w:p w14:paraId="38F56F70"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097" w:history="1">
            <w:r w:rsidRPr="006B6DA7">
              <w:rPr>
                <w:rStyle w:val="Hyperlink"/>
                <w:rFonts w:ascii="Times New Roman" w:hAnsi="Times New Roman"/>
                <w:noProof/>
              </w:rPr>
              <w:t>PAVEIKSLŲ SĄRAŠAS</w:t>
            </w:r>
            <w:r>
              <w:rPr>
                <w:noProof/>
                <w:webHidden/>
              </w:rPr>
              <w:tab/>
            </w:r>
            <w:r>
              <w:rPr>
                <w:noProof/>
                <w:webHidden/>
              </w:rPr>
              <w:fldChar w:fldCharType="begin"/>
            </w:r>
            <w:r>
              <w:rPr>
                <w:noProof/>
                <w:webHidden/>
              </w:rPr>
              <w:instrText xml:space="preserve"> PAGEREF _Toc67925097 \h </w:instrText>
            </w:r>
            <w:r>
              <w:rPr>
                <w:noProof/>
                <w:webHidden/>
              </w:rPr>
            </w:r>
            <w:r>
              <w:rPr>
                <w:noProof/>
                <w:webHidden/>
              </w:rPr>
              <w:fldChar w:fldCharType="separate"/>
            </w:r>
            <w:r>
              <w:rPr>
                <w:noProof/>
                <w:webHidden/>
              </w:rPr>
              <w:t>7</w:t>
            </w:r>
            <w:r>
              <w:rPr>
                <w:noProof/>
                <w:webHidden/>
              </w:rPr>
              <w:fldChar w:fldCharType="end"/>
            </w:r>
          </w:hyperlink>
        </w:p>
        <w:p w14:paraId="3AC0FCCC"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098" w:history="1">
            <w:r w:rsidRPr="006B6DA7">
              <w:rPr>
                <w:rStyle w:val="Hyperlink"/>
                <w:rFonts w:ascii="Times New Roman" w:hAnsi="Times New Roman"/>
                <w:noProof/>
              </w:rPr>
              <w:t>SANTRUMPŲ IR SĄVOKŲ SĄRAŠAS</w:t>
            </w:r>
            <w:r>
              <w:rPr>
                <w:noProof/>
                <w:webHidden/>
              </w:rPr>
              <w:tab/>
            </w:r>
            <w:r>
              <w:rPr>
                <w:noProof/>
                <w:webHidden/>
              </w:rPr>
              <w:fldChar w:fldCharType="begin"/>
            </w:r>
            <w:r>
              <w:rPr>
                <w:noProof/>
                <w:webHidden/>
              </w:rPr>
              <w:instrText xml:space="preserve"> PAGEREF _Toc67925098 \h </w:instrText>
            </w:r>
            <w:r>
              <w:rPr>
                <w:noProof/>
                <w:webHidden/>
              </w:rPr>
            </w:r>
            <w:r>
              <w:rPr>
                <w:noProof/>
                <w:webHidden/>
              </w:rPr>
              <w:fldChar w:fldCharType="separate"/>
            </w:r>
            <w:r>
              <w:rPr>
                <w:noProof/>
                <w:webHidden/>
              </w:rPr>
              <w:t>8</w:t>
            </w:r>
            <w:r>
              <w:rPr>
                <w:noProof/>
                <w:webHidden/>
              </w:rPr>
              <w:fldChar w:fldCharType="end"/>
            </w:r>
          </w:hyperlink>
        </w:p>
        <w:p w14:paraId="18AEE12C"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099" w:history="1">
            <w:r w:rsidRPr="006B6DA7">
              <w:rPr>
                <w:rStyle w:val="Hyperlink"/>
                <w:rFonts w:ascii="Times New Roman" w:hAnsi="Times New Roman"/>
                <w:noProof/>
              </w:rPr>
              <w:t>SANTRAUKA</w:t>
            </w:r>
            <w:r>
              <w:rPr>
                <w:noProof/>
                <w:webHidden/>
              </w:rPr>
              <w:tab/>
            </w:r>
            <w:r>
              <w:rPr>
                <w:noProof/>
                <w:webHidden/>
              </w:rPr>
              <w:fldChar w:fldCharType="begin"/>
            </w:r>
            <w:r>
              <w:rPr>
                <w:noProof/>
                <w:webHidden/>
              </w:rPr>
              <w:instrText xml:space="preserve"> PAGEREF _Toc67925099 \h </w:instrText>
            </w:r>
            <w:r>
              <w:rPr>
                <w:noProof/>
                <w:webHidden/>
              </w:rPr>
            </w:r>
            <w:r>
              <w:rPr>
                <w:noProof/>
                <w:webHidden/>
              </w:rPr>
              <w:fldChar w:fldCharType="separate"/>
            </w:r>
            <w:r>
              <w:rPr>
                <w:noProof/>
                <w:webHidden/>
              </w:rPr>
              <w:t>1</w:t>
            </w:r>
            <w:r>
              <w:rPr>
                <w:noProof/>
                <w:webHidden/>
              </w:rPr>
              <w:fldChar w:fldCharType="end"/>
            </w:r>
          </w:hyperlink>
        </w:p>
        <w:p w14:paraId="08011E45"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100" w:history="1">
            <w:r w:rsidRPr="006B6DA7">
              <w:rPr>
                <w:rStyle w:val="Hyperlink"/>
                <w:rFonts w:ascii="Times New Roman" w:hAnsi="Times New Roman"/>
                <w:noProof/>
              </w:rPr>
              <w:t>ĮŽANGA</w:t>
            </w:r>
            <w:r>
              <w:rPr>
                <w:noProof/>
                <w:webHidden/>
              </w:rPr>
              <w:tab/>
            </w:r>
            <w:r>
              <w:rPr>
                <w:noProof/>
                <w:webHidden/>
              </w:rPr>
              <w:fldChar w:fldCharType="begin"/>
            </w:r>
            <w:r>
              <w:rPr>
                <w:noProof/>
                <w:webHidden/>
              </w:rPr>
              <w:instrText xml:space="preserve"> PAGEREF _Toc67925100 \h </w:instrText>
            </w:r>
            <w:r>
              <w:rPr>
                <w:noProof/>
                <w:webHidden/>
              </w:rPr>
            </w:r>
            <w:r>
              <w:rPr>
                <w:noProof/>
                <w:webHidden/>
              </w:rPr>
              <w:fldChar w:fldCharType="separate"/>
            </w:r>
            <w:r>
              <w:rPr>
                <w:noProof/>
                <w:webHidden/>
              </w:rPr>
              <w:t>12</w:t>
            </w:r>
            <w:r>
              <w:rPr>
                <w:noProof/>
                <w:webHidden/>
              </w:rPr>
              <w:fldChar w:fldCharType="end"/>
            </w:r>
          </w:hyperlink>
        </w:p>
        <w:p w14:paraId="2DF2E2E8" w14:textId="77777777" w:rsidR="0045783E" w:rsidRDefault="0045783E">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67925101" w:history="1">
            <w:r w:rsidRPr="006B6DA7">
              <w:rPr>
                <w:rStyle w:val="Hyperlink"/>
                <w:rFonts w:ascii="Times New Roman" w:hAnsi="Times New Roman"/>
                <w:noProof/>
              </w:rPr>
              <w:t>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rPr>
              <w:t>NACIONALINIO PASTATŲ FONDO APŽVALGA</w:t>
            </w:r>
            <w:r>
              <w:rPr>
                <w:noProof/>
                <w:webHidden/>
              </w:rPr>
              <w:tab/>
            </w:r>
            <w:r>
              <w:rPr>
                <w:noProof/>
                <w:webHidden/>
              </w:rPr>
              <w:fldChar w:fldCharType="begin"/>
            </w:r>
            <w:r>
              <w:rPr>
                <w:noProof/>
                <w:webHidden/>
              </w:rPr>
              <w:instrText xml:space="preserve"> PAGEREF _Toc67925101 \h </w:instrText>
            </w:r>
            <w:r>
              <w:rPr>
                <w:noProof/>
                <w:webHidden/>
              </w:rPr>
            </w:r>
            <w:r>
              <w:rPr>
                <w:noProof/>
                <w:webHidden/>
              </w:rPr>
              <w:fldChar w:fldCharType="separate"/>
            </w:r>
            <w:r>
              <w:rPr>
                <w:noProof/>
                <w:webHidden/>
              </w:rPr>
              <w:t>13</w:t>
            </w:r>
            <w:r>
              <w:rPr>
                <w:noProof/>
                <w:webHidden/>
              </w:rPr>
              <w:fldChar w:fldCharType="end"/>
            </w:r>
          </w:hyperlink>
        </w:p>
        <w:p w14:paraId="59F7ADB4"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02" w:history="1">
            <w:r w:rsidRPr="006B6DA7">
              <w:rPr>
                <w:rStyle w:val="Hyperlink"/>
                <w:rFonts w:ascii="Times New Roman" w:hAnsi="Times New Roman"/>
                <w:noProof/>
                <w:lang w:val="lt-LT"/>
              </w:rPr>
              <w:t>1.1.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fondo struktūra</w:t>
            </w:r>
            <w:r>
              <w:rPr>
                <w:noProof/>
                <w:webHidden/>
              </w:rPr>
              <w:tab/>
            </w:r>
            <w:r>
              <w:rPr>
                <w:noProof/>
                <w:webHidden/>
              </w:rPr>
              <w:fldChar w:fldCharType="begin"/>
            </w:r>
            <w:r>
              <w:rPr>
                <w:noProof/>
                <w:webHidden/>
              </w:rPr>
              <w:instrText xml:space="preserve"> PAGEREF _Toc67925102 \h </w:instrText>
            </w:r>
            <w:r>
              <w:rPr>
                <w:noProof/>
                <w:webHidden/>
              </w:rPr>
            </w:r>
            <w:r>
              <w:rPr>
                <w:noProof/>
                <w:webHidden/>
              </w:rPr>
              <w:fldChar w:fldCharType="separate"/>
            </w:r>
            <w:r>
              <w:rPr>
                <w:noProof/>
                <w:webHidden/>
              </w:rPr>
              <w:t>13</w:t>
            </w:r>
            <w:r>
              <w:rPr>
                <w:noProof/>
                <w:webHidden/>
              </w:rPr>
              <w:fldChar w:fldCharType="end"/>
            </w:r>
          </w:hyperlink>
        </w:p>
        <w:p w14:paraId="0DCFC0EA"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03" w:history="1">
            <w:r w:rsidRPr="006B6DA7">
              <w:rPr>
                <w:rStyle w:val="Hyperlink"/>
                <w:rFonts w:ascii="Times New Roman" w:hAnsi="Times New Roman"/>
                <w:noProof/>
                <w:lang w:val="lt-LT"/>
              </w:rPr>
              <w:t>1.1.1.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fondas pagal grupes ir pogrupius</w:t>
            </w:r>
            <w:r>
              <w:rPr>
                <w:noProof/>
                <w:webHidden/>
              </w:rPr>
              <w:tab/>
            </w:r>
            <w:r>
              <w:rPr>
                <w:noProof/>
                <w:webHidden/>
              </w:rPr>
              <w:fldChar w:fldCharType="begin"/>
            </w:r>
            <w:r>
              <w:rPr>
                <w:noProof/>
                <w:webHidden/>
              </w:rPr>
              <w:instrText xml:space="preserve"> PAGEREF _Toc67925103 \h </w:instrText>
            </w:r>
            <w:r>
              <w:rPr>
                <w:noProof/>
                <w:webHidden/>
              </w:rPr>
            </w:r>
            <w:r>
              <w:rPr>
                <w:noProof/>
                <w:webHidden/>
              </w:rPr>
              <w:fldChar w:fldCharType="separate"/>
            </w:r>
            <w:r>
              <w:rPr>
                <w:noProof/>
                <w:webHidden/>
              </w:rPr>
              <w:t>13</w:t>
            </w:r>
            <w:r>
              <w:rPr>
                <w:noProof/>
                <w:webHidden/>
              </w:rPr>
              <w:fldChar w:fldCharType="end"/>
            </w:r>
          </w:hyperlink>
        </w:p>
        <w:p w14:paraId="76288169"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04" w:history="1">
            <w:r w:rsidRPr="006B6DA7">
              <w:rPr>
                <w:rStyle w:val="Hyperlink"/>
                <w:rFonts w:ascii="Times New Roman" w:hAnsi="Times New Roman"/>
                <w:noProof/>
                <w:lang w:val="lt-LT"/>
              </w:rPr>
              <w:t>1.1.2.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fondas pagal paskirtį ir statybos metus</w:t>
            </w:r>
            <w:r>
              <w:rPr>
                <w:noProof/>
                <w:webHidden/>
              </w:rPr>
              <w:tab/>
            </w:r>
            <w:r>
              <w:rPr>
                <w:noProof/>
                <w:webHidden/>
              </w:rPr>
              <w:fldChar w:fldCharType="begin"/>
            </w:r>
            <w:r>
              <w:rPr>
                <w:noProof/>
                <w:webHidden/>
              </w:rPr>
              <w:instrText xml:space="preserve"> PAGEREF _Toc67925104 \h </w:instrText>
            </w:r>
            <w:r>
              <w:rPr>
                <w:noProof/>
                <w:webHidden/>
              </w:rPr>
            </w:r>
            <w:r>
              <w:rPr>
                <w:noProof/>
                <w:webHidden/>
              </w:rPr>
              <w:fldChar w:fldCharType="separate"/>
            </w:r>
            <w:r>
              <w:rPr>
                <w:noProof/>
                <w:webHidden/>
              </w:rPr>
              <w:t>15</w:t>
            </w:r>
            <w:r>
              <w:rPr>
                <w:noProof/>
                <w:webHidden/>
              </w:rPr>
              <w:fldChar w:fldCharType="end"/>
            </w:r>
          </w:hyperlink>
        </w:p>
        <w:p w14:paraId="0AF98006"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05" w:history="1">
            <w:r w:rsidRPr="006B6DA7">
              <w:rPr>
                <w:rStyle w:val="Hyperlink"/>
                <w:rFonts w:ascii="Times New Roman" w:hAnsi="Times New Roman"/>
                <w:noProof/>
                <w:lang w:val="lt-LT"/>
              </w:rPr>
              <w:t>1.1.3.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fondas pagal nuosavybės tipą</w:t>
            </w:r>
            <w:r>
              <w:rPr>
                <w:noProof/>
                <w:webHidden/>
              </w:rPr>
              <w:tab/>
            </w:r>
            <w:r>
              <w:rPr>
                <w:noProof/>
                <w:webHidden/>
              </w:rPr>
              <w:fldChar w:fldCharType="begin"/>
            </w:r>
            <w:r>
              <w:rPr>
                <w:noProof/>
                <w:webHidden/>
              </w:rPr>
              <w:instrText xml:space="preserve"> PAGEREF _Toc67925105 \h </w:instrText>
            </w:r>
            <w:r>
              <w:rPr>
                <w:noProof/>
                <w:webHidden/>
              </w:rPr>
            </w:r>
            <w:r>
              <w:rPr>
                <w:noProof/>
                <w:webHidden/>
              </w:rPr>
              <w:fldChar w:fldCharType="separate"/>
            </w:r>
            <w:r>
              <w:rPr>
                <w:noProof/>
                <w:webHidden/>
              </w:rPr>
              <w:t>17</w:t>
            </w:r>
            <w:r>
              <w:rPr>
                <w:noProof/>
                <w:webHidden/>
              </w:rPr>
              <w:fldChar w:fldCharType="end"/>
            </w:r>
          </w:hyperlink>
        </w:p>
        <w:p w14:paraId="20B128CB"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06" w:history="1">
            <w:r w:rsidRPr="006B6DA7">
              <w:rPr>
                <w:rStyle w:val="Hyperlink"/>
                <w:rFonts w:ascii="Times New Roman" w:hAnsi="Times New Roman"/>
                <w:noProof/>
                <w:lang w:val="lt-LT"/>
              </w:rPr>
              <w:t>1.1.4.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fondas pagal sienų medžiagiškumą</w:t>
            </w:r>
            <w:r>
              <w:rPr>
                <w:noProof/>
                <w:webHidden/>
              </w:rPr>
              <w:tab/>
            </w:r>
            <w:r>
              <w:rPr>
                <w:noProof/>
                <w:webHidden/>
              </w:rPr>
              <w:fldChar w:fldCharType="begin"/>
            </w:r>
            <w:r>
              <w:rPr>
                <w:noProof/>
                <w:webHidden/>
              </w:rPr>
              <w:instrText xml:space="preserve"> PAGEREF _Toc67925106 \h </w:instrText>
            </w:r>
            <w:r>
              <w:rPr>
                <w:noProof/>
                <w:webHidden/>
              </w:rPr>
            </w:r>
            <w:r>
              <w:rPr>
                <w:noProof/>
                <w:webHidden/>
              </w:rPr>
              <w:fldChar w:fldCharType="separate"/>
            </w:r>
            <w:r>
              <w:rPr>
                <w:noProof/>
                <w:webHidden/>
              </w:rPr>
              <w:t>19</w:t>
            </w:r>
            <w:r>
              <w:rPr>
                <w:noProof/>
                <w:webHidden/>
              </w:rPr>
              <w:fldChar w:fldCharType="end"/>
            </w:r>
          </w:hyperlink>
        </w:p>
        <w:p w14:paraId="4776B994"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07" w:history="1">
            <w:r w:rsidRPr="006B6DA7">
              <w:rPr>
                <w:rStyle w:val="Hyperlink"/>
                <w:rFonts w:ascii="Times New Roman" w:hAnsi="Times New Roman"/>
                <w:noProof/>
                <w:lang w:val="lt-LT"/>
              </w:rPr>
              <w:t>1.1.5.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fondas pagal šildymo tipą</w:t>
            </w:r>
            <w:r>
              <w:rPr>
                <w:noProof/>
                <w:webHidden/>
              </w:rPr>
              <w:tab/>
            </w:r>
            <w:r>
              <w:rPr>
                <w:noProof/>
                <w:webHidden/>
              </w:rPr>
              <w:fldChar w:fldCharType="begin"/>
            </w:r>
            <w:r>
              <w:rPr>
                <w:noProof/>
                <w:webHidden/>
              </w:rPr>
              <w:instrText xml:space="preserve"> PAGEREF _Toc67925107 \h </w:instrText>
            </w:r>
            <w:r>
              <w:rPr>
                <w:noProof/>
                <w:webHidden/>
              </w:rPr>
            </w:r>
            <w:r>
              <w:rPr>
                <w:noProof/>
                <w:webHidden/>
              </w:rPr>
              <w:fldChar w:fldCharType="separate"/>
            </w:r>
            <w:r>
              <w:rPr>
                <w:noProof/>
                <w:webHidden/>
              </w:rPr>
              <w:t>21</w:t>
            </w:r>
            <w:r>
              <w:rPr>
                <w:noProof/>
                <w:webHidden/>
              </w:rPr>
              <w:fldChar w:fldCharType="end"/>
            </w:r>
          </w:hyperlink>
        </w:p>
        <w:p w14:paraId="30BA47B2"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08" w:history="1">
            <w:r w:rsidRPr="006B6DA7">
              <w:rPr>
                <w:rStyle w:val="Hyperlink"/>
                <w:rFonts w:ascii="Times New Roman" w:hAnsi="Times New Roman"/>
                <w:noProof/>
                <w:lang w:val="lt-LT"/>
              </w:rPr>
              <w:t>1.1.6.</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fondas pagal energinio naudingumo klasę</w:t>
            </w:r>
            <w:r>
              <w:rPr>
                <w:noProof/>
                <w:webHidden/>
              </w:rPr>
              <w:tab/>
            </w:r>
            <w:r>
              <w:rPr>
                <w:noProof/>
                <w:webHidden/>
              </w:rPr>
              <w:fldChar w:fldCharType="begin"/>
            </w:r>
            <w:r>
              <w:rPr>
                <w:noProof/>
                <w:webHidden/>
              </w:rPr>
              <w:instrText xml:space="preserve"> PAGEREF _Toc67925108 \h </w:instrText>
            </w:r>
            <w:r>
              <w:rPr>
                <w:noProof/>
                <w:webHidden/>
              </w:rPr>
            </w:r>
            <w:r>
              <w:rPr>
                <w:noProof/>
                <w:webHidden/>
              </w:rPr>
              <w:fldChar w:fldCharType="separate"/>
            </w:r>
            <w:r>
              <w:rPr>
                <w:noProof/>
                <w:webHidden/>
              </w:rPr>
              <w:t>22</w:t>
            </w:r>
            <w:r>
              <w:rPr>
                <w:noProof/>
                <w:webHidden/>
              </w:rPr>
              <w:fldChar w:fldCharType="end"/>
            </w:r>
          </w:hyperlink>
        </w:p>
        <w:p w14:paraId="755D44D6"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09" w:history="1">
            <w:r w:rsidRPr="006B6DA7">
              <w:rPr>
                <w:rStyle w:val="Hyperlink"/>
                <w:rFonts w:ascii="Times New Roman" w:hAnsi="Times New Roman"/>
                <w:noProof/>
                <w:lang w:val="lt-LT"/>
              </w:rPr>
              <w:t>1.2.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fondo energijos vartojimas</w:t>
            </w:r>
            <w:r>
              <w:rPr>
                <w:noProof/>
                <w:webHidden/>
              </w:rPr>
              <w:tab/>
            </w:r>
            <w:r>
              <w:rPr>
                <w:noProof/>
                <w:webHidden/>
              </w:rPr>
              <w:fldChar w:fldCharType="begin"/>
            </w:r>
            <w:r>
              <w:rPr>
                <w:noProof/>
                <w:webHidden/>
              </w:rPr>
              <w:instrText xml:space="preserve"> PAGEREF _Toc67925109 \h </w:instrText>
            </w:r>
            <w:r>
              <w:rPr>
                <w:noProof/>
                <w:webHidden/>
              </w:rPr>
            </w:r>
            <w:r>
              <w:rPr>
                <w:noProof/>
                <w:webHidden/>
              </w:rPr>
              <w:fldChar w:fldCharType="separate"/>
            </w:r>
            <w:r>
              <w:rPr>
                <w:noProof/>
                <w:webHidden/>
              </w:rPr>
              <w:t>24</w:t>
            </w:r>
            <w:r>
              <w:rPr>
                <w:noProof/>
                <w:webHidden/>
              </w:rPr>
              <w:fldChar w:fldCharType="end"/>
            </w:r>
          </w:hyperlink>
        </w:p>
        <w:p w14:paraId="1626C965"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0" w:history="1">
            <w:r w:rsidRPr="006B6DA7">
              <w:rPr>
                <w:rStyle w:val="Hyperlink"/>
                <w:rFonts w:ascii="Times New Roman" w:hAnsi="Times New Roman"/>
                <w:noProof/>
                <w:lang w:val="lt-LT"/>
              </w:rPr>
              <w:t>1.2.1.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Klimatinės sąlygos</w:t>
            </w:r>
            <w:r>
              <w:rPr>
                <w:noProof/>
                <w:webHidden/>
              </w:rPr>
              <w:tab/>
            </w:r>
            <w:r>
              <w:rPr>
                <w:noProof/>
                <w:webHidden/>
              </w:rPr>
              <w:fldChar w:fldCharType="begin"/>
            </w:r>
            <w:r>
              <w:rPr>
                <w:noProof/>
                <w:webHidden/>
              </w:rPr>
              <w:instrText xml:space="preserve"> PAGEREF _Toc67925110 \h </w:instrText>
            </w:r>
            <w:r>
              <w:rPr>
                <w:noProof/>
                <w:webHidden/>
              </w:rPr>
            </w:r>
            <w:r>
              <w:rPr>
                <w:noProof/>
                <w:webHidden/>
              </w:rPr>
              <w:fldChar w:fldCharType="separate"/>
            </w:r>
            <w:r>
              <w:rPr>
                <w:noProof/>
                <w:webHidden/>
              </w:rPr>
              <w:t>25</w:t>
            </w:r>
            <w:r>
              <w:rPr>
                <w:noProof/>
                <w:webHidden/>
              </w:rPr>
              <w:fldChar w:fldCharType="end"/>
            </w:r>
          </w:hyperlink>
        </w:p>
        <w:p w14:paraId="6908E0B6"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1" w:history="1">
            <w:r w:rsidRPr="006B6DA7">
              <w:rPr>
                <w:rStyle w:val="Hyperlink"/>
                <w:rFonts w:ascii="Times New Roman" w:hAnsi="Times New Roman"/>
                <w:noProof/>
                <w:lang w:val="lt-LT"/>
              </w:rPr>
              <w:t>1.2.2.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Šiluminės energijos pastato šildymui vartojimas</w:t>
            </w:r>
            <w:r>
              <w:rPr>
                <w:noProof/>
                <w:webHidden/>
              </w:rPr>
              <w:tab/>
            </w:r>
            <w:r>
              <w:rPr>
                <w:noProof/>
                <w:webHidden/>
              </w:rPr>
              <w:fldChar w:fldCharType="begin"/>
            </w:r>
            <w:r>
              <w:rPr>
                <w:noProof/>
                <w:webHidden/>
              </w:rPr>
              <w:instrText xml:space="preserve"> PAGEREF _Toc67925111 \h </w:instrText>
            </w:r>
            <w:r>
              <w:rPr>
                <w:noProof/>
                <w:webHidden/>
              </w:rPr>
            </w:r>
            <w:r>
              <w:rPr>
                <w:noProof/>
                <w:webHidden/>
              </w:rPr>
              <w:fldChar w:fldCharType="separate"/>
            </w:r>
            <w:r>
              <w:rPr>
                <w:noProof/>
                <w:webHidden/>
              </w:rPr>
              <w:t>26</w:t>
            </w:r>
            <w:r>
              <w:rPr>
                <w:noProof/>
                <w:webHidden/>
              </w:rPr>
              <w:fldChar w:fldCharType="end"/>
            </w:r>
          </w:hyperlink>
        </w:p>
        <w:p w14:paraId="14A188BA"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2" w:history="1">
            <w:r w:rsidRPr="006B6DA7">
              <w:rPr>
                <w:rStyle w:val="Hyperlink"/>
                <w:rFonts w:ascii="Times New Roman" w:hAnsi="Times New Roman"/>
                <w:noProof/>
                <w:lang w:val="lt-LT"/>
              </w:rPr>
              <w:t>1.2.3.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Šiluminės energijos karštam vandeniui ruošti vartojimas</w:t>
            </w:r>
            <w:r>
              <w:rPr>
                <w:noProof/>
                <w:webHidden/>
              </w:rPr>
              <w:tab/>
            </w:r>
            <w:r>
              <w:rPr>
                <w:noProof/>
                <w:webHidden/>
              </w:rPr>
              <w:fldChar w:fldCharType="begin"/>
            </w:r>
            <w:r>
              <w:rPr>
                <w:noProof/>
                <w:webHidden/>
              </w:rPr>
              <w:instrText xml:space="preserve"> PAGEREF _Toc67925112 \h </w:instrText>
            </w:r>
            <w:r>
              <w:rPr>
                <w:noProof/>
                <w:webHidden/>
              </w:rPr>
            </w:r>
            <w:r>
              <w:rPr>
                <w:noProof/>
                <w:webHidden/>
              </w:rPr>
              <w:fldChar w:fldCharType="separate"/>
            </w:r>
            <w:r>
              <w:rPr>
                <w:noProof/>
                <w:webHidden/>
              </w:rPr>
              <w:t>27</w:t>
            </w:r>
            <w:r>
              <w:rPr>
                <w:noProof/>
                <w:webHidden/>
              </w:rPr>
              <w:fldChar w:fldCharType="end"/>
            </w:r>
          </w:hyperlink>
        </w:p>
        <w:p w14:paraId="1406FC8C"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3" w:history="1">
            <w:r w:rsidRPr="006B6DA7">
              <w:rPr>
                <w:rStyle w:val="Hyperlink"/>
                <w:rFonts w:ascii="Times New Roman" w:hAnsi="Times New Roman"/>
                <w:noProof/>
                <w:lang w:val="lt-LT"/>
              </w:rPr>
              <w:t>1.2.4.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Elektros energijos vartojimas</w:t>
            </w:r>
            <w:r>
              <w:rPr>
                <w:noProof/>
                <w:webHidden/>
              </w:rPr>
              <w:tab/>
            </w:r>
            <w:r>
              <w:rPr>
                <w:noProof/>
                <w:webHidden/>
              </w:rPr>
              <w:fldChar w:fldCharType="begin"/>
            </w:r>
            <w:r>
              <w:rPr>
                <w:noProof/>
                <w:webHidden/>
              </w:rPr>
              <w:instrText xml:space="preserve"> PAGEREF _Toc67925113 \h </w:instrText>
            </w:r>
            <w:r>
              <w:rPr>
                <w:noProof/>
                <w:webHidden/>
              </w:rPr>
            </w:r>
            <w:r>
              <w:rPr>
                <w:noProof/>
                <w:webHidden/>
              </w:rPr>
              <w:fldChar w:fldCharType="separate"/>
            </w:r>
            <w:r>
              <w:rPr>
                <w:noProof/>
                <w:webHidden/>
              </w:rPr>
              <w:t>28</w:t>
            </w:r>
            <w:r>
              <w:rPr>
                <w:noProof/>
                <w:webHidden/>
              </w:rPr>
              <w:fldChar w:fldCharType="end"/>
            </w:r>
          </w:hyperlink>
        </w:p>
        <w:p w14:paraId="6B134A71"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4" w:history="1">
            <w:r w:rsidRPr="006B6DA7">
              <w:rPr>
                <w:rStyle w:val="Hyperlink"/>
                <w:rFonts w:ascii="Times New Roman" w:hAnsi="Times New Roman"/>
                <w:noProof/>
                <w:lang w:val="lt-LT"/>
              </w:rPr>
              <w:t>1.2.5.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Pirminės energijos vartojimas</w:t>
            </w:r>
            <w:r>
              <w:rPr>
                <w:noProof/>
                <w:webHidden/>
              </w:rPr>
              <w:tab/>
            </w:r>
            <w:r>
              <w:rPr>
                <w:noProof/>
                <w:webHidden/>
              </w:rPr>
              <w:fldChar w:fldCharType="begin"/>
            </w:r>
            <w:r>
              <w:rPr>
                <w:noProof/>
                <w:webHidden/>
              </w:rPr>
              <w:instrText xml:space="preserve"> PAGEREF _Toc67925114 \h </w:instrText>
            </w:r>
            <w:r>
              <w:rPr>
                <w:noProof/>
                <w:webHidden/>
              </w:rPr>
            </w:r>
            <w:r>
              <w:rPr>
                <w:noProof/>
                <w:webHidden/>
              </w:rPr>
              <w:fldChar w:fldCharType="separate"/>
            </w:r>
            <w:r>
              <w:rPr>
                <w:noProof/>
                <w:webHidden/>
              </w:rPr>
              <w:t>29</w:t>
            </w:r>
            <w:r>
              <w:rPr>
                <w:noProof/>
                <w:webHidden/>
              </w:rPr>
              <w:fldChar w:fldCharType="end"/>
            </w:r>
          </w:hyperlink>
        </w:p>
        <w:p w14:paraId="5E1BCB1C"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15" w:history="1">
            <w:r w:rsidRPr="006B6DA7">
              <w:rPr>
                <w:rStyle w:val="Hyperlink"/>
                <w:rFonts w:ascii="Times New Roman" w:hAnsi="Times New Roman"/>
                <w:noProof/>
                <w:lang w:val="lt-LT"/>
              </w:rPr>
              <w:t>1.3.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Pastatų fondo CO</w:t>
            </w:r>
            <w:r w:rsidRPr="006B6DA7">
              <w:rPr>
                <w:rStyle w:val="Hyperlink"/>
                <w:rFonts w:ascii="Times New Roman" w:hAnsi="Times New Roman"/>
                <w:noProof/>
                <w:vertAlign w:val="subscript"/>
                <w:lang w:val="lt-LT"/>
              </w:rPr>
              <w:t>2</w:t>
            </w:r>
            <w:r w:rsidRPr="006B6DA7">
              <w:rPr>
                <w:rStyle w:val="Hyperlink"/>
                <w:rFonts w:ascii="Times New Roman" w:hAnsi="Times New Roman"/>
                <w:noProof/>
                <w:lang w:val="lt-LT"/>
              </w:rPr>
              <w:t xml:space="preserve"> emisijos</w:t>
            </w:r>
            <w:r>
              <w:rPr>
                <w:noProof/>
                <w:webHidden/>
              </w:rPr>
              <w:tab/>
            </w:r>
            <w:r>
              <w:rPr>
                <w:noProof/>
                <w:webHidden/>
              </w:rPr>
              <w:fldChar w:fldCharType="begin"/>
            </w:r>
            <w:r>
              <w:rPr>
                <w:noProof/>
                <w:webHidden/>
              </w:rPr>
              <w:instrText xml:space="preserve"> PAGEREF _Toc67925115 \h </w:instrText>
            </w:r>
            <w:r>
              <w:rPr>
                <w:noProof/>
                <w:webHidden/>
              </w:rPr>
            </w:r>
            <w:r>
              <w:rPr>
                <w:noProof/>
                <w:webHidden/>
              </w:rPr>
              <w:fldChar w:fldCharType="separate"/>
            </w:r>
            <w:r>
              <w:rPr>
                <w:noProof/>
                <w:webHidden/>
              </w:rPr>
              <w:t>32</w:t>
            </w:r>
            <w:r>
              <w:rPr>
                <w:noProof/>
                <w:webHidden/>
              </w:rPr>
              <w:fldChar w:fldCharType="end"/>
            </w:r>
          </w:hyperlink>
        </w:p>
        <w:p w14:paraId="6B4BC6F6"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16" w:history="1">
            <w:r w:rsidRPr="006B6DA7">
              <w:rPr>
                <w:rStyle w:val="Hyperlink"/>
                <w:rFonts w:ascii="Times New Roman" w:hAnsi="Times New Roman"/>
                <w:noProof/>
                <w:lang w:val="lt-LT"/>
              </w:rPr>
              <w:t>1.4.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Specifiniai pastatų fondo segmentai</w:t>
            </w:r>
            <w:r>
              <w:rPr>
                <w:noProof/>
                <w:webHidden/>
              </w:rPr>
              <w:tab/>
            </w:r>
            <w:r>
              <w:rPr>
                <w:noProof/>
                <w:webHidden/>
              </w:rPr>
              <w:fldChar w:fldCharType="begin"/>
            </w:r>
            <w:r>
              <w:rPr>
                <w:noProof/>
                <w:webHidden/>
              </w:rPr>
              <w:instrText xml:space="preserve"> PAGEREF _Toc67925116 \h </w:instrText>
            </w:r>
            <w:r>
              <w:rPr>
                <w:noProof/>
                <w:webHidden/>
              </w:rPr>
            </w:r>
            <w:r>
              <w:rPr>
                <w:noProof/>
                <w:webHidden/>
              </w:rPr>
              <w:fldChar w:fldCharType="separate"/>
            </w:r>
            <w:r>
              <w:rPr>
                <w:noProof/>
                <w:webHidden/>
              </w:rPr>
              <w:t>34</w:t>
            </w:r>
            <w:r>
              <w:rPr>
                <w:noProof/>
                <w:webHidden/>
              </w:rPr>
              <w:fldChar w:fldCharType="end"/>
            </w:r>
          </w:hyperlink>
        </w:p>
        <w:p w14:paraId="551CCABF"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7" w:history="1">
            <w:r w:rsidRPr="006B6DA7">
              <w:rPr>
                <w:rStyle w:val="Hyperlink"/>
                <w:rFonts w:ascii="Times New Roman" w:hAnsi="Times New Roman"/>
                <w:noProof/>
                <w:lang w:val="lt-LT"/>
              </w:rPr>
              <w:t>1.4.1.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Prasčiausio energinio naudingumo pastatai</w:t>
            </w:r>
            <w:r>
              <w:rPr>
                <w:noProof/>
                <w:webHidden/>
              </w:rPr>
              <w:tab/>
            </w:r>
            <w:r>
              <w:rPr>
                <w:noProof/>
                <w:webHidden/>
              </w:rPr>
              <w:fldChar w:fldCharType="begin"/>
            </w:r>
            <w:r>
              <w:rPr>
                <w:noProof/>
                <w:webHidden/>
              </w:rPr>
              <w:instrText xml:space="preserve"> PAGEREF _Toc67925117 \h </w:instrText>
            </w:r>
            <w:r>
              <w:rPr>
                <w:noProof/>
                <w:webHidden/>
              </w:rPr>
            </w:r>
            <w:r>
              <w:rPr>
                <w:noProof/>
                <w:webHidden/>
              </w:rPr>
              <w:fldChar w:fldCharType="separate"/>
            </w:r>
            <w:r>
              <w:rPr>
                <w:noProof/>
                <w:webHidden/>
              </w:rPr>
              <w:t>34</w:t>
            </w:r>
            <w:r>
              <w:rPr>
                <w:noProof/>
                <w:webHidden/>
              </w:rPr>
              <w:fldChar w:fldCharType="end"/>
            </w:r>
          </w:hyperlink>
        </w:p>
        <w:p w14:paraId="4C9AD322"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8" w:history="1">
            <w:r w:rsidRPr="006B6DA7">
              <w:rPr>
                <w:rStyle w:val="Hyperlink"/>
                <w:rFonts w:ascii="Times New Roman" w:hAnsi="Times New Roman"/>
                <w:noProof/>
                <w:lang w:val="lt-LT"/>
              </w:rPr>
              <w:t>1.4.2.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Apleisti ir nešildomi pastatai</w:t>
            </w:r>
            <w:r>
              <w:rPr>
                <w:noProof/>
                <w:webHidden/>
              </w:rPr>
              <w:tab/>
            </w:r>
            <w:r>
              <w:rPr>
                <w:noProof/>
                <w:webHidden/>
              </w:rPr>
              <w:fldChar w:fldCharType="begin"/>
            </w:r>
            <w:r>
              <w:rPr>
                <w:noProof/>
                <w:webHidden/>
              </w:rPr>
              <w:instrText xml:space="preserve"> PAGEREF _Toc67925118 \h </w:instrText>
            </w:r>
            <w:r>
              <w:rPr>
                <w:noProof/>
                <w:webHidden/>
              </w:rPr>
            </w:r>
            <w:r>
              <w:rPr>
                <w:noProof/>
                <w:webHidden/>
              </w:rPr>
              <w:fldChar w:fldCharType="separate"/>
            </w:r>
            <w:r>
              <w:rPr>
                <w:noProof/>
                <w:webHidden/>
              </w:rPr>
              <w:t>35</w:t>
            </w:r>
            <w:r>
              <w:rPr>
                <w:noProof/>
                <w:webHidden/>
              </w:rPr>
              <w:fldChar w:fldCharType="end"/>
            </w:r>
          </w:hyperlink>
        </w:p>
        <w:p w14:paraId="6AA29FB5"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19" w:history="1">
            <w:r w:rsidRPr="006B6DA7">
              <w:rPr>
                <w:rStyle w:val="Hyperlink"/>
                <w:rFonts w:ascii="Times New Roman" w:hAnsi="Times New Roman"/>
                <w:noProof/>
                <w:lang w:val="lt-LT"/>
              </w:rPr>
              <w:t>1.4.3.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Energijos beveik nevartojantys pastatai</w:t>
            </w:r>
            <w:r>
              <w:rPr>
                <w:noProof/>
                <w:webHidden/>
              </w:rPr>
              <w:tab/>
            </w:r>
            <w:r>
              <w:rPr>
                <w:noProof/>
                <w:webHidden/>
              </w:rPr>
              <w:fldChar w:fldCharType="begin"/>
            </w:r>
            <w:r>
              <w:rPr>
                <w:noProof/>
                <w:webHidden/>
              </w:rPr>
              <w:instrText xml:space="preserve"> PAGEREF _Toc67925119 \h </w:instrText>
            </w:r>
            <w:r>
              <w:rPr>
                <w:noProof/>
                <w:webHidden/>
              </w:rPr>
            </w:r>
            <w:r>
              <w:rPr>
                <w:noProof/>
                <w:webHidden/>
              </w:rPr>
              <w:fldChar w:fldCharType="separate"/>
            </w:r>
            <w:r>
              <w:rPr>
                <w:noProof/>
                <w:webHidden/>
              </w:rPr>
              <w:t>36</w:t>
            </w:r>
            <w:r>
              <w:rPr>
                <w:noProof/>
                <w:webHidden/>
              </w:rPr>
              <w:fldChar w:fldCharType="end"/>
            </w:r>
          </w:hyperlink>
        </w:p>
        <w:p w14:paraId="7BD5D338"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20" w:history="1">
            <w:r w:rsidRPr="006B6DA7">
              <w:rPr>
                <w:rStyle w:val="Hyperlink"/>
                <w:rFonts w:ascii="Times New Roman" w:hAnsi="Times New Roman"/>
                <w:noProof/>
                <w:lang w:val="lt-LT"/>
              </w:rPr>
              <w:t>1.4.4.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Renovuoti pastatai</w:t>
            </w:r>
            <w:r>
              <w:rPr>
                <w:noProof/>
                <w:webHidden/>
              </w:rPr>
              <w:tab/>
            </w:r>
            <w:r>
              <w:rPr>
                <w:noProof/>
                <w:webHidden/>
              </w:rPr>
              <w:fldChar w:fldCharType="begin"/>
            </w:r>
            <w:r>
              <w:rPr>
                <w:noProof/>
                <w:webHidden/>
              </w:rPr>
              <w:instrText xml:space="preserve"> PAGEREF _Toc67925120 \h </w:instrText>
            </w:r>
            <w:r>
              <w:rPr>
                <w:noProof/>
                <w:webHidden/>
              </w:rPr>
            </w:r>
            <w:r>
              <w:rPr>
                <w:noProof/>
                <w:webHidden/>
              </w:rPr>
              <w:fldChar w:fldCharType="separate"/>
            </w:r>
            <w:r>
              <w:rPr>
                <w:noProof/>
                <w:webHidden/>
              </w:rPr>
              <w:t>36</w:t>
            </w:r>
            <w:r>
              <w:rPr>
                <w:noProof/>
                <w:webHidden/>
              </w:rPr>
              <w:fldChar w:fldCharType="end"/>
            </w:r>
          </w:hyperlink>
        </w:p>
        <w:p w14:paraId="5514FDD5"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21" w:history="1">
            <w:r w:rsidRPr="006B6DA7">
              <w:rPr>
                <w:rStyle w:val="Hyperlink"/>
                <w:rFonts w:ascii="Times New Roman" w:hAnsi="Times New Roman"/>
                <w:noProof/>
                <w:lang w:val="lt-LT"/>
              </w:rPr>
              <w:t>1.4.5.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Viešieji pastatai</w:t>
            </w:r>
            <w:r>
              <w:rPr>
                <w:noProof/>
                <w:webHidden/>
              </w:rPr>
              <w:tab/>
            </w:r>
            <w:r>
              <w:rPr>
                <w:noProof/>
                <w:webHidden/>
              </w:rPr>
              <w:fldChar w:fldCharType="begin"/>
            </w:r>
            <w:r>
              <w:rPr>
                <w:noProof/>
                <w:webHidden/>
              </w:rPr>
              <w:instrText xml:space="preserve"> PAGEREF _Toc67925121 \h </w:instrText>
            </w:r>
            <w:r>
              <w:rPr>
                <w:noProof/>
                <w:webHidden/>
              </w:rPr>
            </w:r>
            <w:r>
              <w:rPr>
                <w:noProof/>
                <w:webHidden/>
              </w:rPr>
              <w:fldChar w:fldCharType="separate"/>
            </w:r>
            <w:r>
              <w:rPr>
                <w:noProof/>
                <w:webHidden/>
              </w:rPr>
              <w:t>38</w:t>
            </w:r>
            <w:r>
              <w:rPr>
                <w:noProof/>
                <w:webHidden/>
              </w:rPr>
              <w:fldChar w:fldCharType="end"/>
            </w:r>
          </w:hyperlink>
        </w:p>
        <w:p w14:paraId="215AC333"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22" w:history="1">
            <w:r w:rsidRPr="006B6DA7">
              <w:rPr>
                <w:rStyle w:val="Hyperlink"/>
                <w:rFonts w:ascii="Times New Roman" w:hAnsi="Times New Roman"/>
                <w:noProof/>
                <w:lang w:val="lt-LT"/>
              </w:rPr>
              <w:t>1.5.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Esminiai skyriaus pastebėjimai</w:t>
            </w:r>
            <w:r>
              <w:rPr>
                <w:noProof/>
                <w:webHidden/>
              </w:rPr>
              <w:tab/>
            </w:r>
            <w:r>
              <w:rPr>
                <w:noProof/>
                <w:webHidden/>
              </w:rPr>
              <w:fldChar w:fldCharType="begin"/>
            </w:r>
            <w:r>
              <w:rPr>
                <w:noProof/>
                <w:webHidden/>
              </w:rPr>
              <w:instrText xml:space="preserve"> PAGEREF _Toc67925122 \h </w:instrText>
            </w:r>
            <w:r>
              <w:rPr>
                <w:noProof/>
                <w:webHidden/>
              </w:rPr>
            </w:r>
            <w:r>
              <w:rPr>
                <w:noProof/>
                <w:webHidden/>
              </w:rPr>
              <w:fldChar w:fldCharType="separate"/>
            </w:r>
            <w:r>
              <w:rPr>
                <w:noProof/>
                <w:webHidden/>
              </w:rPr>
              <w:t>39</w:t>
            </w:r>
            <w:r>
              <w:rPr>
                <w:noProof/>
                <w:webHidden/>
              </w:rPr>
              <w:fldChar w:fldCharType="end"/>
            </w:r>
          </w:hyperlink>
        </w:p>
        <w:p w14:paraId="31FF47CE" w14:textId="77777777" w:rsidR="0045783E" w:rsidRDefault="0045783E">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67925123" w:history="1">
            <w:r w:rsidRPr="006B6DA7">
              <w:rPr>
                <w:rStyle w:val="Hyperlink"/>
                <w:rFonts w:ascii="Times New Roman" w:hAnsi="Times New Roman"/>
                <w:noProof/>
              </w:rPr>
              <w:t>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rPr>
              <w:t>EKONOMIŠKAI EFEKTYVIAUSI RENOVACIJOS BŪDAI</w:t>
            </w:r>
            <w:r>
              <w:rPr>
                <w:noProof/>
                <w:webHidden/>
              </w:rPr>
              <w:tab/>
            </w:r>
            <w:r>
              <w:rPr>
                <w:noProof/>
                <w:webHidden/>
              </w:rPr>
              <w:fldChar w:fldCharType="begin"/>
            </w:r>
            <w:r>
              <w:rPr>
                <w:noProof/>
                <w:webHidden/>
              </w:rPr>
              <w:instrText xml:space="preserve"> PAGEREF _Toc67925123 \h </w:instrText>
            </w:r>
            <w:r>
              <w:rPr>
                <w:noProof/>
                <w:webHidden/>
              </w:rPr>
            </w:r>
            <w:r>
              <w:rPr>
                <w:noProof/>
                <w:webHidden/>
              </w:rPr>
              <w:fldChar w:fldCharType="separate"/>
            </w:r>
            <w:r>
              <w:rPr>
                <w:noProof/>
                <w:webHidden/>
              </w:rPr>
              <w:t>40</w:t>
            </w:r>
            <w:r>
              <w:rPr>
                <w:noProof/>
                <w:webHidden/>
              </w:rPr>
              <w:fldChar w:fldCharType="end"/>
            </w:r>
          </w:hyperlink>
        </w:p>
        <w:p w14:paraId="2972803B"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24" w:history="1">
            <w:r w:rsidRPr="006B6DA7">
              <w:rPr>
                <w:rStyle w:val="Hyperlink"/>
                <w:rFonts w:ascii="Times New Roman" w:hAnsi="Times New Roman"/>
                <w:noProof/>
                <w:lang w:val="lt-LT"/>
              </w:rPr>
              <w:t>2.1.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Renovacijos priemonių paketai</w:t>
            </w:r>
            <w:r>
              <w:rPr>
                <w:noProof/>
                <w:webHidden/>
              </w:rPr>
              <w:tab/>
            </w:r>
            <w:r>
              <w:rPr>
                <w:noProof/>
                <w:webHidden/>
              </w:rPr>
              <w:fldChar w:fldCharType="begin"/>
            </w:r>
            <w:r>
              <w:rPr>
                <w:noProof/>
                <w:webHidden/>
              </w:rPr>
              <w:instrText xml:space="preserve"> PAGEREF _Toc67925124 \h </w:instrText>
            </w:r>
            <w:r>
              <w:rPr>
                <w:noProof/>
                <w:webHidden/>
              </w:rPr>
            </w:r>
            <w:r>
              <w:rPr>
                <w:noProof/>
                <w:webHidden/>
              </w:rPr>
              <w:fldChar w:fldCharType="separate"/>
            </w:r>
            <w:r>
              <w:rPr>
                <w:noProof/>
                <w:webHidden/>
              </w:rPr>
              <w:t>40</w:t>
            </w:r>
            <w:r>
              <w:rPr>
                <w:noProof/>
                <w:webHidden/>
              </w:rPr>
              <w:fldChar w:fldCharType="end"/>
            </w:r>
          </w:hyperlink>
        </w:p>
        <w:p w14:paraId="28AE1B78"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25" w:history="1">
            <w:r w:rsidRPr="006B6DA7">
              <w:rPr>
                <w:rStyle w:val="Hyperlink"/>
                <w:rFonts w:ascii="Times New Roman" w:hAnsi="Times New Roman"/>
                <w:noProof/>
                <w:lang w:val="lt-LT"/>
              </w:rPr>
              <w:t>2.2.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Investicijų poreikio nustatymas</w:t>
            </w:r>
            <w:r>
              <w:rPr>
                <w:noProof/>
                <w:webHidden/>
              </w:rPr>
              <w:tab/>
            </w:r>
            <w:r>
              <w:rPr>
                <w:noProof/>
                <w:webHidden/>
              </w:rPr>
              <w:fldChar w:fldCharType="begin"/>
            </w:r>
            <w:r>
              <w:rPr>
                <w:noProof/>
                <w:webHidden/>
              </w:rPr>
              <w:instrText xml:space="preserve"> PAGEREF _Toc67925125 \h </w:instrText>
            </w:r>
            <w:r>
              <w:rPr>
                <w:noProof/>
                <w:webHidden/>
              </w:rPr>
            </w:r>
            <w:r>
              <w:rPr>
                <w:noProof/>
                <w:webHidden/>
              </w:rPr>
              <w:fldChar w:fldCharType="separate"/>
            </w:r>
            <w:r>
              <w:rPr>
                <w:noProof/>
                <w:webHidden/>
              </w:rPr>
              <w:t>43</w:t>
            </w:r>
            <w:r>
              <w:rPr>
                <w:noProof/>
                <w:webHidden/>
              </w:rPr>
              <w:fldChar w:fldCharType="end"/>
            </w:r>
          </w:hyperlink>
        </w:p>
        <w:p w14:paraId="3A60A1BC"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26" w:history="1">
            <w:r w:rsidRPr="006B6DA7">
              <w:rPr>
                <w:rStyle w:val="Hyperlink"/>
                <w:rFonts w:ascii="Times New Roman" w:hAnsi="Times New Roman"/>
                <w:noProof/>
                <w:lang w:val="lt-LT"/>
              </w:rPr>
              <w:t>2.3.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Energijos ir CO</w:t>
            </w:r>
            <w:r w:rsidRPr="006B6DA7">
              <w:rPr>
                <w:rStyle w:val="Hyperlink"/>
                <w:rFonts w:ascii="Times New Roman" w:hAnsi="Times New Roman"/>
                <w:noProof/>
                <w:vertAlign w:val="subscript"/>
                <w:lang w:val="lt-LT"/>
              </w:rPr>
              <w:t>2</w:t>
            </w:r>
            <w:r w:rsidRPr="006B6DA7">
              <w:rPr>
                <w:rStyle w:val="Hyperlink"/>
                <w:rFonts w:ascii="Times New Roman" w:hAnsi="Times New Roman"/>
                <w:noProof/>
                <w:lang w:val="lt-LT"/>
              </w:rPr>
              <w:t xml:space="preserve"> sutaupymų nustatymas</w:t>
            </w:r>
            <w:r>
              <w:rPr>
                <w:noProof/>
                <w:webHidden/>
              </w:rPr>
              <w:tab/>
            </w:r>
            <w:r>
              <w:rPr>
                <w:noProof/>
                <w:webHidden/>
              </w:rPr>
              <w:fldChar w:fldCharType="begin"/>
            </w:r>
            <w:r>
              <w:rPr>
                <w:noProof/>
                <w:webHidden/>
              </w:rPr>
              <w:instrText xml:space="preserve"> PAGEREF _Toc67925126 \h </w:instrText>
            </w:r>
            <w:r>
              <w:rPr>
                <w:noProof/>
                <w:webHidden/>
              </w:rPr>
            </w:r>
            <w:r>
              <w:rPr>
                <w:noProof/>
                <w:webHidden/>
              </w:rPr>
              <w:fldChar w:fldCharType="separate"/>
            </w:r>
            <w:r>
              <w:rPr>
                <w:noProof/>
                <w:webHidden/>
              </w:rPr>
              <w:t>44</w:t>
            </w:r>
            <w:r>
              <w:rPr>
                <w:noProof/>
                <w:webHidden/>
              </w:rPr>
              <w:fldChar w:fldCharType="end"/>
            </w:r>
          </w:hyperlink>
        </w:p>
        <w:p w14:paraId="28298CA7"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27" w:history="1">
            <w:r w:rsidRPr="006B6DA7">
              <w:rPr>
                <w:rStyle w:val="Hyperlink"/>
                <w:rFonts w:ascii="Times New Roman" w:hAnsi="Times New Roman"/>
                <w:noProof/>
                <w:lang w:val="lt-LT"/>
              </w:rPr>
              <w:t>2.3.1.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Pirminės energijos sutaupymai</w:t>
            </w:r>
            <w:r>
              <w:rPr>
                <w:noProof/>
                <w:webHidden/>
              </w:rPr>
              <w:tab/>
            </w:r>
            <w:r>
              <w:rPr>
                <w:noProof/>
                <w:webHidden/>
              </w:rPr>
              <w:fldChar w:fldCharType="begin"/>
            </w:r>
            <w:r>
              <w:rPr>
                <w:noProof/>
                <w:webHidden/>
              </w:rPr>
              <w:instrText xml:space="preserve"> PAGEREF _Toc67925127 \h </w:instrText>
            </w:r>
            <w:r>
              <w:rPr>
                <w:noProof/>
                <w:webHidden/>
              </w:rPr>
            </w:r>
            <w:r>
              <w:rPr>
                <w:noProof/>
                <w:webHidden/>
              </w:rPr>
              <w:fldChar w:fldCharType="separate"/>
            </w:r>
            <w:r>
              <w:rPr>
                <w:noProof/>
                <w:webHidden/>
              </w:rPr>
              <w:t>45</w:t>
            </w:r>
            <w:r>
              <w:rPr>
                <w:noProof/>
                <w:webHidden/>
              </w:rPr>
              <w:fldChar w:fldCharType="end"/>
            </w:r>
          </w:hyperlink>
        </w:p>
        <w:p w14:paraId="5D05B6F6"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28" w:history="1">
            <w:r w:rsidRPr="006B6DA7">
              <w:rPr>
                <w:rStyle w:val="Hyperlink"/>
                <w:rFonts w:ascii="Times New Roman" w:hAnsi="Times New Roman"/>
                <w:noProof/>
                <w:lang w:val="lt-LT"/>
              </w:rPr>
              <w:t>2.3.2.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CO</w:t>
            </w:r>
            <w:r w:rsidRPr="006B6DA7">
              <w:rPr>
                <w:rStyle w:val="Hyperlink"/>
                <w:rFonts w:ascii="Times New Roman" w:hAnsi="Times New Roman"/>
                <w:noProof/>
                <w:vertAlign w:val="subscript"/>
                <w:lang w:val="lt-LT"/>
              </w:rPr>
              <w:t>2</w:t>
            </w:r>
            <w:r w:rsidRPr="006B6DA7">
              <w:rPr>
                <w:rStyle w:val="Hyperlink"/>
                <w:rFonts w:ascii="Times New Roman" w:hAnsi="Times New Roman"/>
                <w:noProof/>
                <w:lang w:val="lt-LT"/>
              </w:rPr>
              <w:t xml:space="preserve"> emisijų sutaupymai</w:t>
            </w:r>
            <w:r>
              <w:rPr>
                <w:noProof/>
                <w:webHidden/>
              </w:rPr>
              <w:tab/>
            </w:r>
            <w:r>
              <w:rPr>
                <w:noProof/>
                <w:webHidden/>
              </w:rPr>
              <w:fldChar w:fldCharType="begin"/>
            </w:r>
            <w:r>
              <w:rPr>
                <w:noProof/>
                <w:webHidden/>
              </w:rPr>
              <w:instrText xml:space="preserve"> PAGEREF _Toc67925128 \h </w:instrText>
            </w:r>
            <w:r>
              <w:rPr>
                <w:noProof/>
                <w:webHidden/>
              </w:rPr>
            </w:r>
            <w:r>
              <w:rPr>
                <w:noProof/>
                <w:webHidden/>
              </w:rPr>
              <w:fldChar w:fldCharType="separate"/>
            </w:r>
            <w:r>
              <w:rPr>
                <w:noProof/>
                <w:webHidden/>
              </w:rPr>
              <w:t>46</w:t>
            </w:r>
            <w:r>
              <w:rPr>
                <w:noProof/>
                <w:webHidden/>
              </w:rPr>
              <w:fldChar w:fldCharType="end"/>
            </w:r>
          </w:hyperlink>
        </w:p>
        <w:p w14:paraId="3F48E278"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29" w:history="1">
            <w:r w:rsidRPr="006B6DA7">
              <w:rPr>
                <w:rStyle w:val="Hyperlink"/>
                <w:rFonts w:ascii="Times New Roman" w:hAnsi="Times New Roman"/>
                <w:noProof/>
                <w:lang w:val="lt-LT"/>
              </w:rPr>
              <w:t>2.3.3.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Pirminės energijos kaina (Eur/kWh)</w:t>
            </w:r>
            <w:r>
              <w:rPr>
                <w:noProof/>
                <w:webHidden/>
              </w:rPr>
              <w:tab/>
            </w:r>
            <w:r>
              <w:rPr>
                <w:noProof/>
                <w:webHidden/>
              </w:rPr>
              <w:fldChar w:fldCharType="begin"/>
            </w:r>
            <w:r>
              <w:rPr>
                <w:noProof/>
                <w:webHidden/>
              </w:rPr>
              <w:instrText xml:space="preserve"> PAGEREF _Toc67925129 \h </w:instrText>
            </w:r>
            <w:r>
              <w:rPr>
                <w:noProof/>
                <w:webHidden/>
              </w:rPr>
            </w:r>
            <w:r>
              <w:rPr>
                <w:noProof/>
                <w:webHidden/>
              </w:rPr>
              <w:fldChar w:fldCharType="separate"/>
            </w:r>
            <w:r>
              <w:rPr>
                <w:noProof/>
                <w:webHidden/>
              </w:rPr>
              <w:t>47</w:t>
            </w:r>
            <w:r>
              <w:rPr>
                <w:noProof/>
                <w:webHidden/>
              </w:rPr>
              <w:fldChar w:fldCharType="end"/>
            </w:r>
          </w:hyperlink>
        </w:p>
        <w:p w14:paraId="6A24ED08"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30" w:history="1">
            <w:r w:rsidRPr="006B6DA7">
              <w:rPr>
                <w:rStyle w:val="Hyperlink"/>
                <w:rFonts w:ascii="Times New Roman" w:hAnsi="Times New Roman"/>
                <w:noProof/>
                <w:lang w:val="lt-LT"/>
              </w:rPr>
              <w:t>2.3.4.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CO2 emisijų kaina</w:t>
            </w:r>
            <w:r>
              <w:rPr>
                <w:noProof/>
                <w:webHidden/>
              </w:rPr>
              <w:tab/>
            </w:r>
            <w:r>
              <w:rPr>
                <w:noProof/>
                <w:webHidden/>
              </w:rPr>
              <w:fldChar w:fldCharType="begin"/>
            </w:r>
            <w:r>
              <w:rPr>
                <w:noProof/>
                <w:webHidden/>
              </w:rPr>
              <w:instrText xml:space="preserve"> PAGEREF _Toc67925130 \h </w:instrText>
            </w:r>
            <w:r>
              <w:rPr>
                <w:noProof/>
                <w:webHidden/>
              </w:rPr>
            </w:r>
            <w:r>
              <w:rPr>
                <w:noProof/>
                <w:webHidden/>
              </w:rPr>
              <w:fldChar w:fldCharType="separate"/>
            </w:r>
            <w:r>
              <w:rPr>
                <w:noProof/>
                <w:webHidden/>
              </w:rPr>
              <w:t>47</w:t>
            </w:r>
            <w:r>
              <w:rPr>
                <w:noProof/>
                <w:webHidden/>
              </w:rPr>
              <w:fldChar w:fldCharType="end"/>
            </w:r>
          </w:hyperlink>
        </w:p>
        <w:p w14:paraId="25A64B23"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1" w:history="1">
            <w:r w:rsidRPr="006B6DA7">
              <w:rPr>
                <w:rStyle w:val="Hyperlink"/>
                <w:rFonts w:ascii="Times New Roman" w:hAnsi="Times New Roman"/>
                <w:noProof/>
                <w:lang w:val="lt-LT"/>
              </w:rPr>
              <w:t>2.4.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Kitų modeliavimo parametrų nustatymas</w:t>
            </w:r>
            <w:r>
              <w:rPr>
                <w:noProof/>
                <w:webHidden/>
              </w:rPr>
              <w:tab/>
            </w:r>
            <w:r>
              <w:rPr>
                <w:noProof/>
                <w:webHidden/>
              </w:rPr>
              <w:fldChar w:fldCharType="begin"/>
            </w:r>
            <w:r>
              <w:rPr>
                <w:noProof/>
                <w:webHidden/>
              </w:rPr>
              <w:instrText xml:space="preserve"> PAGEREF _Toc67925131 \h </w:instrText>
            </w:r>
            <w:r>
              <w:rPr>
                <w:noProof/>
                <w:webHidden/>
              </w:rPr>
            </w:r>
            <w:r>
              <w:rPr>
                <w:noProof/>
                <w:webHidden/>
              </w:rPr>
              <w:fldChar w:fldCharType="separate"/>
            </w:r>
            <w:r>
              <w:rPr>
                <w:noProof/>
                <w:webHidden/>
              </w:rPr>
              <w:t>47</w:t>
            </w:r>
            <w:r>
              <w:rPr>
                <w:noProof/>
                <w:webHidden/>
              </w:rPr>
              <w:fldChar w:fldCharType="end"/>
            </w:r>
          </w:hyperlink>
        </w:p>
        <w:p w14:paraId="779D4186"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2" w:history="1">
            <w:r w:rsidRPr="006B6DA7">
              <w:rPr>
                <w:rStyle w:val="Hyperlink"/>
                <w:rFonts w:ascii="Times New Roman" w:hAnsi="Times New Roman"/>
                <w:noProof/>
                <w:lang w:val="lt-LT"/>
              </w:rPr>
              <w:t>2.5.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Modeliavimo algoritmas</w:t>
            </w:r>
            <w:r>
              <w:rPr>
                <w:noProof/>
                <w:webHidden/>
              </w:rPr>
              <w:tab/>
            </w:r>
            <w:r>
              <w:rPr>
                <w:noProof/>
                <w:webHidden/>
              </w:rPr>
              <w:fldChar w:fldCharType="begin"/>
            </w:r>
            <w:r>
              <w:rPr>
                <w:noProof/>
                <w:webHidden/>
              </w:rPr>
              <w:instrText xml:space="preserve"> PAGEREF _Toc67925132 \h </w:instrText>
            </w:r>
            <w:r>
              <w:rPr>
                <w:noProof/>
                <w:webHidden/>
              </w:rPr>
            </w:r>
            <w:r>
              <w:rPr>
                <w:noProof/>
                <w:webHidden/>
              </w:rPr>
              <w:fldChar w:fldCharType="separate"/>
            </w:r>
            <w:r>
              <w:rPr>
                <w:noProof/>
                <w:webHidden/>
              </w:rPr>
              <w:t>48</w:t>
            </w:r>
            <w:r>
              <w:rPr>
                <w:noProof/>
                <w:webHidden/>
              </w:rPr>
              <w:fldChar w:fldCharType="end"/>
            </w:r>
          </w:hyperlink>
        </w:p>
        <w:p w14:paraId="66E79A47"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3" w:history="1">
            <w:r w:rsidRPr="006B6DA7">
              <w:rPr>
                <w:rStyle w:val="Hyperlink"/>
                <w:rFonts w:ascii="Times New Roman" w:hAnsi="Times New Roman"/>
                <w:noProof/>
                <w:lang w:val="lt-LT"/>
              </w:rPr>
              <w:t>2.6.</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Finansinio efektyvumo vertinimas</w:t>
            </w:r>
            <w:r>
              <w:rPr>
                <w:noProof/>
                <w:webHidden/>
              </w:rPr>
              <w:tab/>
            </w:r>
            <w:r>
              <w:rPr>
                <w:noProof/>
                <w:webHidden/>
              </w:rPr>
              <w:fldChar w:fldCharType="begin"/>
            </w:r>
            <w:r>
              <w:rPr>
                <w:noProof/>
                <w:webHidden/>
              </w:rPr>
              <w:instrText xml:space="preserve"> PAGEREF _Toc67925133 \h </w:instrText>
            </w:r>
            <w:r>
              <w:rPr>
                <w:noProof/>
                <w:webHidden/>
              </w:rPr>
            </w:r>
            <w:r>
              <w:rPr>
                <w:noProof/>
                <w:webHidden/>
              </w:rPr>
              <w:fldChar w:fldCharType="separate"/>
            </w:r>
            <w:r>
              <w:rPr>
                <w:noProof/>
                <w:webHidden/>
              </w:rPr>
              <w:t>49</w:t>
            </w:r>
            <w:r>
              <w:rPr>
                <w:noProof/>
                <w:webHidden/>
              </w:rPr>
              <w:fldChar w:fldCharType="end"/>
            </w:r>
          </w:hyperlink>
        </w:p>
        <w:p w14:paraId="5E168582"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4" w:history="1">
            <w:r w:rsidRPr="006B6DA7">
              <w:rPr>
                <w:rStyle w:val="Hyperlink"/>
                <w:rFonts w:ascii="Times New Roman" w:hAnsi="Times New Roman"/>
                <w:noProof/>
                <w:lang w:val="lt-LT"/>
              </w:rPr>
              <w:t>2.7.</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Ekonominio efektyvumo vertinimas</w:t>
            </w:r>
            <w:r>
              <w:rPr>
                <w:noProof/>
                <w:webHidden/>
              </w:rPr>
              <w:tab/>
            </w:r>
            <w:r>
              <w:rPr>
                <w:noProof/>
                <w:webHidden/>
              </w:rPr>
              <w:fldChar w:fldCharType="begin"/>
            </w:r>
            <w:r>
              <w:rPr>
                <w:noProof/>
                <w:webHidden/>
              </w:rPr>
              <w:instrText xml:space="preserve"> PAGEREF _Toc67925134 \h </w:instrText>
            </w:r>
            <w:r>
              <w:rPr>
                <w:noProof/>
                <w:webHidden/>
              </w:rPr>
            </w:r>
            <w:r>
              <w:rPr>
                <w:noProof/>
                <w:webHidden/>
              </w:rPr>
              <w:fldChar w:fldCharType="separate"/>
            </w:r>
            <w:r>
              <w:rPr>
                <w:noProof/>
                <w:webHidden/>
              </w:rPr>
              <w:t>50</w:t>
            </w:r>
            <w:r>
              <w:rPr>
                <w:noProof/>
                <w:webHidden/>
              </w:rPr>
              <w:fldChar w:fldCharType="end"/>
            </w:r>
          </w:hyperlink>
        </w:p>
        <w:p w14:paraId="210CC5C3"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5" w:history="1">
            <w:r w:rsidRPr="006B6DA7">
              <w:rPr>
                <w:rStyle w:val="Hyperlink"/>
                <w:rFonts w:ascii="Times New Roman" w:hAnsi="Times New Roman"/>
                <w:noProof/>
                <w:lang w:val="lt-LT"/>
              </w:rPr>
              <w:t>2.8.</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Techniniai apribojimai</w:t>
            </w:r>
            <w:r>
              <w:rPr>
                <w:noProof/>
                <w:webHidden/>
              </w:rPr>
              <w:tab/>
            </w:r>
            <w:r>
              <w:rPr>
                <w:noProof/>
                <w:webHidden/>
              </w:rPr>
              <w:fldChar w:fldCharType="begin"/>
            </w:r>
            <w:r>
              <w:rPr>
                <w:noProof/>
                <w:webHidden/>
              </w:rPr>
              <w:instrText xml:space="preserve"> PAGEREF _Toc67925135 \h </w:instrText>
            </w:r>
            <w:r>
              <w:rPr>
                <w:noProof/>
                <w:webHidden/>
              </w:rPr>
            </w:r>
            <w:r>
              <w:rPr>
                <w:noProof/>
                <w:webHidden/>
              </w:rPr>
              <w:fldChar w:fldCharType="separate"/>
            </w:r>
            <w:r>
              <w:rPr>
                <w:noProof/>
                <w:webHidden/>
              </w:rPr>
              <w:t>51</w:t>
            </w:r>
            <w:r>
              <w:rPr>
                <w:noProof/>
                <w:webHidden/>
              </w:rPr>
              <w:fldChar w:fldCharType="end"/>
            </w:r>
          </w:hyperlink>
        </w:p>
        <w:p w14:paraId="020B9526"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6" w:history="1">
            <w:r w:rsidRPr="006B6DA7">
              <w:rPr>
                <w:rStyle w:val="Hyperlink"/>
                <w:rFonts w:ascii="Times New Roman" w:hAnsi="Times New Roman"/>
                <w:noProof/>
                <w:lang w:val="lt-LT"/>
              </w:rPr>
              <w:t>2.9.</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Inicijavimo momentas</w:t>
            </w:r>
            <w:r>
              <w:rPr>
                <w:noProof/>
                <w:webHidden/>
              </w:rPr>
              <w:tab/>
            </w:r>
            <w:r>
              <w:rPr>
                <w:noProof/>
                <w:webHidden/>
              </w:rPr>
              <w:fldChar w:fldCharType="begin"/>
            </w:r>
            <w:r>
              <w:rPr>
                <w:noProof/>
                <w:webHidden/>
              </w:rPr>
              <w:instrText xml:space="preserve"> PAGEREF _Toc67925136 \h </w:instrText>
            </w:r>
            <w:r>
              <w:rPr>
                <w:noProof/>
                <w:webHidden/>
              </w:rPr>
            </w:r>
            <w:r>
              <w:rPr>
                <w:noProof/>
                <w:webHidden/>
              </w:rPr>
              <w:fldChar w:fldCharType="separate"/>
            </w:r>
            <w:r>
              <w:rPr>
                <w:noProof/>
                <w:webHidden/>
              </w:rPr>
              <w:t>52</w:t>
            </w:r>
            <w:r>
              <w:rPr>
                <w:noProof/>
                <w:webHidden/>
              </w:rPr>
              <w:fldChar w:fldCharType="end"/>
            </w:r>
          </w:hyperlink>
        </w:p>
        <w:p w14:paraId="116574FA"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7" w:history="1">
            <w:r w:rsidRPr="006B6DA7">
              <w:rPr>
                <w:rStyle w:val="Hyperlink"/>
                <w:rFonts w:ascii="Times New Roman" w:hAnsi="Times New Roman"/>
                <w:noProof/>
                <w:lang w:val="lt-LT"/>
              </w:rPr>
              <w:t>2.10.</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Esminiai skyriaus pastebėjimai</w:t>
            </w:r>
            <w:r>
              <w:rPr>
                <w:noProof/>
                <w:webHidden/>
              </w:rPr>
              <w:tab/>
            </w:r>
            <w:r>
              <w:rPr>
                <w:noProof/>
                <w:webHidden/>
              </w:rPr>
              <w:fldChar w:fldCharType="begin"/>
            </w:r>
            <w:r>
              <w:rPr>
                <w:noProof/>
                <w:webHidden/>
              </w:rPr>
              <w:instrText xml:space="preserve"> PAGEREF _Toc67925137 \h </w:instrText>
            </w:r>
            <w:r>
              <w:rPr>
                <w:noProof/>
                <w:webHidden/>
              </w:rPr>
            </w:r>
            <w:r>
              <w:rPr>
                <w:noProof/>
                <w:webHidden/>
              </w:rPr>
              <w:fldChar w:fldCharType="separate"/>
            </w:r>
            <w:r>
              <w:rPr>
                <w:noProof/>
                <w:webHidden/>
              </w:rPr>
              <w:t>54</w:t>
            </w:r>
            <w:r>
              <w:rPr>
                <w:noProof/>
                <w:webHidden/>
              </w:rPr>
              <w:fldChar w:fldCharType="end"/>
            </w:r>
          </w:hyperlink>
        </w:p>
        <w:p w14:paraId="7C4547B4" w14:textId="77777777" w:rsidR="0045783E" w:rsidRDefault="0045783E">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67925138" w:history="1">
            <w:r w:rsidRPr="006B6DA7">
              <w:rPr>
                <w:rStyle w:val="Hyperlink"/>
                <w:rFonts w:ascii="Times New Roman" w:hAnsi="Times New Roman"/>
                <w:noProof/>
              </w:rPr>
              <w:t>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rPr>
              <w:t>TAIKOMOS PASTATŲ RENOVACIJOS POLITIKOS IR PRIEMONIŲ APŽVALGA</w:t>
            </w:r>
            <w:r>
              <w:rPr>
                <w:noProof/>
                <w:webHidden/>
              </w:rPr>
              <w:tab/>
            </w:r>
            <w:r>
              <w:rPr>
                <w:noProof/>
                <w:webHidden/>
              </w:rPr>
              <w:fldChar w:fldCharType="begin"/>
            </w:r>
            <w:r>
              <w:rPr>
                <w:noProof/>
                <w:webHidden/>
              </w:rPr>
              <w:instrText xml:space="preserve"> PAGEREF _Toc67925138 \h </w:instrText>
            </w:r>
            <w:r>
              <w:rPr>
                <w:noProof/>
                <w:webHidden/>
              </w:rPr>
            </w:r>
            <w:r>
              <w:rPr>
                <w:noProof/>
                <w:webHidden/>
              </w:rPr>
              <w:fldChar w:fldCharType="separate"/>
            </w:r>
            <w:r>
              <w:rPr>
                <w:noProof/>
                <w:webHidden/>
              </w:rPr>
              <w:t>54</w:t>
            </w:r>
            <w:r>
              <w:rPr>
                <w:noProof/>
                <w:webHidden/>
              </w:rPr>
              <w:fldChar w:fldCharType="end"/>
            </w:r>
          </w:hyperlink>
        </w:p>
        <w:p w14:paraId="08DCADAB"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39" w:history="1">
            <w:r w:rsidRPr="006B6DA7">
              <w:rPr>
                <w:rStyle w:val="Hyperlink"/>
                <w:rFonts w:ascii="Times New Roman" w:hAnsi="Times New Roman"/>
                <w:noProof/>
                <w:lang w:val="lt-LT"/>
              </w:rPr>
              <w:t>3.1.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Taikoma politika ir veiksmai, kuriais skatinama ekonomiškai efektyvi esminė pastatų renovacija</w:t>
            </w:r>
            <w:r>
              <w:rPr>
                <w:noProof/>
                <w:webHidden/>
              </w:rPr>
              <w:tab/>
            </w:r>
            <w:r>
              <w:rPr>
                <w:noProof/>
                <w:webHidden/>
              </w:rPr>
              <w:fldChar w:fldCharType="begin"/>
            </w:r>
            <w:r>
              <w:rPr>
                <w:noProof/>
                <w:webHidden/>
              </w:rPr>
              <w:instrText xml:space="preserve"> PAGEREF _Toc67925139 \h </w:instrText>
            </w:r>
            <w:r>
              <w:rPr>
                <w:noProof/>
                <w:webHidden/>
              </w:rPr>
            </w:r>
            <w:r>
              <w:rPr>
                <w:noProof/>
                <w:webHidden/>
              </w:rPr>
              <w:fldChar w:fldCharType="separate"/>
            </w:r>
            <w:r>
              <w:rPr>
                <w:noProof/>
                <w:webHidden/>
              </w:rPr>
              <w:t>54</w:t>
            </w:r>
            <w:r>
              <w:rPr>
                <w:noProof/>
                <w:webHidden/>
              </w:rPr>
              <w:fldChar w:fldCharType="end"/>
            </w:r>
          </w:hyperlink>
        </w:p>
        <w:p w14:paraId="14FF348B"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40" w:history="1">
            <w:r w:rsidRPr="006B6DA7">
              <w:rPr>
                <w:rStyle w:val="Hyperlink"/>
                <w:rFonts w:ascii="Times New Roman" w:hAnsi="Times New Roman"/>
                <w:noProof/>
                <w:lang w:val="lt-LT"/>
              </w:rPr>
              <w:t>3.2.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Taikoma politika ir veiksmai orientuoti į tikslinius renovacijos segmentus</w:t>
            </w:r>
            <w:r>
              <w:rPr>
                <w:noProof/>
                <w:webHidden/>
              </w:rPr>
              <w:tab/>
            </w:r>
            <w:r>
              <w:rPr>
                <w:noProof/>
                <w:webHidden/>
              </w:rPr>
              <w:fldChar w:fldCharType="begin"/>
            </w:r>
            <w:r>
              <w:rPr>
                <w:noProof/>
                <w:webHidden/>
              </w:rPr>
              <w:instrText xml:space="preserve"> PAGEREF _Toc67925140 \h </w:instrText>
            </w:r>
            <w:r>
              <w:rPr>
                <w:noProof/>
                <w:webHidden/>
              </w:rPr>
            </w:r>
            <w:r>
              <w:rPr>
                <w:noProof/>
                <w:webHidden/>
              </w:rPr>
              <w:fldChar w:fldCharType="separate"/>
            </w:r>
            <w:r>
              <w:rPr>
                <w:noProof/>
                <w:webHidden/>
              </w:rPr>
              <w:t>56</w:t>
            </w:r>
            <w:r>
              <w:rPr>
                <w:noProof/>
                <w:webHidden/>
              </w:rPr>
              <w:fldChar w:fldCharType="end"/>
            </w:r>
          </w:hyperlink>
        </w:p>
        <w:p w14:paraId="1D8F6D8C"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1" w:history="1">
            <w:r w:rsidRPr="006B6DA7">
              <w:rPr>
                <w:rStyle w:val="Hyperlink"/>
                <w:rFonts w:ascii="Times New Roman" w:hAnsi="Times New Roman"/>
                <w:noProof/>
                <w:lang w:val="lt-LT"/>
              </w:rPr>
              <w:t>3.2.1.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Prasčiausiai veikiantys pastatų fondo segmentai</w:t>
            </w:r>
            <w:r>
              <w:rPr>
                <w:noProof/>
                <w:webHidden/>
              </w:rPr>
              <w:tab/>
            </w:r>
            <w:r>
              <w:rPr>
                <w:noProof/>
                <w:webHidden/>
              </w:rPr>
              <w:fldChar w:fldCharType="begin"/>
            </w:r>
            <w:r>
              <w:rPr>
                <w:noProof/>
                <w:webHidden/>
              </w:rPr>
              <w:instrText xml:space="preserve"> PAGEREF _Toc67925141 \h </w:instrText>
            </w:r>
            <w:r>
              <w:rPr>
                <w:noProof/>
                <w:webHidden/>
              </w:rPr>
            </w:r>
            <w:r>
              <w:rPr>
                <w:noProof/>
                <w:webHidden/>
              </w:rPr>
              <w:fldChar w:fldCharType="separate"/>
            </w:r>
            <w:r>
              <w:rPr>
                <w:noProof/>
                <w:webHidden/>
              </w:rPr>
              <w:t>56</w:t>
            </w:r>
            <w:r>
              <w:rPr>
                <w:noProof/>
                <w:webHidden/>
              </w:rPr>
              <w:fldChar w:fldCharType="end"/>
            </w:r>
          </w:hyperlink>
        </w:p>
        <w:p w14:paraId="226A5E6A"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2" w:history="1">
            <w:r w:rsidRPr="006B6DA7">
              <w:rPr>
                <w:rStyle w:val="Hyperlink"/>
                <w:rFonts w:ascii="Times New Roman" w:hAnsi="Times New Roman"/>
                <w:noProof/>
                <w:lang w:val="lt-LT"/>
              </w:rPr>
              <w:t>3.2.2.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Skirtingų paskatų dilemos ir kiti rinkos nepakankamumo atvejai</w:t>
            </w:r>
            <w:r>
              <w:rPr>
                <w:noProof/>
                <w:webHidden/>
              </w:rPr>
              <w:tab/>
            </w:r>
            <w:r>
              <w:rPr>
                <w:noProof/>
                <w:webHidden/>
              </w:rPr>
              <w:fldChar w:fldCharType="begin"/>
            </w:r>
            <w:r>
              <w:rPr>
                <w:noProof/>
                <w:webHidden/>
              </w:rPr>
              <w:instrText xml:space="preserve"> PAGEREF _Toc67925142 \h </w:instrText>
            </w:r>
            <w:r>
              <w:rPr>
                <w:noProof/>
                <w:webHidden/>
              </w:rPr>
            </w:r>
            <w:r>
              <w:rPr>
                <w:noProof/>
                <w:webHidden/>
              </w:rPr>
              <w:fldChar w:fldCharType="separate"/>
            </w:r>
            <w:r>
              <w:rPr>
                <w:noProof/>
                <w:webHidden/>
              </w:rPr>
              <w:t>57</w:t>
            </w:r>
            <w:r>
              <w:rPr>
                <w:noProof/>
                <w:webHidden/>
              </w:rPr>
              <w:fldChar w:fldCharType="end"/>
            </w:r>
          </w:hyperlink>
        </w:p>
        <w:p w14:paraId="65B4D814"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3" w:history="1">
            <w:r w:rsidRPr="006B6DA7">
              <w:rPr>
                <w:rStyle w:val="Hyperlink"/>
                <w:rFonts w:ascii="Times New Roman" w:hAnsi="Times New Roman"/>
                <w:noProof/>
                <w:lang w:val="lt-LT"/>
              </w:rPr>
              <w:t>3.2.3.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Taikoma politika ir veiksmai susiję su energijos nepritekliaus mažinimu</w:t>
            </w:r>
            <w:r>
              <w:rPr>
                <w:noProof/>
                <w:webHidden/>
              </w:rPr>
              <w:tab/>
            </w:r>
            <w:r>
              <w:rPr>
                <w:noProof/>
                <w:webHidden/>
              </w:rPr>
              <w:fldChar w:fldCharType="begin"/>
            </w:r>
            <w:r>
              <w:rPr>
                <w:noProof/>
                <w:webHidden/>
              </w:rPr>
              <w:instrText xml:space="preserve"> PAGEREF _Toc67925143 \h </w:instrText>
            </w:r>
            <w:r>
              <w:rPr>
                <w:noProof/>
                <w:webHidden/>
              </w:rPr>
            </w:r>
            <w:r>
              <w:rPr>
                <w:noProof/>
                <w:webHidden/>
              </w:rPr>
              <w:fldChar w:fldCharType="separate"/>
            </w:r>
            <w:r>
              <w:rPr>
                <w:noProof/>
                <w:webHidden/>
              </w:rPr>
              <w:t>60</w:t>
            </w:r>
            <w:r>
              <w:rPr>
                <w:noProof/>
                <w:webHidden/>
              </w:rPr>
              <w:fldChar w:fldCharType="end"/>
            </w:r>
          </w:hyperlink>
        </w:p>
        <w:p w14:paraId="65D273B8"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44" w:history="1">
            <w:r w:rsidRPr="006B6DA7">
              <w:rPr>
                <w:rStyle w:val="Hyperlink"/>
                <w:rFonts w:ascii="Times New Roman" w:hAnsi="Times New Roman"/>
                <w:noProof/>
                <w:lang w:val="lt-LT"/>
              </w:rPr>
              <w:t>3.3.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Taikoma politika ir veiksmai orientuoti į viešuosius pastatus</w:t>
            </w:r>
            <w:r>
              <w:rPr>
                <w:noProof/>
                <w:webHidden/>
              </w:rPr>
              <w:tab/>
            </w:r>
            <w:r>
              <w:rPr>
                <w:noProof/>
                <w:webHidden/>
              </w:rPr>
              <w:fldChar w:fldCharType="begin"/>
            </w:r>
            <w:r>
              <w:rPr>
                <w:noProof/>
                <w:webHidden/>
              </w:rPr>
              <w:instrText xml:space="preserve"> PAGEREF _Toc67925144 \h </w:instrText>
            </w:r>
            <w:r>
              <w:rPr>
                <w:noProof/>
                <w:webHidden/>
              </w:rPr>
            </w:r>
            <w:r>
              <w:rPr>
                <w:noProof/>
                <w:webHidden/>
              </w:rPr>
              <w:fldChar w:fldCharType="separate"/>
            </w:r>
            <w:r>
              <w:rPr>
                <w:noProof/>
                <w:webHidden/>
              </w:rPr>
              <w:t>64</w:t>
            </w:r>
            <w:r>
              <w:rPr>
                <w:noProof/>
                <w:webHidden/>
              </w:rPr>
              <w:fldChar w:fldCharType="end"/>
            </w:r>
          </w:hyperlink>
        </w:p>
        <w:p w14:paraId="55AE4EBB"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45" w:history="1">
            <w:r w:rsidRPr="006B6DA7">
              <w:rPr>
                <w:rStyle w:val="Hyperlink"/>
                <w:rFonts w:ascii="Times New Roman" w:hAnsi="Times New Roman"/>
                <w:noProof/>
                <w:lang w:val="lt-LT"/>
              </w:rPr>
              <w:t>3.4.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Nacionalinės iniciatyvos, kuriomis skatinamos išmaniosios technologijos ir pažangus pastatų valdymas</w:t>
            </w:r>
            <w:r>
              <w:rPr>
                <w:noProof/>
                <w:webHidden/>
              </w:rPr>
              <w:tab/>
            </w:r>
            <w:r>
              <w:rPr>
                <w:noProof/>
                <w:webHidden/>
              </w:rPr>
              <w:fldChar w:fldCharType="begin"/>
            </w:r>
            <w:r>
              <w:rPr>
                <w:noProof/>
                <w:webHidden/>
              </w:rPr>
              <w:instrText xml:space="preserve"> PAGEREF _Toc67925145 \h </w:instrText>
            </w:r>
            <w:r>
              <w:rPr>
                <w:noProof/>
                <w:webHidden/>
              </w:rPr>
            </w:r>
            <w:r>
              <w:rPr>
                <w:noProof/>
                <w:webHidden/>
              </w:rPr>
              <w:fldChar w:fldCharType="separate"/>
            </w:r>
            <w:r>
              <w:rPr>
                <w:noProof/>
                <w:webHidden/>
              </w:rPr>
              <w:t>64</w:t>
            </w:r>
            <w:r>
              <w:rPr>
                <w:noProof/>
                <w:webHidden/>
              </w:rPr>
              <w:fldChar w:fldCharType="end"/>
            </w:r>
          </w:hyperlink>
        </w:p>
        <w:p w14:paraId="1B0F4390"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6" w:history="1">
            <w:r w:rsidRPr="006B6DA7">
              <w:rPr>
                <w:rStyle w:val="Hyperlink"/>
                <w:rFonts w:ascii="Times New Roman" w:hAnsi="Times New Roman"/>
                <w:noProof/>
                <w:lang w:val="lt-LT"/>
              </w:rPr>
              <w:t>3.4.1.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Iniciatyvos numatytos Nacionalinėje energetikos nepriklausomybės strategijoje</w:t>
            </w:r>
            <w:r>
              <w:rPr>
                <w:noProof/>
                <w:webHidden/>
              </w:rPr>
              <w:tab/>
            </w:r>
            <w:r>
              <w:rPr>
                <w:noProof/>
                <w:webHidden/>
              </w:rPr>
              <w:fldChar w:fldCharType="begin"/>
            </w:r>
            <w:r>
              <w:rPr>
                <w:noProof/>
                <w:webHidden/>
              </w:rPr>
              <w:instrText xml:space="preserve"> PAGEREF _Toc67925146 \h </w:instrText>
            </w:r>
            <w:r>
              <w:rPr>
                <w:noProof/>
                <w:webHidden/>
              </w:rPr>
            </w:r>
            <w:r>
              <w:rPr>
                <w:noProof/>
                <w:webHidden/>
              </w:rPr>
              <w:fldChar w:fldCharType="separate"/>
            </w:r>
            <w:r>
              <w:rPr>
                <w:noProof/>
                <w:webHidden/>
              </w:rPr>
              <w:t>65</w:t>
            </w:r>
            <w:r>
              <w:rPr>
                <w:noProof/>
                <w:webHidden/>
              </w:rPr>
              <w:fldChar w:fldCharType="end"/>
            </w:r>
          </w:hyperlink>
        </w:p>
        <w:p w14:paraId="339FA6CF"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7" w:history="1">
            <w:r w:rsidRPr="006B6DA7">
              <w:rPr>
                <w:rStyle w:val="Hyperlink"/>
                <w:rFonts w:ascii="Times New Roman" w:hAnsi="Times New Roman"/>
                <w:noProof/>
                <w:lang w:val="lt-LT"/>
              </w:rPr>
              <w:t>3.4.2.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Iniciatyvos numatytos Sumanios specializacijos strategijoje</w:t>
            </w:r>
            <w:r>
              <w:rPr>
                <w:noProof/>
                <w:webHidden/>
              </w:rPr>
              <w:tab/>
            </w:r>
            <w:r>
              <w:rPr>
                <w:noProof/>
                <w:webHidden/>
              </w:rPr>
              <w:fldChar w:fldCharType="begin"/>
            </w:r>
            <w:r>
              <w:rPr>
                <w:noProof/>
                <w:webHidden/>
              </w:rPr>
              <w:instrText xml:space="preserve"> PAGEREF _Toc67925147 \h </w:instrText>
            </w:r>
            <w:r>
              <w:rPr>
                <w:noProof/>
                <w:webHidden/>
              </w:rPr>
            </w:r>
            <w:r>
              <w:rPr>
                <w:noProof/>
                <w:webHidden/>
              </w:rPr>
              <w:fldChar w:fldCharType="separate"/>
            </w:r>
            <w:r>
              <w:rPr>
                <w:noProof/>
                <w:webHidden/>
              </w:rPr>
              <w:t>65</w:t>
            </w:r>
            <w:r>
              <w:rPr>
                <w:noProof/>
                <w:webHidden/>
              </w:rPr>
              <w:fldChar w:fldCharType="end"/>
            </w:r>
          </w:hyperlink>
        </w:p>
        <w:p w14:paraId="0ECF0F38"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8" w:history="1">
            <w:r w:rsidRPr="006B6DA7">
              <w:rPr>
                <w:rStyle w:val="Hyperlink"/>
                <w:rFonts w:ascii="Times New Roman" w:hAnsi="Times New Roman"/>
                <w:noProof/>
                <w:lang w:val="lt-LT"/>
              </w:rPr>
              <w:t>3.4.3.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 xml:space="preserve">Iniciatyvos numatytos </w:t>
            </w:r>
            <w:r w:rsidRPr="006B6DA7">
              <w:rPr>
                <w:rStyle w:val="Hyperlink"/>
                <w:rFonts w:ascii="Times New Roman" w:hAnsi="Times New Roman"/>
                <w:noProof/>
              </w:rPr>
              <w:t>2021-2030 m.</w:t>
            </w:r>
            <w:r w:rsidRPr="006B6DA7">
              <w:rPr>
                <w:rStyle w:val="Hyperlink"/>
                <w:rFonts w:ascii="Times New Roman" w:hAnsi="Times New Roman"/>
                <w:noProof/>
                <w:lang w:val="lt-LT"/>
              </w:rPr>
              <w:t xml:space="preserve"> nacionaliniame pažangos plane</w:t>
            </w:r>
            <w:r>
              <w:rPr>
                <w:noProof/>
                <w:webHidden/>
              </w:rPr>
              <w:tab/>
            </w:r>
            <w:r>
              <w:rPr>
                <w:noProof/>
                <w:webHidden/>
              </w:rPr>
              <w:fldChar w:fldCharType="begin"/>
            </w:r>
            <w:r>
              <w:rPr>
                <w:noProof/>
                <w:webHidden/>
              </w:rPr>
              <w:instrText xml:space="preserve"> PAGEREF _Toc67925148 \h </w:instrText>
            </w:r>
            <w:r>
              <w:rPr>
                <w:noProof/>
                <w:webHidden/>
              </w:rPr>
            </w:r>
            <w:r>
              <w:rPr>
                <w:noProof/>
                <w:webHidden/>
              </w:rPr>
              <w:fldChar w:fldCharType="separate"/>
            </w:r>
            <w:r>
              <w:rPr>
                <w:noProof/>
                <w:webHidden/>
              </w:rPr>
              <w:t>66</w:t>
            </w:r>
            <w:r>
              <w:rPr>
                <w:noProof/>
                <w:webHidden/>
              </w:rPr>
              <w:fldChar w:fldCharType="end"/>
            </w:r>
          </w:hyperlink>
        </w:p>
        <w:p w14:paraId="38879DC7"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49" w:history="1">
            <w:r w:rsidRPr="006B6DA7">
              <w:rPr>
                <w:rStyle w:val="Hyperlink"/>
                <w:rFonts w:ascii="Times New Roman" w:hAnsi="Times New Roman"/>
                <w:noProof/>
                <w:lang w:val="lt-LT"/>
              </w:rPr>
              <w:t>3.4.4.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Kitos nacionalinės iniciatyvos</w:t>
            </w:r>
            <w:r>
              <w:rPr>
                <w:noProof/>
                <w:webHidden/>
              </w:rPr>
              <w:tab/>
            </w:r>
            <w:r>
              <w:rPr>
                <w:noProof/>
                <w:webHidden/>
              </w:rPr>
              <w:fldChar w:fldCharType="begin"/>
            </w:r>
            <w:r>
              <w:rPr>
                <w:noProof/>
                <w:webHidden/>
              </w:rPr>
              <w:instrText xml:space="preserve"> PAGEREF _Toc67925149 \h </w:instrText>
            </w:r>
            <w:r>
              <w:rPr>
                <w:noProof/>
                <w:webHidden/>
              </w:rPr>
            </w:r>
            <w:r>
              <w:rPr>
                <w:noProof/>
                <w:webHidden/>
              </w:rPr>
              <w:fldChar w:fldCharType="separate"/>
            </w:r>
            <w:r>
              <w:rPr>
                <w:noProof/>
                <w:webHidden/>
              </w:rPr>
              <w:t>66</w:t>
            </w:r>
            <w:r>
              <w:rPr>
                <w:noProof/>
                <w:webHidden/>
              </w:rPr>
              <w:fldChar w:fldCharType="end"/>
            </w:r>
          </w:hyperlink>
        </w:p>
        <w:p w14:paraId="45BCAB3E"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50" w:history="1">
            <w:r w:rsidRPr="006B6DA7">
              <w:rPr>
                <w:rStyle w:val="Hyperlink"/>
                <w:rFonts w:ascii="Times New Roman" w:hAnsi="Times New Roman"/>
                <w:noProof/>
                <w:lang w:val="lt-LT"/>
              </w:rPr>
              <w:t>3.4.5.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Mokslo, technologijų ir inovacijų politika</w:t>
            </w:r>
            <w:r>
              <w:rPr>
                <w:noProof/>
                <w:webHidden/>
              </w:rPr>
              <w:tab/>
            </w:r>
            <w:r>
              <w:rPr>
                <w:noProof/>
                <w:webHidden/>
              </w:rPr>
              <w:fldChar w:fldCharType="begin"/>
            </w:r>
            <w:r>
              <w:rPr>
                <w:noProof/>
                <w:webHidden/>
              </w:rPr>
              <w:instrText xml:space="preserve"> PAGEREF _Toc67925150 \h </w:instrText>
            </w:r>
            <w:r>
              <w:rPr>
                <w:noProof/>
                <w:webHidden/>
              </w:rPr>
            </w:r>
            <w:r>
              <w:rPr>
                <w:noProof/>
                <w:webHidden/>
              </w:rPr>
              <w:fldChar w:fldCharType="separate"/>
            </w:r>
            <w:r>
              <w:rPr>
                <w:noProof/>
                <w:webHidden/>
              </w:rPr>
              <w:t>67</w:t>
            </w:r>
            <w:r>
              <w:rPr>
                <w:noProof/>
                <w:webHidden/>
              </w:rPr>
              <w:fldChar w:fldCharType="end"/>
            </w:r>
          </w:hyperlink>
        </w:p>
        <w:p w14:paraId="72023C17"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51" w:history="1">
            <w:r w:rsidRPr="006B6DA7">
              <w:rPr>
                <w:rStyle w:val="Hyperlink"/>
                <w:rFonts w:ascii="Times New Roman" w:hAnsi="Times New Roman"/>
                <w:noProof/>
                <w:lang w:val="lt-LT"/>
              </w:rPr>
              <w:t>3.5.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Esminiai skyriaus pastebėjimai</w:t>
            </w:r>
            <w:r>
              <w:rPr>
                <w:noProof/>
                <w:webHidden/>
              </w:rPr>
              <w:tab/>
            </w:r>
            <w:r>
              <w:rPr>
                <w:noProof/>
                <w:webHidden/>
              </w:rPr>
              <w:fldChar w:fldCharType="begin"/>
            </w:r>
            <w:r>
              <w:rPr>
                <w:noProof/>
                <w:webHidden/>
              </w:rPr>
              <w:instrText xml:space="preserve"> PAGEREF _Toc67925151 \h </w:instrText>
            </w:r>
            <w:r>
              <w:rPr>
                <w:noProof/>
                <w:webHidden/>
              </w:rPr>
            </w:r>
            <w:r>
              <w:rPr>
                <w:noProof/>
                <w:webHidden/>
              </w:rPr>
              <w:fldChar w:fldCharType="separate"/>
            </w:r>
            <w:r>
              <w:rPr>
                <w:noProof/>
                <w:webHidden/>
              </w:rPr>
              <w:t>69</w:t>
            </w:r>
            <w:r>
              <w:rPr>
                <w:noProof/>
                <w:webHidden/>
              </w:rPr>
              <w:fldChar w:fldCharType="end"/>
            </w:r>
          </w:hyperlink>
        </w:p>
        <w:p w14:paraId="5AC84500" w14:textId="77777777" w:rsidR="0045783E" w:rsidRDefault="0045783E">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67925152" w:history="1">
            <w:r w:rsidRPr="006B6DA7">
              <w:rPr>
                <w:rStyle w:val="Hyperlink"/>
                <w:rFonts w:ascii="Times New Roman" w:hAnsi="Times New Roman"/>
                <w:noProof/>
              </w:rPr>
              <w:t>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rPr>
              <w:t>RENOVACIJOS BARJERAI</w:t>
            </w:r>
            <w:r>
              <w:rPr>
                <w:noProof/>
                <w:webHidden/>
              </w:rPr>
              <w:tab/>
            </w:r>
            <w:r>
              <w:rPr>
                <w:noProof/>
                <w:webHidden/>
              </w:rPr>
              <w:fldChar w:fldCharType="begin"/>
            </w:r>
            <w:r>
              <w:rPr>
                <w:noProof/>
                <w:webHidden/>
              </w:rPr>
              <w:instrText xml:space="preserve"> PAGEREF _Toc67925152 \h </w:instrText>
            </w:r>
            <w:r>
              <w:rPr>
                <w:noProof/>
                <w:webHidden/>
              </w:rPr>
            </w:r>
            <w:r>
              <w:rPr>
                <w:noProof/>
                <w:webHidden/>
              </w:rPr>
              <w:fldChar w:fldCharType="separate"/>
            </w:r>
            <w:r>
              <w:rPr>
                <w:noProof/>
                <w:webHidden/>
              </w:rPr>
              <w:t>70</w:t>
            </w:r>
            <w:r>
              <w:rPr>
                <w:noProof/>
                <w:webHidden/>
              </w:rPr>
              <w:fldChar w:fldCharType="end"/>
            </w:r>
          </w:hyperlink>
        </w:p>
        <w:p w14:paraId="500BFA93"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53" w:history="1">
            <w:r w:rsidRPr="006B6DA7">
              <w:rPr>
                <w:rStyle w:val="Hyperlink"/>
                <w:rFonts w:ascii="Times New Roman" w:hAnsi="Times New Roman"/>
                <w:noProof/>
                <w:lang w:val="lt-LT"/>
              </w:rPr>
              <w:t>4.1.1.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Planavimo etapo barjerai</w:t>
            </w:r>
            <w:r>
              <w:rPr>
                <w:noProof/>
                <w:webHidden/>
              </w:rPr>
              <w:tab/>
            </w:r>
            <w:r>
              <w:rPr>
                <w:noProof/>
                <w:webHidden/>
              </w:rPr>
              <w:fldChar w:fldCharType="begin"/>
            </w:r>
            <w:r>
              <w:rPr>
                <w:noProof/>
                <w:webHidden/>
              </w:rPr>
              <w:instrText xml:space="preserve"> PAGEREF _Toc67925153 \h </w:instrText>
            </w:r>
            <w:r>
              <w:rPr>
                <w:noProof/>
                <w:webHidden/>
              </w:rPr>
            </w:r>
            <w:r>
              <w:rPr>
                <w:noProof/>
                <w:webHidden/>
              </w:rPr>
              <w:fldChar w:fldCharType="separate"/>
            </w:r>
            <w:r>
              <w:rPr>
                <w:noProof/>
                <w:webHidden/>
              </w:rPr>
              <w:t>70</w:t>
            </w:r>
            <w:r>
              <w:rPr>
                <w:noProof/>
                <w:webHidden/>
              </w:rPr>
              <w:fldChar w:fldCharType="end"/>
            </w:r>
          </w:hyperlink>
        </w:p>
        <w:p w14:paraId="7698B09E"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54" w:history="1">
            <w:r w:rsidRPr="006B6DA7">
              <w:rPr>
                <w:rStyle w:val="Hyperlink"/>
                <w:rFonts w:ascii="Times New Roman" w:hAnsi="Times New Roman"/>
                <w:noProof/>
                <w:lang w:val="lt-LT"/>
              </w:rPr>
              <w:t>4.1.2.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Paramos priemonių formavimo barjerai</w:t>
            </w:r>
            <w:r>
              <w:rPr>
                <w:noProof/>
                <w:webHidden/>
              </w:rPr>
              <w:tab/>
            </w:r>
            <w:r>
              <w:rPr>
                <w:noProof/>
                <w:webHidden/>
              </w:rPr>
              <w:fldChar w:fldCharType="begin"/>
            </w:r>
            <w:r>
              <w:rPr>
                <w:noProof/>
                <w:webHidden/>
              </w:rPr>
              <w:instrText xml:space="preserve"> PAGEREF _Toc67925154 \h </w:instrText>
            </w:r>
            <w:r>
              <w:rPr>
                <w:noProof/>
                <w:webHidden/>
              </w:rPr>
            </w:r>
            <w:r>
              <w:rPr>
                <w:noProof/>
                <w:webHidden/>
              </w:rPr>
              <w:fldChar w:fldCharType="separate"/>
            </w:r>
            <w:r>
              <w:rPr>
                <w:noProof/>
                <w:webHidden/>
              </w:rPr>
              <w:t>71</w:t>
            </w:r>
            <w:r>
              <w:rPr>
                <w:noProof/>
                <w:webHidden/>
              </w:rPr>
              <w:fldChar w:fldCharType="end"/>
            </w:r>
          </w:hyperlink>
        </w:p>
        <w:p w14:paraId="5ABC87B8"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55" w:history="1">
            <w:r w:rsidRPr="006B6DA7">
              <w:rPr>
                <w:rStyle w:val="Hyperlink"/>
                <w:rFonts w:ascii="Times New Roman" w:hAnsi="Times New Roman"/>
                <w:noProof/>
                <w:lang w:val="lt-LT"/>
              </w:rPr>
              <w:t>4.1.3.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Finansavimo užtikrinimo barjerai</w:t>
            </w:r>
            <w:r>
              <w:rPr>
                <w:noProof/>
                <w:webHidden/>
              </w:rPr>
              <w:tab/>
            </w:r>
            <w:r>
              <w:rPr>
                <w:noProof/>
                <w:webHidden/>
              </w:rPr>
              <w:fldChar w:fldCharType="begin"/>
            </w:r>
            <w:r>
              <w:rPr>
                <w:noProof/>
                <w:webHidden/>
              </w:rPr>
              <w:instrText xml:space="preserve"> PAGEREF _Toc67925155 \h </w:instrText>
            </w:r>
            <w:r>
              <w:rPr>
                <w:noProof/>
                <w:webHidden/>
              </w:rPr>
            </w:r>
            <w:r>
              <w:rPr>
                <w:noProof/>
                <w:webHidden/>
              </w:rPr>
              <w:fldChar w:fldCharType="separate"/>
            </w:r>
            <w:r>
              <w:rPr>
                <w:noProof/>
                <w:webHidden/>
              </w:rPr>
              <w:t>73</w:t>
            </w:r>
            <w:r>
              <w:rPr>
                <w:noProof/>
                <w:webHidden/>
              </w:rPr>
              <w:fldChar w:fldCharType="end"/>
            </w:r>
          </w:hyperlink>
        </w:p>
        <w:p w14:paraId="0DAF9475"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56" w:history="1">
            <w:r w:rsidRPr="006B6DA7">
              <w:rPr>
                <w:rStyle w:val="Hyperlink"/>
                <w:rFonts w:ascii="Times New Roman" w:hAnsi="Times New Roman"/>
                <w:noProof/>
                <w:lang w:val="lt-LT"/>
              </w:rPr>
              <w:t>4.1.4.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Komunikacijos barjerai</w:t>
            </w:r>
            <w:r>
              <w:rPr>
                <w:noProof/>
                <w:webHidden/>
              </w:rPr>
              <w:tab/>
            </w:r>
            <w:r>
              <w:rPr>
                <w:noProof/>
                <w:webHidden/>
              </w:rPr>
              <w:fldChar w:fldCharType="begin"/>
            </w:r>
            <w:r>
              <w:rPr>
                <w:noProof/>
                <w:webHidden/>
              </w:rPr>
              <w:instrText xml:space="preserve"> PAGEREF _Toc67925156 \h </w:instrText>
            </w:r>
            <w:r>
              <w:rPr>
                <w:noProof/>
                <w:webHidden/>
              </w:rPr>
            </w:r>
            <w:r>
              <w:rPr>
                <w:noProof/>
                <w:webHidden/>
              </w:rPr>
              <w:fldChar w:fldCharType="separate"/>
            </w:r>
            <w:r>
              <w:rPr>
                <w:noProof/>
                <w:webHidden/>
              </w:rPr>
              <w:t>75</w:t>
            </w:r>
            <w:r>
              <w:rPr>
                <w:noProof/>
                <w:webHidden/>
              </w:rPr>
              <w:fldChar w:fldCharType="end"/>
            </w:r>
          </w:hyperlink>
        </w:p>
        <w:p w14:paraId="23DF1496"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57" w:history="1">
            <w:r w:rsidRPr="006B6DA7">
              <w:rPr>
                <w:rStyle w:val="Hyperlink"/>
                <w:rFonts w:ascii="Times New Roman" w:hAnsi="Times New Roman"/>
                <w:noProof/>
                <w:lang w:val="lt-LT"/>
              </w:rPr>
              <w:t>4.1.5.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Įgyvendinimo barjerai</w:t>
            </w:r>
            <w:r>
              <w:rPr>
                <w:noProof/>
                <w:webHidden/>
              </w:rPr>
              <w:tab/>
            </w:r>
            <w:r>
              <w:rPr>
                <w:noProof/>
                <w:webHidden/>
              </w:rPr>
              <w:fldChar w:fldCharType="begin"/>
            </w:r>
            <w:r>
              <w:rPr>
                <w:noProof/>
                <w:webHidden/>
              </w:rPr>
              <w:instrText xml:space="preserve"> PAGEREF _Toc67925157 \h </w:instrText>
            </w:r>
            <w:r>
              <w:rPr>
                <w:noProof/>
                <w:webHidden/>
              </w:rPr>
            </w:r>
            <w:r>
              <w:rPr>
                <w:noProof/>
                <w:webHidden/>
              </w:rPr>
              <w:fldChar w:fldCharType="separate"/>
            </w:r>
            <w:r>
              <w:rPr>
                <w:noProof/>
                <w:webHidden/>
              </w:rPr>
              <w:t>75</w:t>
            </w:r>
            <w:r>
              <w:rPr>
                <w:noProof/>
                <w:webHidden/>
              </w:rPr>
              <w:fldChar w:fldCharType="end"/>
            </w:r>
          </w:hyperlink>
        </w:p>
        <w:p w14:paraId="40258E4B" w14:textId="77777777" w:rsidR="0045783E" w:rsidRDefault="0045783E">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67925158" w:history="1">
            <w:r w:rsidRPr="006B6DA7">
              <w:rPr>
                <w:rStyle w:val="Hyperlink"/>
                <w:rFonts w:ascii="Times New Roman" w:hAnsi="Times New Roman"/>
                <w:noProof/>
              </w:rPr>
              <w:t>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rPr>
              <w:t>RENOVACIJOS STRATEGIJOS TIKSLAI, RODIKLIAI IR NAUDOS</w:t>
            </w:r>
            <w:r>
              <w:rPr>
                <w:noProof/>
                <w:webHidden/>
              </w:rPr>
              <w:tab/>
            </w:r>
            <w:r>
              <w:rPr>
                <w:noProof/>
                <w:webHidden/>
              </w:rPr>
              <w:fldChar w:fldCharType="begin"/>
            </w:r>
            <w:r>
              <w:rPr>
                <w:noProof/>
                <w:webHidden/>
              </w:rPr>
              <w:instrText xml:space="preserve"> PAGEREF _Toc67925158 \h </w:instrText>
            </w:r>
            <w:r>
              <w:rPr>
                <w:noProof/>
                <w:webHidden/>
              </w:rPr>
            </w:r>
            <w:r>
              <w:rPr>
                <w:noProof/>
                <w:webHidden/>
              </w:rPr>
              <w:fldChar w:fldCharType="separate"/>
            </w:r>
            <w:r>
              <w:rPr>
                <w:noProof/>
                <w:webHidden/>
              </w:rPr>
              <w:t>78</w:t>
            </w:r>
            <w:r>
              <w:rPr>
                <w:noProof/>
                <w:webHidden/>
              </w:rPr>
              <w:fldChar w:fldCharType="end"/>
            </w:r>
          </w:hyperlink>
        </w:p>
        <w:p w14:paraId="7BD097E1"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59" w:history="1">
            <w:r w:rsidRPr="006B6DA7">
              <w:rPr>
                <w:rStyle w:val="Hyperlink"/>
                <w:rFonts w:ascii="Times New Roman" w:hAnsi="Times New Roman"/>
                <w:noProof/>
                <w:lang w:val="lt-LT"/>
              </w:rPr>
              <w:t>5.1.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TIKSLAS</w:t>
            </w:r>
            <w:r>
              <w:rPr>
                <w:noProof/>
                <w:webHidden/>
              </w:rPr>
              <w:tab/>
            </w:r>
            <w:r>
              <w:rPr>
                <w:noProof/>
                <w:webHidden/>
              </w:rPr>
              <w:fldChar w:fldCharType="begin"/>
            </w:r>
            <w:r>
              <w:rPr>
                <w:noProof/>
                <w:webHidden/>
              </w:rPr>
              <w:instrText xml:space="preserve"> PAGEREF _Toc67925159 \h </w:instrText>
            </w:r>
            <w:r>
              <w:rPr>
                <w:noProof/>
                <w:webHidden/>
              </w:rPr>
            </w:r>
            <w:r>
              <w:rPr>
                <w:noProof/>
                <w:webHidden/>
              </w:rPr>
              <w:fldChar w:fldCharType="separate"/>
            </w:r>
            <w:r>
              <w:rPr>
                <w:noProof/>
                <w:webHidden/>
              </w:rPr>
              <w:t>79</w:t>
            </w:r>
            <w:r>
              <w:rPr>
                <w:noProof/>
                <w:webHidden/>
              </w:rPr>
              <w:fldChar w:fldCharType="end"/>
            </w:r>
          </w:hyperlink>
        </w:p>
        <w:p w14:paraId="0C5F7B44"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0" w:history="1">
            <w:r w:rsidRPr="006B6DA7">
              <w:rPr>
                <w:rStyle w:val="Hyperlink"/>
                <w:rFonts w:ascii="Times New Roman" w:hAnsi="Times New Roman"/>
                <w:noProof/>
                <w:lang w:val="lt-LT"/>
              </w:rPr>
              <w:t>5.1.1.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Pirminės energijos vartojimo sumažinimas</w:t>
            </w:r>
            <w:r>
              <w:rPr>
                <w:noProof/>
                <w:webHidden/>
              </w:rPr>
              <w:tab/>
            </w:r>
            <w:r>
              <w:rPr>
                <w:noProof/>
                <w:webHidden/>
              </w:rPr>
              <w:fldChar w:fldCharType="begin"/>
            </w:r>
            <w:r>
              <w:rPr>
                <w:noProof/>
                <w:webHidden/>
              </w:rPr>
              <w:instrText xml:space="preserve"> PAGEREF _Toc67925160 \h </w:instrText>
            </w:r>
            <w:r>
              <w:rPr>
                <w:noProof/>
                <w:webHidden/>
              </w:rPr>
            </w:r>
            <w:r>
              <w:rPr>
                <w:noProof/>
                <w:webHidden/>
              </w:rPr>
              <w:fldChar w:fldCharType="separate"/>
            </w:r>
            <w:r>
              <w:rPr>
                <w:noProof/>
                <w:webHidden/>
              </w:rPr>
              <w:t>79</w:t>
            </w:r>
            <w:r>
              <w:rPr>
                <w:noProof/>
                <w:webHidden/>
              </w:rPr>
              <w:fldChar w:fldCharType="end"/>
            </w:r>
          </w:hyperlink>
        </w:p>
        <w:p w14:paraId="4608A22A"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1" w:history="1">
            <w:r w:rsidRPr="006B6DA7">
              <w:rPr>
                <w:rStyle w:val="Hyperlink"/>
                <w:rFonts w:ascii="Times New Roman" w:hAnsi="Times New Roman"/>
                <w:noProof/>
                <w:lang w:val="lt-LT"/>
              </w:rPr>
              <w:t>5.1.2.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Pirminės energijos iš iškastinio kuro vartojimo atsisakymas</w:t>
            </w:r>
            <w:r>
              <w:rPr>
                <w:noProof/>
                <w:webHidden/>
              </w:rPr>
              <w:tab/>
            </w:r>
            <w:r>
              <w:rPr>
                <w:noProof/>
                <w:webHidden/>
              </w:rPr>
              <w:fldChar w:fldCharType="begin"/>
            </w:r>
            <w:r>
              <w:rPr>
                <w:noProof/>
                <w:webHidden/>
              </w:rPr>
              <w:instrText xml:space="preserve"> PAGEREF _Toc67925161 \h </w:instrText>
            </w:r>
            <w:r>
              <w:rPr>
                <w:noProof/>
                <w:webHidden/>
              </w:rPr>
            </w:r>
            <w:r>
              <w:rPr>
                <w:noProof/>
                <w:webHidden/>
              </w:rPr>
              <w:fldChar w:fldCharType="separate"/>
            </w:r>
            <w:r>
              <w:rPr>
                <w:noProof/>
                <w:webHidden/>
              </w:rPr>
              <w:t>81</w:t>
            </w:r>
            <w:r>
              <w:rPr>
                <w:noProof/>
                <w:webHidden/>
              </w:rPr>
              <w:fldChar w:fldCharType="end"/>
            </w:r>
          </w:hyperlink>
        </w:p>
        <w:p w14:paraId="54420384"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62" w:history="1">
            <w:r w:rsidRPr="006B6DA7">
              <w:rPr>
                <w:rStyle w:val="Hyperlink"/>
                <w:rFonts w:ascii="Times New Roman" w:hAnsi="Times New Roman"/>
                <w:noProof/>
                <w:lang w:val="lt-LT"/>
              </w:rPr>
              <w:t>5.2.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įgyvendinimo rodikliai</w:t>
            </w:r>
            <w:r>
              <w:rPr>
                <w:noProof/>
                <w:webHidden/>
              </w:rPr>
              <w:tab/>
            </w:r>
            <w:r>
              <w:rPr>
                <w:noProof/>
                <w:webHidden/>
              </w:rPr>
              <w:fldChar w:fldCharType="begin"/>
            </w:r>
            <w:r>
              <w:rPr>
                <w:noProof/>
                <w:webHidden/>
              </w:rPr>
              <w:instrText xml:space="preserve"> PAGEREF _Toc67925162 \h </w:instrText>
            </w:r>
            <w:r>
              <w:rPr>
                <w:noProof/>
                <w:webHidden/>
              </w:rPr>
            </w:r>
            <w:r>
              <w:rPr>
                <w:noProof/>
                <w:webHidden/>
              </w:rPr>
              <w:fldChar w:fldCharType="separate"/>
            </w:r>
            <w:r>
              <w:rPr>
                <w:noProof/>
                <w:webHidden/>
              </w:rPr>
              <w:t>82</w:t>
            </w:r>
            <w:r>
              <w:rPr>
                <w:noProof/>
                <w:webHidden/>
              </w:rPr>
              <w:fldChar w:fldCharType="end"/>
            </w:r>
          </w:hyperlink>
        </w:p>
        <w:p w14:paraId="038DCC21"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3" w:history="1">
            <w:r w:rsidRPr="006B6DA7">
              <w:rPr>
                <w:rStyle w:val="Hyperlink"/>
                <w:rFonts w:ascii="Times New Roman" w:hAnsi="Times New Roman"/>
                <w:noProof/>
                <w:lang w:val="lt-LT"/>
              </w:rPr>
              <w:t>5.2.1.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Daugiabučiai</w:t>
            </w:r>
            <w:r>
              <w:rPr>
                <w:noProof/>
                <w:webHidden/>
              </w:rPr>
              <w:tab/>
            </w:r>
            <w:r>
              <w:rPr>
                <w:noProof/>
                <w:webHidden/>
              </w:rPr>
              <w:fldChar w:fldCharType="begin"/>
            </w:r>
            <w:r>
              <w:rPr>
                <w:noProof/>
                <w:webHidden/>
              </w:rPr>
              <w:instrText xml:space="preserve"> PAGEREF _Toc67925163 \h </w:instrText>
            </w:r>
            <w:r>
              <w:rPr>
                <w:noProof/>
                <w:webHidden/>
              </w:rPr>
            </w:r>
            <w:r>
              <w:rPr>
                <w:noProof/>
                <w:webHidden/>
              </w:rPr>
              <w:fldChar w:fldCharType="separate"/>
            </w:r>
            <w:r>
              <w:rPr>
                <w:noProof/>
                <w:webHidden/>
              </w:rPr>
              <w:t>84</w:t>
            </w:r>
            <w:r>
              <w:rPr>
                <w:noProof/>
                <w:webHidden/>
              </w:rPr>
              <w:fldChar w:fldCharType="end"/>
            </w:r>
          </w:hyperlink>
        </w:p>
        <w:p w14:paraId="71DCB40D"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4" w:history="1">
            <w:r w:rsidRPr="006B6DA7">
              <w:rPr>
                <w:rStyle w:val="Hyperlink"/>
                <w:rFonts w:ascii="Times New Roman" w:hAnsi="Times New Roman"/>
                <w:noProof/>
                <w:lang w:val="lt-LT"/>
              </w:rPr>
              <w:t>5.2.2.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Individualūs namai</w:t>
            </w:r>
            <w:r>
              <w:rPr>
                <w:noProof/>
                <w:webHidden/>
              </w:rPr>
              <w:tab/>
            </w:r>
            <w:r>
              <w:rPr>
                <w:noProof/>
                <w:webHidden/>
              </w:rPr>
              <w:fldChar w:fldCharType="begin"/>
            </w:r>
            <w:r>
              <w:rPr>
                <w:noProof/>
                <w:webHidden/>
              </w:rPr>
              <w:instrText xml:space="preserve"> PAGEREF _Toc67925164 \h </w:instrText>
            </w:r>
            <w:r>
              <w:rPr>
                <w:noProof/>
                <w:webHidden/>
              </w:rPr>
            </w:r>
            <w:r>
              <w:rPr>
                <w:noProof/>
                <w:webHidden/>
              </w:rPr>
              <w:fldChar w:fldCharType="separate"/>
            </w:r>
            <w:r>
              <w:rPr>
                <w:noProof/>
                <w:webHidden/>
              </w:rPr>
              <w:t>85</w:t>
            </w:r>
            <w:r>
              <w:rPr>
                <w:noProof/>
                <w:webHidden/>
              </w:rPr>
              <w:fldChar w:fldCharType="end"/>
            </w:r>
          </w:hyperlink>
        </w:p>
        <w:p w14:paraId="3AF43B0D"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5" w:history="1">
            <w:r w:rsidRPr="006B6DA7">
              <w:rPr>
                <w:rStyle w:val="Hyperlink"/>
                <w:rFonts w:ascii="Times New Roman" w:hAnsi="Times New Roman"/>
                <w:noProof/>
                <w:lang w:val="lt-LT"/>
              </w:rPr>
              <w:t>5.2.3.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Kiti negyvenamieji pastatai</w:t>
            </w:r>
            <w:r>
              <w:rPr>
                <w:noProof/>
                <w:webHidden/>
              </w:rPr>
              <w:tab/>
            </w:r>
            <w:r>
              <w:rPr>
                <w:noProof/>
                <w:webHidden/>
              </w:rPr>
              <w:fldChar w:fldCharType="begin"/>
            </w:r>
            <w:r>
              <w:rPr>
                <w:noProof/>
                <w:webHidden/>
              </w:rPr>
              <w:instrText xml:space="preserve"> PAGEREF _Toc67925165 \h </w:instrText>
            </w:r>
            <w:r>
              <w:rPr>
                <w:noProof/>
                <w:webHidden/>
              </w:rPr>
            </w:r>
            <w:r>
              <w:rPr>
                <w:noProof/>
                <w:webHidden/>
              </w:rPr>
              <w:fldChar w:fldCharType="separate"/>
            </w:r>
            <w:r>
              <w:rPr>
                <w:noProof/>
                <w:webHidden/>
              </w:rPr>
              <w:t>86</w:t>
            </w:r>
            <w:r>
              <w:rPr>
                <w:noProof/>
                <w:webHidden/>
              </w:rPr>
              <w:fldChar w:fldCharType="end"/>
            </w:r>
          </w:hyperlink>
        </w:p>
        <w:p w14:paraId="468A43F4"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6" w:history="1">
            <w:r w:rsidRPr="006B6DA7">
              <w:rPr>
                <w:rStyle w:val="Hyperlink"/>
                <w:rFonts w:ascii="Times New Roman" w:hAnsi="Times New Roman"/>
                <w:noProof/>
                <w:lang w:val="lt-LT"/>
              </w:rPr>
              <w:t>5.2.4.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Pramonės pastatai</w:t>
            </w:r>
            <w:r>
              <w:rPr>
                <w:noProof/>
                <w:webHidden/>
              </w:rPr>
              <w:tab/>
            </w:r>
            <w:r>
              <w:rPr>
                <w:noProof/>
                <w:webHidden/>
              </w:rPr>
              <w:fldChar w:fldCharType="begin"/>
            </w:r>
            <w:r>
              <w:rPr>
                <w:noProof/>
                <w:webHidden/>
              </w:rPr>
              <w:instrText xml:space="preserve"> PAGEREF _Toc67925166 \h </w:instrText>
            </w:r>
            <w:r>
              <w:rPr>
                <w:noProof/>
                <w:webHidden/>
              </w:rPr>
            </w:r>
            <w:r>
              <w:rPr>
                <w:noProof/>
                <w:webHidden/>
              </w:rPr>
              <w:fldChar w:fldCharType="separate"/>
            </w:r>
            <w:r>
              <w:rPr>
                <w:noProof/>
                <w:webHidden/>
              </w:rPr>
              <w:t>87</w:t>
            </w:r>
            <w:r>
              <w:rPr>
                <w:noProof/>
                <w:webHidden/>
              </w:rPr>
              <w:fldChar w:fldCharType="end"/>
            </w:r>
          </w:hyperlink>
        </w:p>
        <w:p w14:paraId="415DC680"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67" w:history="1">
            <w:r w:rsidRPr="006B6DA7">
              <w:rPr>
                <w:rStyle w:val="Hyperlink"/>
                <w:rFonts w:ascii="Times New Roman" w:hAnsi="Times New Roman"/>
                <w:noProof/>
                <w:lang w:val="lt-LT"/>
              </w:rPr>
              <w:t>5.3.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įgyvendinimo tiesioginės ir platesnio masto naudos</w:t>
            </w:r>
            <w:r>
              <w:rPr>
                <w:noProof/>
                <w:webHidden/>
              </w:rPr>
              <w:tab/>
            </w:r>
            <w:r>
              <w:rPr>
                <w:noProof/>
                <w:webHidden/>
              </w:rPr>
              <w:fldChar w:fldCharType="begin"/>
            </w:r>
            <w:r>
              <w:rPr>
                <w:noProof/>
                <w:webHidden/>
              </w:rPr>
              <w:instrText xml:space="preserve"> PAGEREF _Toc67925167 \h </w:instrText>
            </w:r>
            <w:r>
              <w:rPr>
                <w:noProof/>
                <w:webHidden/>
              </w:rPr>
            </w:r>
            <w:r>
              <w:rPr>
                <w:noProof/>
                <w:webHidden/>
              </w:rPr>
              <w:fldChar w:fldCharType="separate"/>
            </w:r>
            <w:r>
              <w:rPr>
                <w:noProof/>
                <w:webHidden/>
              </w:rPr>
              <w:t>88</w:t>
            </w:r>
            <w:r>
              <w:rPr>
                <w:noProof/>
                <w:webHidden/>
              </w:rPr>
              <w:fldChar w:fldCharType="end"/>
            </w:r>
          </w:hyperlink>
        </w:p>
        <w:p w14:paraId="4594F4B1"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8" w:history="1">
            <w:r w:rsidRPr="006B6DA7">
              <w:rPr>
                <w:rStyle w:val="Hyperlink"/>
                <w:rFonts w:ascii="Times New Roman" w:hAnsi="Times New Roman"/>
                <w:noProof/>
                <w:lang w:val="lt-LT"/>
              </w:rPr>
              <w:t>5.3.1.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Monetizuojamos pastatų renovacijos naudos</w:t>
            </w:r>
            <w:r>
              <w:rPr>
                <w:noProof/>
                <w:webHidden/>
              </w:rPr>
              <w:tab/>
            </w:r>
            <w:r>
              <w:rPr>
                <w:noProof/>
                <w:webHidden/>
              </w:rPr>
              <w:fldChar w:fldCharType="begin"/>
            </w:r>
            <w:r>
              <w:rPr>
                <w:noProof/>
                <w:webHidden/>
              </w:rPr>
              <w:instrText xml:space="preserve"> PAGEREF _Toc67925168 \h </w:instrText>
            </w:r>
            <w:r>
              <w:rPr>
                <w:noProof/>
                <w:webHidden/>
              </w:rPr>
            </w:r>
            <w:r>
              <w:rPr>
                <w:noProof/>
                <w:webHidden/>
              </w:rPr>
              <w:fldChar w:fldCharType="separate"/>
            </w:r>
            <w:r>
              <w:rPr>
                <w:noProof/>
                <w:webHidden/>
              </w:rPr>
              <w:t>88</w:t>
            </w:r>
            <w:r>
              <w:rPr>
                <w:noProof/>
                <w:webHidden/>
              </w:rPr>
              <w:fldChar w:fldCharType="end"/>
            </w:r>
          </w:hyperlink>
        </w:p>
        <w:p w14:paraId="7E7BFC1E"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69" w:history="1">
            <w:r w:rsidRPr="006B6DA7">
              <w:rPr>
                <w:rStyle w:val="Hyperlink"/>
                <w:rFonts w:ascii="Times New Roman" w:hAnsi="Times New Roman"/>
                <w:noProof/>
                <w:lang w:val="lt-LT"/>
              </w:rPr>
              <w:t>5.3.2.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Papildomos naudos</w:t>
            </w:r>
            <w:r>
              <w:rPr>
                <w:noProof/>
                <w:webHidden/>
              </w:rPr>
              <w:tab/>
            </w:r>
            <w:r>
              <w:rPr>
                <w:noProof/>
                <w:webHidden/>
              </w:rPr>
              <w:fldChar w:fldCharType="begin"/>
            </w:r>
            <w:r>
              <w:rPr>
                <w:noProof/>
                <w:webHidden/>
              </w:rPr>
              <w:instrText xml:space="preserve"> PAGEREF _Toc67925169 \h </w:instrText>
            </w:r>
            <w:r>
              <w:rPr>
                <w:noProof/>
                <w:webHidden/>
              </w:rPr>
            </w:r>
            <w:r>
              <w:rPr>
                <w:noProof/>
                <w:webHidden/>
              </w:rPr>
              <w:fldChar w:fldCharType="separate"/>
            </w:r>
            <w:r>
              <w:rPr>
                <w:noProof/>
                <w:webHidden/>
              </w:rPr>
              <w:t>93</w:t>
            </w:r>
            <w:r>
              <w:rPr>
                <w:noProof/>
                <w:webHidden/>
              </w:rPr>
              <w:fldChar w:fldCharType="end"/>
            </w:r>
          </w:hyperlink>
        </w:p>
        <w:p w14:paraId="75841896"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70" w:history="1">
            <w:r w:rsidRPr="006B6DA7">
              <w:rPr>
                <w:rStyle w:val="Hyperlink"/>
                <w:rFonts w:ascii="Times New Roman" w:hAnsi="Times New Roman"/>
                <w:noProof/>
                <w:lang w:val="lt-LT"/>
              </w:rPr>
              <w:t>5.4.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Esminiai skyriaus pastebėjimai</w:t>
            </w:r>
            <w:r>
              <w:rPr>
                <w:noProof/>
                <w:webHidden/>
              </w:rPr>
              <w:tab/>
            </w:r>
            <w:r>
              <w:rPr>
                <w:noProof/>
                <w:webHidden/>
              </w:rPr>
              <w:fldChar w:fldCharType="begin"/>
            </w:r>
            <w:r>
              <w:rPr>
                <w:noProof/>
                <w:webHidden/>
              </w:rPr>
              <w:instrText xml:space="preserve"> PAGEREF _Toc67925170 \h </w:instrText>
            </w:r>
            <w:r>
              <w:rPr>
                <w:noProof/>
                <w:webHidden/>
              </w:rPr>
            </w:r>
            <w:r>
              <w:rPr>
                <w:noProof/>
                <w:webHidden/>
              </w:rPr>
              <w:fldChar w:fldCharType="separate"/>
            </w:r>
            <w:r>
              <w:rPr>
                <w:noProof/>
                <w:webHidden/>
              </w:rPr>
              <w:t>94</w:t>
            </w:r>
            <w:r>
              <w:rPr>
                <w:noProof/>
                <w:webHidden/>
              </w:rPr>
              <w:fldChar w:fldCharType="end"/>
            </w:r>
          </w:hyperlink>
        </w:p>
        <w:p w14:paraId="67B01EE9" w14:textId="77777777" w:rsidR="0045783E" w:rsidRDefault="0045783E">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67925171" w:history="1">
            <w:r w:rsidRPr="006B6DA7">
              <w:rPr>
                <w:rStyle w:val="Hyperlink"/>
                <w:rFonts w:ascii="Times New Roman" w:hAnsi="Times New Roman"/>
                <w:noProof/>
              </w:rPr>
              <w:t>6.</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rPr>
              <w:t>RENOVACIJOS STRATEGIJOS VEIKSMŲ GAIRĖS</w:t>
            </w:r>
            <w:r>
              <w:rPr>
                <w:noProof/>
                <w:webHidden/>
              </w:rPr>
              <w:tab/>
            </w:r>
            <w:r>
              <w:rPr>
                <w:noProof/>
                <w:webHidden/>
              </w:rPr>
              <w:fldChar w:fldCharType="begin"/>
            </w:r>
            <w:r>
              <w:rPr>
                <w:noProof/>
                <w:webHidden/>
              </w:rPr>
              <w:instrText xml:space="preserve"> PAGEREF _Toc67925171 \h </w:instrText>
            </w:r>
            <w:r>
              <w:rPr>
                <w:noProof/>
                <w:webHidden/>
              </w:rPr>
            </w:r>
            <w:r>
              <w:rPr>
                <w:noProof/>
                <w:webHidden/>
              </w:rPr>
              <w:fldChar w:fldCharType="separate"/>
            </w:r>
            <w:r>
              <w:rPr>
                <w:noProof/>
                <w:webHidden/>
              </w:rPr>
              <w:t>95</w:t>
            </w:r>
            <w:r>
              <w:rPr>
                <w:noProof/>
                <w:webHidden/>
              </w:rPr>
              <w:fldChar w:fldCharType="end"/>
            </w:r>
          </w:hyperlink>
        </w:p>
        <w:p w14:paraId="6A9ECA8D"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72" w:history="1">
            <w:r w:rsidRPr="006B6DA7">
              <w:rPr>
                <w:rStyle w:val="Hyperlink"/>
                <w:rFonts w:ascii="Times New Roman" w:hAnsi="Times New Roman"/>
                <w:noProof/>
                <w:lang w:val="lt-LT"/>
              </w:rPr>
              <w:t>6.1.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įgyvendinimo modelis</w:t>
            </w:r>
            <w:r>
              <w:rPr>
                <w:noProof/>
                <w:webHidden/>
              </w:rPr>
              <w:tab/>
            </w:r>
            <w:r>
              <w:rPr>
                <w:noProof/>
                <w:webHidden/>
              </w:rPr>
              <w:fldChar w:fldCharType="begin"/>
            </w:r>
            <w:r>
              <w:rPr>
                <w:noProof/>
                <w:webHidden/>
              </w:rPr>
              <w:instrText xml:space="preserve"> PAGEREF _Toc67925172 \h </w:instrText>
            </w:r>
            <w:r>
              <w:rPr>
                <w:noProof/>
                <w:webHidden/>
              </w:rPr>
            </w:r>
            <w:r>
              <w:rPr>
                <w:noProof/>
                <w:webHidden/>
              </w:rPr>
              <w:fldChar w:fldCharType="separate"/>
            </w:r>
            <w:r>
              <w:rPr>
                <w:noProof/>
                <w:webHidden/>
              </w:rPr>
              <w:t>96</w:t>
            </w:r>
            <w:r>
              <w:rPr>
                <w:noProof/>
                <w:webHidden/>
              </w:rPr>
              <w:fldChar w:fldCharType="end"/>
            </w:r>
          </w:hyperlink>
        </w:p>
        <w:p w14:paraId="68CD715D"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73" w:history="1">
            <w:r w:rsidRPr="006B6DA7">
              <w:rPr>
                <w:rStyle w:val="Hyperlink"/>
                <w:rFonts w:ascii="Times New Roman" w:hAnsi="Times New Roman"/>
                <w:noProof/>
                <w:lang w:val="lt-LT"/>
              </w:rPr>
              <w:t>6.2.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įgyvendinimo priemonės</w:t>
            </w:r>
            <w:r>
              <w:rPr>
                <w:noProof/>
                <w:webHidden/>
              </w:rPr>
              <w:tab/>
            </w:r>
            <w:r>
              <w:rPr>
                <w:noProof/>
                <w:webHidden/>
              </w:rPr>
              <w:fldChar w:fldCharType="begin"/>
            </w:r>
            <w:r>
              <w:rPr>
                <w:noProof/>
                <w:webHidden/>
              </w:rPr>
              <w:instrText xml:space="preserve"> PAGEREF _Toc67925173 \h </w:instrText>
            </w:r>
            <w:r>
              <w:rPr>
                <w:noProof/>
                <w:webHidden/>
              </w:rPr>
            </w:r>
            <w:r>
              <w:rPr>
                <w:noProof/>
                <w:webHidden/>
              </w:rPr>
              <w:fldChar w:fldCharType="separate"/>
            </w:r>
            <w:r>
              <w:rPr>
                <w:noProof/>
                <w:webHidden/>
              </w:rPr>
              <w:t>98</w:t>
            </w:r>
            <w:r>
              <w:rPr>
                <w:noProof/>
                <w:webHidden/>
              </w:rPr>
              <w:fldChar w:fldCharType="end"/>
            </w:r>
          </w:hyperlink>
        </w:p>
        <w:p w14:paraId="2C82FD70"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74" w:history="1">
            <w:r w:rsidRPr="006B6DA7">
              <w:rPr>
                <w:rStyle w:val="Hyperlink"/>
                <w:rFonts w:ascii="Times New Roman" w:hAnsi="Times New Roman"/>
                <w:noProof/>
                <w:lang w:val="lt-LT"/>
              </w:rPr>
              <w:t>6.2.1.</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Integruotas planavimas</w:t>
            </w:r>
            <w:r>
              <w:rPr>
                <w:noProof/>
                <w:webHidden/>
              </w:rPr>
              <w:tab/>
            </w:r>
            <w:r>
              <w:rPr>
                <w:noProof/>
                <w:webHidden/>
              </w:rPr>
              <w:fldChar w:fldCharType="begin"/>
            </w:r>
            <w:r>
              <w:rPr>
                <w:noProof/>
                <w:webHidden/>
              </w:rPr>
              <w:instrText xml:space="preserve"> PAGEREF _Toc67925174 \h </w:instrText>
            </w:r>
            <w:r>
              <w:rPr>
                <w:noProof/>
                <w:webHidden/>
              </w:rPr>
            </w:r>
            <w:r>
              <w:rPr>
                <w:noProof/>
                <w:webHidden/>
              </w:rPr>
              <w:fldChar w:fldCharType="separate"/>
            </w:r>
            <w:r>
              <w:rPr>
                <w:noProof/>
                <w:webHidden/>
              </w:rPr>
              <w:t>99</w:t>
            </w:r>
            <w:r>
              <w:rPr>
                <w:noProof/>
                <w:webHidden/>
              </w:rPr>
              <w:fldChar w:fldCharType="end"/>
            </w:r>
          </w:hyperlink>
        </w:p>
        <w:p w14:paraId="384186CF"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75" w:history="1">
            <w:r w:rsidRPr="006B6DA7">
              <w:rPr>
                <w:rStyle w:val="Hyperlink"/>
                <w:rFonts w:ascii="Times New Roman" w:hAnsi="Times New Roman"/>
                <w:noProof/>
                <w:lang w:val="lt-LT"/>
              </w:rPr>
              <w:t>6.2.2.</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Kompleksinis priemonių paketas</w:t>
            </w:r>
            <w:r>
              <w:rPr>
                <w:noProof/>
                <w:webHidden/>
              </w:rPr>
              <w:tab/>
            </w:r>
            <w:r>
              <w:rPr>
                <w:noProof/>
                <w:webHidden/>
              </w:rPr>
              <w:fldChar w:fldCharType="begin"/>
            </w:r>
            <w:r>
              <w:rPr>
                <w:noProof/>
                <w:webHidden/>
              </w:rPr>
              <w:instrText xml:space="preserve"> PAGEREF _Toc67925175 \h </w:instrText>
            </w:r>
            <w:r>
              <w:rPr>
                <w:noProof/>
                <w:webHidden/>
              </w:rPr>
            </w:r>
            <w:r>
              <w:rPr>
                <w:noProof/>
                <w:webHidden/>
              </w:rPr>
              <w:fldChar w:fldCharType="separate"/>
            </w:r>
            <w:r>
              <w:rPr>
                <w:noProof/>
                <w:webHidden/>
              </w:rPr>
              <w:t>101</w:t>
            </w:r>
            <w:r>
              <w:rPr>
                <w:noProof/>
                <w:webHidden/>
              </w:rPr>
              <w:fldChar w:fldCharType="end"/>
            </w:r>
          </w:hyperlink>
        </w:p>
        <w:p w14:paraId="44DD73DD"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76" w:history="1">
            <w:r w:rsidRPr="006B6DA7">
              <w:rPr>
                <w:rStyle w:val="Hyperlink"/>
                <w:rFonts w:ascii="Times New Roman" w:hAnsi="Times New Roman"/>
                <w:noProof/>
                <w:lang w:val="lt-LT"/>
              </w:rPr>
              <w:t>6.2.3.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Pakankamas finansavimas</w:t>
            </w:r>
            <w:r>
              <w:rPr>
                <w:noProof/>
                <w:webHidden/>
              </w:rPr>
              <w:tab/>
            </w:r>
            <w:r>
              <w:rPr>
                <w:noProof/>
                <w:webHidden/>
              </w:rPr>
              <w:fldChar w:fldCharType="begin"/>
            </w:r>
            <w:r>
              <w:rPr>
                <w:noProof/>
                <w:webHidden/>
              </w:rPr>
              <w:instrText xml:space="preserve"> PAGEREF _Toc67925176 \h </w:instrText>
            </w:r>
            <w:r>
              <w:rPr>
                <w:noProof/>
                <w:webHidden/>
              </w:rPr>
            </w:r>
            <w:r>
              <w:rPr>
                <w:noProof/>
                <w:webHidden/>
              </w:rPr>
              <w:fldChar w:fldCharType="separate"/>
            </w:r>
            <w:r>
              <w:rPr>
                <w:noProof/>
                <w:webHidden/>
              </w:rPr>
              <w:t>106</w:t>
            </w:r>
            <w:r>
              <w:rPr>
                <w:noProof/>
                <w:webHidden/>
              </w:rPr>
              <w:fldChar w:fldCharType="end"/>
            </w:r>
          </w:hyperlink>
        </w:p>
        <w:p w14:paraId="7EB2B5C1"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77" w:history="1">
            <w:r w:rsidRPr="006B6DA7">
              <w:rPr>
                <w:rStyle w:val="Hyperlink"/>
                <w:rFonts w:ascii="Times New Roman" w:hAnsi="Times New Roman"/>
                <w:noProof/>
                <w:lang w:val="lt-LT"/>
              </w:rPr>
              <w:t>6.2.4.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Efektyvi komunikacija</w:t>
            </w:r>
            <w:r>
              <w:rPr>
                <w:noProof/>
                <w:webHidden/>
              </w:rPr>
              <w:tab/>
            </w:r>
            <w:r>
              <w:rPr>
                <w:noProof/>
                <w:webHidden/>
              </w:rPr>
              <w:fldChar w:fldCharType="begin"/>
            </w:r>
            <w:r>
              <w:rPr>
                <w:noProof/>
                <w:webHidden/>
              </w:rPr>
              <w:instrText xml:space="preserve"> PAGEREF _Toc67925177 \h </w:instrText>
            </w:r>
            <w:r>
              <w:rPr>
                <w:noProof/>
                <w:webHidden/>
              </w:rPr>
            </w:r>
            <w:r>
              <w:rPr>
                <w:noProof/>
                <w:webHidden/>
              </w:rPr>
              <w:fldChar w:fldCharType="separate"/>
            </w:r>
            <w:r>
              <w:rPr>
                <w:noProof/>
                <w:webHidden/>
              </w:rPr>
              <w:t>108</w:t>
            </w:r>
            <w:r>
              <w:rPr>
                <w:noProof/>
                <w:webHidden/>
              </w:rPr>
              <w:fldChar w:fldCharType="end"/>
            </w:r>
          </w:hyperlink>
        </w:p>
        <w:p w14:paraId="28F3B077" w14:textId="77777777" w:rsidR="0045783E" w:rsidRDefault="0045783E">
          <w:pPr>
            <w:pStyle w:val="TOC3"/>
            <w:rPr>
              <w:rFonts w:asciiTheme="minorHAnsi" w:eastAsiaTheme="minorEastAsia" w:hAnsiTheme="minorHAnsi" w:cstheme="minorBidi"/>
              <w:noProof/>
              <w:color w:val="auto"/>
              <w:szCs w:val="22"/>
              <w:lang w:val="lt-LT" w:eastAsia="lt-LT"/>
            </w:rPr>
          </w:pPr>
          <w:hyperlink w:anchor="_Toc67925178" w:history="1">
            <w:r w:rsidRPr="006B6DA7">
              <w:rPr>
                <w:rStyle w:val="Hyperlink"/>
                <w:rFonts w:ascii="Times New Roman" w:hAnsi="Times New Roman"/>
                <w:noProof/>
                <w:lang w:val="lt-LT"/>
              </w:rPr>
              <w:t>6.2.5.</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Patikima įgyvendinimo sistema</w:t>
            </w:r>
            <w:r>
              <w:rPr>
                <w:noProof/>
                <w:webHidden/>
              </w:rPr>
              <w:tab/>
            </w:r>
            <w:r>
              <w:rPr>
                <w:noProof/>
                <w:webHidden/>
              </w:rPr>
              <w:fldChar w:fldCharType="begin"/>
            </w:r>
            <w:r>
              <w:rPr>
                <w:noProof/>
                <w:webHidden/>
              </w:rPr>
              <w:instrText xml:space="preserve"> PAGEREF _Toc67925178 \h </w:instrText>
            </w:r>
            <w:r>
              <w:rPr>
                <w:noProof/>
                <w:webHidden/>
              </w:rPr>
            </w:r>
            <w:r>
              <w:rPr>
                <w:noProof/>
                <w:webHidden/>
              </w:rPr>
              <w:fldChar w:fldCharType="separate"/>
            </w:r>
            <w:r>
              <w:rPr>
                <w:noProof/>
                <w:webHidden/>
              </w:rPr>
              <w:t>109</w:t>
            </w:r>
            <w:r>
              <w:rPr>
                <w:noProof/>
                <w:webHidden/>
              </w:rPr>
              <w:fldChar w:fldCharType="end"/>
            </w:r>
          </w:hyperlink>
        </w:p>
        <w:p w14:paraId="27C588BE"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79" w:history="1">
            <w:r w:rsidRPr="006B6DA7">
              <w:rPr>
                <w:rStyle w:val="Hyperlink"/>
                <w:rFonts w:ascii="Times New Roman" w:hAnsi="Times New Roman"/>
                <w:noProof/>
                <w:lang w:val="lt-LT"/>
              </w:rPr>
              <w:t>6.3.</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įgyvendinimo prioritetinės kryptys</w:t>
            </w:r>
            <w:r>
              <w:rPr>
                <w:noProof/>
                <w:webHidden/>
              </w:rPr>
              <w:tab/>
            </w:r>
            <w:r>
              <w:rPr>
                <w:noProof/>
                <w:webHidden/>
              </w:rPr>
              <w:fldChar w:fldCharType="begin"/>
            </w:r>
            <w:r>
              <w:rPr>
                <w:noProof/>
                <w:webHidden/>
              </w:rPr>
              <w:instrText xml:space="preserve"> PAGEREF _Toc67925179 \h </w:instrText>
            </w:r>
            <w:r>
              <w:rPr>
                <w:noProof/>
                <w:webHidden/>
              </w:rPr>
            </w:r>
            <w:r>
              <w:rPr>
                <w:noProof/>
                <w:webHidden/>
              </w:rPr>
              <w:fldChar w:fldCharType="separate"/>
            </w:r>
            <w:r>
              <w:rPr>
                <w:noProof/>
                <w:webHidden/>
              </w:rPr>
              <w:t>111</w:t>
            </w:r>
            <w:r>
              <w:rPr>
                <w:noProof/>
                <w:webHidden/>
              </w:rPr>
              <w:fldChar w:fldCharType="end"/>
            </w:r>
          </w:hyperlink>
        </w:p>
        <w:p w14:paraId="601BADC0" w14:textId="77777777" w:rsidR="0045783E" w:rsidRDefault="0045783E">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67925180" w:history="1">
            <w:r w:rsidRPr="006B6DA7">
              <w:rPr>
                <w:rStyle w:val="Hyperlink"/>
                <w:rFonts w:ascii="Times New Roman" w:hAnsi="Times New Roman"/>
                <w:noProof/>
                <w:lang w:val="lt-LT"/>
              </w:rPr>
              <w:t>6.4.</w:t>
            </w:r>
            <w:r>
              <w:rPr>
                <w:rFonts w:asciiTheme="minorHAnsi" w:eastAsiaTheme="minorEastAsia" w:hAnsiTheme="minorHAnsi" w:cstheme="minorBidi"/>
                <w:noProof/>
                <w:color w:val="auto"/>
                <w:szCs w:val="22"/>
                <w:lang w:val="lt-LT" w:eastAsia="lt-LT"/>
              </w:rPr>
              <w:tab/>
            </w:r>
            <w:r w:rsidRPr="006B6DA7">
              <w:rPr>
                <w:rStyle w:val="Hyperlink"/>
                <w:rFonts w:ascii="Times New Roman" w:hAnsi="Times New Roman"/>
                <w:noProof/>
                <w:lang w:val="lt-LT"/>
              </w:rPr>
              <w:t>Strategijos įgyvendinimo etapai</w:t>
            </w:r>
            <w:r>
              <w:rPr>
                <w:noProof/>
                <w:webHidden/>
              </w:rPr>
              <w:tab/>
            </w:r>
            <w:r>
              <w:rPr>
                <w:noProof/>
                <w:webHidden/>
              </w:rPr>
              <w:fldChar w:fldCharType="begin"/>
            </w:r>
            <w:r>
              <w:rPr>
                <w:noProof/>
                <w:webHidden/>
              </w:rPr>
              <w:instrText xml:space="preserve"> PAGEREF _Toc67925180 \h </w:instrText>
            </w:r>
            <w:r>
              <w:rPr>
                <w:noProof/>
                <w:webHidden/>
              </w:rPr>
            </w:r>
            <w:r>
              <w:rPr>
                <w:noProof/>
                <w:webHidden/>
              </w:rPr>
              <w:fldChar w:fldCharType="separate"/>
            </w:r>
            <w:r>
              <w:rPr>
                <w:noProof/>
                <w:webHidden/>
              </w:rPr>
              <w:t>112</w:t>
            </w:r>
            <w:r>
              <w:rPr>
                <w:noProof/>
                <w:webHidden/>
              </w:rPr>
              <w:fldChar w:fldCharType="end"/>
            </w:r>
          </w:hyperlink>
        </w:p>
        <w:p w14:paraId="20E57897"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181" w:history="1">
            <w:r w:rsidRPr="006B6DA7">
              <w:rPr>
                <w:rStyle w:val="Hyperlink"/>
                <w:rFonts w:ascii="Times New Roman" w:hAnsi="Times New Roman"/>
                <w:noProof/>
              </w:rPr>
              <w:t>1 priedas. Kitų negyvenamųjų pastatų renovacijos tempai</w:t>
            </w:r>
            <w:r>
              <w:rPr>
                <w:noProof/>
                <w:webHidden/>
              </w:rPr>
              <w:tab/>
            </w:r>
            <w:r>
              <w:rPr>
                <w:noProof/>
                <w:webHidden/>
              </w:rPr>
              <w:fldChar w:fldCharType="begin"/>
            </w:r>
            <w:r>
              <w:rPr>
                <w:noProof/>
                <w:webHidden/>
              </w:rPr>
              <w:instrText xml:space="preserve"> PAGEREF _Toc67925181 \h </w:instrText>
            </w:r>
            <w:r>
              <w:rPr>
                <w:noProof/>
                <w:webHidden/>
              </w:rPr>
            </w:r>
            <w:r>
              <w:rPr>
                <w:noProof/>
                <w:webHidden/>
              </w:rPr>
              <w:fldChar w:fldCharType="separate"/>
            </w:r>
            <w:r>
              <w:rPr>
                <w:noProof/>
                <w:webHidden/>
              </w:rPr>
              <w:t>117</w:t>
            </w:r>
            <w:r>
              <w:rPr>
                <w:noProof/>
                <w:webHidden/>
              </w:rPr>
              <w:fldChar w:fldCharType="end"/>
            </w:r>
          </w:hyperlink>
        </w:p>
        <w:p w14:paraId="1E500A88"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182" w:history="1">
            <w:r w:rsidRPr="006B6DA7">
              <w:rPr>
                <w:rStyle w:val="Hyperlink"/>
                <w:rFonts w:ascii="Times New Roman" w:hAnsi="Times New Roman"/>
                <w:noProof/>
              </w:rPr>
              <w:t>2 priedas. Viešosios nuosavybės kitų negyvenamųjų pastatų renovacijos tempai</w:t>
            </w:r>
            <w:r>
              <w:rPr>
                <w:noProof/>
                <w:webHidden/>
              </w:rPr>
              <w:tab/>
            </w:r>
            <w:r>
              <w:rPr>
                <w:noProof/>
                <w:webHidden/>
              </w:rPr>
              <w:fldChar w:fldCharType="begin"/>
            </w:r>
            <w:r>
              <w:rPr>
                <w:noProof/>
                <w:webHidden/>
              </w:rPr>
              <w:instrText xml:space="preserve"> PAGEREF _Toc67925182 \h </w:instrText>
            </w:r>
            <w:r>
              <w:rPr>
                <w:noProof/>
                <w:webHidden/>
              </w:rPr>
            </w:r>
            <w:r>
              <w:rPr>
                <w:noProof/>
                <w:webHidden/>
              </w:rPr>
              <w:fldChar w:fldCharType="separate"/>
            </w:r>
            <w:r>
              <w:rPr>
                <w:noProof/>
                <w:webHidden/>
              </w:rPr>
              <w:t>120</w:t>
            </w:r>
            <w:r>
              <w:rPr>
                <w:noProof/>
                <w:webHidden/>
              </w:rPr>
              <w:fldChar w:fldCharType="end"/>
            </w:r>
          </w:hyperlink>
        </w:p>
        <w:p w14:paraId="7FB0B66E" w14:textId="77777777" w:rsidR="0045783E" w:rsidRDefault="0045783E">
          <w:pPr>
            <w:pStyle w:val="TOC1"/>
            <w:tabs>
              <w:tab w:val="right" w:leader="dot" w:pos="10194"/>
            </w:tabs>
            <w:rPr>
              <w:rFonts w:asciiTheme="minorHAnsi" w:eastAsiaTheme="minorEastAsia" w:hAnsiTheme="minorHAnsi" w:cstheme="minorBidi"/>
              <w:noProof/>
              <w:color w:val="auto"/>
              <w:szCs w:val="22"/>
              <w:lang w:val="lt-LT" w:eastAsia="lt-LT"/>
            </w:rPr>
          </w:pPr>
          <w:hyperlink w:anchor="_Toc67925183" w:history="1">
            <w:r w:rsidRPr="006B6DA7">
              <w:rPr>
                <w:rStyle w:val="Hyperlink"/>
                <w:rFonts w:ascii="Times New Roman" w:hAnsi="Times New Roman"/>
                <w:noProof/>
              </w:rPr>
              <w:t>3 priedas. Viešųjų konsultacijų santrauka</w:t>
            </w:r>
            <w:r>
              <w:rPr>
                <w:noProof/>
                <w:webHidden/>
              </w:rPr>
              <w:tab/>
            </w:r>
            <w:r>
              <w:rPr>
                <w:noProof/>
                <w:webHidden/>
              </w:rPr>
              <w:fldChar w:fldCharType="begin"/>
            </w:r>
            <w:r>
              <w:rPr>
                <w:noProof/>
                <w:webHidden/>
              </w:rPr>
              <w:instrText xml:space="preserve"> PAGEREF _Toc67925183 \h </w:instrText>
            </w:r>
            <w:r>
              <w:rPr>
                <w:noProof/>
                <w:webHidden/>
              </w:rPr>
            </w:r>
            <w:r>
              <w:rPr>
                <w:noProof/>
                <w:webHidden/>
              </w:rPr>
              <w:fldChar w:fldCharType="separate"/>
            </w:r>
            <w:r>
              <w:rPr>
                <w:noProof/>
                <w:webHidden/>
              </w:rPr>
              <w:t>121</w:t>
            </w:r>
            <w:r>
              <w:rPr>
                <w:noProof/>
                <w:webHidden/>
              </w:rPr>
              <w:fldChar w:fldCharType="end"/>
            </w:r>
          </w:hyperlink>
        </w:p>
        <w:p w14:paraId="578EE495" w14:textId="3B839222" w:rsidR="004C28AF" w:rsidRPr="00650EE4" w:rsidRDefault="00DA1E77" w:rsidP="002D7C6C">
          <w:pPr>
            <w:pStyle w:val="BodyText"/>
            <w:spacing w:line="240" w:lineRule="auto"/>
            <w:rPr>
              <w:rFonts w:ascii="Times New Roman" w:hAnsi="Times New Roman"/>
              <w:color w:val="000000" w:themeColor="text1"/>
              <w:szCs w:val="22"/>
              <w:lang w:val="lt-LT"/>
            </w:rPr>
          </w:pPr>
          <w:r w:rsidRPr="002D7C6C">
            <w:rPr>
              <w:rFonts w:ascii="Times New Roman" w:hAnsi="Times New Roman"/>
              <w:color w:val="000000" w:themeColor="text1"/>
              <w:szCs w:val="22"/>
              <w:lang w:val="lt-LT"/>
            </w:rPr>
            <w:fldChar w:fldCharType="end"/>
          </w:r>
          <w:bookmarkEnd w:id="3"/>
        </w:p>
        <w:p w14:paraId="7B02274B" w14:textId="7DAD26EB" w:rsidR="00526623" w:rsidRPr="00650EE4" w:rsidRDefault="00526623" w:rsidP="00647722">
          <w:pPr>
            <w:pStyle w:val="Nenumeruojamosantrastes"/>
            <w:pBdr>
              <w:bottom w:val="single" w:sz="4" w:space="1" w:color="auto"/>
            </w:pBdr>
            <w:outlineLvl w:val="0"/>
            <w:rPr>
              <w:rFonts w:ascii="Times New Roman" w:hAnsi="Times New Roman"/>
              <w:color w:val="002060"/>
              <w:sz w:val="24"/>
              <w:szCs w:val="24"/>
            </w:rPr>
          </w:pPr>
          <w:bookmarkStart w:id="5" w:name="_Toc67925096"/>
          <w:r w:rsidRPr="00650EE4">
            <w:rPr>
              <w:rFonts w:ascii="Times New Roman" w:hAnsi="Times New Roman"/>
              <w:color w:val="002060"/>
              <w:sz w:val="24"/>
              <w:szCs w:val="24"/>
            </w:rPr>
            <w:lastRenderedPageBreak/>
            <w:t>LENTELIŲ SĄRAŠAS</w:t>
          </w:r>
          <w:bookmarkEnd w:id="5"/>
        </w:p>
        <w:p w14:paraId="1492C9FE" w14:textId="77777777" w:rsidR="0045783E" w:rsidRDefault="00910E7F">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color w:val="000000" w:themeColor="text1"/>
              <w:sz w:val="22"/>
              <w:szCs w:val="22"/>
              <w:lang w:val="lt-LT"/>
            </w:rPr>
            <w:fldChar w:fldCharType="begin"/>
          </w:r>
          <w:r w:rsidRPr="00C65CA1">
            <w:rPr>
              <w:color w:val="000000" w:themeColor="text1"/>
              <w:sz w:val="22"/>
              <w:szCs w:val="22"/>
              <w:lang w:val="lt-LT"/>
            </w:rPr>
            <w:instrText xml:space="preserve"> TOC \c "lentelė" </w:instrText>
          </w:r>
          <w:r w:rsidRPr="00C65CA1">
            <w:rPr>
              <w:color w:val="000000" w:themeColor="text1"/>
              <w:sz w:val="22"/>
              <w:szCs w:val="22"/>
              <w:lang w:val="lt-LT"/>
            </w:rPr>
            <w:fldChar w:fldCharType="separate"/>
          </w:r>
          <w:r w:rsidR="0045783E">
            <w:rPr>
              <w:noProof/>
            </w:rPr>
            <w:t>1 lentelė. Nacionalinis pastatų fondas pagal pastatų grupes ir pogrupius</w:t>
          </w:r>
          <w:r w:rsidR="0045783E">
            <w:rPr>
              <w:noProof/>
            </w:rPr>
            <w:tab/>
          </w:r>
          <w:r w:rsidR="0045783E">
            <w:rPr>
              <w:noProof/>
            </w:rPr>
            <w:fldChar w:fldCharType="begin"/>
          </w:r>
          <w:r w:rsidR="0045783E">
            <w:rPr>
              <w:noProof/>
            </w:rPr>
            <w:instrText xml:space="preserve"> PAGEREF _Toc67925184 \h </w:instrText>
          </w:r>
          <w:r w:rsidR="0045783E">
            <w:rPr>
              <w:noProof/>
            </w:rPr>
          </w:r>
          <w:r w:rsidR="0045783E">
            <w:rPr>
              <w:noProof/>
            </w:rPr>
            <w:fldChar w:fldCharType="separate"/>
          </w:r>
          <w:r w:rsidR="0045783E">
            <w:rPr>
              <w:noProof/>
            </w:rPr>
            <w:t>13</w:t>
          </w:r>
          <w:r w:rsidR="0045783E">
            <w:rPr>
              <w:noProof/>
            </w:rPr>
            <w:fldChar w:fldCharType="end"/>
          </w:r>
        </w:p>
        <w:p w14:paraId="5E5BD84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 lentelė. Gyvenamųjų bei negyvenamųjų pastatų grupių ir NTR požymių sąsaja</w:t>
          </w:r>
          <w:r>
            <w:rPr>
              <w:noProof/>
            </w:rPr>
            <w:tab/>
          </w:r>
          <w:r>
            <w:rPr>
              <w:noProof/>
            </w:rPr>
            <w:fldChar w:fldCharType="begin"/>
          </w:r>
          <w:r>
            <w:rPr>
              <w:noProof/>
            </w:rPr>
            <w:instrText xml:space="preserve"> PAGEREF _Toc67925185 \h </w:instrText>
          </w:r>
          <w:r>
            <w:rPr>
              <w:noProof/>
            </w:rPr>
          </w:r>
          <w:r>
            <w:rPr>
              <w:noProof/>
            </w:rPr>
            <w:fldChar w:fldCharType="separate"/>
          </w:r>
          <w:r>
            <w:rPr>
              <w:noProof/>
            </w:rPr>
            <w:t>14</w:t>
          </w:r>
          <w:r>
            <w:rPr>
              <w:noProof/>
            </w:rPr>
            <w:fldChar w:fldCharType="end"/>
          </w:r>
        </w:p>
        <w:p w14:paraId="048444A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 lentelė. Pastatų fondas pagal statybos pabaigos metus (vnt.)</w:t>
          </w:r>
          <w:r>
            <w:rPr>
              <w:noProof/>
            </w:rPr>
            <w:tab/>
          </w:r>
          <w:r>
            <w:rPr>
              <w:noProof/>
            </w:rPr>
            <w:fldChar w:fldCharType="begin"/>
          </w:r>
          <w:r>
            <w:rPr>
              <w:noProof/>
            </w:rPr>
            <w:instrText xml:space="preserve"> PAGEREF _Toc67925186 \h </w:instrText>
          </w:r>
          <w:r>
            <w:rPr>
              <w:noProof/>
            </w:rPr>
          </w:r>
          <w:r>
            <w:rPr>
              <w:noProof/>
            </w:rPr>
            <w:fldChar w:fldCharType="separate"/>
          </w:r>
          <w:r>
            <w:rPr>
              <w:noProof/>
            </w:rPr>
            <w:t>15</w:t>
          </w:r>
          <w:r>
            <w:rPr>
              <w:noProof/>
            </w:rPr>
            <w:fldChar w:fldCharType="end"/>
          </w:r>
        </w:p>
        <w:p w14:paraId="614A8AFD"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 lentelė. Pastatų fondas pagal statybos pabaigos metus (tūkst. m</w:t>
          </w:r>
          <w:r w:rsidRPr="00FD4EA8">
            <w:rPr>
              <w:noProof/>
              <w:vertAlign w:val="superscript"/>
            </w:rPr>
            <w:t>2</w:t>
          </w:r>
          <w:r>
            <w:rPr>
              <w:noProof/>
            </w:rPr>
            <w:t>)</w:t>
          </w:r>
          <w:r>
            <w:rPr>
              <w:noProof/>
            </w:rPr>
            <w:tab/>
          </w:r>
          <w:r>
            <w:rPr>
              <w:noProof/>
            </w:rPr>
            <w:fldChar w:fldCharType="begin"/>
          </w:r>
          <w:r>
            <w:rPr>
              <w:noProof/>
            </w:rPr>
            <w:instrText xml:space="preserve"> PAGEREF _Toc67925187 \h </w:instrText>
          </w:r>
          <w:r>
            <w:rPr>
              <w:noProof/>
            </w:rPr>
          </w:r>
          <w:r>
            <w:rPr>
              <w:noProof/>
            </w:rPr>
            <w:fldChar w:fldCharType="separate"/>
          </w:r>
          <w:r>
            <w:rPr>
              <w:noProof/>
            </w:rPr>
            <w:t>15</w:t>
          </w:r>
          <w:r>
            <w:rPr>
              <w:noProof/>
            </w:rPr>
            <w:fldChar w:fldCharType="end"/>
          </w:r>
        </w:p>
        <w:p w14:paraId="03C3015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 lentelė. Pastatų fondas pagal nuosavybės tipą (vnt.)</w:t>
          </w:r>
          <w:r>
            <w:rPr>
              <w:noProof/>
            </w:rPr>
            <w:tab/>
          </w:r>
          <w:r>
            <w:rPr>
              <w:noProof/>
            </w:rPr>
            <w:fldChar w:fldCharType="begin"/>
          </w:r>
          <w:r>
            <w:rPr>
              <w:noProof/>
            </w:rPr>
            <w:instrText xml:space="preserve"> PAGEREF _Toc67925188 \h </w:instrText>
          </w:r>
          <w:r>
            <w:rPr>
              <w:noProof/>
            </w:rPr>
          </w:r>
          <w:r>
            <w:rPr>
              <w:noProof/>
            </w:rPr>
            <w:fldChar w:fldCharType="separate"/>
          </w:r>
          <w:r>
            <w:rPr>
              <w:noProof/>
            </w:rPr>
            <w:t>17</w:t>
          </w:r>
          <w:r>
            <w:rPr>
              <w:noProof/>
            </w:rPr>
            <w:fldChar w:fldCharType="end"/>
          </w:r>
        </w:p>
        <w:p w14:paraId="6B1698D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 lentelė. Pastatų fondas pagal nuosavybės tipą (tūkst. m</w:t>
          </w:r>
          <w:r w:rsidRPr="00FD4EA8">
            <w:rPr>
              <w:noProof/>
              <w:vertAlign w:val="superscript"/>
            </w:rPr>
            <w:t>2</w:t>
          </w:r>
          <w:r>
            <w:rPr>
              <w:noProof/>
            </w:rPr>
            <w:t>)</w:t>
          </w:r>
          <w:r>
            <w:rPr>
              <w:noProof/>
            </w:rPr>
            <w:tab/>
          </w:r>
          <w:r>
            <w:rPr>
              <w:noProof/>
            </w:rPr>
            <w:fldChar w:fldCharType="begin"/>
          </w:r>
          <w:r>
            <w:rPr>
              <w:noProof/>
            </w:rPr>
            <w:instrText xml:space="preserve"> PAGEREF _Toc67925189 \h </w:instrText>
          </w:r>
          <w:r>
            <w:rPr>
              <w:noProof/>
            </w:rPr>
          </w:r>
          <w:r>
            <w:rPr>
              <w:noProof/>
            </w:rPr>
            <w:fldChar w:fldCharType="separate"/>
          </w:r>
          <w:r>
            <w:rPr>
              <w:noProof/>
            </w:rPr>
            <w:t>17</w:t>
          </w:r>
          <w:r>
            <w:rPr>
              <w:noProof/>
            </w:rPr>
            <w:fldChar w:fldCharType="end"/>
          </w:r>
        </w:p>
        <w:p w14:paraId="5CF1E863"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7 lentelė. Pastatų fondas pagal sienų medžiagiškumą (vnt.)</w:t>
          </w:r>
          <w:r>
            <w:rPr>
              <w:noProof/>
            </w:rPr>
            <w:tab/>
          </w:r>
          <w:r>
            <w:rPr>
              <w:noProof/>
            </w:rPr>
            <w:fldChar w:fldCharType="begin"/>
          </w:r>
          <w:r>
            <w:rPr>
              <w:noProof/>
            </w:rPr>
            <w:instrText xml:space="preserve"> PAGEREF _Toc67925190 \h </w:instrText>
          </w:r>
          <w:r>
            <w:rPr>
              <w:noProof/>
            </w:rPr>
          </w:r>
          <w:r>
            <w:rPr>
              <w:noProof/>
            </w:rPr>
            <w:fldChar w:fldCharType="separate"/>
          </w:r>
          <w:r>
            <w:rPr>
              <w:noProof/>
            </w:rPr>
            <w:t>19</w:t>
          </w:r>
          <w:r>
            <w:rPr>
              <w:noProof/>
            </w:rPr>
            <w:fldChar w:fldCharType="end"/>
          </w:r>
        </w:p>
        <w:p w14:paraId="476D030B"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8 lentelė. Pastatų fondas pagal sienų medžiagiškumą (tūkst. m</w:t>
          </w:r>
          <w:r w:rsidRPr="00FD4EA8">
            <w:rPr>
              <w:noProof/>
              <w:vertAlign w:val="superscript"/>
            </w:rPr>
            <w:t>2</w:t>
          </w:r>
          <w:r>
            <w:rPr>
              <w:noProof/>
            </w:rPr>
            <w:t>)</w:t>
          </w:r>
          <w:r>
            <w:rPr>
              <w:noProof/>
            </w:rPr>
            <w:tab/>
          </w:r>
          <w:r>
            <w:rPr>
              <w:noProof/>
            </w:rPr>
            <w:fldChar w:fldCharType="begin"/>
          </w:r>
          <w:r>
            <w:rPr>
              <w:noProof/>
            </w:rPr>
            <w:instrText xml:space="preserve"> PAGEREF _Toc67925191 \h </w:instrText>
          </w:r>
          <w:r>
            <w:rPr>
              <w:noProof/>
            </w:rPr>
          </w:r>
          <w:r>
            <w:rPr>
              <w:noProof/>
            </w:rPr>
            <w:fldChar w:fldCharType="separate"/>
          </w:r>
          <w:r>
            <w:rPr>
              <w:noProof/>
            </w:rPr>
            <w:t>19</w:t>
          </w:r>
          <w:r>
            <w:rPr>
              <w:noProof/>
            </w:rPr>
            <w:fldChar w:fldCharType="end"/>
          </w:r>
        </w:p>
        <w:p w14:paraId="3C1A981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9 lentelė. Pastatų fondas pagal šildymo tipą - prijungta ar neprijungta prie CŠT (vnt.)</w:t>
          </w:r>
          <w:r>
            <w:rPr>
              <w:noProof/>
            </w:rPr>
            <w:tab/>
          </w:r>
          <w:r>
            <w:rPr>
              <w:noProof/>
            </w:rPr>
            <w:fldChar w:fldCharType="begin"/>
          </w:r>
          <w:r>
            <w:rPr>
              <w:noProof/>
            </w:rPr>
            <w:instrText xml:space="preserve"> PAGEREF _Toc67925192 \h </w:instrText>
          </w:r>
          <w:r>
            <w:rPr>
              <w:noProof/>
            </w:rPr>
          </w:r>
          <w:r>
            <w:rPr>
              <w:noProof/>
            </w:rPr>
            <w:fldChar w:fldCharType="separate"/>
          </w:r>
          <w:r>
            <w:rPr>
              <w:noProof/>
            </w:rPr>
            <w:t>21</w:t>
          </w:r>
          <w:r>
            <w:rPr>
              <w:noProof/>
            </w:rPr>
            <w:fldChar w:fldCharType="end"/>
          </w:r>
        </w:p>
        <w:p w14:paraId="634A3F37"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10 lentelė. Pastatų fondas pagal šildymo tipą - prijungta ar neprijungta prie CŠT (tūkst. m</w:t>
          </w:r>
          <w:r w:rsidRPr="00FD4EA8">
            <w:rPr>
              <w:noProof/>
              <w:vertAlign w:val="superscript"/>
            </w:rPr>
            <w:t>2</w:t>
          </w:r>
          <w:r>
            <w:rPr>
              <w:noProof/>
            </w:rPr>
            <w:t>)</w:t>
          </w:r>
          <w:r>
            <w:rPr>
              <w:noProof/>
            </w:rPr>
            <w:tab/>
          </w:r>
          <w:r>
            <w:rPr>
              <w:noProof/>
            </w:rPr>
            <w:fldChar w:fldCharType="begin"/>
          </w:r>
          <w:r>
            <w:rPr>
              <w:noProof/>
            </w:rPr>
            <w:instrText xml:space="preserve"> PAGEREF _Toc67925193 \h </w:instrText>
          </w:r>
          <w:r>
            <w:rPr>
              <w:noProof/>
            </w:rPr>
          </w:r>
          <w:r>
            <w:rPr>
              <w:noProof/>
            </w:rPr>
            <w:fldChar w:fldCharType="separate"/>
          </w:r>
          <w:r>
            <w:rPr>
              <w:noProof/>
            </w:rPr>
            <w:t>21</w:t>
          </w:r>
          <w:r>
            <w:rPr>
              <w:noProof/>
            </w:rPr>
            <w:fldChar w:fldCharType="end"/>
          </w:r>
        </w:p>
        <w:p w14:paraId="3268010A"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11 lentelė. Pastatų fondas pagal šildymo tipą – prijungta prie CŠT (vnt. ir tūkst. m</w:t>
          </w:r>
          <w:r w:rsidRPr="00FD4EA8">
            <w:rPr>
              <w:noProof/>
              <w:vertAlign w:val="superscript"/>
            </w:rPr>
            <w:t>2</w:t>
          </w:r>
          <w:r>
            <w:rPr>
              <w:noProof/>
            </w:rPr>
            <w:t>)</w:t>
          </w:r>
          <w:r>
            <w:rPr>
              <w:noProof/>
            </w:rPr>
            <w:tab/>
          </w:r>
          <w:r>
            <w:rPr>
              <w:noProof/>
            </w:rPr>
            <w:fldChar w:fldCharType="begin"/>
          </w:r>
          <w:r>
            <w:rPr>
              <w:noProof/>
            </w:rPr>
            <w:instrText xml:space="preserve"> PAGEREF _Toc67925194 \h </w:instrText>
          </w:r>
          <w:r>
            <w:rPr>
              <w:noProof/>
            </w:rPr>
          </w:r>
          <w:r>
            <w:rPr>
              <w:noProof/>
            </w:rPr>
            <w:fldChar w:fldCharType="separate"/>
          </w:r>
          <w:r>
            <w:rPr>
              <w:noProof/>
            </w:rPr>
            <w:t>21</w:t>
          </w:r>
          <w:r>
            <w:rPr>
              <w:noProof/>
            </w:rPr>
            <w:fldChar w:fldCharType="end"/>
          </w:r>
        </w:p>
        <w:p w14:paraId="5AFCB13A"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12 lentelė. Pastatai, turintys energinio naudingumo sertifikatą (vnt.)</w:t>
          </w:r>
          <w:r>
            <w:rPr>
              <w:noProof/>
            </w:rPr>
            <w:tab/>
          </w:r>
          <w:r>
            <w:rPr>
              <w:noProof/>
            </w:rPr>
            <w:fldChar w:fldCharType="begin"/>
          </w:r>
          <w:r>
            <w:rPr>
              <w:noProof/>
            </w:rPr>
            <w:instrText xml:space="preserve"> PAGEREF _Toc67925195 \h </w:instrText>
          </w:r>
          <w:r>
            <w:rPr>
              <w:noProof/>
            </w:rPr>
          </w:r>
          <w:r>
            <w:rPr>
              <w:noProof/>
            </w:rPr>
            <w:fldChar w:fldCharType="separate"/>
          </w:r>
          <w:r>
            <w:rPr>
              <w:noProof/>
            </w:rPr>
            <w:t>22</w:t>
          </w:r>
          <w:r>
            <w:rPr>
              <w:noProof/>
            </w:rPr>
            <w:fldChar w:fldCharType="end"/>
          </w:r>
        </w:p>
        <w:p w14:paraId="2B27DAAF"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13 lentelė. Energinio naudingumo klasės priskyrimas pagal statybos metus</w:t>
          </w:r>
          <w:r>
            <w:rPr>
              <w:noProof/>
            </w:rPr>
            <w:tab/>
          </w:r>
          <w:r>
            <w:rPr>
              <w:noProof/>
            </w:rPr>
            <w:fldChar w:fldCharType="begin"/>
          </w:r>
          <w:r>
            <w:rPr>
              <w:noProof/>
            </w:rPr>
            <w:instrText xml:space="preserve"> PAGEREF _Toc67925196 \h </w:instrText>
          </w:r>
          <w:r>
            <w:rPr>
              <w:noProof/>
            </w:rPr>
          </w:r>
          <w:r>
            <w:rPr>
              <w:noProof/>
            </w:rPr>
            <w:fldChar w:fldCharType="separate"/>
          </w:r>
          <w:r>
            <w:rPr>
              <w:noProof/>
            </w:rPr>
            <w:t>23</w:t>
          </w:r>
          <w:r>
            <w:rPr>
              <w:noProof/>
            </w:rPr>
            <w:fldChar w:fldCharType="end"/>
          </w:r>
        </w:p>
        <w:p w14:paraId="32FD328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14 lentelė. Pastatų fondas pagal energinio naudingumo klasę (vnt.)</w:t>
          </w:r>
          <w:r>
            <w:rPr>
              <w:noProof/>
            </w:rPr>
            <w:tab/>
          </w:r>
          <w:r>
            <w:rPr>
              <w:noProof/>
            </w:rPr>
            <w:fldChar w:fldCharType="begin"/>
          </w:r>
          <w:r>
            <w:rPr>
              <w:noProof/>
            </w:rPr>
            <w:instrText xml:space="preserve"> PAGEREF _Toc67925197 \h </w:instrText>
          </w:r>
          <w:r>
            <w:rPr>
              <w:noProof/>
            </w:rPr>
          </w:r>
          <w:r>
            <w:rPr>
              <w:noProof/>
            </w:rPr>
            <w:fldChar w:fldCharType="separate"/>
          </w:r>
          <w:r>
            <w:rPr>
              <w:noProof/>
            </w:rPr>
            <w:t>23</w:t>
          </w:r>
          <w:r>
            <w:rPr>
              <w:noProof/>
            </w:rPr>
            <w:fldChar w:fldCharType="end"/>
          </w:r>
        </w:p>
        <w:p w14:paraId="368865C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15 lentelė. Pastatų fondas pagal energinio naudingumo klasę (tūkst. m</w:t>
          </w:r>
          <w:r w:rsidRPr="00FD4EA8">
            <w:rPr>
              <w:noProof/>
              <w:vertAlign w:val="superscript"/>
            </w:rPr>
            <w:t>2</w:t>
          </w:r>
          <w:r>
            <w:rPr>
              <w:noProof/>
            </w:rPr>
            <w:t>)</w:t>
          </w:r>
          <w:r>
            <w:rPr>
              <w:noProof/>
            </w:rPr>
            <w:tab/>
          </w:r>
          <w:r>
            <w:rPr>
              <w:noProof/>
            </w:rPr>
            <w:fldChar w:fldCharType="begin"/>
          </w:r>
          <w:r>
            <w:rPr>
              <w:noProof/>
            </w:rPr>
            <w:instrText xml:space="preserve"> PAGEREF _Toc67925198 \h </w:instrText>
          </w:r>
          <w:r>
            <w:rPr>
              <w:noProof/>
            </w:rPr>
          </w:r>
          <w:r>
            <w:rPr>
              <w:noProof/>
            </w:rPr>
            <w:fldChar w:fldCharType="separate"/>
          </w:r>
          <w:r>
            <w:rPr>
              <w:noProof/>
            </w:rPr>
            <w:t>23</w:t>
          </w:r>
          <w:r>
            <w:rPr>
              <w:noProof/>
            </w:rPr>
            <w:fldChar w:fldCharType="end"/>
          </w:r>
        </w:p>
        <w:p w14:paraId="29B512A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16 lentelė. Vakarų Lietuvos pastatų fondo dalis</w:t>
          </w:r>
          <w:r>
            <w:rPr>
              <w:noProof/>
            </w:rPr>
            <w:tab/>
          </w:r>
          <w:r>
            <w:rPr>
              <w:noProof/>
            </w:rPr>
            <w:fldChar w:fldCharType="begin"/>
          </w:r>
          <w:r>
            <w:rPr>
              <w:noProof/>
            </w:rPr>
            <w:instrText xml:space="preserve"> PAGEREF _Toc67925199 \h </w:instrText>
          </w:r>
          <w:r>
            <w:rPr>
              <w:noProof/>
            </w:rPr>
          </w:r>
          <w:r>
            <w:rPr>
              <w:noProof/>
            </w:rPr>
            <w:fldChar w:fldCharType="separate"/>
          </w:r>
          <w:r>
            <w:rPr>
              <w:noProof/>
            </w:rPr>
            <w:t>25</w:t>
          </w:r>
          <w:r>
            <w:rPr>
              <w:noProof/>
            </w:rPr>
            <w:fldChar w:fldCharType="end"/>
          </w:r>
        </w:p>
        <w:p w14:paraId="22997393"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17 lentelė. Pastatų fondo šiluminės energijos pastato šildymui vartojimas pagal ENK (GWh)</w:t>
          </w:r>
          <w:r>
            <w:rPr>
              <w:noProof/>
            </w:rPr>
            <w:tab/>
          </w:r>
          <w:r>
            <w:rPr>
              <w:noProof/>
            </w:rPr>
            <w:fldChar w:fldCharType="begin"/>
          </w:r>
          <w:r>
            <w:rPr>
              <w:noProof/>
            </w:rPr>
            <w:instrText xml:space="preserve"> PAGEREF _Toc67925200 \h </w:instrText>
          </w:r>
          <w:r>
            <w:rPr>
              <w:noProof/>
            </w:rPr>
          </w:r>
          <w:r>
            <w:rPr>
              <w:noProof/>
            </w:rPr>
            <w:fldChar w:fldCharType="separate"/>
          </w:r>
          <w:r>
            <w:rPr>
              <w:noProof/>
            </w:rPr>
            <w:t>27</w:t>
          </w:r>
          <w:r>
            <w:rPr>
              <w:noProof/>
            </w:rPr>
            <w:fldChar w:fldCharType="end"/>
          </w:r>
        </w:p>
        <w:p w14:paraId="73F39F3F"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18 lentelė. Pastatų fondo šiluminės energijos vartojimas karštam vandeniui ruošti pagal ENK (GWh)</w:t>
          </w:r>
          <w:r>
            <w:rPr>
              <w:noProof/>
            </w:rPr>
            <w:tab/>
          </w:r>
          <w:r>
            <w:rPr>
              <w:noProof/>
            </w:rPr>
            <w:fldChar w:fldCharType="begin"/>
          </w:r>
          <w:r>
            <w:rPr>
              <w:noProof/>
            </w:rPr>
            <w:instrText xml:space="preserve"> PAGEREF _Toc67925201 \h </w:instrText>
          </w:r>
          <w:r>
            <w:rPr>
              <w:noProof/>
            </w:rPr>
          </w:r>
          <w:r>
            <w:rPr>
              <w:noProof/>
            </w:rPr>
            <w:fldChar w:fldCharType="separate"/>
          </w:r>
          <w:r>
            <w:rPr>
              <w:noProof/>
            </w:rPr>
            <w:t>28</w:t>
          </w:r>
          <w:r>
            <w:rPr>
              <w:noProof/>
            </w:rPr>
            <w:fldChar w:fldCharType="end"/>
          </w:r>
        </w:p>
        <w:p w14:paraId="643133B6"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19 lentelė. Pastatų fondo elektros energijos vartojimas pagal ENK (GWh)</w:t>
          </w:r>
          <w:r>
            <w:rPr>
              <w:noProof/>
            </w:rPr>
            <w:tab/>
          </w:r>
          <w:r>
            <w:rPr>
              <w:noProof/>
            </w:rPr>
            <w:fldChar w:fldCharType="begin"/>
          </w:r>
          <w:r>
            <w:rPr>
              <w:noProof/>
            </w:rPr>
            <w:instrText xml:space="preserve"> PAGEREF _Toc67925202 \h </w:instrText>
          </w:r>
          <w:r>
            <w:rPr>
              <w:noProof/>
            </w:rPr>
          </w:r>
          <w:r>
            <w:rPr>
              <w:noProof/>
            </w:rPr>
            <w:fldChar w:fldCharType="separate"/>
          </w:r>
          <w:r>
            <w:rPr>
              <w:noProof/>
            </w:rPr>
            <w:t>29</w:t>
          </w:r>
          <w:r>
            <w:rPr>
              <w:noProof/>
            </w:rPr>
            <w:fldChar w:fldCharType="end"/>
          </w:r>
        </w:p>
        <w:p w14:paraId="4E99C8A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20 lentelė. Pastatų fondo šiluminės energijos gamybos struktūra</w:t>
          </w:r>
          <w:r>
            <w:rPr>
              <w:noProof/>
            </w:rPr>
            <w:tab/>
          </w:r>
          <w:r>
            <w:rPr>
              <w:noProof/>
            </w:rPr>
            <w:fldChar w:fldCharType="begin"/>
          </w:r>
          <w:r>
            <w:rPr>
              <w:noProof/>
            </w:rPr>
            <w:instrText xml:space="preserve"> PAGEREF _Toc67925203 \h </w:instrText>
          </w:r>
          <w:r>
            <w:rPr>
              <w:noProof/>
            </w:rPr>
          </w:r>
          <w:r>
            <w:rPr>
              <w:noProof/>
            </w:rPr>
            <w:fldChar w:fldCharType="separate"/>
          </w:r>
          <w:r>
            <w:rPr>
              <w:noProof/>
            </w:rPr>
            <w:t>30</w:t>
          </w:r>
          <w:r>
            <w:rPr>
              <w:noProof/>
            </w:rPr>
            <w:fldChar w:fldCharType="end"/>
          </w:r>
        </w:p>
        <w:p w14:paraId="7CB45C7A"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21 lentelė. Energijos gamybai naudojamų energijos šaltinių neatsinaujinančios pirminės energijos, atsinaujinančios pirminės energijos ir CO</w:t>
          </w:r>
          <w:r w:rsidRPr="00FD4EA8">
            <w:rPr>
              <w:noProof/>
              <w:vertAlign w:val="subscript"/>
            </w:rPr>
            <w:t>2</w:t>
          </w:r>
          <w:r>
            <w:rPr>
              <w:noProof/>
            </w:rPr>
            <w:t xml:space="preserve"> emisijų faktorių vertės</w:t>
          </w:r>
          <w:r>
            <w:rPr>
              <w:noProof/>
            </w:rPr>
            <w:tab/>
          </w:r>
          <w:r>
            <w:rPr>
              <w:noProof/>
            </w:rPr>
            <w:fldChar w:fldCharType="begin"/>
          </w:r>
          <w:r>
            <w:rPr>
              <w:noProof/>
            </w:rPr>
            <w:instrText xml:space="preserve"> PAGEREF _Toc67925204 \h </w:instrText>
          </w:r>
          <w:r>
            <w:rPr>
              <w:noProof/>
            </w:rPr>
          </w:r>
          <w:r>
            <w:rPr>
              <w:noProof/>
            </w:rPr>
            <w:fldChar w:fldCharType="separate"/>
          </w:r>
          <w:r>
            <w:rPr>
              <w:noProof/>
            </w:rPr>
            <w:t>30</w:t>
          </w:r>
          <w:r>
            <w:rPr>
              <w:noProof/>
            </w:rPr>
            <w:fldChar w:fldCharType="end"/>
          </w:r>
        </w:p>
        <w:p w14:paraId="2E4CA709"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22 lentelė. Pastatų fondo pirminės energijos vartojimas pagal ENK (GWh/metus)</w:t>
          </w:r>
          <w:r>
            <w:rPr>
              <w:noProof/>
            </w:rPr>
            <w:tab/>
          </w:r>
          <w:r>
            <w:rPr>
              <w:noProof/>
            </w:rPr>
            <w:fldChar w:fldCharType="begin"/>
          </w:r>
          <w:r>
            <w:rPr>
              <w:noProof/>
            </w:rPr>
            <w:instrText xml:space="preserve"> PAGEREF _Toc67925205 \h </w:instrText>
          </w:r>
          <w:r>
            <w:rPr>
              <w:noProof/>
            </w:rPr>
          </w:r>
          <w:r>
            <w:rPr>
              <w:noProof/>
            </w:rPr>
            <w:fldChar w:fldCharType="separate"/>
          </w:r>
          <w:r>
            <w:rPr>
              <w:noProof/>
            </w:rPr>
            <w:t>30</w:t>
          </w:r>
          <w:r>
            <w:rPr>
              <w:noProof/>
            </w:rPr>
            <w:fldChar w:fldCharType="end"/>
          </w:r>
        </w:p>
        <w:p w14:paraId="4DB0E1B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23 lentelė. Pastatų fondo pirminės energijos vartojimas pagal kuro ir energijos rūšis (GWh/metus)</w:t>
          </w:r>
          <w:r>
            <w:rPr>
              <w:noProof/>
            </w:rPr>
            <w:tab/>
          </w:r>
          <w:r>
            <w:rPr>
              <w:noProof/>
            </w:rPr>
            <w:fldChar w:fldCharType="begin"/>
          </w:r>
          <w:r>
            <w:rPr>
              <w:noProof/>
            </w:rPr>
            <w:instrText xml:space="preserve"> PAGEREF _Toc67925206 \h </w:instrText>
          </w:r>
          <w:r>
            <w:rPr>
              <w:noProof/>
            </w:rPr>
          </w:r>
          <w:r>
            <w:rPr>
              <w:noProof/>
            </w:rPr>
            <w:fldChar w:fldCharType="separate"/>
          </w:r>
          <w:r>
            <w:rPr>
              <w:noProof/>
            </w:rPr>
            <w:t>31</w:t>
          </w:r>
          <w:r>
            <w:rPr>
              <w:noProof/>
            </w:rPr>
            <w:fldChar w:fldCharType="end"/>
          </w:r>
        </w:p>
        <w:p w14:paraId="15CFA3A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24 lentelė. Pastatų fondo CO</w:t>
          </w:r>
          <w:r w:rsidRPr="00FD4EA8">
            <w:rPr>
              <w:noProof/>
              <w:vertAlign w:val="subscript"/>
            </w:rPr>
            <w:t>2</w:t>
          </w:r>
          <w:r>
            <w:rPr>
              <w:noProof/>
            </w:rPr>
            <w:t xml:space="preserve"> emisijos (ktCO</w:t>
          </w:r>
          <w:r w:rsidRPr="00FD4EA8">
            <w:rPr>
              <w:noProof/>
              <w:vertAlign w:val="subscript"/>
            </w:rPr>
            <w:t>2</w:t>
          </w:r>
          <w:r>
            <w:rPr>
              <w:noProof/>
            </w:rPr>
            <w:t>/metus)</w:t>
          </w:r>
          <w:r>
            <w:rPr>
              <w:noProof/>
            </w:rPr>
            <w:tab/>
          </w:r>
          <w:r>
            <w:rPr>
              <w:noProof/>
            </w:rPr>
            <w:fldChar w:fldCharType="begin"/>
          </w:r>
          <w:r>
            <w:rPr>
              <w:noProof/>
            </w:rPr>
            <w:instrText xml:space="preserve"> PAGEREF _Toc67925207 \h </w:instrText>
          </w:r>
          <w:r>
            <w:rPr>
              <w:noProof/>
            </w:rPr>
          </w:r>
          <w:r>
            <w:rPr>
              <w:noProof/>
            </w:rPr>
            <w:fldChar w:fldCharType="separate"/>
          </w:r>
          <w:r>
            <w:rPr>
              <w:noProof/>
            </w:rPr>
            <w:t>33</w:t>
          </w:r>
          <w:r>
            <w:rPr>
              <w:noProof/>
            </w:rPr>
            <w:fldChar w:fldCharType="end"/>
          </w:r>
        </w:p>
        <w:p w14:paraId="59C5779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25 lentelė. Pastatų fondas pagal ENK (tūkst. m</w:t>
          </w:r>
          <w:r w:rsidRPr="00FD4EA8">
            <w:rPr>
              <w:noProof/>
              <w:vertAlign w:val="superscript"/>
            </w:rPr>
            <w:t>2</w:t>
          </w:r>
          <w:r>
            <w:rPr>
              <w:noProof/>
            </w:rPr>
            <w:t>)</w:t>
          </w:r>
          <w:r>
            <w:rPr>
              <w:noProof/>
            </w:rPr>
            <w:tab/>
          </w:r>
          <w:r>
            <w:rPr>
              <w:noProof/>
            </w:rPr>
            <w:fldChar w:fldCharType="begin"/>
          </w:r>
          <w:r>
            <w:rPr>
              <w:noProof/>
            </w:rPr>
            <w:instrText xml:space="preserve"> PAGEREF _Toc67925208 \h </w:instrText>
          </w:r>
          <w:r>
            <w:rPr>
              <w:noProof/>
            </w:rPr>
          </w:r>
          <w:r>
            <w:rPr>
              <w:noProof/>
            </w:rPr>
            <w:fldChar w:fldCharType="separate"/>
          </w:r>
          <w:r>
            <w:rPr>
              <w:noProof/>
            </w:rPr>
            <w:t>34</w:t>
          </w:r>
          <w:r>
            <w:rPr>
              <w:noProof/>
            </w:rPr>
            <w:fldChar w:fldCharType="end"/>
          </w:r>
        </w:p>
        <w:p w14:paraId="078A7BE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26 lentelė. Pastatų fondo pirminės energijos vartojimas pagal ENK (GWh/metus)</w:t>
          </w:r>
          <w:r>
            <w:rPr>
              <w:noProof/>
            </w:rPr>
            <w:tab/>
          </w:r>
          <w:r>
            <w:rPr>
              <w:noProof/>
            </w:rPr>
            <w:fldChar w:fldCharType="begin"/>
          </w:r>
          <w:r>
            <w:rPr>
              <w:noProof/>
            </w:rPr>
            <w:instrText xml:space="preserve"> PAGEREF _Toc67925209 \h </w:instrText>
          </w:r>
          <w:r>
            <w:rPr>
              <w:noProof/>
            </w:rPr>
          </w:r>
          <w:r>
            <w:rPr>
              <w:noProof/>
            </w:rPr>
            <w:fldChar w:fldCharType="separate"/>
          </w:r>
          <w:r>
            <w:rPr>
              <w:noProof/>
            </w:rPr>
            <w:t>34</w:t>
          </w:r>
          <w:r>
            <w:rPr>
              <w:noProof/>
            </w:rPr>
            <w:fldChar w:fldCharType="end"/>
          </w:r>
        </w:p>
        <w:p w14:paraId="66BF494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27 lentelė. Pastatų energijos vidutinis vartojimas pagal paskirtį ir ENK (kWh/m</w:t>
          </w:r>
          <w:r w:rsidRPr="00FD4EA8">
            <w:rPr>
              <w:noProof/>
              <w:vertAlign w:val="superscript"/>
            </w:rPr>
            <w:t>2</w:t>
          </w:r>
          <w:r>
            <w:rPr>
              <w:noProof/>
            </w:rPr>
            <w:t xml:space="preserve"> per metus)</w:t>
          </w:r>
          <w:r>
            <w:rPr>
              <w:noProof/>
            </w:rPr>
            <w:tab/>
          </w:r>
          <w:r>
            <w:rPr>
              <w:noProof/>
            </w:rPr>
            <w:fldChar w:fldCharType="begin"/>
          </w:r>
          <w:r>
            <w:rPr>
              <w:noProof/>
            </w:rPr>
            <w:instrText xml:space="preserve"> PAGEREF _Toc67925210 \h </w:instrText>
          </w:r>
          <w:r>
            <w:rPr>
              <w:noProof/>
            </w:rPr>
          </w:r>
          <w:r>
            <w:rPr>
              <w:noProof/>
            </w:rPr>
            <w:fldChar w:fldCharType="separate"/>
          </w:r>
          <w:r>
            <w:rPr>
              <w:noProof/>
            </w:rPr>
            <w:t>35</w:t>
          </w:r>
          <w:r>
            <w:rPr>
              <w:noProof/>
            </w:rPr>
            <w:fldChar w:fldCharType="end"/>
          </w:r>
        </w:p>
        <w:p w14:paraId="536AB06F"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28 lentelė. Pastatų fondo koregavimas – nenaudojamų ir (arba) nešildomi pastatai</w:t>
          </w:r>
          <w:r>
            <w:rPr>
              <w:noProof/>
            </w:rPr>
            <w:tab/>
          </w:r>
          <w:r>
            <w:rPr>
              <w:noProof/>
            </w:rPr>
            <w:fldChar w:fldCharType="begin"/>
          </w:r>
          <w:r>
            <w:rPr>
              <w:noProof/>
            </w:rPr>
            <w:instrText xml:space="preserve"> PAGEREF _Toc67925211 \h </w:instrText>
          </w:r>
          <w:r>
            <w:rPr>
              <w:noProof/>
            </w:rPr>
          </w:r>
          <w:r>
            <w:rPr>
              <w:noProof/>
            </w:rPr>
            <w:fldChar w:fldCharType="separate"/>
          </w:r>
          <w:r>
            <w:rPr>
              <w:noProof/>
            </w:rPr>
            <w:t>35</w:t>
          </w:r>
          <w:r>
            <w:rPr>
              <w:noProof/>
            </w:rPr>
            <w:fldChar w:fldCharType="end"/>
          </w:r>
        </w:p>
        <w:p w14:paraId="3EFF806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29 lentelė. Dalinai renovuoti būstai (energijos suvartojimo tyrimo informacija), proc.</w:t>
          </w:r>
          <w:r>
            <w:rPr>
              <w:noProof/>
            </w:rPr>
            <w:tab/>
          </w:r>
          <w:r>
            <w:rPr>
              <w:noProof/>
            </w:rPr>
            <w:fldChar w:fldCharType="begin"/>
          </w:r>
          <w:r>
            <w:rPr>
              <w:noProof/>
            </w:rPr>
            <w:instrText xml:space="preserve"> PAGEREF _Toc67925212 \h </w:instrText>
          </w:r>
          <w:r>
            <w:rPr>
              <w:noProof/>
            </w:rPr>
          </w:r>
          <w:r>
            <w:rPr>
              <w:noProof/>
            </w:rPr>
            <w:fldChar w:fldCharType="separate"/>
          </w:r>
          <w:r>
            <w:rPr>
              <w:noProof/>
            </w:rPr>
            <w:t>38</w:t>
          </w:r>
          <w:r>
            <w:rPr>
              <w:noProof/>
            </w:rPr>
            <w:fldChar w:fldCharType="end"/>
          </w:r>
        </w:p>
        <w:p w14:paraId="6AED760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30 lentelė. Viešųjų pastatų skaičius pagal grupes ir energinio naudingumo klasę (vnt.)</w:t>
          </w:r>
          <w:r>
            <w:rPr>
              <w:noProof/>
            </w:rPr>
            <w:tab/>
          </w:r>
          <w:r>
            <w:rPr>
              <w:noProof/>
            </w:rPr>
            <w:fldChar w:fldCharType="begin"/>
          </w:r>
          <w:r>
            <w:rPr>
              <w:noProof/>
            </w:rPr>
            <w:instrText xml:space="preserve"> PAGEREF _Toc67925213 \h </w:instrText>
          </w:r>
          <w:r>
            <w:rPr>
              <w:noProof/>
            </w:rPr>
          </w:r>
          <w:r>
            <w:rPr>
              <w:noProof/>
            </w:rPr>
            <w:fldChar w:fldCharType="separate"/>
          </w:r>
          <w:r>
            <w:rPr>
              <w:noProof/>
            </w:rPr>
            <w:t>38</w:t>
          </w:r>
          <w:r>
            <w:rPr>
              <w:noProof/>
            </w:rPr>
            <w:fldChar w:fldCharType="end"/>
          </w:r>
        </w:p>
        <w:p w14:paraId="32D52A5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31 lentelė. Viešųjų pastatų plotas pagal grupes ir energinio naudingumo klasę (tūkst. m</w:t>
          </w:r>
          <w:r w:rsidRPr="00FD4EA8">
            <w:rPr>
              <w:noProof/>
              <w:vertAlign w:val="superscript"/>
            </w:rPr>
            <w:t>2</w:t>
          </w:r>
          <w:r>
            <w:rPr>
              <w:noProof/>
            </w:rPr>
            <w:t>)</w:t>
          </w:r>
          <w:r>
            <w:rPr>
              <w:noProof/>
            </w:rPr>
            <w:tab/>
          </w:r>
          <w:r>
            <w:rPr>
              <w:noProof/>
            </w:rPr>
            <w:fldChar w:fldCharType="begin"/>
          </w:r>
          <w:r>
            <w:rPr>
              <w:noProof/>
            </w:rPr>
            <w:instrText xml:space="preserve"> PAGEREF _Toc67925214 \h </w:instrText>
          </w:r>
          <w:r>
            <w:rPr>
              <w:noProof/>
            </w:rPr>
          </w:r>
          <w:r>
            <w:rPr>
              <w:noProof/>
            </w:rPr>
            <w:fldChar w:fldCharType="separate"/>
          </w:r>
          <w:r>
            <w:rPr>
              <w:noProof/>
            </w:rPr>
            <w:t>38</w:t>
          </w:r>
          <w:r>
            <w:rPr>
              <w:noProof/>
            </w:rPr>
            <w:fldChar w:fldCharType="end"/>
          </w:r>
        </w:p>
        <w:p w14:paraId="36C5BF3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32 lentelė. Viešųjų pastatų pirminės energijos vartojimas pagal grupes ir ENK (GWh/metus)</w:t>
          </w:r>
          <w:r>
            <w:rPr>
              <w:noProof/>
            </w:rPr>
            <w:tab/>
          </w:r>
          <w:r>
            <w:rPr>
              <w:noProof/>
            </w:rPr>
            <w:fldChar w:fldCharType="begin"/>
          </w:r>
          <w:r>
            <w:rPr>
              <w:noProof/>
            </w:rPr>
            <w:instrText xml:space="preserve"> PAGEREF _Toc67925215 \h </w:instrText>
          </w:r>
          <w:r>
            <w:rPr>
              <w:noProof/>
            </w:rPr>
          </w:r>
          <w:r>
            <w:rPr>
              <w:noProof/>
            </w:rPr>
            <w:fldChar w:fldCharType="separate"/>
          </w:r>
          <w:r>
            <w:rPr>
              <w:noProof/>
            </w:rPr>
            <w:t>39</w:t>
          </w:r>
          <w:r>
            <w:rPr>
              <w:noProof/>
            </w:rPr>
            <w:fldChar w:fldCharType="end"/>
          </w:r>
        </w:p>
        <w:p w14:paraId="5B46887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33 lentelė. Renovacijos priemonės</w:t>
          </w:r>
          <w:r>
            <w:rPr>
              <w:noProof/>
            </w:rPr>
            <w:tab/>
          </w:r>
          <w:r>
            <w:rPr>
              <w:noProof/>
            </w:rPr>
            <w:fldChar w:fldCharType="begin"/>
          </w:r>
          <w:r>
            <w:rPr>
              <w:noProof/>
            </w:rPr>
            <w:instrText xml:space="preserve"> PAGEREF _Toc67925216 \h </w:instrText>
          </w:r>
          <w:r>
            <w:rPr>
              <w:noProof/>
            </w:rPr>
          </w:r>
          <w:r>
            <w:rPr>
              <w:noProof/>
            </w:rPr>
            <w:fldChar w:fldCharType="separate"/>
          </w:r>
          <w:r>
            <w:rPr>
              <w:noProof/>
            </w:rPr>
            <w:t>40</w:t>
          </w:r>
          <w:r>
            <w:rPr>
              <w:noProof/>
            </w:rPr>
            <w:fldChar w:fldCharType="end"/>
          </w:r>
        </w:p>
        <w:p w14:paraId="3BEEEA8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34 lentelė. Pirminis renovacijos priemonių paketų sąrašas</w:t>
          </w:r>
          <w:r>
            <w:rPr>
              <w:noProof/>
            </w:rPr>
            <w:tab/>
          </w:r>
          <w:r>
            <w:rPr>
              <w:noProof/>
            </w:rPr>
            <w:fldChar w:fldCharType="begin"/>
          </w:r>
          <w:r>
            <w:rPr>
              <w:noProof/>
            </w:rPr>
            <w:instrText xml:space="preserve"> PAGEREF _Toc67925217 \h </w:instrText>
          </w:r>
          <w:r>
            <w:rPr>
              <w:noProof/>
            </w:rPr>
          </w:r>
          <w:r>
            <w:rPr>
              <w:noProof/>
            </w:rPr>
            <w:fldChar w:fldCharType="separate"/>
          </w:r>
          <w:r>
            <w:rPr>
              <w:noProof/>
            </w:rPr>
            <w:t>42</w:t>
          </w:r>
          <w:r>
            <w:rPr>
              <w:noProof/>
            </w:rPr>
            <w:fldChar w:fldCharType="end"/>
          </w:r>
        </w:p>
        <w:p w14:paraId="57A7B241"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35 lentelė. Renovacijos priemonių paketai</w:t>
          </w:r>
          <w:r>
            <w:rPr>
              <w:noProof/>
            </w:rPr>
            <w:tab/>
          </w:r>
          <w:r>
            <w:rPr>
              <w:noProof/>
            </w:rPr>
            <w:fldChar w:fldCharType="begin"/>
          </w:r>
          <w:r>
            <w:rPr>
              <w:noProof/>
            </w:rPr>
            <w:instrText xml:space="preserve"> PAGEREF _Toc67925218 \h </w:instrText>
          </w:r>
          <w:r>
            <w:rPr>
              <w:noProof/>
            </w:rPr>
          </w:r>
          <w:r>
            <w:rPr>
              <w:noProof/>
            </w:rPr>
            <w:fldChar w:fldCharType="separate"/>
          </w:r>
          <w:r>
            <w:rPr>
              <w:noProof/>
            </w:rPr>
            <w:t>43</w:t>
          </w:r>
          <w:r>
            <w:rPr>
              <w:noProof/>
            </w:rPr>
            <w:fldChar w:fldCharType="end"/>
          </w:r>
        </w:p>
        <w:p w14:paraId="576E3B7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36 lentelė. Renovacijos priemonių investicijos (Eur/m</w:t>
          </w:r>
          <w:r w:rsidRPr="00FD4EA8">
            <w:rPr>
              <w:noProof/>
              <w:vertAlign w:val="superscript"/>
            </w:rPr>
            <w:t>2</w:t>
          </w:r>
          <w:r>
            <w:rPr>
              <w:noProof/>
            </w:rPr>
            <w:t>)</w:t>
          </w:r>
          <w:r>
            <w:rPr>
              <w:noProof/>
            </w:rPr>
            <w:tab/>
          </w:r>
          <w:r>
            <w:rPr>
              <w:noProof/>
            </w:rPr>
            <w:fldChar w:fldCharType="begin"/>
          </w:r>
          <w:r>
            <w:rPr>
              <w:noProof/>
            </w:rPr>
            <w:instrText xml:space="preserve"> PAGEREF _Toc67925219 \h </w:instrText>
          </w:r>
          <w:r>
            <w:rPr>
              <w:noProof/>
            </w:rPr>
          </w:r>
          <w:r>
            <w:rPr>
              <w:noProof/>
            </w:rPr>
            <w:fldChar w:fldCharType="separate"/>
          </w:r>
          <w:r>
            <w:rPr>
              <w:noProof/>
            </w:rPr>
            <w:t>44</w:t>
          </w:r>
          <w:r>
            <w:rPr>
              <w:noProof/>
            </w:rPr>
            <w:fldChar w:fldCharType="end"/>
          </w:r>
        </w:p>
        <w:p w14:paraId="3AEBDB29"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37 lentelė. Renovacijos priemonių pirminės energijos sutaupymai (kWh/m</w:t>
          </w:r>
          <w:r w:rsidRPr="00FD4EA8">
            <w:rPr>
              <w:noProof/>
              <w:vertAlign w:val="superscript"/>
            </w:rPr>
            <w:t>2</w:t>
          </w:r>
          <w:r>
            <w:rPr>
              <w:noProof/>
            </w:rPr>
            <w:t>/metus)</w:t>
          </w:r>
          <w:r>
            <w:rPr>
              <w:noProof/>
            </w:rPr>
            <w:tab/>
          </w:r>
          <w:r>
            <w:rPr>
              <w:noProof/>
            </w:rPr>
            <w:fldChar w:fldCharType="begin"/>
          </w:r>
          <w:r>
            <w:rPr>
              <w:noProof/>
            </w:rPr>
            <w:instrText xml:space="preserve"> PAGEREF _Toc67925220 \h </w:instrText>
          </w:r>
          <w:r>
            <w:rPr>
              <w:noProof/>
            </w:rPr>
          </w:r>
          <w:r>
            <w:rPr>
              <w:noProof/>
            </w:rPr>
            <w:fldChar w:fldCharType="separate"/>
          </w:r>
          <w:r>
            <w:rPr>
              <w:noProof/>
            </w:rPr>
            <w:t>45</w:t>
          </w:r>
          <w:r>
            <w:rPr>
              <w:noProof/>
            </w:rPr>
            <w:fldChar w:fldCharType="end"/>
          </w:r>
        </w:p>
        <w:p w14:paraId="05437DB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38 lentelė. Renovacijos priemonių CO</w:t>
          </w:r>
          <w:r w:rsidRPr="00FD4EA8">
            <w:rPr>
              <w:noProof/>
              <w:vertAlign w:val="subscript"/>
            </w:rPr>
            <w:t>2</w:t>
          </w:r>
          <w:r>
            <w:rPr>
              <w:noProof/>
            </w:rPr>
            <w:t xml:space="preserve"> emisijų sutaupymai (kgCO</w:t>
          </w:r>
          <w:r w:rsidRPr="00FD4EA8">
            <w:rPr>
              <w:noProof/>
              <w:vertAlign w:val="subscript"/>
            </w:rPr>
            <w:t>2</w:t>
          </w:r>
          <w:r>
            <w:rPr>
              <w:noProof/>
            </w:rPr>
            <w:t>/m</w:t>
          </w:r>
          <w:r w:rsidRPr="00FD4EA8">
            <w:rPr>
              <w:noProof/>
              <w:vertAlign w:val="superscript"/>
            </w:rPr>
            <w:t>2</w:t>
          </w:r>
          <w:r>
            <w:rPr>
              <w:noProof/>
            </w:rPr>
            <w:t>/metus)</w:t>
          </w:r>
          <w:r>
            <w:rPr>
              <w:noProof/>
            </w:rPr>
            <w:tab/>
          </w:r>
          <w:r>
            <w:rPr>
              <w:noProof/>
            </w:rPr>
            <w:fldChar w:fldCharType="begin"/>
          </w:r>
          <w:r>
            <w:rPr>
              <w:noProof/>
            </w:rPr>
            <w:instrText xml:space="preserve"> PAGEREF _Toc67925221 \h </w:instrText>
          </w:r>
          <w:r>
            <w:rPr>
              <w:noProof/>
            </w:rPr>
          </w:r>
          <w:r>
            <w:rPr>
              <w:noProof/>
            </w:rPr>
            <w:fldChar w:fldCharType="separate"/>
          </w:r>
          <w:r>
            <w:rPr>
              <w:noProof/>
            </w:rPr>
            <w:t>46</w:t>
          </w:r>
          <w:r>
            <w:rPr>
              <w:noProof/>
            </w:rPr>
            <w:fldChar w:fldCharType="end"/>
          </w:r>
        </w:p>
        <w:p w14:paraId="093A12A6"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39 lentelė. Šiluminės energijos kainos kitimo scenarijai (Eur/MWh)</w:t>
          </w:r>
          <w:r>
            <w:rPr>
              <w:noProof/>
            </w:rPr>
            <w:tab/>
          </w:r>
          <w:r>
            <w:rPr>
              <w:noProof/>
            </w:rPr>
            <w:fldChar w:fldCharType="begin"/>
          </w:r>
          <w:r>
            <w:rPr>
              <w:noProof/>
            </w:rPr>
            <w:instrText xml:space="preserve"> PAGEREF _Toc67925222 \h </w:instrText>
          </w:r>
          <w:r>
            <w:rPr>
              <w:noProof/>
            </w:rPr>
          </w:r>
          <w:r>
            <w:rPr>
              <w:noProof/>
            </w:rPr>
            <w:fldChar w:fldCharType="separate"/>
          </w:r>
          <w:r>
            <w:rPr>
              <w:noProof/>
            </w:rPr>
            <w:t>47</w:t>
          </w:r>
          <w:r>
            <w:rPr>
              <w:noProof/>
            </w:rPr>
            <w:fldChar w:fldCharType="end"/>
          </w:r>
        </w:p>
        <w:p w14:paraId="13EA1CE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40 lentelė. Elektros energijos kainos kitimo scenarijai (Eur/MWh)</w:t>
          </w:r>
          <w:r>
            <w:rPr>
              <w:noProof/>
            </w:rPr>
            <w:tab/>
          </w:r>
          <w:r>
            <w:rPr>
              <w:noProof/>
            </w:rPr>
            <w:fldChar w:fldCharType="begin"/>
          </w:r>
          <w:r>
            <w:rPr>
              <w:noProof/>
            </w:rPr>
            <w:instrText xml:space="preserve"> PAGEREF _Toc67925223 \h </w:instrText>
          </w:r>
          <w:r>
            <w:rPr>
              <w:noProof/>
            </w:rPr>
          </w:r>
          <w:r>
            <w:rPr>
              <w:noProof/>
            </w:rPr>
            <w:fldChar w:fldCharType="separate"/>
          </w:r>
          <w:r>
            <w:rPr>
              <w:noProof/>
            </w:rPr>
            <w:t>47</w:t>
          </w:r>
          <w:r>
            <w:rPr>
              <w:noProof/>
            </w:rPr>
            <w:fldChar w:fldCharType="end"/>
          </w:r>
        </w:p>
        <w:p w14:paraId="1762D4E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41 lentelė. Europos komisijos išmetamo anglies dioksido kainų kitimo scenarijai (tCO</w:t>
          </w:r>
          <w:r w:rsidRPr="00FD4EA8">
            <w:rPr>
              <w:noProof/>
              <w:vertAlign w:val="subscript"/>
            </w:rPr>
            <w:t>2</w:t>
          </w:r>
          <w:r>
            <w:rPr>
              <w:noProof/>
            </w:rPr>
            <w:t>)</w:t>
          </w:r>
          <w:r>
            <w:rPr>
              <w:noProof/>
            </w:rPr>
            <w:tab/>
          </w:r>
          <w:r>
            <w:rPr>
              <w:noProof/>
            </w:rPr>
            <w:fldChar w:fldCharType="begin"/>
          </w:r>
          <w:r>
            <w:rPr>
              <w:noProof/>
            </w:rPr>
            <w:instrText xml:space="preserve"> PAGEREF _Toc67925224 \h </w:instrText>
          </w:r>
          <w:r>
            <w:rPr>
              <w:noProof/>
            </w:rPr>
          </w:r>
          <w:r>
            <w:rPr>
              <w:noProof/>
            </w:rPr>
            <w:fldChar w:fldCharType="separate"/>
          </w:r>
          <w:r>
            <w:rPr>
              <w:noProof/>
            </w:rPr>
            <w:t>47</w:t>
          </w:r>
          <w:r>
            <w:rPr>
              <w:noProof/>
            </w:rPr>
            <w:fldChar w:fldCharType="end"/>
          </w:r>
        </w:p>
        <w:p w14:paraId="458DA03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42 lentelė. Esamos politikos priemonės, kuriomis skatinama esminė pastatų renovacija</w:t>
          </w:r>
          <w:r>
            <w:rPr>
              <w:noProof/>
            </w:rPr>
            <w:tab/>
          </w:r>
          <w:r>
            <w:rPr>
              <w:noProof/>
            </w:rPr>
            <w:fldChar w:fldCharType="begin"/>
          </w:r>
          <w:r>
            <w:rPr>
              <w:noProof/>
            </w:rPr>
            <w:instrText xml:space="preserve"> PAGEREF _Toc67925225 \h </w:instrText>
          </w:r>
          <w:r>
            <w:rPr>
              <w:noProof/>
            </w:rPr>
          </w:r>
          <w:r>
            <w:rPr>
              <w:noProof/>
            </w:rPr>
            <w:fldChar w:fldCharType="separate"/>
          </w:r>
          <w:r>
            <w:rPr>
              <w:noProof/>
            </w:rPr>
            <w:t>55</w:t>
          </w:r>
          <w:r>
            <w:rPr>
              <w:noProof/>
            </w:rPr>
            <w:fldChar w:fldCharType="end"/>
          </w:r>
        </w:p>
        <w:p w14:paraId="65484E1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43 lentelė. Skirtingų paskatų dilemų klasifikacija</w:t>
          </w:r>
          <w:r>
            <w:rPr>
              <w:noProof/>
            </w:rPr>
            <w:tab/>
          </w:r>
          <w:r>
            <w:rPr>
              <w:noProof/>
            </w:rPr>
            <w:fldChar w:fldCharType="begin"/>
          </w:r>
          <w:r>
            <w:rPr>
              <w:noProof/>
            </w:rPr>
            <w:instrText xml:space="preserve"> PAGEREF _Toc67925226 \h </w:instrText>
          </w:r>
          <w:r>
            <w:rPr>
              <w:noProof/>
            </w:rPr>
          </w:r>
          <w:r>
            <w:rPr>
              <w:noProof/>
            </w:rPr>
            <w:fldChar w:fldCharType="separate"/>
          </w:r>
          <w:r>
            <w:rPr>
              <w:noProof/>
            </w:rPr>
            <w:t>57</w:t>
          </w:r>
          <w:r>
            <w:rPr>
              <w:noProof/>
            </w:rPr>
            <w:fldChar w:fldCharType="end"/>
          </w:r>
        </w:p>
        <w:p w14:paraId="21E7FE8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44 lentelė Asmenų, kurie dėl pinigų stokos negali sau leisti pakankamai šildyti būsto, dalis, proc.</w:t>
          </w:r>
          <w:r>
            <w:rPr>
              <w:noProof/>
            </w:rPr>
            <w:tab/>
          </w:r>
          <w:r>
            <w:rPr>
              <w:noProof/>
            </w:rPr>
            <w:fldChar w:fldCharType="begin"/>
          </w:r>
          <w:r>
            <w:rPr>
              <w:noProof/>
            </w:rPr>
            <w:instrText xml:space="preserve"> PAGEREF _Toc67925227 \h </w:instrText>
          </w:r>
          <w:r>
            <w:rPr>
              <w:noProof/>
            </w:rPr>
          </w:r>
          <w:r>
            <w:rPr>
              <w:noProof/>
            </w:rPr>
            <w:fldChar w:fldCharType="separate"/>
          </w:r>
          <w:r>
            <w:rPr>
              <w:noProof/>
            </w:rPr>
            <w:t>61</w:t>
          </w:r>
          <w:r>
            <w:rPr>
              <w:noProof/>
            </w:rPr>
            <w:fldChar w:fldCharType="end"/>
          </w:r>
        </w:p>
        <w:p w14:paraId="5C1D444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45 lentelė. Namų ūkių sąnaudų dalis išleidžiama elektros ir šilumos energijai, proc.</w:t>
          </w:r>
          <w:r>
            <w:rPr>
              <w:noProof/>
            </w:rPr>
            <w:tab/>
          </w:r>
          <w:r>
            <w:rPr>
              <w:noProof/>
            </w:rPr>
            <w:fldChar w:fldCharType="begin"/>
          </w:r>
          <w:r>
            <w:rPr>
              <w:noProof/>
            </w:rPr>
            <w:instrText xml:space="preserve"> PAGEREF _Toc67925228 \h </w:instrText>
          </w:r>
          <w:r>
            <w:rPr>
              <w:noProof/>
            </w:rPr>
          </w:r>
          <w:r>
            <w:rPr>
              <w:noProof/>
            </w:rPr>
            <w:fldChar w:fldCharType="separate"/>
          </w:r>
          <w:r>
            <w:rPr>
              <w:noProof/>
            </w:rPr>
            <w:t>61</w:t>
          </w:r>
          <w:r>
            <w:rPr>
              <w:noProof/>
            </w:rPr>
            <w:fldChar w:fldCharType="end"/>
          </w:r>
        </w:p>
        <w:p w14:paraId="69D16EE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46 lentelė. Namų ūkių dalis, kurių su namų išlaikymu susijusios sąnaudos viršija 40 proc. disponuojamųjų pajamų, proc.</w:t>
          </w:r>
          <w:r>
            <w:rPr>
              <w:noProof/>
            </w:rPr>
            <w:tab/>
          </w:r>
          <w:r>
            <w:rPr>
              <w:noProof/>
            </w:rPr>
            <w:fldChar w:fldCharType="begin"/>
          </w:r>
          <w:r>
            <w:rPr>
              <w:noProof/>
            </w:rPr>
            <w:instrText xml:space="preserve"> PAGEREF _Toc67925229 \h </w:instrText>
          </w:r>
          <w:r>
            <w:rPr>
              <w:noProof/>
            </w:rPr>
          </w:r>
          <w:r>
            <w:rPr>
              <w:noProof/>
            </w:rPr>
            <w:fldChar w:fldCharType="separate"/>
          </w:r>
          <w:r>
            <w:rPr>
              <w:noProof/>
            </w:rPr>
            <w:t>61</w:t>
          </w:r>
          <w:r>
            <w:rPr>
              <w:noProof/>
            </w:rPr>
            <w:fldChar w:fldCharType="end"/>
          </w:r>
        </w:p>
        <w:p w14:paraId="22993BBD"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47 lentelė. Disponuojamų pajamų namų išlaikymo sąnaudų dalis, proc.</w:t>
          </w:r>
          <w:r>
            <w:rPr>
              <w:noProof/>
            </w:rPr>
            <w:tab/>
          </w:r>
          <w:r>
            <w:rPr>
              <w:noProof/>
            </w:rPr>
            <w:fldChar w:fldCharType="begin"/>
          </w:r>
          <w:r>
            <w:rPr>
              <w:noProof/>
            </w:rPr>
            <w:instrText xml:space="preserve"> PAGEREF _Toc67925230 \h </w:instrText>
          </w:r>
          <w:r>
            <w:rPr>
              <w:noProof/>
            </w:rPr>
          </w:r>
          <w:r>
            <w:rPr>
              <w:noProof/>
            </w:rPr>
            <w:fldChar w:fldCharType="separate"/>
          </w:r>
          <w:r>
            <w:rPr>
              <w:noProof/>
            </w:rPr>
            <w:t>62</w:t>
          </w:r>
          <w:r>
            <w:rPr>
              <w:noProof/>
            </w:rPr>
            <w:fldChar w:fldCharType="end"/>
          </w:r>
        </w:p>
        <w:p w14:paraId="6B9579A1"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lastRenderedPageBreak/>
            <w:t>48 lentelė. Namų ūkių dalis, turinčių pradelstų įsiskolinimų už komunalines paslaugas, proc.</w:t>
          </w:r>
          <w:r>
            <w:rPr>
              <w:noProof/>
            </w:rPr>
            <w:tab/>
          </w:r>
          <w:r>
            <w:rPr>
              <w:noProof/>
            </w:rPr>
            <w:fldChar w:fldCharType="begin"/>
          </w:r>
          <w:r>
            <w:rPr>
              <w:noProof/>
            </w:rPr>
            <w:instrText xml:space="preserve"> PAGEREF _Toc67925231 \h </w:instrText>
          </w:r>
          <w:r>
            <w:rPr>
              <w:noProof/>
            </w:rPr>
          </w:r>
          <w:r>
            <w:rPr>
              <w:noProof/>
            </w:rPr>
            <w:fldChar w:fldCharType="separate"/>
          </w:r>
          <w:r>
            <w:rPr>
              <w:noProof/>
            </w:rPr>
            <w:t>62</w:t>
          </w:r>
          <w:r>
            <w:rPr>
              <w:noProof/>
            </w:rPr>
            <w:fldChar w:fldCharType="end"/>
          </w:r>
        </w:p>
        <w:p w14:paraId="606809A0"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49 lentelė. Namų ūkių dalis, kurių gyvenimo sąlygos netinkamos, 2010-2018 m., proc.</w:t>
          </w:r>
          <w:r>
            <w:rPr>
              <w:noProof/>
            </w:rPr>
            <w:tab/>
          </w:r>
          <w:r>
            <w:rPr>
              <w:noProof/>
            </w:rPr>
            <w:fldChar w:fldCharType="begin"/>
          </w:r>
          <w:r>
            <w:rPr>
              <w:noProof/>
            </w:rPr>
            <w:instrText xml:space="preserve"> PAGEREF _Toc67925232 \h </w:instrText>
          </w:r>
          <w:r>
            <w:rPr>
              <w:noProof/>
            </w:rPr>
          </w:r>
          <w:r>
            <w:rPr>
              <w:noProof/>
            </w:rPr>
            <w:fldChar w:fldCharType="separate"/>
          </w:r>
          <w:r>
            <w:rPr>
              <w:noProof/>
            </w:rPr>
            <w:t>63</w:t>
          </w:r>
          <w:r>
            <w:rPr>
              <w:noProof/>
            </w:rPr>
            <w:fldChar w:fldCharType="end"/>
          </w:r>
        </w:p>
        <w:p w14:paraId="12462DC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50 lentelė. Esamos politikos priemonės, kuriomis skatinamas viešųjų pastatų energijos vartojimo efektyvumo didinimas</w:t>
          </w:r>
          <w:r>
            <w:rPr>
              <w:noProof/>
            </w:rPr>
            <w:tab/>
          </w:r>
          <w:r>
            <w:rPr>
              <w:noProof/>
            </w:rPr>
            <w:fldChar w:fldCharType="begin"/>
          </w:r>
          <w:r>
            <w:rPr>
              <w:noProof/>
            </w:rPr>
            <w:instrText xml:space="preserve"> PAGEREF _Toc67925233 \h </w:instrText>
          </w:r>
          <w:r>
            <w:rPr>
              <w:noProof/>
            </w:rPr>
          </w:r>
          <w:r>
            <w:rPr>
              <w:noProof/>
            </w:rPr>
            <w:fldChar w:fldCharType="separate"/>
          </w:r>
          <w:r>
            <w:rPr>
              <w:noProof/>
            </w:rPr>
            <w:t>64</w:t>
          </w:r>
          <w:r>
            <w:rPr>
              <w:noProof/>
            </w:rPr>
            <w:fldChar w:fldCharType="end"/>
          </w:r>
        </w:p>
        <w:p w14:paraId="2957A97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51 lentelė. Renovacijos strategijos siekiami rodikliai</w:t>
          </w:r>
          <w:r>
            <w:rPr>
              <w:noProof/>
            </w:rPr>
            <w:tab/>
          </w:r>
          <w:r>
            <w:rPr>
              <w:noProof/>
            </w:rPr>
            <w:fldChar w:fldCharType="begin"/>
          </w:r>
          <w:r>
            <w:rPr>
              <w:noProof/>
            </w:rPr>
            <w:instrText xml:space="preserve"> PAGEREF _Toc67925234 \h </w:instrText>
          </w:r>
          <w:r>
            <w:rPr>
              <w:noProof/>
            </w:rPr>
          </w:r>
          <w:r>
            <w:rPr>
              <w:noProof/>
            </w:rPr>
            <w:fldChar w:fldCharType="separate"/>
          </w:r>
          <w:r>
            <w:rPr>
              <w:noProof/>
            </w:rPr>
            <w:t>82</w:t>
          </w:r>
          <w:r>
            <w:rPr>
              <w:noProof/>
            </w:rPr>
            <w:fldChar w:fldCharType="end"/>
          </w:r>
        </w:p>
        <w:p w14:paraId="230C7F6A"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52 lentelė. Renovacijos tempai –  renovuojamų pastatų skaičius per metus</w:t>
          </w:r>
          <w:r>
            <w:rPr>
              <w:noProof/>
            </w:rPr>
            <w:tab/>
          </w:r>
          <w:r>
            <w:rPr>
              <w:noProof/>
            </w:rPr>
            <w:fldChar w:fldCharType="begin"/>
          </w:r>
          <w:r>
            <w:rPr>
              <w:noProof/>
            </w:rPr>
            <w:instrText xml:space="preserve"> PAGEREF _Toc67925235 \h </w:instrText>
          </w:r>
          <w:r>
            <w:rPr>
              <w:noProof/>
            </w:rPr>
          </w:r>
          <w:r>
            <w:rPr>
              <w:noProof/>
            </w:rPr>
            <w:fldChar w:fldCharType="separate"/>
          </w:r>
          <w:r>
            <w:rPr>
              <w:noProof/>
            </w:rPr>
            <w:t>82</w:t>
          </w:r>
          <w:r>
            <w:rPr>
              <w:noProof/>
            </w:rPr>
            <w:fldChar w:fldCharType="end"/>
          </w:r>
        </w:p>
        <w:p w14:paraId="3180C8CB"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53 lentelė. Renovacijos tempai –  renovuojamų pastatų plotas per metus</w:t>
          </w:r>
          <w:r>
            <w:rPr>
              <w:noProof/>
            </w:rPr>
            <w:tab/>
          </w:r>
          <w:r>
            <w:rPr>
              <w:noProof/>
            </w:rPr>
            <w:fldChar w:fldCharType="begin"/>
          </w:r>
          <w:r>
            <w:rPr>
              <w:noProof/>
            </w:rPr>
            <w:instrText xml:space="preserve"> PAGEREF _Toc67925236 \h </w:instrText>
          </w:r>
          <w:r>
            <w:rPr>
              <w:noProof/>
            </w:rPr>
          </w:r>
          <w:r>
            <w:rPr>
              <w:noProof/>
            </w:rPr>
            <w:fldChar w:fldCharType="separate"/>
          </w:r>
          <w:r>
            <w:rPr>
              <w:noProof/>
            </w:rPr>
            <w:t>83</w:t>
          </w:r>
          <w:r>
            <w:rPr>
              <w:noProof/>
            </w:rPr>
            <w:fldChar w:fldCharType="end"/>
          </w:r>
        </w:p>
        <w:p w14:paraId="34A3F1EF"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54 lentelė. Renovacijai įgyvendinti reikalingos investicijos per metus</w:t>
          </w:r>
          <w:r>
            <w:rPr>
              <w:noProof/>
            </w:rPr>
            <w:tab/>
          </w:r>
          <w:r>
            <w:rPr>
              <w:noProof/>
            </w:rPr>
            <w:fldChar w:fldCharType="begin"/>
          </w:r>
          <w:r>
            <w:rPr>
              <w:noProof/>
            </w:rPr>
            <w:instrText xml:space="preserve"> PAGEREF _Toc67925237 \h </w:instrText>
          </w:r>
          <w:r>
            <w:rPr>
              <w:noProof/>
            </w:rPr>
          </w:r>
          <w:r>
            <w:rPr>
              <w:noProof/>
            </w:rPr>
            <w:fldChar w:fldCharType="separate"/>
          </w:r>
          <w:r>
            <w:rPr>
              <w:noProof/>
            </w:rPr>
            <w:t>83</w:t>
          </w:r>
          <w:r>
            <w:rPr>
              <w:noProof/>
            </w:rPr>
            <w:fldChar w:fldCharType="end"/>
          </w:r>
        </w:p>
        <w:p w14:paraId="10851DAB"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55 lentelė. Renovacijai įgyvendinti reikalingų subsidijų poreikis</w:t>
          </w:r>
          <w:r>
            <w:rPr>
              <w:noProof/>
            </w:rPr>
            <w:tab/>
          </w:r>
          <w:r>
            <w:rPr>
              <w:noProof/>
            </w:rPr>
            <w:fldChar w:fldCharType="begin"/>
          </w:r>
          <w:r>
            <w:rPr>
              <w:noProof/>
            </w:rPr>
            <w:instrText xml:space="preserve"> PAGEREF _Toc67925238 \h </w:instrText>
          </w:r>
          <w:r>
            <w:rPr>
              <w:noProof/>
            </w:rPr>
          </w:r>
          <w:r>
            <w:rPr>
              <w:noProof/>
            </w:rPr>
            <w:fldChar w:fldCharType="separate"/>
          </w:r>
          <w:r>
            <w:rPr>
              <w:noProof/>
            </w:rPr>
            <w:t>83</w:t>
          </w:r>
          <w:r>
            <w:rPr>
              <w:noProof/>
            </w:rPr>
            <w:fldChar w:fldCharType="end"/>
          </w:r>
        </w:p>
        <w:p w14:paraId="5DCFD34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56 lentelė. Renovacijai įgyvendinti reikalingas finansavimas</w:t>
          </w:r>
          <w:r>
            <w:rPr>
              <w:noProof/>
            </w:rPr>
            <w:tab/>
          </w:r>
          <w:r>
            <w:rPr>
              <w:noProof/>
            </w:rPr>
            <w:fldChar w:fldCharType="begin"/>
          </w:r>
          <w:r>
            <w:rPr>
              <w:noProof/>
            </w:rPr>
            <w:instrText xml:space="preserve"> PAGEREF _Toc67925239 \h </w:instrText>
          </w:r>
          <w:r>
            <w:rPr>
              <w:noProof/>
            </w:rPr>
          </w:r>
          <w:r>
            <w:rPr>
              <w:noProof/>
            </w:rPr>
            <w:fldChar w:fldCharType="separate"/>
          </w:r>
          <w:r>
            <w:rPr>
              <w:noProof/>
            </w:rPr>
            <w:t>83</w:t>
          </w:r>
          <w:r>
            <w:rPr>
              <w:noProof/>
            </w:rPr>
            <w:fldChar w:fldCharType="end"/>
          </w:r>
        </w:p>
        <w:p w14:paraId="08EA3B4B"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57 lentelė. Daugiabučių paskirties pastatų renovacijos rodikliai</w:t>
          </w:r>
          <w:r>
            <w:rPr>
              <w:noProof/>
            </w:rPr>
            <w:tab/>
          </w:r>
          <w:r>
            <w:rPr>
              <w:noProof/>
            </w:rPr>
            <w:fldChar w:fldCharType="begin"/>
          </w:r>
          <w:r>
            <w:rPr>
              <w:noProof/>
            </w:rPr>
            <w:instrText xml:space="preserve"> PAGEREF _Toc67925240 \h </w:instrText>
          </w:r>
          <w:r>
            <w:rPr>
              <w:noProof/>
            </w:rPr>
          </w:r>
          <w:r>
            <w:rPr>
              <w:noProof/>
            </w:rPr>
            <w:fldChar w:fldCharType="separate"/>
          </w:r>
          <w:r>
            <w:rPr>
              <w:noProof/>
            </w:rPr>
            <w:t>84</w:t>
          </w:r>
          <w:r>
            <w:rPr>
              <w:noProof/>
            </w:rPr>
            <w:fldChar w:fldCharType="end"/>
          </w:r>
        </w:p>
        <w:p w14:paraId="1CF16B90"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58 lentelė. Individualių namų renovacijos rodikliai</w:t>
          </w:r>
          <w:r>
            <w:rPr>
              <w:noProof/>
            </w:rPr>
            <w:tab/>
          </w:r>
          <w:r>
            <w:rPr>
              <w:noProof/>
            </w:rPr>
            <w:fldChar w:fldCharType="begin"/>
          </w:r>
          <w:r>
            <w:rPr>
              <w:noProof/>
            </w:rPr>
            <w:instrText xml:space="preserve"> PAGEREF _Toc67925241 \h </w:instrText>
          </w:r>
          <w:r>
            <w:rPr>
              <w:noProof/>
            </w:rPr>
          </w:r>
          <w:r>
            <w:rPr>
              <w:noProof/>
            </w:rPr>
            <w:fldChar w:fldCharType="separate"/>
          </w:r>
          <w:r>
            <w:rPr>
              <w:noProof/>
            </w:rPr>
            <w:t>85</w:t>
          </w:r>
          <w:r>
            <w:rPr>
              <w:noProof/>
            </w:rPr>
            <w:fldChar w:fldCharType="end"/>
          </w:r>
        </w:p>
        <w:p w14:paraId="74B83971"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59 lentelė. Kitos negyvenamosios paskirties renovacijos rodikliai</w:t>
          </w:r>
          <w:r>
            <w:rPr>
              <w:noProof/>
            </w:rPr>
            <w:tab/>
          </w:r>
          <w:r>
            <w:rPr>
              <w:noProof/>
            </w:rPr>
            <w:fldChar w:fldCharType="begin"/>
          </w:r>
          <w:r>
            <w:rPr>
              <w:noProof/>
            </w:rPr>
            <w:instrText xml:space="preserve"> PAGEREF _Toc67925242 \h </w:instrText>
          </w:r>
          <w:r>
            <w:rPr>
              <w:noProof/>
            </w:rPr>
          </w:r>
          <w:r>
            <w:rPr>
              <w:noProof/>
            </w:rPr>
            <w:fldChar w:fldCharType="separate"/>
          </w:r>
          <w:r>
            <w:rPr>
              <w:noProof/>
            </w:rPr>
            <w:t>86</w:t>
          </w:r>
          <w:r>
            <w:rPr>
              <w:noProof/>
            </w:rPr>
            <w:fldChar w:fldCharType="end"/>
          </w:r>
        </w:p>
        <w:p w14:paraId="5A80A4DA"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60 lentelė. Pramonės pastatų renovacijos rodikliai</w:t>
          </w:r>
          <w:r>
            <w:rPr>
              <w:noProof/>
            </w:rPr>
            <w:tab/>
          </w:r>
          <w:r>
            <w:rPr>
              <w:noProof/>
            </w:rPr>
            <w:fldChar w:fldCharType="begin"/>
          </w:r>
          <w:r>
            <w:rPr>
              <w:noProof/>
            </w:rPr>
            <w:instrText xml:space="preserve"> PAGEREF _Toc67925243 \h </w:instrText>
          </w:r>
          <w:r>
            <w:rPr>
              <w:noProof/>
            </w:rPr>
          </w:r>
          <w:r>
            <w:rPr>
              <w:noProof/>
            </w:rPr>
            <w:fldChar w:fldCharType="separate"/>
          </w:r>
          <w:r>
            <w:rPr>
              <w:noProof/>
            </w:rPr>
            <w:t>87</w:t>
          </w:r>
          <w:r>
            <w:rPr>
              <w:noProof/>
            </w:rPr>
            <w:fldChar w:fldCharType="end"/>
          </w:r>
        </w:p>
        <w:p w14:paraId="1441225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61 lentelė. IRS įgyvendinimo naudos (realia verte)</w:t>
          </w:r>
          <w:r>
            <w:rPr>
              <w:noProof/>
            </w:rPr>
            <w:tab/>
          </w:r>
          <w:r>
            <w:rPr>
              <w:noProof/>
            </w:rPr>
            <w:fldChar w:fldCharType="begin"/>
          </w:r>
          <w:r>
            <w:rPr>
              <w:noProof/>
            </w:rPr>
            <w:instrText xml:space="preserve"> PAGEREF _Toc67925244 \h </w:instrText>
          </w:r>
          <w:r>
            <w:rPr>
              <w:noProof/>
            </w:rPr>
          </w:r>
          <w:r>
            <w:rPr>
              <w:noProof/>
            </w:rPr>
            <w:fldChar w:fldCharType="separate"/>
          </w:r>
          <w:r>
            <w:rPr>
              <w:noProof/>
            </w:rPr>
            <w:t>88</w:t>
          </w:r>
          <w:r>
            <w:rPr>
              <w:noProof/>
            </w:rPr>
            <w:fldChar w:fldCharType="end"/>
          </w:r>
        </w:p>
        <w:p w14:paraId="21CEAFE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62 lentelė. Vidutinė gyvenamojo NT rinkos vertė didžiuosiuose Lietuvos miestuose</w:t>
          </w:r>
          <w:r>
            <w:rPr>
              <w:noProof/>
            </w:rPr>
            <w:tab/>
          </w:r>
          <w:r>
            <w:rPr>
              <w:noProof/>
            </w:rPr>
            <w:fldChar w:fldCharType="begin"/>
          </w:r>
          <w:r>
            <w:rPr>
              <w:noProof/>
            </w:rPr>
            <w:instrText xml:space="preserve"> PAGEREF _Toc67925245 \h </w:instrText>
          </w:r>
          <w:r>
            <w:rPr>
              <w:noProof/>
            </w:rPr>
          </w:r>
          <w:r>
            <w:rPr>
              <w:noProof/>
            </w:rPr>
            <w:fldChar w:fldCharType="separate"/>
          </w:r>
          <w:r>
            <w:rPr>
              <w:noProof/>
            </w:rPr>
            <w:t>91</w:t>
          </w:r>
          <w:r>
            <w:rPr>
              <w:noProof/>
            </w:rPr>
            <w:fldChar w:fldCharType="end"/>
          </w:r>
        </w:p>
        <w:p w14:paraId="113F2463"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63 lentelė. Teršalų emisijos faktoriai</w:t>
          </w:r>
          <w:r>
            <w:rPr>
              <w:noProof/>
            </w:rPr>
            <w:tab/>
          </w:r>
          <w:r>
            <w:rPr>
              <w:noProof/>
            </w:rPr>
            <w:fldChar w:fldCharType="begin"/>
          </w:r>
          <w:r>
            <w:rPr>
              <w:noProof/>
            </w:rPr>
            <w:instrText xml:space="preserve"> PAGEREF _Toc67925246 \h </w:instrText>
          </w:r>
          <w:r>
            <w:rPr>
              <w:noProof/>
            </w:rPr>
          </w:r>
          <w:r>
            <w:rPr>
              <w:noProof/>
            </w:rPr>
            <w:fldChar w:fldCharType="separate"/>
          </w:r>
          <w:r>
            <w:rPr>
              <w:noProof/>
            </w:rPr>
            <w:t>92</w:t>
          </w:r>
          <w:r>
            <w:rPr>
              <w:noProof/>
            </w:rPr>
            <w:fldChar w:fldCharType="end"/>
          </w:r>
        </w:p>
        <w:p w14:paraId="3E6399EB"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64 lentelė. Renovacijos proceso šalys ir atsakomybės</w:t>
          </w:r>
          <w:r>
            <w:rPr>
              <w:noProof/>
            </w:rPr>
            <w:tab/>
          </w:r>
          <w:r>
            <w:rPr>
              <w:noProof/>
            </w:rPr>
            <w:fldChar w:fldCharType="begin"/>
          </w:r>
          <w:r>
            <w:rPr>
              <w:noProof/>
            </w:rPr>
            <w:instrText xml:space="preserve"> PAGEREF _Toc67925247 \h </w:instrText>
          </w:r>
          <w:r>
            <w:rPr>
              <w:noProof/>
            </w:rPr>
          </w:r>
          <w:r>
            <w:rPr>
              <w:noProof/>
            </w:rPr>
            <w:fldChar w:fldCharType="separate"/>
          </w:r>
          <w:r>
            <w:rPr>
              <w:noProof/>
            </w:rPr>
            <w:t>96</w:t>
          </w:r>
          <w:r>
            <w:rPr>
              <w:noProof/>
            </w:rPr>
            <w:fldChar w:fldCharType="end"/>
          </w:r>
        </w:p>
        <w:p w14:paraId="0E14AFC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r>
            <w:rPr>
              <w:noProof/>
            </w:rPr>
            <w:t>65 lentelė. Renovacijos strategijos įgyvendinimo priemonių ir veiksmų sąrašas</w:t>
          </w:r>
          <w:r>
            <w:rPr>
              <w:noProof/>
            </w:rPr>
            <w:tab/>
          </w:r>
          <w:r>
            <w:rPr>
              <w:noProof/>
            </w:rPr>
            <w:fldChar w:fldCharType="begin"/>
          </w:r>
          <w:r>
            <w:rPr>
              <w:noProof/>
            </w:rPr>
            <w:instrText xml:space="preserve"> PAGEREF _Toc67925248 \h </w:instrText>
          </w:r>
          <w:r>
            <w:rPr>
              <w:noProof/>
            </w:rPr>
          </w:r>
          <w:r>
            <w:rPr>
              <w:noProof/>
            </w:rPr>
            <w:fldChar w:fldCharType="separate"/>
          </w:r>
          <w:r>
            <w:rPr>
              <w:noProof/>
            </w:rPr>
            <w:t>98</w:t>
          </w:r>
          <w:r>
            <w:rPr>
              <w:noProof/>
            </w:rPr>
            <w:fldChar w:fldCharType="end"/>
          </w:r>
        </w:p>
        <w:p w14:paraId="49B565D1" w14:textId="7379C0EE" w:rsidR="00910E7F" w:rsidRPr="00650EE4" w:rsidRDefault="00910E7F" w:rsidP="00F4660E">
          <w:pPr>
            <w:pStyle w:val="BodyText"/>
            <w:spacing w:after="60"/>
            <w:rPr>
              <w:rFonts w:ascii="Times New Roman" w:hAnsi="Times New Roman"/>
              <w:color w:val="000000" w:themeColor="text1"/>
              <w:szCs w:val="22"/>
              <w:lang w:val="lt-LT"/>
            </w:rPr>
          </w:pPr>
          <w:r w:rsidRPr="00C65CA1">
            <w:rPr>
              <w:rFonts w:ascii="Times New Roman" w:hAnsi="Times New Roman"/>
              <w:color w:val="000000" w:themeColor="text1"/>
              <w:szCs w:val="22"/>
              <w:lang w:val="lt-LT"/>
            </w:rPr>
            <w:fldChar w:fldCharType="end"/>
          </w:r>
        </w:p>
        <w:p w14:paraId="32D7768B" w14:textId="0EEB8572" w:rsidR="007C2839" w:rsidRPr="00650EE4" w:rsidRDefault="007C2839" w:rsidP="00910E7F">
          <w:pPr>
            <w:pStyle w:val="BodyText"/>
            <w:rPr>
              <w:rFonts w:ascii="Times New Roman" w:hAnsi="Times New Roman"/>
              <w:color w:val="000000" w:themeColor="text1"/>
              <w:szCs w:val="22"/>
              <w:lang w:val="lt-LT"/>
            </w:rPr>
          </w:pPr>
        </w:p>
        <w:p w14:paraId="7C6B1CCF" w14:textId="77777777" w:rsidR="007C2839" w:rsidRPr="00650EE4" w:rsidRDefault="007C2839" w:rsidP="00910E7F">
          <w:pPr>
            <w:pStyle w:val="BodyText"/>
            <w:rPr>
              <w:rFonts w:ascii="Times New Roman" w:hAnsi="Times New Roman"/>
              <w:color w:val="000000" w:themeColor="text1"/>
              <w:szCs w:val="22"/>
              <w:lang w:val="lt-LT"/>
            </w:rPr>
          </w:pPr>
        </w:p>
        <w:p w14:paraId="6521D9C6" w14:textId="77777777" w:rsidR="00F62C54" w:rsidRPr="00650EE4" w:rsidRDefault="00F62C54">
          <w:pPr>
            <w:spacing w:after="240"/>
            <w:rPr>
              <w:rFonts w:ascii="Times New Roman" w:hAnsi="Times New Roman"/>
              <w:b/>
              <w:bCs/>
              <w:color w:val="000000" w:themeColor="text1"/>
              <w:sz w:val="28"/>
              <w:szCs w:val="28"/>
            </w:rPr>
          </w:pPr>
          <w:r w:rsidRPr="00650EE4">
            <w:rPr>
              <w:rFonts w:ascii="Times New Roman" w:hAnsi="Times New Roman"/>
              <w:b/>
              <w:bCs/>
              <w:color w:val="000000" w:themeColor="text1"/>
              <w:sz w:val="28"/>
              <w:szCs w:val="28"/>
            </w:rPr>
            <w:br w:type="page"/>
          </w:r>
        </w:p>
        <w:p w14:paraId="5AF00440" w14:textId="24218772" w:rsidR="000538E6" w:rsidRPr="00650EE4" w:rsidRDefault="000538E6" w:rsidP="000538E6">
          <w:pPr>
            <w:pStyle w:val="Nenumeruojamosantrastes"/>
            <w:pBdr>
              <w:bottom w:val="single" w:sz="4" w:space="1" w:color="auto"/>
            </w:pBdr>
            <w:outlineLvl w:val="0"/>
            <w:rPr>
              <w:rFonts w:ascii="Times New Roman" w:hAnsi="Times New Roman"/>
              <w:color w:val="002060"/>
              <w:sz w:val="24"/>
              <w:szCs w:val="24"/>
            </w:rPr>
          </w:pPr>
          <w:bookmarkStart w:id="6" w:name="_Toc67925097"/>
          <w:r w:rsidRPr="00650EE4">
            <w:rPr>
              <w:rFonts w:ascii="Times New Roman" w:hAnsi="Times New Roman"/>
              <w:color w:val="002060"/>
              <w:sz w:val="24"/>
              <w:szCs w:val="24"/>
            </w:rPr>
            <w:lastRenderedPageBreak/>
            <w:t>PAVEIKSLŲ SĄRAŠAS</w:t>
          </w:r>
          <w:bookmarkEnd w:id="6"/>
        </w:p>
        <w:bookmarkStart w:id="7" w:name="_GoBack"/>
        <w:bookmarkEnd w:id="7"/>
        <w:p w14:paraId="1D20905F" w14:textId="77777777" w:rsidR="0045783E" w:rsidRDefault="00E85447">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color w:val="000000" w:themeColor="text1"/>
              <w:sz w:val="22"/>
              <w:szCs w:val="22"/>
              <w:lang w:val="lt-LT"/>
            </w:rPr>
            <w:fldChar w:fldCharType="begin"/>
          </w:r>
          <w:r w:rsidRPr="00C65CA1">
            <w:rPr>
              <w:color w:val="000000" w:themeColor="text1"/>
              <w:sz w:val="22"/>
              <w:szCs w:val="22"/>
              <w:lang w:val="lt-LT"/>
            </w:rPr>
            <w:instrText xml:space="preserve"> TOC \h \z \c "paveikslas" </w:instrText>
          </w:r>
          <w:r w:rsidRPr="00C65CA1">
            <w:rPr>
              <w:color w:val="000000" w:themeColor="text1"/>
              <w:sz w:val="22"/>
              <w:szCs w:val="22"/>
              <w:lang w:val="lt-LT"/>
            </w:rPr>
            <w:fldChar w:fldCharType="separate"/>
          </w:r>
          <w:hyperlink w:anchor="_Toc67925249" w:history="1">
            <w:r w:rsidR="0045783E" w:rsidRPr="0017303B">
              <w:rPr>
                <w:rStyle w:val="Hyperlink"/>
                <w:noProof/>
              </w:rPr>
              <w:t>1 paveikslas. Pastatų fondas pagal pastatų grupes (agreguotas)</w:t>
            </w:r>
            <w:r w:rsidR="0045783E">
              <w:rPr>
                <w:noProof/>
                <w:webHidden/>
              </w:rPr>
              <w:tab/>
            </w:r>
            <w:r w:rsidR="0045783E">
              <w:rPr>
                <w:noProof/>
                <w:webHidden/>
              </w:rPr>
              <w:fldChar w:fldCharType="begin"/>
            </w:r>
            <w:r w:rsidR="0045783E">
              <w:rPr>
                <w:noProof/>
                <w:webHidden/>
              </w:rPr>
              <w:instrText xml:space="preserve"> PAGEREF _Toc67925249 \h </w:instrText>
            </w:r>
            <w:r w:rsidR="0045783E">
              <w:rPr>
                <w:noProof/>
                <w:webHidden/>
              </w:rPr>
            </w:r>
            <w:r w:rsidR="0045783E">
              <w:rPr>
                <w:noProof/>
                <w:webHidden/>
              </w:rPr>
              <w:fldChar w:fldCharType="separate"/>
            </w:r>
            <w:r w:rsidR="0045783E">
              <w:rPr>
                <w:noProof/>
                <w:webHidden/>
              </w:rPr>
              <w:t>14</w:t>
            </w:r>
            <w:r w:rsidR="0045783E">
              <w:rPr>
                <w:noProof/>
                <w:webHidden/>
              </w:rPr>
              <w:fldChar w:fldCharType="end"/>
            </w:r>
          </w:hyperlink>
        </w:p>
        <w:p w14:paraId="054F447D"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0" w:history="1">
            <w:r w:rsidRPr="0017303B">
              <w:rPr>
                <w:rStyle w:val="Hyperlink"/>
                <w:noProof/>
              </w:rPr>
              <w:t>2 paveikslas. Pastatų fondas pagal statybos pabaigos metus (agreguotas)</w:t>
            </w:r>
            <w:r>
              <w:rPr>
                <w:noProof/>
                <w:webHidden/>
              </w:rPr>
              <w:tab/>
            </w:r>
            <w:r>
              <w:rPr>
                <w:noProof/>
                <w:webHidden/>
              </w:rPr>
              <w:fldChar w:fldCharType="begin"/>
            </w:r>
            <w:r>
              <w:rPr>
                <w:noProof/>
                <w:webHidden/>
              </w:rPr>
              <w:instrText xml:space="preserve"> PAGEREF _Toc67925250 \h </w:instrText>
            </w:r>
            <w:r>
              <w:rPr>
                <w:noProof/>
                <w:webHidden/>
              </w:rPr>
            </w:r>
            <w:r>
              <w:rPr>
                <w:noProof/>
                <w:webHidden/>
              </w:rPr>
              <w:fldChar w:fldCharType="separate"/>
            </w:r>
            <w:r>
              <w:rPr>
                <w:noProof/>
                <w:webHidden/>
              </w:rPr>
              <w:t>16</w:t>
            </w:r>
            <w:r>
              <w:rPr>
                <w:noProof/>
                <w:webHidden/>
              </w:rPr>
              <w:fldChar w:fldCharType="end"/>
            </w:r>
          </w:hyperlink>
        </w:p>
        <w:p w14:paraId="4D0316D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1" w:history="1">
            <w:r w:rsidRPr="0017303B">
              <w:rPr>
                <w:rStyle w:val="Hyperlink"/>
                <w:noProof/>
              </w:rPr>
              <w:t>3 paveikslas. Pastatų fondas pagal nuosavybės tipą (agreguotas)</w:t>
            </w:r>
            <w:r>
              <w:rPr>
                <w:noProof/>
                <w:webHidden/>
              </w:rPr>
              <w:tab/>
            </w:r>
            <w:r>
              <w:rPr>
                <w:noProof/>
                <w:webHidden/>
              </w:rPr>
              <w:fldChar w:fldCharType="begin"/>
            </w:r>
            <w:r>
              <w:rPr>
                <w:noProof/>
                <w:webHidden/>
              </w:rPr>
              <w:instrText xml:space="preserve"> PAGEREF _Toc67925251 \h </w:instrText>
            </w:r>
            <w:r>
              <w:rPr>
                <w:noProof/>
                <w:webHidden/>
              </w:rPr>
            </w:r>
            <w:r>
              <w:rPr>
                <w:noProof/>
                <w:webHidden/>
              </w:rPr>
              <w:fldChar w:fldCharType="separate"/>
            </w:r>
            <w:r>
              <w:rPr>
                <w:noProof/>
                <w:webHidden/>
              </w:rPr>
              <w:t>18</w:t>
            </w:r>
            <w:r>
              <w:rPr>
                <w:noProof/>
                <w:webHidden/>
              </w:rPr>
              <w:fldChar w:fldCharType="end"/>
            </w:r>
          </w:hyperlink>
        </w:p>
        <w:p w14:paraId="0A8F64F6"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2" w:history="1">
            <w:r w:rsidRPr="0017303B">
              <w:rPr>
                <w:rStyle w:val="Hyperlink"/>
                <w:noProof/>
              </w:rPr>
              <w:t>4 paveikslas. Pastatų fondas pagal sienų medžiagiškumą (agreguotas)</w:t>
            </w:r>
            <w:r>
              <w:rPr>
                <w:noProof/>
                <w:webHidden/>
              </w:rPr>
              <w:tab/>
            </w:r>
            <w:r>
              <w:rPr>
                <w:noProof/>
                <w:webHidden/>
              </w:rPr>
              <w:fldChar w:fldCharType="begin"/>
            </w:r>
            <w:r>
              <w:rPr>
                <w:noProof/>
                <w:webHidden/>
              </w:rPr>
              <w:instrText xml:space="preserve"> PAGEREF _Toc67925252 \h </w:instrText>
            </w:r>
            <w:r>
              <w:rPr>
                <w:noProof/>
                <w:webHidden/>
              </w:rPr>
            </w:r>
            <w:r>
              <w:rPr>
                <w:noProof/>
                <w:webHidden/>
              </w:rPr>
              <w:fldChar w:fldCharType="separate"/>
            </w:r>
            <w:r>
              <w:rPr>
                <w:noProof/>
                <w:webHidden/>
              </w:rPr>
              <w:t>20</w:t>
            </w:r>
            <w:r>
              <w:rPr>
                <w:noProof/>
                <w:webHidden/>
              </w:rPr>
              <w:fldChar w:fldCharType="end"/>
            </w:r>
          </w:hyperlink>
        </w:p>
        <w:p w14:paraId="3A20EFB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3" w:history="1">
            <w:r w:rsidRPr="0017303B">
              <w:rPr>
                <w:rStyle w:val="Hyperlink"/>
                <w:noProof/>
              </w:rPr>
              <w:t>5 paveikslas. Pastatų fondas pagal energinio naudingumo klasę (agreguotas)</w:t>
            </w:r>
            <w:r>
              <w:rPr>
                <w:noProof/>
                <w:webHidden/>
              </w:rPr>
              <w:tab/>
            </w:r>
            <w:r>
              <w:rPr>
                <w:noProof/>
                <w:webHidden/>
              </w:rPr>
              <w:fldChar w:fldCharType="begin"/>
            </w:r>
            <w:r>
              <w:rPr>
                <w:noProof/>
                <w:webHidden/>
              </w:rPr>
              <w:instrText xml:space="preserve"> PAGEREF _Toc67925253 \h </w:instrText>
            </w:r>
            <w:r>
              <w:rPr>
                <w:noProof/>
                <w:webHidden/>
              </w:rPr>
            </w:r>
            <w:r>
              <w:rPr>
                <w:noProof/>
                <w:webHidden/>
              </w:rPr>
              <w:fldChar w:fldCharType="separate"/>
            </w:r>
            <w:r>
              <w:rPr>
                <w:noProof/>
                <w:webHidden/>
              </w:rPr>
              <w:t>24</w:t>
            </w:r>
            <w:r>
              <w:rPr>
                <w:noProof/>
                <w:webHidden/>
              </w:rPr>
              <w:fldChar w:fldCharType="end"/>
            </w:r>
          </w:hyperlink>
        </w:p>
        <w:p w14:paraId="1C98D16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4" w:history="1">
            <w:r w:rsidRPr="0017303B">
              <w:rPr>
                <w:rStyle w:val="Hyperlink"/>
                <w:noProof/>
              </w:rPr>
              <w:t>6 paveikslas. Tipinio daugiabučio pirminės energijos vartojimo palyginimas, kWh/m</w:t>
            </w:r>
            <w:r w:rsidRPr="0017303B">
              <w:rPr>
                <w:rStyle w:val="Hyperlink"/>
                <w:noProof/>
                <w:vertAlign w:val="superscript"/>
              </w:rPr>
              <w:t>2</w:t>
            </w:r>
            <w:r w:rsidRPr="0017303B">
              <w:rPr>
                <w:rStyle w:val="Hyperlink"/>
                <w:noProof/>
              </w:rPr>
              <w:t>/metus</w:t>
            </w:r>
            <w:r>
              <w:rPr>
                <w:noProof/>
                <w:webHidden/>
              </w:rPr>
              <w:tab/>
            </w:r>
            <w:r>
              <w:rPr>
                <w:noProof/>
                <w:webHidden/>
              </w:rPr>
              <w:fldChar w:fldCharType="begin"/>
            </w:r>
            <w:r>
              <w:rPr>
                <w:noProof/>
                <w:webHidden/>
              </w:rPr>
              <w:instrText xml:space="preserve"> PAGEREF _Toc67925254 \h </w:instrText>
            </w:r>
            <w:r>
              <w:rPr>
                <w:noProof/>
                <w:webHidden/>
              </w:rPr>
            </w:r>
            <w:r>
              <w:rPr>
                <w:noProof/>
                <w:webHidden/>
              </w:rPr>
              <w:fldChar w:fldCharType="separate"/>
            </w:r>
            <w:r>
              <w:rPr>
                <w:noProof/>
                <w:webHidden/>
              </w:rPr>
              <w:t>25</w:t>
            </w:r>
            <w:r>
              <w:rPr>
                <w:noProof/>
                <w:webHidden/>
              </w:rPr>
              <w:fldChar w:fldCharType="end"/>
            </w:r>
          </w:hyperlink>
        </w:p>
        <w:p w14:paraId="2DA5AC9D"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5" w:history="1">
            <w:r w:rsidRPr="0017303B">
              <w:rPr>
                <w:rStyle w:val="Hyperlink"/>
                <w:noProof/>
              </w:rPr>
              <w:t>7 paveikslas. Šildymo ir vėsinimo dienolaipsnių stebėtos tendencijos EEE šalyse</w:t>
            </w:r>
            <w:r>
              <w:rPr>
                <w:noProof/>
                <w:webHidden/>
              </w:rPr>
              <w:tab/>
            </w:r>
            <w:r>
              <w:rPr>
                <w:noProof/>
                <w:webHidden/>
              </w:rPr>
              <w:fldChar w:fldCharType="begin"/>
            </w:r>
            <w:r>
              <w:rPr>
                <w:noProof/>
                <w:webHidden/>
              </w:rPr>
              <w:instrText xml:space="preserve"> PAGEREF _Toc67925255 \h </w:instrText>
            </w:r>
            <w:r>
              <w:rPr>
                <w:noProof/>
                <w:webHidden/>
              </w:rPr>
            </w:r>
            <w:r>
              <w:rPr>
                <w:noProof/>
                <w:webHidden/>
              </w:rPr>
              <w:fldChar w:fldCharType="separate"/>
            </w:r>
            <w:r>
              <w:rPr>
                <w:noProof/>
                <w:webHidden/>
              </w:rPr>
              <w:t>26</w:t>
            </w:r>
            <w:r>
              <w:rPr>
                <w:noProof/>
                <w:webHidden/>
              </w:rPr>
              <w:fldChar w:fldCharType="end"/>
            </w:r>
          </w:hyperlink>
        </w:p>
        <w:p w14:paraId="47DBE13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6" w:history="1">
            <w:r w:rsidRPr="0017303B">
              <w:rPr>
                <w:rStyle w:val="Hyperlink"/>
                <w:noProof/>
              </w:rPr>
              <w:t>8 paveikslas. Pastatų fondo šiluminės energijos vartojimas (agreguotas) (GWh/metus)</w:t>
            </w:r>
            <w:r>
              <w:rPr>
                <w:noProof/>
                <w:webHidden/>
              </w:rPr>
              <w:tab/>
            </w:r>
            <w:r>
              <w:rPr>
                <w:noProof/>
                <w:webHidden/>
              </w:rPr>
              <w:fldChar w:fldCharType="begin"/>
            </w:r>
            <w:r>
              <w:rPr>
                <w:noProof/>
                <w:webHidden/>
              </w:rPr>
              <w:instrText xml:space="preserve"> PAGEREF _Toc67925256 \h </w:instrText>
            </w:r>
            <w:r>
              <w:rPr>
                <w:noProof/>
                <w:webHidden/>
              </w:rPr>
            </w:r>
            <w:r>
              <w:rPr>
                <w:noProof/>
                <w:webHidden/>
              </w:rPr>
              <w:fldChar w:fldCharType="separate"/>
            </w:r>
            <w:r>
              <w:rPr>
                <w:noProof/>
                <w:webHidden/>
              </w:rPr>
              <w:t>28</w:t>
            </w:r>
            <w:r>
              <w:rPr>
                <w:noProof/>
                <w:webHidden/>
              </w:rPr>
              <w:fldChar w:fldCharType="end"/>
            </w:r>
          </w:hyperlink>
        </w:p>
        <w:p w14:paraId="595C078B"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7" w:history="1">
            <w:r w:rsidRPr="0017303B">
              <w:rPr>
                <w:rStyle w:val="Hyperlink"/>
                <w:noProof/>
              </w:rPr>
              <w:t>9 paveikslas. Pastatų fondo šiluminės energijos vartojimas (agreguotas) (GWh/metus)</w:t>
            </w:r>
            <w:r>
              <w:rPr>
                <w:noProof/>
                <w:webHidden/>
              </w:rPr>
              <w:tab/>
            </w:r>
            <w:r>
              <w:rPr>
                <w:noProof/>
                <w:webHidden/>
              </w:rPr>
              <w:fldChar w:fldCharType="begin"/>
            </w:r>
            <w:r>
              <w:rPr>
                <w:noProof/>
                <w:webHidden/>
              </w:rPr>
              <w:instrText xml:space="preserve"> PAGEREF _Toc67925257 \h </w:instrText>
            </w:r>
            <w:r>
              <w:rPr>
                <w:noProof/>
                <w:webHidden/>
              </w:rPr>
            </w:r>
            <w:r>
              <w:rPr>
                <w:noProof/>
                <w:webHidden/>
              </w:rPr>
              <w:fldChar w:fldCharType="separate"/>
            </w:r>
            <w:r>
              <w:rPr>
                <w:noProof/>
                <w:webHidden/>
              </w:rPr>
              <w:t>29</w:t>
            </w:r>
            <w:r>
              <w:rPr>
                <w:noProof/>
                <w:webHidden/>
              </w:rPr>
              <w:fldChar w:fldCharType="end"/>
            </w:r>
          </w:hyperlink>
        </w:p>
        <w:p w14:paraId="3A9A5668"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8" w:history="1">
            <w:r w:rsidRPr="0017303B">
              <w:rPr>
                <w:rStyle w:val="Hyperlink"/>
                <w:noProof/>
              </w:rPr>
              <w:t>10 paveikslas. Pastatų fondo pirminės energijos vartojimas pagal ENK ir grupę (GWh/metus)</w:t>
            </w:r>
            <w:r>
              <w:rPr>
                <w:noProof/>
                <w:webHidden/>
              </w:rPr>
              <w:tab/>
            </w:r>
            <w:r>
              <w:rPr>
                <w:noProof/>
                <w:webHidden/>
              </w:rPr>
              <w:fldChar w:fldCharType="begin"/>
            </w:r>
            <w:r>
              <w:rPr>
                <w:noProof/>
                <w:webHidden/>
              </w:rPr>
              <w:instrText xml:space="preserve"> PAGEREF _Toc67925258 \h </w:instrText>
            </w:r>
            <w:r>
              <w:rPr>
                <w:noProof/>
                <w:webHidden/>
              </w:rPr>
            </w:r>
            <w:r>
              <w:rPr>
                <w:noProof/>
                <w:webHidden/>
              </w:rPr>
              <w:fldChar w:fldCharType="separate"/>
            </w:r>
            <w:r>
              <w:rPr>
                <w:noProof/>
                <w:webHidden/>
              </w:rPr>
              <w:t>31</w:t>
            </w:r>
            <w:r>
              <w:rPr>
                <w:noProof/>
                <w:webHidden/>
              </w:rPr>
              <w:fldChar w:fldCharType="end"/>
            </w:r>
          </w:hyperlink>
        </w:p>
        <w:p w14:paraId="4DF1B7B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59" w:history="1">
            <w:r w:rsidRPr="0017303B">
              <w:rPr>
                <w:rStyle w:val="Hyperlink"/>
                <w:noProof/>
              </w:rPr>
              <w:t>11 paveikslas. Pastatų fondo pirminės energijos vartojimas pagal kuro ir energijos rūšis ir pastatų grupes (agreguotas)</w:t>
            </w:r>
            <w:r>
              <w:rPr>
                <w:noProof/>
                <w:webHidden/>
              </w:rPr>
              <w:tab/>
            </w:r>
            <w:r>
              <w:rPr>
                <w:noProof/>
                <w:webHidden/>
              </w:rPr>
              <w:fldChar w:fldCharType="begin"/>
            </w:r>
            <w:r>
              <w:rPr>
                <w:noProof/>
                <w:webHidden/>
              </w:rPr>
              <w:instrText xml:space="preserve"> PAGEREF _Toc67925259 \h </w:instrText>
            </w:r>
            <w:r>
              <w:rPr>
                <w:noProof/>
                <w:webHidden/>
              </w:rPr>
            </w:r>
            <w:r>
              <w:rPr>
                <w:noProof/>
                <w:webHidden/>
              </w:rPr>
              <w:fldChar w:fldCharType="separate"/>
            </w:r>
            <w:r>
              <w:rPr>
                <w:noProof/>
                <w:webHidden/>
              </w:rPr>
              <w:t>32</w:t>
            </w:r>
            <w:r>
              <w:rPr>
                <w:noProof/>
                <w:webHidden/>
              </w:rPr>
              <w:fldChar w:fldCharType="end"/>
            </w:r>
          </w:hyperlink>
        </w:p>
        <w:p w14:paraId="4D228CF9"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0" w:history="1">
            <w:r w:rsidRPr="0017303B">
              <w:rPr>
                <w:rStyle w:val="Hyperlink"/>
                <w:noProof/>
              </w:rPr>
              <w:t>12 paveikslas. Pastatų fondo pirminės energijos vartojimas pagal ENK ir pastatų grupes (agreguotas) (GWh/metus)</w:t>
            </w:r>
            <w:r>
              <w:rPr>
                <w:noProof/>
                <w:webHidden/>
              </w:rPr>
              <w:tab/>
            </w:r>
            <w:r>
              <w:rPr>
                <w:noProof/>
                <w:webHidden/>
              </w:rPr>
              <w:fldChar w:fldCharType="begin"/>
            </w:r>
            <w:r>
              <w:rPr>
                <w:noProof/>
                <w:webHidden/>
              </w:rPr>
              <w:instrText xml:space="preserve"> PAGEREF _Toc67925260 \h </w:instrText>
            </w:r>
            <w:r>
              <w:rPr>
                <w:noProof/>
                <w:webHidden/>
              </w:rPr>
            </w:r>
            <w:r>
              <w:rPr>
                <w:noProof/>
                <w:webHidden/>
              </w:rPr>
              <w:fldChar w:fldCharType="separate"/>
            </w:r>
            <w:r>
              <w:rPr>
                <w:noProof/>
                <w:webHidden/>
              </w:rPr>
              <w:t>33</w:t>
            </w:r>
            <w:r>
              <w:rPr>
                <w:noProof/>
                <w:webHidden/>
              </w:rPr>
              <w:fldChar w:fldCharType="end"/>
            </w:r>
          </w:hyperlink>
        </w:p>
        <w:p w14:paraId="418718F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1" w:history="1">
            <w:r w:rsidRPr="0017303B">
              <w:rPr>
                <w:rStyle w:val="Hyperlink"/>
                <w:noProof/>
              </w:rPr>
              <w:t>13 paveikslas. A++ energinio naudingumo klasės pastatų skaičius pagal pastatų paskirtį (vnt.)</w:t>
            </w:r>
            <w:r>
              <w:rPr>
                <w:noProof/>
                <w:webHidden/>
              </w:rPr>
              <w:tab/>
            </w:r>
            <w:r>
              <w:rPr>
                <w:noProof/>
                <w:webHidden/>
              </w:rPr>
              <w:fldChar w:fldCharType="begin"/>
            </w:r>
            <w:r>
              <w:rPr>
                <w:noProof/>
                <w:webHidden/>
              </w:rPr>
              <w:instrText xml:space="preserve"> PAGEREF _Toc67925261 \h </w:instrText>
            </w:r>
            <w:r>
              <w:rPr>
                <w:noProof/>
                <w:webHidden/>
              </w:rPr>
            </w:r>
            <w:r>
              <w:rPr>
                <w:noProof/>
                <w:webHidden/>
              </w:rPr>
              <w:fldChar w:fldCharType="separate"/>
            </w:r>
            <w:r>
              <w:rPr>
                <w:noProof/>
                <w:webHidden/>
              </w:rPr>
              <w:t>36</w:t>
            </w:r>
            <w:r>
              <w:rPr>
                <w:noProof/>
                <w:webHidden/>
              </w:rPr>
              <w:fldChar w:fldCharType="end"/>
            </w:r>
          </w:hyperlink>
        </w:p>
        <w:p w14:paraId="76D52313"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2" w:history="1">
            <w:r w:rsidRPr="0017303B">
              <w:rPr>
                <w:rStyle w:val="Hyperlink"/>
                <w:noProof/>
              </w:rPr>
              <w:t>14 paveikslas. Lietuvoje renovuotų daugiabučių skaičius 2013-2020 m. (vnt.)</w:t>
            </w:r>
            <w:r>
              <w:rPr>
                <w:noProof/>
                <w:webHidden/>
              </w:rPr>
              <w:tab/>
            </w:r>
            <w:r>
              <w:rPr>
                <w:noProof/>
                <w:webHidden/>
              </w:rPr>
              <w:fldChar w:fldCharType="begin"/>
            </w:r>
            <w:r>
              <w:rPr>
                <w:noProof/>
                <w:webHidden/>
              </w:rPr>
              <w:instrText xml:space="preserve"> PAGEREF _Toc67925262 \h </w:instrText>
            </w:r>
            <w:r>
              <w:rPr>
                <w:noProof/>
                <w:webHidden/>
              </w:rPr>
            </w:r>
            <w:r>
              <w:rPr>
                <w:noProof/>
                <w:webHidden/>
              </w:rPr>
              <w:fldChar w:fldCharType="separate"/>
            </w:r>
            <w:r>
              <w:rPr>
                <w:noProof/>
                <w:webHidden/>
              </w:rPr>
              <w:t>37</w:t>
            </w:r>
            <w:r>
              <w:rPr>
                <w:noProof/>
                <w:webHidden/>
              </w:rPr>
              <w:fldChar w:fldCharType="end"/>
            </w:r>
          </w:hyperlink>
        </w:p>
        <w:p w14:paraId="69AF995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3" w:history="1">
            <w:r w:rsidRPr="0017303B">
              <w:rPr>
                <w:rStyle w:val="Hyperlink"/>
                <w:noProof/>
              </w:rPr>
              <w:t>15 paveikslas. Ekonominio modeliavimo rezultatai</w:t>
            </w:r>
            <w:r>
              <w:rPr>
                <w:noProof/>
                <w:webHidden/>
              </w:rPr>
              <w:tab/>
            </w:r>
            <w:r>
              <w:rPr>
                <w:noProof/>
                <w:webHidden/>
              </w:rPr>
              <w:fldChar w:fldCharType="begin"/>
            </w:r>
            <w:r>
              <w:rPr>
                <w:noProof/>
                <w:webHidden/>
              </w:rPr>
              <w:instrText xml:space="preserve"> PAGEREF _Toc67925263 \h </w:instrText>
            </w:r>
            <w:r>
              <w:rPr>
                <w:noProof/>
                <w:webHidden/>
              </w:rPr>
            </w:r>
            <w:r>
              <w:rPr>
                <w:noProof/>
                <w:webHidden/>
              </w:rPr>
              <w:fldChar w:fldCharType="separate"/>
            </w:r>
            <w:r>
              <w:rPr>
                <w:noProof/>
                <w:webHidden/>
              </w:rPr>
              <w:t>49</w:t>
            </w:r>
            <w:r>
              <w:rPr>
                <w:noProof/>
                <w:webHidden/>
              </w:rPr>
              <w:fldChar w:fldCharType="end"/>
            </w:r>
          </w:hyperlink>
        </w:p>
        <w:p w14:paraId="1099BD9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4" w:history="1">
            <w:r w:rsidRPr="0017303B">
              <w:rPr>
                <w:rStyle w:val="Hyperlink"/>
                <w:noProof/>
              </w:rPr>
              <w:t>16 paveikslas. Finansinio efektyvumo modeliavimo rezultatai</w:t>
            </w:r>
            <w:r>
              <w:rPr>
                <w:noProof/>
                <w:webHidden/>
              </w:rPr>
              <w:tab/>
            </w:r>
            <w:r>
              <w:rPr>
                <w:noProof/>
                <w:webHidden/>
              </w:rPr>
              <w:fldChar w:fldCharType="begin"/>
            </w:r>
            <w:r>
              <w:rPr>
                <w:noProof/>
                <w:webHidden/>
              </w:rPr>
              <w:instrText xml:space="preserve"> PAGEREF _Toc67925264 \h </w:instrText>
            </w:r>
            <w:r>
              <w:rPr>
                <w:noProof/>
                <w:webHidden/>
              </w:rPr>
            </w:r>
            <w:r>
              <w:rPr>
                <w:noProof/>
                <w:webHidden/>
              </w:rPr>
              <w:fldChar w:fldCharType="separate"/>
            </w:r>
            <w:r>
              <w:rPr>
                <w:noProof/>
                <w:webHidden/>
              </w:rPr>
              <w:t>50</w:t>
            </w:r>
            <w:r>
              <w:rPr>
                <w:noProof/>
                <w:webHidden/>
              </w:rPr>
              <w:fldChar w:fldCharType="end"/>
            </w:r>
          </w:hyperlink>
        </w:p>
        <w:p w14:paraId="750A819F"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5" w:history="1">
            <w:r w:rsidRPr="0017303B">
              <w:rPr>
                <w:rStyle w:val="Hyperlink"/>
                <w:noProof/>
              </w:rPr>
              <w:t>17 paveikslas.. Ekonominio efektyvumo modeliavimo rezultatai</w:t>
            </w:r>
            <w:r>
              <w:rPr>
                <w:noProof/>
                <w:webHidden/>
              </w:rPr>
              <w:tab/>
            </w:r>
            <w:r>
              <w:rPr>
                <w:noProof/>
                <w:webHidden/>
              </w:rPr>
              <w:fldChar w:fldCharType="begin"/>
            </w:r>
            <w:r>
              <w:rPr>
                <w:noProof/>
                <w:webHidden/>
              </w:rPr>
              <w:instrText xml:space="preserve"> PAGEREF _Toc67925265 \h </w:instrText>
            </w:r>
            <w:r>
              <w:rPr>
                <w:noProof/>
                <w:webHidden/>
              </w:rPr>
            </w:r>
            <w:r>
              <w:rPr>
                <w:noProof/>
                <w:webHidden/>
              </w:rPr>
              <w:fldChar w:fldCharType="separate"/>
            </w:r>
            <w:r>
              <w:rPr>
                <w:noProof/>
                <w:webHidden/>
              </w:rPr>
              <w:t>51</w:t>
            </w:r>
            <w:r>
              <w:rPr>
                <w:noProof/>
                <w:webHidden/>
              </w:rPr>
              <w:fldChar w:fldCharType="end"/>
            </w:r>
          </w:hyperlink>
        </w:p>
        <w:p w14:paraId="2F1BAD12"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6" w:history="1">
            <w:r w:rsidRPr="0017303B">
              <w:rPr>
                <w:rStyle w:val="Hyperlink"/>
                <w:noProof/>
              </w:rPr>
              <w:t>18 paveikslas. Energiją taupančių priemonių panaudojimas pastatų atnaujinime</w:t>
            </w:r>
            <w:r>
              <w:rPr>
                <w:noProof/>
                <w:webHidden/>
              </w:rPr>
              <w:tab/>
            </w:r>
            <w:r>
              <w:rPr>
                <w:noProof/>
                <w:webHidden/>
              </w:rPr>
              <w:fldChar w:fldCharType="begin"/>
            </w:r>
            <w:r>
              <w:rPr>
                <w:noProof/>
                <w:webHidden/>
              </w:rPr>
              <w:instrText xml:space="preserve"> PAGEREF _Toc67925266 \h </w:instrText>
            </w:r>
            <w:r>
              <w:rPr>
                <w:noProof/>
                <w:webHidden/>
              </w:rPr>
            </w:r>
            <w:r>
              <w:rPr>
                <w:noProof/>
                <w:webHidden/>
              </w:rPr>
              <w:fldChar w:fldCharType="separate"/>
            </w:r>
            <w:r>
              <w:rPr>
                <w:noProof/>
                <w:webHidden/>
              </w:rPr>
              <w:t>53</w:t>
            </w:r>
            <w:r>
              <w:rPr>
                <w:noProof/>
                <w:webHidden/>
              </w:rPr>
              <w:fldChar w:fldCharType="end"/>
            </w:r>
          </w:hyperlink>
        </w:p>
        <w:p w14:paraId="53CB4C3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7" w:history="1">
            <w:r w:rsidRPr="0017303B">
              <w:rPr>
                <w:rStyle w:val="Hyperlink"/>
                <w:noProof/>
              </w:rPr>
              <w:t>19 paveikslas. Europos žaliojo kurso elementai</w:t>
            </w:r>
            <w:r>
              <w:rPr>
                <w:noProof/>
                <w:webHidden/>
              </w:rPr>
              <w:tab/>
            </w:r>
            <w:r>
              <w:rPr>
                <w:noProof/>
                <w:webHidden/>
              </w:rPr>
              <w:fldChar w:fldCharType="begin"/>
            </w:r>
            <w:r>
              <w:rPr>
                <w:noProof/>
                <w:webHidden/>
              </w:rPr>
              <w:instrText xml:space="preserve"> PAGEREF _Toc67925267 \h </w:instrText>
            </w:r>
            <w:r>
              <w:rPr>
                <w:noProof/>
                <w:webHidden/>
              </w:rPr>
            </w:r>
            <w:r>
              <w:rPr>
                <w:noProof/>
                <w:webHidden/>
              </w:rPr>
              <w:fldChar w:fldCharType="separate"/>
            </w:r>
            <w:r>
              <w:rPr>
                <w:noProof/>
                <w:webHidden/>
              </w:rPr>
              <w:t>78</w:t>
            </w:r>
            <w:r>
              <w:rPr>
                <w:noProof/>
                <w:webHidden/>
              </w:rPr>
              <w:fldChar w:fldCharType="end"/>
            </w:r>
          </w:hyperlink>
        </w:p>
        <w:p w14:paraId="3937375D"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8" w:history="1">
            <w:r w:rsidRPr="0017303B">
              <w:rPr>
                <w:rStyle w:val="Hyperlink"/>
                <w:noProof/>
              </w:rPr>
              <w:t>20 paveikslas. Pastatų fondo transformacijos rodikliai</w:t>
            </w:r>
            <w:r>
              <w:rPr>
                <w:noProof/>
                <w:webHidden/>
              </w:rPr>
              <w:tab/>
            </w:r>
            <w:r>
              <w:rPr>
                <w:noProof/>
                <w:webHidden/>
              </w:rPr>
              <w:fldChar w:fldCharType="begin"/>
            </w:r>
            <w:r>
              <w:rPr>
                <w:noProof/>
                <w:webHidden/>
              </w:rPr>
              <w:instrText xml:space="preserve"> PAGEREF _Toc67925268 \h </w:instrText>
            </w:r>
            <w:r>
              <w:rPr>
                <w:noProof/>
                <w:webHidden/>
              </w:rPr>
            </w:r>
            <w:r>
              <w:rPr>
                <w:noProof/>
                <w:webHidden/>
              </w:rPr>
              <w:fldChar w:fldCharType="separate"/>
            </w:r>
            <w:r>
              <w:rPr>
                <w:noProof/>
                <w:webHidden/>
              </w:rPr>
              <w:t>79</w:t>
            </w:r>
            <w:r>
              <w:rPr>
                <w:noProof/>
                <w:webHidden/>
              </w:rPr>
              <w:fldChar w:fldCharType="end"/>
            </w:r>
          </w:hyperlink>
        </w:p>
        <w:p w14:paraId="1653C7C6"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69" w:history="1">
            <w:r w:rsidRPr="0017303B">
              <w:rPr>
                <w:rStyle w:val="Hyperlink"/>
                <w:noProof/>
              </w:rPr>
              <w:t>21 paveikslas. Pastatų fondo transformacijos komponentai (pirminės energijos sumažinimas)</w:t>
            </w:r>
            <w:r>
              <w:rPr>
                <w:noProof/>
                <w:webHidden/>
              </w:rPr>
              <w:tab/>
            </w:r>
            <w:r>
              <w:rPr>
                <w:noProof/>
                <w:webHidden/>
              </w:rPr>
              <w:fldChar w:fldCharType="begin"/>
            </w:r>
            <w:r>
              <w:rPr>
                <w:noProof/>
                <w:webHidden/>
              </w:rPr>
              <w:instrText xml:space="preserve"> PAGEREF _Toc67925269 \h </w:instrText>
            </w:r>
            <w:r>
              <w:rPr>
                <w:noProof/>
                <w:webHidden/>
              </w:rPr>
            </w:r>
            <w:r>
              <w:rPr>
                <w:noProof/>
                <w:webHidden/>
              </w:rPr>
              <w:fldChar w:fldCharType="separate"/>
            </w:r>
            <w:r>
              <w:rPr>
                <w:noProof/>
                <w:webHidden/>
              </w:rPr>
              <w:t>80</w:t>
            </w:r>
            <w:r>
              <w:rPr>
                <w:noProof/>
                <w:webHidden/>
              </w:rPr>
              <w:fldChar w:fldCharType="end"/>
            </w:r>
          </w:hyperlink>
        </w:p>
        <w:p w14:paraId="2723BA5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0" w:history="1">
            <w:r w:rsidRPr="0017303B">
              <w:rPr>
                <w:rStyle w:val="Hyperlink"/>
                <w:noProof/>
              </w:rPr>
              <w:t>22 paveikslas. Pastatų fondo transformacijos komponentai (CO2 emisijų sumažinimas)</w:t>
            </w:r>
            <w:r>
              <w:rPr>
                <w:noProof/>
                <w:webHidden/>
              </w:rPr>
              <w:tab/>
            </w:r>
            <w:r>
              <w:rPr>
                <w:noProof/>
                <w:webHidden/>
              </w:rPr>
              <w:fldChar w:fldCharType="begin"/>
            </w:r>
            <w:r>
              <w:rPr>
                <w:noProof/>
                <w:webHidden/>
              </w:rPr>
              <w:instrText xml:space="preserve"> PAGEREF _Toc67925270 \h </w:instrText>
            </w:r>
            <w:r>
              <w:rPr>
                <w:noProof/>
                <w:webHidden/>
              </w:rPr>
            </w:r>
            <w:r>
              <w:rPr>
                <w:noProof/>
                <w:webHidden/>
              </w:rPr>
              <w:fldChar w:fldCharType="separate"/>
            </w:r>
            <w:r>
              <w:rPr>
                <w:noProof/>
                <w:webHidden/>
              </w:rPr>
              <w:t>81</w:t>
            </w:r>
            <w:r>
              <w:rPr>
                <w:noProof/>
                <w:webHidden/>
              </w:rPr>
              <w:fldChar w:fldCharType="end"/>
            </w:r>
          </w:hyperlink>
        </w:p>
        <w:p w14:paraId="20B16DE9"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1" w:history="1">
            <w:r w:rsidRPr="0017303B">
              <w:rPr>
                <w:rStyle w:val="Hyperlink"/>
                <w:noProof/>
              </w:rPr>
              <w:t>23 paveikslas. Siekiami daugiabučių pastatų renovacijos tempai</w:t>
            </w:r>
            <w:r>
              <w:rPr>
                <w:noProof/>
                <w:webHidden/>
              </w:rPr>
              <w:tab/>
            </w:r>
            <w:r>
              <w:rPr>
                <w:noProof/>
                <w:webHidden/>
              </w:rPr>
              <w:fldChar w:fldCharType="begin"/>
            </w:r>
            <w:r>
              <w:rPr>
                <w:noProof/>
                <w:webHidden/>
              </w:rPr>
              <w:instrText xml:space="preserve"> PAGEREF _Toc67925271 \h </w:instrText>
            </w:r>
            <w:r>
              <w:rPr>
                <w:noProof/>
                <w:webHidden/>
              </w:rPr>
            </w:r>
            <w:r>
              <w:rPr>
                <w:noProof/>
                <w:webHidden/>
              </w:rPr>
              <w:fldChar w:fldCharType="separate"/>
            </w:r>
            <w:r>
              <w:rPr>
                <w:noProof/>
                <w:webHidden/>
              </w:rPr>
              <w:t>84</w:t>
            </w:r>
            <w:r>
              <w:rPr>
                <w:noProof/>
                <w:webHidden/>
              </w:rPr>
              <w:fldChar w:fldCharType="end"/>
            </w:r>
          </w:hyperlink>
        </w:p>
        <w:p w14:paraId="51D23B3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2" w:history="1">
            <w:r w:rsidRPr="0017303B">
              <w:rPr>
                <w:rStyle w:val="Hyperlink"/>
                <w:noProof/>
              </w:rPr>
              <w:t>24 paveikslas. Siekiami individuali namų renovacijos tempai</w:t>
            </w:r>
            <w:r>
              <w:rPr>
                <w:noProof/>
                <w:webHidden/>
              </w:rPr>
              <w:tab/>
            </w:r>
            <w:r>
              <w:rPr>
                <w:noProof/>
                <w:webHidden/>
              </w:rPr>
              <w:fldChar w:fldCharType="begin"/>
            </w:r>
            <w:r>
              <w:rPr>
                <w:noProof/>
                <w:webHidden/>
              </w:rPr>
              <w:instrText xml:space="preserve"> PAGEREF _Toc67925272 \h </w:instrText>
            </w:r>
            <w:r>
              <w:rPr>
                <w:noProof/>
                <w:webHidden/>
              </w:rPr>
            </w:r>
            <w:r>
              <w:rPr>
                <w:noProof/>
                <w:webHidden/>
              </w:rPr>
              <w:fldChar w:fldCharType="separate"/>
            </w:r>
            <w:r>
              <w:rPr>
                <w:noProof/>
                <w:webHidden/>
              </w:rPr>
              <w:t>85</w:t>
            </w:r>
            <w:r>
              <w:rPr>
                <w:noProof/>
                <w:webHidden/>
              </w:rPr>
              <w:fldChar w:fldCharType="end"/>
            </w:r>
          </w:hyperlink>
        </w:p>
        <w:p w14:paraId="09378AD3"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3" w:history="1">
            <w:r w:rsidRPr="0017303B">
              <w:rPr>
                <w:rStyle w:val="Hyperlink"/>
                <w:noProof/>
              </w:rPr>
              <w:t>25 paveikslas. Siekiami kitų negyvenamųjų pastatų renovacijos tempai</w:t>
            </w:r>
            <w:r>
              <w:rPr>
                <w:noProof/>
                <w:webHidden/>
              </w:rPr>
              <w:tab/>
            </w:r>
            <w:r>
              <w:rPr>
                <w:noProof/>
                <w:webHidden/>
              </w:rPr>
              <w:fldChar w:fldCharType="begin"/>
            </w:r>
            <w:r>
              <w:rPr>
                <w:noProof/>
                <w:webHidden/>
              </w:rPr>
              <w:instrText xml:space="preserve"> PAGEREF _Toc67925273 \h </w:instrText>
            </w:r>
            <w:r>
              <w:rPr>
                <w:noProof/>
                <w:webHidden/>
              </w:rPr>
            </w:r>
            <w:r>
              <w:rPr>
                <w:noProof/>
                <w:webHidden/>
              </w:rPr>
              <w:fldChar w:fldCharType="separate"/>
            </w:r>
            <w:r>
              <w:rPr>
                <w:noProof/>
                <w:webHidden/>
              </w:rPr>
              <w:t>86</w:t>
            </w:r>
            <w:r>
              <w:rPr>
                <w:noProof/>
                <w:webHidden/>
              </w:rPr>
              <w:fldChar w:fldCharType="end"/>
            </w:r>
          </w:hyperlink>
        </w:p>
        <w:p w14:paraId="32D57734"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4" w:history="1">
            <w:r w:rsidRPr="0017303B">
              <w:rPr>
                <w:rStyle w:val="Hyperlink"/>
                <w:noProof/>
              </w:rPr>
              <w:t>26 paveikslas. Pramonės pastatų renovacijos tempai</w:t>
            </w:r>
            <w:r>
              <w:rPr>
                <w:noProof/>
                <w:webHidden/>
              </w:rPr>
              <w:tab/>
            </w:r>
            <w:r>
              <w:rPr>
                <w:noProof/>
                <w:webHidden/>
              </w:rPr>
              <w:fldChar w:fldCharType="begin"/>
            </w:r>
            <w:r>
              <w:rPr>
                <w:noProof/>
                <w:webHidden/>
              </w:rPr>
              <w:instrText xml:space="preserve"> PAGEREF _Toc67925274 \h </w:instrText>
            </w:r>
            <w:r>
              <w:rPr>
                <w:noProof/>
                <w:webHidden/>
              </w:rPr>
            </w:r>
            <w:r>
              <w:rPr>
                <w:noProof/>
                <w:webHidden/>
              </w:rPr>
              <w:fldChar w:fldCharType="separate"/>
            </w:r>
            <w:r>
              <w:rPr>
                <w:noProof/>
                <w:webHidden/>
              </w:rPr>
              <w:t>87</w:t>
            </w:r>
            <w:r>
              <w:rPr>
                <w:noProof/>
                <w:webHidden/>
              </w:rPr>
              <w:fldChar w:fldCharType="end"/>
            </w:r>
          </w:hyperlink>
        </w:p>
        <w:p w14:paraId="424AC25C"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5" w:history="1">
            <w:r w:rsidRPr="0017303B">
              <w:rPr>
                <w:rStyle w:val="Hyperlink"/>
                <w:noProof/>
              </w:rPr>
              <w:t>27 paveikslas. Būsto kompensavimo išlaidos ir gavėjų skaičiaus lygis 2012-2018 m. Lietuvoje</w:t>
            </w:r>
            <w:r>
              <w:rPr>
                <w:noProof/>
                <w:webHidden/>
              </w:rPr>
              <w:tab/>
            </w:r>
            <w:r>
              <w:rPr>
                <w:noProof/>
                <w:webHidden/>
              </w:rPr>
              <w:fldChar w:fldCharType="begin"/>
            </w:r>
            <w:r>
              <w:rPr>
                <w:noProof/>
                <w:webHidden/>
              </w:rPr>
              <w:instrText xml:space="preserve"> PAGEREF _Toc67925275 \h </w:instrText>
            </w:r>
            <w:r>
              <w:rPr>
                <w:noProof/>
                <w:webHidden/>
              </w:rPr>
            </w:r>
            <w:r>
              <w:rPr>
                <w:noProof/>
                <w:webHidden/>
              </w:rPr>
              <w:fldChar w:fldCharType="separate"/>
            </w:r>
            <w:r>
              <w:rPr>
                <w:noProof/>
                <w:webHidden/>
              </w:rPr>
              <w:t>93</w:t>
            </w:r>
            <w:r>
              <w:rPr>
                <w:noProof/>
                <w:webHidden/>
              </w:rPr>
              <w:fldChar w:fldCharType="end"/>
            </w:r>
          </w:hyperlink>
        </w:p>
        <w:p w14:paraId="490F0D4D"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6" w:history="1">
            <w:r w:rsidRPr="0017303B">
              <w:rPr>
                <w:rStyle w:val="Hyperlink"/>
                <w:noProof/>
              </w:rPr>
              <w:t>28 paveikslas. Renovacijos įgyvendinimo modelis</w:t>
            </w:r>
            <w:r>
              <w:rPr>
                <w:noProof/>
                <w:webHidden/>
              </w:rPr>
              <w:tab/>
            </w:r>
            <w:r>
              <w:rPr>
                <w:noProof/>
                <w:webHidden/>
              </w:rPr>
              <w:fldChar w:fldCharType="begin"/>
            </w:r>
            <w:r>
              <w:rPr>
                <w:noProof/>
                <w:webHidden/>
              </w:rPr>
              <w:instrText xml:space="preserve"> PAGEREF _Toc67925276 \h </w:instrText>
            </w:r>
            <w:r>
              <w:rPr>
                <w:noProof/>
                <w:webHidden/>
              </w:rPr>
            </w:r>
            <w:r>
              <w:rPr>
                <w:noProof/>
                <w:webHidden/>
              </w:rPr>
              <w:fldChar w:fldCharType="separate"/>
            </w:r>
            <w:r>
              <w:rPr>
                <w:noProof/>
                <w:webHidden/>
              </w:rPr>
              <w:t>97</w:t>
            </w:r>
            <w:r>
              <w:rPr>
                <w:noProof/>
                <w:webHidden/>
              </w:rPr>
              <w:fldChar w:fldCharType="end"/>
            </w:r>
          </w:hyperlink>
        </w:p>
        <w:p w14:paraId="617E208E"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7" w:history="1">
            <w:r w:rsidRPr="0017303B">
              <w:rPr>
                <w:rStyle w:val="Hyperlink"/>
                <w:noProof/>
              </w:rPr>
              <w:t>29 paveikslas. Pirminės energijos vartojimas pagal energinį efektyvumą ir šilumos gamybos šaltinį (GWh/metus)</w:t>
            </w:r>
            <w:r>
              <w:rPr>
                <w:noProof/>
                <w:webHidden/>
              </w:rPr>
              <w:tab/>
            </w:r>
            <w:r>
              <w:rPr>
                <w:noProof/>
                <w:webHidden/>
              </w:rPr>
              <w:fldChar w:fldCharType="begin"/>
            </w:r>
            <w:r>
              <w:rPr>
                <w:noProof/>
                <w:webHidden/>
              </w:rPr>
              <w:instrText xml:space="preserve"> PAGEREF _Toc67925277 \h </w:instrText>
            </w:r>
            <w:r>
              <w:rPr>
                <w:noProof/>
                <w:webHidden/>
              </w:rPr>
            </w:r>
            <w:r>
              <w:rPr>
                <w:noProof/>
                <w:webHidden/>
              </w:rPr>
              <w:fldChar w:fldCharType="separate"/>
            </w:r>
            <w:r>
              <w:rPr>
                <w:noProof/>
                <w:webHidden/>
              </w:rPr>
              <w:t>111</w:t>
            </w:r>
            <w:r>
              <w:rPr>
                <w:noProof/>
                <w:webHidden/>
              </w:rPr>
              <w:fldChar w:fldCharType="end"/>
            </w:r>
          </w:hyperlink>
        </w:p>
        <w:p w14:paraId="3EB3E2C5" w14:textId="77777777" w:rsidR="0045783E" w:rsidRDefault="0045783E">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67925278" w:history="1">
            <w:r w:rsidRPr="0017303B">
              <w:rPr>
                <w:rStyle w:val="Hyperlink"/>
                <w:noProof/>
              </w:rPr>
              <w:t>30 paveikslas. IRS įgyvendinimo etapai</w:t>
            </w:r>
            <w:r>
              <w:rPr>
                <w:noProof/>
                <w:webHidden/>
              </w:rPr>
              <w:tab/>
            </w:r>
            <w:r>
              <w:rPr>
                <w:noProof/>
                <w:webHidden/>
              </w:rPr>
              <w:fldChar w:fldCharType="begin"/>
            </w:r>
            <w:r>
              <w:rPr>
                <w:noProof/>
                <w:webHidden/>
              </w:rPr>
              <w:instrText xml:space="preserve"> PAGEREF _Toc67925278 \h </w:instrText>
            </w:r>
            <w:r>
              <w:rPr>
                <w:noProof/>
                <w:webHidden/>
              </w:rPr>
            </w:r>
            <w:r>
              <w:rPr>
                <w:noProof/>
                <w:webHidden/>
              </w:rPr>
              <w:fldChar w:fldCharType="separate"/>
            </w:r>
            <w:r>
              <w:rPr>
                <w:noProof/>
                <w:webHidden/>
              </w:rPr>
              <w:t>113</w:t>
            </w:r>
            <w:r>
              <w:rPr>
                <w:noProof/>
                <w:webHidden/>
              </w:rPr>
              <w:fldChar w:fldCharType="end"/>
            </w:r>
          </w:hyperlink>
        </w:p>
        <w:p w14:paraId="6E5DFB05" w14:textId="3E239FC9" w:rsidR="00CD3858" w:rsidRPr="00650EE4" w:rsidRDefault="00E85447" w:rsidP="00E0385F">
          <w:pPr>
            <w:pStyle w:val="BodyText"/>
            <w:spacing w:line="240" w:lineRule="auto"/>
            <w:rPr>
              <w:rFonts w:ascii="Times New Roman" w:hAnsi="Times New Roman"/>
              <w:color w:val="000000" w:themeColor="text1"/>
              <w:szCs w:val="22"/>
              <w:lang w:val="lt-LT"/>
            </w:rPr>
          </w:pPr>
          <w:r w:rsidRPr="00C65CA1">
            <w:rPr>
              <w:rFonts w:ascii="Times New Roman" w:hAnsi="Times New Roman"/>
              <w:color w:val="000000" w:themeColor="text1"/>
              <w:szCs w:val="22"/>
              <w:lang w:val="lt-LT"/>
            </w:rPr>
            <w:fldChar w:fldCharType="end"/>
          </w:r>
        </w:p>
        <w:p w14:paraId="4424B87F" w14:textId="184F012C" w:rsidR="00CD3858" w:rsidRPr="00650EE4" w:rsidRDefault="00CD3858" w:rsidP="009D10F8">
          <w:pPr>
            <w:pStyle w:val="BodyText"/>
            <w:rPr>
              <w:rFonts w:ascii="Times New Roman" w:hAnsi="Times New Roman"/>
              <w:color w:val="000000" w:themeColor="text1"/>
              <w:szCs w:val="22"/>
              <w:lang w:val="lt-LT"/>
            </w:rPr>
          </w:pPr>
        </w:p>
        <w:p w14:paraId="29ECBA38" w14:textId="79B0C9E3" w:rsidR="00CD3858" w:rsidRPr="00650EE4" w:rsidRDefault="00CD3858" w:rsidP="009D10F8">
          <w:pPr>
            <w:pStyle w:val="BodyText"/>
            <w:rPr>
              <w:rFonts w:ascii="Times New Roman" w:hAnsi="Times New Roman"/>
              <w:color w:val="000000" w:themeColor="text1"/>
              <w:szCs w:val="22"/>
              <w:lang w:val="lt-LT"/>
            </w:rPr>
          </w:pPr>
        </w:p>
        <w:p w14:paraId="0E3DF79D" w14:textId="77777777" w:rsidR="00CD3858" w:rsidRPr="00650EE4" w:rsidRDefault="00CD3858" w:rsidP="009D10F8">
          <w:pPr>
            <w:pStyle w:val="BodyText"/>
            <w:rPr>
              <w:rFonts w:ascii="Times New Roman" w:hAnsi="Times New Roman"/>
              <w:color w:val="000000" w:themeColor="text1"/>
              <w:szCs w:val="22"/>
              <w:lang w:val="lt-LT"/>
            </w:rPr>
          </w:pPr>
        </w:p>
        <w:p w14:paraId="1BE2D8C9" w14:textId="4FC6CA62" w:rsidR="00AF0F35" w:rsidRPr="00650EE4" w:rsidRDefault="0045783E" w:rsidP="00DA1E77">
          <w:pPr>
            <w:spacing w:after="240"/>
            <w:rPr>
              <w:rFonts w:ascii="Times New Roman" w:hAnsi="Times New Roman"/>
              <w:color w:val="000000" w:themeColor="text1"/>
            </w:rPr>
            <w:sectPr w:rsidR="00AF0F35" w:rsidRPr="00650EE4" w:rsidSect="00A74C24">
              <w:headerReference w:type="first" r:id="rId15"/>
              <w:footerReference w:type="first" r:id="rId16"/>
              <w:pgSz w:w="11906" w:h="16838" w:code="9"/>
              <w:pgMar w:top="851" w:right="851" w:bottom="851" w:left="851" w:header="567" w:footer="567" w:gutter="0"/>
              <w:cols w:space="708"/>
              <w:titlePg/>
              <w:docGrid w:linePitch="360"/>
            </w:sectPr>
          </w:pPr>
        </w:p>
      </w:sdtContent>
    </w:sdt>
    <w:p w14:paraId="4363C89E" w14:textId="300CBD91" w:rsidR="0097764B" w:rsidRPr="00650EE4" w:rsidRDefault="00AF3316" w:rsidP="00647722">
      <w:pPr>
        <w:pStyle w:val="Nenumeruojamosantrastes"/>
        <w:pBdr>
          <w:bottom w:val="single" w:sz="4" w:space="1" w:color="auto"/>
        </w:pBdr>
        <w:outlineLvl w:val="0"/>
        <w:rPr>
          <w:rFonts w:ascii="Times New Roman" w:hAnsi="Times New Roman"/>
          <w:color w:val="002060"/>
          <w:sz w:val="24"/>
          <w:szCs w:val="24"/>
        </w:rPr>
      </w:pPr>
      <w:bookmarkStart w:id="8" w:name="_Toc67925098"/>
      <w:r w:rsidRPr="00650EE4">
        <w:rPr>
          <w:rFonts w:ascii="Times New Roman" w:hAnsi="Times New Roman"/>
          <w:caps w:val="0"/>
          <w:color w:val="002060"/>
          <w:sz w:val="24"/>
          <w:szCs w:val="24"/>
        </w:rPr>
        <w:lastRenderedPageBreak/>
        <w:t>SANTRUMP</w:t>
      </w:r>
      <w:r w:rsidR="00955EA7" w:rsidRPr="00650EE4">
        <w:rPr>
          <w:rFonts w:ascii="Times New Roman" w:hAnsi="Times New Roman"/>
          <w:caps w:val="0"/>
          <w:color w:val="002060"/>
          <w:sz w:val="24"/>
          <w:szCs w:val="24"/>
        </w:rPr>
        <w:t>Ų</w:t>
      </w:r>
      <w:r w:rsidR="00D83D47" w:rsidRPr="00650EE4">
        <w:rPr>
          <w:rFonts w:ascii="Times New Roman" w:hAnsi="Times New Roman"/>
          <w:caps w:val="0"/>
          <w:color w:val="002060"/>
          <w:sz w:val="24"/>
          <w:szCs w:val="24"/>
        </w:rPr>
        <w:t xml:space="preserve"> IR SĄVOKŲ</w:t>
      </w:r>
      <w:r w:rsidR="00955EA7" w:rsidRPr="00650EE4">
        <w:rPr>
          <w:rFonts w:ascii="Times New Roman" w:hAnsi="Times New Roman"/>
          <w:caps w:val="0"/>
          <w:color w:val="002060"/>
          <w:sz w:val="24"/>
          <w:szCs w:val="24"/>
        </w:rPr>
        <w:t xml:space="preserve"> SĄRAŠAS</w:t>
      </w:r>
      <w:bookmarkEnd w:id="8"/>
    </w:p>
    <w:tbl>
      <w:tblPr>
        <w:tblStyle w:val="LightList-Accent1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030"/>
      </w:tblGrid>
      <w:tr w:rsidR="000F4DCB" w:rsidRPr="00650EE4" w14:paraId="7AB93421" w14:textId="77777777" w:rsidTr="00BD4F8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hideMark/>
          </w:tcPr>
          <w:p w14:paraId="43DABAE3" w14:textId="1AECEFB2" w:rsidR="00D464D7" w:rsidRPr="00650EE4" w:rsidRDefault="00D464D7" w:rsidP="006247D0">
            <w:pPr>
              <w:rPr>
                <w:rFonts w:ascii="Times New Roman" w:eastAsia="Times New Roman" w:hAnsi="Times New Roman"/>
                <w:color w:val="000000" w:themeColor="text1"/>
                <w:szCs w:val="22"/>
                <w:lang w:eastAsia="lt-LT"/>
              </w:rPr>
            </w:pPr>
            <w:r w:rsidRPr="00650EE4">
              <w:rPr>
                <w:rFonts w:ascii="Times New Roman" w:eastAsia="Times New Roman" w:hAnsi="Times New Roman"/>
                <w:color w:val="000000" w:themeColor="text1"/>
                <w:szCs w:val="22"/>
                <w:lang w:eastAsia="lt-LT"/>
              </w:rPr>
              <w:t>Santrumpa</w:t>
            </w:r>
          </w:p>
        </w:tc>
        <w:tc>
          <w:tcPr>
            <w:tcW w:w="8030" w:type="dxa"/>
            <w:shd w:val="clear" w:color="auto" w:fill="auto"/>
            <w:hideMark/>
          </w:tcPr>
          <w:p w14:paraId="3940819D" w14:textId="5F3A4D3B" w:rsidR="00D464D7" w:rsidRPr="00650EE4" w:rsidRDefault="00D464D7" w:rsidP="006247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color w:val="000000" w:themeColor="text1"/>
                <w:szCs w:val="22"/>
                <w:lang w:eastAsia="lt-LT"/>
              </w:rPr>
              <w:t>Paaiškinimas</w:t>
            </w:r>
          </w:p>
        </w:tc>
      </w:tr>
      <w:tr w:rsidR="00D14D7A" w:rsidRPr="00650EE4" w14:paraId="5B9A8702" w14:textId="77777777" w:rsidTr="00BD4F8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6301B20A" w14:textId="4AF142BA"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AEID</w:t>
            </w:r>
          </w:p>
        </w:tc>
        <w:tc>
          <w:tcPr>
            <w:tcW w:w="8030" w:type="dxa"/>
            <w:shd w:val="clear" w:color="auto" w:fill="auto"/>
            <w:vAlign w:val="center"/>
          </w:tcPr>
          <w:p w14:paraId="53180592" w14:textId="38B2673D" w:rsidR="00D14D7A" w:rsidRPr="00F6463F" w:rsidRDefault="00D14D7A" w:rsidP="00D14D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Cs w:val="22"/>
                <w:lang w:eastAsia="lt-LT"/>
              </w:rPr>
            </w:pPr>
            <w:r w:rsidRPr="00F6463F">
              <w:rPr>
                <w:rFonts w:ascii="Times New Roman" w:eastAsia="Times New Roman" w:hAnsi="Times New Roman"/>
                <w:b w:val="0"/>
                <w:szCs w:val="22"/>
              </w:rPr>
              <w:t>Direktyva 2009/28/EB dėl skatinimo naudoti atsinaujinančių išteklių energiją</w:t>
            </w:r>
          </w:p>
        </w:tc>
      </w:tr>
      <w:tr w:rsidR="00D14D7A" w:rsidRPr="00650EE4" w14:paraId="4701B69E" w14:textId="77777777" w:rsidTr="00BD4F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E11DCDC" w14:textId="472FA9F1" w:rsidR="00D14D7A" w:rsidRPr="00650EE4" w:rsidRDefault="00D14D7A" w:rsidP="00D14D7A">
            <w:pPr>
              <w:rPr>
                <w:rFonts w:ascii="Times New Roman" w:hAnsi="Times New Roman"/>
                <w:b w:val="0"/>
                <w:bCs w:val="0"/>
                <w:color w:val="000000" w:themeColor="text1"/>
                <w:szCs w:val="22"/>
              </w:rPr>
            </w:pPr>
            <w:r w:rsidRPr="00650EE4">
              <w:rPr>
                <w:rFonts w:ascii="Times New Roman" w:eastAsia="Times New Roman" w:hAnsi="Times New Roman"/>
                <w:szCs w:val="22"/>
              </w:rPr>
              <w:t>BETA</w:t>
            </w:r>
          </w:p>
        </w:tc>
        <w:tc>
          <w:tcPr>
            <w:tcW w:w="8030" w:type="dxa"/>
            <w:tcBorders>
              <w:top w:val="none" w:sz="0" w:space="0" w:color="auto"/>
              <w:bottom w:val="none" w:sz="0" w:space="0" w:color="auto"/>
              <w:right w:val="none" w:sz="0" w:space="0" w:color="auto"/>
            </w:tcBorders>
            <w:shd w:val="clear" w:color="auto" w:fill="auto"/>
            <w:vAlign w:val="center"/>
          </w:tcPr>
          <w:p w14:paraId="7E52BBF6" w14:textId="6BB79A63" w:rsidR="00D14D7A" w:rsidRPr="00650EE4" w:rsidRDefault="00D14D7A" w:rsidP="00D14D7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rPr>
            </w:pPr>
            <w:proofErr w:type="spellStart"/>
            <w:r w:rsidRPr="00650EE4">
              <w:rPr>
                <w:rFonts w:ascii="Times New Roman" w:eastAsia="Times New Roman" w:hAnsi="Times New Roman"/>
                <w:szCs w:val="22"/>
              </w:rPr>
              <w:t>VšĮ</w:t>
            </w:r>
            <w:proofErr w:type="spellEnd"/>
            <w:r w:rsidRPr="00650EE4">
              <w:rPr>
                <w:rFonts w:ascii="Times New Roman" w:eastAsia="Times New Roman" w:hAnsi="Times New Roman"/>
                <w:szCs w:val="22"/>
              </w:rPr>
              <w:t xml:space="preserve"> Būsto energijos taupymo agentūra</w:t>
            </w:r>
          </w:p>
        </w:tc>
      </w:tr>
      <w:tr w:rsidR="00D14D7A" w:rsidRPr="00650EE4" w14:paraId="2ABC9023" w14:textId="77777777" w:rsidTr="00BD4F87">
        <w:trPr>
          <w:trHeight w:val="300"/>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6EA529AE" w14:textId="17D73919"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BNR arba Bendrųjų nuostatų reglamentas</w:t>
            </w:r>
          </w:p>
        </w:tc>
        <w:tc>
          <w:tcPr>
            <w:tcW w:w="8030" w:type="dxa"/>
            <w:shd w:val="clear" w:color="auto" w:fill="auto"/>
            <w:vAlign w:val="center"/>
          </w:tcPr>
          <w:p w14:paraId="513CF62A" w14:textId="06AAD885"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eastAsia="lt-LT"/>
              </w:rPr>
            </w:pPr>
            <w:r w:rsidRPr="00650EE4">
              <w:rPr>
                <w:rFonts w:ascii="Times New Roman" w:eastAsia="Times New Roman" w:hAnsi="Times New Roman"/>
                <w:szCs w:val="22"/>
              </w:rPr>
              <w:t>Reglamentas 2018/1999 dėl energetikos sąjungos ir klimato politikos veiksmų valdymo</w:t>
            </w:r>
          </w:p>
        </w:tc>
      </w:tr>
      <w:tr w:rsidR="00D14D7A" w:rsidRPr="00650EE4" w14:paraId="2F2E8989" w14:textId="77777777" w:rsidTr="00BD4F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474416B" w14:textId="533C95C8"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BPIE</w:t>
            </w:r>
          </w:p>
        </w:tc>
        <w:tc>
          <w:tcPr>
            <w:tcW w:w="8030" w:type="dxa"/>
            <w:tcBorders>
              <w:top w:val="none" w:sz="0" w:space="0" w:color="auto"/>
              <w:bottom w:val="none" w:sz="0" w:space="0" w:color="auto"/>
              <w:right w:val="none" w:sz="0" w:space="0" w:color="auto"/>
            </w:tcBorders>
            <w:shd w:val="clear" w:color="auto" w:fill="auto"/>
            <w:vAlign w:val="center"/>
          </w:tcPr>
          <w:p w14:paraId="1AFE772C" w14:textId="28AF44F0" w:rsidR="00D14D7A" w:rsidRPr="00650EE4" w:rsidRDefault="007339AE" w:rsidP="007339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eastAsia="lt-LT"/>
              </w:rPr>
            </w:pPr>
            <w:r>
              <w:rPr>
                <w:rFonts w:ascii="Times New Roman" w:eastAsia="Times New Roman" w:hAnsi="Times New Roman"/>
                <w:szCs w:val="22"/>
              </w:rPr>
              <w:t>Pastatų veiklos institutas (</w:t>
            </w:r>
            <w:r w:rsidRPr="007339AE">
              <w:rPr>
                <w:rFonts w:ascii="Times New Roman" w:eastAsia="Times New Roman" w:hAnsi="Times New Roman"/>
                <w:i/>
                <w:szCs w:val="22"/>
              </w:rPr>
              <w:t>angl.</w:t>
            </w:r>
            <w:r>
              <w:rPr>
                <w:rFonts w:ascii="Times New Roman" w:eastAsia="Times New Roman" w:hAnsi="Times New Roman"/>
                <w:szCs w:val="22"/>
              </w:rPr>
              <w:t xml:space="preserve"> </w:t>
            </w:r>
            <w:proofErr w:type="spellStart"/>
            <w:r w:rsidR="00D14D7A" w:rsidRPr="007339AE">
              <w:rPr>
                <w:rFonts w:ascii="Times New Roman" w:eastAsia="Times New Roman" w:hAnsi="Times New Roman"/>
                <w:i/>
                <w:szCs w:val="22"/>
              </w:rPr>
              <w:t>Buildings</w:t>
            </w:r>
            <w:proofErr w:type="spellEnd"/>
            <w:r w:rsidR="00D14D7A" w:rsidRPr="007339AE">
              <w:rPr>
                <w:rFonts w:ascii="Times New Roman" w:eastAsia="Times New Roman" w:hAnsi="Times New Roman"/>
                <w:i/>
                <w:szCs w:val="22"/>
              </w:rPr>
              <w:t xml:space="preserve"> </w:t>
            </w:r>
            <w:proofErr w:type="spellStart"/>
            <w:r w:rsidR="00D14D7A" w:rsidRPr="007339AE">
              <w:rPr>
                <w:rFonts w:ascii="Times New Roman" w:eastAsia="Times New Roman" w:hAnsi="Times New Roman"/>
                <w:i/>
                <w:szCs w:val="22"/>
              </w:rPr>
              <w:t>Performance</w:t>
            </w:r>
            <w:proofErr w:type="spellEnd"/>
            <w:r w:rsidR="00D14D7A" w:rsidRPr="007339AE">
              <w:rPr>
                <w:rFonts w:ascii="Times New Roman" w:eastAsia="Times New Roman" w:hAnsi="Times New Roman"/>
                <w:i/>
                <w:szCs w:val="22"/>
              </w:rPr>
              <w:t xml:space="preserve"> Institute </w:t>
            </w:r>
            <w:proofErr w:type="spellStart"/>
            <w:r w:rsidR="00D14D7A" w:rsidRPr="007339AE">
              <w:rPr>
                <w:rFonts w:ascii="Times New Roman" w:eastAsia="Times New Roman" w:hAnsi="Times New Roman"/>
                <w:i/>
                <w:szCs w:val="22"/>
              </w:rPr>
              <w:t>Europe</w:t>
            </w:r>
            <w:proofErr w:type="spellEnd"/>
            <w:r>
              <w:rPr>
                <w:rFonts w:ascii="Times New Roman" w:eastAsia="Times New Roman" w:hAnsi="Times New Roman"/>
                <w:szCs w:val="22"/>
              </w:rPr>
              <w:t>)</w:t>
            </w:r>
            <w:r w:rsidR="00D14D7A" w:rsidRPr="00650EE4">
              <w:rPr>
                <w:rFonts w:ascii="Times New Roman" w:eastAsia="Times New Roman" w:hAnsi="Times New Roman"/>
                <w:szCs w:val="22"/>
              </w:rPr>
              <w:t xml:space="preserve"> </w:t>
            </w:r>
          </w:p>
        </w:tc>
      </w:tr>
      <w:tr w:rsidR="00D14D7A" w:rsidRPr="00650EE4" w14:paraId="73BEB8EB" w14:textId="77777777" w:rsidTr="00BD4F87">
        <w:trPr>
          <w:trHeight w:val="300"/>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79573ECF" w14:textId="48291E5F" w:rsidR="00D14D7A" w:rsidRPr="00650EE4" w:rsidRDefault="00D14D7A" w:rsidP="00D14D7A">
            <w:pPr>
              <w:rPr>
                <w:rFonts w:ascii="Times New Roman" w:eastAsia="Times New Roman" w:hAnsi="Times New Roman"/>
                <w:szCs w:val="22"/>
                <w:lang w:eastAsia="lt-LT"/>
              </w:rPr>
            </w:pPr>
            <w:proofErr w:type="spellStart"/>
            <w:r w:rsidRPr="00650EE4">
              <w:rPr>
                <w:rFonts w:ascii="Times New Roman" w:eastAsia="Times New Roman" w:hAnsi="Times New Roman"/>
                <w:szCs w:val="22"/>
              </w:rPr>
              <w:t>Cost-optimal</w:t>
            </w:r>
            <w:proofErr w:type="spellEnd"/>
            <w:r w:rsidRPr="00650EE4">
              <w:rPr>
                <w:rFonts w:ascii="Times New Roman" w:eastAsia="Times New Roman" w:hAnsi="Times New Roman"/>
                <w:szCs w:val="22"/>
              </w:rPr>
              <w:t xml:space="preserve"> studija</w:t>
            </w:r>
          </w:p>
        </w:tc>
        <w:tc>
          <w:tcPr>
            <w:tcW w:w="8030" w:type="dxa"/>
            <w:shd w:val="clear" w:color="auto" w:fill="auto"/>
            <w:vAlign w:val="center"/>
          </w:tcPr>
          <w:p w14:paraId="23118F99" w14:textId="5E25600E"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eastAsia="lt-LT"/>
              </w:rPr>
            </w:pPr>
            <w:r w:rsidRPr="00650EE4">
              <w:rPr>
                <w:rFonts w:ascii="Times New Roman" w:eastAsia="Times New Roman" w:hAnsi="Times New Roman"/>
                <w:szCs w:val="22"/>
              </w:rPr>
              <w:t>Studija dėl sąnaudų atžvilgiu optimalių minimalių energinio naudingumo reikalavimų lygių, pagal lyginamosios metodikos principus, nurodytus 2012-01-16 Europos komisijos deleguotajame reglamente (ES) Nr. 244/2012, nustatymo pastatams</w:t>
            </w:r>
          </w:p>
        </w:tc>
      </w:tr>
      <w:tr w:rsidR="00D14D7A" w:rsidRPr="00650EE4" w14:paraId="06D108BC" w14:textId="77777777" w:rsidTr="00BD4F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79500DCE" w14:textId="4EE4702D" w:rsidR="00D14D7A" w:rsidRPr="00650EE4" w:rsidRDefault="00D14D7A" w:rsidP="00D14D7A">
            <w:pPr>
              <w:rPr>
                <w:rFonts w:ascii="Times New Roman" w:hAnsi="Times New Roman"/>
                <w:b w:val="0"/>
                <w:bCs w:val="0"/>
                <w:color w:val="000000" w:themeColor="text1"/>
                <w:szCs w:val="22"/>
              </w:rPr>
            </w:pPr>
            <w:r w:rsidRPr="00650EE4">
              <w:rPr>
                <w:rFonts w:ascii="Times New Roman" w:eastAsia="Times New Roman" w:hAnsi="Times New Roman"/>
                <w:szCs w:val="22"/>
              </w:rPr>
              <w:t>CŠT</w:t>
            </w:r>
          </w:p>
        </w:tc>
        <w:tc>
          <w:tcPr>
            <w:tcW w:w="8030" w:type="dxa"/>
            <w:tcBorders>
              <w:top w:val="none" w:sz="0" w:space="0" w:color="auto"/>
              <w:bottom w:val="none" w:sz="0" w:space="0" w:color="auto"/>
              <w:right w:val="none" w:sz="0" w:space="0" w:color="auto"/>
            </w:tcBorders>
            <w:shd w:val="clear" w:color="auto" w:fill="auto"/>
            <w:vAlign w:val="center"/>
          </w:tcPr>
          <w:p w14:paraId="0F2E85D5" w14:textId="046ECCDA" w:rsidR="00D14D7A" w:rsidRPr="00650EE4" w:rsidRDefault="00D14D7A" w:rsidP="00D14D7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rPr>
            </w:pPr>
            <w:r w:rsidRPr="00650EE4">
              <w:rPr>
                <w:rFonts w:ascii="Times New Roman" w:eastAsia="Times New Roman" w:hAnsi="Times New Roman"/>
                <w:szCs w:val="22"/>
              </w:rPr>
              <w:t>Centralizuotos šilumos tiekimas</w:t>
            </w:r>
          </w:p>
        </w:tc>
      </w:tr>
      <w:tr w:rsidR="00D14D7A" w:rsidRPr="00650EE4" w14:paraId="2B9352D3"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27C794C1" w14:textId="315573FC"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EBNP</w:t>
            </w:r>
          </w:p>
        </w:tc>
        <w:tc>
          <w:tcPr>
            <w:tcW w:w="8030" w:type="dxa"/>
            <w:shd w:val="clear" w:color="auto" w:fill="auto"/>
            <w:vAlign w:val="center"/>
          </w:tcPr>
          <w:p w14:paraId="2EA28349" w14:textId="1FAB318D"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szCs w:val="22"/>
              </w:rPr>
              <w:t>Energijos beveik nevartojantis pastatas (-ai)</w:t>
            </w:r>
          </w:p>
        </w:tc>
      </w:tr>
      <w:tr w:rsidR="00D14D7A" w:rsidRPr="00650EE4" w14:paraId="7548C25C"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D187A8B" w14:textId="4F00F959"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EBPO</w:t>
            </w:r>
          </w:p>
        </w:tc>
        <w:tc>
          <w:tcPr>
            <w:tcW w:w="8030" w:type="dxa"/>
            <w:tcBorders>
              <w:top w:val="none" w:sz="0" w:space="0" w:color="auto"/>
              <w:bottom w:val="none" w:sz="0" w:space="0" w:color="auto"/>
              <w:right w:val="none" w:sz="0" w:space="0" w:color="auto"/>
            </w:tcBorders>
            <w:shd w:val="clear" w:color="auto" w:fill="auto"/>
            <w:vAlign w:val="center"/>
          </w:tcPr>
          <w:p w14:paraId="1F21F88B" w14:textId="6006FB5C" w:rsidR="00D14D7A" w:rsidRPr="00650EE4" w:rsidRDefault="00D14D7A" w:rsidP="00D14D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szCs w:val="22"/>
              </w:rPr>
              <w:t>Ekonominio bendradarbiavimo ir plėtros asociacija</w:t>
            </w:r>
          </w:p>
        </w:tc>
      </w:tr>
      <w:tr w:rsidR="00D14D7A" w:rsidRPr="00650EE4" w14:paraId="631D3B0F" w14:textId="77777777" w:rsidTr="00BD4F87">
        <w:trPr>
          <w:trHeight w:val="181"/>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4DDD312F" w14:textId="39B4A688"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EM</w:t>
            </w:r>
          </w:p>
        </w:tc>
        <w:tc>
          <w:tcPr>
            <w:tcW w:w="8030" w:type="dxa"/>
            <w:shd w:val="clear" w:color="auto" w:fill="auto"/>
            <w:vAlign w:val="center"/>
          </w:tcPr>
          <w:p w14:paraId="39B4AB52" w14:textId="68F66E18"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Energetikos ministerija</w:t>
            </w:r>
          </w:p>
        </w:tc>
      </w:tr>
      <w:tr w:rsidR="00A603F1" w:rsidRPr="00650EE4" w14:paraId="78361634" w14:textId="77777777" w:rsidTr="00CD6BF3">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4F9D14D2" w14:textId="5C9E05A4" w:rsidR="00A603F1" w:rsidRPr="00650EE4" w:rsidRDefault="00A603F1" w:rsidP="00D14D7A">
            <w:pPr>
              <w:rPr>
                <w:rFonts w:ascii="Times New Roman" w:eastAsia="Times New Roman" w:hAnsi="Times New Roman"/>
                <w:szCs w:val="22"/>
              </w:rPr>
            </w:pPr>
            <w:r>
              <w:rPr>
                <w:rFonts w:ascii="Times New Roman" w:eastAsia="Times New Roman" w:hAnsi="Times New Roman"/>
                <w:szCs w:val="22"/>
              </w:rPr>
              <w:t>ENK</w:t>
            </w:r>
          </w:p>
        </w:tc>
        <w:tc>
          <w:tcPr>
            <w:tcW w:w="8030" w:type="dxa"/>
            <w:tcBorders>
              <w:top w:val="none" w:sz="0" w:space="0" w:color="auto"/>
              <w:bottom w:val="none" w:sz="0" w:space="0" w:color="auto"/>
              <w:right w:val="none" w:sz="0" w:space="0" w:color="auto"/>
            </w:tcBorders>
            <w:shd w:val="clear" w:color="auto" w:fill="auto"/>
            <w:vAlign w:val="center"/>
          </w:tcPr>
          <w:p w14:paraId="5834AF4E" w14:textId="7C9B7C55" w:rsidR="00A603F1" w:rsidRPr="00650EE4" w:rsidRDefault="00073199"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val="lt-LT"/>
              </w:rPr>
            </w:pPr>
            <w:r>
              <w:rPr>
                <w:rFonts w:ascii="Times New Roman" w:eastAsia="Times New Roman" w:hAnsi="Times New Roman"/>
                <w:szCs w:val="22"/>
                <w:lang w:val="lt-LT"/>
              </w:rPr>
              <w:t>Energinio naudingumo klasė</w:t>
            </w:r>
          </w:p>
        </w:tc>
      </w:tr>
      <w:tr w:rsidR="00D14D7A" w:rsidRPr="00650EE4" w14:paraId="4B64AC44"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736F9938" w14:textId="5179C568" w:rsidR="00D14D7A" w:rsidRPr="00650EE4" w:rsidRDefault="00D14D7A" w:rsidP="00D14D7A">
            <w:pPr>
              <w:rPr>
                <w:rFonts w:ascii="Times New Roman" w:hAnsi="Times New Roman"/>
                <w:b w:val="0"/>
                <w:bCs w:val="0"/>
                <w:color w:val="000000" w:themeColor="text1"/>
                <w:szCs w:val="22"/>
              </w:rPr>
            </w:pPr>
            <w:r w:rsidRPr="00650EE4">
              <w:rPr>
                <w:rFonts w:ascii="Times New Roman" w:eastAsia="Times New Roman" w:hAnsi="Times New Roman"/>
                <w:szCs w:val="22"/>
              </w:rPr>
              <w:t>EVED</w:t>
            </w:r>
          </w:p>
        </w:tc>
        <w:tc>
          <w:tcPr>
            <w:tcW w:w="8030" w:type="dxa"/>
            <w:shd w:val="clear" w:color="auto" w:fill="auto"/>
            <w:vAlign w:val="center"/>
          </w:tcPr>
          <w:p w14:paraId="1B55F354" w14:textId="06EE6637"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szCs w:val="22"/>
              </w:rPr>
              <w:t>Direktyva 2012/27/ES dėl energijos vartojimo efektyvumo, kuria iš dalies keičiamos direktyvos 2009/125/EB ir 2010/30/ES bei kuria panaikinamos direktyvos 2004/8/EB ir 2006/32/EB</w:t>
            </w:r>
          </w:p>
        </w:tc>
      </w:tr>
      <w:tr w:rsidR="00D14D7A" w:rsidRPr="00650EE4" w14:paraId="7A468A71" w14:textId="77777777" w:rsidTr="00CD6BF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703182DE" w14:textId="17DF957E"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IRS</w:t>
            </w:r>
          </w:p>
        </w:tc>
        <w:tc>
          <w:tcPr>
            <w:tcW w:w="8030" w:type="dxa"/>
            <w:tcBorders>
              <w:top w:val="none" w:sz="0" w:space="0" w:color="auto"/>
              <w:bottom w:val="none" w:sz="0" w:space="0" w:color="auto"/>
              <w:right w:val="none" w:sz="0" w:space="0" w:color="auto"/>
            </w:tcBorders>
            <w:shd w:val="clear" w:color="auto" w:fill="auto"/>
            <w:vAlign w:val="center"/>
          </w:tcPr>
          <w:p w14:paraId="36767A81" w14:textId="2EEB3E41" w:rsidR="00D14D7A" w:rsidRPr="00650EE4" w:rsidRDefault="00D14D7A" w:rsidP="00EE0EF6">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Ilgalaikė</w:t>
            </w:r>
            <w:r w:rsidR="00F32C43">
              <w:rPr>
                <w:rFonts w:ascii="Times New Roman" w:eastAsia="Times New Roman" w:hAnsi="Times New Roman"/>
                <w:szCs w:val="22"/>
                <w:lang w:val="lt-LT"/>
              </w:rPr>
              <w:t xml:space="preserve"> </w:t>
            </w:r>
            <w:r w:rsidRPr="00650EE4">
              <w:rPr>
                <w:rFonts w:ascii="Times New Roman" w:eastAsia="Times New Roman" w:hAnsi="Times New Roman"/>
                <w:szCs w:val="22"/>
                <w:lang w:val="lt-LT"/>
              </w:rPr>
              <w:t>renovacijos strategija</w:t>
            </w:r>
          </w:p>
        </w:tc>
      </w:tr>
      <w:tr w:rsidR="00D14D7A" w:rsidRPr="00650EE4" w14:paraId="69EA4A13"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6808EC63" w14:textId="151A1A38"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LŠTA</w:t>
            </w:r>
          </w:p>
        </w:tc>
        <w:tc>
          <w:tcPr>
            <w:tcW w:w="8030" w:type="dxa"/>
            <w:shd w:val="clear" w:color="auto" w:fill="auto"/>
            <w:vAlign w:val="center"/>
          </w:tcPr>
          <w:p w14:paraId="39616EF4" w14:textId="4F54E172"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Lietuvos šilumos tiekėjų asociacija</w:t>
            </w:r>
          </w:p>
        </w:tc>
      </w:tr>
      <w:tr w:rsidR="00D14D7A" w:rsidRPr="00650EE4" w14:paraId="35C514F1" w14:textId="77777777" w:rsidTr="00CD6BF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33E2DBD" w14:textId="3A2D9002"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NECP</w:t>
            </w:r>
          </w:p>
        </w:tc>
        <w:tc>
          <w:tcPr>
            <w:tcW w:w="8030" w:type="dxa"/>
            <w:tcBorders>
              <w:top w:val="none" w:sz="0" w:space="0" w:color="auto"/>
              <w:bottom w:val="none" w:sz="0" w:space="0" w:color="auto"/>
              <w:right w:val="none" w:sz="0" w:space="0" w:color="auto"/>
            </w:tcBorders>
            <w:shd w:val="clear" w:color="auto" w:fill="auto"/>
            <w:vAlign w:val="center"/>
          </w:tcPr>
          <w:p w14:paraId="236D5E3D" w14:textId="21CBFF8F"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Nacionalinis energetikos ir klimato srities veiksmų planas 2021-2030 m.</w:t>
            </w:r>
          </w:p>
        </w:tc>
      </w:tr>
      <w:tr w:rsidR="00A603F1" w:rsidRPr="00650EE4" w14:paraId="56829B0D"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34BCD4F6" w14:textId="6B832141" w:rsidR="00A603F1" w:rsidRPr="00650EE4" w:rsidRDefault="00A603F1" w:rsidP="00D14D7A">
            <w:pPr>
              <w:rPr>
                <w:rFonts w:ascii="Times New Roman" w:eastAsia="Times New Roman" w:hAnsi="Times New Roman"/>
                <w:szCs w:val="22"/>
              </w:rPr>
            </w:pPr>
            <w:r>
              <w:rPr>
                <w:rFonts w:ascii="Times New Roman" w:eastAsia="Times New Roman" w:hAnsi="Times New Roman"/>
                <w:szCs w:val="22"/>
              </w:rPr>
              <w:t>NTR</w:t>
            </w:r>
          </w:p>
        </w:tc>
        <w:tc>
          <w:tcPr>
            <w:tcW w:w="8030" w:type="dxa"/>
            <w:shd w:val="clear" w:color="auto" w:fill="auto"/>
            <w:vAlign w:val="center"/>
          </w:tcPr>
          <w:p w14:paraId="4B42A361" w14:textId="671B5EC6" w:rsidR="00A603F1" w:rsidRPr="00650EE4" w:rsidRDefault="00073199"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val="lt-LT"/>
              </w:rPr>
            </w:pPr>
            <w:r>
              <w:rPr>
                <w:rFonts w:ascii="Times New Roman" w:eastAsia="Times New Roman" w:hAnsi="Times New Roman"/>
                <w:szCs w:val="22"/>
                <w:lang w:val="lt-LT"/>
              </w:rPr>
              <w:t>Nekilnojamojo turto registras</w:t>
            </w:r>
          </w:p>
        </w:tc>
      </w:tr>
      <w:tr w:rsidR="00D14D7A" w:rsidRPr="00650EE4" w14:paraId="7C3BF6D7"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64C11FAA" w14:textId="70527EAD"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Pakeitimo direktyva</w:t>
            </w:r>
          </w:p>
        </w:tc>
        <w:tc>
          <w:tcPr>
            <w:tcW w:w="8030" w:type="dxa"/>
            <w:tcBorders>
              <w:top w:val="none" w:sz="0" w:space="0" w:color="auto"/>
              <w:bottom w:val="none" w:sz="0" w:space="0" w:color="auto"/>
              <w:right w:val="none" w:sz="0" w:space="0" w:color="auto"/>
            </w:tcBorders>
            <w:shd w:val="clear" w:color="auto" w:fill="auto"/>
            <w:vAlign w:val="center"/>
          </w:tcPr>
          <w:p w14:paraId="5FE8ACD9" w14:textId="5991D6EA"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Tarybos direktyva (ES) 2018/844, kuria iš dalies keičiama Direktyva 2010/31/ES dėl pastatų energinio naudingumo ir Direktyva 2012/27/ES dėl energijos vartojimo efektyvumo</w:t>
            </w:r>
          </w:p>
        </w:tc>
      </w:tr>
      <w:tr w:rsidR="00D14D7A" w:rsidRPr="00650EE4" w14:paraId="2A0E6CF1"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23799988" w14:textId="4362A0E3"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Pastatų fondas</w:t>
            </w:r>
          </w:p>
        </w:tc>
        <w:tc>
          <w:tcPr>
            <w:tcW w:w="8030" w:type="dxa"/>
            <w:shd w:val="clear" w:color="auto" w:fill="auto"/>
            <w:vAlign w:val="center"/>
          </w:tcPr>
          <w:p w14:paraId="0B03C0F7" w14:textId="0ADECE47"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Nacionalinio pastatų fondo pastatai vartojantys šilumos energiją</w:t>
            </w:r>
          </w:p>
        </w:tc>
      </w:tr>
      <w:tr w:rsidR="00D14D7A" w:rsidRPr="00650EE4" w14:paraId="6E6F0BDB"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06762FA6" w14:textId="20457B7A"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PEN</w:t>
            </w:r>
          </w:p>
        </w:tc>
        <w:tc>
          <w:tcPr>
            <w:tcW w:w="8030" w:type="dxa"/>
            <w:tcBorders>
              <w:top w:val="none" w:sz="0" w:space="0" w:color="auto"/>
              <w:bottom w:val="none" w:sz="0" w:space="0" w:color="auto"/>
              <w:right w:val="none" w:sz="0" w:space="0" w:color="auto"/>
            </w:tcBorders>
            <w:shd w:val="clear" w:color="auto" w:fill="auto"/>
            <w:vAlign w:val="center"/>
          </w:tcPr>
          <w:p w14:paraId="7F0E9B76" w14:textId="7824AD98"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Pastato energinis naudingumas</w:t>
            </w:r>
          </w:p>
        </w:tc>
      </w:tr>
      <w:tr w:rsidR="00D14D7A" w:rsidRPr="00650EE4" w14:paraId="42CF3106"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3526B27E" w14:textId="41988781"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PEND</w:t>
            </w:r>
          </w:p>
        </w:tc>
        <w:tc>
          <w:tcPr>
            <w:tcW w:w="8030" w:type="dxa"/>
            <w:shd w:val="clear" w:color="auto" w:fill="auto"/>
            <w:vAlign w:val="center"/>
          </w:tcPr>
          <w:p w14:paraId="289A4ED6" w14:textId="0F08C35F"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Direktyva 2010/31/ES dėl pastatų energinio naudingumo ir 2018 m. gegužės 30 d. Europos Parlamento ir Tarybos direktyva (ES) 2018/844, kuria iš dalies keičiama Direktyva 2010/31/ES dėl pastatų energinio naudingumo ir Direktyva 2012/27/ES dėl energijos vartojimo efektyvumo</w:t>
            </w:r>
          </w:p>
        </w:tc>
      </w:tr>
      <w:tr w:rsidR="00D14D7A" w:rsidRPr="00650EE4" w14:paraId="4063AEB3"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1987F62" w14:textId="381C74C3"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RC</w:t>
            </w:r>
          </w:p>
        </w:tc>
        <w:tc>
          <w:tcPr>
            <w:tcW w:w="8030" w:type="dxa"/>
            <w:tcBorders>
              <w:top w:val="none" w:sz="0" w:space="0" w:color="auto"/>
              <w:bottom w:val="none" w:sz="0" w:space="0" w:color="auto"/>
              <w:right w:val="none" w:sz="0" w:space="0" w:color="auto"/>
            </w:tcBorders>
            <w:shd w:val="clear" w:color="auto" w:fill="auto"/>
            <w:vAlign w:val="center"/>
          </w:tcPr>
          <w:p w14:paraId="725BA206" w14:textId="52533730"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Valstybės įmonė „Registrų centras“</w:t>
            </w:r>
          </w:p>
        </w:tc>
      </w:tr>
      <w:tr w:rsidR="00D14D7A" w:rsidRPr="00650EE4" w14:paraId="120FAD62"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15665B42" w14:textId="061B0D2B" w:rsidR="00D14D7A" w:rsidRPr="00650EE4" w:rsidRDefault="00D14D7A" w:rsidP="00D14D7A">
            <w:pPr>
              <w:rPr>
                <w:rFonts w:ascii="Times New Roman" w:eastAsia="Times New Roman" w:hAnsi="Times New Roman"/>
                <w:b w:val="0"/>
                <w:bCs w:val="0"/>
                <w:szCs w:val="22"/>
                <w:lang w:eastAsia="lt-LT"/>
              </w:rPr>
            </w:pPr>
            <w:r w:rsidRPr="00650EE4">
              <w:rPr>
                <w:rFonts w:ascii="Times New Roman" w:eastAsia="Times New Roman" w:hAnsi="Times New Roman"/>
                <w:szCs w:val="22"/>
              </w:rPr>
              <w:t>RPR arba Rekomendacijos</w:t>
            </w:r>
          </w:p>
        </w:tc>
        <w:tc>
          <w:tcPr>
            <w:tcW w:w="8030" w:type="dxa"/>
            <w:shd w:val="clear" w:color="auto" w:fill="auto"/>
            <w:vAlign w:val="center"/>
          </w:tcPr>
          <w:p w14:paraId="12C7B24B" w14:textId="3F9B53C8"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Europos Komisijos 2019 m. gegužės 8 d. rekomendacija (ES) 2019/786 dėl pastatų renovacijos</w:t>
            </w:r>
          </w:p>
        </w:tc>
      </w:tr>
      <w:tr w:rsidR="00D14D7A" w:rsidRPr="00650EE4" w14:paraId="131F078E"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4B31DFDE" w14:textId="5C4F4EC0"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SPSC</w:t>
            </w:r>
          </w:p>
        </w:tc>
        <w:tc>
          <w:tcPr>
            <w:tcW w:w="8030" w:type="dxa"/>
            <w:tcBorders>
              <w:top w:val="none" w:sz="0" w:space="0" w:color="auto"/>
              <w:bottom w:val="none" w:sz="0" w:space="0" w:color="auto"/>
              <w:right w:val="none" w:sz="0" w:space="0" w:color="auto"/>
            </w:tcBorders>
            <w:shd w:val="clear" w:color="auto" w:fill="auto"/>
            <w:vAlign w:val="center"/>
          </w:tcPr>
          <w:p w14:paraId="5366357E" w14:textId="62B5F0FF"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Valstybės įmonė „Statybos produkcijos sertifikavimo centras“</w:t>
            </w:r>
          </w:p>
        </w:tc>
      </w:tr>
      <w:tr w:rsidR="00D14D7A" w:rsidRPr="00650EE4" w14:paraId="6231C425"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47BC35FF" w14:textId="75D8A5AF"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ŠESD</w:t>
            </w:r>
          </w:p>
        </w:tc>
        <w:tc>
          <w:tcPr>
            <w:tcW w:w="8030" w:type="dxa"/>
            <w:shd w:val="clear" w:color="auto" w:fill="auto"/>
            <w:vAlign w:val="center"/>
          </w:tcPr>
          <w:p w14:paraId="1A705320" w14:textId="5F82DDC3"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val="lt-LT" w:eastAsia="lt-LT"/>
              </w:rPr>
            </w:pPr>
            <w:r w:rsidRPr="00650EE4">
              <w:rPr>
                <w:rFonts w:ascii="Times New Roman" w:eastAsia="Times New Roman" w:hAnsi="Times New Roman"/>
                <w:szCs w:val="22"/>
                <w:lang w:val="lt-LT"/>
              </w:rPr>
              <w:t>Šiltnamio efektą sukeliančios dujos</w:t>
            </w:r>
          </w:p>
        </w:tc>
      </w:tr>
      <w:tr w:rsidR="00D14D7A" w:rsidRPr="00650EE4" w14:paraId="232C1C0B" w14:textId="77777777" w:rsidTr="00CD6BF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BBC33F4" w14:textId="75F4141C"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Žaliasis kursas</w:t>
            </w:r>
          </w:p>
        </w:tc>
        <w:tc>
          <w:tcPr>
            <w:tcW w:w="8030" w:type="dxa"/>
            <w:tcBorders>
              <w:top w:val="none" w:sz="0" w:space="0" w:color="auto"/>
              <w:bottom w:val="none" w:sz="0" w:space="0" w:color="auto"/>
              <w:right w:val="none" w:sz="0" w:space="0" w:color="auto"/>
            </w:tcBorders>
            <w:shd w:val="clear" w:color="auto" w:fill="auto"/>
            <w:vAlign w:val="center"/>
          </w:tcPr>
          <w:p w14:paraId="6E21D66E" w14:textId="38B83800"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val="lt-LT" w:eastAsia="lt-LT"/>
              </w:rPr>
            </w:pPr>
            <w:r w:rsidRPr="00650EE4">
              <w:rPr>
                <w:rFonts w:ascii="Times New Roman" w:eastAsia="Times New Roman" w:hAnsi="Times New Roman"/>
                <w:szCs w:val="22"/>
                <w:lang w:val="lt-LT"/>
              </w:rPr>
              <w:t>Europos žaliasis kursas – veiksmų gairės, kaip užtikrinti ES ekonomikos tvarumą, kartu klimato ir aplinkos problemas paverčiant galimybėmis visose politikos srityse ir užtikrinant, kad perėjimas būtų teisingas ir įtraukus visiems.</w:t>
            </w:r>
          </w:p>
        </w:tc>
      </w:tr>
    </w:tbl>
    <w:p w14:paraId="16A361FC" w14:textId="77777777" w:rsidR="0097764B" w:rsidRPr="00650EE4" w:rsidRDefault="0097764B" w:rsidP="0097764B">
      <w:pPr>
        <w:pStyle w:val="BodyText"/>
        <w:rPr>
          <w:rFonts w:ascii="Times New Roman" w:hAnsi="Times New Roman"/>
          <w:color w:val="000000" w:themeColor="text1"/>
          <w:lang w:val="lt-LT"/>
        </w:rPr>
      </w:pPr>
    </w:p>
    <w:p w14:paraId="7B2E94B6" w14:textId="78BB5C8E" w:rsidR="00D464D7" w:rsidRPr="00650EE4" w:rsidRDefault="00D464D7" w:rsidP="0097764B">
      <w:pPr>
        <w:pStyle w:val="BodyText"/>
        <w:rPr>
          <w:rFonts w:ascii="Times New Roman" w:hAnsi="Times New Roman"/>
          <w:color w:val="000000" w:themeColor="text1"/>
          <w:lang w:val="lt-LT"/>
        </w:rPr>
      </w:pPr>
    </w:p>
    <w:p w14:paraId="7A1A1BC7" w14:textId="77777777" w:rsidR="00D464D7" w:rsidRPr="00650EE4" w:rsidRDefault="00D464D7" w:rsidP="0097764B">
      <w:pPr>
        <w:pStyle w:val="BodyText"/>
        <w:rPr>
          <w:rFonts w:ascii="Times New Roman" w:hAnsi="Times New Roman"/>
          <w:color w:val="000000" w:themeColor="text1"/>
          <w:lang w:val="lt-LT"/>
        </w:rPr>
      </w:pPr>
    </w:p>
    <w:p w14:paraId="1BEF91FD" w14:textId="77777777" w:rsidR="00D464D7" w:rsidRPr="00650EE4" w:rsidRDefault="00D464D7" w:rsidP="0097764B">
      <w:pPr>
        <w:pStyle w:val="BodyText"/>
        <w:rPr>
          <w:rFonts w:ascii="Times New Roman" w:hAnsi="Times New Roman"/>
          <w:color w:val="000000" w:themeColor="text1"/>
          <w:lang w:val="lt-LT"/>
        </w:rPr>
      </w:pPr>
    </w:p>
    <w:p w14:paraId="6FC5D0A2" w14:textId="56A891D6" w:rsidR="00D464D7" w:rsidRPr="00650EE4" w:rsidRDefault="00D464D7" w:rsidP="0097764B">
      <w:pPr>
        <w:pStyle w:val="BodyText"/>
        <w:rPr>
          <w:rFonts w:ascii="Times New Roman" w:hAnsi="Times New Roman"/>
          <w:color w:val="000000" w:themeColor="text1"/>
          <w:lang w:val="lt-LT"/>
        </w:rPr>
        <w:sectPr w:rsidR="00D464D7" w:rsidRPr="00650EE4" w:rsidSect="005D032A">
          <w:headerReference w:type="default" r:id="rId17"/>
          <w:pgSz w:w="11906" w:h="16838" w:code="9"/>
          <w:pgMar w:top="851" w:right="851" w:bottom="851" w:left="851" w:header="567" w:footer="567" w:gutter="0"/>
          <w:cols w:space="708"/>
          <w:docGrid w:linePitch="360"/>
        </w:sectPr>
      </w:pPr>
    </w:p>
    <w:p w14:paraId="46670393" w14:textId="507B4DA0" w:rsidR="00900B9F" w:rsidRPr="00650EE4" w:rsidRDefault="00900B9F" w:rsidP="00900B9F">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9" w:name="_Toc67925099"/>
      <w:r w:rsidRPr="00650EE4">
        <w:rPr>
          <w:rFonts w:ascii="Times New Roman" w:hAnsi="Times New Roman"/>
          <w:color w:val="002060"/>
          <w:sz w:val="24"/>
          <w:szCs w:val="24"/>
        </w:rPr>
        <w:lastRenderedPageBreak/>
        <w:t>SANTRAUKA</w:t>
      </w:r>
      <w:bookmarkEnd w:id="9"/>
    </w:p>
    <w:p w14:paraId="5B27BE2F" w14:textId="620DAE7C" w:rsidR="003C2EE9" w:rsidRPr="00650EE4" w:rsidRDefault="00594947" w:rsidP="003C2EE9">
      <w:pPr>
        <w:spacing w:after="120"/>
        <w:jc w:val="both"/>
        <w:rPr>
          <w:rFonts w:ascii="Times New Roman" w:hAnsi="Times New Roman"/>
          <w:szCs w:val="22"/>
        </w:rPr>
      </w:pPr>
      <w:r>
        <w:rPr>
          <w:rFonts w:ascii="Times New Roman" w:hAnsi="Times New Roman"/>
          <w:szCs w:val="22"/>
        </w:rPr>
        <w:t>Pagal</w:t>
      </w:r>
      <w:r w:rsidR="003C2EE9" w:rsidRPr="00650EE4">
        <w:rPr>
          <w:rFonts w:ascii="Times New Roman" w:hAnsi="Times New Roman"/>
          <w:szCs w:val="22"/>
        </w:rPr>
        <w:t xml:space="preserve"> 2018 m. gegužės 30 d. Europos Parlamento ir Tarybos direktyvą (ES) 2018/844 (Pakeitimo direktyva), kuria iš dalies keičiama Direktyva 2010/31/ES dėl pastatų energinio naudingumo (PEND) ir Direktyva 2012/27/ES dėl energijos vartojimo efektyvumo (EVED), Lietuva turi pasirengti Ilgalaikę renovacijos strategiją, kuria būtų remiama nacionalinio pastatų ūkio renovacija, užtikrinant, kad:</w:t>
      </w:r>
    </w:p>
    <w:p w14:paraId="1EB7E9DE" w14:textId="13569D79" w:rsidR="003C2EE9" w:rsidRPr="00650EE4" w:rsidRDefault="0068790A" w:rsidP="00BD4925">
      <w:pPr>
        <w:pStyle w:val="ListParagraph"/>
        <w:numPr>
          <w:ilvl w:val="0"/>
          <w:numId w:val="66"/>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p</w:t>
      </w:r>
      <w:r w:rsidR="003C2EE9" w:rsidRPr="00650EE4">
        <w:rPr>
          <w:rFonts w:ascii="Times New Roman" w:hAnsi="Times New Roman"/>
          <w:szCs w:val="22"/>
          <w:lang w:val="lt-LT"/>
        </w:rPr>
        <w:t>astatų ūkyje energija būtų vartojama ypač efektyviai;</w:t>
      </w:r>
    </w:p>
    <w:p w14:paraId="1093A67E" w14:textId="1B27918D" w:rsidR="003C2EE9" w:rsidRPr="00650EE4" w:rsidRDefault="0068790A" w:rsidP="00BD4925">
      <w:pPr>
        <w:pStyle w:val="ListParagraph"/>
        <w:numPr>
          <w:ilvl w:val="0"/>
          <w:numId w:val="66"/>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p</w:t>
      </w:r>
      <w:r w:rsidR="003C2EE9" w:rsidRPr="00650EE4">
        <w:rPr>
          <w:rFonts w:ascii="Times New Roman" w:hAnsi="Times New Roman"/>
          <w:szCs w:val="22"/>
          <w:lang w:val="lt-LT"/>
        </w:rPr>
        <w:t>ast</w:t>
      </w:r>
      <w:r w:rsidR="00F34B3B">
        <w:rPr>
          <w:rFonts w:ascii="Times New Roman" w:hAnsi="Times New Roman"/>
          <w:szCs w:val="22"/>
          <w:lang w:val="lt-LT"/>
        </w:rPr>
        <w:t>at</w:t>
      </w:r>
      <w:r w:rsidR="003C2EE9" w:rsidRPr="00650EE4">
        <w:rPr>
          <w:rFonts w:ascii="Times New Roman" w:hAnsi="Times New Roman"/>
          <w:szCs w:val="22"/>
          <w:lang w:val="lt-LT"/>
        </w:rPr>
        <w:t>ų ūkis iki 2050 m. taptų nep</w:t>
      </w:r>
      <w:r>
        <w:rPr>
          <w:rFonts w:ascii="Times New Roman" w:hAnsi="Times New Roman"/>
          <w:szCs w:val="22"/>
          <w:lang w:val="lt-LT"/>
        </w:rPr>
        <w:t>riklausomas nuo iškastinio kuro;</w:t>
      </w:r>
      <w:r w:rsidR="003C2EE9" w:rsidRPr="00650EE4">
        <w:rPr>
          <w:rFonts w:ascii="Times New Roman" w:hAnsi="Times New Roman"/>
          <w:szCs w:val="22"/>
          <w:lang w:val="lt-LT"/>
        </w:rPr>
        <w:t xml:space="preserve"> </w:t>
      </w:r>
    </w:p>
    <w:p w14:paraId="0B66F622" w14:textId="088114A9" w:rsidR="003C2EE9" w:rsidRPr="00650EE4" w:rsidRDefault="0068790A" w:rsidP="00BD4925">
      <w:pPr>
        <w:pStyle w:val="ListParagraph"/>
        <w:numPr>
          <w:ilvl w:val="0"/>
          <w:numId w:val="66"/>
        </w:numPr>
        <w:spacing w:after="120"/>
        <w:ind w:left="714" w:hanging="357"/>
        <w:contextualSpacing w:val="0"/>
        <w:jc w:val="both"/>
        <w:rPr>
          <w:rFonts w:ascii="Times New Roman" w:hAnsi="Times New Roman"/>
          <w:szCs w:val="22"/>
          <w:lang w:val="lt-LT"/>
        </w:rPr>
      </w:pPr>
      <w:r>
        <w:rPr>
          <w:rFonts w:ascii="Times New Roman" w:hAnsi="Times New Roman"/>
          <w:szCs w:val="22"/>
          <w:lang w:val="lt-LT"/>
        </w:rPr>
        <w:t>s</w:t>
      </w:r>
      <w:r w:rsidR="003C2EE9" w:rsidRPr="00650EE4">
        <w:rPr>
          <w:rFonts w:ascii="Times New Roman" w:hAnsi="Times New Roman"/>
          <w:szCs w:val="22"/>
          <w:lang w:val="lt-LT"/>
        </w:rPr>
        <w:t>udaromos palankios sąlygos ekonomiškai efektyviam esamų pastatų pertvarkymui į beveik nulinės energijos pastatus.</w:t>
      </w:r>
    </w:p>
    <w:p w14:paraId="74A933C0" w14:textId="3B00BB7A" w:rsidR="003C2EE9" w:rsidRPr="00650EE4" w:rsidRDefault="003C2EE9" w:rsidP="003C2EE9">
      <w:pPr>
        <w:spacing w:before="240" w:after="120"/>
        <w:jc w:val="both"/>
        <w:rPr>
          <w:rFonts w:ascii="Times New Roman" w:hAnsi="Times New Roman"/>
          <w:b/>
          <w:bCs/>
          <w:sz w:val="24"/>
          <w:szCs w:val="24"/>
        </w:rPr>
      </w:pPr>
      <w:r w:rsidRPr="00650EE4">
        <w:rPr>
          <w:rFonts w:ascii="Times New Roman" w:hAnsi="Times New Roman"/>
          <w:b/>
          <w:bCs/>
          <w:sz w:val="24"/>
          <w:szCs w:val="24"/>
        </w:rPr>
        <w:t xml:space="preserve">Nacionalinio pastatų fondo </w:t>
      </w:r>
      <w:r w:rsidR="0061497C">
        <w:rPr>
          <w:rFonts w:ascii="Times New Roman" w:hAnsi="Times New Roman"/>
          <w:b/>
          <w:bCs/>
          <w:sz w:val="24"/>
          <w:szCs w:val="24"/>
        </w:rPr>
        <w:t>apžvalga</w:t>
      </w:r>
    </w:p>
    <w:p w14:paraId="3B363452" w14:textId="2434463F" w:rsidR="003C2EE9" w:rsidRPr="00650EE4" w:rsidRDefault="003C2EE9" w:rsidP="00D30008">
      <w:pPr>
        <w:spacing w:after="24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2019 m. gruodžio 31 d. NTR duomenimis Lietuvoje buvo registruota 2,6 mln. vnt. pastatų, kurių</w:t>
      </w:r>
      <w:r w:rsidR="009A79EA">
        <w:rPr>
          <w:rFonts w:ascii="Times New Roman" w:hAnsi="Times New Roman"/>
          <w:color w:val="000000" w:themeColor="text1"/>
          <w:szCs w:val="22"/>
        </w:rPr>
        <w:t xml:space="preserve"> bendras plotas sudarė 235,3</w:t>
      </w:r>
      <w:r w:rsidRPr="00650EE4">
        <w:rPr>
          <w:rFonts w:ascii="Times New Roman" w:hAnsi="Times New Roman"/>
          <w:color w:val="000000" w:themeColor="text1"/>
          <w:szCs w:val="22"/>
        </w:rPr>
        <w:t xml:space="preserve"> mln. m</w:t>
      </w:r>
      <w:r w:rsidRPr="00650EE4">
        <w:rPr>
          <w:rFonts w:ascii="Times New Roman" w:hAnsi="Times New Roman"/>
          <w:color w:val="000000" w:themeColor="text1"/>
          <w:szCs w:val="22"/>
          <w:vertAlign w:val="superscript"/>
        </w:rPr>
        <w:t>2</w:t>
      </w:r>
      <w:r w:rsidRPr="00650EE4">
        <w:rPr>
          <w:rFonts w:ascii="Times New Roman" w:hAnsi="Times New Roman"/>
          <w:color w:val="000000" w:themeColor="text1"/>
          <w:szCs w:val="22"/>
        </w:rPr>
        <w:t xml:space="preserve">. </w:t>
      </w:r>
      <w:r w:rsidR="00A603F1">
        <w:rPr>
          <w:rFonts w:ascii="Times New Roman" w:hAnsi="Times New Roman"/>
          <w:color w:val="000000" w:themeColor="text1"/>
          <w:szCs w:val="22"/>
        </w:rPr>
        <w:t>Strategijoje</w:t>
      </w:r>
      <w:r w:rsidR="00A603F1"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nagrinėjamas Pastatų fondas, iš kurio eliminuoti IRS kontekste neaktualūs pastatai t.y. pastatai, kuriems netaikomi statybų techninio reglamento reikalavimai, susiję su energiniu naudingumu. Pastatų fondą sudaro 661 tūkst. </w:t>
      </w:r>
      <w:r w:rsidR="00F2396C" w:rsidRPr="00650EE4">
        <w:rPr>
          <w:rFonts w:ascii="Times New Roman" w:hAnsi="Times New Roman"/>
          <w:color w:val="000000" w:themeColor="text1"/>
          <w:szCs w:val="22"/>
        </w:rPr>
        <w:t>vnt.</w:t>
      </w:r>
      <w:r w:rsidRPr="00650EE4">
        <w:rPr>
          <w:rFonts w:ascii="Times New Roman" w:hAnsi="Times New Roman"/>
          <w:color w:val="000000" w:themeColor="text1"/>
          <w:szCs w:val="22"/>
        </w:rPr>
        <w:t xml:space="preserve"> pastatų, kurių bendras plotas 201,7 mln. m</w:t>
      </w:r>
      <w:r w:rsidRPr="00650EE4">
        <w:rPr>
          <w:rFonts w:ascii="Times New Roman" w:hAnsi="Times New Roman"/>
          <w:color w:val="000000" w:themeColor="text1"/>
          <w:szCs w:val="22"/>
          <w:vertAlign w:val="superscript"/>
        </w:rPr>
        <w:t>2</w:t>
      </w:r>
      <w:r w:rsidRPr="00650EE4">
        <w:rPr>
          <w:rFonts w:ascii="Times New Roman" w:hAnsi="Times New Roman"/>
          <w:color w:val="000000" w:themeColor="text1"/>
          <w:szCs w:val="22"/>
        </w:rPr>
        <w:t xml:space="preserve"> (žr. paveikslą žemiau).</w:t>
      </w:r>
    </w:p>
    <w:p w14:paraId="2981F4AC" w14:textId="100D6018" w:rsidR="003C2EE9" w:rsidRPr="00650EE4" w:rsidRDefault="003C2EE9" w:rsidP="00631BA6">
      <w:pPr>
        <w:pStyle w:val="TESlentelspavadinimas"/>
        <w:rPr>
          <w:noProof w:val="0"/>
        </w:rPr>
      </w:pPr>
      <w:r w:rsidRPr="00650EE4">
        <w:rPr>
          <w:noProof w:val="0"/>
        </w:rPr>
        <w:t>Pastatų fondas pagal pastatų grupes ir pogrupius (agreguotas)</w:t>
      </w:r>
    </w:p>
    <w:tbl>
      <w:tblPr>
        <w:tblStyle w:val="TableGrid"/>
        <w:tblW w:w="51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5"/>
      </w:tblGrid>
      <w:tr w:rsidR="003C2EE9" w:rsidRPr="00650EE4" w14:paraId="4716C0F2" w14:textId="77777777" w:rsidTr="00F7245E">
        <w:trPr>
          <w:trHeight w:val="3312"/>
        </w:trPr>
        <w:tc>
          <w:tcPr>
            <w:tcW w:w="5000" w:type="pct"/>
          </w:tcPr>
          <w:p w14:paraId="79943DE0" w14:textId="77777777" w:rsidR="003C2EE9" w:rsidRPr="00650EE4" w:rsidRDefault="003C2EE9" w:rsidP="00631BA6">
            <w:pPr>
              <w:pStyle w:val="TESlentelspavadinimas"/>
              <w:rPr>
                <w:noProof w:val="0"/>
              </w:rPr>
            </w:pPr>
            <w:r w:rsidRPr="00650EE4">
              <w:rPr>
                <w:lang w:eastAsia="lt-LT"/>
              </w:rPr>
              <w:drawing>
                <wp:inline distT="0" distB="0" distL="0" distR="0" wp14:anchorId="1D0A4878" wp14:editId="3E660B42">
                  <wp:extent cx="3190875" cy="2072080"/>
                  <wp:effectExtent l="0" t="0" r="9525" b="4445"/>
                  <wp:docPr id="44" name="Chart 4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50EE4">
              <w:rPr>
                <w:lang w:eastAsia="lt-LT"/>
              </w:rPr>
              <w:drawing>
                <wp:inline distT="0" distB="0" distL="0" distR="0" wp14:anchorId="237D1045" wp14:editId="6BCAC102">
                  <wp:extent cx="3200400" cy="2080895"/>
                  <wp:effectExtent l="0" t="0" r="0" b="14605"/>
                  <wp:docPr id="45" name="Chart 4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EF4E672" w14:textId="77777777" w:rsidR="003C2EE9" w:rsidRPr="00650EE4" w:rsidRDefault="003C2EE9" w:rsidP="003C2EE9">
      <w:pPr>
        <w:spacing w:after="120" w:line="240" w:lineRule="auto"/>
        <w:jc w:val="both"/>
        <w:rPr>
          <w:rFonts w:ascii="Times New Roman" w:eastAsia="Times New Roman" w:hAnsi="Times New Roman"/>
          <w:i/>
          <w:color w:val="000000" w:themeColor="text1"/>
          <w:sz w:val="20"/>
          <w:szCs w:val="22"/>
        </w:rPr>
      </w:pPr>
      <w:r w:rsidRPr="00650EE4">
        <w:rPr>
          <w:rFonts w:ascii="Times New Roman" w:eastAsia="Times New Roman" w:hAnsi="Times New Roman"/>
          <w:i/>
          <w:color w:val="000000" w:themeColor="text1"/>
          <w:sz w:val="20"/>
          <w:szCs w:val="22"/>
        </w:rPr>
        <w:t>Šaltinis: NTR duomenys (2019.12.31)</w:t>
      </w:r>
    </w:p>
    <w:p w14:paraId="243977C9" w14:textId="77777777" w:rsidR="003C2EE9" w:rsidRPr="00650EE4" w:rsidRDefault="003C2EE9" w:rsidP="003C2EE9">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pastatų fondo charakteristikas galima pastebėti, kad:</w:t>
      </w:r>
    </w:p>
    <w:p w14:paraId="4BB521BA" w14:textId="4744E9C4"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t</w:t>
      </w:r>
      <w:r w:rsidR="003C2EE9" w:rsidRPr="00650EE4">
        <w:rPr>
          <w:rFonts w:ascii="Times New Roman" w:hAnsi="Times New Roman"/>
          <w:color w:val="000000" w:themeColor="text1"/>
          <w:szCs w:val="22"/>
        </w:rPr>
        <w:t>ik 2 proc. pastatų fondo pastatų (7 proc. ploto) sudaro vieša (savivaldybių ir valst</w:t>
      </w:r>
      <w:r w:rsidR="00C937BC">
        <w:rPr>
          <w:rFonts w:ascii="Times New Roman" w:hAnsi="Times New Roman"/>
          <w:color w:val="000000" w:themeColor="text1"/>
          <w:szCs w:val="22"/>
        </w:rPr>
        <w:t>ybės) nuosavybė t.y. tik tokią p</w:t>
      </w:r>
      <w:r w:rsidR="003C2EE9" w:rsidRPr="00650EE4">
        <w:rPr>
          <w:rFonts w:ascii="Times New Roman" w:hAnsi="Times New Roman"/>
          <w:color w:val="000000" w:themeColor="text1"/>
          <w:szCs w:val="22"/>
        </w:rPr>
        <w:t>astatų fondo transformacijos dalį galima patikimai planuoti ir kontroliuoti iš valstybės perspektyvos. Likusi pastatų savininkų dalis turi pati priimti s</w:t>
      </w:r>
      <w:r>
        <w:rPr>
          <w:rFonts w:ascii="Times New Roman" w:hAnsi="Times New Roman"/>
          <w:color w:val="000000" w:themeColor="text1"/>
          <w:szCs w:val="22"/>
        </w:rPr>
        <w:t>prendimą dalyvauti renovacijoje;</w:t>
      </w:r>
    </w:p>
    <w:p w14:paraId="7EDBAFE3" w14:textId="54E505A6"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b</w:t>
      </w:r>
      <w:r w:rsidR="00C937BC">
        <w:rPr>
          <w:rFonts w:ascii="Times New Roman" w:hAnsi="Times New Roman"/>
          <w:color w:val="000000" w:themeColor="text1"/>
          <w:szCs w:val="22"/>
        </w:rPr>
        <w:t>eveik pusę (45 proc.) p</w:t>
      </w:r>
      <w:r w:rsidR="003C2EE9" w:rsidRPr="00650EE4">
        <w:rPr>
          <w:rFonts w:ascii="Times New Roman" w:hAnsi="Times New Roman"/>
          <w:color w:val="000000" w:themeColor="text1"/>
          <w:szCs w:val="22"/>
        </w:rPr>
        <w:t>astatų fondo pagal plotą, sudaro mišri nuosavybė, t.y. kartu tiek vieša, tiek privati, tiek valdomą bendrasavininkių. Šis faktas gali papildomai apsunkinti pastatų savin</w:t>
      </w:r>
      <w:r>
        <w:rPr>
          <w:rFonts w:ascii="Times New Roman" w:hAnsi="Times New Roman"/>
          <w:color w:val="000000" w:themeColor="text1"/>
          <w:szCs w:val="22"/>
        </w:rPr>
        <w:t>inkų sprendimo priėmimo procesą;</w:t>
      </w:r>
    </w:p>
    <w:p w14:paraId="4CF79711" w14:textId="45957E00"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66 proc. p</w:t>
      </w:r>
      <w:r w:rsidR="003C2EE9" w:rsidRPr="00650EE4">
        <w:rPr>
          <w:rFonts w:ascii="Times New Roman" w:hAnsi="Times New Roman"/>
          <w:color w:val="000000" w:themeColor="text1"/>
          <w:szCs w:val="22"/>
        </w:rPr>
        <w:t>astatų fondo ploto sudaro pastatai pastatyti 1961-1992 m. Šio laikotarpio statybos pastatų architektūrinė ir konstrukcinė įvairovė nėra didelė. Tai sudaro prielaidas kartotiniams (standartiniams) renovacij</w:t>
      </w:r>
      <w:r w:rsidR="0030329C" w:rsidRPr="00650EE4">
        <w:rPr>
          <w:rFonts w:ascii="Times New Roman" w:hAnsi="Times New Roman"/>
          <w:color w:val="000000" w:themeColor="text1"/>
          <w:szCs w:val="22"/>
        </w:rPr>
        <w:t>os sprendimams realizuoti</w:t>
      </w:r>
      <w:r>
        <w:rPr>
          <w:rFonts w:ascii="Times New Roman" w:hAnsi="Times New Roman"/>
          <w:color w:val="000000" w:themeColor="text1"/>
          <w:szCs w:val="22"/>
        </w:rPr>
        <w:t>;</w:t>
      </w:r>
    </w:p>
    <w:p w14:paraId="516B4DE7" w14:textId="13DC924D"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75 proc. p</w:t>
      </w:r>
      <w:r w:rsidR="003C2EE9" w:rsidRPr="00650EE4">
        <w:rPr>
          <w:rFonts w:ascii="Times New Roman" w:hAnsi="Times New Roman"/>
          <w:color w:val="000000" w:themeColor="text1"/>
          <w:szCs w:val="22"/>
        </w:rPr>
        <w:t>astatų fondo ploto pastatyta iki 1992 m. Atitinkamai IRS įgyvendinimo pabaigoje (2050 m.), absoliuti dauguma esamo pastatų fondo bus senesni nei 60 m. ir siekiant juos toliau eksploatuoti bus privalomas jų atnaujinimas.</w:t>
      </w:r>
    </w:p>
    <w:p w14:paraId="1F55B236" w14:textId="4FEAE833" w:rsidR="003C2EE9" w:rsidRPr="00650EE4" w:rsidRDefault="003C2EE9" w:rsidP="00727C94">
      <w:pPr>
        <w:pStyle w:val="Pagrindinispaprastastekstas"/>
        <w:spacing w:before="120" w:after="120"/>
        <w:rPr>
          <w:rFonts w:ascii="Times New Roman" w:hAnsi="Times New Roman"/>
          <w:color w:val="000000" w:themeColor="text1"/>
          <w:szCs w:val="22"/>
        </w:rPr>
      </w:pPr>
      <w:r w:rsidRPr="00650EE4">
        <w:rPr>
          <w:rFonts w:ascii="Times New Roman" w:hAnsi="Times New Roman"/>
          <w:color w:val="000000" w:themeColor="text1"/>
          <w:szCs w:val="22"/>
        </w:rPr>
        <w:t xml:space="preserve">PEND numato, kad IRS gali būti pateikiamas faktinis (išmatuotas) arba skaičiuotinas (apskaičiuotas) energijos vartojimas. </w:t>
      </w:r>
      <w:r w:rsidR="00A603F1">
        <w:rPr>
          <w:rFonts w:ascii="Times New Roman" w:hAnsi="Times New Roman"/>
          <w:color w:val="000000" w:themeColor="text1"/>
          <w:szCs w:val="22"/>
        </w:rPr>
        <w:t>Strategijoje</w:t>
      </w:r>
      <w:r w:rsidR="00C937BC">
        <w:rPr>
          <w:rFonts w:ascii="Times New Roman" w:hAnsi="Times New Roman"/>
          <w:color w:val="000000" w:themeColor="text1"/>
          <w:szCs w:val="22"/>
        </w:rPr>
        <w:t xml:space="preserve"> buvo vertinamas skaičiuotinas p</w:t>
      </w:r>
      <w:r w:rsidRPr="00650EE4">
        <w:rPr>
          <w:rFonts w:ascii="Times New Roman" w:hAnsi="Times New Roman"/>
          <w:color w:val="000000" w:themeColor="text1"/>
          <w:szCs w:val="22"/>
        </w:rPr>
        <w:t>astatų fondo energijos vartojimas.</w:t>
      </w:r>
    </w:p>
    <w:p w14:paraId="35A2838E" w14:textId="0AE0C301" w:rsidR="003C2EE9" w:rsidRPr="00650EE4" w:rsidRDefault="003C2EE9" w:rsidP="00727C9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Skaičiuotino šiluminės ir elektros energijos vartojimo pagrindas – duomenys apie pastatų šildomą plotą, energinio naudingumo klasę</w:t>
      </w:r>
      <w:r w:rsidR="00754CBF" w:rsidRPr="00650EE4">
        <w:rPr>
          <w:rFonts w:ascii="Times New Roman" w:hAnsi="Times New Roman"/>
          <w:color w:val="000000" w:themeColor="text1"/>
          <w:szCs w:val="22"/>
        </w:rPr>
        <w:t xml:space="preserve"> ir energijos gamybos</w:t>
      </w:r>
      <w:r w:rsidRPr="00650EE4">
        <w:rPr>
          <w:rFonts w:ascii="Times New Roman" w:hAnsi="Times New Roman"/>
          <w:color w:val="000000" w:themeColor="text1"/>
          <w:szCs w:val="22"/>
        </w:rPr>
        <w:t xml:space="preserve"> šaltinį. </w:t>
      </w:r>
      <w:r w:rsidR="00A603F1">
        <w:rPr>
          <w:rFonts w:ascii="Times New Roman" w:hAnsi="Times New Roman"/>
          <w:color w:val="000000" w:themeColor="text1"/>
          <w:szCs w:val="22"/>
        </w:rPr>
        <w:t>E</w:t>
      </w:r>
      <w:r w:rsidRPr="00650EE4">
        <w:rPr>
          <w:rFonts w:ascii="Times New Roman" w:hAnsi="Times New Roman"/>
          <w:color w:val="000000" w:themeColor="text1"/>
          <w:szCs w:val="22"/>
        </w:rPr>
        <w:t xml:space="preserve">nerginio naudingumo sertifikatą Lietuvoje turi 17 proc. pastatų. </w:t>
      </w:r>
    </w:p>
    <w:p w14:paraId="369DB26E" w14:textId="6197B59F" w:rsidR="003C2EE9" w:rsidRPr="00650EE4" w:rsidRDefault="0005593B" w:rsidP="00727C9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Pastatų fondo energijos vartojimas buvo apskaičiuotas priskiriant </w:t>
      </w:r>
      <w:r w:rsidR="00A603F1">
        <w:rPr>
          <w:rFonts w:ascii="Times New Roman" w:hAnsi="Times New Roman"/>
          <w:color w:val="000000" w:themeColor="text1"/>
          <w:szCs w:val="22"/>
        </w:rPr>
        <w:t>e</w:t>
      </w:r>
      <w:r w:rsidR="003C2EE9" w:rsidRPr="00650EE4">
        <w:rPr>
          <w:rFonts w:ascii="Times New Roman" w:hAnsi="Times New Roman"/>
          <w:color w:val="000000" w:themeColor="text1"/>
          <w:szCs w:val="22"/>
        </w:rPr>
        <w:t>nerginio naudingumo klasės</w:t>
      </w:r>
      <w:r w:rsidRPr="00650EE4">
        <w:rPr>
          <w:rFonts w:ascii="Times New Roman" w:hAnsi="Times New Roman"/>
          <w:color w:val="000000" w:themeColor="text1"/>
          <w:szCs w:val="22"/>
        </w:rPr>
        <w:t xml:space="preserve"> požymį visiems pastatams, atsižvelgiant į jų statybos me</w:t>
      </w:r>
      <w:r w:rsidR="005B4EA3" w:rsidRPr="00650EE4">
        <w:rPr>
          <w:rFonts w:ascii="Times New Roman" w:hAnsi="Times New Roman"/>
          <w:color w:val="000000" w:themeColor="text1"/>
          <w:szCs w:val="22"/>
        </w:rPr>
        <w:t xml:space="preserve">tus ir koreguojant pagal </w:t>
      </w:r>
      <w:r w:rsidR="0035489E" w:rsidRPr="00650EE4">
        <w:rPr>
          <w:rFonts w:ascii="Times New Roman" w:hAnsi="Times New Roman"/>
          <w:color w:val="000000" w:themeColor="text1"/>
          <w:szCs w:val="22"/>
        </w:rPr>
        <w:t xml:space="preserve">kitus viešai skelbiamus duomenis (pvz. </w:t>
      </w:r>
      <w:r w:rsidR="0035489E" w:rsidRPr="00650EE4">
        <w:rPr>
          <w:rFonts w:ascii="Times New Roman" w:hAnsi="Times New Roman"/>
          <w:color w:val="000000" w:themeColor="text1"/>
          <w:szCs w:val="22"/>
        </w:rPr>
        <w:lastRenderedPageBreak/>
        <w:t>savarankiškai įgyvendintas energinio efektyvumo priemones)</w:t>
      </w:r>
      <w:r w:rsidR="003C2EE9" w:rsidRPr="00650EE4">
        <w:rPr>
          <w:rFonts w:ascii="Times New Roman" w:hAnsi="Times New Roman"/>
          <w:color w:val="000000" w:themeColor="text1"/>
          <w:szCs w:val="22"/>
        </w:rPr>
        <w:t xml:space="preserve">. Pastatų energijos gamybos struktūra apskaičiuota </w:t>
      </w:r>
      <w:r w:rsidR="0035489E" w:rsidRPr="00650EE4">
        <w:rPr>
          <w:rFonts w:ascii="Times New Roman" w:hAnsi="Times New Roman"/>
          <w:color w:val="000000" w:themeColor="text1"/>
          <w:szCs w:val="22"/>
        </w:rPr>
        <w:t>atsižvelgiant į</w:t>
      </w:r>
      <w:r w:rsidR="003C2EE9" w:rsidRPr="00650EE4">
        <w:rPr>
          <w:rFonts w:ascii="Times New Roman" w:hAnsi="Times New Roman"/>
          <w:color w:val="000000" w:themeColor="text1"/>
          <w:szCs w:val="22"/>
        </w:rPr>
        <w:t xml:space="preserve"> Statistikos departamento </w:t>
      </w:r>
      <w:r w:rsidR="00A603F1">
        <w:rPr>
          <w:rFonts w:ascii="Times New Roman" w:hAnsi="Times New Roman"/>
          <w:color w:val="000000" w:themeColor="text1"/>
          <w:szCs w:val="22"/>
        </w:rPr>
        <w:t>m</w:t>
      </w:r>
      <w:r w:rsidR="003C2EE9" w:rsidRPr="00650EE4">
        <w:rPr>
          <w:rFonts w:ascii="Times New Roman" w:hAnsi="Times New Roman"/>
          <w:color w:val="000000" w:themeColor="text1"/>
          <w:szCs w:val="22"/>
        </w:rPr>
        <w:t>etinio energijos ir kuro balanso duom</w:t>
      </w:r>
      <w:r w:rsidR="0035489E" w:rsidRPr="00650EE4">
        <w:rPr>
          <w:rFonts w:ascii="Times New Roman" w:hAnsi="Times New Roman"/>
          <w:color w:val="000000" w:themeColor="text1"/>
          <w:szCs w:val="22"/>
        </w:rPr>
        <w:t>en</w:t>
      </w:r>
      <w:r w:rsidR="003C2EE9" w:rsidRPr="00650EE4">
        <w:rPr>
          <w:rFonts w:ascii="Times New Roman" w:hAnsi="Times New Roman"/>
          <w:color w:val="000000" w:themeColor="text1"/>
          <w:szCs w:val="22"/>
        </w:rPr>
        <w:t>is</w:t>
      </w:r>
      <w:r w:rsidR="00A603F1">
        <w:rPr>
          <w:rFonts w:ascii="Times New Roman" w:hAnsi="Times New Roman"/>
          <w:color w:val="000000" w:themeColor="text1"/>
          <w:szCs w:val="22"/>
        </w:rPr>
        <w:t>:</w:t>
      </w:r>
    </w:p>
    <w:p w14:paraId="6D24BC33" w14:textId="44BAA431" w:rsidR="003C2EE9" w:rsidRPr="00650EE4" w:rsidRDefault="00C937BC"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3C2EE9" w:rsidRPr="00650EE4">
        <w:rPr>
          <w:rFonts w:ascii="Times New Roman" w:hAnsi="Times New Roman"/>
          <w:color w:val="000000" w:themeColor="text1"/>
          <w:szCs w:val="22"/>
        </w:rPr>
        <w:t xml:space="preserve">astatų fondas per metus vartoja </w:t>
      </w:r>
      <w:r w:rsidR="001E6F43" w:rsidRPr="00650EE4">
        <w:rPr>
          <w:rFonts w:ascii="Times New Roman" w:hAnsi="Times New Roman"/>
          <w:color w:val="000000" w:themeColor="text1"/>
          <w:szCs w:val="22"/>
        </w:rPr>
        <w:t>~</w:t>
      </w:r>
      <w:r w:rsidR="003C2EE9" w:rsidRPr="00650EE4">
        <w:rPr>
          <w:rFonts w:ascii="Times New Roman" w:hAnsi="Times New Roman"/>
          <w:color w:val="000000" w:themeColor="text1"/>
          <w:szCs w:val="22"/>
        </w:rPr>
        <w:t xml:space="preserve">40,8 </w:t>
      </w:r>
      <w:proofErr w:type="spellStart"/>
      <w:r w:rsidR="003C2EE9" w:rsidRPr="00650EE4">
        <w:rPr>
          <w:rFonts w:ascii="Times New Roman" w:hAnsi="Times New Roman"/>
          <w:color w:val="000000" w:themeColor="text1"/>
          <w:szCs w:val="22"/>
        </w:rPr>
        <w:t>TWh</w:t>
      </w:r>
      <w:proofErr w:type="spellEnd"/>
      <w:r w:rsidR="003C2EE9" w:rsidRPr="00650EE4">
        <w:rPr>
          <w:rFonts w:ascii="Times New Roman" w:hAnsi="Times New Roman"/>
          <w:color w:val="000000" w:themeColor="text1"/>
          <w:szCs w:val="22"/>
        </w:rPr>
        <w:t xml:space="preserve"> pirminės energijos ir į aplinką išmeta </w:t>
      </w:r>
      <w:r w:rsidR="001E6F43" w:rsidRPr="00650EE4">
        <w:rPr>
          <w:rFonts w:ascii="Times New Roman" w:hAnsi="Times New Roman"/>
          <w:color w:val="000000" w:themeColor="text1"/>
          <w:szCs w:val="22"/>
        </w:rPr>
        <w:t>~</w:t>
      </w:r>
      <w:r w:rsidR="003C2EE9" w:rsidRPr="00650EE4">
        <w:rPr>
          <w:rFonts w:ascii="Times New Roman" w:hAnsi="Times New Roman"/>
          <w:color w:val="000000" w:themeColor="text1"/>
          <w:szCs w:val="22"/>
        </w:rPr>
        <w:t>5,3 MtCO</w:t>
      </w:r>
      <w:r w:rsidR="003C2EE9" w:rsidRPr="00650EE4">
        <w:rPr>
          <w:rFonts w:ascii="Times New Roman" w:hAnsi="Times New Roman"/>
          <w:color w:val="000000" w:themeColor="text1"/>
          <w:szCs w:val="22"/>
          <w:vertAlign w:val="subscript"/>
        </w:rPr>
        <w:t>2</w:t>
      </w:r>
      <w:r>
        <w:rPr>
          <w:rFonts w:ascii="Times New Roman" w:hAnsi="Times New Roman"/>
          <w:color w:val="000000" w:themeColor="text1"/>
          <w:szCs w:val="22"/>
        </w:rPr>
        <w:t xml:space="preserve"> emisijų;</w:t>
      </w:r>
    </w:p>
    <w:p w14:paraId="3554ED82" w14:textId="6001A081" w:rsidR="003C2EE9" w:rsidRPr="00650EE4" w:rsidRDefault="00C937BC" w:rsidP="003C2EE9">
      <w:pPr>
        <w:pStyle w:val="Pagrindinispaprastastekstas"/>
        <w:numPr>
          <w:ilvl w:val="0"/>
          <w:numId w:val="10"/>
        </w:numPr>
        <w:spacing w:after="60"/>
        <w:rPr>
          <w:rFonts w:ascii="Times New Roman" w:hAnsi="Times New Roman"/>
          <w:color w:val="000000" w:themeColor="text1"/>
          <w:szCs w:val="22"/>
        </w:rPr>
      </w:pPr>
      <w:r>
        <w:rPr>
          <w:rFonts w:ascii="Times New Roman" w:hAnsi="Times New Roman"/>
          <w:color w:val="000000" w:themeColor="text1"/>
          <w:szCs w:val="22"/>
        </w:rPr>
        <w:t>2/3 (63 proc.) visos p</w:t>
      </w:r>
      <w:r w:rsidR="003C2EE9" w:rsidRPr="00650EE4">
        <w:rPr>
          <w:rFonts w:ascii="Times New Roman" w:hAnsi="Times New Roman"/>
          <w:color w:val="000000" w:themeColor="text1"/>
          <w:szCs w:val="22"/>
        </w:rPr>
        <w:t>astatų fondo pirminės energijos vartoja gyvenamieji pa</w:t>
      </w:r>
      <w:r w:rsidR="001E6F43" w:rsidRPr="00650EE4">
        <w:rPr>
          <w:rFonts w:ascii="Times New Roman" w:hAnsi="Times New Roman"/>
          <w:color w:val="000000" w:themeColor="text1"/>
          <w:szCs w:val="22"/>
        </w:rPr>
        <w:t xml:space="preserve">statai, </w:t>
      </w:r>
      <w:r w:rsidR="003C2EE9" w:rsidRPr="00650EE4">
        <w:rPr>
          <w:rFonts w:ascii="Times New Roman" w:hAnsi="Times New Roman"/>
          <w:color w:val="000000" w:themeColor="text1"/>
          <w:szCs w:val="22"/>
        </w:rPr>
        <w:t xml:space="preserve">34 proc. </w:t>
      </w:r>
      <w:r w:rsidR="001E6F43" w:rsidRPr="00650EE4">
        <w:rPr>
          <w:rFonts w:ascii="Times New Roman" w:hAnsi="Times New Roman"/>
          <w:color w:val="000000" w:themeColor="text1"/>
          <w:szCs w:val="22"/>
        </w:rPr>
        <w:t xml:space="preserve">- </w:t>
      </w:r>
      <w:r w:rsidR="003C2EE9" w:rsidRPr="00650EE4">
        <w:rPr>
          <w:rFonts w:ascii="Times New Roman" w:hAnsi="Times New Roman"/>
          <w:color w:val="000000" w:themeColor="text1"/>
          <w:szCs w:val="22"/>
        </w:rPr>
        <w:t xml:space="preserve">individualūs gyvenamieji </w:t>
      </w:r>
      <w:r>
        <w:rPr>
          <w:rFonts w:ascii="Times New Roman" w:hAnsi="Times New Roman"/>
          <w:color w:val="000000" w:themeColor="text1"/>
          <w:szCs w:val="22"/>
        </w:rPr>
        <w:t>namai, 29  proc. – daugiabučiai;</w:t>
      </w:r>
    </w:p>
    <w:p w14:paraId="27F0D567" w14:textId="209E44E3" w:rsidR="003C2EE9" w:rsidRPr="00650EE4" w:rsidRDefault="00C937BC" w:rsidP="007653CF">
      <w:pPr>
        <w:pStyle w:val="Pagrindinispaprastastekstas"/>
        <w:numPr>
          <w:ilvl w:val="0"/>
          <w:numId w:val="10"/>
        </w:numPr>
        <w:rPr>
          <w:rFonts w:ascii="Times New Roman" w:hAnsi="Times New Roman"/>
          <w:color w:val="000000" w:themeColor="text1"/>
          <w:szCs w:val="22"/>
        </w:rPr>
      </w:pPr>
      <w:r>
        <w:rPr>
          <w:rFonts w:ascii="Times New Roman" w:hAnsi="Times New Roman"/>
          <w:color w:val="000000" w:themeColor="text1"/>
          <w:szCs w:val="22"/>
        </w:rPr>
        <w:t>4/5 (78 proc.) visos p</w:t>
      </w:r>
      <w:r w:rsidR="003C2EE9" w:rsidRPr="00650EE4">
        <w:rPr>
          <w:rFonts w:ascii="Times New Roman" w:hAnsi="Times New Roman"/>
          <w:color w:val="000000" w:themeColor="text1"/>
          <w:szCs w:val="22"/>
        </w:rPr>
        <w:t>astatų fondo pirminės energijos vartoja žemesnės nei C energinio naudingumo klasės pastatai.</w:t>
      </w:r>
    </w:p>
    <w:p w14:paraId="3763E780" w14:textId="77777777" w:rsidR="003C2EE9" w:rsidRPr="00650EE4" w:rsidRDefault="003C2EE9" w:rsidP="005575A4">
      <w:pPr>
        <w:spacing w:before="240" w:after="120"/>
        <w:jc w:val="both"/>
        <w:rPr>
          <w:rFonts w:ascii="Times New Roman" w:hAnsi="Times New Roman"/>
          <w:b/>
          <w:bCs/>
          <w:sz w:val="24"/>
          <w:szCs w:val="24"/>
        </w:rPr>
      </w:pPr>
      <w:r w:rsidRPr="00650EE4">
        <w:rPr>
          <w:rFonts w:ascii="Times New Roman" w:hAnsi="Times New Roman"/>
          <w:b/>
          <w:bCs/>
          <w:sz w:val="24"/>
          <w:szCs w:val="24"/>
        </w:rPr>
        <w:t>Ekonomiškai efektyviausių renovacijos būdų nustatymas</w:t>
      </w:r>
    </w:p>
    <w:p w14:paraId="0EB4E927" w14:textId="1EBEA0B4" w:rsidR="003C2EE9" w:rsidRPr="00650EE4" w:rsidRDefault="003C2EE9" w:rsidP="003C2EE9">
      <w:pPr>
        <w:pStyle w:val="Text"/>
        <w:spacing w:after="120" w:line="240" w:lineRule="auto"/>
        <w:ind w:left="0" w:right="0"/>
        <w:rPr>
          <w:rFonts w:ascii="Times New Roman" w:hAnsi="Times New Roman" w:cs="Times New Roman"/>
          <w:bCs/>
          <w:noProof w:val="0"/>
          <w:color w:val="000000" w:themeColor="text1"/>
          <w:sz w:val="22"/>
        </w:rPr>
      </w:pPr>
      <w:r w:rsidRPr="00650EE4">
        <w:rPr>
          <w:rFonts w:ascii="Times New Roman" w:hAnsi="Times New Roman" w:cs="Times New Roman"/>
          <w:bCs/>
          <w:noProof w:val="0"/>
          <w:color w:val="000000" w:themeColor="text1"/>
          <w:sz w:val="22"/>
        </w:rPr>
        <w:t xml:space="preserve">PEND 2a straipsnio 1 dalies b punkte nustatyta, kad „į kiekvieną IRS įtraukiama nustatyti ekonomiškai efektyvūs renovacijos būdai pagal pastato tipą ir klimato zoną, atsižvelgiant į galimus aktualius inicijavimo momentus, kai taikytina, per pastato gyvavimo ciklą“. </w:t>
      </w:r>
    </w:p>
    <w:p w14:paraId="4D6133DD" w14:textId="1227D39D" w:rsidR="003C2EE9" w:rsidRPr="00650EE4" w:rsidRDefault="003C2EE9" w:rsidP="003C2EE9">
      <w:pPr>
        <w:pStyle w:val="Text"/>
        <w:spacing w:after="120" w:line="240" w:lineRule="auto"/>
        <w:ind w:left="0" w:right="0"/>
        <w:rPr>
          <w:rFonts w:ascii="Times New Roman" w:hAnsi="Times New Roman" w:cs="Times New Roman"/>
          <w:bCs/>
          <w:noProof w:val="0"/>
          <w:color w:val="000000" w:themeColor="text1"/>
          <w:sz w:val="22"/>
        </w:rPr>
      </w:pPr>
      <w:r w:rsidRPr="00650EE4">
        <w:rPr>
          <w:rFonts w:ascii="Times New Roman" w:hAnsi="Times New Roman" w:cs="Times New Roman"/>
          <w:bCs/>
          <w:noProof w:val="0"/>
          <w:color w:val="000000" w:themeColor="text1"/>
          <w:sz w:val="22"/>
        </w:rPr>
        <w:t>Siekiant nustatyti ekonomiškai efektyviausius renovacijos būdus, buvo suformuotas renovacijos būdų (priemonių) sąrašas, įvertintos priemonėms įgyvendinti reikalingos investicijos ir priemonių sukuriamos ekonominės naudos. Priemonės su geriausiu investicijų ir teikiamų naudų santykiu (vienas investuotas euras, kuria didžiausią ekonominę naudą) vertinamos kaip ekonomiškai efektyviausios.</w:t>
      </w:r>
    </w:p>
    <w:p w14:paraId="250F960E" w14:textId="1CEDE6AF" w:rsidR="003C2EE9" w:rsidRPr="00650EE4" w:rsidRDefault="003C2EE9" w:rsidP="003C2EE9">
      <w:pPr>
        <w:spacing w:after="120" w:line="240" w:lineRule="auto"/>
        <w:jc w:val="both"/>
        <w:rPr>
          <w:rFonts w:ascii="Times New Roman" w:hAnsi="Times New Roman"/>
          <w:color w:val="000000" w:themeColor="text1"/>
          <w:szCs w:val="22"/>
        </w:rPr>
      </w:pPr>
      <w:r w:rsidRPr="00650EE4">
        <w:rPr>
          <w:rFonts w:ascii="Times New Roman" w:hAnsi="Times New Roman"/>
          <w:color w:val="002060"/>
          <w:sz w:val="24"/>
          <w:szCs w:val="24"/>
        </w:rPr>
        <w:t>E</w:t>
      </w:r>
      <w:r w:rsidRPr="00650EE4">
        <w:rPr>
          <w:rFonts w:ascii="Times New Roman" w:hAnsi="Times New Roman"/>
          <w:color w:val="000000" w:themeColor="text1"/>
          <w:szCs w:val="22"/>
        </w:rPr>
        <w:t xml:space="preserve">fektyviausių renovacijos priemonių vertinimas vyko ne pavienių priemonių, o priemonių paketų lygmeniu, tokiu būdu siekiant maksimaliai išnaudoti kompleksinės renovacijos teikiamų naudų potencialią, tuo pačiu išlaikant kompleksinį požiūrį į pastatą kaip </w:t>
      </w:r>
      <w:proofErr w:type="spellStart"/>
      <w:r w:rsidRPr="00650EE4">
        <w:rPr>
          <w:rFonts w:ascii="Times New Roman" w:hAnsi="Times New Roman"/>
          <w:color w:val="000000" w:themeColor="text1"/>
          <w:szCs w:val="22"/>
        </w:rPr>
        <w:t>inžineriškai</w:t>
      </w:r>
      <w:proofErr w:type="spellEnd"/>
      <w:r w:rsidRPr="00650EE4">
        <w:rPr>
          <w:rFonts w:ascii="Times New Roman" w:hAnsi="Times New Roman"/>
          <w:color w:val="000000" w:themeColor="text1"/>
          <w:szCs w:val="22"/>
        </w:rPr>
        <w:t xml:space="preserve"> vientisą darinį ir atsižvelgiant į sukauptą Lietuvos ir kitų ES šalių patirtį. Renovacijos priemonių paketai suformuoti taip, kad kiekvienas paketas apimtų renovacijos priemonių komplektą, reikalingą konkrečios energinio naudingumo klasės pasiekimui, pradedant C ir baigiant A++ energinio naudingumo klase. Papildomai, siekiant įvertinti dalinės renovacijos efektyvumą, suformuoti 4 dalinės renovacijos </w:t>
      </w:r>
      <w:r w:rsidR="00931FE4" w:rsidRPr="00650EE4">
        <w:rPr>
          <w:rFonts w:ascii="Times New Roman" w:hAnsi="Times New Roman"/>
          <w:color w:val="000000" w:themeColor="text1"/>
          <w:szCs w:val="22"/>
        </w:rPr>
        <w:t xml:space="preserve">priemonių </w:t>
      </w:r>
      <w:r w:rsidRPr="00650EE4">
        <w:rPr>
          <w:rFonts w:ascii="Times New Roman" w:hAnsi="Times New Roman"/>
          <w:color w:val="000000" w:themeColor="text1"/>
          <w:szCs w:val="22"/>
        </w:rPr>
        <w:t xml:space="preserve">paketai. </w:t>
      </w:r>
    </w:p>
    <w:p w14:paraId="61FC58B9" w14:textId="00B23270" w:rsidR="003C2EE9" w:rsidRPr="00650EE4" w:rsidRDefault="00931FE4" w:rsidP="00397C25">
      <w:pPr>
        <w:pStyle w:val="BodyText"/>
        <w:spacing w:after="120"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Vertinant renovacijos</w:t>
      </w:r>
      <w:r w:rsidR="00397C25" w:rsidRPr="00650EE4">
        <w:rPr>
          <w:rFonts w:ascii="Times New Roman" w:hAnsi="Times New Roman"/>
          <w:color w:val="000000" w:themeColor="text1"/>
          <w:szCs w:val="22"/>
          <w:lang w:val="lt-LT"/>
        </w:rPr>
        <w:t xml:space="preserve"> priemonių</w:t>
      </w:r>
      <w:r w:rsidRPr="00650EE4">
        <w:rPr>
          <w:rFonts w:ascii="Times New Roman" w:hAnsi="Times New Roman"/>
          <w:color w:val="000000" w:themeColor="text1"/>
          <w:szCs w:val="22"/>
          <w:lang w:val="lt-LT"/>
        </w:rPr>
        <w:t xml:space="preserve"> paketų </w:t>
      </w:r>
      <w:r w:rsidR="00397C25" w:rsidRPr="00650EE4">
        <w:rPr>
          <w:rFonts w:ascii="Times New Roman" w:hAnsi="Times New Roman"/>
          <w:color w:val="000000" w:themeColor="text1"/>
          <w:szCs w:val="22"/>
          <w:lang w:val="lt-LT"/>
        </w:rPr>
        <w:t>s</w:t>
      </w:r>
      <w:r w:rsidR="00595752" w:rsidRPr="00650EE4">
        <w:rPr>
          <w:rFonts w:ascii="Times New Roman" w:hAnsi="Times New Roman"/>
          <w:color w:val="000000" w:themeColor="text1"/>
          <w:szCs w:val="22"/>
          <w:lang w:val="lt-LT"/>
        </w:rPr>
        <w:t>ukuriam</w:t>
      </w:r>
      <w:r w:rsidR="00397C25" w:rsidRPr="00650EE4">
        <w:rPr>
          <w:rFonts w:ascii="Times New Roman" w:hAnsi="Times New Roman"/>
          <w:color w:val="000000" w:themeColor="text1"/>
          <w:szCs w:val="22"/>
          <w:lang w:val="lt-LT"/>
        </w:rPr>
        <w:t>as ekonomines</w:t>
      </w:r>
      <w:r w:rsidR="004B7775" w:rsidRPr="00650EE4">
        <w:rPr>
          <w:rFonts w:ascii="Times New Roman" w:hAnsi="Times New Roman"/>
          <w:color w:val="000000" w:themeColor="text1"/>
          <w:szCs w:val="22"/>
          <w:lang w:val="lt-LT"/>
        </w:rPr>
        <w:t xml:space="preserve"> nauda</w:t>
      </w:r>
      <w:r w:rsidR="00397C25" w:rsidRPr="00650EE4">
        <w:rPr>
          <w:rFonts w:ascii="Times New Roman" w:hAnsi="Times New Roman"/>
          <w:color w:val="000000" w:themeColor="text1"/>
          <w:szCs w:val="22"/>
          <w:lang w:val="lt-LT"/>
        </w:rPr>
        <w:t>s vertintos tik to</w:t>
      </w:r>
      <w:r w:rsidR="000809AA" w:rsidRPr="00650EE4">
        <w:rPr>
          <w:rFonts w:ascii="Times New Roman" w:hAnsi="Times New Roman"/>
          <w:color w:val="000000" w:themeColor="text1"/>
          <w:szCs w:val="22"/>
          <w:lang w:val="lt-LT"/>
        </w:rPr>
        <w:t>s ekonominės naudos, kurių vertė</w:t>
      </w:r>
      <w:r w:rsidR="003C2EE9" w:rsidRPr="00650EE4">
        <w:rPr>
          <w:rFonts w:ascii="Times New Roman" w:hAnsi="Times New Roman"/>
          <w:color w:val="000000" w:themeColor="text1"/>
          <w:szCs w:val="22"/>
          <w:lang w:val="lt-LT"/>
        </w:rPr>
        <w:t xml:space="preserve"> gali būti patikimai </w:t>
      </w:r>
      <w:r w:rsidR="000809AA" w:rsidRPr="00650EE4">
        <w:rPr>
          <w:rFonts w:ascii="Times New Roman" w:hAnsi="Times New Roman"/>
          <w:color w:val="000000" w:themeColor="text1"/>
          <w:szCs w:val="22"/>
          <w:lang w:val="lt-LT"/>
        </w:rPr>
        <w:t>apskaičiuota</w:t>
      </w:r>
      <w:r w:rsidR="003C2EE9" w:rsidRPr="00650EE4">
        <w:rPr>
          <w:rFonts w:ascii="Times New Roman" w:hAnsi="Times New Roman"/>
          <w:color w:val="000000" w:themeColor="text1"/>
          <w:szCs w:val="22"/>
          <w:lang w:val="lt-LT"/>
        </w:rPr>
        <w:t xml:space="preserve"> ir turi</w:t>
      </w:r>
      <w:r w:rsidR="003C2EE9" w:rsidRPr="00650EE4">
        <w:rPr>
          <w:rFonts w:ascii="Times New Roman" w:hAnsi="Times New Roman"/>
          <w:bCs/>
          <w:color w:val="000000" w:themeColor="text1"/>
          <w:szCs w:val="22"/>
          <w:lang w:val="lt-LT"/>
        </w:rPr>
        <w:t xml:space="preserve"> didžiausią potencialą konvertuotis į realų pinigų srautą</w:t>
      </w:r>
      <w:r w:rsidR="000809AA" w:rsidRPr="00650EE4">
        <w:rPr>
          <w:rFonts w:ascii="Times New Roman" w:hAnsi="Times New Roman"/>
          <w:color w:val="000000" w:themeColor="text1"/>
          <w:szCs w:val="22"/>
          <w:lang w:val="lt-LT"/>
        </w:rPr>
        <w:t>:</w:t>
      </w:r>
    </w:p>
    <w:p w14:paraId="63639545" w14:textId="6F8708FA" w:rsidR="003C2EE9" w:rsidRPr="00650EE4" w:rsidRDefault="00C937BC" w:rsidP="0054351D">
      <w:pPr>
        <w:pStyle w:val="BodyText"/>
        <w:numPr>
          <w:ilvl w:val="0"/>
          <w:numId w:val="10"/>
        </w:numPr>
        <w:spacing w:after="60" w:line="240" w:lineRule="auto"/>
        <w:jc w:val="both"/>
        <w:rPr>
          <w:rFonts w:ascii="Times New Roman" w:hAnsi="Times New Roman"/>
          <w:color w:val="000000" w:themeColor="text1"/>
          <w:szCs w:val="22"/>
          <w:lang w:val="lt-LT"/>
        </w:rPr>
      </w:pPr>
      <w:r>
        <w:rPr>
          <w:rFonts w:ascii="Times New Roman" w:hAnsi="Times New Roman"/>
          <w:bCs/>
          <w:color w:val="000000" w:themeColor="text1"/>
          <w:szCs w:val="22"/>
          <w:lang w:val="lt-LT"/>
        </w:rPr>
        <w:t>s</w:t>
      </w:r>
      <w:r w:rsidR="000809AA" w:rsidRPr="00650EE4">
        <w:rPr>
          <w:rFonts w:ascii="Times New Roman" w:hAnsi="Times New Roman"/>
          <w:bCs/>
          <w:color w:val="000000" w:themeColor="text1"/>
          <w:szCs w:val="22"/>
          <w:lang w:val="lt-LT"/>
        </w:rPr>
        <w:t>utaupytos energijos vertė</w:t>
      </w:r>
      <w:r w:rsidR="0054351D" w:rsidRPr="00650EE4">
        <w:rPr>
          <w:rFonts w:ascii="Times New Roman" w:hAnsi="Times New Roman"/>
          <w:b/>
          <w:bCs/>
          <w:color w:val="000000" w:themeColor="text1"/>
          <w:szCs w:val="22"/>
          <w:lang w:val="lt-LT"/>
        </w:rPr>
        <w:t xml:space="preserve"> </w:t>
      </w:r>
      <w:r w:rsidR="006A3264" w:rsidRPr="00650EE4">
        <w:rPr>
          <w:rFonts w:ascii="Times New Roman" w:hAnsi="Times New Roman"/>
          <w:b/>
          <w:bCs/>
          <w:color w:val="000000" w:themeColor="text1"/>
          <w:szCs w:val="22"/>
          <w:lang w:val="lt-LT"/>
        </w:rPr>
        <w:t xml:space="preserve">– </w:t>
      </w:r>
      <w:r w:rsidR="003C2EE9" w:rsidRPr="00650EE4">
        <w:rPr>
          <w:rFonts w:ascii="Times New Roman" w:hAnsi="Times New Roman"/>
          <w:color w:val="000000" w:themeColor="text1"/>
          <w:szCs w:val="22"/>
          <w:lang w:val="lt-LT"/>
        </w:rPr>
        <w:t>suminio per 30 metų sutaupyto energijos kiekio ir kai</w:t>
      </w:r>
      <w:r>
        <w:rPr>
          <w:rFonts w:ascii="Times New Roman" w:hAnsi="Times New Roman"/>
          <w:color w:val="000000" w:themeColor="text1"/>
          <w:szCs w:val="22"/>
          <w:lang w:val="lt-LT"/>
        </w:rPr>
        <w:t>nos sandaugos diskontuota vertė;</w:t>
      </w:r>
      <w:r w:rsidR="003C2EE9" w:rsidRPr="00650EE4">
        <w:rPr>
          <w:rFonts w:ascii="Times New Roman" w:hAnsi="Times New Roman"/>
          <w:color w:val="000000" w:themeColor="text1"/>
          <w:szCs w:val="22"/>
          <w:lang w:val="lt-LT"/>
        </w:rPr>
        <w:t xml:space="preserve"> </w:t>
      </w:r>
    </w:p>
    <w:p w14:paraId="7E6266BB" w14:textId="7ACE2BF1" w:rsidR="003C2EE9" w:rsidRPr="00650EE4" w:rsidRDefault="00C937BC" w:rsidP="0054351D">
      <w:pPr>
        <w:pStyle w:val="BodyText"/>
        <w:numPr>
          <w:ilvl w:val="0"/>
          <w:numId w:val="10"/>
        </w:numPr>
        <w:spacing w:after="60" w:line="240" w:lineRule="auto"/>
        <w:jc w:val="both"/>
        <w:rPr>
          <w:rFonts w:ascii="Times New Roman" w:hAnsi="Times New Roman"/>
          <w:b/>
          <w:bCs/>
          <w:color w:val="000000" w:themeColor="text1"/>
          <w:szCs w:val="22"/>
          <w:lang w:val="lt-LT"/>
        </w:rPr>
      </w:pPr>
      <w:r>
        <w:rPr>
          <w:rFonts w:ascii="Times New Roman" w:hAnsi="Times New Roman"/>
          <w:bCs/>
          <w:color w:val="000000" w:themeColor="text1"/>
          <w:szCs w:val="22"/>
          <w:lang w:val="lt-LT"/>
        </w:rPr>
        <w:t>s</w:t>
      </w:r>
      <w:r w:rsidR="003C2EE9" w:rsidRPr="00650EE4">
        <w:rPr>
          <w:rFonts w:ascii="Times New Roman" w:hAnsi="Times New Roman"/>
          <w:bCs/>
          <w:color w:val="000000" w:themeColor="text1"/>
          <w:szCs w:val="22"/>
          <w:lang w:val="lt-LT"/>
        </w:rPr>
        <w:t>umažintų CO</w:t>
      </w:r>
      <w:r w:rsidR="003C2EE9" w:rsidRPr="00650EE4">
        <w:rPr>
          <w:rFonts w:ascii="Times New Roman" w:hAnsi="Times New Roman"/>
          <w:bCs/>
          <w:color w:val="000000" w:themeColor="text1"/>
          <w:szCs w:val="22"/>
          <w:vertAlign w:val="subscript"/>
          <w:lang w:val="lt-LT"/>
        </w:rPr>
        <w:t>2</w:t>
      </w:r>
      <w:r w:rsidR="003C2EE9" w:rsidRPr="00650EE4">
        <w:rPr>
          <w:rFonts w:ascii="Times New Roman" w:hAnsi="Times New Roman"/>
          <w:bCs/>
          <w:color w:val="000000" w:themeColor="text1"/>
          <w:szCs w:val="22"/>
          <w:lang w:val="lt-LT"/>
        </w:rPr>
        <w:t xml:space="preserve"> </w:t>
      </w:r>
      <w:r w:rsidR="000809AA" w:rsidRPr="00650EE4">
        <w:rPr>
          <w:rFonts w:ascii="Times New Roman" w:hAnsi="Times New Roman"/>
          <w:bCs/>
          <w:color w:val="000000" w:themeColor="text1"/>
          <w:szCs w:val="22"/>
          <w:lang w:val="lt-LT"/>
        </w:rPr>
        <w:t>išmetimų vertė</w:t>
      </w:r>
      <w:r w:rsidR="0054351D" w:rsidRPr="00650EE4">
        <w:rPr>
          <w:rFonts w:ascii="Times New Roman" w:hAnsi="Times New Roman"/>
          <w:bCs/>
          <w:color w:val="000000" w:themeColor="text1"/>
          <w:szCs w:val="22"/>
          <w:lang w:val="lt-LT"/>
        </w:rPr>
        <w:t xml:space="preserve"> </w:t>
      </w:r>
      <w:r w:rsidR="006A3264" w:rsidRPr="00650EE4">
        <w:rPr>
          <w:rFonts w:ascii="Times New Roman" w:hAnsi="Times New Roman"/>
          <w:bCs/>
          <w:color w:val="000000" w:themeColor="text1"/>
          <w:szCs w:val="22"/>
          <w:lang w:val="lt-LT"/>
        </w:rPr>
        <w:t xml:space="preserve">– </w:t>
      </w:r>
      <w:r w:rsidR="003C2EE9" w:rsidRPr="00650EE4">
        <w:rPr>
          <w:rFonts w:ascii="Times New Roman" w:hAnsi="Times New Roman"/>
          <w:color w:val="000000" w:themeColor="text1"/>
          <w:szCs w:val="22"/>
          <w:lang w:val="lt-LT"/>
        </w:rPr>
        <w:t>suminio per 30 metų sutaupyto CO</w:t>
      </w:r>
      <w:r w:rsidR="003C2EE9" w:rsidRPr="00650EE4">
        <w:rPr>
          <w:rFonts w:ascii="Times New Roman" w:hAnsi="Times New Roman"/>
          <w:color w:val="000000" w:themeColor="text1"/>
          <w:szCs w:val="22"/>
          <w:vertAlign w:val="subscript"/>
          <w:lang w:val="lt-LT"/>
        </w:rPr>
        <w:t>2</w:t>
      </w:r>
      <w:r w:rsidR="003C2EE9" w:rsidRPr="00650EE4">
        <w:rPr>
          <w:rFonts w:ascii="Times New Roman" w:hAnsi="Times New Roman"/>
          <w:color w:val="000000" w:themeColor="text1"/>
          <w:szCs w:val="22"/>
          <w:lang w:val="lt-LT"/>
        </w:rPr>
        <w:t xml:space="preserve"> emisijų kiekio ir kai</w:t>
      </w:r>
      <w:r>
        <w:rPr>
          <w:rFonts w:ascii="Times New Roman" w:hAnsi="Times New Roman"/>
          <w:color w:val="000000" w:themeColor="text1"/>
          <w:szCs w:val="22"/>
          <w:lang w:val="lt-LT"/>
        </w:rPr>
        <w:t>nos sandaugos diskontuota vertė;</w:t>
      </w:r>
    </w:p>
    <w:p w14:paraId="200C1F01" w14:textId="4EE7C07F" w:rsidR="003C2EE9" w:rsidRPr="00650EE4" w:rsidRDefault="003C2EE9" w:rsidP="003C2EE9">
      <w:pPr>
        <w:pStyle w:val="Pagrindinispaprastastekstas"/>
        <w:numPr>
          <w:ilvl w:val="0"/>
          <w:numId w:val="10"/>
        </w:numPr>
        <w:spacing w:after="120"/>
        <w:rPr>
          <w:rFonts w:ascii="Times New Roman" w:hAnsi="Times New Roman"/>
          <w:color w:val="000000" w:themeColor="text1"/>
          <w:szCs w:val="22"/>
        </w:rPr>
      </w:pPr>
      <w:r w:rsidRPr="00650EE4">
        <w:rPr>
          <w:rFonts w:ascii="Times New Roman" w:hAnsi="Times New Roman"/>
          <w:bCs/>
          <w:color w:val="000000" w:themeColor="text1"/>
          <w:szCs w:val="22"/>
        </w:rPr>
        <w:t>B</w:t>
      </w:r>
      <w:r w:rsidR="000809AA" w:rsidRPr="00650EE4">
        <w:rPr>
          <w:rFonts w:ascii="Times New Roman" w:hAnsi="Times New Roman"/>
          <w:bCs/>
          <w:color w:val="000000" w:themeColor="text1"/>
          <w:szCs w:val="22"/>
        </w:rPr>
        <w:t>VP padidėjimas</w:t>
      </w:r>
      <w:r w:rsidR="0054351D" w:rsidRPr="00650EE4">
        <w:rPr>
          <w:rFonts w:ascii="Times New Roman" w:hAnsi="Times New Roman"/>
          <w:bCs/>
          <w:color w:val="000000" w:themeColor="text1"/>
          <w:szCs w:val="22"/>
        </w:rPr>
        <w:t xml:space="preserve"> </w:t>
      </w:r>
      <w:r w:rsidR="006A3264" w:rsidRPr="00650EE4">
        <w:rPr>
          <w:rFonts w:ascii="Times New Roman" w:hAnsi="Times New Roman"/>
          <w:bCs/>
          <w:color w:val="000000" w:themeColor="text1"/>
          <w:szCs w:val="22"/>
        </w:rPr>
        <w:t xml:space="preserve">– </w:t>
      </w:r>
      <w:r w:rsidR="00DC66E9" w:rsidRPr="00650EE4">
        <w:rPr>
          <w:rFonts w:ascii="Times New Roman" w:hAnsi="Times New Roman"/>
          <w:bCs/>
          <w:color w:val="000000" w:themeColor="text1"/>
          <w:szCs w:val="22"/>
        </w:rPr>
        <w:t>prognozuojama</w:t>
      </w:r>
      <w:r w:rsidR="00DC66E9" w:rsidRPr="00650EE4">
        <w:rPr>
          <w:rFonts w:ascii="Times New Roman" w:hAnsi="Times New Roman"/>
          <w:color w:val="000000" w:themeColor="text1"/>
          <w:szCs w:val="22"/>
        </w:rPr>
        <w:t xml:space="preserve"> investicijų į renovacijos priemones įtaka šalies</w:t>
      </w:r>
      <w:r w:rsidRPr="00650EE4">
        <w:rPr>
          <w:rFonts w:ascii="Times New Roman" w:hAnsi="Times New Roman"/>
          <w:color w:val="000000" w:themeColor="text1"/>
          <w:szCs w:val="22"/>
        </w:rPr>
        <w:t xml:space="preserve"> BVP</w:t>
      </w:r>
      <w:r w:rsidR="00DC66E9" w:rsidRPr="00650EE4">
        <w:rPr>
          <w:rFonts w:ascii="Times New Roman" w:hAnsi="Times New Roman"/>
          <w:color w:val="000000" w:themeColor="text1"/>
          <w:szCs w:val="22"/>
        </w:rPr>
        <w:t xml:space="preserve"> dydžiui</w:t>
      </w:r>
      <w:r w:rsidRPr="00650EE4">
        <w:rPr>
          <w:rFonts w:ascii="Times New Roman" w:hAnsi="Times New Roman"/>
          <w:bCs/>
          <w:color w:val="000000" w:themeColor="text1"/>
          <w:szCs w:val="22"/>
        </w:rPr>
        <w:t>.</w:t>
      </w:r>
    </w:p>
    <w:p w14:paraId="013765B0" w14:textId="575D199E" w:rsidR="003C2EE9" w:rsidRPr="00650EE4" w:rsidRDefault="00BD40A2" w:rsidP="005F4C9D">
      <w:pPr>
        <w:spacing w:after="120"/>
        <w:jc w:val="both"/>
        <w:rPr>
          <w:rFonts w:ascii="Times New Roman" w:hAnsi="Times New Roman"/>
          <w:iCs/>
        </w:rPr>
      </w:pPr>
      <w:r w:rsidRPr="00650EE4">
        <w:rPr>
          <w:rFonts w:ascii="Times New Roman" w:hAnsi="Times New Roman"/>
          <w:color w:val="000000" w:themeColor="text1"/>
          <w:szCs w:val="22"/>
        </w:rPr>
        <w:t>E</w:t>
      </w:r>
      <w:r w:rsidR="003C2EE9" w:rsidRPr="00650EE4">
        <w:rPr>
          <w:rFonts w:ascii="Times New Roman" w:hAnsi="Times New Roman"/>
          <w:color w:val="000000" w:themeColor="text1"/>
          <w:szCs w:val="22"/>
        </w:rPr>
        <w:t>konomiškai efektyviausio renova</w:t>
      </w:r>
      <w:r w:rsidRPr="00650EE4">
        <w:rPr>
          <w:rFonts w:ascii="Times New Roman" w:hAnsi="Times New Roman"/>
          <w:color w:val="000000" w:themeColor="text1"/>
          <w:szCs w:val="22"/>
        </w:rPr>
        <w:t>cijos būdo nustatymo rezultatai atskleidžia</w:t>
      </w:r>
      <w:r w:rsidR="002E1F97" w:rsidRPr="00650EE4">
        <w:rPr>
          <w:rFonts w:ascii="Times New Roman" w:hAnsi="Times New Roman"/>
          <w:color w:val="000000" w:themeColor="text1"/>
          <w:szCs w:val="22"/>
        </w:rPr>
        <w:t xml:space="preserve">, kad </w:t>
      </w:r>
      <w:r w:rsidR="003C2EE9" w:rsidRPr="00650EE4">
        <w:rPr>
          <w:rFonts w:ascii="Times New Roman" w:hAnsi="Times New Roman"/>
          <w:szCs w:val="22"/>
        </w:rPr>
        <w:t>d</w:t>
      </w:r>
      <w:r w:rsidR="003C2EE9" w:rsidRPr="00650EE4">
        <w:rPr>
          <w:rFonts w:ascii="Times New Roman" w:hAnsi="Times New Roman"/>
          <w:color w:val="000000" w:themeColor="text1"/>
          <w:szCs w:val="22"/>
        </w:rPr>
        <w:t>idžiausia ekonominė grąža (skirtumas tarp eko</w:t>
      </w:r>
      <w:r w:rsidR="00C937BC">
        <w:rPr>
          <w:rFonts w:ascii="Times New Roman" w:hAnsi="Times New Roman"/>
          <w:color w:val="000000" w:themeColor="text1"/>
          <w:szCs w:val="22"/>
        </w:rPr>
        <w:t>nominės naudos ir investicijų) p</w:t>
      </w:r>
      <w:r w:rsidR="003C2EE9" w:rsidRPr="00650EE4">
        <w:rPr>
          <w:rFonts w:ascii="Times New Roman" w:hAnsi="Times New Roman"/>
          <w:color w:val="000000" w:themeColor="text1"/>
          <w:szCs w:val="22"/>
        </w:rPr>
        <w:t>astatų fondo lygmeniu yra 45 – 55 proc. energijos sutaupymų zonoje. Toki</w:t>
      </w:r>
      <w:r w:rsidR="00C937BC">
        <w:rPr>
          <w:rFonts w:ascii="Times New Roman" w:hAnsi="Times New Roman"/>
          <w:color w:val="000000" w:themeColor="text1"/>
          <w:szCs w:val="22"/>
        </w:rPr>
        <w:t>e sutaupymai būtų pasiekti jei p</w:t>
      </w:r>
      <w:r w:rsidR="003C2EE9" w:rsidRPr="00650EE4">
        <w:rPr>
          <w:rFonts w:ascii="Times New Roman" w:hAnsi="Times New Roman"/>
          <w:color w:val="000000" w:themeColor="text1"/>
          <w:szCs w:val="22"/>
        </w:rPr>
        <w:t xml:space="preserve">astatų fondas būtų transformuotas </w:t>
      </w:r>
      <w:r w:rsidR="00C00322" w:rsidRPr="00650EE4">
        <w:rPr>
          <w:rFonts w:ascii="Times New Roman" w:hAnsi="Times New Roman"/>
          <w:color w:val="000000" w:themeColor="text1"/>
          <w:szCs w:val="22"/>
        </w:rPr>
        <w:t>ik</w:t>
      </w:r>
      <w:r w:rsidR="00A85EE9" w:rsidRPr="00650EE4">
        <w:rPr>
          <w:rFonts w:ascii="Times New Roman" w:hAnsi="Times New Roman"/>
          <w:color w:val="000000" w:themeColor="text1"/>
          <w:szCs w:val="22"/>
        </w:rPr>
        <w:t>i</w:t>
      </w:r>
      <w:r w:rsidR="00C00322" w:rsidRPr="00650EE4">
        <w:rPr>
          <w:rFonts w:ascii="Times New Roman" w:hAnsi="Times New Roman"/>
          <w:color w:val="000000" w:themeColor="text1"/>
          <w:szCs w:val="22"/>
        </w:rPr>
        <w:t xml:space="preserve"> A arba </w:t>
      </w:r>
      <w:r w:rsidR="003C2EE9" w:rsidRPr="00650EE4">
        <w:rPr>
          <w:rFonts w:ascii="Times New Roman" w:hAnsi="Times New Roman"/>
          <w:szCs w:val="22"/>
        </w:rPr>
        <w:t xml:space="preserve">B energinio naudingumo klasės (pritaikant AEI priemones). Atitinkamai vertinama, kad </w:t>
      </w:r>
      <w:r w:rsidR="00A85EE9" w:rsidRPr="00650EE4">
        <w:rPr>
          <w:rFonts w:ascii="Times New Roman" w:hAnsi="Times New Roman"/>
          <w:szCs w:val="22"/>
        </w:rPr>
        <w:t xml:space="preserve">tai yra </w:t>
      </w:r>
      <w:r w:rsidR="003C2EE9" w:rsidRPr="00650EE4">
        <w:rPr>
          <w:rFonts w:ascii="Times New Roman" w:hAnsi="Times New Roman"/>
          <w:color w:val="000000" w:themeColor="text1"/>
          <w:szCs w:val="22"/>
        </w:rPr>
        <w:t>ekonomiškai efektyvus b</w:t>
      </w:r>
      <w:r w:rsidR="00A85EE9" w:rsidRPr="00650EE4">
        <w:rPr>
          <w:rFonts w:ascii="Times New Roman" w:hAnsi="Times New Roman"/>
          <w:color w:val="000000" w:themeColor="text1"/>
          <w:szCs w:val="22"/>
        </w:rPr>
        <w:t xml:space="preserve">ūdas transformuoti </w:t>
      </w:r>
      <w:r w:rsidR="00C937BC">
        <w:rPr>
          <w:rFonts w:ascii="Times New Roman" w:hAnsi="Times New Roman"/>
          <w:color w:val="000000" w:themeColor="text1"/>
          <w:szCs w:val="22"/>
        </w:rPr>
        <w:t>p</w:t>
      </w:r>
      <w:r w:rsidR="00A85EE9" w:rsidRPr="00650EE4">
        <w:rPr>
          <w:rFonts w:ascii="Times New Roman" w:hAnsi="Times New Roman"/>
          <w:color w:val="000000" w:themeColor="text1"/>
          <w:szCs w:val="22"/>
        </w:rPr>
        <w:t>astatų fondą</w:t>
      </w:r>
      <w:r w:rsidR="000E40ED" w:rsidRPr="00650EE4">
        <w:rPr>
          <w:rFonts w:ascii="Times New Roman" w:hAnsi="Times New Roman"/>
          <w:color w:val="000000" w:themeColor="text1"/>
          <w:szCs w:val="22"/>
        </w:rPr>
        <w:t xml:space="preserve">. </w:t>
      </w:r>
    </w:p>
    <w:p w14:paraId="6F0EE621" w14:textId="65BF44F7" w:rsidR="00C61B49" w:rsidRPr="00650EE4" w:rsidRDefault="00C61B49" w:rsidP="000A6FD7">
      <w:pPr>
        <w:spacing w:before="240" w:after="120"/>
        <w:jc w:val="both"/>
        <w:rPr>
          <w:rFonts w:ascii="Times New Roman" w:hAnsi="Times New Roman"/>
          <w:b/>
          <w:bCs/>
          <w:sz w:val="24"/>
          <w:szCs w:val="24"/>
        </w:rPr>
      </w:pPr>
      <w:r w:rsidRPr="00650EE4">
        <w:rPr>
          <w:rFonts w:ascii="Times New Roman" w:hAnsi="Times New Roman"/>
          <w:b/>
          <w:bCs/>
          <w:sz w:val="24"/>
          <w:szCs w:val="24"/>
        </w:rPr>
        <w:t xml:space="preserve">Renovacijos </w:t>
      </w:r>
      <w:r w:rsidR="007A4F1F">
        <w:rPr>
          <w:rFonts w:ascii="Times New Roman" w:hAnsi="Times New Roman"/>
          <w:b/>
          <w:bCs/>
          <w:sz w:val="24"/>
          <w:szCs w:val="24"/>
        </w:rPr>
        <w:t xml:space="preserve">strategijos </w:t>
      </w:r>
      <w:r w:rsidRPr="00650EE4">
        <w:rPr>
          <w:rFonts w:ascii="Times New Roman" w:hAnsi="Times New Roman"/>
          <w:b/>
          <w:bCs/>
          <w:sz w:val="24"/>
          <w:szCs w:val="24"/>
        </w:rPr>
        <w:t>įgyvendinimo rodikliai</w:t>
      </w:r>
    </w:p>
    <w:p w14:paraId="3BE7CC90" w14:textId="2A90126A" w:rsidR="003D33B3" w:rsidRPr="008F3F58" w:rsidRDefault="003D33B3" w:rsidP="008F3F58">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Lietuvos ilgalaikės renovacijos </w:t>
      </w:r>
      <w:r w:rsidR="008F3F58">
        <w:rPr>
          <w:rFonts w:ascii="Times New Roman" w:hAnsi="Times New Roman"/>
          <w:color w:val="000000" w:themeColor="text1"/>
          <w:szCs w:val="22"/>
        </w:rPr>
        <w:t>strategijos tikslas</w:t>
      </w:r>
      <w:r w:rsidR="00C937BC">
        <w:rPr>
          <w:rFonts w:ascii="Times New Roman" w:hAnsi="Times New Roman"/>
          <w:color w:val="000000" w:themeColor="text1"/>
          <w:szCs w:val="22"/>
        </w:rPr>
        <w:t xml:space="preserve"> yra transformuoti esamą p</w:t>
      </w:r>
      <w:r w:rsidRPr="00650EE4">
        <w:rPr>
          <w:rFonts w:ascii="Times New Roman" w:hAnsi="Times New Roman"/>
          <w:color w:val="000000" w:themeColor="text1"/>
          <w:szCs w:val="22"/>
        </w:rPr>
        <w:t>astatų fondą</w:t>
      </w:r>
      <w:r w:rsidR="008F3F58">
        <w:rPr>
          <w:rFonts w:ascii="Times New Roman" w:hAnsi="Times New Roman"/>
          <w:color w:val="000000" w:themeColor="text1"/>
          <w:szCs w:val="22"/>
        </w:rPr>
        <w:t xml:space="preserve">, kad 2050 metais jis būtų </w:t>
      </w:r>
      <w:r w:rsidR="00C937BC" w:rsidRPr="008F3F58">
        <w:rPr>
          <w:rFonts w:ascii="Times New Roman" w:hAnsi="Times New Roman"/>
          <w:color w:val="000000" w:themeColor="text1"/>
          <w:szCs w:val="22"/>
        </w:rPr>
        <w:t>e</w:t>
      </w:r>
      <w:r w:rsidRPr="008F3F58">
        <w:rPr>
          <w:rFonts w:ascii="Times New Roman" w:hAnsi="Times New Roman"/>
          <w:color w:val="000000" w:themeColor="text1"/>
          <w:szCs w:val="22"/>
        </w:rPr>
        <w:t xml:space="preserve">fektyviai vartojantis energiją (su sąlygomis pertvarkymui į </w:t>
      </w:r>
      <w:r w:rsidRPr="008F3F58">
        <w:rPr>
          <w:rFonts w:ascii="Times New Roman" w:hAnsi="Times New Roman"/>
          <w:bCs/>
          <w:color w:val="000000" w:themeColor="text1"/>
          <w:szCs w:val="22"/>
        </w:rPr>
        <w:t>beveik nulinės energijos pa</w:t>
      </w:r>
      <w:r w:rsidR="008F3F58">
        <w:rPr>
          <w:rFonts w:ascii="Times New Roman" w:hAnsi="Times New Roman"/>
          <w:bCs/>
          <w:color w:val="000000" w:themeColor="text1"/>
          <w:szCs w:val="22"/>
        </w:rPr>
        <w:t xml:space="preserve">status) ir </w:t>
      </w:r>
      <w:r w:rsidR="00C937BC" w:rsidRPr="008F3F58">
        <w:rPr>
          <w:rFonts w:ascii="Times New Roman" w:hAnsi="Times New Roman"/>
          <w:color w:val="000000" w:themeColor="text1"/>
          <w:szCs w:val="22"/>
        </w:rPr>
        <w:t>n</w:t>
      </w:r>
      <w:r w:rsidRPr="008F3F58">
        <w:rPr>
          <w:rFonts w:ascii="Times New Roman" w:hAnsi="Times New Roman"/>
          <w:color w:val="000000" w:themeColor="text1"/>
          <w:szCs w:val="22"/>
        </w:rPr>
        <w:t xml:space="preserve">epriklausomas nuo iškastinio </w:t>
      </w:r>
      <w:r w:rsidRPr="00E73A77">
        <w:rPr>
          <w:rFonts w:ascii="Times New Roman" w:hAnsi="Times New Roman"/>
          <w:color w:val="000000" w:themeColor="text1"/>
          <w:szCs w:val="22"/>
        </w:rPr>
        <w:t>kuro</w:t>
      </w:r>
      <w:r w:rsidR="00405726" w:rsidRPr="00E73A77">
        <w:rPr>
          <w:rFonts w:ascii="Times New Roman" w:hAnsi="Times New Roman"/>
          <w:color w:val="000000" w:themeColor="text1"/>
          <w:szCs w:val="22"/>
        </w:rPr>
        <w:t xml:space="preserve"> bei atitinkantis universalaus dizaino principus</w:t>
      </w:r>
      <w:r w:rsidRPr="00E73A77">
        <w:rPr>
          <w:rFonts w:ascii="Times New Roman" w:hAnsi="Times New Roman"/>
          <w:color w:val="000000" w:themeColor="text1"/>
          <w:szCs w:val="22"/>
        </w:rPr>
        <w:t>.</w:t>
      </w:r>
      <w:r w:rsidRPr="008F3F58">
        <w:rPr>
          <w:rFonts w:ascii="Times New Roman" w:hAnsi="Times New Roman"/>
          <w:color w:val="000000" w:themeColor="text1"/>
          <w:szCs w:val="22"/>
        </w:rPr>
        <w:t xml:space="preserve">  </w:t>
      </w:r>
    </w:p>
    <w:p w14:paraId="51F151D2" w14:textId="4A7FC1A3" w:rsidR="002251AB" w:rsidRPr="00650EE4" w:rsidRDefault="002251AB" w:rsidP="003A2A1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Įgyvendinant š</w:t>
      </w:r>
      <w:r w:rsidR="008F3F58">
        <w:rPr>
          <w:rFonts w:ascii="Times New Roman" w:hAnsi="Times New Roman"/>
          <w:color w:val="000000" w:themeColor="text1"/>
          <w:szCs w:val="22"/>
        </w:rPr>
        <w:t>į</w:t>
      </w:r>
      <w:r w:rsidRPr="00650EE4">
        <w:rPr>
          <w:rFonts w:ascii="Times New Roman" w:hAnsi="Times New Roman"/>
          <w:color w:val="000000" w:themeColor="text1"/>
          <w:szCs w:val="22"/>
        </w:rPr>
        <w:t xml:space="preserve"> tiksl</w:t>
      </w:r>
      <w:r w:rsidR="008F3F58">
        <w:rPr>
          <w:rFonts w:ascii="Times New Roman" w:hAnsi="Times New Roman"/>
          <w:color w:val="000000" w:themeColor="text1"/>
          <w:szCs w:val="22"/>
        </w:rPr>
        <w:t>ą</w:t>
      </w:r>
      <w:r w:rsidRPr="00650EE4">
        <w:rPr>
          <w:rFonts w:ascii="Times New Roman" w:hAnsi="Times New Roman"/>
          <w:color w:val="000000" w:themeColor="text1"/>
          <w:szCs w:val="22"/>
        </w:rPr>
        <w:t xml:space="preserve"> planuojama iki 2050 metų pasiekti šiuos rodiklius (lyginant su 2020 m.):</w:t>
      </w:r>
    </w:p>
    <w:p w14:paraId="31DCCF50" w14:textId="45C7783C" w:rsidR="002251AB" w:rsidRPr="00650EE4" w:rsidRDefault="00C937BC" w:rsidP="00BD4925">
      <w:pPr>
        <w:pStyle w:val="ListParagraph"/>
        <w:numPr>
          <w:ilvl w:val="0"/>
          <w:numId w:val="68"/>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sumažinti metinį p</w:t>
      </w:r>
      <w:r w:rsidR="002251AB" w:rsidRPr="00650EE4">
        <w:rPr>
          <w:rFonts w:ascii="Times New Roman" w:hAnsi="Times New Roman"/>
          <w:color w:val="000000" w:themeColor="text1"/>
          <w:szCs w:val="22"/>
          <w:lang w:val="lt-LT"/>
        </w:rPr>
        <w:t>astatų fondo pirminės energijos var</w:t>
      </w:r>
      <w:r>
        <w:rPr>
          <w:rFonts w:ascii="Times New Roman" w:hAnsi="Times New Roman"/>
          <w:color w:val="000000" w:themeColor="text1"/>
          <w:szCs w:val="22"/>
          <w:lang w:val="lt-LT"/>
        </w:rPr>
        <w:t xml:space="preserve">tojimą iki </w:t>
      </w:r>
      <w:r w:rsidR="00F34B3B">
        <w:rPr>
          <w:rFonts w:ascii="Times New Roman" w:hAnsi="Times New Roman"/>
          <w:color w:val="000000" w:themeColor="text1"/>
          <w:szCs w:val="22"/>
        </w:rPr>
        <w:t>16,2</w:t>
      </w:r>
      <w:r w:rsidR="00F34B3B">
        <w:rPr>
          <w:rFonts w:ascii="Times New Roman" w:hAnsi="Times New Roman"/>
          <w:color w:val="000000" w:themeColor="text1"/>
          <w:szCs w:val="22"/>
          <w:lang w:val="lt-LT"/>
        </w:rPr>
        <w:t xml:space="preserve"> </w:t>
      </w:r>
      <w:proofErr w:type="spellStart"/>
      <w:r w:rsidR="00F34B3B">
        <w:rPr>
          <w:rFonts w:ascii="Times New Roman" w:hAnsi="Times New Roman"/>
          <w:color w:val="000000" w:themeColor="text1"/>
          <w:szCs w:val="22"/>
          <w:lang w:val="lt-LT"/>
        </w:rPr>
        <w:t>TWh</w:t>
      </w:r>
      <w:proofErr w:type="spellEnd"/>
      <w:r w:rsidR="00F34B3B">
        <w:rPr>
          <w:rFonts w:ascii="Times New Roman" w:hAnsi="Times New Roman"/>
          <w:color w:val="000000" w:themeColor="text1"/>
          <w:szCs w:val="22"/>
          <w:lang w:val="lt-LT"/>
        </w:rPr>
        <w:t xml:space="preserve"> (~6</w:t>
      </w:r>
      <w:r>
        <w:rPr>
          <w:rFonts w:ascii="Times New Roman" w:hAnsi="Times New Roman"/>
          <w:color w:val="000000" w:themeColor="text1"/>
          <w:szCs w:val="22"/>
          <w:lang w:val="lt-LT"/>
        </w:rPr>
        <w:t>0 proc.);</w:t>
      </w:r>
    </w:p>
    <w:p w14:paraId="7F0A0AB9" w14:textId="6685D6EA" w:rsidR="002251AB" w:rsidRPr="00650EE4" w:rsidRDefault="00C937BC" w:rsidP="00BD4925">
      <w:pPr>
        <w:pStyle w:val="ListParagraph"/>
        <w:numPr>
          <w:ilvl w:val="0"/>
          <w:numId w:val="68"/>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sumažinti metinį p</w:t>
      </w:r>
      <w:r w:rsidR="002251AB" w:rsidRPr="00650EE4">
        <w:rPr>
          <w:rFonts w:ascii="Times New Roman" w:hAnsi="Times New Roman"/>
          <w:color w:val="000000" w:themeColor="text1"/>
          <w:szCs w:val="22"/>
          <w:lang w:val="lt-LT"/>
        </w:rPr>
        <w:t>astatų fondo pirminės energijos iš iškastinio kuro va</w:t>
      </w:r>
      <w:r>
        <w:rPr>
          <w:rFonts w:ascii="Times New Roman" w:hAnsi="Times New Roman"/>
          <w:color w:val="000000" w:themeColor="text1"/>
          <w:szCs w:val="22"/>
          <w:lang w:val="lt-LT"/>
        </w:rPr>
        <w:t xml:space="preserve">rtojimą iki </w:t>
      </w:r>
      <w:r w:rsidR="00F34B3B">
        <w:rPr>
          <w:rFonts w:ascii="Times New Roman" w:hAnsi="Times New Roman"/>
          <w:color w:val="000000" w:themeColor="text1"/>
          <w:szCs w:val="22"/>
          <w:lang w:val="lt-LT"/>
        </w:rPr>
        <w:t xml:space="preserve">0 </w:t>
      </w:r>
      <w:proofErr w:type="spellStart"/>
      <w:r w:rsidR="00F34B3B">
        <w:rPr>
          <w:rFonts w:ascii="Times New Roman" w:hAnsi="Times New Roman"/>
          <w:color w:val="000000" w:themeColor="text1"/>
          <w:szCs w:val="22"/>
          <w:lang w:val="lt-LT"/>
        </w:rPr>
        <w:t>TWh</w:t>
      </w:r>
      <w:proofErr w:type="spellEnd"/>
      <w:r w:rsidR="00F34B3B">
        <w:rPr>
          <w:rFonts w:ascii="Times New Roman" w:hAnsi="Times New Roman"/>
          <w:color w:val="000000" w:themeColor="text1"/>
          <w:szCs w:val="22"/>
          <w:lang w:val="lt-LT"/>
        </w:rPr>
        <w:t xml:space="preserve"> (100</w:t>
      </w:r>
      <w:r>
        <w:rPr>
          <w:rFonts w:ascii="Times New Roman" w:hAnsi="Times New Roman"/>
          <w:color w:val="000000" w:themeColor="text1"/>
          <w:szCs w:val="22"/>
          <w:lang w:val="lt-LT"/>
        </w:rPr>
        <w:t xml:space="preserve"> proc.);</w:t>
      </w:r>
    </w:p>
    <w:p w14:paraId="3F4A532B" w14:textId="5765FEA1" w:rsidR="002251AB" w:rsidRDefault="00C937BC" w:rsidP="00BD4925">
      <w:pPr>
        <w:pStyle w:val="ListParagraph"/>
        <w:numPr>
          <w:ilvl w:val="0"/>
          <w:numId w:val="68"/>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sumažinti metinį p</w:t>
      </w:r>
      <w:r w:rsidR="002251AB" w:rsidRPr="00650EE4">
        <w:rPr>
          <w:rFonts w:ascii="Times New Roman" w:hAnsi="Times New Roman"/>
          <w:color w:val="000000" w:themeColor="text1"/>
          <w:szCs w:val="22"/>
          <w:lang w:val="lt-LT"/>
        </w:rPr>
        <w:t>astatų</w:t>
      </w:r>
      <w:r w:rsidR="00CA2B30">
        <w:rPr>
          <w:rFonts w:ascii="Times New Roman" w:hAnsi="Times New Roman"/>
          <w:color w:val="000000" w:themeColor="text1"/>
          <w:szCs w:val="22"/>
          <w:lang w:val="lt-LT"/>
        </w:rPr>
        <w:t xml:space="preserve"> fondo CO</w:t>
      </w:r>
      <w:r w:rsidR="00CA2B30" w:rsidRPr="00F34B3B">
        <w:rPr>
          <w:rFonts w:ascii="Times New Roman" w:hAnsi="Times New Roman"/>
          <w:color w:val="000000" w:themeColor="text1"/>
          <w:szCs w:val="22"/>
          <w:vertAlign w:val="subscript"/>
          <w:lang w:val="lt-LT"/>
        </w:rPr>
        <w:t>2</w:t>
      </w:r>
      <w:r w:rsidR="00F34B3B">
        <w:rPr>
          <w:rFonts w:ascii="Times New Roman" w:hAnsi="Times New Roman"/>
          <w:color w:val="000000" w:themeColor="text1"/>
          <w:szCs w:val="22"/>
          <w:lang w:val="lt-LT"/>
        </w:rPr>
        <w:t xml:space="preserve"> emisijų kiekį iki 0</w:t>
      </w:r>
      <w:r w:rsidR="002251AB" w:rsidRPr="00650EE4">
        <w:rPr>
          <w:rFonts w:ascii="Times New Roman" w:hAnsi="Times New Roman"/>
          <w:color w:val="000000" w:themeColor="text1"/>
          <w:szCs w:val="22"/>
          <w:lang w:val="lt-LT"/>
        </w:rPr>
        <w:t xml:space="preserve"> mtCO</w:t>
      </w:r>
      <w:r w:rsidR="002251AB" w:rsidRPr="00F34B3B">
        <w:rPr>
          <w:rFonts w:ascii="Times New Roman" w:hAnsi="Times New Roman"/>
          <w:color w:val="000000" w:themeColor="text1"/>
          <w:szCs w:val="22"/>
          <w:vertAlign w:val="subscript"/>
          <w:lang w:val="lt-LT"/>
        </w:rPr>
        <w:t>2</w:t>
      </w:r>
      <w:r w:rsidR="00F34B3B">
        <w:rPr>
          <w:rFonts w:ascii="Times New Roman" w:hAnsi="Times New Roman"/>
          <w:color w:val="000000" w:themeColor="text1"/>
          <w:szCs w:val="22"/>
          <w:lang w:val="lt-LT"/>
        </w:rPr>
        <w:t xml:space="preserve"> (100 </w:t>
      </w:r>
      <w:r w:rsidR="002251AB" w:rsidRPr="00650EE4">
        <w:rPr>
          <w:rFonts w:ascii="Times New Roman" w:hAnsi="Times New Roman"/>
          <w:color w:val="000000" w:themeColor="text1"/>
          <w:szCs w:val="22"/>
          <w:lang w:val="lt-LT"/>
        </w:rPr>
        <w:t>proc.).</w:t>
      </w:r>
    </w:p>
    <w:p w14:paraId="53532AC5" w14:textId="77777777" w:rsidR="008F3F58" w:rsidRPr="00650EE4" w:rsidRDefault="008F3F58" w:rsidP="008F3F58">
      <w:pPr>
        <w:pStyle w:val="ListParagraph"/>
        <w:spacing w:after="60" w:line="240" w:lineRule="auto"/>
        <w:contextualSpacing w:val="0"/>
        <w:jc w:val="both"/>
        <w:rPr>
          <w:rFonts w:ascii="Times New Roman" w:hAnsi="Times New Roman"/>
          <w:color w:val="000000" w:themeColor="text1"/>
          <w:szCs w:val="22"/>
          <w:lang w:val="lt-LT"/>
        </w:rPr>
      </w:pPr>
    </w:p>
    <w:p w14:paraId="4ACB3736" w14:textId="0BB25045" w:rsidR="002251AB" w:rsidRPr="00650EE4" w:rsidRDefault="00C937BC" w:rsidP="003A2A10">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Svarbu pastebėti, kad p</w:t>
      </w:r>
      <w:r w:rsidR="002251AB" w:rsidRPr="00650EE4">
        <w:rPr>
          <w:rFonts w:ascii="Times New Roman" w:hAnsi="Times New Roman"/>
          <w:color w:val="000000" w:themeColor="text1"/>
          <w:szCs w:val="22"/>
        </w:rPr>
        <w:t>astatų fondas, kaip energijos vartotojas yra neatskiriama energetikos sektoriaus dal</w:t>
      </w:r>
      <w:r>
        <w:rPr>
          <w:rFonts w:ascii="Times New Roman" w:hAnsi="Times New Roman"/>
          <w:color w:val="000000" w:themeColor="text1"/>
          <w:szCs w:val="22"/>
        </w:rPr>
        <w:t>is. Aukščiau aprašyti siektini p</w:t>
      </w:r>
      <w:r w:rsidR="002251AB" w:rsidRPr="00650EE4">
        <w:rPr>
          <w:rFonts w:ascii="Times New Roman" w:hAnsi="Times New Roman"/>
          <w:color w:val="000000" w:themeColor="text1"/>
          <w:szCs w:val="22"/>
        </w:rPr>
        <w:t>astatų fondo transformacijos rodikliai nustatyti darant prielaidą, kad energetikos sektorius lygiagrečiai transformuosis, siekdamas atliepti besike</w:t>
      </w:r>
      <w:r>
        <w:rPr>
          <w:rFonts w:ascii="Times New Roman" w:hAnsi="Times New Roman"/>
          <w:color w:val="000000" w:themeColor="text1"/>
          <w:szCs w:val="22"/>
        </w:rPr>
        <w:t>ičiančius vartotojų (p</w:t>
      </w:r>
      <w:r w:rsidR="002251AB" w:rsidRPr="00650EE4">
        <w:rPr>
          <w:rFonts w:ascii="Times New Roman" w:hAnsi="Times New Roman"/>
          <w:color w:val="000000" w:themeColor="text1"/>
          <w:szCs w:val="22"/>
        </w:rPr>
        <w:t xml:space="preserve">astatų fondo) poreikius. </w:t>
      </w:r>
    </w:p>
    <w:p w14:paraId="5A9FF408" w14:textId="77C378E7" w:rsidR="002251AB" w:rsidRPr="00650EE4" w:rsidRDefault="002251AB" w:rsidP="003A2A1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Paveiksle žemiau patei</w:t>
      </w:r>
      <w:r w:rsidR="00C937BC">
        <w:rPr>
          <w:rFonts w:ascii="Times New Roman" w:hAnsi="Times New Roman"/>
          <w:color w:val="000000" w:themeColor="text1"/>
          <w:szCs w:val="22"/>
        </w:rPr>
        <w:t>kiami duomenys iliustruojantys p</w:t>
      </w:r>
      <w:r w:rsidRPr="00650EE4">
        <w:rPr>
          <w:rFonts w:ascii="Times New Roman" w:hAnsi="Times New Roman"/>
          <w:color w:val="000000" w:themeColor="text1"/>
          <w:szCs w:val="22"/>
        </w:rPr>
        <w:t>astatų fondo transformacijos priklausomybę nuo energetikos sektoriaus transformacijos:</w:t>
      </w:r>
    </w:p>
    <w:p w14:paraId="3EDCC73C" w14:textId="77777777" w:rsidR="00F34B3B" w:rsidRDefault="00C937BC" w:rsidP="00BD4925">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2251AB" w:rsidRPr="00650EE4">
        <w:rPr>
          <w:rFonts w:ascii="Times New Roman" w:hAnsi="Times New Roman"/>
          <w:color w:val="000000" w:themeColor="text1"/>
          <w:szCs w:val="22"/>
          <w:lang w:val="lt-LT"/>
        </w:rPr>
        <w:t>tulpelyje „2050“ patiekiamos rodiklių reikšmės, kurios galė</w:t>
      </w:r>
      <w:r>
        <w:rPr>
          <w:rFonts w:ascii="Times New Roman" w:hAnsi="Times New Roman"/>
          <w:color w:val="000000" w:themeColor="text1"/>
          <w:szCs w:val="22"/>
          <w:lang w:val="lt-LT"/>
        </w:rPr>
        <w:t>tų būti pasiektos atliktus tik p</w:t>
      </w:r>
      <w:r w:rsidR="002251AB" w:rsidRPr="00650EE4">
        <w:rPr>
          <w:rFonts w:ascii="Times New Roman" w:hAnsi="Times New Roman"/>
          <w:color w:val="000000" w:themeColor="text1"/>
          <w:szCs w:val="22"/>
          <w:lang w:val="lt-LT"/>
        </w:rPr>
        <w:t>astatų fondo transformaciją t.y. nustatyta apimtimi įgyvendinus renovacijos priemones didinančias pastatų energetinį naudingumą ir pakeitus</w:t>
      </w:r>
      <w:r w:rsidR="00F34B3B">
        <w:rPr>
          <w:rFonts w:ascii="Times New Roman" w:hAnsi="Times New Roman"/>
          <w:color w:val="000000" w:themeColor="text1"/>
          <w:szCs w:val="22"/>
          <w:lang w:val="lt-LT"/>
        </w:rPr>
        <w:t xml:space="preserve"> ne AEI naudojančius</w:t>
      </w:r>
      <w:r w:rsidR="002251AB" w:rsidRPr="00650EE4">
        <w:rPr>
          <w:rFonts w:ascii="Times New Roman" w:hAnsi="Times New Roman"/>
          <w:color w:val="000000" w:themeColor="text1"/>
          <w:szCs w:val="22"/>
          <w:lang w:val="lt-LT"/>
        </w:rPr>
        <w:t xml:space="preserve"> </w:t>
      </w:r>
      <w:r w:rsidR="00F34B3B">
        <w:rPr>
          <w:rFonts w:ascii="Times New Roman" w:hAnsi="Times New Roman"/>
          <w:color w:val="000000" w:themeColor="text1"/>
          <w:szCs w:val="22"/>
          <w:lang w:val="lt-LT"/>
        </w:rPr>
        <w:t>individualius gamybos šaltinius</w:t>
      </w:r>
      <w:r w:rsidR="002251AB" w:rsidRPr="00650EE4">
        <w:rPr>
          <w:rFonts w:ascii="Times New Roman" w:hAnsi="Times New Roman"/>
          <w:color w:val="000000" w:themeColor="text1"/>
          <w:szCs w:val="22"/>
          <w:lang w:val="lt-LT"/>
        </w:rPr>
        <w:t xml:space="preserve"> </w:t>
      </w:r>
      <w:r w:rsidR="00F34B3B">
        <w:rPr>
          <w:rFonts w:ascii="Times New Roman" w:hAnsi="Times New Roman"/>
          <w:color w:val="000000" w:themeColor="text1"/>
          <w:szCs w:val="22"/>
          <w:lang w:val="lt-LT"/>
        </w:rPr>
        <w:t>į AEI;</w:t>
      </w:r>
    </w:p>
    <w:p w14:paraId="19A45A6B" w14:textId="78152279" w:rsidR="002251AB" w:rsidRPr="00650EE4" w:rsidRDefault="00F34B3B" w:rsidP="00F34B3B">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F34B3B">
        <w:rPr>
          <w:rFonts w:ascii="Times New Roman" w:hAnsi="Times New Roman"/>
          <w:color w:val="000000" w:themeColor="text1"/>
          <w:szCs w:val="22"/>
          <w:lang w:val="lt-LT"/>
        </w:rPr>
        <w:t>tulpelyje „2050 +“ pateikiamos IRS nustatytos siektinos rodiklių reikšmės, kurios galėtų būti pasiektos atliktus tiek Pastatų fondo (energijos vartojimo), tiek energetikos sektoriaus (energijos gamybos) transformaciją</w:t>
      </w:r>
      <w:r w:rsidR="002251AB" w:rsidRPr="00650EE4">
        <w:rPr>
          <w:rFonts w:ascii="Times New Roman" w:hAnsi="Times New Roman"/>
          <w:color w:val="000000" w:themeColor="text1"/>
          <w:szCs w:val="22"/>
          <w:lang w:val="lt-LT"/>
        </w:rPr>
        <w:t xml:space="preserve"> </w:t>
      </w:r>
    </w:p>
    <w:p w14:paraId="512D6907" w14:textId="56F25FED" w:rsidR="002251AB" w:rsidRDefault="002251AB" w:rsidP="00631BA6">
      <w:pPr>
        <w:pStyle w:val="TESlentelspavadinimas"/>
        <w:rPr>
          <w:noProof w:val="0"/>
        </w:rPr>
      </w:pPr>
      <w:r w:rsidRPr="00650EE4">
        <w:rPr>
          <w:noProof w:val="0"/>
        </w:rPr>
        <w:t>Pastatų fondo transformacijos rodikliai</w:t>
      </w:r>
    </w:p>
    <w:p w14:paraId="5DD86AD9" w14:textId="7A67373D" w:rsidR="00F34B3B" w:rsidRPr="00650EE4" w:rsidRDefault="00F34B3B" w:rsidP="00631BA6">
      <w:pPr>
        <w:pStyle w:val="TESlentelspavadinimas"/>
        <w:rPr>
          <w:noProof w:val="0"/>
        </w:rPr>
      </w:pPr>
      <w:r>
        <w:rPr>
          <w:lang w:eastAsia="lt-LT"/>
        </w:rPr>
        <w:drawing>
          <wp:inline distT="0" distB="0" distL="0" distR="0" wp14:anchorId="2BE41FED" wp14:editId="38539AD2">
            <wp:extent cx="6480810" cy="1511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1511935"/>
                    </a:xfrm>
                    <a:prstGeom prst="rect">
                      <a:avLst/>
                    </a:prstGeom>
                    <a:noFill/>
                  </pic:spPr>
                </pic:pic>
              </a:graphicData>
            </a:graphic>
          </wp:inline>
        </w:drawing>
      </w:r>
    </w:p>
    <w:p w14:paraId="01963F91" w14:textId="77777777" w:rsidR="0099275B" w:rsidRDefault="0099275B" w:rsidP="00B1525D">
      <w:pPr>
        <w:spacing w:after="120"/>
        <w:jc w:val="both"/>
        <w:rPr>
          <w:rFonts w:ascii="Times New Roman" w:hAnsi="Times New Roman"/>
          <w:i/>
          <w:iCs/>
          <w:color w:val="auto"/>
          <w:sz w:val="20"/>
          <w:szCs w:val="20"/>
        </w:rPr>
      </w:pPr>
    </w:p>
    <w:p w14:paraId="59F71501" w14:textId="0C522476" w:rsidR="00905EBE" w:rsidRPr="00650EE4" w:rsidRDefault="008C1E7D" w:rsidP="00B1525D">
      <w:pPr>
        <w:spacing w:after="120"/>
        <w:jc w:val="both"/>
        <w:rPr>
          <w:rFonts w:ascii="Times New Roman" w:hAnsi="Times New Roman"/>
          <w:color w:val="000000" w:themeColor="text1"/>
          <w:szCs w:val="22"/>
        </w:rPr>
      </w:pPr>
      <w:r>
        <w:rPr>
          <w:rFonts w:ascii="Times New Roman" w:hAnsi="Times New Roman"/>
          <w:bCs/>
          <w:color w:val="000000" w:themeColor="text1"/>
        </w:rPr>
        <w:t>IRS įgyvendinimo</w:t>
      </w:r>
      <w:r w:rsidR="00905EBE" w:rsidRPr="00650EE4">
        <w:rPr>
          <w:rFonts w:ascii="Times New Roman" w:hAnsi="Times New Roman"/>
          <w:bCs/>
          <w:color w:val="000000" w:themeColor="text1"/>
        </w:rPr>
        <w:t xml:space="preserve"> orientaciniai 2030 m., 2040 m. ir 2050 m. </w:t>
      </w:r>
      <w:r w:rsidR="008F3F58" w:rsidRPr="00650EE4">
        <w:rPr>
          <w:rFonts w:ascii="Times New Roman" w:hAnsi="Times New Roman"/>
          <w:bCs/>
          <w:color w:val="000000" w:themeColor="text1"/>
        </w:rPr>
        <w:t xml:space="preserve">rodikliai </w:t>
      </w:r>
      <w:r w:rsidR="00905EBE" w:rsidRPr="00650EE4">
        <w:rPr>
          <w:rFonts w:ascii="Times New Roman" w:hAnsi="Times New Roman"/>
          <w:bCs/>
          <w:color w:val="000000" w:themeColor="text1"/>
        </w:rPr>
        <w:t xml:space="preserve">pateikiami lentelėje žemiau. </w:t>
      </w:r>
    </w:p>
    <w:p w14:paraId="14E69E39" w14:textId="14E88E8F" w:rsidR="00905EBE" w:rsidRDefault="00905EBE" w:rsidP="00631BA6">
      <w:pPr>
        <w:pStyle w:val="TESlentelspavadinimas"/>
        <w:rPr>
          <w:noProof w:val="0"/>
        </w:rPr>
      </w:pPr>
      <w:r w:rsidRPr="00650EE4">
        <w:rPr>
          <w:noProof w:val="0"/>
        </w:rPr>
        <w:t xml:space="preserve">Renovacijos strategijos siekiami rodikliai </w:t>
      </w: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913"/>
        <w:gridCol w:w="956"/>
        <w:gridCol w:w="966"/>
        <w:gridCol w:w="1066"/>
        <w:gridCol w:w="1066"/>
      </w:tblGrid>
      <w:tr w:rsidR="00F34B3B" w:rsidRPr="00650EE4" w14:paraId="13ED7968"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65D8CA51" w14:textId="77777777" w:rsidR="00F34B3B" w:rsidRPr="00F21702" w:rsidRDefault="00F34B3B" w:rsidP="00F34B3B">
            <w:pPr>
              <w:spacing w:line="240" w:lineRule="auto"/>
              <w:rPr>
                <w:rFonts w:ascii="Times New Roman" w:eastAsia="Times New Roman" w:hAnsi="Times New Roman"/>
                <w:b/>
                <w:sz w:val="20"/>
                <w:szCs w:val="20"/>
                <w:lang w:eastAsia="lt-LT"/>
              </w:rPr>
            </w:pPr>
            <w:r w:rsidRPr="00F21702">
              <w:rPr>
                <w:rFonts w:ascii="Times New Roman" w:eastAsia="Times New Roman" w:hAnsi="Times New Roman"/>
                <w:b/>
                <w:sz w:val="20"/>
                <w:szCs w:val="20"/>
                <w:lang w:eastAsia="lt-LT"/>
              </w:rPr>
              <w:t>Rodiklis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8D66AE1" w14:textId="77777777" w:rsidR="00F34B3B" w:rsidRPr="000A28D9" w:rsidRDefault="00F34B3B" w:rsidP="00F34B3B">
            <w:pPr>
              <w:spacing w:line="240" w:lineRule="auto"/>
              <w:ind w:right="-62"/>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Mato vnt.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4CF1154"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6D8AA50"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10AC75B"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58ED77C"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2050</w:t>
            </w:r>
          </w:p>
        </w:tc>
      </w:tr>
      <w:tr w:rsidR="00F34B3B" w:rsidRPr="00E77B50" w14:paraId="1500EEF2"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8573797"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 Metinis pirminės energijos vartojimas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4FC6728" w14:textId="77777777" w:rsidR="00F34B3B" w:rsidRPr="00E77B50" w:rsidRDefault="00F34B3B" w:rsidP="00F34B3B">
            <w:pPr>
              <w:spacing w:line="240" w:lineRule="auto"/>
              <w:ind w:right="-62"/>
              <w:rPr>
                <w:rFonts w:ascii="Times New Roman" w:eastAsia="Times New Roman" w:hAnsi="Times New Roman"/>
                <w:sz w:val="20"/>
                <w:szCs w:val="20"/>
                <w:lang w:eastAsia="lt-LT"/>
              </w:rPr>
            </w:pPr>
            <w:proofErr w:type="spellStart"/>
            <w:r w:rsidRPr="00E77B50">
              <w:rPr>
                <w:rFonts w:ascii="Times New Roman" w:eastAsia="Times New Roman" w:hAnsi="Times New Roman"/>
                <w:sz w:val="20"/>
                <w:szCs w:val="20"/>
                <w:lang w:eastAsia="lt-LT"/>
              </w:rPr>
              <w:t>GWh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20E586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40.827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B6320D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34.759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4EFD0B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25.888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F27CD6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16.162</w:t>
            </w:r>
          </w:p>
        </w:tc>
      </w:tr>
      <w:tr w:rsidR="00F34B3B" w:rsidRPr="00E77B50" w14:paraId="57972F3C"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FDB88A9"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R2. Metinis pirminės energijos vartojimas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416B7EE"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69AD49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CDA885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6AE13A7"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F34CC8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w:t>
            </w:r>
          </w:p>
        </w:tc>
      </w:tr>
      <w:tr w:rsidR="00F34B3B" w:rsidRPr="00E77B50" w14:paraId="5C28D1CA"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DFBE2B1"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R3. Metinis pirminės energijos (ne AEI) vartojimas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3348E99" w14:textId="77777777" w:rsidR="00F34B3B" w:rsidRPr="00E77B50" w:rsidRDefault="00F34B3B" w:rsidP="00F34B3B">
            <w:pPr>
              <w:spacing w:line="240" w:lineRule="auto"/>
              <w:ind w:right="-62"/>
              <w:rPr>
                <w:rFonts w:ascii="Times New Roman" w:eastAsia="Times New Roman" w:hAnsi="Times New Roman"/>
                <w:sz w:val="20"/>
                <w:szCs w:val="20"/>
                <w:lang w:eastAsia="lt-LT"/>
              </w:rPr>
            </w:pPr>
            <w:proofErr w:type="spellStart"/>
            <w:r w:rsidRPr="00E77B50">
              <w:rPr>
                <w:rFonts w:ascii="Times New Roman" w:eastAsia="Times New Roman" w:hAnsi="Times New Roman"/>
                <w:sz w:val="20"/>
                <w:szCs w:val="20"/>
                <w:lang w:eastAsia="lt-LT"/>
              </w:rPr>
              <w:t>GWh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4F4572"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26.407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27F34B"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19.865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5AD45A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10.369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3562DD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27</w:t>
            </w:r>
          </w:p>
        </w:tc>
      </w:tr>
      <w:tr w:rsidR="00F34B3B" w:rsidRPr="00E77B50" w14:paraId="1B2DF270"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25051FEE"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R4. Metinis pirminės energijos (ne AEI) energijos vartojimas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0A6B65E"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AF03E0"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34660B"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C3B7A4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0CEDE2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r>
      <w:tr w:rsidR="00F34B3B" w:rsidRPr="00E77B50" w14:paraId="1FA5B7E9"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4CBA6BDC"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R5. CO2 emisijos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C8AC9B"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ktCO</w:t>
            </w:r>
            <w:r w:rsidRPr="00FF449F">
              <w:rPr>
                <w:rFonts w:ascii="Times New Roman" w:eastAsia="Times New Roman" w:hAnsi="Times New Roman"/>
                <w:sz w:val="20"/>
                <w:szCs w:val="20"/>
                <w:vertAlign w:val="subscript"/>
                <w:lang w:eastAsia="lt-LT"/>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B9271B9"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5.287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C21C7F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4.003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701D919"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CF28A0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22</w:t>
            </w:r>
          </w:p>
        </w:tc>
      </w:tr>
      <w:tr w:rsidR="00F34B3B" w:rsidRPr="00E77B50" w14:paraId="2A61A41C"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38D342C"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R6. CO2 emisijos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B173D3F"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5957BB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B90A67"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FD0FE3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FB553E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r>
      <w:tr w:rsidR="00F34B3B" w:rsidRPr="00E77B50" w14:paraId="540FFC79"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7EE1870E"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R7. Neefektyvių (≤D klasės) pastatų plotas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D072FD4" w14:textId="006A1437" w:rsidR="00F34B3B" w:rsidRPr="00E77B50" w:rsidRDefault="000B393D" w:rsidP="00F34B3B">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00F34B3B" w:rsidRPr="00E77B50">
              <w:rPr>
                <w:rFonts w:ascii="Times New Roman" w:eastAsia="Times New Roman" w:hAnsi="Times New Roman"/>
                <w:sz w:val="20"/>
                <w:szCs w:val="20"/>
                <w:lang w:eastAsia="lt-LT"/>
              </w:rPr>
              <w:t>m</w:t>
            </w:r>
            <w:r w:rsidR="00F34B3B" w:rsidRPr="000B393D">
              <w:rPr>
                <w:rFonts w:ascii="Times New Roman" w:eastAsia="Times New Roman" w:hAnsi="Times New Roman"/>
                <w:sz w:val="20"/>
                <w:szCs w:val="20"/>
                <w:vertAlign w:val="superscript"/>
                <w:lang w:eastAsia="lt-LT"/>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7C2A8B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108.924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1CF4002"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85.887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6D76A2A"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54.043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110942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19.981</w:t>
            </w:r>
          </w:p>
        </w:tc>
      </w:tr>
      <w:tr w:rsidR="00F34B3B" w:rsidRPr="00E77B50" w14:paraId="1162D84D"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4558E2B"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R8. Neefektyvių (≤D klasės) pastatų vartojimas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13BC3C9" w14:textId="77777777" w:rsidR="00F34B3B" w:rsidRPr="00E77B50" w:rsidRDefault="00F34B3B" w:rsidP="00F34B3B">
            <w:pPr>
              <w:spacing w:line="240" w:lineRule="auto"/>
              <w:ind w:right="-62"/>
              <w:rPr>
                <w:rFonts w:ascii="Times New Roman" w:eastAsia="Times New Roman" w:hAnsi="Times New Roman"/>
                <w:sz w:val="20"/>
                <w:szCs w:val="20"/>
                <w:lang w:eastAsia="lt-LT"/>
              </w:rPr>
            </w:pPr>
            <w:proofErr w:type="spellStart"/>
            <w:r w:rsidRPr="00E77B50">
              <w:rPr>
                <w:rFonts w:ascii="Times New Roman" w:eastAsia="Times New Roman" w:hAnsi="Times New Roman"/>
                <w:sz w:val="20"/>
                <w:szCs w:val="20"/>
                <w:lang w:eastAsia="lt-LT"/>
              </w:rPr>
              <w:t>GWh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CD2F0C0"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31.601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36AE3D2"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24.208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6B2C29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14.306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2E0B3E9"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3.717</w:t>
            </w:r>
          </w:p>
        </w:tc>
      </w:tr>
      <w:tr w:rsidR="00F34B3B" w:rsidRPr="00E77B50" w14:paraId="014EA46F"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810AF9B"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R9. Neefektyvių (≤D klasės) pastatų vartojimas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32D9889"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741A7B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CCB2F0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9D817C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1601C4"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12%</w:t>
            </w:r>
          </w:p>
        </w:tc>
      </w:tr>
      <w:tr w:rsidR="00F34B3B" w:rsidRPr="00E77B50" w14:paraId="40124A00"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4106DCD6"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R10. Renovuotų pastatų skaičius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F52E585"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vnt.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3BF435" w14:textId="1DAF9732" w:rsidR="00F34B3B" w:rsidRPr="00E77B50" w:rsidRDefault="00B21707" w:rsidP="00F34B3B">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58.774*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9148DBE" w14:textId="2F486846"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99.281</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48E687F" w14:textId="60DD657D"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255.421</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4BAC00" w14:textId="16233CBA"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436.008</w:t>
            </w:r>
            <w:r w:rsidR="00B21707">
              <w:rPr>
                <w:rFonts w:ascii="Times New Roman" w:eastAsia="Times New Roman" w:hAnsi="Times New Roman"/>
                <w:sz w:val="20"/>
                <w:szCs w:val="20"/>
                <w:lang w:eastAsia="lt-LT"/>
              </w:rPr>
              <w:t>**</w:t>
            </w:r>
          </w:p>
        </w:tc>
      </w:tr>
      <w:tr w:rsidR="00F34B3B" w:rsidRPr="00E77B50" w14:paraId="4AC1D731"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8ADBF37"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R11. Renovuotų pastatų dalis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C8D52F5"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4B460C3" w14:textId="447A594D" w:rsidR="00F34B3B" w:rsidRPr="00E77B50" w:rsidRDefault="00B21707" w:rsidP="00B21707">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8</w:t>
            </w:r>
            <w:r w:rsidRPr="00E77B50">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6F0F7ED" w14:textId="07D5153B"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17%</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56405D4" w14:textId="149C3D12"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43%</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94081D6" w14:textId="48DF9DB3"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74%</w:t>
            </w:r>
            <w:r w:rsidR="00B21707">
              <w:rPr>
                <w:rFonts w:ascii="Times New Roman" w:eastAsia="Times New Roman" w:hAnsi="Times New Roman"/>
                <w:sz w:val="20"/>
                <w:szCs w:val="20"/>
                <w:lang w:eastAsia="lt-LT"/>
              </w:rPr>
              <w:t>**</w:t>
            </w:r>
          </w:p>
        </w:tc>
      </w:tr>
      <w:tr w:rsidR="00F34B3B" w:rsidRPr="00E77B50" w14:paraId="209E9EED"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9695496"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R12. Renovuotų pastatų plotas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8DEB38B" w14:textId="2E4D4E4A" w:rsidR="00F34B3B" w:rsidRPr="00E77B50" w:rsidRDefault="000B393D" w:rsidP="00F34B3B">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00F34B3B" w:rsidRPr="00E77B50">
              <w:rPr>
                <w:rFonts w:ascii="Times New Roman" w:eastAsia="Times New Roman" w:hAnsi="Times New Roman"/>
                <w:sz w:val="20"/>
                <w:szCs w:val="20"/>
                <w:lang w:eastAsia="lt-LT"/>
              </w:rPr>
              <w:t>m</w:t>
            </w:r>
            <w:r w:rsidR="00F34B3B" w:rsidRPr="000B393D">
              <w:rPr>
                <w:rFonts w:ascii="Times New Roman" w:eastAsia="Times New Roman" w:hAnsi="Times New Roman"/>
                <w:sz w:val="20"/>
                <w:szCs w:val="20"/>
                <w:vertAlign w:val="superscript"/>
                <w:lang w:eastAsia="lt-LT"/>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29AA60E" w14:textId="24C0B43E" w:rsidR="00F34B3B" w:rsidRPr="00E77B50" w:rsidRDefault="00B21707" w:rsidP="00F34B3B">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29.471*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1E1104D" w14:textId="45B1C4C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27.819</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3B09B5" w14:textId="4FD6DD95"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67.233</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DF023EB" w14:textId="00FF8E6D"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109.534</w:t>
            </w:r>
            <w:r w:rsidR="00B21707">
              <w:rPr>
                <w:rFonts w:ascii="Times New Roman" w:eastAsia="Times New Roman" w:hAnsi="Times New Roman"/>
                <w:sz w:val="20"/>
                <w:szCs w:val="20"/>
                <w:lang w:eastAsia="lt-LT"/>
              </w:rPr>
              <w:t>**</w:t>
            </w:r>
          </w:p>
        </w:tc>
      </w:tr>
      <w:tr w:rsidR="00F34B3B" w:rsidRPr="00E77B50" w14:paraId="323E3A23"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043B88D"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R13. Renovuotų pastatų plotas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10BB384"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8F2B4EE" w14:textId="0FCF7D20" w:rsidR="00F34B3B" w:rsidRPr="00E77B50" w:rsidRDefault="00B21707" w:rsidP="00F34B3B">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15</w:t>
            </w:r>
            <w:r w:rsidR="00F34B3B" w:rsidRPr="00E77B50">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213FEDB" w14:textId="67079149"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17%</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424DCB8" w14:textId="285D8560"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41%</w:t>
            </w:r>
            <w:r w:rsidR="00B21707">
              <w:rPr>
                <w:rFonts w:ascii="Times New Roman" w:eastAsia="Times New Roman" w:hAnsi="Times New Roman"/>
                <w:sz w:val="20"/>
                <w:szCs w:val="20"/>
                <w:lang w:eastAsia="lt-LT"/>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5344B6C" w14:textId="26D26960"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66%</w:t>
            </w:r>
            <w:r w:rsidR="00B21707">
              <w:rPr>
                <w:rFonts w:ascii="Times New Roman" w:eastAsia="Times New Roman" w:hAnsi="Times New Roman"/>
                <w:sz w:val="20"/>
                <w:szCs w:val="20"/>
                <w:lang w:eastAsia="lt-LT"/>
              </w:rPr>
              <w:t>**</w:t>
            </w:r>
          </w:p>
        </w:tc>
      </w:tr>
    </w:tbl>
    <w:p w14:paraId="680DBA26" w14:textId="77777777" w:rsidR="00B21707" w:rsidRDefault="00B21707" w:rsidP="00631BA6">
      <w:pPr>
        <w:pStyle w:val="TESlentelspavadinimas"/>
        <w:rPr>
          <w:noProof w:val="0"/>
        </w:rPr>
      </w:pPr>
    </w:p>
    <w:p w14:paraId="77AFD6DF" w14:textId="77777777" w:rsidR="005E392B" w:rsidRPr="00B21707" w:rsidRDefault="005E392B" w:rsidP="005E392B">
      <w:pPr>
        <w:pStyle w:val="TESlentelspavadinimas"/>
        <w:rPr>
          <w:noProof w:val="0"/>
        </w:rPr>
      </w:pPr>
      <w:r w:rsidRPr="00B21707">
        <w:rPr>
          <w:noProof w:val="0"/>
        </w:rPr>
        <w:t>*Nauji ir renovuoti B ir aukštesnės energinio naudingumo klasės pastatai</w:t>
      </w:r>
      <w:r>
        <w:rPr>
          <w:noProof w:val="0"/>
        </w:rPr>
        <w:t xml:space="preserve"> </w:t>
      </w:r>
      <w:r w:rsidRPr="00B21707">
        <w:rPr>
          <w:noProof w:val="0"/>
        </w:rPr>
        <w:t>iki 2020 m..</w:t>
      </w:r>
    </w:p>
    <w:p w14:paraId="71AB389D" w14:textId="54977691" w:rsidR="00B21707" w:rsidRPr="00B21707" w:rsidRDefault="00B21707" w:rsidP="00631BA6">
      <w:pPr>
        <w:pStyle w:val="TESlentelspavadinimas"/>
        <w:rPr>
          <w:noProof w:val="0"/>
        </w:rPr>
      </w:pPr>
      <w:r w:rsidRPr="00B21707">
        <w:rPr>
          <w:noProof w:val="0"/>
        </w:rPr>
        <w:t>**</w:t>
      </w:r>
      <w:r w:rsidR="00585FCE">
        <w:rPr>
          <w:noProof w:val="0"/>
        </w:rPr>
        <w:t>Renovuotini pastatai nuo 2021</w:t>
      </w:r>
      <w:r w:rsidRPr="00B21707">
        <w:rPr>
          <w:noProof w:val="0"/>
        </w:rPr>
        <w:t xml:space="preserve"> m. </w:t>
      </w:r>
      <w:r w:rsidR="00585FCE">
        <w:rPr>
          <w:noProof w:val="0"/>
        </w:rPr>
        <w:t>su tarpiniais rodikliais 2030 m., 2040 m. ir 2050 m.</w:t>
      </w:r>
    </w:p>
    <w:p w14:paraId="78BEAAB6" w14:textId="77777777" w:rsidR="00B21707" w:rsidRPr="00B21707" w:rsidRDefault="00B21707" w:rsidP="00631BA6">
      <w:pPr>
        <w:pStyle w:val="TESlentelspavadinimas"/>
        <w:rPr>
          <w:noProof w:val="0"/>
        </w:rPr>
      </w:pPr>
    </w:p>
    <w:p w14:paraId="68B8E3BA" w14:textId="39A9A999" w:rsidR="00C85B01" w:rsidRPr="00650EE4" w:rsidRDefault="00C85B01" w:rsidP="003243BF">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Norint pasiekti pastatų fondo transformacijai reikalingus renovacijos tempus reikalingas „įsibėgėjimo“ periodas per kurį būtų suformuoti paramos priemonių paketai, atlikti reikalingi teisės aktų pakeitimai, statybų bei finansų sektoriai galėtų adaptuoti savo resursus, procesus ir pan.</w:t>
      </w:r>
      <w:r w:rsidR="00F12FB0" w:rsidRPr="00650EE4">
        <w:rPr>
          <w:rFonts w:ascii="Times New Roman" w:hAnsi="Times New Roman"/>
          <w:color w:val="000000" w:themeColor="text1"/>
          <w:szCs w:val="22"/>
        </w:rPr>
        <w:t xml:space="preserve"> </w:t>
      </w:r>
      <w:r w:rsidR="004C5495">
        <w:rPr>
          <w:rFonts w:ascii="Times New Roman" w:hAnsi="Times New Roman"/>
          <w:color w:val="000000" w:themeColor="text1"/>
          <w:szCs w:val="22"/>
        </w:rPr>
        <w:t>l</w:t>
      </w:r>
      <w:r w:rsidR="00F12FB0" w:rsidRPr="00650EE4">
        <w:rPr>
          <w:rFonts w:ascii="Times New Roman" w:hAnsi="Times New Roman"/>
          <w:color w:val="000000" w:themeColor="text1"/>
          <w:szCs w:val="22"/>
        </w:rPr>
        <w:t>entelėje žemiau pateikiamas planuojamo</w:t>
      </w:r>
      <w:r w:rsidR="007F6E29" w:rsidRPr="00650EE4">
        <w:rPr>
          <w:rFonts w:ascii="Times New Roman" w:hAnsi="Times New Roman"/>
          <w:color w:val="000000" w:themeColor="text1"/>
          <w:szCs w:val="22"/>
        </w:rPr>
        <w:t xml:space="preserve"> per metus</w:t>
      </w:r>
      <w:r w:rsidR="00F12FB0" w:rsidRPr="00650EE4">
        <w:rPr>
          <w:rFonts w:ascii="Times New Roman" w:hAnsi="Times New Roman"/>
          <w:color w:val="000000" w:themeColor="text1"/>
          <w:szCs w:val="22"/>
        </w:rPr>
        <w:t xml:space="preserve"> renovuoti pastatų skaičiaus didėjamas atspindi tiek „įsibėgėjimo“ periodą tiek prioritetą</w:t>
      </w:r>
      <w:r w:rsidR="000B393D">
        <w:rPr>
          <w:rFonts w:ascii="Times New Roman" w:hAnsi="Times New Roman"/>
          <w:color w:val="000000" w:themeColor="text1"/>
          <w:szCs w:val="22"/>
        </w:rPr>
        <w:t xml:space="preserve"> skiriamą</w:t>
      </w:r>
      <w:r w:rsidR="00F12FB0" w:rsidRPr="00650EE4">
        <w:rPr>
          <w:rFonts w:ascii="Times New Roman" w:hAnsi="Times New Roman"/>
          <w:color w:val="000000" w:themeColor="text1"/>
          <w:szCs w:val="22"/>
        </w:rPr>
        <w:t xml:space="preserve"> didesnio ploto pastatams (daugiabučiams) IRS įgyvendinimo laikotarp</w:t>
      </w:r>
      <w:r w:rsidR="007F6E29" w:rsidRPr="00650EE4">
        <w:rPr>
          <w:rFonts w:ascii="Times New Roman" w:hAnsi="Times New Roman"/>
          <w:color w:val="000000" w:themeColor="text1"/>
          <w:szCs w:val="22"/>
        </w:rPr>
        <w:t xml:space="preserve">io pradžioje. </w:t>
      </w:r>
    </w:p>
    <w:p w14:paraId="18053F79" w14:textId="2EBC5EB4" w:rsidR="00C85B01" w:rsidRPr="00650EE4" w:rsidRDefault="00C85B01" w:rsidP="00631BA6">
      <w:pPr>
        <w:pStyle w:val="TESlentelspavadinimas"/>
        <w:rPr>
          <w:noProof w:val="0"/>
        </w:rPr>
      </w:pPr>
      <w:r w:rsidRPr="00650EE4">
        <w:rPr>
          <w:noProof w:val="0"/>
        </w:rPr>
        <w:t xml:space="preserve">Renovacijos tempai –  renovuojamų pastatų skaičius per metus </w:t>
      </w:r>
    </w:p>
    <w:tbl>
      <w:tblPr>
        <w:tblW w:w="5000" w:type="pct"/>
        <w:tblLook w:val="04A0" w:firstRow="1" w:lastRow="0" w:firstColumn="1" w:lastColumn="0" w:noHBand="0" w:noVBand="1"/>
      </w:tblPr>
      <w:tblGrid>
        <w:gridCol w:w="3229"/>
        <w:gridCol w:w="1627"/>
        <w:gridCol w:w="1391"/>
        <w:gridCol w:w="1391"/>
        <w:gridCol w:w="1391"/>
        <w:gridCol w:w="1391"/>
      </w:tblGrid>
      <w:tr w:rsidR="000B393D" w:rsidRPr="00650EE4" w14:paraId="5D77C4FB"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B5772" w14:textId="77777777" w:rsidR="000B393D" w:rsidRPr="00650EE4" w:rsidRDefault="000B393D" w:rsidP="003E0C4E">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0D466192" w14:textId="77777777" w:rsidR="000B393D" w:rsidRPr="00650EE4" w:rsidRDefault="000B393D" w:rsidP="003E0C4E">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6019D782"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A6D7C47"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54598C5"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4A028366"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2041-2050</w:t>
            </w:r>
          </w:p>
        </w:tc>
      </w:tr>
      <w:tr w:rsidR="000B393D" w:rsidRPr="006534C2" w14:paraId="7BB010CF"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CC4B9"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08A3CA7F"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E9C2316"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760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6FAB845"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1.086</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B7BE82A"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1.083</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4B865678"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934</w:t>
            </w:r>
          </w:p>
        </w:tc>
      </w:tr>
      <w:tr w:rsidR="000B393D" w:rsidRPr="006534C2" w14:paraId="5922A51C"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1BF86"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089D47EE"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4DD3D8B"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6.500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68ECD4C"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8.485</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F66A13F"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12.702</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F44B00D"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14.935</w:t>
            </w:r>
          </w:p>
        </w:tc>
      </w:tr>
      <w:tr w:rsidR="000B393D" w:rsidRPr="006534C2" w14:paraId="73CFA849"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4FA77"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22A97229"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98D5AF2"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308</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EE6DDC4"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428</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9D6789B"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682</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3DD81F6"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816</w:t>
            </w:r>
          </w:p>
        </w:tc>
      </w:tr>
      <w:tr w:rsidR="000B393D" w:rsidRPr="006534C2" w14:paraId="06020439"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7E445"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127CE630"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C977EFA"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518</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AEF235C"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719</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32C5D30"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1.147</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7FFA8F8"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1.373</w:t>
            </w:r>
          </w:p>
        </w:tc>
      </w:tr>
      <w:tr w:rsidR="000B393D" w:rsidRPr="006534C2" w14:paraId="22500FA9"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8A5D3" w14:textId="77777777" w:rsidR="000B393D" w:rsidRPr="006534C2" w:rsidRDefault="000B393D" w:rsidP="003E0C4E">
            <w:pPr>
              <w:spacing w:line="240" w:lineRule="auto"/>
              <w:rPr>
                <w:rFonts w:ascii="Times New Roman" w:eastAsia="Times New Roman" w:hAnsi="Times New Roman"/>
                <w:b/>
                <w:bCs/>
                <w:sz w:val="20"/>
                <w:szCs w:val="20"/>
              </w:rPr>
            </w:pPr>
            <w:r w:rsidRPr="006534C2">
              <w:rPr>
                <w:rFonts w:ascii="Times New Roman" w:eastAsia="Times New Roman" w:hAnsi="Times New Roman"/>
                <w:b/>
                <w:bCs/>
                <w:sz w:val="20"/>
                <w:szCs w:val="20"/>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47AE3C16" w14:textId="77777777" w:rsidR="000B393D" w:rsidRPr="006534C2" w:rsidRDefault="000B393D" w:rsidP="003E0C4E">
            <w:pPr>
              <w:spacing w:line="240" w:lineRule="auto"/>
              <w:rPr>
                <w:rFonts w:ascii="Times New Roman" w:eastAsia="Times New Roman" w:hAnsi="Times New Roman"/>
                <w:b/>
                <w:bCs/>
                <w:sz w:val="20"/>
                <w:szCs w:val="20"/>
              </w:rPr>
            </w:pPr>
            <w:r w:rsidRPr="006534C2">
              <w:rPr>
                <w:rFonts w:ascii="Times New Roman" w:eastAsia="Times New Roman" w:hAnsi="Times New Roman"/>
                <w:b/>
                <w:bCs/>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243E6D2" w14:textId="77777777" w:rsidR="000B393D" w:rsidRPr="006534C2" w:rsidRDefault="000B393D" w:rsidP="003E0C4E">
            <w:pPr>
              <w:spacing w:line="240" w:lineRule="auto"/>
              <w:jc w:val="right"/>
              <w:rPr>
                <w:rFonts w:ascii="Times New Roman" w:eastAsia="Times New Roman" w:hAnsi="Times New Roman"/>
                <w:b/>
                <w:bCs/>
                <w:sz w:val="20"/>
                <w:szCs w:val="20"/>
              </w:rPr>
            </w:pPr>
            <w:r w:rsidRPr="006534C2">
              <w:rPr>
                <w:rFonts w:ascii="Times New Roman" w:eastAsia="Times New Roman" w:hAnsi="Times New Roman"/>
                <w:b/>
                <w:bCs/>
                <w:sz w:val="20"/>
                <w:szCs w:val="20"/>
              </w:rPr>
              <w:t>8.086</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1FABD11" w14:textId="77777777" w:rsidR="000B393D" w:rsidRPr="00FE1D21" w:rsidRDefault="000B393D" w:rsidP="003E0C4E">
            <w:pPr>
              <w:spacing w:line="240" w:lineRule="auto"/>
              <w:jc w:val="right"/>
              <w:rPr>
                <w:rFonts w:ascii="Times New Roman" w:eastAsia="Times New Roman" w:hAnsi="Times New Roman"/>
                <w:b/>
                <w:bCs/>
                <w:sz w:val="20"/>
                <w:szCs w:val="20"/>
              </w:rPr>
            </w:pPr>
            <w:r w:rsidRPr="00FE1D21">
              <w:rPr>
                <w:rFonts w:ascii="Times New Roman" w:eastAsia="Times New Roman" w:hAnsi="Times New Roman"/>
                <w:b/>
                <w:bCs/>
                <w:sz w:val="20"/>
                <w:szCs w:val="20"/>
              </w:rPr>
              <w:t>10.717</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B33E031" w14:textId="77777777" w:rsidR="000B393D" w:rsidRPr="00FE1D21" w:rsidRDefault="000B393D" w:rsidP="003E0C4E">
            <w:pPr>
              <w:spacing w:line="240" w:lineRule="auto"/>
              <w:jc w:val="right"/>
              <w:rPr>
                <w:rFonts w:ascii="Times New Roman" w:eastAsia="Times New Roman" w:hAnsi="Times New Roman"/>
                <w:b/>
                <w:bCs/>
                <w:sz w:val="20"/>
                <w:szCs w:val="20"/>
              </w:rPr>
            </w:pPr>
            <w:r w:rsidRPr="00FE1D21">
              <w:rPr>
                <w:rFonts w:ascii="Times New Roman" w:eastAsia="Times New Roman" w:hAnsi="Times New Roman"/>
                <w:b/>
                <w:bCs/>
                <w:sz w:val="20"/>
                <w:szCs w:val="20"/>
              </w:rPr>
              <w:t>15.614</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602C65F3" w14:textId="77777777" w:rsidR="000B393D" w:rsidRPr="00FE1D21" w:rsidRDefault="000B393D" w:rsidP="003E0C4E">
            <w:pPr>
              <w:spacing w:line="240" w:lineRule="auto"/>
              <w:jc w:val="right"/>
              <w:rPr>
                <w:rFonts w:ascii="Times New Roman" w:eastAsia="Times New Roman" w:hAnsi="Times New Roman"/>
                <w:b/>
                <w:bCs/>
                <w:sz w:val="20"/>
                <w:szCs w:val="20"/>
              </w:rPr>
            </w:pPr>
            <w:r w:rsidRPr="00FE1D21">
              <w:rPr>
                <w:rFonts w:ascii="Times New Roman" w:eastAsia="Times New Roman" w:hAnsi="Times New Roman"/>
                <w:b/>
                <w:bCs/>
                <w:sz w:val="20"/>
                <w:szCs w:val="20"/>
              </w:rPr>
              <w:t>18.059</w:t>
            </w:r>
          </w:p>
        </w:tc>
      </w:tr>
    </w:tbl>
    <w:p w14:paraId="40F11DAA" w14:textId="51E6540E" w:rsidR="00C85B01" w:rsidRPr="00650EE4" w:rsidRDefault="00C85B01"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20EB76A7" w14:textId="0DA72314" w:rsidR="00C85B01" w:rsidRPr="00650EE4" w:rsidRDefault="007F6E29" w:rsidP="003243BF">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Numatomas, r</w:t>
      </w:r>
      <w:r w:rsidR="00C85B01" w:rsidRPr="00650EE4">
        <w:rPr>
          <w:rFonts w:ascii="Times New Roman" w:hAnsi="Times New Roman"/>
          <w:color w:val="000000" w:themeColor="text1"/>
          <w:szCs w:val="22"/>
        </w:rPr>
        <w:t>enovacijai  įgyvendinti reikalingų investicijų</w:t>
      </w:r>
      <w:r w:rsidRPr="00650EE4">
        <w:rPr>
          <w:rFonts w:ascii="Times New Roman" w:hAnsi="Times New Roman"/>
          <w:color w:val="000000" w:themeColor="text1"/>
          <w:szCs w:val="22"/>
        </w:rPr>
        <w:t xml:space="preserve"> poreikis pateikiamas lentelėje </w:t>
      </w:r>
      <w:r w:rsidR="00C36BDF" w:rsidRPr="00650EE4">
        <w:rPr>
          <w:rFonts w:ascii="Times New Roman" w:hAnsi="Times New Roman"/>
          <w:color w:val="000000" w:themeColor="text1"/>
          <w:szCs w:val="22"/>
        </w:rPr>
        <w:t>žemiau.</w:t>
      </w:r>
    </w:p>
    <w:p w14:paraId="04339946" w14:textId="6CFBD2C5" w:rsidR="00C85B01" w:rsidRDefault="00C85B01" w:rsidP="00631BA6">
      <w:pPr>
        <w:pStyle w:val="TESlentelspavadinimas"/>
        <w:rPr>
          <w:noProof w:val="0"/>
        </w:rPr>
      </w:pPr>
      <w:r w:rsidRPr="00650EE4">
        <w:rPr>
          <w:noProof w:val="0"/>
        </w:rPr>
        <w:t>Renovacijai įgyvendinti reikalingos investicijos per metus</w:t>
      </w:r>
    </w:p>
    <w:tbl>
      <w:tblPr>
        <w:tblW w:w="5000" w:type="pct"/>
        <w:tblLook w:val="04A0" w:firstRow="1" w:lastRow="0" w:firstColumn="1" w:lastColumn="0" w:noHBand="0" w:noVBand="1"/>
      </w:tblPr>
      <w:tblGrid>
        <w:gridCol w:w="3229"/>
        <w:gridCol w:w="1627"/>
        <w:gridCol w:w="1391"/>
        <w:gridCol w:w="1391"/>
        <w:gridCol w:w="1391"/>
        <w:gridCol w:w="1391"/>
      </w:tblGrid>
      <w:tr w:rsidR="000B393D" w:rsidRPr="00AC6715" w14:paraId="5A67A695"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0DDF7"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452050FB"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3CF7797"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92B9D7E"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945C91C"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4104F2"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2041-2050</w:t>
            </w:r>
          </w:p>
        </w:tc>
      </w:tr>
      <w:tr w:rsidR="000B393D" w:rsidRPr="006534C2" w14:paraId="0204457C"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6E86E8"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0C3A57E3"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54A5EA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286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11D250D"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419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623200A"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487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C9101F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492</w:t>
            </w:r>
          </w:p>
        </w:tc>
      </w:tr>
      <w:tr w:rsidR="000B393D" w:rsidRPr="006534C2" w14:paraId="236AD8B2"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EA4BB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4F685326"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04AC02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328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EB99E5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475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1FC15BF"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844</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EDB0566"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1.202</w:t>
            </w:r>
          </w:p>
        </w:tc>
      </w:tr>
      <w:tr w:rsidR="000B393D" w:rsidRPr="006534C2" w14:paraId="733FA71A"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07F8CF"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2DE0F65E"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A582D7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88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3D52CB6"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136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4210CF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258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2FB718B"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374</w:t>
            </w:r>
          </w:p>
        </w:tc>
      </w:tr>
      <w:tr w:rsidR="000B393D" w:rsidRPr="006534C2" w14:paraId="46128B97"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FA86D4"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051372E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62C7D9B"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166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3DB942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255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9CF64C7"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483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459DA2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700</w:t>
            </w:r>
          </w:p>
        </w:tc>
      </w:tr>
      <w:tr w:rsidR="000B393D" w:rsidRPr="006534C2" w14:paraId="44986E4F"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820B01"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27ECF577"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 xml:space="preserve">mln. </w:t>
            </w:r>
            <w:proofErr w:type="spellStart"/>
            <w:r w:rsidRPr="006534C2">
              <w:rPr>
                <w:rFonts w:ascii="Times New Roman" w:eastAsia="Times New Roman" w:hAnsi="Times New Roman"/>
                <w:b/>
                <w:bCs/>
                <w:sz w:val="20"/>
                <w:szCs w:val="20"/>
                <w:lang w:eastAsia="lt-LT"/>
              </w:rPr>
              <w:t>Eur</w:t>
            </w:r>
            <w:proofErr w:type="spellEnd"/>
            <w:r w:rsidRPr="006534C2">
              <w:rPr>
                <w:rFonts w:ascii="Times New Roman" w:eastAsia="Times New Roman" w:hAnsi="Times New Roman"/>
                <w:b/>
                <w:bCs/>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8919060"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867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35C8AEB"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1.286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04A1D41"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2.071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651362F"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2.767</w:t>
            </w:r>
          </w:p>
        </w:tc>
      </w:tr>
    </w:tbl>
    <w:p w14:paraId="033C3507" w14:textId="67D55B22" w:rsidR="00C85B01" w:rsidRPr="00650EE4" w:rsidRDefault="00C85B01"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033EABAE" w14:textId="77777777" w:rsidR="004B339B" w:rsidRPr="00650EE4" w:rsidRDefault="004B339B" w:rsidP="00631BA6">
      <w:pPr>
        <w:pStyle w:val="TESlentelspavadinimas"/>
        <w:rPr>
          <w:noProof w:val="0"/>
        </w:rPr>
      </w:pPr>
    </w:p>
    <w:p w14:paraId="716DB7E9" w14:textId="4E43AAE4" w:rsidR="00C85B01" w:rsidRPr="00650EE4" w:rsidRDefault="007F6E29" w:rsidP="001615E0">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Numatomas, renovacijai  įgyvendinti reikalingų subsidijų poreikis pateikiamas lentelėje žemiau</w:t>
      </w:r>
      <w:r w:rsidR="00C85B01" w:rsidRPr="00650EE4">
        <w:rPr>
          <w:rFonts w:ascii="Times New Roman" w:hAnsi="Times New Roman"/>
          <w:color w:val="000000" w:themeColor="text1"/>
          <w:szCs w:val="22"/>
        </w:rPr>
        <w:t xml:space="preserve">. </w:t>
      </w:r>
      <w:r w:rsidR="00112E6B" w:rsidRPr="00650EE4">
        <w:rPr>
          <w:rFonts w:ascii="Times New Roman" w:hAnsi="Times New Roman"/>
          <w:color w:val="000000" w:themeColor="text1"/>
          <w:szCs w:val="22"/>
        </w:rPr>
        <w:t>Subsidijų</w:t>
      </w:r>
      <w:r w:rsidR="00C85B01" w:rsidRPr="00650EE4">
        <w:rPr>
          <w:rFonts w:ascii="Times New Roman" w:hAnsi="Times New Roman"/>
          <w:color w:val="000000" w:themeColor="text1"/>
          <w:szCs w:val="22"/>
        </w:rPr>
        <w:t xml:space="preserve"> poreikis apskaičiuotas remiantis šiuo metu taikomų renovacijos paramos priemonių finansavimo intensyvumu, kai finansuojama 30 proc. investicijų.</w:t>
      </w:r>
      <w:r w:rsidR="00A62BD5" w:rsidRPr="00650EE4">
        <w:rPr>
          <w:rFonts w:ascii="Times New Roman" w:hAnsi="Times New Roman"/>
          <w:color w:val="000000" w:themeColor="text1"/>
          <w:szCs w:val="22"/>
        </w:rPr>
        <w:t xml:space="preserve"> Daugiabučių atveju papildomai įvertinta parama investicinių projektų rengimui ir projekto administravimui („minkštoji dalis“), </w:t>
      </w:r>
      <w:r w:rsidR="009E7A85" w:rsidRPr="00650EE4">
        <w:rPr>
          <w:rFonts w:ascii="Times New Roman" w:hAnsi="Times New Roman"/>
          <w:color w:val="000000" w:themeColor="text1"/>
          <w:szCs w:val="22"/>
        </w:rPr>
        <w:t xml:space="preserve">papildomai </w:t>
      </w:r>
      <w:r w:rsidR="00A62BD5" w:rsidRPr="00650EE4">
        <w:rPr>
          <w:rFonts w:ascii="Times New Roman" w:hAnsi="Times New Roman"/>
          <w:color w:val="000000" w:themeColor="text1"/>
          <w:szCs w:val="22"/>
        </w:rPr>
        <w:t>sudaranti apie 10 proc. investicijų</w:t>
      </w:r>
    </w:p>
    <w:p w14:paraId="2D6962EC" w14:textId="220367E5" w:rsidR="00C85B01" w:rsidRPr="00650EE4" w:rsidRDefault="00C85B01" w:rsidP="00631BA6">
      <w:pPr>
        <w:pStyle w:val="TESlentelspavadinimas"/>
        <w:rPr>
          <w:noProof w:val="0"/>
        </w:rPr>
      </w:pPr>
      <w:r w:rsidRPr="00650EE4">
        <w:rPr>
          <w:noProof w:val="0"/>
        </w:rPr>
        <w:t xml:space="preserve">Renovacijai įgyvendinti reikalingas </w:t>
      </w:r>
      <w:r w:rsidR="009F25C2" w:rsidRPr="00650EE4">
        <w:rPr>
          <w:noProof w:val="0"/>
        </w:rPr>
        <w:t>subsidijų poreikis</w:t>
      </w:r>
      <w:r w:rsidR="00795E68" w:rsidRPr="00650EE4">
        <w:rPr>
          <w:noProof w:val="0"/>
        </w:rPr>
        <w:t xml:space="preserve"> per metus</w:t>
      </w:r>
    </w:p>
    <w:tbl>
      <w:tblPr>
        <w:tblW w:w="5000" w:type="pct"/>
        <w:tblLook w:val="04A0" w:firstRow="1" w:lastRow="0" w:firstColumn="1" w:lastColumn="0" w:noHBand="0" w:noVBand="1"/>
      </w:tblPr>
      <w:tblGrid>
        <w:gridCol w:w="3229"/>
        <w:gridCol w:w="1627"/>
        <w:gridCol w:w="1391"/>
        <w:gridCol w:w="1391"/>
        <w:gridCol w:w="1391"/>
        <w:gridCol w:w="1391"/>
      </w:tblGrid>
      <w:tr w:rsidR="000B393D" w:rsidRPr="00AC6715" w14:paraId="57E604BA"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2968BC"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16A3DAA7"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707F0CB"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6AD5118"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20CEC25"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4CC2CF7"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2041-2050</w:t>
            </w:r>
          </w:p>
        </w:tc>
      </w:tr>
      <w:tr w:rsidR="000B393D" w:rsidRPr="006534C2" w14:paraId="074BC81E"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503D4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574C4B66"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4F56A23"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114</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F591A2"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168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8E0FAA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195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9FC8374"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197</w:t>
            </w:r>
          </w:p>
        </w:tc>
      </w:tr>
      <w:tr w:rsidR="000B393D" w:rsidRPr="006534C2" w14:paraId="01F16678"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48EB9D"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658388CD"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224051B"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98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AE49993"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143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EE4822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253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F621CA3"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360</w:t>
            </w:r>
          </w:p>
        </w:tc>
      </w:tr>
      <w:tr w:rsidR="000B393D" w:rsidRPr="006534C2" w14:paraId="7AD8BAC0"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4C77D"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5D95BB3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43CDFD0"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E63016F"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73AD51D"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77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70EB8EA"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112</w:t>
            </w:r>
          </w:p>
        </w:tc>
      </w:tr>
      <w:tr w:rsidR="000B393D" w:rsidRPr="006534C2" w14:paraId="43057646"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815E78"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6912120F"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4BBBF0"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50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75D50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77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4797A14"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145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34D2EB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210</w:t>
            </w:r>
          </w:p>
        </w:tc>
      </w:tr>
      <w:tr w:rsidR="000B393D" w:rsidRPr="006534C2" w14:paraId="4361FAFA"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72ED4"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19EC4BDE"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 xml:space="preserve">mln. </w:t>
            </w:r>
            <w:proofErr w:type="spellStart"/>
            <w:r w:rsidRPr="006534C2">
              <w:rPr>
                <w:rFonts w:ascii="Times New Roman" w:eastAsia="Times New Roman" w:hAnsi="Times New Roman"/>
                <w:b/>
                <w:bCs/>
                <w:sz w:val="20"/>
                <w:szCs w:val="20"/>
                <w:lang w:eastAsia="lt-LT"/>
              </w:rPr>
              <w:t>Eur</w:t>
            </w:r>
            <w:proofErr w:type="spellEnd"/>
            <w:r w:rsidRPr="006534C2">
              <w:rPr>
                <w:rFonts w:ascii="Times New Roman" w:eastAsia="Times New Roman" w:hAnsi="Times New Roman"/>
                <w:b/>
                <w:bCs/>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92736C1"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289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06C38F2"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428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2D1638C"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670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5E4BE36"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879</w:t>
            </w:r>
          </w:p>
        </w:tc>
      </w:tr>
    </w:tbl>
    <w:p w14:paraId="577A52AE" w14:textId="72C6958E" w:rsidR="00C85B01" w:rsidRPr="00650EE4" w:rsidRDefault="00C85B01"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7E97EE01" w14:textId="77777777" w:rsidR="009F25C2" w:rsidRPr="00650EE4" w:rsidRDefault="009F25C2" w:rsidP="00425295">
      <w:pPr>
        <w:jc w:val="both"/>
        <w:rPr>
          <w:rFonts w:ascii="Times New Roman" w:hAnsi="Times New Roman"/>
          <w:color w:val="auto"/>
          <w:szCs w:val="22"/>
        </w:rPr>
      </w:pPr>
    </w:p>
    <w:p w14:paraId="78112324" w14:textId="6321A05B" w:rsidR="002B6D0A" w:rsidRPr="00650EE4" w:rsidRDefault="002B6D0A" w:rsidP="00224C19">
      <w:pPr>
        <w:spacing w:after="120"/>
        <w:jc w:val="both"/>
        <w:rPr>
          <w:rFonts w:ascii="Times New Roman" w:hAnsi="Times New Roman"/>
          <w:color w:val="auto"/>
          <w:szCs w:val="22"/>
        </w:rPr>
      </w:pPr>
      <w:r w:rsidRPr="00650EE4">
        <w:rPr>
          <w:rFonts w:ascii="Times New Roman" w:hAnsi="Times New Roman"/>
          <w:color w:val="auto"/>
          <w:szCs w:val="22"/>
        </w:rPr>
        <w:t xml:space="preserve">Sėkmingai </w:t>
      </w:r>
      <w:r w:rsidR="00B8506E" w:rsidRPr="00650EE4">
        <w:rPr>
          <w:rFonts w:ascii="Times New Roman" w:hAnsi="Times New Roman"/>
          <w:color w:val="auto"/>
          <w:szCs w:val="22"/>
        </w:rPr>
        <w:t>įgyvendinus</w:t>
      </w:r>
      <w:r w:rsidR="007A52B6">
        <w:rPr>
          <w:rFonts w:ascii="Times New Roman" w:hAnsi="Times New Roman"/>
          <w:color w:val="auto"/>
          <w:szCs w:val="22"/>
        </w:rPr>
        <w:t xml:space="preserve"> p</w:t>
      </w:r>
      <w:r w:rsidRPr="00650EE4">
        <w:rPr>
          <w:rFonts w:ascii="Times New Roman" w:hAnsi="Times New Roman"/>
          <w:color w:val="auto"/>
          <w:szCs w:val="22"/>
        </w:rPr>
        <w:t>astatų fondo transformaciją</w:t>
      </w:r>
      <w:r w:rsidR="00230A1D" w:rsidRPr="00650EE4">
        <w:rPr>
          <w:rFonts w:ascii="Times New Roman" w:hAnsi="Times New Roman"/>
          <w:color w:val="auto"/>
          <w:szCs w:val="22"/>
        </w:rPr>
        <w:t xml:space="preserve"> būtų realizuotos</w:t>
      </w:r>
      <w:r w:rsidR="00904299" w:rsidRPr="00650EE4">
        <w:rPr>
          <w:rFonts w:ascii="Times New Roman" w:hAnsi="Times New Roman"/>
          <w:color w:val="auto"/>
          <w:szCs w:val="22"/>
        </w:rPr>
        <w:t xml:space="preserve"> ne tik tiesioginės (sutaupytos energijos ir s</w:t>
      </w:r>
      <w:r w:rsidR="00904299" w:rsidRPr="00650EE4">
        <w:rPr>
          <w:rFonts w:ascii="Times New Roman" w:eastAsia="Times New Roman" w:hAnsi="Times New Roman"/>
          <w:szCs w:val="22"/>
          <w:lang w:eastAsia="lt-LT"/>
        </w:rPr>
        <w:t>umažintų CO</w:t>
      </w:r>
      <w:r w:rsidR="00904299" w:rsidRPr="00650EE4">
        <w:rPr>
          <w:rFonts w:ascii="Times New Roman" w:eastAsia="Times New Roman" w:hAnsi="Times New Roman"/>
          <w:szCs w:val="22"/>
          <w:vertAlign w:val="subscript"/>
          <w:lang w:eastAsia="lt-LT"/>
        </w:rPr>
        <w:t>2</w:t>
      </w:r>
      <w:r w:rsidR="00904299" w:rsidRPr="00650EE4">
        <w:rPr>
          <w:rFonts w:ascii="Times New Roman" w:eastAsia="Times New Roman" w:hAnsi="Times New Roman"/>
          <w:szCs w:val="22"/>
          <w:lang w:eastAsia="lt-LT"/>
        </w:rPr>
        <w:t xml:space="preserve"> išmetimų vertė)</w:t>
      </w:r>
      <w:r w:rsidR="00230A1D" w:rsidRPr="00650EE4">
        <w:rPr>
          <w:rFonts w:ascii="Times New Roman" w:hAnsi="Times New Roman"/>
          <w:color w:val="auto"/>
          <w:szCs w:val="22"/>
        </w:rPr>
        <w:t xml:space="preserve"> </w:t>
      </w:r>
      <w:r w:rsidRPr="00650EE4">
        <w:rPr>
          <w:rFonts w:ascii="Times New Roman" w:hAnsi="Times New Roman"/>
          <w:color w:val="auto"/>
          <w:szCs w:val="22"/>
        </w:rPr>
        <w:t xml:space="preserve"> </w:t>
      </w:r>
      <w:r w:rsidR="00904299" w:rsidRPr="00650EE4">
        <w:rPr>
          <w:rFonts w:ascii="Times New Roman" w:hAnsi="Times New Roman"/>
          <w:color w:val="auto"/>
          <w:szCs w:val="22"/>
        </w:rPr>
        <w:t xml:space="preserve">bet ir platesnio masto </w:t>
      </w:r>
      <w:r w:rsidR="00B8506E" w:rsidRPr="00650EE4">
        <w:rPr>
          <w:rFonts w:ascii="Times New Roman" w:hAnsi="Times New Roman"/>
          <w:color w:val="auto"/>
          <w:szCs w:val="22"/>
        </w:rPr>
        <w:t>renovacijos</w:t>
      </w:r>
      <w:r w:rsidR="00904299" w:rsidRPr="00650EE4">
        <w:rPr>
          <w:rFonts w:ascii="Times New Roman" w:hAnsi="Times New Roman"/>
          <w:color w:val="auto"/>
          <w:szCs w:val="22"/>
        </w:rPr>
        <w:t xml:space="preserve"> naudos. </w:t>
      </w:r>
      <w:r w:rsidRPr="00650EE4">
        <w:rPr>
          <w:rFonts w:ascii="Times New Roman" w:hAnsi="Times New Roman"/>
          <w:color w:val="auto"/>
          <w:szCs w:val="22"/>
        </w:rPr>
        <w:t>Lentelėje žemiau pateikiama apskaičiuotų tiesioginių ir platesnio masto naudų suvestinė.</w:t>
      </w:r>
    </w:p>
    <w:p w14:paraId="7401AD37" w14:textId="28999659" w:rsidR="002B6D0A" w:rsidRPr="00650EE4" w:rsidRDefault="002B6D0A" w:rsidP="00631BA6">
      <w:pPr>
        <w:pStyle w:val="TESlentelspavadinimas"/>
        <w:rPr>
          <w:noProof w:val="0"/>
        </w:rPr>
      </w:pPr>
      <w:r w:rsidRPr="00650EE4">
        <w:rPr>
          <w:noProof w:val="0"/>
        </w:rPr>
        <w:t>IRS įgyvendinimo naudos</w:t>
      </w:r>
      <w:r w:rsidR="00904299" w:rsidRPr="00650EE4">
        <w:rPr>
          <w:noProof w:val="0"/>
        </w:rPr>
        <w:t xml:space="preserve"> (realia, nediskontuota </w:t>
      </w:r>
      <w:r w:rsidRPr="00650EE4">
        <w:rPr>
          <w:noProof w:val="0"/>
        </w:rPr>
        <w:t>verte)</w:t>
      </w:r>
    </w:p>
    <w:tbl>
      <w:tblPr>
        <w:tblW w:w="5000" w:type="pct"/>
        <w:tblLook w:val="04A0" w:firstRow="1" w:lastRow="0" w:firstColumn="1" w:lastColumn="0" w:noHBand="0" w:noVBand="1"/>
      </w:tblPr>
      <w:tblGrid>
        <w:gridCol w:w="3884"/>
        <w:gridCol w:w="1136"/>
        <w:gridCol w:w="902"/>
        <w:gridCol w:w="886"/>
        <w:gridCol w:w="886"/>
        <w:gridCol w:w="1286"/>
        <w:gridCol w:w="1440"/>
      </w:tblGrid>
      <w:tr w:rsidR="000B393D" w:rsidRPr="00650EE4" w14:paraId="573B4095" w14:textId="77777777" w:rsidTr="003E0C4E">
        <w:trPr>
          <w:trHeight w:val="194"/>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35A69" w14:textId="77777777" w:rsidR="000B393D" w:rsidRPr="00650EE4" w:rsidRDefault="000B393D" w:rsidP="003E0C4E">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Rodiklis</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59F05F96" w14:textId="77777777" w:rsidR="000B393D" w:rsidRPr="00650EE4" w:rsidRDefault="000B393D" w:rsidP="003E0C4E">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58FD77A"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2021-2030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A4A694B"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3B63366"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7FDE78AA"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2041-2050</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14C7FCD5" w14:textId="77777777" w:rsidR="000B393D" w:rsidRPr="00650EE4" w:rsidRDefault="000B393D" w:rsidP="003E0C4E">
            <w:pPr>
              <w:spacing w:line="240" w:lineRule="auto"/>
              <w:ind w:left="-109" w:right="-115"/>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per gyvavimo ciklą</w:t>
            </w:r>
          </w:p>
        </w:tc>
      </w:tr>
      <w:tr w:rsidR="000B393D" w:rsidRPr="00533135" w14:paraId="3AC8D187"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17297FBB"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Renovuota pastatų</w:t>
            </w:r>
          </w:p>
        </w:tc>
        <w:tc>
          <w:tcPr>
            <w:tcW w:w="545" w:type="pct"/>
            <w:tcBorders>
              <w:top w:val="nil"/>
              <w:left w:val="nil"/>
              <w:bottom w:val="single" w:sz="4" w:space="0" w:color="auto"/>
              <w:right w:val="single" w:sz="4" w:space="0" w:color="auto"/>
            </w:tcBorders>
            <w:shd w:val="clear" w:color="auto" w:fill="auto"/>
            <w:vAlign w:val="center"/>
            <w:hideMark/>
          </w:tcPr>
          <w:p w14:paraId="2E15D61E"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vnt.</w:t>
            </w:r>
          </w:p>
        </w:tc>
        <w:tc>
          <w:tcPr>
            <w:tcW w:w="433" w:type="pct"/>
            <w:tcBorders>
              <w:top w:val="nil"/>
              <w:left w:val="nil"/>
              <w:bottom w:val="single" w:sz="4" w:space="0" w:color="auto"/>
              <w:right w:val="single" w:sz="4" w:space="0" w:color="auto"/>
            </w:tcBorders>
            <w:shd w:val="clear" w:color="auto" w:fill="auto"/>
            <w:vAlign w:val="center"/>
            <w:hideMark/>
          </w:tcPr>
          <w:p w14:paraId="16C404AF"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99.281</w:t>
            </w:r>
          </w:p>
        </w:tc>
        <w:tc>
          <w:tcPr>
            <w:tcW w:w="425" w:type="pct"/>
            <w:tcBorders>
              <w:top w:val="nil"/>
              <w:left w:val="nil"/>
              <w:bottom w:val="single" w:sz="4" w:space="0" w:color="auto"/>
              <w:right w:val="single" w:sz="4" w:space="0" w:color="auto"/>
            </w:tcBorders>
            <w:shd w:val="clear" w:color="auto" w:fill="auto"/>
            <w:vAlign w:val="center"/>
            <w:hideMark/>
          </w:tcPr>
          <w:p w14:paraId="78F4617F"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156.141</w:t>
            </w:r>
          </w:p>
        </w:tc>
        <w:tc>
          <w:tcPr>
            <w:tcW w:w="425" w:type="pct"/>
            <w:tcBorders>
              <w:top w:val="nil"/>
              <w:left w:val="nil"/>
              <w:bottom w:val="single" w:sz="4" w:space="0" w:color="auto"/>
              <w:right w:val="single" w:sz="4" w:space="0" w:color="auto"/>
            </w:tcBorders>
            <w:shd w:val="clear" w:color="auto" w:fill="auto"/>
            <w:vAlign w:val="center"/>
            <w:hideMark/>
          </w:tcPr>
          <w:p w14:paraId="524D409E"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180.587</w:t>
            </w:r>
          </w:p>
        </w:tc>
        <w:tc>
          <w:tcPr>
            <w:tcW w:w="617" w:type="pct"/>
            <w:tcBorders>
              <w:top w:val="nil"/>
              <w:left w:val="nil"/>
              <w:bottom w:val="single" w:sz="4" w:space="0" w:color="auto"/>
              <w:right w:val="single" w:sz="4" w:space="0" w:color="auto"/>
            </w:tcBorders>
            <w:shd w:val="clear" w:color="auto" w:fill="auto"/>
            <w:vAlign w:val="center"/>
            <w:hideMark/>
          </w:tcPr>
          <w:p w14:paraId="78B4D46C"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436.008</w:t>
            </w:r>
          </w:p>
        </w:tc>
        <w:tc>
          <w:tcPr>
            <w:tcW w:w="691" w:type="pct"/>
            <w:tcBorders>
              <w:top w:val="nil"/>
              <w:left w:val="nil"/>
              <w:bottom w:val="single" w:sz="4" w:space="0" w:color="auto"/>
              <w:right w:val="single" w:sz="4" w:space="0" w:color="auto"/>
            </w:tcBorders>
            <w:shd w:val="clear" w:color="auto" w:fill="auto"/>
            <w:vAlign w:val="center"/>
            <w:hideMark/>
          </w:tcPr>
          <w:p w14:paraId="4C462A1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436.008</w:t>
            </w:r>
          </w:p>
        </w:tc>
      </w:tr>
      <w:tr w:rsidR="000B393D" w:rsidRPr="00533135" w14:paraId="526D1AF0"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451AEB7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Renovuota pastatų</w:t>
            </w:r>
          </w:p>
        </w:tc>
        <w:tc>
          <w:tcPr>
            <w:tcW w:w="545" w:type="pct"/>
            <w:tcBorders>
              <w:top w:val="nil"/>
              <w:left w:val="nil"/>
              <w:bottom w:val="single" w:sz="4" w:space="0" w:color="auto"/>
              <w:right w:val="single" w:sz="4" w:space="0" w:color="auto"/>
            </w:tcBorders>
            <w:shd w:val="clear" w:color="auto" w:fill="auto"/>
            <w:vAlign w:val="center"/>
            <w:hideMark/>
          </w:tcPr>
          <w:p w14:paraId="34C8937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tūkst. m2</w:t>
            </w:r>
          </w:p>
        </w:tc>
        <w:tc>
          <w:tcPr>
            <w:tcW w:w="433" w:type="pct"/>
            <w:tcBorders>
              <w:top w:val="nil"/>
              <w:left w:val="nil"/>
              <w:bottom w:val="single" w:sz="4" w:space="0" w:color="auto"/>
              <w:right w:val="single" w:sz="4" w:space="0" w:color="auto"/>
            </w:tcBorders>
            <w:shd w:val="clear" w:color="auto" w:fill="auto"/>
            <w:vAlign w:val="center"/>
            <w:hideMark/>
          </w:tcPr>
          <w:p w14:paraId="0DCD340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27.819</w:t>
            </w:r>
          </w:p>
        </w:tc>
        <w:tc>
          <w:tcPr>
            <w:tcW w:w="425" w:type="pct"/>
            <w:tcBorders>
              <w:top w:val="nil"/>
              <w:left w:val="nil"/>
              <w:bottom w:val="single" w:sz="4" w:space="0" w:color="auto"/>
              <w:right w:val="single" w:sz="4" w:space="0" w:color="auto"/>
            </w:tcBorders>
            <w:shd w:val="clear" w:color="auto" w:fill="auto"/>
            <w:vAlign w:val="center"/>
            <w:hideMark/>
          </w:tcPr>
          <w:p w14:paraId="1451286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39.414</w:t>
            </w:r>
          </w:p>
        </w:tc>
        <w:tc>
          <w:tcPr>
            <w:tcW w:w="425" w:type="pct"/>
            <w:tcBorders>
              <w:top w:val="nil"/>
              <w:left w:val="nil"/>
              <w:bottom w:val="single" w:sz="4" w:space="0" w:color="auto"/>
              <w:right w:val="single" w:sz="4" w:space="0" w:color="auto"/>
            </w:tcBorders>
            <w:shd w:val="clear" w:color="auto" w:fill="auto"/>
            <w:vAlign w:val="center"/>
            <w:hideMark/>
          </w:tcPr>
          <w:p w14:paraId="08873AE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42.301</w:t>
            </w:r>
          </w:p>
        </w:tc>
        <w:tc>
          <w:tcPr>
            <w:tcW w:w="617" w:type="pct"/>
            <w:tcBorders>
              <w:top w:val="nil"/>
              <w:left w:val="nil"/>
              <w:bottom w:val="single" w:sz="4" w:space="0" w:color="auto"/>
              <w:right w:val="single" w:sz="4" w:space="0" w:color="auto"/>
            </w:tcBorders>
            <w:shd w:val="clear" w:color="auto" w:fill="auto"/>
            <w:vAlign w:val="center"/>
            <w:hideMark/>
          </w:tcPr>
          <w:p w14:paraId="46EA8635"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109.534</w:t>
            </w:r>
          </w:p>
        </w:tc>
        <w:tc>
          <w:tcPr>
            <w:tcW w:w="691" w:type="pct"/>
            <w:tcBorders>
              <w:top w:val="nil"/>
              <w:left w:val="nil"/>
              <w:bottom w:val="single" w:sz="4" w:space="0" w:color="auto"/>
              <w:right w:val="single" w:sz="4" w:space="0" w:color="auto"/>
            </w:tcBorders>
            <w:shd w:val="clear" w:color="auto" w:fill="auto"/>
            <w:vAlign w:val="center"/>
            <w:hideMark/>
          </w:tcPr>
          <w:p w14:paraId="2E2B692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109.534</w:t>
            </w:r>
          </w:p>
        </w:tc>
      </w:tr>
      <w:tr w:rsidR="000B393D" w:rsidRPr="00533135" w14:paraId="11659423"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3EAF3E02"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Sutaupyta pirminė energija</w:t>
            </w:r>
          </w:p>
        </w:tc>
        <w:tc>
          <w:tcPr>
            <w:tcW w:w="545" w:type="pct"/>
            <w:tcBorders>
              <w:top w:val="nil"/>
              <w:left w:val="nil"/>
              <w:bottom w:val="single" w:sz="4" w:space="0" w:color="auto"/>
              <w:right w:val="single" w:sz="4" w:space="0" w:color="auto"/>
            </w:tcBorders>
            <w:shd w:val="clear" w:color="auto" w:fill="auto"/>
            <w:vAlign w:val="center"/>
            <w:hideMark/>
          </w:tcPr>
          <w:p w14:paraId="63EA9DE1" w14:textId="77777777" w:rsidR="000B393D" w:rsidRPr="00533135" w:rsidRDefault="000B393D" w:rsidP="003E0C4E">
            <w:pPr>
              <w:spacing w:line="240" w:lineRule="auto"/>
              <w:rPr>
                <w:rFonts w:ascii="Times New Roman" w:eastAsia="Times New Roman" w:hAnsi="Times New Roman"/>
                <w:sz w:val="20"/>
                <w:szCs w:val="20"/>
              </w:rPr>
            </w:pPr>
            <w:proofErr w:type="spellStart"/>
            <w:r w:rsidRPr="00533135">
              <w:rPr>
                <w:rFonts w:ascii="Times New Roman" w:eastAsia="Times New Roman" w:hAnsi="Times New Roman"/>
                <w:sz w:val="20"/>
                <w:szCs w:val="20"/>
              </w:rPr>
              <w:t>GWh</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3AB7A1B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30.799</w:t>
            </w:r>
          </w:p>
        </w:tc>
        <w:tc>
          <w:tcPr>
            <w:tcW w:w="425" w:type="pct"/>
            <w:tcBorders>
              <w:top w:val="nil"/>
              <w:left w:val="nil"/>
              <w:bottom w:val="single" w:sz="4" w:space="0" w:color="auto"/>
              <w:right w:val="single" w:sz="4" w:space="0" w:color="auto"/>
            </w:tcBorders>
            <w:shd w:val="clear" w:color="auto" w:fill="auto"/>
            <w:vAlign w:val="center"/>
            <w:hideMark/>
          </w:tcPr>
          <w:p w14:paraId="31C30527"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107.394</w:t>
            </w:r>
          </w:p>
        </w:tc>
        <w:tc>
          <w:tcPr>
            <w:tcW w:w="425" w:type="pct"/>
            <w:tcBorders>
              <w:top w:val="nil"/>
              <w:left w:val="nil"/>
              <w:bottom w:val="single" w:sz="4" w:space="0" w:color="auto"/>
              <w:right w:val="single" w:sz="4" w:space="0" w:color="auto"/>
            </w:tcBorders>
            <w:shd w:val="clear" w:color="auto" w:fill="auto"/>
            <w:vAlign w:val="center"/>
            <w:hideMark/>
          </w:tcPr>
          <w:p w14:paraId="21A97AB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202.883</w:t>
            </w:r>
          </w:p>
        </w:tc>
        <w:tc>
          <w:tcPr>
            <w:tcW w:w="617" w:type="pct"/>
            <w:tcBorders>
              <w:top w:val="nil"/>
              <w:left w:val="nil"/>
              <w:bottom w:val="single" w:sz="4" w:space="0" w:color="auto"/>
              <w:right w:val="single" w:sz="4" w:space="0" w:color="auto"/>
            </w:tcBorders>
            <w:shd w:val="clear" w:color="auto" w:fill="auto"/>
            <w:vAlign w:val="center"/>
            <w:hideMark/>
          </w:tcPr>
          <w:p w14:paraId="7DD4A3C0"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341.076</w:t>
            </w:r>
          </w:p>
        </w:tc>
        <w:tc>
          <w:tcPr>
            <w:tcW w:w="691" w:type="pct"/>
            <w:tcBorders>
              <w:top w:val="nil"/>
              <w:left w:val="nil"/>
              <w:bottom w:val="single" w:sz="4" w:space="0" w:color="auto"/>
              <w:right w:val="single" w:sz="4" w:space="0" w:color="auto"/>
            </w:tcBorders>
            <w:shd w:val="clear" w:color="auto" w:fill="auto"/>
            <w:vAlign w:val="center"/>
            <w:hideMark/>
          </w:tcPr>
          <w:p w14:paraId="619AF99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739.949</w:t>
            </w:r>
          </w:p>
        </w:tc>
      </w:tr>
      <w:tr w:rsidR="000B393D" w:rsidRPr="00533135" w14:paraId="30A0C177"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0F0AF60"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Sutaupytos CO2 </w:t>
            </w:r>
            <w:proofErr w:type="spellStart"/>
            <w:r w:rsidRPr="00533135">
              <w:rPr>
                <w:rFonts w:ascii="Times New Roman" w:eastAsia="Times New Roman" w:hAnsi="Times New Roman"/>
                <w:sz w:val="20"/>
                <w:szCs w:val="20"/>
              </w:rPr>
              <w:t>esmisijos</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2C84B33E"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ktCO2</w:t>
            </w:r>
          </w:p>
        </w:tc>
        <w:tc>
          <w:tcPr>
            <w:tcW w:w="433" w:type="pct"/>
            <w:tcBorders>
              <w:top w:val="nil"/>
              <w:left w:val="nil"/>
              <w:bottom w:val="single" w:sz="4" w:space="0" w:color="auto"/>
              <w:right w:val="single" w:sz="4" w:space="0" w:color="auto"/>
            </w:tcBorders>
            <w:shd w:val="clear" w:color="auto" w:fill="auto"/>
            <w:vAlign w:val="center"/>
            <w:hideMark/>
          </w:tcPr>
          <w:p w14:paraId="79DD224B"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6.504</w:t>
            </w:r>
          </w:p>
        </w:tc>
        <w:tc>
          <w:tcPr>
            <w:tcW w:w="425" w:type="pct"/>
            <w:tcBorders>
              <w:top w:val="nil"/>
              <w:left w:val="nil"/>
              <w:bottom w:val="single" w:sz="4" w:space="0" w:color="auto"/>
              <w:right w:val="single" w:sz="4" w:space="0" w:color="auto"/>
            </w:tcBorders>
            <w:shd w:val="clear" w:color="auto" w:fill="auto"/>
            <w:vAlign w:val="center"/>
            <w:hideMark/>
          </w:tcPr>
          <w:p w14:paraId="33799B9C"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22.803</w:t>
            </w:r>
          </w:p>
        </w:tc>
        <w:tc>
          <w:tcPr>
            <w:tcW w:w="425" w:type="pct"/>
            <w:tcBorders>
              <w:top w:val="nil"/>
              <w:left w:val="nil"/>
              <w:bottom w:val="single" w:sz="4" w:space="0" w:color="auto"/>
              <w:right w:val="single" w:sz="4" w:space="0" w:color="auto"/>
            </w:tcBorders>
            <w:shd w:val="clear" w:color="auto" w:fill="auto"/>
            <w:vAlign w:val="center"/>
            <w:hideMark/>
          </w:tcPr>
          <w:p w14:paraId="5B53713C"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43.261</w:t>
            </w:r>
          </w:p>
        </w:tc>
        <w:tc>
          <w:tcPr>
            <w:tcW w:w="617" w:type="pct"/>
            <w:tcBorders>
              <w:top w:val="nil"/>
              <w:left w:val="nil"/>
              <w:bottom w:val="single" w:sz="4" w:space="0" w:color="auto"/>
              <w:right w:val="single" w:sz="4" w:space="0" w:color="auto"/>
            </w:tcBorders>
            <w:shd w:val="clear" w:color="auto" w:fill="auto"/>
            <w:vAlign w:val="center"/>
            <w:hideMark/>
          </w:tcPr>
          <w:p w14:paraId="2B2BE22A"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72.569</w:t>
            </w:r>
          </w:p>
        </w:tc>
        <w:tc>
          <w:tcPr>
            <w:tcW w:w="691" w:type="pct"/>
            <w:tcBorders>
              <w:top w:val="nil"/>
              <w:left w:val="nil"/>
              <w:bottom w:val="single" w:sz="4" w:space="0" w:color="auto"/>
              <w:right w:val="single" w:sz="4" w:space="0" w:color="auto"/>
            </w:tcBorders>
            <w:shd w:val="clear" w:color="auto" w:fill="auto"/>
            <w:vAlign w:val="center"/>
            <w:hideMark/>
          </w:tcPr>
          <w:p w14:paraId="4D903727"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157.947</w:t>
            </w:r>
          </w:p>
        </w:tc>
      </w:tr>
      <w:tr w:rsidR="000B393D" w:rsidRPr="00533135" w14:paraId="73D4517D"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222AB418"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Investicijos</w:t>
            </w:r>
          </w:p>
        </w:tc>
        <w:tc>
          <w:tcPr>
            <w:tcW w:w="545" w:type="pct"/>
            <w:tcBorders>
              <w:top w:val="nil"/>
              <w:left w:val="nil"/>
              <w:bottom w:val="single" w:sz="4" w:space="0" w:color="auto"/>
              <w:right w:val="single" w:sz="4" w:space="0" w:color="auto"/>
            </w:tcBorders>
            <w:shd w:val="clear" w:color="auto" w:fill="auto"/>
            <w:vAlign w:val="center"/>
            <w:hideMark/>
          </w:tcPr>
          <w:p w14:paraId="5B4BC998"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0581B40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11.603</w:t>
            </w:r>
          </w:p>
        </w:tc>
        <w:tc>
          <w:tcPr>
            <w:tcW w:w="425" w:type="pct"/>
            <w:tcBorders>
              <w:top w:val="nil"/>
              <w:left w:val="nil"/>
              <w:bottom w:val="single" w:sz="4" w:space="0" w:color="auto"/>
              <w:right w:val="single" w:sz="4" w:space="0" w:color="auto"/>
            </w:tcBorders>
            <w:shd w:val="clear" w:color="auto" w:fill="auto"/>
            <w:vAlign w:val="center"/>
            <w:hideMark/>
          </w:tcPr>
          <w:p w14:paraId="5BE3071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20.714</w:t>
            </w:r>
          </w:p>
        </w:tc>
        <w:tc>
          <w:tcPr>
            <w:tcW w:w="425" w:type="pct"/>
            <w:tcBorders>
              <w:top w:val="nil"/>
              <w:left w:val="nil"/>
              <w:bottom w:val="single" w:sz="4" w:space="0" w:color="auto"/>
              <w:right w:val="single" w:sz="4" w:space="0" w:color="auto"/>
            </w:tcBorders>
            <w:shd w:val="clear" w:color="auto" w:fill="auto"/>
            <w:vAlign w:val="center"/>
            <w:hideMark/>
          </w:tcPr>
          <w:p w14:paraId="2F92F15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27.667</w:t>
            </w:r>
          </w:p>
        </w:tc>
        <w:tc>
          <w:tcPr>
            <w:tcW w:w="617" w:type="pct"/>
            <w:tcBorders>
              <w:top w:val="nil"/>
              <w:left w:val="nil"/>
              <w:bottom w:val="single" w:sz="4" w:space="0" w:color="auto"/>
              <w:right w:val="single" w:sz="4" w:space="0" w:color="auto"/>
            </w:tcBorders>
            <w:shd w:val="clear" w:color="auto" w:fill="auto"/>
            <w:vAlign w:val="center"/>
            <w:hideMark/>
          </w:tcPr>
          <w:p w14:paraId="3340779C"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59.985</w:t>
            </w:r>
          </w:p>
        </w:tc>
        <w:tc>
          <w:tcPr>
            <w:tcW w:w="691" w:type="pct"/>
            <w:tcBorders>
              <w:top w:val="nil"/>
              <w:left w:val="nil"/>
              <w:bottom w:val="single" w:sz="4" w:space="0" w:color="auto"/>
              <w:right w:val="single" w:sz="4" w:space="0" w:color="auto"/>
            </w:tcBorders>
            <w:shd w:val="clear" w:color="auto" w:fill="auto"/>
            <w:vAlign w:val="center"/>
            <w:hideMark/>
          </w:tcPr>
          <w:p w14:paraId="4B39649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59.985</w:t>
            </w:r>
          </w:p>
        </w:tc>
      </w:tr>
      <w:tr w:rsidR="000B393D" w:rsidRPr="00533135" w14:paraId="47B51169" w14:textId="77777777" w:rsidTr="003E0C4E">
        <w:trPr>
          <w:trHeight w:val="194"/>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14:paraId="33470C71" w14:textId="77777777" w:rsidR="000B393D" w:rsidRPr="00533135" w:rsidRDefault="000B393D" w:rsidP="003E0C4E">
            <w:pPr>
              <w:spacing w:line="240" w:lineRule="auto"/>
              <w:rPr>
                <w:rFonts w:ascii="Times New Roman" w:eastAsia="Times New Roman" w:hAnsi="Times New Roman"/>
                <w:b/>
                <w:bCs/>
                <w:sz w:val="20"/>
                <w:szCs w:val="20"/>
              </w:rPr>
            </w:pPr>
            <w:r w:rsidRPr="00533135">
              <w:rPr>
                <w:rFonts w:ascii="Times New Roman" w:eastAsia="Times New Roman" w:hAnsi="Times New Roman"/>
                <w:b/>
                <w:bCs/>
                <w:sz w:val="20"/>
                <w:szCs w:val="20"/>
              </w:rPr>
              <w:t>Ekonominės naudos</w:t>
            </w:r>
          </w:p>
        </w:tc>
      </w:tr>
      <w:tr w:rsidR="000B393D" w:rsidRPr="00533135" w14:paraId="124E4496"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869B22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N1. Sutaupytos energijos vertė</w:t>
            </w:r>
          </w:p>
        </w:tc>
        <w:tc>
          <w:tcPr>
            <w:tcW w:w="545" w:type="pct"/>
            <w:tcBorders>
              <w:top w:val="nil"/>
              <w:left w:val="nil"/>
              <w:bottom w:val="single" w:sz="4" w:space="0" w:color="auto"/>
              <w:right w:val="single" w:sz="4" w:space="0" w:color="auto"/>
            </w:tcBorders>
            <w:shd w:val="clear" w:color="auto" w:fill="auto"/>
            <w:vAlign w:val="center"/>
            <w:hideMark/>
          </w:tcPr>
          <w:p w14:paraId="59E34C5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7FF39F55"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1.235</w:t>
            </w:r>
          </w:p>
        </w:tc>
        <w:tc>
          <w:tcPr>
            <w:tcW w:w="425" w:type="pct"/>
            <w:tcBorders>
              <w:top w:val="nil"/>
              <w:left w:val="nil"/>
              <w:bottom w:val="single" w:sz="4" w:space="0" w:color="auto"/>
              <w:right w:val="single" w:sz="4" w:space="0" w:color="auto"/>
            </w:tcBorders>
            <w:shd w:val="clear" w:color="auto" w:fill="auto"/>
            <w:vAlign w:val="center"/>
            <w:hideMark/>
          </w:tcPr>
          <w:p w14:paraId="40346CE6"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4.736</w:t>
            </w:r>
          </w:p>
        </w:tc>
        <w:tc>
          <w:tcPr>
            <w:tcW w:w="425" w:type="pct"/>
            <w:tcBorders>
              <w:top w:val="nil"/>
              <w:left w:val="nil"/>
              <w:bottom w:val="single" w:sz="4" w:space="0" w:color="auto"/>
              <w:right w:val="single" w:sz="4" w:space="0" w:color="auto"/>
            </w:tcBorders>
            <w:shd w:val="clear" w:color="auto" w:fill="auto"/>
            <w:vAlign w:val="center"/>
            <w:hideMark/>
          </w:tcPr>
          <w:p w14:paraId="3642987C"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9.390</w:t>
            </w:r>
          </w:p>
        </w:tc>
        <w:tc>
          <w:tcPr>
            <w:tcW w:w="617" w:type="pct"/>
            <w:tcBorders>
              <w:top w:val="nil"/>
              <w:left w:val="nil"/>
              <w:bottom w:val="single" w:sz="4" w:space="0" w:color="auto"/>
              <w:right w:val="single" w:sz="4" w:space="0" w:color="auto"/>
            </w:tcBorders>
            <w:shd w:val="clear" w:color="auto" w:fill="auto"/>
            <w:vAlign w:val="center"/>
            <w:hideMark/>
          </w:tcPr>
          <w:p w14:paraId="33E09A39"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15.360</w:t>
            </w:r>
          </w:p>
        </w:tc>
        <w:tc>
          <w:tcPr>
            <w:tcW w:w="691" w:type="pct"/>
            <w:tcBorders>
              <w:top w:val="nil"/>
              <w:left w:val="nil"/>
              <w:bottom w:val="single" w:sz="4" w:space="0" w:color="auto"/>
              <w:right w:val="single" w:sz="4" w:space="0" w:color="auto"/>
            </w:tcBorders>
            <w:shd w:val="clear" w:color="auto" w:fill="auto"/>
            <w:vAlign w:val="center"/>
            <w:hideMark/>
          </w:tcPr>
          <w:p w14:paraId="4A8959FE"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33.323</w:t>
            </w:r>
          </w:p>
        </w:tc>
      </w:tr>
      <w:tr w:rsidR="000B393D" w:rsidRPr="00533135" w14:paraId="5D1374E7"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5FA9E3C4"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N2. Sumažintų CO2 išmetimų vertė</w:t>
            </w:r>
          </w:p>
        </w:tc>
        <w:tc>
          <w:tcPr>
            <w:tcW w:w="545" w:type="pct"/>
            <w:tcBorders>
              <w:top w:val="nil"/>
              <w:left w:val="nil"/>
              <w:bottom w:val="single" w:sz="4" w:space="0" w:color="auto"/>
              <w:right w:val="single" w:sz="4" w:space="0" w:color="auto"/>
            </w:tcBorders>
            <w:shd w:val="clear" w:color="auto" w:fill="auto"/>
            <w:vAlign w:val="center"/>
            <w:hideMark/>
          </w:tcPr>
          <w:p w14:paraId="1393B5A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24ACFDF8"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185</w:t>
            </w:r>
          </w:p>
        </w:tc>
        <w:tc>
          <w:tcPr>
            <w:tcW w:w="425" w:type="pct"/>
            <w:tcBorders>
              <w:top w:val="nil"/>
              <w:left w:val="nil"/>
              <w:bottom w:val="single" w:sz="4" w:space="0" w:color="auto"/>
              <w:right w:val="single" w:sz="4" w:space="0" w:color="auto"/>
            </w:tcBorders>
            <w:shd w:val="clear" w:color="auto" w:fill="auto"/>
            <w:vAlign w:val="center"/>
            <w:hideMark/>
          </w:tcPr>
          <w:p w14:paraId="1B97EA5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1.024</w:t>
            </w:r>
          </w:p>
        </w:tc>
        <w:tc>
          <w:tcPr>
            <w:tcW w:w="425" w:type="pct"/>
            <w:tcBorders>
              <w:top w:val="nil"/>
              <w:left w:val="nil"/>
              <w:bottom w:val="single" w:sz="4" w:space="0" w:color="auto"/>
              <w:right w:val="single" w:sz="4" w:space="0" w:color="auto"/>
            </w:tcBorders>
            <w:shd w:val="clear" w:color="auto" w:fill="auto"/>
            <w:vAlign w:val="center"/>
            <w:hideMark/>
          </w:tcPr>
          <w:p w14:paraId="2E04C306"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3.297</w:t>
            </w:r>
          </w:p>
        </w:tc>
        <w:tc>
          <w:tcPr>
            <w:tcW w:w="617" w:type="pct"/>
            <w:tcBorders>
              <w:top w:val="nil"/>
              <w:left w:val="nil"/>
              <w:bottom w:val="single" w:sz="4" w:space="0" w:color="auto"/>
              <w:right w:val="single" w:sz="4" w:space="0" w:color="auto"/>
            </w:tcBorders>
            <w:shd w:val="clear" w:color="auto" w:fill="auto"/>
            <w:vAlign w:val="center"/>
            <w:hideMark/>
          </w:tcPr>
          <w:p w14:paraId="07BA8D5B"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4.506</w:t>
            </w:r>
          </w:p>
        </w:tc>
        <w:tc>
          <w:tcPr>
            <w:tcW w:w="691" w:type="pct"/>
            <w:tcBorders>
              <w:top w:val="nil"/>
              <w:left w:val="nil"/>
              <w:bottom w:val="single" w:sz="4" w:space="0" w:color="auto"/>
              <w:right w:val="single" w:sz="4" w:space="0" w:color="auto"/>
            </w:tcBorders>
            <w:shd w:val="clear" w:color="auto" w:fill="auto"/>
            <w:vAlign w:val="center"/>
            <w:hideMark/>
          </w:tcPr>
          <w:p w14:paraId="1ACD9D2D"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9.807</w:t>
            </w:r>
          </w:p>
        </w:tc>
      </w:tr>
      <w:tr w:rsidR="000B393D" w:rsidRPr="00533135" w14:paraId="10E38AFD"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4E78AC8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N3. BVP padidėjimas</w:t>
            </w:r>
          </w:p>
        </w:tc>
        <w:tc>
          <w:tcPr>
            <w:tcW w:w="545" w:type="pct"/>
            <w:tcBorders>
              <w:top w:val="nil"/>
              <w:left w:val="nil"/>
              <w:bottom w:val="single" w:sz="4" w:space="0" w:color="auto"/>
              <w:right w:val="single" w:sz="4" w:space="0" w:color="auto"/>
            </w:tcBorders>
            <w:shd w:val="clear" w:color="auto" w:fill="auto"/>
            <w:vAlign w:val="center"/>
            <w:hideMark/>
          </w:tcPr>
          <w:p w14:paraId="0680162F"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7ADFB9B3"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5.801</w:t>
            </w:r>
          </w:p>
        </w:tc>
        <w:tc>
          <w:tcPr>
            <w:tcW w:w="425" w:type="pct"/>
            <w:tcBorders>
              <w:top w:val="nil"/>
              <w:left w:val="nil"/>
              <w:bottom w:val="single" w:sz="4" w:space="0" w:color="auto"/>
              <w:right w:val="single" w:sz="4" w:space="0" w:color="auto"/>
            </w:tcBorders>
            <w:shd w:val="clear" w:color="auto" w:fill="auto"/>
            <w:vAlign w:val="center"/>
            <w:hideMark/>
          </w:tcPr>
          <w:p w14:paraId="73E403CE"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10.357</w:t>
            </w:r>
          </w:p>
        </w:tc>
        <w:tc>
          <w:tcPr>
            <w:tcW w:w="425" w:type="pct"/>
            <w:tcBorders>
              <w:top w:val="nil"/>
              <w:left w:val="nil"/>
              <w:bottom w:val="single" w:sz="4" w:space="0" w:color="auto"/>
              <w:right w:val="single" w:sz="4" w:space="0" w:color="auto"/>
            </w:tcBorders>
            <w:shd w:val="clear" w:color="auto" w:fill="auto"/>
            <w:vAlign w:val="center"/>
            <w:hideMark/>
          </w:tcPr>
          <w:p w14:paraId="0D72F8BD"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13.834</w:t>
            </w:r>
          </w:p>
        </w:tc>
        <w:tc>
          <w:tcPr>
            <w:tcW w:w="617" w:type="pct"/>
            <w:tcBorders>
              <w:top w:val="nil"/>
              <w:left w:val="nil"/>
              <w:bottom w:val="single" w:sz="4" w:space="0" w:color="auto"/>
              <w:right w:val="single" w:sz="4" w:space="0" w:color="auto"/>
            </w:tcBorders>
            <w:shd w:val="clear" w:color="auto" w:fill="auto"/>
            <w:vAlign w:val="center"/>
            <w:hideMark/>
          </w:tcPr>
          <w:p w14:paraId="0EBD2ABA"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29.992</w:t>
            </w:r>
          </w:p>
        </w:tc>
        <w:tc>
          <w:tcPr>
            <w:tcW w:w="691" w:type="pct"/>
            <w:tcBorders>
              <w:top w:val="nil"/>
              <w:left w:val="nil"/>
              <w:bottom w:val="single" w:sz="4" w:space="0" w:color="auto"/>
              <w:right w:val="single" w:sz="4" w:space="0" w:color="auto"/>
            </w:tcBorders>
            <w:shd w:val="clear" w:color="auto" w:fill="auto"/>
            <w:vAlign w:val="center"/>
            <w:hideMark/>
          </w:tcPr>
          <w:p w14:paraId="0A1CE0AA"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29.992</w:t>
            </w:r>
          </w:p>
        </w:tc>
      </w:tr>
      <w:tr w:rsidR="000B393D" w:rsidRPr="00533135" w14:paraId="0F4A493A"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457CC5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N4. Pagerėjusi žmonių sveikata ir darbingumas</w:t>
            </w:r>
          </w:p>
        </w:tc>
        <w:tc>
          <w:tcPr>
            <w:tcW w:w="545" w:type="pct"/>
            <w:tcBorders>
              <w:top w:val="nil"/>
              <w:left w:val="nil"/>
              <w:bottom w:val="single" w:sz="4" w:space="0" w:color="auto"/>
              <w:right w:val="single" w:sz="4" w:space="0" w:color="auto"/>
            </w:tcBorders>
            <w:shd w:val="clear" w:color="auto" w:fill="auto"/>
            <w:vAlign w:val="center"/>
            <w:hideMark/>
          </w:tcPr>
          <w:p w14:paraId="37475444"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467877B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7.221</w:t>
            </w:r>
          </w:p>
        </w:tc>
        <w:tc>
          <w:tcPr>
            <w:tcW w:w="425" w:type="pct"/>
            <w:tcBorders>
              <w:top w:val="nil"/>
              <w:left w:val="nil"/>
              <w:bottom w:val="single" w:sz="4" w:space="0" w:color="auto"/>
              <w:right w:val="single" w:sz="4" w:space="0" w:color="auto"/>
            </w:tcBorders>
            <w:shd w:val="clear" w:color="auto" w:fill="auto"/>
            <w:vAlign w:val="center"/>
            <w:hideMark/>
          </w:tcPr>
          <w:p w14:paraId="1694839D"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16.117</w:t>
            </w:r>
          </w:p>
        </w:tc>
        <w:tc>
          <w:tcPr>
            <w:tcW w:w="425" w:type="pct"/>
            <w:tcBorders>
              <w:top w:val="nil"/>
              <w:left w:val="nil"/>
              <w:bottom w:val="single" w:sz="4" w:space="0" w:color="auto"/>
              <w:right w:val="single" w:sz="4" w:space="0" w:color="auto"/>
            </w:tcBorders>
            <w:shd w:val="clear" w:color="auto" w:fill="auto"/>
            <w:vAlign w:val="center"/>
            <w:hideMark/>
          </w:tcPr>
          <w:p w14:paraId="5A89EE5B"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26.520</w:t>
            </w:r>
          </w:p>
        </w:tc>
        <w:tc>
          <w:tcPr>
            <w:tcW w:w="617" w:type="pct"/>
            <w:tcBorders>
              <w:top w:val="nil"/>
              <w:left w:val="nil"/>
              <w:bottom w:val="single" w:sz="4" w:space="0" w:color="auto"/>
              <w:right w:val="single" w:sz="4" w:space="0" w:color="auto"/>
            </w:tcBorders>
            <w:shd w:val="clear" w:color="auto" w:fill="auto"/>
            <w:vAlign w:val="center"/>
            <w:hideMark/>
          </w:tcPr>
          <w:p w14:paraId="788A0E78"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49.859</w:t>
            </w:r>
          </w:p>
        </w:tc>
        <w:tc>
          <w:tcPr>
            <w:tcW w:w="691" w:type="pct"/>
            <w:tcBorders>
              <w:top w:val="nil"/>
              <w:left w:val="nil"/>
              <w:bottom w:val="single" w:sz="4" w:space="0" w:color="auto"/>
              <w:right w:val="single" w:sz="4" w:space="0" w:color="auto"/>
            </w:tcBorders>
            <w:shd w:val="clear" w:color="auto" w:fill="auto"/>
            <w:vAlign w:val="center"/>
            <w:hideMark/>
          </w:tcPr>
          <w:p w14:paraId="635A03A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73.123</w:t>
            </w:r>
          </w:p>
        </w:tc>
      </w:tr>
      <w:tr w:rsidR="000B393D" w:rsidRPr="00533135" w14:paraId="3B2B0F61"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2FE7F4B6"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N5. Gyvenamojo būsto vertės padidėjimas</w:t>
            </w:r>
          </w:p>
        </w:tc>
        <w:tc>
          <w:tcPr>
            <w:tcW w:w="545" w:type="pct"/>
            <w:tcBorders>
              <w:top w:val="nil"/>
              <w:left w:val="nil"/>
              <w:bottom w:val="single" w:sz="4" w:space="0" w:color="auto"/>
              <w:right w:val="single" w:sz="4" w:space="0" w:color="auto"/>
            </w:tcBorders>
            <w:shd w:val="clear" w:color="auto" w:fill="auto"/>
            <w:vAlign w:val="center"/>
            <w:hideMark/>
          </w:tcPr>
          <w:p w14:paraId="70A3BE42"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54C6E98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831</w:t>
            </w:r>
          </w:p>
        </w:tc>
        <w:tc>
          <w:tcPr>
            <w:tcW w:w="425" w:type="pct"/>
            <w:tcBorders>
              <w:top w:val="nil"/>
              <w:left w:val="nil"/>
              <w:bottom w:val="single" w:sz="4" w:space="0" w:color="auto"/>
              <w:right w:val="single" w:sz="4" w:space="0" w:color="auto"/>
            </w:tcBorders>
            <w:shd w:val="clear" w:color="auto" w:fill="auto"/>
            <w:vAlign w:val="center"/>
            <w:hideMark/>
          </w:tcPr>
          <w:p w14:paraId="6DF8D98B"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1.615</w:t>
            </w:r>
          </w:p>
        </w:tc>
        <w:tc>
          <w:tcPr>
            <w:tcW w:w="425" w:type="pct"/>
            <w:tcBorders>
              <w:top w:val="nil"/>
              <w:left w:val="nil"/>
              <w:bottom w:val="single" w:sz="4" w:space="0" w:color="auto"/>
              <w:right w:val="single" w:sz="4" w:space="0" w:color="auto"/>
            </w:tcBorders>
            <w:shd w:val="clear" w:color="auto" w:fill="auto"/>
            <w:vAlign w:val="center"/>
            <w:hideMark/>
          </w:tcPr>
          <w:p w14:paraId="7EBEA7F9"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2.083</w:t>
            </w:r>
          </w:p>
        </w:tc>
        <w:tc>
          <w:tcPr>
            <w:tcW w:w="617" w:type="pct"/>
            <w:tcBorders>
              <w:top w:val="nil"/>
              <w:left w:val="nil"/>
              <w:bottom w:val="single" w:sz="4" w:space="0" w:color="auto"/>
              <w:right w:val="single" w:sz="4" w:space="0" w:color="auto"/>
            </w:tcBorders>
            <w:shd w:val="clear" w:color="auto" w:fill="auto"/>
            <w:vAlign w:val="center"/>
            <w:hideMark/>
          </w:tcPr>
          <w:p w14:paraId="733EECAC"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4.529</w:t>
            </w:r>
          </w:p>
        </w:tc>
        <w:tc>
          <w:tcPr>
            <w:tcW w:w="691" w:type="pct"/>
            <w:tcBorders>
              <w:top w:val="nil"/>
              <w:left w:val="nil"/>
              <w:bottom w:val="single" w:sz="4" w:space="0" w:color="auto"/>
              <w:right w:val="single" w:sz="4" w:space="0" w:color="auto"/>
            </w:tcBorders>
            <w:shd w:val="clear" w:color="auto" w:fill="auto"/>
            <w:vAlign w:val="center"/>
            <w:hideMark/>
          </w:tcPr>
          <w:p w14:paraId="500A6E0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4.529</w:t>
            </w:r>
          </w:p>
        </w:tc>
      </w:tr>
      <w:tr w:rsidR="000B393D" w:rsidRPr="00533135" w14:paraId="10D4317A"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7DF9CF1B"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N6 Taršos sumažėjimas</w:t>
            </w:r>
          </w:p>
        </w:tc>
        <w:tc>
          <w:tcPr>
            <w:tcW w:w="545" w:type="pct"/>
            <w:tcBorders>
              <w:top w:val="nil"/>
              <w:left w:val="nil"/>
              <w:bottom w:val="single" w:sz="4" w:space="0" w:color="auto"/>
              <w:right w:val="single" w:sz="4" w:space="0" w:color="auto"/>
            </w:tcBorders>
            <w:shd w:val="clear" w:color="auto" w:fill="auto"/>
            <w:vAlign w:val="center"/>
            <w:hideMark/>
          </w:tcPr>
          <w:p w14:paraId="738B3AF6"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3F61EED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55</w:t>
            </w:r>
          </w:p>
        </w:tc>
        <w:tc>
          <w:tcPr>
            <w:tcW w:w="425" w:type="pct"/>
            <w:tcBorders>
              <w:top w:val="nil"/>
              <w:left w:val="nil"/>
              <w:bottom w:val="single" w:sz="4" w:space="0" w:color="auto"/>
              <w:right w:val="single" w:sz="4" w:space="0" w:color="auto"/>
            </w:tcBorders>
            <w:shd w:val="clear" w:color="auto" w:fill="auto"/>
            <w:vAlign w:val="center"/>
            <w:hideMark/>
          </w:tcPr>
          <w:p w14:paraId="2B13C715"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288</w:t>
            </w:r>
          </w:p>
        </w:tc>
        <w:tc>
          <w:tcPr>
            <w:tcW w:w="425" w:type="pct"/>
            <w:tcBorders>
              <w:top w:val="nil"/>
              <w:left w:val="nil"/>
              <w:bottom w:val="single" w:sz="4" w:space="0" w:color="auto"/>
              <w:right w:val="single" w:sz="4" w:space="0" w:color="auto"/>
            </w:tcBorders>
            <w:shd w:val="clear" w:color="auto" w:fill="auto"/>
            <w:vAlign w:val="center"/>
            <w:hideMark/>
          </w:tcPr>
          <w:p w14:paraId="30C92D79"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857</w:t>
            </w:r>
          </w:p>
        </w:tc>
        <w:tc>
          <w:tcPr>
            <w:tcW w:w="617" w:type="pct"/>
            <w:tcBorders>
              <w:top w:val="nil"/>
              <w:left w:val="nil"/>
              <w:bottom w:val="single" w:sz="4" w:space="0" w:color="auto"/>
              <w:right w:val="single" w:sz="4" w:space="0" w:color="auto"/>
            </w:tcBorders>
            <w:shd w:val="clear" w:color="auto" w:fill="auto"/>
            <w:vAlign w:val="center"/>
            <w:hideMark/>
          </w:tcPr>
          <w:p w14:paraId="30E24151"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1.201</w:t>
            </w:r>
          </w:p>
        </w:tc>
        <w:tc>
          <w:tcPr>
            <w:tcW w:w="691" w:type="pct"/>
            <w:tcBorders>
              <w:top w:val="nil"/>
              <w:left w:val="nil"/>
              <w:bottom w:val="single" w:sz="4" w:space="0" w:color="auto"/>
              <w:right w:val="single" w:sz="4" w:space="0" w:color="auto"/>
            </w:tcBorders>
            <w:shd w:val="clear" w:color="auto" w:fill="auto"/>
            <w:vAlign w:val="center"/>
            <w:hideMark/>
          </w:tcPr>
          <w:p w14:paraId="72F08967"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2.606</w:t>
            </w:r>
          </w:p>
        </w:tc>
      </w:tr>
      <w:tr w:rsidR="000B393D" w:rsidRPr="00533135" w14:paraId="6E9FD533"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377ACEF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N7. Sumažėjusios išmokos</w:t>
            </w:r>
          </w:p>
        </w:tc>
        <w:tc>
          <w:tcPr>
            <w:tcW w:w="545" w:type="pct"/>
            <w:tcBorders>
              <w:top w:val="nil"/>
              <w:left w:val="nil"/>
              <w:bottom w:val="single" w:sz="4" w:space="0" w:color="auto"/>
              <w:right w:val="single" w:sz="4" w:space="0" w:color="auto"/>
            </w:tcBorders>
            <w:shd w:val="clear" w:color="auto" w:fill="auto"/>
            <w:vAlign w:val="center"/>
            <w:hideMark/>
          </w:tcPr>
          <w:p w14:paraId="7D61C12C"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2A3CBC15"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32</w:t>
            </w:r>
          </w:p>
        </w:tc>
        <w:tc>
          <w:tcPr>
            <w:tcW w:w="425" w:type="pct"/>
            <w:tcBorders>
              <w:top w:val="nil"/>
              <w:left w:val="nil"/>
              <w:bottom w:val="single" w:sz="4" w:space="0" w:color="auto"/>
              <w:right w:val="single" w:sz="4" w:space="0" w:color="auto"/>
            </w:tcBorders>
            <w:shd w:val="clear" w:color="auto" w:fill="auto"/>
            <w:vAlign w:val="center"/>
            <w:hideMark/>
          </w:tcPr>
          <w:p w14:paraId="77083849"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89</w:t>
            </w:r>
          </w:p>
        </w:tc>
        <w:tc>
          <w:tcPr>
            <w:tcW w:w="425" w:type="pct"/>
            <w:tcBorders>
              <w:top w:val="nil"/>
              <w:left w:val="nil"/>
              <w:bottom w:val="single" w:sz="4" w:space="0" w:color="auto"/>
              <w:right w:val="single" w:sz="4" w:space="0" w:color="auto"/>
            </w:tcBorders>
            <w:shd w:val="clear" w:color="auto" w:fill="auto"/>
            <w:vAlign w:val="center"/>
            <w:hideMark/>
          </w:tcPr>
          <w:p w14:paraId="11642D6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147</w:t>
            </w:r>
          </w:p>
        </w:tc>
        <w:tc>
          <w:tcPr>
            <w:tcW w:w="617" w:type="pct"/>
            <w:tcBorders>
              <w:top w:val="nil"/>
              <w:left w:val="nil"/>
              <w:bottom w:val="single" w:sz="4" w:space="0" w:color="auto"/>
              <w:right w:val="single" w:sz="4" w:space="0" w:color="auto"/>
            </w:tcBorders>
            <w:shd w:val="clear" w:color="auto" w:fill="auto"/>
            <w:vAlign w:val="center"/>
            <w:hideMark/>
          </w:tcPr>
          <w:p w14:paraId="4B2D8215"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268</w:t>
            </w:r>
          </w:p>
        </w:tc>
        <w:tc>
          <w:tcPr>
            <w:tcW w:w="691" w:type="pct"/>
            <w:tcBorders>
              <w:top w:val="nil"/>
              <w:left w:val="nil"/>
              <w:bottom w:val="single" w:sz="4" w:space="0" w:color="auto"/>
              <w:right w:val="single" w:sz="4" w:space="0" w:color="auto"/>
            </w:tcBorders>
            <w:shd w:val="clear" w:color="auto" w:fill="auto"/>
            <w:vAlign w:val="center"/>
            <w:hideMark/>
          </w:tcPr>
          <w:p w14:paraId="2BE4410A"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268</w:t>
            </w:r>
          </w:p>
        </w:tc>
      </w:tr>
      <w:tr w:rsidR="000B393D" w:rsidRPr="00533135" w14:paraId="0E90303C"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4C30B0E" w14:textId="77777777" w:rsidR="000B393D" w:rsidRPr="00533135" w:rsidRDefault="000B393D" w:rsidP="003E0C4E">
            <w:pPr>
              <w:spacing w:line="240" w:lineRule="auto"/>
              <w:rPr>
                <w:rFonts w:ascii="Times New Roman" w:eastAsia="Times New Roman" w:hAnsi="Times New Roman"/>
                <w:b/>
                <w:bCs/>
                <w:sz w:val="20"/>
                <w:szCs w:val="20"/>
              </w:rPr>
            </w:pPr>
            <w:r w:rsidRPr="00533135">
              <w:rPr>
                <w:rFonts w:ascii="Times New Roman" w:eastAsia="Times New Roman" w:hAnsi="Times New Roman"/>
                <w:b/>
                <w:bCs/>
                <w:sz w:val="20"/>
                <w:szCs w:val="20"/>
              </w:rPr>
              <w:t>Ekonominės naudos (iš viso):</w:t>
            </w:r>
          </w:p>
        </w:tc>
        <w:tc>
          <w:tcPr>
            <w:tcW w:w="545" w:type="pct"/>
            <w:tcBorders>
              <w:top w:val="nil"/>
              <w:left w:val="nil"/>
              <w:bottom w:val="single" w:sz="4" w:space="0" w:color="auto"/>
              <w:right w:val="single" w:sz="4" w:space="0" w:color="auto"/>
            </w:tcBorders>
            <w:shd w:val="clear" w:color="auto" w:fill="auto"/>
            <w:vAlign w:val="center"/>
            <w:hideMark/>
          </w:tcPr>
          <w:p w14:paraId="498BBF6C" w14:textId="77777777" w:rsidR="000B393D" w:rsidRPr="00533135" w:rsidRDefault="000B393D" w:rsidP="003E0C4E">
            <w:pPr>
              <w:spacing w:line="240" w:lineRule="auto"/>
              <w:rPr>
                <w:rFonts w:ascii="Times New Roman" w:eastAsia="Times New Roman" w:hAnsi="Times New Roman"/>
                <w:b/>
                <w:bCs/>
                <w:sz w:val="20"/>
                <w:szCs w:val="20"/>
              </w:rPr>
            </w:pPr>
            <w:r w:rsidRPr="00533135">
              <w:rPr>
                <w:rFonts w:ascii="Times New Roman" w:eastAsia="Times New Roman" w:hAnsi="Times New Roman"/>
                <w:b/>
                <w:bCs/>
                <w:sz w:val="20"/>
                <w:szCs w:val="20"/>
              </w:rPr>
              <w:t xml:space="preserve">mln. </w:t>
            </w:r>
            <w:proofErr w:type="spellStart"/>
            <w:r w:rsidRPr="00533135">
              <w:rPr>
                <w:rFonts w:ascii="Times New Roman" w:eastAsia="Times New Roman" w:hAnsi="Times New Roman"/>
                <w:b/>
                <w:bCs/>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113B79F0"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11.910</w:t>
            </w:r>
          </w:p>
        </w:tc>
        <w:tc>
          <w:tcPr>
            <w:tcW w:w="425" w:type="pct"/>
            <w:tcBorders>
              <w:top w:val="nil"/>
              <w:left w:val="nil"/>
              <w:bottom w:val="single" w:sz="4" w:space="0" w:color="auto"/>
              <w:right w:val="single" w:sz="4" w:space="0" w:color="auto"/>
            </w:tcBorders>
            <w:shd w:val="clear" w:color="auto" w:fill="auto"/>
            <w:vAlign w:val="center"/>
            <w:hideMark/>
          </w:tcPr>
          <w:p w14:paraId="31C1AEA6"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24.842</w:t>
            </w:r>
          </w:p>
        </w:tc>
        <w:tc>
          <w:tcPr>
            <w:tcW w:w="425" w:type="pct"/>
            <w:tcBorders>
              <w:top w:val="nil"/>
              <w:left w:val="nil"/>
              <w:bottom w:val="single" w:sz="4" w:space="0" w:color="auto"/>
              <w:right w:val="single" w:sz="4" w:space="0" w:color="auto"/>
            </w:tcBorders>
            <w:shd w:val="clear" w:color="auto" w:fill="auto"/>
            <w:vAlign w:val="center"/>
            <w:hideMark/>
          </w:tcPr>
          <w:p w14:paraId="6E55F490"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38.600</w:t>
            </w:r>
          </w:p>
        </w:tc>
        <w:tc>
          <w:tcPr>
            <w:tcW w:w="617" w:type="pct"/>
            <w:tcBorders>
              <w:top w:val="nil"/>
              <w:left w:val="nil"/>
              <w:bottom w:val="single" w:sz="4" w:space="0" w:color="auto"/>
              <w:right w:val="single" w:sz="4" w:space="0" w:color="auto"/>
            </w:tcBorders>
            <w:shd w:val="clear" w:color="auto" w:fill="auto"/>
            <w:vAlign w:val="center"/>
            <w:hideMark/>
          </w:tcPr>
          <w:p w14:paraId="7294257B"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75.351</w:t>
            </w:r>
          </w:p>
        </w:tc>
        <w:tc>
          <w:tcPr>
            <w:tcW w:w="691" w:type="pct"/>
            <w:tcBorders>
              <w:top w:val="nil"/>
              <w:left w:val="nil"/>
              <w:bottom w:val="single" w:sz="4" w:space="0" w:color="auto"/>
              <w:right w:val="single" w:sz="4" w:space="0" w:color="auto"/>
            </w:tcBorders>
            <w:shd w:val="clear" w:color="auto" w:fill="auto"/>
            <w:vAlign w:val="center"/>
            <w:hideMark/>
          </w:tcPr>
          <w:p w14:paraId="386ED28D"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100.020</w:t>
            </w:r>
          </w:p>
        </w:tc>
      </w:tr>
    </w:tbl>
    <w:p w14:paraId="7C973909" w14:textId="747EADD7" w:rsidR="002B6D0A" w:rsidRPr="00650EE4" w:rsidRDefault="002B6D0A" w:rsidP="00631BA6">
      <w:pPr>
        <w:pStyle w:val="TESlentelspavadinimas"/>
        <w:rPr>
          <w:noProof w:val="0"/>
        </w:rPr>
      </w:pPr>
      <w:r w:rsidRPr="00650EE4">
        <w:rPr>
          <w:noProof w:val="0"/>
        </w:rPr>
        <w:t xml:space="preserve">Šaltinis: Studijos </w:t>
      </w:r>
      <w:r w:rsidR="004C5495" w:rsidRPr="004C5495">
        <w:rPr>
          <w:noProof w:val="0"/>
        </w:rPr>
        <w:t xml:space="preserve">Lietuvos ilgalaikei renovacijos strategijai parengti </w:t>
      </w:r>
      <w:r w:rsidRPr="00650EE4">
        <w:rPr>
          <w:noProof w:val="0"/>
        </w:rPr>
        <w:t>autoriai</w:t>
      </w:r>
    </w:p>
    <w:p w14:paraId="44D71196" w14:textId="77777777" w:rsidR="002938F5" w:rsidRPr="00650EE4" w:rsidRDefault="002938F5" w:rsidP="002938F5">
      <w:pPr>
        <w:jc w:val="both"/>
        <w:rPr>
          <w:rFonts w:ascii="Times New Roman" w:hAnsi="Times New Roman"/>
          <w:color w:val="000000" w:themeColor="text1"/>
          <w:szCs w:val="22"/>
        </w:rPr>
      </w:pPr>
    </w:p>
    <w:p w14:paraId="13BD2CF9" w14:textId="2D76FCE7" w:rsidR="002B6D0A" w:rsidRDefault="000B393D" w:rsidP="00982203">
      <w:pPr>
        <w:spacing w:after="120"/>
        <w:jc w:val="both"/>
        <w:rPr>
          <w:rFonts w:ascii="Times New Roman" w:hAnsi="Times New Roman"/>
          <w:szCs w:val="22"/>
        </w:rPr>
      </w:pPr>
      <w:r>
        <w:rPr>
          <w:rFonts w:ascii="Times New Roman" w:hAnsi="Times New Roman"/>
          <w:color w:val="000000" w:themeColor="text1"/>
          <w:szCs w:val="22"/>
        </w:rPr>
        <w:t>Vertinant</w:t>
      </w:r>
      <w:r w:rsidR="002B6D0A" w:rsidRPr="00650EE4">
        <w:rPr>
          <w:rFonts w:ascii="Times New Roman" w:hAnsi="Times New Roman"/>
          <w:color w:val="000000" w:themeColor="text1"/>
          <w:szCs w:val="22"/>
        </w:rPr>
        <w:t xml:space="preserve"> aukščiau pateiktus duomenis</w:t>
      </w:r>
      <w:r w:rsidR="00904299" w:rsidRPr="00650EE4">
        <w:rPr>
          <w:rFonts w:ascii="Times New Roman" w:hAnsi="Times New Roman"/>
          <w:color w:val="000000" w:themeColor="text1"/>
          <w:szCs w:val="22"/>
        </w:rPr>
        <w:t xml:space="preserve"> </w:t>
      </w:r>
      <w:r>
        <w:rPr>
          <w:rFonts w:ascii="Times New Roman" w:hAnsi="Times New Roman"/>
          <w:color w:val="000000" w:themeColor="text1"/>
          <w:szCs w:val="22"/>
        </w:rPr>
        <w:t>svarbu</w:t>
      </w:r>
      <w:r w:rsidR="003B0CBE" w:rsidRPr="00650EE4">
        <w:rPr>
          <w:rFonts w:ascii="Times New Roman" w:hAnsi="Times New Roman"/>
          <w:color w:val="000000" w:themeColor="text1"/>
          <w:szCs w:val="22"/>
        </w:rPr>
        <w:t xml:space="preserve"> pastebėti, kad r</w:t>
      </w:r>
      <w:r w:rsidR="002B6D0A" w:rsidRPr="00650EE4">
        <w:rPr>
          <w:rFonts w:ascii="Times New Roman" w:hAnsi="Times New Roman"/>
          <w:szCs w:val="22"/>
        </w:rPr>
        <w:t>e</w:t>
      </w:r>
      <w:r w:rsidR="00BD2F3C" w:rsidRPr="00650EE4">
        <w:rPr>
          <w:rFonts w:ascii="Times New Roman" w:hAnsi="Times New Roman"/>
          <w:szCs w:val="22"/>
        </w:rPr>
        <w:t xml:space="preserve">ikšminga dalis naudų persikelia </w:t>
      </w:r>
      <w:r w:rsidR="002B6D0A" w:rsidRPr="00650EE4">
        <w:rPr>
          <w:rFonts w:ascii="Times New Roman" w:hAnsi="Times New Roman"/>
          <w:szCs w:val="22"/>
        </w:rPr>
        <w:t>į laikotarpį po renovacijos įgyvendinimo (</w:t>
      </w:r>
      <w:r w:rsidR="00BD2F3C" w:rsidRPr="00650EE4">
        <w:rPr>
          <w:rFonts w:ascii="Times New Roman" w:hAnsi="Times New Roman"/>
          <w:szCs w:val="22"/>
        </w:rPr>
        <w:t xml:space="preserve">t.y. </w:t>
      </w:r>
      <w:r w:rsidR="002B6D0A" w:rsidRPr="00650EE4">
        <w:rPr>
          <w:rFonts w:ascii="Times New Roman" w:hAnsi="Times New Roman"/>
          <w:szCs w:val="22"/>
        </w:rPr>
        <w:t>po 2050 m.), pvz., 2050 metais renovuotas pastatas taupys energiją iki 2079 metų.</w:t>
      </w:r>
      <w:r w:rsidR="00904299" w:rsidRPr="00650EE4">
        <w:rPr>
          <w:rFonts w:ascii="Times New Roman" w:hAnsi="Times New Roman"/>
          <w:szCs w:val="22"/>
        </w:rPr>
        <w:t xml:space="preserve"> </w:t>
      </w:r>
      <w:r w:rsidR="002B6D0A" w:rsidRPr="00650EE4">
        <w:rPr>
          <w:rFonts w:ascii="Times New Roman" w:hAnsi="Times New Roman"/>
          <w:szCs w:val="22"/>
        </w:rPr>
        <w:t xml:space="preserve">Tačiau net ir </w:t>
      </w:r>
      <w:r w:rsidR="00BE2209" w:rsidRPr="00650EE4">
        <w:rPr>
          <w:rFonts w:ascii="Times New Roman" w:hAnsi="Times New Roman"/>
          <w:szCs w:val="22"/>
        </w:rPr>
        <w:t>IRS</w:t>
      </w:r>
      <w:r w:rsidR="00F401A9" w:rsidRPr="00650EE4">
        <w:rPr>
          <w:rFonts w:ascii="Times New Roman" w:hAnsi="Times New Roman"/>
          <w:szCs w:val="22"/>
        </w:rPr>
        <w:t xml:space="preserve"> įgyvendinimo</w:t>
      </w:r>
      <w:r w:rsidR="002B6D0A" w:rsidRPr="00650EE4">
        <w:rPr>
          <w:rFonts w:ascii="Times New Roman" w:hAnsi="Times New Roman"/>
          <w:szCs w:val="22"/>
        </w:rPr>
        <w:t xml:space="preserve"> laikotarpiu (2021-2050 m.) </w:t>
      </w:r>
      <w:r w:rsidR="00904299" w:rsidRPr="00650EE4">
        <w:rPr>
          <w:rFonts w:ascii="Times New Roman" w:hAnsi="Times New Roman"/>
          <w:szCs w:val="22"/>
        </w:rPr>
        <w:t>renovacijos</w:t>
      </w:r>
      <w:r w:rsidR="00BE2209" w:rsidRPr="00650EE4">
        <w:rPr>
          <w:rFonts w:ascii="Times New Roman" w:hAnsi="Times New Roman"/>
          <w:szCs w:val="22"/>
        </w:rPr>
        <w:t xml:space="preserve"> naudos </w:t>
      </w:r>
      <w:r w:rsidR="00B664BB" w:rsidRPr="00650EE4">
        <w:rPr>
          <w:rFonts w:ascii="Times New Roman" w:hAnsi="Times New Roman"/>
          <w:szCs w:val="22"/>
        </w:rPr>
        <w:t xml:space="preserve">reikšmingai </w:t>
      </w:r>
      <w:r w:rsidR="00BE2209" w:rsidRPr="00650EE4">
        <w:rPr>
          <w:rFonts w:ascii="Times New Roman" w:hAnsi="Times New Roman"/>
          <w:szCs w:val="22"/>
        </w:rPr>
        <w:t xml:space="preserve">viršija </w:t>
      </w:r>
      <w:r w:rsidR="00B664BB" w:rsidRPr="00650EE4">
        <w:rPr>
          <w:rFonts w:ascii="Times New Roman" w:hAnsi="Times New Roman"/>
          <w:szCs w:val="22"/>
        </w:rPr>
        <w:t xml:space="preserve">įgyvendinimui reikalingas </w:t>
      </w:r>
      <w:r w:rsidR="00BE2209" w:rsidRPr="00650EE4">
        <w:rPr>
          <w:rFonts w:ascii="Times New Roman" w:hAnsi="Times New Roman"/>
          <w:szCs w:val="22"/>
        </w:rPr>
        <w:t>investicijas</w:t>
      </w:r>
      <w:r w:rsidR="002B6D0A" w:rsidRPr="00650EE4">
        <w:rPr>
          <w:rFonts w:ascii="Times New Roman" w:hAnsi="Times New Roman"/>
          <w:szCs w:val="22"/>
        </w:rPr>
        <w:t>.</w:t>
      </w:r>
    </w:p>
    <w:p w14:paraId="1ECA39A7" w14:textId="06899C77" w:rsidR="00F50651" w:rsidRPr="00650EE4" w:rsidRDefault="00F50651" w:rsidP="00982203">
      <w:pPr>
        <w:spacing w:before="240" w:after="120"/>
        <w:jc w:val="both"/>
        <w:rPr>
          <w:rFonts w:ascii="Times New Roman" w:hAnsi="Times New Roman"/>
          <w:b/>
          <w:bCs/>
          <w:sz w:val="24"/>
          <w:szCs w:val="24"/>
        </w:rPr>
      </w:pPr>
      <w:r w:rsidRPr="00650EE4">
        <w:rPr>
          <w:rFonts w:ascii="Times New Roman" w:hAnsi="Times New Roman"/>
          <w:b/>
          <w:bCs/>
          <w:sz w:val="24"/>
          <w:szCs w:val="24"/>
        </w:rPr>
        <w:t>Renovacijos</w:t>
      </w:r>
      <w:r w:rsidR="006F66F3" w:rsidRPr="00650EE4">
        <w:rPr>
          <w:rFonts w:ascii="Times New Roman" w:hAnsi="Times New Roman"/>
          <w:b/>
          <w:bCs/>
          <w:sz w:val="24"/>
          <w:szCs w:val="24"/>
        </w:rPr>
        <w:t xml:space="preserve"> </w:t>
      </w:r>
      <w:r w:rsidR="007A4F1F">
        <w:rPr>
          <w:rFonts w:ascii="Times New Roman" w:hAnsi="Times New Roman"/>
          <w:b/>
          <w:bCs/>
          <w:sz w:val="24"/>
          <w:szCs w:val="24"/>
        </w:rPr>
        <w:t xml:space="preserve">strategijos </w:t>
      </w:r>
      <w:r w:rsidR="006F66F3" w:rsidRPr="00650EE4">
        <w:rPr>
          <w:rFonts w:ascii="Times New Roman" w:hAnsi="Times New Roman"/>
          <w:b/>
          <w:bCs/>
          <w:sz w:val="24"/>
          <w:szCs w:val="24"/>
        </w:rPr>
        <w:t>įgyvendinimo</w:t>
      </w:r>
      <w:r w:rsidRPr="00650EE4">
        <w:rPr>
          <w:rFonts w:ascii="Times New Roman" w:hAnsi="Times New Roman"/>
          <w:b/>
          <w:bCs/>
          <w:sz w:val="24"/>
          <w:szCs w:val="24"/>
        </w:rPr>
        <w:t xml:space="preserve"> </w:t>
      </w:r>
      <w:r w:rsidR="004636A0" w:rsidRPr="00650EE4">
        <w:rPr>
          <w:rFonts w:ascii="Times New Roman" w:hAnsi="Times New Roman"/>
          <w:b/>
          <w:bCs/>
          <w:sz w:val="24"/>
          <w:szCs w:val="24"/>
        </w:rPr>
        <w:t>modelis</w:t>
      </w:r>
      <w:r w:rsidRPr="00650EE4">
        <w:rPr>
          <w:rFonts w:ascii="Times New Roman" w:hAnsi="Times New Roman"/>
          <w:b/>
          <w:bCs/>
          <w:sz w:val="24"/>
          <w:szCs w:val="24"/>
        </w:rPr>
        <w:t xml:space="preserve"> ir veiksmų planas</w:t>
      </w:r>
    </w:p>
    <w:p w14:paraId="6B0C574C" w14:textId="551A97DA" w:rsidR="00E46172" w:rsidRPr="00650EE4" w:rsidRDefault="00AF48F2" w:rsidP="00F50651">
      <w:pPr>
        <w:spacing w:before="120" w:after="120" w:line="240" w:lineRule="auto"/>
        <w:jc w:val="both"/>
        <w:rPr>
          <w:rFonts w:ascii="Times New Roman" w:hAnsi="Times New Roman"/>
          <w:szCs w:val="24"/>
        </w:rPr>
      </w:pPr>
      <w:r w:rsidRPr="00E60DE6">
        <w:rPr>
          <w:rFonts w:ascii="Times New Roman" w:hAnsi="Times New Roman"/>
          <w:szCs w:val="24"/>
        </w:rPr>
        <w:t xml:space="preserve">Tam, kad būtų pasiekti aukščiau aprašyti IRS </w:t>
      </w:r>
      <w:r w:rsidR="008F3F58">
        <w:rPr>
          <w:rFonts w:ascii="Times New Roman" w:hAnsi="Times New Roman"/>
          <w:szCs w:val="24"/>
        </w:rPr>
        <w:t>rodikliai</w:t>
      </w:r>
      <w:r w:rsidR="00F50651" w:rsidRPr="00E60DE6">
        <w:rPr>
          <w:rFonts w:ascii="Times New Roman" w:hAnsi="Times New Roman"/>
          <w:szCs w:val="24"/>
        </w:rPr>
        <w:t xml:space="preserve">, renovacijoje </w:t>
      </w:r>
      <w:r w:rsidR="00E46172" w:rsidRPr="00E60DE6">
        <w:rPr>
          <w:rFonts w:ascii="Times New Roman" w:hAnsi="Times New Roman"/>
          <w:szCs w:val="24"/>
        </w:rPr>
        <w:t xml:space="preserve">per 30 metų periodą </w:t>
      </w:r>
      <w:r w:rsidR="00F50651" w:rsidRPr="00E60DE6">
        <w:rPr>
          <w:rFonts w:ascii="Times New Roman" w:hAnsi="Times New Roman"/>
          <w:szCs w:val="24"/>
        </w:rPr>
        <w:t xml:space="preserve">turi dalyvauti </w:t>
      </w:r>
      <w:r w:rsidR="000B393D">
        <w:rPr>
          <w:rFonts w:ascii="Times New Roman" w:hAnsi="Times New Roman"/>
          <w:szCs w:val="24"/>
        </w:rPr>
        <w:t xml:space="preserve">daugiau nei </w:t>
      </w:r>
      <w:r w:rsidR="000B393D">
        <w:rPr>
          <w:rFonts w:ascii="Times New Roman" w:hAnsi="Times New Roman"/>
          <w:szCs w:val="24"/>
          <w:lang w:val="en-GB"/>
        </w:rPr>
        <w:t>75</w:t>
      </w:r>
      <w:r w:rsidR="00F50651" w:rsidRPr="00E60DE6">
        <w:rPr>
          <w:rFonts w:ascii="Times New Roman" w:hAnsi="Times New Roman"/>
          <w:szCs w:val="24"/>
        </w:rPr>
        <w:t xml:space="preserve"> proc. </w:t>
      </w:r>
      <w:r w:rsidR="00C937BC" w:rsidRPr="00E60DE6">
        <w:rPr>
          <w:rFonts w:ascii="Times New Roman" w:hAnsi="Times New Roman"/>
          <w:szCs w:val="24"/>
        </w:rPr>
        <w:t>p</w:t>
      </w:r>
      <w:r w:rsidR="00F50651" w:rsidRPr="00E60DE6">
        <w:rPr>
          <w:rFonts w:ascii="Times New Roman" w:hAnsi="Times New Roman"/>
          <w:szCs w:val="24"/>
        </w:rPr>
        <w:t>astatų fondo pastatų.</w:t>
      </w:r>
      <w:r w:rsidR="00F50651" w:rsidRPr="00650EE4">
        <w:rPr>
          <w:rFonts w:ascii="Times New Roman" w:hAnsi="Times New Roman"/>
          <w:szCs w:val="24"/>
        </w:rPr>
        <w:t xml:space="preserve"> Lietuvoje tik 2 </w:t>
      </w:r>
      <w:r w:rsidR="00771B46" w:rsidRPr="00650EE4">
        <w:rPr>
          <w:rFonts w:ascii="Times New Roman" w:hAnsi="Times New Roman"/>
          <w:szCs w:val="24"/>
        </w:rPr>
        <w:t>proc. P</w:t>
      </w:r>
      <w:r w:rsidR="00F50651" w:rsidRPr="00650EE4">
        <w:rPr>
          <w:rFonts w:ascii="Times New Roman" w:hAnsi="Times New Roman"/>
          <w:szCs w:val="24"/>
        </w:rPr>
        <w:t>astatų fondo vienetų nuosavybės yra vieša (valstybės arba savivaldybės nuosavybė), likusi</w:t>
      </w:r>
      <w:r w:rsidR="00E46172" w:rsidRPr="00650EE4">
        <w:rPr>
          <w:rFonts w:ascii="Times New Roman" w:hAnsi="Times New Roman"/>
          <w:szCs w:val="24"/>
        </w:rPr>
        <w:t>ų 98 proc.</w:t>
      </w:r>
      <w:r w:rsidR="00F50651" w:rsidRPr="00650EE4">
        <w:rPr>
          <w:rFonts w:ascii="Times New Roman" w:hAnsi="Times New Roman"/>
          <w:szCs w:val="24"/>
        </w:rPr>
        <w:t xml:space="preserve"> nuosavybė yra privati (t.y. fizinių arba juridinių asmenų). Atitinkamai, siekiant proveržio,</w:t>
      </w:r>
      <w:r w:rsidR="00E46172" w:rsidRPr="00650EE4">
        <w:rPr>
          <w:rFonts w:ascii="Times New Roman" w:hAnsi="Times New Roman"/>
          <w:szCs w:val="24"/>
        </w:rPr>
        <w:t xml:space="preserve"> renovacijos nauda</w:t>
      </w:r>
      <w:r w:rsidR="00F50651" w:rsidRPr="00650EE4">
        <w:rPr>
          <w:rFonts w:ascii="Times New Roman" w:hAnsi="Times New Roman"/>
          <w:szCs w:val="24"/>
        </w:rPr>
        <w:t xml:space="preserve"> reikia įtikinti absoliučią daugumą pastatų savininkų.</w:t>
      </w:r>
    </w:p>
    <w:p w14:paraId="4F128A6B" w14:textId="60FA5B3A" w:rsidR="00F50651" w:rsidRPr="00650EE4" w:rsidRDefault="00CE4833" w:rsidP="00F50651">
      <w:pPr>
        <w:spacing w:before="120" w:after="120" w:line="240" w:lineRule="auto"/>
        <w:jc w:val="both"/>
        <w:rPr>
          <w:rFonts w:ascii="Times New Roman" w:hAnsi="Times New Roman"/>
          <w:szCs w:val="24"/>
        </w:rPr>
      </w:pPr>
      <w:r>
        <w:rPr>
          <w:rFonts w:ascii="Times New Roman" w:hAnsi="Times New Roman"/>
          <w:szCs w:val="24"/>
        </w:rPr>
        <w:lastRenderedPageBreak/>
        <w:t>T</w:t>
      </w:r>
      <w:r w:rsidR="00F50651" w:rsidRPr="00650EE4">
        <w:rPr>
          <w:rFonts w:ascii="Times New Roman" w:hAnsi="Times New Roman"/>
          <w:szCs w:val="24"/>
        </w:rPr>
        <w:t xml:space="preserve">okiam rezultatui pasiekti būtina, kad IRS įgyvendinimo modelis būtų orientuotas į pastato savininką, jo lūkesčius, bei esminių barjerų, trukdančių jo apsisprendimui dalyvauti renovacijoje, panaikinimą. </w:t>
      </w:r>
    </w:p>
    <w:p w14:paraId="3B1B274E" w14:textId="77777777" w:rsidR="00B664BB" w:rsidRPr="00650EE4" w:rsidRDefault="00F77D31" w:rsidP="00F50651">
      <w:pPr>
        <w:spacing w:before="120" w:after="120" w:line="240" w:lineRule="auto"/>
        <w:jc w:val="both"/>
        <w:rPr>
          <w:rFonts w:ascii="Times New Roman" w:hAnsi="Times New Roman"/>
          <w:szCs w:val="24"/>
        </w:rPr>
      </w:pPr>
      <w:r w:rsidRPr="00650EE4">
        <w:rPr>
          <w:rFonts w:ascii="Times New Roman" w:hAnsi="Times New Roman"/>
          <w:color w:val="000000" w:themeColor="text1"/>
          <w:szCs w:val="22"/>
        </w:rPr>
        <w:t>Skirtingos studijos ir tyrimai pateikia skirtingus pastatų savininkų lūkesčius ir tipinius barjerus, kurie trukdo savininkų apsisprendimui dalyvauti renovacijoje. Tačiau, apibendrinant, galima teigti, kad pastato savininkas dalyvaus renovacijoje tada kai tikės, kad renovacijos naudos bus didesnės nei jo investicija.</w:t>
      </w:r>
      <w:r w:rsidRPr="00650EE4">
        <w:rPr>
          <w:rFonts w:ascii="Times New Roman" w:hAnsi="Times New Roman"/>
          <w:szCs w:val="24"/>
        </w:rPr>
        <w:t xml:space="preserve"> </w:t>
      </w:r>
    </w:p>
    <w:p w14:paraId="1555010B" w14:textId="461CAB3C" w:rsidR="00F50651" w:rsidRPr="00650EE4" w:rsidRDefault="00CE4833" w:rsidP="00F50651">
      <w:pPr>
        <w:spacing w:before="120" w:after="120" w:line="240" w:lineRule="auto"/>
        <w:jc w:val="both"/>
        <w:rPr>
          <w:rFonts w:ascii="Times New Roman" w:hAnsi="Times New Roman"/>
          <w:szCs w:val="24"/>
        </w:rPr>
      </w:pPr>
      <w:r>
        <w:rPr>
          <w:rFonts w:ascii="Times New Roman" w:hAnsi="Times New Roman"/>
          <w:szCs w:val="24"/>
        </w:rPr>
        <w:t>T</w:t>
      </w:r>
      <w:r w:rsidR="00F77D31" w:rsidRPr="00650EE4">
        <w:rPr>
          <w:rFonts w:ascii="Times New Roman" w:hAnsi="Times New Roman"/>
          <w:szCs w:val="24"/>
        </w:rPr>
        <w:t>am, kad pastato savininkas patikėtų renovacijos nauda, turi būti išpildytos kelios esminės sąlygos:</w:t>
      </w:r>
    </w:p>
    <w:p w14:paraId="7915B21F" w14:textId="77777777" w:rsidR="00F50651" w:rsidRPr="00650EE4" w:rsidRDefault="00F50651" w:rsidP="00F50651">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b/>
          <w:color w:val="000000" w:themeColor="text1"/>
          <w:szCs w:val="22"/>
        </w:rPr>
        <w:t>Nauda savininkui turi objektyviai egzistuoti</w:t>
      </w:r>
      <w:r w:rsidRPr="00650EE4">
        <w:rPr>
          <w:rFonts w:ascii="Times New Roman" w:hAnsi="Times New Roman"/>
          <w:color w:val="000000" w:themeColor="text1"/>
          <w:szCs w:val="22"/>
        </w:rPr>
        <w:t>.</w:t>
      </w:r>
    </w:p>
    <w:p w14:paraId="505F5921" w14:textId="7B0D64E7" w:rsidR="00F50651" w:rsidRPr="00650EE4" w:rsidRDefault="00F50651" w:rsidP="00F50651">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b/>
          <w:color w:val="000000" w:themeColor="text1"/>
          <w:szCs w:val="22"/>
        </w:rPr>
        <w:t xml:space="preserve">Savininkas turi būti </w:t>
      </w:r>
      <w:r w:rsidR="00B8506E" w:rsidRPr="00650EE4">
        <w:rPr>
          <w:rFonts w:ascii="Times New Roman" w:hAnsi="Times New Roman"/>
          <w:b/>
          <w:color w:val="000000" w:themeColor="text1"/>
          <w:szCs w:val="22"/>
        </w:rPr>
        <w:t>informuotas</w:t>
      </w:r>
      <w:r w:rsidR="00AD6E4F" w:rsidRPr="00650EE4">
        <w:rPr>
          <w:rFonts w:ascii="Times New Roman" w:hAnsi="Times New Roman"/>
          <w:b/>
          <w:color w:val="000000" w:themeColor="text1"/>
          <w:szCs w:val="22"/>
        </w:rPr>
        <w:t xml:space="preserve"> </w:t>
      </w:r>
      <w:r w:rsidRPr="00650EE4">
        <w:rPr>
          <w:rFonts w:ascii="Times New Roman" w:hAnsi="Times New Roman"/>
          <w:b/>
          <w:color w:val="000000" w:themeColor="text1"/>
          <w:szCs w:val="22"/>
        </w:rPr>
        <w:t>apie</w:t>
      </w:r>
      <w:r w:rsidR="00AD6E4F" w:rsidRPr="00650EE4">
        <w:rPr>
          <w:rFonts w:ascii="Times New Roman" w:hAnsi="Times New Roman"/>
          <w:b/>
          <w:color w:val="000000" w:themeColor="text1"/>
          <w:szCs w:val="22"/>
        </w:rPr>
        <w:t xml:space="preserve"> egzistuojančias naudas</w:t>
      </w:r>
      <w:r w:rsidR="00CE4833">
        <w:rPr>
          <w:rFonts w:ascii="Times New Roman" w:hAnsi="Times New Roman"/>
          <w:b/>
          <w:color w:val="000000" w:themeColor="text1"/>
          <w:szCs w:val="22"/>
        </w:rPr>
        <w:t xml:space="preserve"> </w:t>
      </w:r>
      <w:r w:rsidRPr="00650EE4">
        <w:rPr>
          <w:rFonts w:ascii="Times New Roman" w:hAnsi="Times New Roman"/>
          <w:color w:val="000000" w:themeColor="text1"/>
          <w:szCs w:val="22"/>
        </w:rPr>
        <w:t xml:space="preserve">– svarbu įvertinti, kad savininko investicija yra finansinė, o renovacijos teikiamos naudos daugialypės (ne tik energijos sutaupymas ir sumažėjusios išlaidos, bet ir būsto vertės padidėjimas, geresnė socialinė aplinka ir pan.), todėl savininkas turi būti informuotas apie visą renovacijos galimybių ir naudų spektrą. </w:t>
      </w:r>
    </w:p>
    <w:p w14:paraId="74EB2937" w14:textId="14A76A04" w:rsidR="00F50651" w:rsidRPr="00650EE4" w:rsidRDefault="00F50651" w:rsidP="00F50651">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b/>
          <w:color w:val="000000" w:themeColor="text1"/>
          <w:szCs w:val="22"/>
        </w:rPr>
        <w:t xml:space="preserve">Turi </w:t>
      </w:r>
      <w:r w:rsidR="00AD6E4F" w:rsidRPr="00650EE4">
        <w:rPr>
          <w:rFonts w:ascii="Times New Roman" w:hAnsi="Times New Roman"/>
          <w:b/>
          <w:color w:val="000000" w:themeColor="text1"/>
          <w:szCs w:val="22"/>
        </w:rPr>
        <w:t>būti parengti</w:t>
      </w:r>
      <w:r w:rsidRPr="00650EE4">
        <w:rPr>
          <w:rFonts w:ascii="Times New Roman" w:hAnsi="Times New Roman"/>
          <w:b/>
          <w:color w:val="000000" w:themeColor="text1"/>
          <w:szCs w:val="22"/>
        </w:rPr>
        <w:t xml:space="preserve"> finansavimo sprendimai</w:t>
      </w:r>
      <w:r w:rsidRPr="00650EE4">
        <w:rPr>
          <w:rFonts w:ascii="Times New Roman" w:hAnsi="Times New Roman"/>
          <w:color w:val="000000" w:themeColor="text1"/>
          <w:szCs w:val="22"/>
        </w:rPr>
        <w:t xml:space="preserve"> - net ir tikintis renovacijos nauda pastato savininkas nedalyvaus renovacijoje, jei neturės tam finansinių galimybių.</w:t>
      </w:r>
    </w:p>
    <w:p w14:paraId="7C992833" w14:textId="77777777" w:rsidR="00F50651" w:rsidRPr="00650EE4" w:rsidRDefault="00F50651" w:rsidP="00AB7311">
      <w:pPr>
        <w:pStyle w:val="Pagrindinispaprastastekstas"/>
        <w:numPr>
          <w:ilvl w:val="0"/>
          <w:numId w:val="10"/>
        </w:numPr>
        <w:spacing w:after="240"/>
        <w:ind w:left="714" w:hanging="357"/>
        <w:rPr>
          <w:rFonts w:ascii="Times New Roman" w:hAnsi="Times New Roman"/>
          <w:color w:val="000000" w:themeColor="text1"/>
          <w:szCs w:val="22"/>
        </w:rPr>
      </w:pPr>
      <w:r w:rsidRPr="00650EE4">
        <w:rPr>
          <w:rFonts w:ascii="Times New Roman" w:hAnsi="Times New Roman"/>
          <w:b/>
          <w:color w:val="000000" w:themeColor="text1"/>
          <w:szCs w:val="22"/>
        </w:rPr>
        <w:t>Turi būti pakankamas užtikrinimas, kad renovacijos naudos bus realizuotos</w:t>
      </w:r>
      <w:r w:rsidRPr="00650EE4">
        <w:rPr>
          <w:rFonts w:ascii="Times New Roman" w:hAnsi="Times New Roman"/>
          <w:color w:val="000000" w:themeColor="text1"/>
          <w:szCs w:val="22"/>
        </w:rPr>
        <w:t xml:space="preserve"> – net ir tikintis renovacijos nauda ir turintis patrauklias finansavimo galimybes pastato savininkas tikėtina nedalyvaus renovacijoje, jei netikės, kad planuojamas rezultatas bus pasiektas.</w:t>
      </w:r>
    </w:p>
    <w:p w14:paraId="00190DDA" w14:textId="00361CA8" w:rsidR="00AB7311" w:rsidRPr="00650EE4" w:rsidRDefault="00AB7311" w:rsidP="00631BA6">
      <w:pPr>
        <w:pStyle w:val="TESlentelspavadinimas"/>
        <w:rPr>
          <w:noProof w:val="0"/>
        </w:rPr>
      </w:pPr>
      <w:r w:rsidRPr="00650EE4">
        <w:rPr>
          <w:noProof w:val="0"/>
        </w:rPr>
        <w:t xml:space="preserve">Renovacijos įgyvendinimo modelis </w:t>
      </w:r>
    </w:p>
    <w:p w14:paraId="3A7C49E1" w14:textId="32EF7489" w:rsidR="001F1ABA" w:rsidRPr="00650EE4" w:rsidRDefault="001F1ABA" w:rsidP="00631BA6">
      <w:pPr>
        <w:pStyle w:val="TESlentelspavadinimas"/>
        <w:rPr>
          <w:noProof w:val="0"/>
        </w:rPr>
      </w:pPr>
      <w:r w:rsidRPr="00650EE4">
        <w:rPr>
          <w:lang w:eastAsia="lt-LT"/>
        </w:rPr>
        <w:drawing>
          <wp:inline distT="0" distB="0" distL="0" distR="0" wp14:anchorId="4F901008" wp14:editId="3487F6AD">
            <wp:extent cx="6390005" cy="3150456"/>
            <wp:effectExtent l="19050" t="19050" r="1079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1448" cy="3175819"/>
                    </a:xfrm>
                    <a:prstGeom prst="rect">
                      <a:avLst/>
                    </a:prstGeom>
                    <a:noFill/>
                    <a:ln>
                      <a:solidFill>
                        <a:schemeClr val="tx1"/>
                      </a:solidFill>
                    </a:ln>
                  </pic:spPr>
                </pic:pic>
              </a:graphicData>
            </a:graphic>
          </wp:inline>
        </w:drawing>
      </w:r>
    </w:p>
    <w:p w14:paraId="56003C28" w14:textId="3F809C12" w:rsidR="00AB7311" w:rsidRPr="00650EE4" w:rsidRDefault="00AB7311" w:rsidP="00631BA6">
      <w:pPr>
        <w:pStyle w:val="TESlentelspavadinimas"/>
        <w:rPr>
          <w:noProof w:val="0"/>
        </w:rPr>
      </w:pPr>
      <w:r w:rsidRPr="00650EE4">
        <w:rPr>
          <w:noProof w:val="0"/>
        </w:rPr>
        <w:t>Šaltinis: Studijos</w:t>
      </w:r>
      <w:r w:rsidR="00CE4833">
        <w:rPr>
          <w:noProof w:val="0"/>
        </w:rPr>
        <w:t xml:space="preserve"> </w:t>
      </w:r>
      <w:r w:rsidR="00CE4833" w:rsidRPr="00CE4833">
        <w:rPr>
          <w:noProof w:val="0"/>
        </w:rPr>
        <w:t>Lietuvos ilgalaikei renovacijos strategijai parengti</w:t>
      </w:r>
      <w:r w:rsidRPr="00650EE4">
        <w:rPr>
          <w:noProof w:val="0"/>
        </w:rPr>
        <w:t xml:space="preserve"> autoriai</w:t>
      </w:r>
    </w:p>
    <w:p w14:paraId="54638B2E" w14:textId="77777777" w:rsidR="00C232FF" w:rsidRPr="00650EE4" w:rsidRDefault="00C232FF" w:rsidP="00F50651">
      <w:pPr>
        <w:spacing w:after="120"/>
        <w:jc w:val="both"/>
        <w:rPr>
          <w:rFonts w:ascii="Times New Roman" w:hAnsi="Times New Roman"/>
          <w:szCs w:val="24"/>
        </w:rPr>
      </w:pPr>
    </w:p>
    <w:p w14:paraId="73452045" w14:textId="24EA87AC" w:rsidR="00F50651" w:rsidRPr="00650EE4" w:rsidRDefault="00801701" w:rsidP="00F50651">
      <w:pPr>
        <w:spacing w:after="120"/>
        <w:jc w:val="both"/>
        <w:rPr>
          <w:rFonts w:ascii="Times New Roman" w:hAnsi="Times New Roman"/>
          <w:szCs w:val="22"/>
        </w:rPr>
      </w:pPr>
      <w:r w:rsidRPr="00650EE4">
        <w:rPr>
          <w:rFonts w:ascii="Times New Roman" w:hAnsi="Times New Roman"/>
          <w:szCs w:val="24"/>
        </w:rPr>
        <w:t>P</w:t>
      </w:r>
      <w:r w:rsidR="00F50651" w:rsidRPr="00650EE4">
        <w:rPr>
          <w:rFonts w:ascii="Times New Roman" w:hAnsi="Times New Roman"/>
          <w:szCs w:val="24"/>
        </w:rPr>
        <w:t>rincipin</w:t>
      </w:r>
      <w:r w:rsidRPr="00650EE4">
        <w:rPr>
          <w:rFonts w:ascii="Times New Roman" w:hAnsi="Times New Roman"/>
          <w:szCs w:val="24"/>
        </w:rPr>
        <w:t>ės</w:t>
      </w:r>
      <w:r w:rsidR="00F50651" w:rsidRPr="00650EE4">
        <w:rPr>
          <w:rFonts w:ascii="Times New Roman" w:hAnsi="Times New Roman"/>
          <w:szCs w:val="24"/>
        </w:rPr>
        <w:t xml:space="preserve"> </w:t>
      </w:r>
      <w:r w:rsidRPr="00650EE4">
        <w:rPr>
          <w:rFonts w:ascii="Times New Roman" w:hAnsi="Times New Roman"/>
          <w:szCs w:val="24"/>
        </w:rPr>
        <w:t xml:space="preserve">IRS </w:t>
      </w:r>
      <w:r w:rsidR="00F50651" w:rsidRPr="00650EE4">
        <w:rPr>
          <w:rFonts w:ascii="Times New Roman" w:hAnsi="Times New Roman"/>
          <w:szCs w:val="24"/>
        </w:rPr>
        <w:t>įgyvendinim</w:t>
      </w:r>
      <w:r w:rsidR="00B320E2" w:rsidRPr="00650EE4">
        <w:rPr>
          <w:rFonts w:ascii="Times New Roman" w:hAnsi="Times New Roman"/>
          <w:szCs w:val="24"/>
        </w:rPr>
        <w:t xml:space="preserve">o </w:t>
      </w:r>
      <w:r w:rsidR="00F50651" w:rsidRPr="00650EE4">
        <w:rPr>
          <w:rFonts w:ascii="Times New Roman" w:hAnsi="Times New Roman"/>
          <w:szCs w:val="24"/>
        </w:rPr>
        <w:t>priemon</w:t>
      </w:r>
      <w:r w:rsidRPr="00650EE4">
        <w:rPr>
          <w:rFonts w:ascii="Times New Roman" w:hAnsi="Times New Roman"/>
          <w:szCs w:val="24"/>
        </w:rPr>
        <w:t>ės</w:t>
      </w:r>
      <w:r w:rsidR="00F50651" w:rsidRPr="00650EE4">
        <w:rPr>
          <w:rFonts w:ascii="Times New Roman" w:hAnsi="Times New Roman"/>
          <w:szCs w:val="24"/>
        </w:rPr>
        <w:t>:</w:t>
      </w:r>
    </w:p>
    <w:p w14:paraId="3DF3FCE4" w14:textId="293E0788" w:rsidR="00F50651" w:rsidRPr="00650EE4" w:rsidRDefault="0084304C" w:rsidP="00EA18BD">
      <w:pPr>
        <w:spacing w:before="240" w:after="120" w:line="240" w:lineRule="auto"/>
        <w:jc w:val="both"/>
        <w:rPr>
          <w:rFonts w:ascii="Times New Roman" w:hAnsi="Times New Roman"/>
          <w:szCs w:val="24"/>
        </w:rPr>
      </w:pPr>
      <w:r w:rsidRPr="00650EE4">
        <w:rPr>
          <w:rFonts w:ascii="Times New Roman" w:hAnsi="Times New Roman"/>
          <w:b/>
          <w:bCs/>
          <w:szCs w:val="24"/>
        </w:rPr>
        <w:t xml:space="preserve">1. </w:t>
      </w:r>
      <w:r w:rsidR="00F50651" w:rsidRPr="00650EE4">
        <w:rPr>
          <w:rFonts w:ascii="Times New Roman" w:hAnsi="Times New Roman"/>
          <w:b/>
          <w:bCs/>
          <w:szCs w:val="24"/>
        </w:rPr>
        <w:t>Integruotas planavimas</w:t>
      </w:r>
      <w:r w:rsidR="00F50651" w:rsidRPr="00650EE4">
        <w:rPr>
          <w:rFonts w:ascii="Times New Roman" w:hAnsi="Times New Roman"/>
          <w:szCs w:val="24"/>
        </w:rPr>
        <w:t xml:space="preserve">. </w:t>
      </w:r>
      <w:r w:rsidR="005F11AA" w:rsidRPr="00650EE4">
        <w:rPr>
          <w:rFonts w:ascii="Times New Roman" w:hAnsi="Times New Roman"/>
          <w:szCs w:val="24"/>
        </w:rPr>
        <w:t>Renovacijos procesas fragmentuotas, dalyvauja skirtingos suinteresuotos šalys, renovacija daro tiesioginę įtaką susijusiems sektoriams (pvz., energetikos infrastruktūros planavimui, urbanistiniam planavimui, regionų plėtros planavimui, socialinės gerovės užtikrinimui ir pan.), o IRS numatyti siektini rodikliai tiesiogiai priklauso nuo energetikos sektoriaus raidos scenarijų. Atitinkamai, s</w:t>
      </w:r>
      <w:r w:rsidR="00F50651" w:rsidRPr="00650EE4">
        <w:rPr>
          <w:rFonts w:ascii="Times New Roman" w:hAnsi="Times New Roman"/>
          <w:szCs w:val="24"/>
        </w:rPr>
        <w:t>ieki</w:t>
      </w:r>
      <w:r w:rsidR="007A52B6">
        <w:rPr>
          <w:rFonts w:ascii="Times New Roman" w:hAnsi="Times New Roman"/>
          <w:szCs w:val="24"/>
        </w:rPr>
        <w:t>ant įgyvendinti IRS suplanuotą p</w:t>
      </w:r>
      <w:r w:rsidR="00F50651" w:rsidRPr="00650EE4">
        <w:rPr>
          <w:rFonts w:ascii="Times New Roman" w:hAnsi="Times New Roman"/>
          <w:szCs w:val="24"/>
        </w:rPr>
        <w:t>astatų fondo transformaciją būtina atlikti bazinius, vadybinius planavimo etapo sprendimus:</w:t>
      </w:r>
    </w:p>
    <w:p w14:paraId="54397A30" w14:textId="4BB3A401"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Integruoti IRS rodiklius į teisės aktų sistemą.</w:t>
      </w:r>
    </w:p>
    <w:p w14:paraId="3C116897" w14:textId="4EF93399"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Suformuoti </w:t>
      </w:r>
      <w:proofErr w:type="spellStart"/>
      <w:r w:rsidRPr="00650EE4">
        <w:rPr>
          <w:rFonts w:ascii="Times New Roman" w:hAnsi="Times New Roman"/>
          <w:szCs w:val="22"/>
          <w:lang w:val="lt-LT"/>
        </w:rPr>
        <w:t>tarpinstitucinį</w:t>
      </w:r>
      <w:proofErr w:type="spellEnd"/>
      <w:r w:rsidRPr="00650EE4">
        <w:rPr>
          <w:rFonts w:ascii="Times New Roman" w:hAnsi="Times New Roman"/>
          <w:szCs w:val="22"/>
          <w:lang w:val="lt-LT"/>
        </w:rPr>
        <w:t xml:space="preserve"> komitetą, darbo grupę ar pan. organizacinį struktūrinį vienetą, kuris atliktų IRS projekto valdytojo  funkcijas, t.y. </w:t>
      </w:r>
      <w:r w:rsidR="001B268D" w:rsidRPr="00650EE4">
        <w:rPr>
          <w:rFonts w:ascii="Times New Roman" w:hAnsi="Times New Roman"/>
          <w:szCs w:val="22"/>
          <w:lang w:val="lt-LT"/>
        </w:rPr>
        <w:t xml:space="preserve">apjungtų esminių suinteresuotų šalių kompetencijas ir </w:t>
      </w:r>
      <w:r w:rsidRPr="00650EE4">
        <w:rPr>
          <w:rFonts w:ascii="Times New Roman" w:hAnsi="Times New Roman"/>
          <w:szCs w:val="22"/>
          <w:lang w:val="lt-LT"/>
        </w:rPr>
        <w:t>būtų atsakingas už IRS įgyvend</w:t>
      </w:r>
      <w:r w:rsidR="001B268D" w:rsidRPr="00650EE4">
        <w:rPr>
          <w:rFonts w:ascii="Times New Roman" w:hAnsi="Times New Roman"/>
          <w:szCs w:val="22"/>
          <w:lang w:val="lt-LT"/>
        </w:rPr>
        <w:t>inimo planavimą, koordinavimą bei</w:t>
      </w:r>
      <w:r w:rsidRPr="00650EE4">
        <w:rPr>
          <w:rFonts w:ascii="Times New Roman" w:hAnsi="Times New Roman"/>
          <w:szCs w:val="22"/>
          <w:lang w:val="lt-LT"/>
        </w:rPr>
        <w:t xml:space="preserve"> </w:t>
      </w:r>
      <w:proofErr w:type="spellStart"/>
      <w:r w:rsidRPr="00650EE4">
        <w:rPr>
          <w:rFonts w:ascii="Times New Roman" w:hAnsi="Times New Roman"/>
          <w:szCs w:val="22"/>
          <w:lang w:val="lt-LT"/>
        </w:rPr>
        <w:t>stebėseną</w:t>
      </w:r>
      <w:proofErr w:type="spellEnd"/>
      <w:r w:rsidRPr="00650EE4">
        <w:rPr>
          <w:rFonts w:ascii="Times New Roman" w:hAnsi="Times New Roman"/>
          <w:szCs w:val="22"/>
          <w:lang w:val="lt-LT"/>
        </w:rPr>
        <w:t>.</w:t>
      </w:r>
    </w:p>
    <w:p w14:paraId="02E64AF1" w14:textId="1C8DB82D"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Parengti</w:t>
      </w:r>
      <w:r w:rsidR="001B268D" w:rsidRPr="00650EE4">
        <w:rPr>
          <w:rFonts w:ascii="Times New Roman" w:hAnsi="Times New Roman"/>
          <w:szCs w:val="22"/>
          <w:lang w:val="lt-LT"/>
        </w:rPr>
        <w:t xml:space="preserve"> kompleksinį</w:t>
      </w:r>
      <w:r w:rsidR="005D351E" w:rsidRPr="00650EE4">
        <w:rPr>
          <w:rFonts w:ascii="Times New Roman" w:hAnsi="Times New Roman"/>
          <w:szCs w:val="22"/>
          <w:lang w:val="lt-LT"/>
        </w:rPr>
        <w:t>, į vartot</w:t>
      </w:r>
      <w:r w:rsidR="006360EC" w:rsidRPr="00650EE4">
        <w:rPr>
          <w:rFonts w:ascii="Times New Roman" w:hAnsi="Times New Roman"/>
          <w:szCs w:val="22"/>
          <w:lang w:val="lt-LT"/>
        </w:rPr>
        <w:t>o</w:t>
      </w:r>
      <w:r w:rsidR="005D351E" w:rsidRPr="00650EE4">
        <w:rPr>
          <w:rFonts w:ascii="Times New Roman" w:hAnsi="Times New Roman"/>
          <w:szCs w:val="22"/>
          <w:lang w:val="lt-LT"/>
        </w:rPr>
        <w:t xml:space="preserve">ją orientuotą, </w:t>
      </w:r>
      <w:r w:rsidRPr="00650EE4">
        <w:rPr>
          <w:rFonts w:ascii="Times New Roman" w:hAnsi="Times New Roman"/>
          <w:szCs w:val="22"/>
          <w:lang w:val="lt-LT"/>
        </w:rPr>
        <w:t xml:space="preserve">paramos priemonių paketą. </w:t>
      </w:r>
    </w:p>
    <w:p w14:paraId="57D5AA1C" w14:textId="45A78BA9"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lastRenderedPageBreak/>
        <w:t>Detalizuoti IRS r</w:t>
      </w:r>
      <w:r w:rsidR="001B268D" w:rsidRPr="00650EE4">
        <w:rPr>
          <w:rFonts w:ascii="Times New Roman" w:hAnsi="Times New Roman"/>
          <w:szCs w:val="22"/>
          <w:lang w:val="lt-LT"/>
        </w:rPr>
        <w:t>odiklius savivaldos lygmeniu, deleguojant</w:t>
      </w:r>
      <w:r w:rsidRPr="00650EE4">
        <w:rPr>
          <w:rFonts w:ascii="Times New Roman" w:hAnsi="Times New Roman"/>
          <w:szCs w:val="22"/>
          <w:lang w:val="lt-LT"/>
        </w:rPr>
        <w:t xml:space="preserve"> savivaldybėms atsakomybę už jų įgyvendinimą</w:t>
      </w:r>
      <w:r w:rsidR="004503FC" w:rsidRPr="00650EE4">
        <w:rPr>
          <w:rFonts w:ascii="Times New Roman" w:hAnsi="Times New Roman"/>
          <w:szCs w:val="22"/>
          <w:lang w:val="lt-LT"/>
        </w:rPr>
        <w:t>, paraleliai suteikiant įgyvendinimui reik</w:t>
      </w:r>
      <w:r w:rsidR="005D39D5" w:rsidRPr="00650EE4">
        <w:rPr>
          <w:rFonts w:ascii="Times New Roman" w:hAnsi="Times New Roman"/>
          <w:szCs w:val="22"/>
          <w:lang w:val="lt-LT"/>
        </w:rPr>
        <w:t>a</w:t>
      </w:r>
      <w:r w:rsidR="004503FC" w:rsidRPr="00650EE4">
        <w:rPr>
          <w:rFonts w:ascii="Times New Roman" w:hAnsi="Times New Roman"/>
          <w:szCs w:val="22"/>
          <w:lang w:val="lt-LT"/>
        </w:rPr>
        <w:t xml:space="preserve">lingą finansavimą ir įrankius. </w:t>
      </w:r>
    </w:p>
    <w:p w14:paraId="3AEBD49C" w14:textId="1E14B29A" w:rsidR="00F50651" w:rsidRPr="00650EE4" w:rsidRDefault="00F50651" w:rsidP="00BD4925">
      <w:pPr>
        <w:pStyle w:val="ListParagraph"/>
        <w:numPr>
          <w:ilvl w:val="0"/>
          <w:numId w:val="45"/>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Įdiegti monitoringo sistemą ir užtikrinti periodinį siektinų rodiklių atnaujinimą</w:t>
      </w:r>
      <w:r w:rsidR="00C44EA0" w:rsidRPr="00650EE4">
        <w:rPr>
          <w:rFonts w:ascii="Times New Roman" w:hAnsi="Times New Roman"/>
          <w:szCs w:val="22"/>
          <w:lang w:val="lt-LT"/>
        </w:rPr>
        <w:t>,</w:t>
      </w:r>
      <w:r w:rsidRPr="00650EE4">
        <w:rPr>
          <w:rFonts w:ascii="Times New Roman" w:hAnsi="Times New Roman"/>
          <w:szCs w:val="22"/>
          <w:lang w:val="lt-LT"/>
        </w:rPr>
        <w:t xml:space="preserve"> atsižvelgiant į įgyvendinimo progresą.</w:t>
      </w:r>
    </w:p>
    <w:p w14:paraId="76B8DE48" w14:textId="3A43262B" w:rsidR="00784AD9" w:rsidRPr="00650EE4" w:rsidRDefault="0084304C" w:rsidP="008B5B07">
      <w:pPr>
        <w:spacing w:before="240" w:after="120" w:line="240" w:lineRule="auto"/>
        <w:jc w:val="both"/>
        <w:rPr>
          <w:rFonts w:ascii="Times New Roman" w:hAnsi="Times New Roman"/>
          <w:szCs w:val="24"/>
        </w:rPr>
      </w:pPr>
      <w:r w:rsidRPr="00650EE4">
        <w:rPr>
          <w:rFonts w:ascii="Times New Roman" w:hAnsi="Times New Roman"/>
          <w:b/>
          <w:bCs/>
          <w:szCs w:val="24"/>
        </w:rPr>
        <w:t xml:space="preserve">2. </w:t>
      </w:r>
      <w:r w:rsidR="00F50651" w:rsidRPr="00650EE4">
        <w:rPr>
          <w:rFonts w:ascii="Times New Roman" w:hAnsi="Times New Roman"/>
          <w:b/>
          <w:bCs/>
          <w:szCs w:val="24"/>
        </w:rPr>
        <w:t>Ko</w:t>
      </w:r>
      <w:r w:rsidR="00984524" w:rsidRPr="00650EE4">
        <w:rPr>
          <w:rFonts w:ascii="Times New Roman" w:hAnsi="Times New Roman"/>
          <w:b/>
          <w:bCs/>
          <w:szCs w:val="24"/>
        </w:rPr>
        <w:t>m</w:t>
      </w:r>
      <w:r w:rsidR="00F50651" w:rsidRPr="00650EE4">
        <w:rPr>
          <w:rFonts w:ascii="Times New Roman" w:hAnsi="Times New Roman"/>
          <w:b/>
          <w:bCs/>
          <w:szCs w:val="24"/>
        </w:rPr>
        <w:t>pleksinis paramos priemonių paketas</w:t>
      </w:r>
      <w:r w:rsidR="00D50AD9" w:rsidRPr="00650EE4">
        <w:rPr>
          <w:rFonts w:ascii="Times New Roman" w:hAnsi="Times New Roman"/>
          <w:b/>
          <w:bCs/>
          <w:szCs w:val="24"/>
        </w:rPr>
        <w:t>.</w:t>
      </w:r>
      <w:r w:rsidR="00413DF8" w:rsidRPr="00650EE4">
        <w:rPr>
          <w:rFonts w:ascii="Times New Roman" w:hAnsi="Times New Roman"/>
          <w:b/>
          <w:bCs/>
          <w:szCs w:val="24"/>
        </w:rPr>
        <w:t xml:space="preserve"> </w:t>
      </w:r>
      <w:r w:rsidR="00413DF8" w:rsidRPr="00650EE4">
        <w:rPr>
          <w:rFonts w:ascii="Times New Roman" w:hAnsi="Times New Roman"/>
          <w:bCs/>
          <w:szCs w:val="24"/>
        </w:rPr>
        <w:t>P</w:t>
      </w:r>
      <w:r w:rsidR="00413DF8" w:rsidRPr="00650EE4">
        <w:rPr>
          <w:rFonts w:ascii="Times New Roman" w:hAnsi="Times New Roman"/>
          <w:szCs w:val="24"/>
        </w:rPr>
        <w:t>aramos priemonių paketas turi būti orientuotas į vartotoją ir konkrečių IRS</w:t>
      </w:r>
      <w:r w:rsidR="00F111B4" w:rsidRPr="00650EE4">
        <w:rPr>
          <w:rFonts w:ascii="Times New Roman" w:hAnsi="Times New Roman"/>
          <w:szCs w:val="24"/>
        </w:rPr>
        <w:t xml:space="preserve"> </w:t>
      </w:r>
      <w:r w:rsidR="00805B88">
        <w:rPr>
          <w:rFonts w:ascii="Times New Roman" w:hAnsi="Times New Roman"/>
          <w:szCs w:val="24"/>
        </w:rPr>
        <w:t>rodiklių</w:t>
      </w:r>
      <w:r w:rsidR="00413DF8" w:rsidRPr="00650EE4">
        <w:rPr>
          <w:rFonts w:ascii="Times New Roman" w:hAnsi="Times New Roman"/>
          <w:szCs w:val="24"/>
        </w:rPr>
        <w:t xml:space="preserve"> įgyvendinimą</w:t>
      </w:r>
      <w:r w:rsidR="00784AD9" w:rsidRPr="00650EE4">
        <w:rPr>
          <w:rFonts w:ascii="Times New Roman" w:hAnsi="Times New Roman"/>
          <w:szCs w:val="24"/>
        </w:rPr>
        <w:t xml:space="preserve">, </w:t>
      </w:r>
      <w:r w:rsidR="00413DF8" w:rsidRPr="00650EE4">
        <w:rPr>
          <w:rFonts w:ascii="Times New Roman" w:hAnsi="Times New Roman"/>
          <w:szCs w:val="24"/>
        </w:rPr>
        <w:t>bei</w:t>
      </w:r>
      <w:r w:rsidR="00F111B4" w:rsidRPr="00650EE4">
        <w:rPr>
          <w:rFonts w:ascii="Times New Roman" w:hAnsi="Times New Roman"/>
          <w:szCs w:val="24"/>
        </w:rPr>
        <w:t xml:space="preserve"> sprendžiantis</w:t>
      </w:r>
      <w:r w:rsidR="00784AD9" w:rsidRPr="00650EE4">
        <w:rPr>
          <w:rFonts w:ascii="Times New Roman" w:hAnsi="Times New Roman"/>
          <w:szCs w:val="24"/>
        </w:rPr>
        <w:t xml:space="preserve"> </w:t>
      </w:r>
      <w:r w:rsidR="007246B9">
        <w:rPr>
          <w:rFonts w:ascii="Times New Roman" w:hAnsi="Times New Roman"/>
          <w:szCs w:val="24"/>
        </w:rPr>
        <w:t>tris</w:t>
      </w:r>
      <w:r w:rsidR="00784AD9" w:rsidRPr="00650EE4">
        <w:rPr>
          <w:rFonts w:ascii="Times New Roman" w:hAnsi="Times New Roman"/>
          <w:szCs w:val="24"/>
        </w:rPr>
        <w:t xml:space="preserve"> </w:t>
      </w:r>
      <w:r w:rsidR="00D450FE" w:rsidRPr="00650EE4">
        <w:rPr>
          <w:rFonts w:ascii="Times New Roman" w:hAnsi="Times New Roman"/>
          <w:szCs w:val="24"/>
        </w:rPr>
        <w:t>esminius uždavinius</w:t>
      </w:r>
      <w:r w:rsidR="00784AD9" w:rsidRPr="00650EE4">
        <w:rPr>
          <w:rFonts w:ascii="Times New Roman" w:hAnsi="Times New Roman"/>
          <w:szCs w:val="24"/>
        </w:rPr>
        <w:t>:</w:t>
      </w:r>
    </w:p>
    <w:p w14:paraId="4FA3065D" w14:textId="02B664A7" w:rsidR="00784AD9" w:rsidRPr="00650EE4" w:rsidRDefault="00D450FE"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Užtikrinti pakankamą </w:t>
      </w:r>
      <w:r w:rsidR="008E6DAF" w:rsidRPr="00650EE4">
        <w:rPr>
          <w:rFonts w:ascii="Times New Roman" w:hAnsi="Times New Roman"/>
          <w:szCs w:val="22"/>
          <w:lang w:val="lt-LT"/>
        </w:rPr>
        <w:t>transformacijos</w:t>
      </w:r>
      <w:r w:rsidRPr="00650EE4">
        <w:rPr>
          <w:rFonts w:ascii="Times New Roman" w:hAnsi="Times New Roman"/>
          <w:szCs w:val="22"/>
          <w:lang w:val="lt-LT"/>
        </w:rPr>
        <w:t xml:space="preserve"> gylį</w:t>
      </w:r>
      <w:r w:rsidR="00700226" w:rsidRPr="00650EE4">
        <w:rPr>
          <w:rFonts w:ascii="Times New Roman" w:hAnsi="Times New Roman"/>
          <w:szCs w:val="22"/>
          <w:lang w:val="lt-LT"/>
        </w:rPr>
        <w:t xml:space="preserve"> ir k</w:t>
      </w:r>
      <w:r w:rsidR="002A12D2" w:rsidRPr="00650EE4">
        <w:rPr>
          <w:rFonts w:ascii="Times New Roman" w:hAnsi="Times New Roman"/>
          <w:szCs w:val="22"/>
          <w:lang w:val="lt-LT"/>
        </w:rPr>
        <w:t xml:space="preserve">ompleksiškumą </w:t>
      </w:r>
      <w:r w:rsidR="00413DF8" w:rsidRPr="00650EE4">
        <w:rPr>
          <w:rFonts w:ascii="Times New Roman" w:hAnsi="Times New Roman"/>
          <w:szCs w:val="24"/>
          <w:lang w:val="lt-LT"/>
        </w:rPr>
        <w:t xml:space="preserve">t.y. siekti gilios, </w:t>
      </w:r>
      <w:r w:rsidR="00413DF8" w:rsidRPr="00650EE4">
        <w:rPr>
          <w:rFonts w:ascii="Times New Roman" w:hAnsi="Times New Roman"/>
          <w:szCs w:val="22"/>
          <w:lang w:val="lt-LT"/>
        </w:rPr>
        <w:t>esminės</w:t>
      </w:r>
      <w:r w:rsidR="007E178E" w:rsidRPr="00650EE4">
        <w:rPr>
          <w:rFonts w:ascii="Times New Roman" w:hAnsi="Times New Roman"/>
          <w:szCs w:val="22"/>
          <w:lang w:val="lt-LT"/>
        </w:rPr>
        <w:t>,</w:t>
      </w:r>
      <w:r w:rsidR="00413DF8" w:rsidRPr="00650EE4">
        <w:rPr>
          <w:rFonts w:ascii="Times New Roman" w:hAnsi="Times New Roman"/>
          <w:szCs w:val="22"/>
          <w:lang w:val="lt-LT"/>
        </w:rPr>
        <w:t xml:space="preserve"> integruotos </w:t>
      </w:r>
      <w:r w:rsidR="002C604A" w:rsidRPr="00650EE4">
        <w:rPr>
          <w:rFonts w:ascii="Times New Roman" w:hAnsi="Times New Roman"/>
          <w:szCs w:val="22"/>
          <w:lang w:val="lt-LT"/>
        </w:rPr>
        <w:t>su susijusia infrastuktūra</w:t>
      </w:r>
      <w:r w:rsidR="00230751" w:rsidRPr="00650EE4">
        <w:rPr>
          <w:rFonts w:ascii="Times New Roman" w:hAnsi="Times New Roman"/>
          <w:szCs w:val="22"/>
          <w:lang w:val="lt-LT"/>
        </w:rPr>
        <w:t xml:space="preserve"> </w:t>
      </w:r>
      <w:r w:rsidR="00700226" w:rsidRPr="00650EE4">
        <w:rPr>
          <w:rFonts w:ascii="Times New Roman" w:hAnsi="Times New Roman"/>
          <w:szCs w:val="22"/>
          <w:lang w:val="lt-LT"/>
        </w:rPr>
        <w:t>(CŠT</w:t>
      </w:r>
      <w:r w:rsidR="006524EE" w:rsidRPr="00650EE4">
        <w:rPr>
          <w:rFonts w:ascii="Times New Roman" w:hAnsi="Times New Roman"/>
          <w:szCs w:val="22"/>
          <w:lang w:val="lt-LT"/>
        </w:rPr>
        <w:t xml:space="preserve"> ir elektros tinklais, gatvėmis, miesto erdvėmis ir pan.</w:t>
      </w:r>
      <w:r w:rsidR="00C937BC">
        <w:rPr>
          <w:rFonts w:ascii="Times New Roman" w:hAnsi="Times New Roman"/>
          <w:szCs w:val="22"/>
          <w:lang w:val="lt-LT"/>
        </w:rPr>
        <w:t>) p</w:t>
      </w:r>
      <w:r w:rsidR="00700226" w:rsidRPr="00650EE4">
        <w:rPr>
          <w:rFonts w:ascii="Times New Roman" w:hAnsi="Times New Roman"/>
          <w:szCs w:val="22"/>
          <w:lang w:val="lt-LT"/>
        </w:rPr>
        <w:t xml:space="preserve">astatų fondo </w:t>
      </w:r>
      <w:r w:rsidR="00B8506E" w:rsidRPr="00650EE4">
        <w:rPr>
          <w:rFonts w:ascii="Times New Roman" w:hAnsi="Times New Roman"/>
          <w:szCs w:val="22"/>
          <w:lang w:val="lt-LT"/>
        </w:rPr>
        <w:t>transformacijos</w:t>
      </w:r>
      <w:r w:rsidR="00700226" w:rsidRPr="00650EE4">
        <w:rPr>
          <w:rFonts w:ascii="Times New Roman" w:hAnsi="Times New Roman"/>
          <w:szCs w:val="22"/>
          <w:lang w:val="lt-LT"/>
        </w:rPr>
        <w:t xml:space="preserve">, </w:t>
      </w:r>
      <w:r w:rsidR="002C604A" w:rsidRPr="00650EE4">
        <w:rPr>
          <w:rFonts w:ascii="Times New Roman" w:hAnsi="Times New Roman"/>
          <w:szCs w:val="22"/>
          <w:lang w:val="lt-LT"/>
        </w:rPr>
        <w:t>tokiu būdu maksimizuojant ne tik energijos sutaupymus bet ir kitas esmines renovacijos naudas</w:t>
      </w:r>
      <w:r w:rsidR="00784AD9" w:rsidRPr="00650EE4">
        <w:rPr>
          <w:rFonts w:ascii="Times New Roman" w:hAnsi="Times New Roman"/>
          <w:szCs w:val="22"/>
          <w:lang w:val="lt-LT"/>
        </w:rPr>
        <w:t>.</w:t>
      </w:r>
    </w:p>
    <w:p w14:paraId="2177D3C4" w14:textId="77777777" w:rsidR="007246B9" w:rsidRDefault="002A12D2" w:rsidP="00BD4925">
      <w:pPr>
        <w:pStyle w:val="ListParagraph"/>
        <w:numPr>
          <w:ilvl w:val="0"/>
          <w:numId w:val="4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U</w:t>
      </w:r>
      <w:r w:rsidR="009B74D7" w:rsidRPr="00650EE4">
        <w:rPr>
          <w:rFonts w:ascii="Times New Roman" w:hAnsi="Times New Roman"/>
          <w:szCs w:val="22"/>
          <w:lang w:val="lt-LT"/>
        </w:rPr>
        <w:t>žtikrinti reikiamą</w:t>
      </w:r>
      <w:r w:rsidR="008E6DAF" w:rsidRPr="00650EE4">
        <w:rPr>
          <w:rFonts w:ascii="Times New Roman" w:hAnsi="Times New Roman"/>
          <w:szCs w:val="22"/>
          <w:lang w:val="lt-LT"/>
        </w:rPr>
        <w:t xml:space="preserve"> transformacijos tempą</w:t>
      </w:r>
      <w:r w:rsidR="009B74D7" w:rsidRPr="00650EE4">
        <w:rPr>
          <w:rFonts w:ascii="Times New Roman" w:hAnsi="Times New Roman"/>
          <w:szCs w:val="22"/>
          <w:lang w:val="lt-LT"/>
        </w:rPr>
        <w:t xml:space="preserve"> (apimtis), tuo pat metu neauk</w:t>
      </w:r>
      <w:r w:rsidR="00EA68ED" w:rsidRPr="00650EE4">
        <w:rPr>
          <w:rFonts w:ascii="Times New Roman" w:hAnsi="Times New Roman"/>
          <w:szCs w:val="22"/>
          <w:lang w:val="lt-LT"/>
        </w:rPr>
        <w:t xml:space="preserve">ojant nei </w:t>
      </w:r>
      <w:r w:rsidR="00F9450C" w:rsidRPr="00650EE4">
        <w:rPr>
          <w:rFonts w:ascii="Times New Roman" w:hAnsi="Times New Roman"/>
          <w:szCs w:val="22"/>
          <w:lang w:val="lt-LT"/>
        </w:rPr>
        <w:t xml:space="preserve">renovacijos </w:t>
      </w:r>
      <w:r w:rsidR="00EA68ED" w:rsidRPr="00650EE4">
        <w:rPr>
          <w:rFonts w:ascii="Times New Roman" w:hAnsi="Times New Roman"/>
          <w:szCs w:val="22"/>
          <w:lang w:val="lt-LT"/>
        </w:rPr>
        <w:t>gylio, nei kokybės</w:t>
      </w:r>
      <w:r w:rsidR="004370F5" w:rsidRPr="00650EE4">
        <w:rPr>
          <w:rFonts w:ascii="Times New Roman" w:hAnsi="Times New Roman"/>
          <w:szCs w:val="22"/>
          <w:lang w:val="lt-LT"/>
        </w:rPr>
        <w:t>,</w:t>
      </w:r>
      <w:r w:rsidR="00EA68ED" w:rsidRPr="00650EE4">
        <w:rPr>
          <w:rFonts w:ascii="Times New Roman" w:hAnsi="Times New Roman"/>
          <w:szCs w:val="22"/>
          <w:lang w:val="lt-LT"/>
        </w:rPr>
        <w:t xml:space="preserve"> nei</w:t>
      </w:r>
      <w:r w:rsidR="009B74D7" w:rsidRPr="00650EE4">
        <w:rPr>
          <w:rFonts w:ascii="Times New Roman" w:hAnsi="Times New Roman"/>
          <w:szCs w:val="22"/>
          <w:lang w:val="lt-LT"/>
        </w:rPr>
        <w:t xml:space="preserve"> transformacijos tvarumo.</w:t>
      </w:r>
    </w:p>
    <w:p w14:paraId="04482663" w14:textId="3AA884CE" w:rsidR="00F50651" w:rsidRPr="007246B9" w:rsidRDefault="007246B9" w:rsidP="007246B9">
      <w:pPr>
        <w:pStyle w:val="ListParagraph"/>
        <w:numPr>
          <w:ilvl w:val="0"/>
          <w:numId w:val="45"/>
        </w:numPr>
        <w:spacing w:after="120" w:line="240" w:lineRule="auto"/>
        <w:ind w:left="714" w:hanging="357"/>
        <w:contextualSpacing w:val="0"/>
        <w:jc w:val="both"/>
        <w:rPr>
          <w:rFonts w:ascii="Times New Roman" w:hAnsi="Times New Roman"/>
          <w:szCs w:val="22"/>
          <w:lang w:val="lt-LT"/>
        </w:rPr>
      </w:pPr>
      <w:r>
        <w:rPr>
          <w:rFonts w:ascii="Times New Roman" w:hAnsi="Times New Roman"/>
          <w:szCs w:val="22"/>
          <w:lang w:val="lt-LT"/>
        </w:rPr>
        <w:t>Užtikrinti iškastinį kurą naudojančių gamybos šaltinių pakeitimą.</w:t>
      </w:r>
      <w:r w:rsidR="009B74D7" w:rsidRPr="007246B9">
        <w:rPr>
          <w:rFonts w:ascii="Times New Roman" w:hAnsi="Times New Roman"/>
          <w:szCs w:val="22"/>
          <w:lang w:val="lt-LT"/>
        </w:rPr>
        <w:t xml:space="preserve"> </w:t>
      </w:r>
    </w:p>
    <w:p w14:paraId="7F45166A" w14:textId="5F3941FB" w:rsidR="00AE728C" w:rsidRPr="00650EE4" w:rsidRDefault="000D5202" w:rsidP="00FC5A03">
      <w:pPr>
        <w:spacing w:after="120" w:line="240" w:lineRule="auto"/>
        <w:jc w:val="both"/>
        <w:rPr>
          <w:rFonts w:ascii="Times New Roman" w:hAnsi="Times New Roman"/>
          <w:szCs w:val="22"/>
        </w:rPr>
      </w:pPr>
      <w:r w:rsidRPr="00650EE4">
        <w:rPr>
          <w:rFonts w:ascii="Times New Roman" w:hAnsi="Times New Roman"/>
          <w:szCs w:val="22"/>
        </w:rPr>
        <w:t>Pagrindiniai r</w:t>
      </w:r>
      <w:r w:rsidR="00FC5A03" w:rsidRPr="00650EE4">
        <w:rPr>
          <w:rFonts w:ascii="Times New Roman" w:hAnsi="Times New Roman"/>
          <w:szCs w:val="22"/>
        </w:rPr>
        <w:t>enovacijos priemonių paketo elementai</w:t>
      </w:r>
      <w:r w:rsidR="00AE728C" w:rsidRPr="00650EE4">
        <w:rPr>
          <w:rFonts w:ascii="Times New Roman" w:hAnsi="Times New Roman"/>
          <w:szCs w:val="22"/>
        </w:rPr>
        <w:t>:</w:t>
      </w:r>
    </w:p>
    <w:p w14:paraId="021F1264" w14:textId="10C27068" w:rsidR="00FB552A" w:rsidRDefault="00322A76"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Iki B/A energinio naudingumo klasės p</w:t>
      </w:r>
      <w:r w:rsidR="002C72E8" w:rsidRPr="00650EE4">
        <w:rPr>
          <w:rFonts w:ascii="Times New Roman" w:hAnsi="Times New Roman"/>
          <w:szCs w:val="22"/>
          <w:lang w:val="lt-LT"/>
        </w:rPr>
        <w:t>adidinti energinio efektyvumo reikalavimai (</w:t>
      </w:r>
      <w:r w:rsidRPr="00650EE4">
        <w:rPr>
          <w:rFonts w:ascii="Times New Roman" w:hAnsi="Times New Roman"/>
          <w:szCs w:val="22"/>
          <w:lang w:val="lt-LT"/>
        </w:rPr>
        <w:t xml:space="preserve">transformacijos </w:t>
      </w:r>
      <w:r w:rsidR="002C72E8" w:rsidRPr="00650EE4">
        <w:rPr>
          <w:rFonts w:ascii="Times New Roman" w:hAnsi="Times New Roman"/>
          <w:szCs w:val="22"/>
          <w:lang w:val="lt-LT"/>
        </w:rPr>
        <w:t>gylis)</w:t>
      </w:r>
      <w:r w:rsidRPr="00650EE4">
        <w:rPr>
          <w:rFonts w:ascii="Times New Roman" w:hAnsi="Times New Roman"/>
          <w:szCs w:val="22"/>
          <w:lang w:val="lt-LT"/>
        </w:rPr>
        <w:t>.</w:t>
      </w:r>
    </w:p>
    <w:p w14:paraId="6DFB9C30" w14:textId="0D2D94AE" w:rsidR="007246B9" w:rsidRPr="007246B9" w:rsidRDefault="007246B9" w:rsidP="007246B9">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BF50C7">
        <w:rPr>
          <w:rFonts w:ascii="Times New Roman" w:hAnsi="Times New Roman"/>
          <w:szCs w:val="22"/>
          <w:lang w:val="lt-LT"/>
        </w:rPr>
        <w:t>Nulinių CO</w:t>
      </w:r>
      <w:r w:rsidRPr="00745ABB">
        <w:rPr>
          <w:rFonts w:ascii="Times New Roman" w:hAnsi="Times New Roman"/>
          <w:szCs w:val="22"/>
          <w:vertAlign w:val="subscript"/>
          <w:lang w:val="lt-LT"/>
        </w:rPr>
        <w:t>2</w:t>
      </w:r>
      <w:r w:rsidRPr="00BF50C7">
        <w:rPr>
          <w:rFonts w:ascii="Times New Roman" w:hAnsi="Times New Roman"/>
          <w:szCs w:val="22"/>
          <w:lang w:val="lt-LT"/>
        </w:rPr>
        <w:t xml:space="preserve"> emisijų siekis </w:t>
      </w:r>
      <w:r>
        <w:rPr>
          <w:rFonts w:ascii="Times New Roman" w:hAnsi="Times New Roman"/>
          <w:szCs w:val="22"/>
          <w:lang w:val="lt-LT"/>
        </w:rPr>
        <w:t>(iškastinį kurą naudojančių gamybos šaltinių atsisakymas).</w:t>
      </w:r>
    </w:p>
    <w:p w14:paraId="7D113588" w14:textId="7BF3A7D8" w:rsidR="00FB552A" w:rsidRPr="00650EE4" w:rsidRDefault="00B8506E"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Prioretizuota</w:t>
      </w:r>
      <w:r w:rsidR="00FC5A03" w:rsidRPr="00650EE4">
        <w:rPr>
          <w:rFonts w:ascii="Times New Roman" w:hAnsi="Times New Roman"/>
          <w:szCs w:val="22"/>
          <w:lang w:val="lt-LT"/>
        </w:rPr>
        <w:t xml:space="preserve"> </w:t>
      </w:r>
      <w:proofErr w:type="spellStart"/>
      <w:r w:rsidR="00FC5A03" w:rsidRPr="00650EE4">
        <w:rPr>
          <w:rFonts w:ascii="Times New Roman" w:hAnsi="Times New Roman"/>
          <w:szCs w:val="22"/>
          <w:lang w:val="lt-LT"/>
        </w:rPr>
        <w:t>kvartalinė</w:t>
      </w:r>
      <w:proofErr w:type="spellEnd"/>
      <w:r w:rsidR="00322A76" w:rsidRPr="00650EE4">
        <w:rPr>
          <w:rFonts w:ascii="Times New Roman" w:hAnsi="Times New Roman"/>
          <w:szCs w:val="22"/>
          <w:lang w:val="lt-LT"/>
        </w:rPr>
        <w:t xml:space="preserve"> renovacija (integracija su susijusia infrastruktūra, </w:t>
      </w:r>
      <w:r w:rsidR="000C5E07" w:rsidRPr="00650EE4">
        <w:rPr>
          <w:rFonts w:ascii="Times New Roman" w:hAnsi="Times New Roman"/>
          <w:szCs w:val="22"/>
          <w:lang w:val="lt-LT"/>
        </w:rPr>
        <w:t>transformacijos tempai</w:t>
      </w:r>
      <w:r w:rsidR="002C72E8" w:rsidRPr="00650EE4">
        <w:rPr>
          <w:rFonts w:ascii="Times New Roman" w:hAnsi="Times New Roman"/>
          <w:szCs w:val="22"/>
          <w:lang w:val="lt-LT"/>
        </w:rPr>
        <w:t>, masto ekonomija)</w:t>
      </w:r>
      <w:r w:rsidR="000C5E07" w:rsidRPr="00650EE4">
        <w:rPr>
          <w:rFonts w:ascii="Times New Roman" w:hAnsi="Times New Roman"/>
          <w:szCs w:val="22"/>
          <w:lang w:val="lt-LT"/>
        </w:rPr>
        <w:t>.</w:t>
      </w:r>
    </w:p>
    <w:p w14:paraId="183F8CE2" w14:textId="62D2B70F" w:rsidR="00FB552A" w:rsidRPr="00650EE4" w:rsidRDefault="00FC5A03"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N</w:t>
      </w:r>
      <w:r w:rsidR="007F3DC8" w:rsidRPr="00650EE4">
        <w:rPr>
          <w:rFonts w:ascii="Times New Roman" w:hAnsi="Times New Roman"/>
          <w:szCs w:val="22"/>
          <w:lang w:val="lt-LT"/>
        </w:rPr>
        <w:t>umatyta</w:t>
      </w:r>
      <w:r w:rsidRPr="00650EE4">
        <w:rPr>
          <w:rFonts w:ascii="Times New Roman" w:hAnsi="Times New Roman"/>
          <w:szCs w:val="22"/>
          <w:lang w:val="lt-LT"/>
        </w:rPr>
        <w:t xml:space="preserve"> d</w:t>
      </w:r>
      <w:r w:rsidR="007F3DC8" w:rsidRPr="00650EE4">
        <w:rPr>
          <w:rFonts w:ascii="Times New Roman" w:hAnsi="Times New Roman"/>
          <w:szCs w:val="22"/>
          <w:lang w:val="lt-LT"/>
        </w:rPr>
        <w:t>alinės renovacijos galimybė</w:t>
      </w:r>
      <w:r w:rsidR="000C5E07" w:rsidRPr="00650EE4">
        <w:rPr>
          <w:rFonts w:ascii="Times New Roman" w:hAnsi="Times New Roman"/>
          <w:szCs w:val="22"/>
          <w:lang w:val="lt-LT"/>
        </w:rPr>
        <w:t xml:space="preserve"> (</w:t>
      </w:r>
      <w:r w:rsidR="002C72E8" w:rsidRPr="00650EE4">
        <w:rPr>
          <w:rFonts w:ascii="Times New Roman" w:hAnsi="Times New Roman"/>
          <w:szCs w:val="22"/>
          <w:lang w:val="lt-LT"/>
        </w:rPr>
        <w:t>lankstumas, orientacija į vartotoją)</w:t>
      </w:r>
      <w:r w:rsidR="000C5E07" w:rsidRPr="00650EE4">
        <w:rPr>
          <w:rFonts w:ascii="Times New Roman" w:hAnsi="Times New Roman"/>
          <w:szCs w:val="22"/>
          <w:lang w:val="lt-LT"/>
        </w:rPr>
        <w:t>.</w:t>
      </w:r>
    </w:p>
    <w:p w14:paraId="590C88DA" w14:textId="558B0306" w:rsidR="00FB552A" w:rsidRPr="00650EE4" w:rsidRDefault="007F3DC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w:t>
      </w:r>
      <w:r w:rsidR="002C72E8" w:rsidRPr="00650EE4">
        <w:rPr>
          <w:rFonts w:ascii="Times New Roman" w:hAnsi="Times New Roman"/>
          <w:szCs w:val="22"/>
          <w:lang w:val="lt-LT"/>
        </w:rPr>
        <w:t>rojektų agregavimas (</w:t>
      </w:r>
      <w:r w:rsidR="000C5E07" w:rsidRPr="00650EE4">
        <w:rPr>
          <w:rFonts w:ascii="Times New Roman" w:hAnsi="Times New Roman"/>
          <w:szCs w:val="22"/>
          <w:lang w:val="lt-LT"/>
        </w:rPr>
        <w:t>transformacijos tempai</w:t>
      </w:r>
      <w:r w:rsidR="002C72E8" w:rsidRPr="00650EE4">
        <w:rPr>
          <w:rFonts w:ascii="Times New Roman" w:hAnsi="Times New Roman"/>
          <w:szCs w:val="22"/>
          <w:lang w:val="lt-LT"/>
        </w:rPr>
        <w:t xml:space="preserve">, </w:t>
      </w:r>
      <w:r w:rsidR="000C5E07" w:rsidRPr="00650EE4">
        <w:rPr>
          <w:rFonts w:ascii="Times New Roman" w:hAnsi="Times New Roman"/>
          <w:szCs w:val="22"/>
          <w:lang w:val="lt-LT"/>
        </w:rPr>
        <w:t xml:space="preserve">masto ekonomija, finansavimo sprendimai). </w:t>
      </w:r>
    </w:p>
    <w:p w14:paraId="50EAE95D" w14:textId="445E976D" w:rsidR="00FB552A" w:rsidRPr="00650EE4" w:rsidRDefault="002C72E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Statybos industr</w:t>
      </w:r>
      <w:r w:rsidR="000C5E07" w:rsidRPr="00650EE4">
        <w:rPr>
          <w:rFonts w:ascii="Times New Roman" w:hAnsi="Times New Roman"/>
          <w:szCs w:val="22"/>
          <w:lang w:val="lt-LT"/>
        </w:rPr>
        <w:t>ializacija, „statyba fabrike“ (transformacijos tempai</w:t>
      </w:r>
      <w:r w:rsidRPr="00650EE4">
        <w:rPr>
          <w:rFonts w:ascii="Times New Roman" w:hAnsi="Times New Roman"/>
          <w:szCs w:val="22"/>
          <w:lang w:val="lt-LT"/>
        </w:rPr>
        <w:t xml:space="preserve">, </w:t>
      </w:r>
      <w:r w:rsidR="000C5E07" w:rsidRPr="00650EE4">
        <w:rPr>
          <w:rFonts w:ascii="Times New Roman" w:hAnsi="Times New Roman"/>
          <w:szCs w:val="22"/>
          <w:lang w:val="lt-LT"/>
        </w:rPr>
        <w:t xml:space="preserve">masto ekonomija, </w:t>
      </w:r>
      <w:r w:rsidRPr="00650EE4">
        <w:rPr>
          <w:rFonts w:ascii="Times New Roman" w:hAnsi="Times New Roman"/>
          <w:szCs w:val="22"/>
          <w:lang w:val="lt-LT"/>
        </w:rPr>
        <w:t>kokybė</w:t>
      </w:r>
      <w:r w:rsidR="000C5E07" w:rsidRPr="00650EE4">
        <w:rPr>
          <w:rFonts w:ascii="Times New Roman" w:hAnsi="Times New Roman"/>
          <w:szCs w:val="22"/>
          <w:lang w:val="lt-LT"/>
        </w:rPr>
        <w:t>s užtikrinimas</w:t>
      </w:r>
      <w:r w:rsidR="008F709D" w:rsidRPr="00650EE4">
        <w:rPr>
          <w:rFonts w:ascii="Times New Roman" w:hAnsi="Times New Roman"/>
          <w:szCs w:val="22"/>
          <w:lang w:val="lt-LT"/>
        </w:rPr>
        <w:t>, išmanios technologijos).</w:t>
      </w:r>
    </w:p>
    <w:p w14:paraId="4298FCFE" w14:textId="1F0604AD" w:rsidR="00AE728C" w:rsidRPr="00650EE4" w:rsidRDefault="00AA1510"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T</w:t>
      </w:r>
      <w:r w:rsidR="008F709D" w:rsidRPr="00650EE4">
        <w:rPr>
          <w:rFonts w:ascii="Times New Roman" w:hAnsi="Times New Roman"/>
          <w:szCs w:val="22"/>
          <w:lang w:val="lt-LT"/>
        </w:rPr>
        <w:t xml:space="preserve">ransformacijos tvarumą </w:t>
      </w:r>
      <w:r w:rsidRPr="00650EE4">
        <w:rPr>
          <w:rFonts w:ascii="Times New Roman" w:hAnsi="Times New Roman"/>
          <w:szCs w:val="22"/>
          <w:lang w:val="lt-LT"/>
        </w:rPr>
        <w:t>užtikrinantys</w:t>
      </w:r>
      <w:r w:rsidR="008F709D" w:rsidRPr="00650EE4">
        <w:rPr>
          <w:rFonts w:ascii="Times New Roman" w:hAnsi="Times New Roman"/>
          <w:szCs w:val="22"/>
          <w:lang w:val="lt-LT"/>
        </w:rPr>
        <w:t xml:space="preserve"> </w:t>
      </w:r>
      <w:r w:rsidR="007E178E" w:rsidRPr="00650EE4">
        <w:rPr>
          <w:rFonts w:ascii="Times New Roman" w:hAnsi="Times New Roman"/>
          <w:szCs w:val="22"/>
          <w:lang w:val="lt-LT"/>
        </w:rPr>
        <w:t>žiedinės ekonomikos principus įgyvendinantys sprendimai</w:t>
      </w:r>
      <w:r w:rsidR="008F709D" w:rsidRPr="00650EE4">
        <w:rPr>
          <w:rFonts w:ascii="Times New Roman" w:hAnsi="Times New Roman"/>
          <w:szCs w:val="22"/>
          <w:lang w:val="lt-LT"/>
        </w:rPr>
        <w:t>.</w:t>
      </w:r>
    </w:p>
    <w:p w14:paraId="3E036068" w14:textId="77777777" w:rsidR="00442C49" w:rsidRPr="00650EE4" w:rsidRDefault="0084304C" w:rsidP="0099482E">
      <w:pPr>
        <w:spacing w:before="240" w:after="120"/>
        <w:jc w:val="both"/>
        <w:rPr>
          <w:rFonts w:ascii="Times New Roman" w:hAnsi="Times New Roman"/>
          <w:szCs w:val="22"/>
        </w:rPr>
      </w:pPr>
      <w:r w:rsidRPr="00650EE4">
        <w:rPr>
          <w:rFonts w:ascii="Times New Roman" w:hAnsi="Times New Roman"/>
          <w:b/>
          <w:bCs/>
          <w:szCs w:val="22"/>
        </w:rPr>
        <w:t xml:space="preserve">3. </w:t>
      </w:r>
      <w:r w:rsidR="00F50651" w:rsidRPr="00650EE4">
        <w:rPr>
          <w:rFonts w:ascii="Times New Roman" w:hAnsi="Times New Roman"/>
          <w:b/>
          <w:bCs/>
          <w:szCs w:val="22"/>
        </w:rPr>
        <w:t>Pakankamas finansavimas</w:t>
      </w:r>
      <w:r w:rsidRPr="00650EE4">
        <w:rPr>
          <w:rFonts w:ascii="Times New Roman" w:hAnsi="Times New Roman"/>
          <w:b/>
          <w:bCs/>
          <w:szCs w:val="22"/>
        </w:rPr>
        <w:t xml:space="preserve">. </w:t>
      </w:r>
      <w:r w:rsidR="004370F5" w:rsidRPr="00650EE4">
        <w:rPr>
          <w:rFonts w:ascii="Times New Roman" w:hAnsi="Times New Roman"/>
          <w:szCs w:val="22"/>
        </w:rPr>
        <w:t>Kartu su paramos priemonėmis</w:t>
      </w:r>
      <w:r w:rsidR="00442C49" w:rsidRPr="00650EE4">
        <w:rPr>
          <w:rFonts w:ascii="Times New Roman" w:hAnsi="Times New Roman"/>
          <w:color w:val="000000" w:themeColor="text1"/>
          <w:szCs w:val="22"/>
        </w:rPr>
        <w:t xml:space="preserve"> turi egzistuoti finansavimo sprendimai visam reikalingam savininko finansiniam srautui per renovacijos laikotarpį</w:t>
      </w:r>
      <w:r w:rsidR="004370F5" w:rsidRPr="00650EE4">
        <w:rPr>
          <w:rFonts w:ascii="Times New Roman" w:hAnsi="Times New Roman"/>
          <w:szCs w:val="22"/>
        </w:rPr>
        <w:t xml:space="preserve">, kad pastatų savininkai galėtų ir norėtų investuoti į renovaciją. </w:t>
      </w:r>
    </w:p>
    <w:p w14:paraId="3EBF60BD" w14:textId="14F68FAD" w:rsidR="00CD6BF3" w:rsidRPr="00650EE4" w:rsidRDefault="00CD6BF3" w:rsidP="00CD6BF3">
      <w:pPr>
        <w:spacing w:after="120"/>
        <w:jc w:val="both"/>
        <w:rPr>
          <w:rFonts w:ascii="Times New Roman" w:hAnsi="Times New Roman"/>
          <w:szCs w:val="22"/>
        </w:rPr>
      </w:pPr>
      <w:r w:rsidRPr="00650EE4">
        <w:rPr>
          <w:rFonts w:ascii="Times New Roman" w:hAnsi="Times New Roman"/>
          <w:color w:val="000000" w:themeColor="text1"/>
          <w:szCs w:val="22"/>
        </w:rPr>
        <w:t xml:space="preserve">Siekiamas renovacijos proveržis pareikalaus reikšmingai didesnių investicijų. </w:t>
      </w:r>
      <w:r w:rsidRPr="00650EE4">
        <w:rPr>
          <w:rFonts w:ascii="Times New Roman" w:eastAsia="Times New Roman" w:hAnsi="Times New Roman"/>
          <w:szCs w:val="22"/>
          <w:lang w:eastAsia="lt-LT"/>
        </w:rPr>
        <w:t xml:space="preserve">Preliminariais skaičiavimais, siekiant nustatytų IRS tarpinių </w:t>
      </w:r>
      <w:r w:rsidR="00B267B3">
        <w:rPr>
          <w:rFonts w:ascii="Times New Roman" w:eastAsia="Times New Roman" w:hAnsi="Times New Roman"/>
          <w:szCs w:val="22"/>
          <w:lang w:eastAsia="lt-LT"/>
        </w:rPr>
        <w:t>rodiklių</w:t>
      </w:r>
      <w:r w:rsidRPr="00650EE4">
        <w:rPr>
          <w:rFonts w:ascii="Times New Roman" w:eastAsia="Times New Roman" w:hAnsi="Times New Roman"/>
          <w:szCs w:val="22"/>
          <w:lang w:eastAsia="lt-LT"/>
        </w:rPr>
        <w:t xml:space="preserve">, iki </w:t>
      </w:r>
      <w:r>
        <w:rPr>
          <w:rFonts w:ascii="Times New Roman" w:eastAsia="Times New Roman" w:hAnsi="Times New Roman"/>
          <w:szCs w:val="22"/>
          <w:lang w:eastAsia="lt-LT"/>
        </w:rPr>
        <w:t>2030 m</w:t>
      </w:r>
      <w:r w:rsidRPr="00650EE4">
        <w:rPr>
          <w:rFonts w:ascii="Times New Roman" w:eastAsia="Times New Roman" w:hAnsi="Times New Roman"/>
          <w:szCs w:val="22"/>
          <w:lang w:eastAsia="lt-LT"/>
        </w:rPr>
        <w:t xml:space="preserve">. </w:t>
      </w:r>
      <w:r>
        <w:rPr>
          <w:rFonts w:ascii="Times New Roman" w:eastAsia="Times New Roman" w:hAnsi="Times New Roman"/>
          <w:szCs w:val="22"/>
          <w:lang w:eastAsia="lt-LT"/>
        </w:rPr>
        <w:t xml:space="preserve">į pastatų fondo atnaujinimą </w:t>
      </w:r>
      <w:r w:rsidRPr="00650EE4">
        <w:rPr>
          <w:rFonts w:ascii="Times New Roman" w:eastAsia="Times New Roman" w:hAnsi="Times New Roman"/>
          <w:szCs w:val="22"/>
          <w:lang w:eastAsia="lt-LT"/>
        </w:rPr>
        <w:t xml:space="preserve">reikės investuoti vidutiniškai </w:t>
      </w:r>
      <w:r>
        <w:rPr>
          <w:rFonts w:ascii="Times New Roman" w:eastAsia="Times New Roman" w:hAnsi="Times New Roman"/>
          <w:szCs w:val="22"/>
          <w:lang w:eastAsia="lt-LT"/>
        </w:rPr>
        <w:t>po 1,1</w:t>
      </w:r>
      <w:r w:rsidRPr="00650EE4">
        <w:rPr>
          <w:rFonts w:ascii="Times New Roman" w:eastAsia="Times New Roman" w:hAnsi="Times New Roman"/>
          <w:szCs w:val="22"/>
          <w:lang w:eastAsia="lt-LT"/>
        </w:rPr>
        <w:t xml:space="preserve"> ml</w:t>
      </w:r>
      <w:r>
        <w:rPr>
          <w:rFonts w:ascii="Times New Roman" w:eastAsia="Times New Roman" w:hAnsi="Times New Roman"/>
          <w:szCs w:val="22"/>
          <w:lang w:eastAsia="lt-LT"/>
        </w:rPr>
        <w:t>rd</w:t>
      </w:r>
      <w:r w:rsidRPr="00650EE4">
        <w:rPr>
          <w:rFonts w:ascii="Times New Roman" w:eastAsia="Times New Roman" w:hAnsi="Times New Roman"/>
          <w:szCs w:val="22"/>
          <w:lang w:eastAsia="lt-LT"/>
        </w:rPr>
        <w:t xml:space="preserve">. </w:t>
      </w:r>
      <w:proofErr w:type="spellStart"/>
      <w:r w:rsidRPr="00650EE4">
        <w:rPr>
          <w:rFonts w:ascii="Times New Roman" w:eastAsia="Times New Roman" w:hAnsi="Times New Roman"/>
          <w:szCs w:val="22"/>
          <w:lang w:eastAsia="lt-LT"/>
        </w:rPr>
        <w:t>Eur</w:t>
      </w:r>
      <w:proofErr w:type="spellEnd"/>
      <w:r w:rsidRPr="00650EE4">
        <w:rPr>
          <w:rFonts w:ascii="Times New Roman" w:eastAsia="Times New Roman" w:hAnsi="Times New Roman"/>
          <w:szCs w:val="22"/>
          <w:lang w:eastAsia="lt-LT"/>
        </w:rPr>
        <w:t xml:space="preserve"> per metus, vėlesniais laikotarpiais investicijų poreikis augs ik</w:t>
      </w:r>
      <w:r w:rsidR="007246B9">
        <w:rPr>
          <w:rFonts w:ascii="Times New Roman" w:eastAsia="Times New Roman" w:hAnsi="Times New Roman"/>
          <w:szCs w:val="22"/>
          <w:lang w:eastAsia="lt-LT"/>
        </w:rPr>
        <w:t>i 3</w:t>
      </w:r>
      <w:r>
        <w:rPr>
          <w:rFonts w:ascii="Times New Roman" w:eastAsia="Times New Roman" w:hAnsi="Times New Roman"/>
          <w:szCs w:val="22"/>
          <w:lang w:eastAsia="lt-LT"/>
        </w:rPr>
        <w:t xml:space="preserve"> mlrd. </w:t>
      </w:r>
      <w:proofErr w:type="spellStart"/>
      <w:r>
        <w:rPr>
          <w:rFonts w:ascii="Times New Roman" w:eastAsia="Times New Roman" w:hAnsi="Times New Roman"/>
          <w:szCs w:val="22"/>
          <w:lang w:eastAsia="lt-LT"/>
        </w:rPr>
        <w:t>Eur</w:t>
      </w:r>
      <w:proofErr w:type="spellEnd"/>
      <w:r>
        <w:rPr>
          <w:rFonts w:ascii="Times New Roman" w:eastAsia="Times New Roman" w:hAnsi="Times New Roman"/>
          <w:szCs w:val="22"/>
          <w:lang w:eastAsia="lt-LT"/>
        </w:rPr>
        <w:t xml:space="preserve"> </w:t>
      </w:r>
      <w:r w:rsidR="007246B9">
        <w:rPr>
          <w:rFonts w:ascii="Times New Roman" w:eastAsia="Times New Roman" w:hAnsi="Times New Roman"/>
          <w:szCs w:val="22"/>
          <w:lang w:val="en-GB" w:eastAsia="lt-LT"/>
        </w:rPr>
        <w:t xml:space="preserve">2050 </w:t>
      </w:r>
      <w:proofErr w:type="spellStart"/>
      <w:r w:rsidR="007246B9">
        <w:rPr>
          <w:rFonts w:ascii="Times New Roman" w:eastAsia="Times New Roman" w:hAnsi="Times New Roman"/>
          <w:szCs w:val="22"/>
          <w:lang w:val="en-GB" w:eastAsia="lt-LT"/>
        </w:rPr>
        <w:t>metais</w:t>
      </w:r>
      <w:proofErr w:type="spellEnd"/>
      <w:r>
        <w:rPr>
          <w:rFonts w:ascii="Times New Roman" w:eastAsia="Times New Roman" w:hAnsi="Times New Roman"/>
          <w:szCs w:val="22"/>
          <w:lang w:eastAsia="lt-LT"/>
        </w:rPr>
        <w:t>.</w:t>
      </w:r>
    </w:p>
    <w:p w14:paraId="7D67C230" w14:textId="6C186044" w:rsidR="00442C49" w:rsidRPr="00650EE4" w:rsidRDefault="005325FE" w:rsidP="000D5202">
      <w:pPr>
        <w:spacing w:after="120"/>
        <w:jc w:val="both"/>
        <w:rPr>
          <w:rFonts w:ascii="Times New Roman" w:hAnsi="Times New Roman"/>
          <w:szCs w:val="22"/>
        </w:rPr>
      </w:pPr>
      <w:r w:rsidRPr="00650EE4">
        <w:rPr>
          <w:rFonts w:ascii="Times New Roman" w:hAnsi="Times New Roman"/>
          <w:szCs w:val="22"/>
        </w:rPr>
        <w:t>Atitinkamai f</w:t>
      </w:r>
      <w:r w:rsidR="00442C49" w:rsidRPr="00650EE4">
        <w:rPr>
          <w:rFonts w:ascii="Times New Roman" w:hAnsi="Times New Roman"/>
          <w:szCs w:val="22"/>
        </w:rPr>
        <w:t xml:space="preserve">inansavimo užtikrinimas turi spręsti du pagrindinius klausimus: </w:t>
      </w:r>
    </w:p>
    <w:p w14:paraId="3CA3E4A8" w14:textId="50EAABEA" w:rsidR="00442C49" w:rsidRPr="00650EE4" w:rsidRDefault="001358F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1358F8">
        <w:rPr>
          <w:rFonts w:ascii="Times New Roman" w:hAnsi="Times New Roman"/>
          <w:b/>
          <w:szCs w:val="22"/>
          <w:lang w:val="lt-LT"/>
        </w:rPr>
        <w:t>Lėšų valstybės finansuojamai daliai (subsidijoms) užtikrinimas.</w:t>
      </w:r>
      <w:r>
        <w:rPr>
          <w:rFonts w:ascii="Times New Roman" w:hAnsi="Times New Roman"/>
          <w:szCs w:val="22"/>
          <w:lang w:val="lt-LT"/>
        </w:rPr>
        <w:t xml:space="preserve"> </w:t>
      </w:r>
      <w:r w:rsidR="00442C49" w:rsidRPr="00650EE4">
        <w:rPr>
          <w:rFonts w:ascii="Times New Roman" w:hAnsi="Times New Roman"/>
          <w:color w:val="000000" w:themeColor="text1"/>
          <w:szCs w:val="22"/>
          <w:lang w:val="lt-LT"/>
        </w:rPr>
        <w:t xml:space="preserve">Dabartiniai šaltiniai iki 2030 m. taps nepakankami, todėl jau dabar turi būti pradėta naujų šaltinių paieška, </w:t>
      </w:r>
      <w:r w:rsidR="00442C49" w:rsidRPr="00650EE4">
        <w:rPr>
          <w:rFonts w:ascii="Times New Roman" w:eastAsia="Times New Roman" w:hAnsi="Times New Roman"/>
          <w:szCs w:val="22"/>
          <w:lang w:val="lt-LT" w:eastAsia="lt-LT"/>
        </w:rPr>
        <w:t>visų pirma siekiant pasinaudoti Europos sąjungos fondais (pvz., įtraukinat renovaciją į 2021-2027 laikotarpio programas) ir planuojamomis iniciatyvomis (pvz., Europos žaliojo kurso investicijų planu).</w:t>
      </w:r>
    </w:p>
    <w:p w14:paraId="714CA3D5" w14:textId="2AD7A193" w:rsidR="00442C49" w:rsidRDefault="001358F8" w:rsidP="00BD4925">
      <w:pPr>
        <w:numPr>
          <w:ilvl w:val="0"/>
          <w:numId w:val="45"/>
        </w:numPr>
        <w:spacing w:line="240" w:lineRule="auto"/>
        <w:ind w:left="714" w:hanging="357"/>
        <w:jc w:val="both"/>
        <w:rPr>
          <w:rFonts w:ascii="Times New Roman" w:hAnsi="Times New Roman"/>
          <w:szCs w:val="22"/>
        </w:rPr>
      </w:pPr>
      <w:r>
        <w:rPr>
          <w:rFonts w:ascii="Times New Roman" w:eastAsia="Times New Roman" w:hAnsi="Times New Roman"/>
          <w:b/>
          <w:szCs w:val="22"/>
          <w:lang w:eastAsia="lt-LT"/>
        </w:rPr>
        <w:t>Pastatų savininkų</w:t>
      </w:r>
      <w:r w:rsidRPr="00852A79">
        <w:rPr>
          <w:rFonts w:ascii="Times New Roman" w:eastAsia="Times New Roman" w:hAnsi="Times New Roman"/>
          <w:b/>
          <w:szCs w:val="22"/>
          <w:lang w:eastAsia="lt-LT"/>
        </w:rPr>
        <w:t xml:space="preserve"> investicijų f</w:t>
      </w:r>
      <w:r w:rsidRPr="00852A79">
        <w:rPr>
          <w:rFonts w:ascii="Times New Roman" w:hAnsi="Times New Roman"/>
          <w:b/>
          <w:bCs/>
          <w:szCs w:val="22"/>
        </w:rPr>
        <w:t xml:space="preserve">inansavimo </w:t>
      </w:r>
      <w:r>
        <w:rPr>
          <w:rFonts w:ascii="Times New Roman" w:hAnsi="Times New Roman"/>
          <w:b/>
          <w:bCs/>
          <w:szCs w:val="22"/>
        </w:rPr>
        <w:t>sprendimų parengimas</w:t>
      </w:r>
      <w:r>
        <w:rPr>
          <w:rFonts w:ascii="Times New Roman" w:hAnsi="Times New Roman"/>
          <w:szCs w:val="22"/>
        </w:rPr>
        <w:t xml:space="preserve">. Prognozuojamas reikšmingas  savininko investicijų finansavimo poreikio augimas, tikėtina negalės būti patenkintas egzistuojančiais finansavimo sprendimais. </w:t>
      </w:r>
      <w:r>
        <w:rPr>
          <w:rFonts w:ascii="Times New Roman" w:hAnsi="Times New Roman"/>
          <w:color w:val="000000" w:themeColor="text1"/>
          <w:szCs w:val="22"/>
        </w:rPr>
        <w:t>Atitinkamai</w:t>
      </w:r>
      <w:r w:rsidRPr="00D12CB4">
        <w:rPr>
          <w:rFonts w:ascii="Times New Roman" w:hAnsi="Times New Roman"/>
          <w:color w:val="000000" w:themeColor="text1"/>
          <w:szCs w:val="22"/>
        </w:rPr>
        <w:t>, didelę svarbą finansavimo užtikrinimui įgyja gebėjimas sukurti ir pasiūlyti rinkai finansinius instrumentus, turinčius didelį sverto efektą</w:t>
      </w:r>
      <w:r w:rsidRPr="00852A79">
        <w:rPr>
          <w:rFonts w:ascii="Times New Roman" w:hAnsi="Times New Roman"/>
          <w:color w:val="000000" w:themeColor="text1"/>
          <w:szCs w:val="22"/>
          <w:vertAlign w:val="superscript"/>
        </w:rPr>
        <w:footnoteReference w:id="1"/>
      </w:r>
      <w:r w:rsidRPr="00852A79">
        <w:rPr>
          <w:rFonts w:ascii="Times New Roman" w:hAnsi="Times New Roman"/>
          <w:color w:val="000000" w:themeColor="text1"/>
          <w:szCs w:val="22"/>
          <w:vertAlign w:val="superscript"/>
        </w:rPr>
        <w:t xml:space="preserve"> </w:t>
      </w:r>
      <w:r w:rsidRPr="00D12CB4">
        <w:rPr>
          <w:rFonts w:ascii="Times New Roman" w:hAnsi="Times New Roman"/>
          <w:color w:val="000000" w:themeColor="text1"/>
          <w:szCs w:val="22"/>
        </w:rPr>
        <w:t>ir įtraukiančius privačias, pensijų fondų, tarptautinių finansinių institucijų lėšas</w:t>
      </w:r>
      <w:r w:rsidR="009936C8" w:rsidRPr="001358F8">
        <w:rPr>
          <w:rFonts w:ascii="Times New Roman" w:hAnsi="Times New Roman"/>
          <w:szCs w:val="22"/>
        </w:rPr>
        <w:t>.</w:t>
      </w:r>
    </w:p>
    <w:p w14:paraId="2D5E5733" w14:textId="77777777" w:rsidR="001358F8" w:rsidRPr="001358F8" w:rsidRDefault="001358F8" w:rsidP="001358F8">
      <w:pPr>
        <w:spacing w:line="240" w:lineRule="auto"/>
        <w:ind w:left="714"/>
        <w:jc w:val="both"/>
        <w:rPr>
          <w:rFonts w:ascii="Times New Roman" w:hAnsi="Times New Roman"/>
          <w:szCs w:val="22"/>
        </w:rPr>
      </w:pPr>
    </w:p>
    <w:p w14:paraId="314CEFAB" w14:textId="44EE2DF3" w:rsidR="00713AD4" w:rsidRPr="00650EE4" w:rsidRDefault="00721513" w:rsidP="0099482E">
      <w:pPr>
        <w:spacing w:after="120"/>
        <w:jc w:val="both"/>
        <w:rPr>
          <w:rFonts w:ascii="Times New Roman" w:eastAsia="Times New Roman" w:hAnsi="Times New Roman"/>
          <w:szCs w:val="22"/>
          <w:lang w:eastAsia="lt-LT"/>
        </w:rPr>
      </w:pPr>
      <w:r w:rsidRPr="00650EE4">
        <w:rPr>
          <w:rFonts w:ascii="Times New Roman" w:eastAsia="Times New Roman" w:hAnsi="Times New Roman"/>
          <w:szCs w:val="22"/>
          <w:lang w:eastAsia="lt-LT"/>
        </w:rPr>
        <w:t xml:space="preserve">Svarbu pažymėti, kad kitos taikomos renovacijos priemonės, gali turėti reikšmingą poveikį renovacijos poreikio mažinimui (pvz., energijos kainų didėjimas, taršos mokesčiai) ir finansavimo prieinamumo didinimui (pvz., projektų apjungimas). </w:t>
      </w:r>
    </w:p>
    <w:p w14:paraId="487EFCF7" w14:textId="74FEC4F1" w:rsidR="00713AD4" w:rsidRPr="00650EE4" w:rsidRDefault="0084304C" w:rsidP="0099482E">
      <w:pPr>
        <w:spacing w:before="240" w:after="120"/>
        <w:jc w:val="both"/>
        <w:rPr>
          <w:rFonts w:ascii="Times New Roman" w:hAnsi="Times New Roman"/>
          <w:color w:val="000000" w:themeColor="text1"/>
          <w:szCs w:val="22"/>
        </w:rPr>
      </w:pPr>
      <w:r w:rsidRPr="00650EE4">
        <w:rPr>
          <w:rFonts w:ascii="Times New Roman" w:hAnsi="Times New Roman"/>
          <w:b/>
          <w:bCs/>
          <w:szCs w:val="22"/>
        </w:rPr>
        <w:lastRenderedPageBreak/>
        <w:t xml:space="preserve">4. </w:t>
      </w:r>
      <w:r w:rsidR="00F50651" w:rsidRPr="00650EE4">
        <w:rPr>
          <w:rFonts w:ascii="Times New Roman" w:hAnsi="Times New Roman"/>
          <w:b/>
          <w:bCs/>
          <w:szCs w:val="22"/>
        </w:rPr>
        <w:t>Efektyvi komunikacija</w:t>
      </w:r>
      <w:r w:rsidRPr="00650EE4">
        <w:rPr>
          <w:rFonts w:ascii="Times New Roman" w:hAnsi="Times New Roman"/>
          <w:b/>
          <w:bCs/>
          <w:szCs w:val="22"/>
        </w:rPr>
        <w:t xml:space="preserve">. </w:t>
      </w:r>
      <w:r w:rsidR="00677614">
        <w:rPr>
          <w:rFonts w:ascii="Times New Roman" w:hAnsi="Times New Roman"/>
          <w:color w:val="000000" w:themeColor="text1"/>
          <w:szCs w:val="22"/>
        </w:rPr>
        <w:t>E</w:t>
      </w:r>
      <w:r w:rsidR="00B91547" w:rsidRPr="00650EE4">
        <w:rPr>
          <w:rFonts w:ascii="Times New Roman" w:hAnsi="Times New Roman"/>
          <w:color w:val="000000" w:themeColor="text1"/>
          <w:szCs w:val="22"/>
        </w:rPr>
        <w:t>fektyvi</w:t>
      </w:r>
      <w:r w:rsidR="00713AD4" w:rsidRPr="00650EE4">
        <w:rPr>
          <w:rFonts w:ascii="Times New Roman" w:hAnsi="Times New Roman"/>
          <w:color w:val="000000" w:themeColor="text1"/>
          <w:szCs w:val="22"/>
        </w:rPr>
        <w:t xml:space="preserve"> komunikacija</w:t>
      </w:r>
      <w:r w:rsidR="004A0BCB" w:rsidRPr="00650EE4">
        <w:rPr>
          <w:rFonts w:ascii="Times New Roman" w:hAnsi="Times New Roman"/>
          <w:color w:val="000000" w:themeColor="text1"/>
          <w:szCs w:val="22"/>
        </w:rPr>
        <w:t xml:space="preserve"> turėtų informuoti tikslinę auditoriją ne tik apie renovacijos priemonių paketus, sėkmės istorijas ir pan.</w:t>
      </w:r>
      <w:r w:rsidR="00C15E00" w:rsidRPr="00650EE4">
        <w:rPr>
          <w:rFonts w:ascii="Times New Roman" w:hAnsi="Times New Roman"/>
          <w:color w:val="000000" w:themeColor="text1"/>
          <w:szCs w:val="22"/>
        </w:rPr>
        <w:t>,</w:t>
      </w:r>
      <w:r w:rsidR="004A0BCB" w:rsidRPr="00650EE4">
        <w:rPr>
          <w:rFonts w:ascii="Times New Roman" w:hAnsi="Times New Roman"/>
          <w:color w:val="000000" w:themeColor="text1"/>
          <w:szCs w:val="22"/>
        </w:rPr>
        <w:t xml:space="preserve"> tačiau </w:t>
      </w:r>
      <w:r w:rsidR="00713AD4" w:rsidRPr="00650EE4">
        <w:rPr>
          <w:rFonts w:ascii="Times New Roman" w:hAnsi="Times New Roman"/>
          <w:color w:val="000000" w:themeColor="text1"/>
          <w:szCs w:val="22"/>
        </w:rPr>
        <w:t xml:space="preserve">turėtų </w:t>
      </w:r>
      <w:r w:rsidR="004A0BCB" w:rsidRPr="00650EE4">
        <w:rPr>
          <w:rFonts w:ascii="Times New Roman" w:hAnsi="Times New Roman"/>
          <w:color w:val="000000" w:themeColor="text1"/>
          <w:szCs w:val="22"/>
        </w:rPr>
        <w:t xml:space="preserve">akcentuoti ir </w:t>
      </w:r>
      <w:r w:rsidR="00713AD4" w:rsidRPr="00650EE4">
        <w:rPr>
          <w:rFonts w:ascii="Times New Roman" w:hAnsi="Times New Roman"/>
          <w:color w:val="000000" w:themeColor="text1"/>
          <w:szCs w:val="22"/>
        </w:rPr>
        <w:t xml:space="preserve">2 </w:t>
      </w:r>
      <w:r w:rsidR="004A0BCB" w:rsidRPr="00650EE4">
        <w:rPr>
          <w:rFonts w:ascii="Times New Roman" w:hAnsi="Times New Roman"/>
          <w:color w:val="000000" w:themeColor="text1"/>
          <w:szCs w:val="22"/>
        </w:rPr>
        <w:t>papildomas svarbias žinutes</w:t>
      </w:r>
      <w:r w:rsidR="00713AD4" w:rsidRPr="00650EE4">
        <w:rPr>
          <w:rFonts w:ascii="Times New Roman" w:hAnsi="Times New Roman"/>
          <w:color w:val="000000" w:themeColor="text1"/>
          <w:szCs w:val="22"/>
        </w:rPr>
        <w:t>:</w:t>
      </w:r>
    </w:p>
    <w:p w14:paraId="15BB8146" w14:textId="6CD64B3B"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Renovacijos naudos yra daugialypės ir neapsiriboja energijos sutaupymais</w:t>
      </w:r>
      <w:r w:rsidR="00DE46D0" w:rsidRPr="00650EE4">
        <w:rPr>
          <w:rFonts w:ascii="Times New Roman" w:hAnsi="Times New Roman"/>
          <w:szCs w:val="22"/>
          <w:lang w:val="lt-LT"/>
        </w:rPr>
        <w:t>.</w:t>
      </w:r>
    </w:p>
    <w:p w14:paraId="0981C802" w14:textId="470E730E"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Ilgalaikėje perspektyvoje, </w:t>
      </w:r>
      <w:r w:rsidR="00DE46D0" w:rsidRPr="00650EE4">
        <w:rPr>
          <w:rFonts w:ascii="Times New Roman" w:hAnsi="Times New Roman"/>
          <w:szCs w:val="22"/>
          <w:lang w:val="lt-LT"/>
        </w:rPr>
        <w:t xml:space="preserve">energetiškai </w:t>
      </w:r>
      <w:r w:rsidRPr="00650EE4">
        <w:rPr>
          <w:rFonts w:ascii="Times New Roman" w:hAnsi="Times New Roman"/>
          <w:szCs w:val="22"/>
          <w:lang w:val="lt-LT"/>
        </w:rPr>
        <w:t>neef</w:t>
      </w:r>
      <w:r w:rsidR="00DE46D0" w:rsidRPr="00650EE4">
        <w:rPr>
          <w:rFonts w:ascii="Times New Roman" w:hAnsi="Times New Roman"/>
          <w:szCs w:val="22"/>
          <w:lang w:val="lt-LT"/>
        </w:rPr>
        <w:t xml:space="preserve">ektyviems, prastos techninės būklės </w:t>
      </w:r>
      <w:r w:rsidRPr="00650EE4">
        <w:rPr>
          <w:rFonts w:ascii="Times New Roman" w:hAnsi="Times New Roman"/>
          <w:szCs w:val="22"/>
          <w:lang w:val="lt-LT"/>
        </w:rPr>
        <w:t>pastatams nėra pasirinkimo dalyvauti ar nedalyvauti renovacij</w:t>
      </w:r>
      <w:r w:rsidR="00DE46D0" w:rsidRPr="00650EE4">
        <w:rPr>
          <w:rFonts w:ascii="Times New Roman" w:hAnsi="Times New Roman"/>
          <w:szCs w:val="22"/>
          <w:lang w:val="lt-LT"/>
        </w:rPr>
        <w:t>oje.</w:t>
      </w:r>
    </w:p>
    <w:p w14:paraId="7DE1FC5D" w14:textId="749F137C" w:rsidR="00713AD4" w:rsidRPr="00650EE4" w:rsidRDefault="00713AD4" w:rsidP="00DE46D0">
      <w:pPr>
        <w:pStyle w:val="BodyText"/>
        <w:spacing w:before="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Savininko investicija yra finansinė, tuo tarpu renovacijos teikiamos naudos yra daugialypės (ne tik energijos sutaupymas ir sumažėjusios išlaidos, bet ir būsto vertės padidėjimas, geresnė socialinė aplinka, pagerėjusi sveikata, pastato saugumas ir pan.). Atitinkamai, tam, kad pastato savininkas tikėtų renovacijos nauda, jis turi būti informuotas apie visą renovacijos galimybių ir naudų spektrą. Tai ypač aktualu tuomet, kai dėl nepilnų kaštų įtraukimo energijos kaina yra žema ir rezultate finansinės renovacijos naudos nėra pakankama </w:t>
      </w:r>
      <w:proofErr w:type="spellStart"/>
      <w:r w:rsidRPr="00650EE4">
        <w:rPr>
          <w:rFonts w:ascii="Times New Roman" w:hAnsi="Times New Roman"/>
          <w:color w:val="000000" w:themeColor="text1"/>
          <w:szCs w:val="22"/>
          <w:lang w:val="lt-LT"/>
        </w:rPr>
        <w:t>motyvacinė</w:t>
      </w:r>
      <w:proofErr w:type="spellEnd"/>
      <w:r w:rsidRPr="00650EE4">
        <w:rPr>
          <w:rFonts w:ascii="Times New Roman" w:hAnsi="Times New Roman"/>
          <w:color w:val="000000" w:themeColor="text1"/>
          <w:szCs w:val="22"/>
          <w:lang w:val="lt-LT"/>
        </w:rPr>
        <w:t xml:space="preserve"> priemonė dalyvauti renovacijoje. </w:t>
      </w:r>
    </w:p>
    <w:p w14:paraId="6C05DA9F" w14:textId="2BE60AB9" w:rsidR="00713AD4" w:rsidRPr="00650EE4" w:rsidRDefault="00713AD4" w:rsidP="00DE46D0">
      <w:pPr>
        <w:pStyle w:val="BodyText"/>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Esminiai </w:t>
      </w:r>
      <w:r w:rsidR="00DE46D0" w:rsidRPr="00650EE4">
        <w:rPr>
          <w:rFonts w:ascii="Times New Roman" w:hAnsi="Times New Roman"/>
          <w:color w:val="000000" w:themeColor="text1"/>
          <w:szCs w:val="22"/>
          <w:lang w:val="lt-LT"/>
        </w:rPr>
        <w:t xml:space="preserve">renovacijos </w:t>
      </w:r>
      <w:r w:rsidRPr="00650EE4">
        <w:rPr>
          <w:rFonts w:ascii="Times New Roman" w:hAnsi="Times New Roman"/>
          <w:color w:val="000000" w:themeColor="text1"/>
          <w:szCs w:val="22"/>
          <w:lang w:val="lt-LT"/>
        </w:rPr>
        <w:t>neišvengiamumą sąlygojantys veiksniai:</w:t>
      </w:r>
    </w:p>
    <w:p w14:paraId="37A0F57B" w14:textId="35623AAD"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Prasta didžiosios dalies pastatų techninė būklė (iki 2050 m. dalį pastatų teks renovuoti, </w:t>
      </w:r>
      <w:r w:rsidR="00677614">
        <w:rPr>
          <w:rFonts w:ascii="Times New Roman" w:hAnsi="Times New Roman"/>
          <w:szCs w:val="22"/>
          <w:lang w:val="lt-LT"/>
        </w:rPr>
        <w:t>naudojant nuosavas</w:t>
      </w:r>
      <w:r w:rsidRPr="00650EE4">
        <w:rPr>
          <w:rFonts w:ascii="Times New Roman" w:hAnsi="Times New Roman"/>
          <w:szCs w:val="22"/>
          <w:lang w:val="lt-LT"/>
        </w:rPr>
        <w:t xml:space="preserve"> lėšas, ar pasinaudojant valstybės teikiamomis priemonėmis).</w:t>
      </w:r>
    </w:p>
    <w:p w14:paraId="34F642EE" w14:textId="6CCF5DE9"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Lietuva, kaip ES šalis </w:t>
      </w:r>
      <w:r w:rsidR="00677614">
        <w:rPr>
          <w:rFonts w:ascii="Times New Roman" w:hAnsi="Times New Roman"/>
          <w:szCs w:val="22"/>
          <w:lang w:val="lt-LT"/>
        </w:rPr>
        <w:t>turi</w:t>
      </w:r>
      <w:r w:rsidRPr="00650EE4">
        <w:rPr>
          <w:rFonts w:ascii="Times New Roman" w:hAnsi="Times New Roman"/>
          <w:szCs w:val="22"/>
          <w:lang w:val="lt-LT"/>
        </w:rPr>
        <w:t xml:space="preserve"> vykdyti ES strateginių dokumentų (Reglamentų, Žaliojo kurso ir pan.) nuostatas. ES įpareigojimų vykdymas yra buvimo ES dalis. </w:t>
      </w:r>
    </w:p>
    <w:p w14:paraId="667276BB" w14:textId="77777777"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Atitinkamai, šalia skatinamųjų priemonių motyvuojančių dalyvauti renovacijoje neišvengiamai atsiras ir drausminančios priemonės (taršos mokesčiai, ribojimai </w:t>
      </w:r>
      <w:proofErr w:type="spellStart"/>
      <w:r w:rsidRPr="00650EE4">
        <w:rPr>
          <w:rFonts w:ascii="Times New Roman" w:hAnsi="Times New Roman"/>
          <w:szCs w:val="22"/>
          <w:lang w:val="lt-LT"/>
        </w:rPr>
        <w:t>komercializuoti</w:t>
      </w:r>
      <w:proofErr w:type="spellEnd"/>
      <w:r w:rsidRPr="00650EE4">
        <w:rPr>
          <w:rFonts w:ascii="Times New Roman" w:hAnsi="Times New Roman"/>
          <w:szCs w:val="22"/>
          <w:lang w:val="lt-LT"/>
        </w:rPr>
        <w:t xml:space="preserve"> neefektyvius pastatus ir pan.) skirtos valdyti neatsakingą ir neracionalią pastatų savininkų elgseną. </w:t>
      </w:r>
    </w:p>
    <w:p w14:paraId="5041CEB5" w14:textId="6A52AE3A" w:rsidR="00713AD4" w:rsidRPr="00650EE4" w:rsidRDefault="00677614" w:rsidP="002E67EE">
      <w:pPr>
        <w:pStyle w:val="BodyText"/>
        <w:spacing w:before="120"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00713AD4" w:rsidRPr="00650EE4">
        <w:rPr>
          <w:rFonts w:ascii="Times New Roman" w:hAnsi="Times New Roman"/>
          <w:color w:val="000000" w:themeColor="text1"/>
          <w:szCs w:val="22"/>
          <w:lang w:val="lt-LT"/>
        </w:rPr>
        <w:t>omunikacija apie renovacijos neišvengiamumą turėtų būti orientuota į du segmentus:</w:t>
      </w:r>
    </w:p>
    <w:p w14:paraId="07A3C961" w14:textId="17126B0D"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Pastatų savininkus (motyvuojant juos dalyvauti</w:t>
      </w:r>
      <w:r w:rsidR="00FF5762" w:rsidRPr="00650EE4">
        <w:rPr>
          <w:rFonts w:ascii="Times New Roman" w:hAnsi="Times New Roman"/>
          <w:szCs w:val="22"/>
          <w:lang w:val="lt-LT"/>
        </w:rPr>
        <w:t xml:space="preserve"> renovacijoje</w:t>
      </w:r>
      <w:r w:rsidRPr="00650EE4">
        <w:rPr>
          <w:rFonts w:ascii="Times New Roman" w:hAnsi="Times New Roman"/>
          <w:szCs w:val="22"/>
          <w:lang w:val="lt-LT"/>
        </w:rPr>
        <w:t>)</w:t>
      </w:r>
      <w:r w:rsidR="00DE46D0" w:rsidRPr="00650EE4">
        <w:rPr>
          <w:rFonts w:ascii="Times New Roman" w:hAnsi="Times New Roman"/>
          <w:szCs w:val="22"/>
          <w:lang w:val="lt-LT"/>
        </w:rPr>
        <w:t>.</w:t>
      </w:r>
    </w:p>
    <w:p w14:paraId="69D1C841" w14:textId="7B64F023" w:rsidR="00D50AD9"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Statybos, projektavimo, finansavimo ir kitų renovacijoje dalyvaujančių suinteresuotų šalių atstovus (suteikiant užtikrinimą, kad valstybės politika šiuo klausimu yra aiški, įpareigojanti ir ilgalaikė). </w:t>
      </w:r>
    </w:p>
    <w:p w14:paraId="7FA72E83" w14:textId="29E20076" w:rsidR="00E55318" w:rsidRPr="00650EE4" w:rsidRDefault="00E55318" w:rsidP="0099482E">
      <w:pPr>
        <w:spacing w:before="240" w:after="120"/>
        <w:jc w:val="both"/>
        <w:rPr>
          <w:rFonts w:ascii="Times New Roman" w:hAnsi="Times New Roman"/>
          <w:color w:val="000000" w:themeColor="text1"/>
          <w:szCs w:val="22"/>
        </w:rPr>
      </w:pPr>
      <w:r w:rsidRPr="00650EE4">
        <w:rPr>
          <w:rFonts w:ascii="Times New Roman" w:hAnsi="Times New Roman"/>
          <w:b/>
          <w:bCs/>
          <w:szCs w:val="22"/>
        </w:rPr>
        <w:t xml:space="preserve">5. Patikima įgyvendinimo sistema. </w:t>
      </w:r>
      <w:r w:rsidRPr="00650EE4">
        <w:rPr>
          <w:rFonts w:ascii="Times New Roman" w:hAnsi="Times New Roman"/>
          <w:color w:val="000000" w:themeColor="text1"/>
          <w:szCs w:val="22"/>
        </w:rPr>
        <w:t xml:space="preserve">Siekiant tiek pritraukti pastatų savininkus, tiek užtikrinti renovacijos </w:t>
      </w:r>
      <w:r w:rsidR="00877850">
        <w:rPr>
          <w:rFonts w:ascii="Times New Roman" w:hAnsi="Times New Roman"/>
          <w:color w:val="000000" w:themeColor="text1"/>
          <w:szCs w:val="22"/>
        </w:rPr>
        <w:t>rodiklių</w:t>
      </w:r>
      <w:r w:rsidRPr="00650EE4">
        <w:rPr>
          <w:rFonts w:ascii="Times New Roman" w:hAnsi="Times New Roman"/>
          <w:color w:val="000000" w:themeColor="text1"/>
          <w:szCs w:val="22"/>
        </w:rPr>
        <w:t xml:space="preserve"> pasiekimą, būtina patikima ir sklandų procesą užtikrinanti renovacijos įgyvendinimo sistema.</w:t>
      </w:r>
    </w:p>
    <w:p w14:paraId="4BB05A31" w14:textId="77777777" w:rsidR="00E55318" w:rsidRPr="00650EE4" w:rsidRDefault="00E55318" w:rsidP="00E55318">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Net ir tikėdamas renovacijos nauda ir turėdamas patrauklias finansavimo galimybes, pastato savininkas gali nedalyvauti renovacijoje, jei matys administracinius barjerus (tiek planavimo, tiek įgyvendinimo etape), procesas reikalaus reikšmingų laiko investicijų arba kompetencijų, kurių jis neturi.</w:t>
      </w:r>
    </w:p>
    <w:p w14:paraId="4780D45B" w14:textId="00F2C735" w:rsidR="00E55318" w:rsidRPr="00650EE4" w:rsidRDefault="00677614" w:rsidP="00E55318">
      <w:pPr>
        <w:spacing w:after="120"/>
        <w:jc w:val="both"/>
        <w:rPr>
          <w:rFonts w:ascii="Times New Roman" w:hAnsi="Times New Roman"/>
          <w:color w:val="000000" w:themeColor="text1"/>
          <w:szCs w:val="22"/>
        </w:rPr>
      </w:pPr>
      <w:r>
        <w:rPr>
          <w:rFonts w:ascii="Times New Roman" w:hAnsi="Times New Roman"/>
          <w:color w:val="000000" w:themeColor="text1"/>
          <w:szCs w:val="22"/>
        </w:rPr>
        <w:t>S</w:t>
      </w:r>
      <w:r w:rsidR="00E55318" w:rsidRPr="00650EE4">
        <w:rPr>
          <w:rFonts w:ascii="Times New Roman" w:hAnsi="Times New Roman"/>
          <w:color w:val="000000" w:themeColor="text1"/>
          <w:szCs w:val="22"/>
        </w:rPr>
        <w:t>iekiant užtikrinti sklandų procesą ir atsižvelgti į pastatų savininkų poreikius, reikia priartėti prie pastatų savininkų tiek fiziškai, tiek atliepiant jų poreikius:</w:t>
      </w:r>
    </w:p>
    <w:p w14:paraId="345F76A2" w14:textId="77777777" w:rsidR="00E55318" w:rsidRPr="00650EE4" w:rsidRDefault="00E5531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Užtikrinti „vieno langelio“ principo įgyvendinimą. Geriausias prielaidas įgyvendinti „vieno langelio“ funkcijas turi savivaldybės, kurios turi </w:t>
      </w:r>
      <w:proofErr w:type="spellStart"/>
      <w:r w:rsidRPr="00650EE4">
        <w:rPr>
          <w:rFonts w:ascii="Times New Roman" w:hAnsi="Times New Roman"/>
          <w:szCs w:val="22"/>
          <w:lang w:val="lt-LT"/>
        </w:rPr>
        <w:t>patikimiausius</w:t>
      </w:r>
      <w:proofErr w:type="spellEnd"/>
      <w:r w:rsidRPr="00650EE4">
        <w:rPr>
          <w:rFonts w:ascii="Times New Roman" w:hAnsi="Times New Roman"/>
          <w:szCs w:val="22"/>
          <w:lang w:val="lt-LT"/>
        </w:rPr>
        <w:t xml:space="preserve"> duomenis apie pastatus, o pastatų savininkai nuolat palaiko ryšį su savivaldybe kitais klausimais.</w:t>
      </w:r>
    </w:p>
    <w:p w14:paraId="4D56FAF2" w14:textId="77777777" w:rsidR="00E55318" w:rsidRPr="00650EE4" w:rsidRDefault="00E5531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Sukurti kompetencijų centrą. Toks centras turėtų centralizuotai kaupti gerąją praktiką, standartizuoti procesus bei teikti </w:t>
      </w:r>
      <w:r w:rsidRPr="00650EE4">
        <w:rPr>
          <w:rFonts w:ascii="Times New Roman" w:hAnsi="Times New Roman"/>
          <w:szCs w:val="22"/>
          <w:lang w:val="lt-LT" w:eastAsia="lt-LT"/>
        </w:rPr>
        <w:t>metodinę ir konsultacinę pagalbą savivaldybėms ir renovacijos administratoriams.</w:t>
      </w:r>
    </w:p>
    <w:p w14:paraId="44281C49" w14:textId="77777777" w:rsidR="00D2113C" w:rsidRPr="00650EE4" w:rsidRDefault="00E5531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Sukurti techninės priežiūros mechanizmą. Turėtų būti sukurtas išorės kontrolės priemonių taikymo mechanizmas kiekviename renovacijos įgyvendinimo etape. Tokiu būdu būtų didinamas pastatų savininkų pasitikėjimas ir sumažinama renovacijos vėlavimo rizika.</w:t>
      </w:r>
    </w:p>
    <w:p w14:paraId="2BE4F711" w14:textId="1E275941" w:rsidR="00E60DE6" w:rsidRPr="007246B9" w:rsidRDefault="00E60DE6" w:rsidP="00E60DE6">
      <w:pPr>
        <w:spacing w:before="360" w:after="120"/>
        <w:jc w:val="both"/>
        <w:rPr>
          <w:rFonts w:ascii="Times New Roman" w:hAnsi="Times New Roman"/>
          <w:b/>
          <w:bCs/>
          <w:sz w:val="24"/>
          <w:szCs w:val="24"/>
        </w:rPr>
      </w:pPr>
      <w:r w:rsidRPr="008E25E9">
        <w:rPr>
          <w:rFonts w:ascii="Times New Roman" w:hAnsi="Times New Roman"/>
          <w:b/>
          <w:bCs/>
          <w:sz w:val="24"/>
          <w:szCs w:val="24"/>
        </w:rPr>
        <w:t>Renovacijos strategijos įgyvendinimo prioritet</w:t>
      </w:r>
      <w:r w:rsidR="00250EA6">
        <w:rPr>
          <w:rFonts w:ascii="Times New Roman" w:hAnsi="Times New Roman"/>
          <w:b/>
          <w:bCs/>
          <w:sz w:val="24"/>
          <w:szCs w:val="24"/>
        </w:rPr>
        <w:t>inės kryptys</w:t>
      </w:r>
    </w:p>
    <w:p w14:paraId="09E71B40" w14:textId="50486B93" w:rsidR="00E60DE6" w:rsidRPr="007246B9" w:rsidRDefault="00877850" w:rsidP="00E60DE6">
      <w:pPr>
        <w:jc w:val="both"/>
        <w:rPr>
          <w:rFonts w:ascii="Times New Roman" w:hAnsi="Times New Roman"/>
          <w:color w:val="auto"/>
          <w:szCs w:val="22"/>
        </w:rPr>
      </w:pPr>
      <w:r>
        <w:rPr>
          <w:rFonts w:ascii="Times New Roman" w:hAnsi="Times New Roman"/>
          <w:color w:val="auto"/>
          <w:szCs w:val="22"/>
        </w:rPr>
        <w:t>IRS apima</w:t>
      </w:r>
      <w:r w:rsidR="00E60DE6" w:rsidRPr="007246B9">
        <w:rPr>
          <w:rFonts w:ascii="Times New Roman" w:hAnsi="Times New Roman"/>
          <w:color w:val="auto"/>
          <w:szCs w:val="22"/>
        </w:rPr>
        <w:t xml:space="preserve"> 30 metų laikotarpį ir pareikalaus reikšmingų resursų, todėl siekiant </w:t>
      </w:r>
      <w:proofErr w:type="spellStart"/>
      <w:r w:rsidR="00E60DE6" w:rsidRPr="007246B9">
        <w:rPr>
          <w:rFonts w:ascii="Times New Roman" w:hAnsi="Times New Roman"/>
          <w:color w:val="auto"/>
          <w:szCs w:val="22"/>
        </w:rPr>
        <w:t>sistemiško</w:t>
      </w:r>
      <w:proofErr w:type="spellEnd"/>
      <w:r w:rsidR="00E60DE6" w:rsidRPr="007246B9">
        <w:rPr>
          <w:rFonts w:ascii="Times New Roman" w:hAnsi="Times New Roman"/>
          <w:color w:val="auto"/>
          <w:szCs w:val="22"/>
        </w:rPr>
        <w:t>, nuoseklaus ir tvaraus IRS įgyvendinimo svarb</w:t>
      </w:r>
      <w:r w:rsidR="00A0696E" w:rsidRPr="007246B9">
        <w:rPr>
          <w:rFonts w:ascii="Times New Roman" w:hAnsi="Times New Roman"/>
          <w:color w:val="auto"/>
          <w:szCs w:val="22"/>
        </w:rPr>
        <w:t>u identifikuoti prioritetinius p</w:t>
      </w:r>
      <w:r w:rsidR="00E60DE6" w:rsidRPr="007246B9">
        <w:rPr>
          <w:rFonts w:ascii="Times New Roman" w:hAnsi="Times New Roman"/>
          <w:color w:val="auto"/>
          <w:szCs w:val="22"/>
        </w:rPr>
        <w:t>astatų fondo segmentus, tinkamai suplanuoti jų transformacijai būtinas priemones bei jų įgyvendinimui reikalingus resursus. T</w:t>
      </w:r>
      <w:r w:rsidR="00E60DE6" w:rsidRPr="007246B9">
        <w:rPr>
          <w:rFonts w:ascii="Times New Roman" w:hAnsi="Times New Roman"/>
          <w:color w:val="000000" w:themeColor="text1"/>
          <w:szCs w:val="22"/>
        </w:rPr>
        <w:t xml:space="preserve">iek IRS </w:t>
      </w:r>
      <w:r>
        <w:rPr>
          <w:rFonts w:ascii="Times New Roman" w:hAnsi="Times New Roman"/>
          <w:color w:val="000000" w:themeColor="text1"/>
          <w:szCs w:val="22"/>
        </w:rPr>
        <w:t>rodikliai</w:t>
      </w:r>
      <w:r w:rsidR="00E60DE6" w:rsidRPr="007246B9">
        <w:rPr>
          <w:rFonts w:ascii="Times New Roman" w:hAnsi="Times New Roman"/>
          <w:color w:val="000000" w:themeColor="text1"/>
          <w:szCs w:val="22"/>
        </w:rPr>
        <w:t xml:space="preserve">, tiek jiems pasiekti naudojamos renovacijos priemonės gali būti skirstomos į  dvi pagrindines grupes: </w:t>
      </w:r>
    </w:p>
    <w:p w14:paraId="020D1216" w14:textId="5056B23B" w:rsidR="00E60DE6" w:rsidRPr="007246B9" w:rsidRDefault="00A0696E" w:rsidP="00E60DE6">
      <w:pPr>
        <w:pStyle w:val="ListParagraph"/>
        <w:numPr>
          <w:ilvl w:val="0"/>
          <w:numId w:val="72"/>
        </w:numPr>
        <w:spacing w:before="120" w:after="60"/>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e</w:t>
      </w:r>
      <w:r w:rsidR="00E60DE6" w:rsidRPr="007246B9">
        <w:rPr>
          <w:rFonts w:ascii="Times New Roman" w:hAnsi="Times New Roman"/>
          <w:color w:val="000000" w:themeColor="text1"/>
          <w:szCs w:val="22"/>
          <w:lang w:val="lt-LT"/>
        </w:rPr>
        <w:t>nerginio efektyvumo didinimas;</w:t>
      </w:r>
    </w:p>
    <w:p w14:paraId="4A7B936F" w14:textId="77777777" w:rsidR="00E60DE6" w:rsidRPr="007246B9" w:rsidRDefault="00E60DE6" w:rsidP="00E60DE6">
      <w:pPr>
        <w:pStyle w:val="ListParagraph"/>
        <w:numPr>
          <w:ilvl w:val="0"/>
          <w:numId w:val="72"/>
        </w:numPr>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AEI panaudojimo didinimas (iškastinio kuro mažinimas). </w:t>
      </w:r>
    </w:p>
    <w:p w14:paraId="01D3E112" w14:textId="77777777" w:rsidR="00E60DE6" w:rsidRPr="007246B9" w:rsidRDefault="00E60DE6" w:rsidP="00E60DE6">
      <w:pPr>
        <w:spacing w:line="240" w:lineRule="auto"/>
        <w:jc w:val="both"/>
        <w:rPr>
          <w:rFonts w:ascii="Times New Roman" w:hAnsi="Times New Roman"/>
          <w:color w:val="000000" w:themeColor="text1"/>
          <w:szCs w:val="22"/>
        </w:rPr>
      </w:pPr>
    </w:p>
    <w:p w14:paraId="386E2E8E" w14:textId="342A6E2D" w:rsidR="00E60DE6" w:rsidRPr="007246B9" w:rsidRDefault="00E60DE6" w:rsidP="00E60DE6">
      <w:pPr>
        <w:spacing w:after="120"/>
        <w:jc w:val="both"/>
        <w:rPr>
          <w:rFonts w:ascii="Times New Roman" w:hAnsi="Times New Roman"/>
          <w:color w:val="000000" w:themeColor="text1"/>
          <w:szCs w:val="22"/>
        </w:rPr>
      </w:pPr>
      <w:r w:rsidRPr="007246B9">
        <w:rPr>
          <w:rFonts w:ascii="Times New Roman" w:hAnsi="Times New Roman"/>
          <w:color w:val="000000" w:themeColor="text1"/>
          <w:szCs w:val="22"/>
        </w:rPr>
        <w:lastRenderedPageBreak/>
        <w:t>Siekiant identifikuoti prioritetines pastatų grupes, atitinkamai gali būti suskirstytas ir pastatų fondas</w:t>
      </w:r>
      <w:r w:rsidR="00A0696E" w:rsidRPr="007246B9">
        <w:rPr>
          <w:rFonts w:ascii="Times New Roman" w:hAnsi="Times New Roman"/>
          <w:color w:val="000000" w:themeColor="text1"/>
          <w:szCs w:val="22"/>
        </w:rPr>
        <w:t>. Paveiksle žemiau pateikiamas p</w:t>
      </w:r>
      <w:r w:rsidRPr="007246B9">
        <w:rPr>
          <w:rFonts w:ascii="Times New Roman" w:hAnsi="Times New Roman"/>
          <w:color w:val="000000" w:themeColor="text1"/>
          <w:szCs w:val="22"/>
        </w:rPr>
        <w:t>astatų fondo pirminės energijos vartojimas pagal energinį efektyvumą (nuo blogiausio iki geriausio) ir šiluminės energijos šaltinį (nuo didžiausių iki mažiausių CO</w:t>
      </w:r>
      <w:r w:rsidRPr="007246B9">
        <w:rPr>
          <w:rFonts w:ascii="Times New Roman" w:hAnsi="Times New Roman"/>
          <w:color w:val="000000" w:themeColor="text1"/>
          <w:szCs w:val="22"/>
          <w:vertAlign w:val="subscript"/>
        </w:rPr>
        <w:t>2</w:t>
      </w:r>
      <w:r w:rsidRPr="007246B9">
        <w:rPr>
          <w:rFonts w:ascii="Times New Roman" w:hAnsi="Times New Roman"/>
          <w:color w:val="000000" w:themeColor="text1"/>
          <w:szCs w:val="22"/>
        </w:rPr>
        <w:t xml:space="preserve"> emisijų vienam pagamintos energijos vnt.).</w:t>
      </w:r>
    </w:p>
    <w:p w14:paraId="7E7FC92D" w14:textId="77777777" w:rsidR="00E60DE6" w:rsidRPr="007246B9" w:rsidRDefault="00E60DE6" w:rsidP="00E60DE6">
      <w:pPr>
        <w:spacing w:line="240" w:lineRule="auto"/>
        <w:jc w:val="both"/>
        <w:rPr>
          <w:rFonts w:ascii="Times New Roman" w:hAnsi="Times New Roman"/>
          <w:color w:val="000000" w:themeColor="text1"/>
          <w:szCs w:val="22"/>
        </w:rPr>
      </w:pPr>
      <w:r w:rsidRPr="007246B9">
        <w:rPr>
          <w:noProof/>
          <w:lang w:eastAsia="lt-LT"/>
        </w:rPr>
        <w:drawing>
          <wp:inline distT="0" distB="0" distL="0" distR="0" wp14:anchorId="175EC085" wp14:editId="37673DA7">
            <wp:extent cx="5314950" cy="39862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3986213"/>
                    </a:xfrm>
                    <a:prstGeom prst="rect">
                      <a:avLst/>
                    </a:prstGeom>
                  </pic:spPr>
                </pic:pic>
              </a:graphicData>
            </a:graphic>
          </wp:inline>
        </w:drawing>
      </w:r>
    </w:p>
    <w:p w14:paraId="0755C234" w14:textId="027F3F3E" w:rsidR="00E60DE6" w:rsidRPr="007246B9" w:rsidRDefault="00E60DE6" w:rsidP="00E60DE6">
      <w:pPr>
        <w:pStyle w:val="TESlentelspavadinimas"/>
        <w:rPr>
          <w:noProof w:val="0"/>
        </w:rPr>
      </w:pPr>
      <w:r w:rsidRPr="007246B9">
        <w:rPr>
          <w:noProof w:val="0"/>
        </w:rPr>
        <w:t xml:space="preserve">Šaltinis: </w:t>
      </w:r>
      <w:r w:rsidR="00A0696E" w:rsidRPr="007246B9">
        <w:rPr>
          <w:noProof w:val="0"/>
        </w:rPr>
        <w:t>Studijos Lietuvos ilgalaikei renovacijos strategijai parengti autoriai</w:t>
      </w:r>
    </w:p>
    <w:p w14:paraId="00080C4D" w14:textId="77777777" w:rsidR="00E60DE6" w:rsidRPr="007246B9" w:rsidRDefault="00E60DE6" w:rsidP="00E60DE6">
      <w:pPr>
        <w:spacing w:line="240" w:lineRule="auto"/>
        <w:jc w:val="both"/>
        <w:rPr>
          <w:rFonts w:ascii="Times New Roman" w:hAnsi="Times New Roman"/>
          <w:color w:val="000000" w:themeColor="text1"/>
          <w:szCs w:val="22"/>
        </w:rPr>
      </w:pPr>
    </w:p>
    <w:p w14:paraId="4FCC9D6B"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Apibendrinant paveiksle aukščiau pateiktus duomenis, galima identifikuoti prioritetines pastatų fondo grupes.</w:t>
      </w:r>
    </w:p>
    <w:p w14:paraId="77BFFB98" w14:textId="77777777" w:rsidR="00E60DE6" w:rsidRPr="007246B9" w:rsidRDefault="00E60DE6" w:rsidP="00E60DE6">
      <w:pPr>
        <w:spacing w:line="240" w:lineRule="auto"/>
        <w:jc w:val="both"/>
        <w:rPr>
          <w:rFonts w:ascii="Times New Roman" w:hAnsi="Times New Roman"/>
          <w:color w:val="000000" w:themeColor="text1"/>
          <w:szCs w:val="22"/>
        </w:rPr>
      </w:pPr>
    </w:p>
    <w:p w14:paraId="1B23E903" w14:textId="77777777" w:rsidR="00E60DE6" w:rsidRPr="007246B9" w:rsidRDefault="00E60DE6" w:rsidP="00E60DE6">
      <w:pPr>
        <w:spacing w:after="60"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Aukštas prioritetas:</w:t>
      </w:r>
    </w:p>
    <w:p w14:paraId="4BAED60E" w14:textId="77777777" w:rsidR="00E60DE6" w:rsidRPr="007246B9" w:rsidRDefault="00E60DE6" w:rsidP="00E60DE6">
      <w:pPr>
        <w:pStyle w:val="ListParagraph"/>
        <w:numPr>
          <w:ilvl w:val="0"/>
          <w:numId w:val="72"/>
        </w:numPr>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Žemo energinio efektyvumo (ENK ≤D) pastatai naudojantys iškastinį kurą (9,9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kuriems taikytinos tiek EE tiek AEI priemonės.</w:t>
      </w:r>
    </w:p>
    <w:p w14:paraId="0D56B93F" w14:textId="77777777" w:rsidR="00E60DE6" w:rsidRPr="007246B9" w:rsidRDefault="00E60DE6" w:rsidP="00E60DE6">
      <w:pPr>
        <w:pStyle w:val="ListParagraph"/>
        <w:numPr>
          <w:ilvl w:val="0"/>
          <w:numId w:val="72"/>
        </w:numPr>
        <w:spacing w:before="60"/>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Žemo energinio efektyvumo pastatai, nenaudojantys iškastinio kuro</w:t>
      </w:r>
      <w:r w:rsidRPr="007246B9">
        <w:rPr>
          <w:rStyle w:val="FootnoteReference"/>
          <w:rFonts w:ascii="Times New Roman" w:hAnsi="Times New Roman"/>
          <w:color w:val="000000" w:themeColor="text1"/>
          <w:szCs w:val="22"/>
          <w:lang w:val="lt-LT"/>
        </w:rPr>
        <w:footnoteReference w:id="2"/>
      </w:r>
      <w:r w:rsidRPr="007246B9">
        <w:rPr>
          <w:rFonts w:ascii="Times New Roman" w:hAnsi="Times New Roman"/>
          <w:color w:val="000000" w:themeColor="text1"/>
          <w:szCs w:val="22"/>
          <w:lang w:val="lt-LT"/>
        </w:rPr>
        <w:t xml:space="preserve"> (21,7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kuriems taikytinos EE priemonės.</w:t>
      </w:r>
    </w:p>
    <w:p w14:paraId="530D576A" w14:textId="77777777" w:rsidR="00E60DE6" w:rsidRPr="007246B9" w:rsidRDefault="00E60DE6" w:rsidP="00E60DE6">
      <w:pPr>
        <w:jc w:val="both"/>
        <w:rPr>
          <w:rFonts w:ascii="Times New Roman" w:hAnsi="Times New Roman"/>
          <w:color w:val="000000" w:themeColor="text1"/>
          <w:szCs w:val="22"/>
        </w:rPr>
      </w:pPr>
    </w:p>
    <w:p w14:paraId="41DF59D2" w14:textId="77777777" w:rsidR="00E60DE6" w:rsidRPr="007246B9" w:rsidRDefault="00E60DE6" w:rsidP="00E60DE6">
      <w:pPr>
        <w:spacing w:after="60"/>
        <w:jc w:val="both"/>
        <w:rPr>
          <w:rFonts w:ascii="Times New Roman" w:hAnsi="Times New Roman"/>
          <w:color w:val="000000" w:themeColor="text1"/>
          <w:szCs w:val="22"/>
        </w:rPr>
      </w:pPr>
      <w:r w:rsidRPr="007246B9">
        <w:rPr>
          <w:rFonts w:ascii="Times New Roman" w:hAnsi="Times New Roman"/>
          <w:color w:val="000000" w:themeColor="text1"/>
          <w:szCs w:val="22"/>
        </w:rPr>
        <w:t>Vidutinis prioritetas:</w:t>
      </w:r>
    </w:p>
    <w:p w14:paraId="30859EBD" w14:textId="77777777" w:rsidR="00E60DE6" w:rsidRPr="007246B9" w:rsidRDefault="00E60DE6" w:rsidP="00E60DE6">
      <w:pPr>
        <w:pStyle w:val="ListParagraph"/>
        <w:numPr>
          <w:ilvl w:val="0"/>
          <w:numId w:val="72"/>
        </w:numPr>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Vidutinio energinio efektyvumo (ENK C) pastatai naudojantys iškastinį kurą (1,5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xml:space="preserve">), kuriems taikytinos tiek EE tiek AEI priemonės. </w:t>
      </w:r>
    </w:p>
    <w:p w14:paraId="11277D26"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Vidutinio energinio efektyvumo pastatai (3,9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nenaudojantys iškastinio kuro kuriems taikytinos EE priemonės.</w:t>
      </w:r>
    </w:p>
    <w:p w14:paraId="32F8CF08" w14:textId="77777777" w:rsidR="00E60DE6" w:rsidRPr="007246B9" w:rsidRDefault="00E60DE6" w:rsidP="00E60DE6">
      <w:pPr>
        <w:spacing w:before="120" w:after="60"/>
        <w:jc w:val="both"/>
        <w:rPr>
          <w:rFonts w:ascii="Times New Roman" w:hAnsi="Times New Roman"/>
          <w:color w:val="000000" w:themeColor="text1"/>
          <w:szCs w:val="22"/>
        </w:rPr>
      </w:pPr>
      <w:r w:rsidRPr="007246B9">
        <w:rPr>
          <w:rFonts w:ascii="Times New Roman" w:hAnsi="Times New Roman"/>
          <w:color w:val="000000" w:themeColor="text1"/>
          <w:szCs w:val="22"/>
        </w:rPr>
        <w:t>Žemas prioritetas:</w:t>
      </w:r>
    </w:p>
    <w:p w14:paraId="0E2B308A" w14:textId="77777777" w:rsidR="00E60DE6" w:rsidRPr="007246B9" w:rsidRDefault="00E60DE6" w:rsidP="00E60DE6">
      <w:pPr>
        <w:pStyle w:val="ListParagraph"/>
        <w:numPr>
          <w:ilvl w:val="0"/>
          <w:numId w:val="72"/>
        </w:numPr>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Aukšto energinio efektyvumo (ENK ≥ B) pastatai naudojantys iškastinį kurą (1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kuriems taikytinos AEI priemonės.</w:t>
      </w:r>
    </w:p>
    <w:p w14:paraId="29F1CE50" w14:textId="77777777" w:rsidR="00E60DE6" w:rsidRPr="007246B9" w:rsidRDefault="00E60DE6" w:rsidP="00E60DE6">
      <w:pPr>
        <w:jc w:val="both"/>
        <w:rPr>
          <w:rFonts w:ascii="Times New Roman" w:hAnsi="Times New Roman"/>
          <w:color w:val="000000" w:themeColor="text1"/>
          <w:szCs w:val="22"/>
        </w:rPr>
      </w:pPr>
    </w:p>
    <w:p w14:paraId="161E6ABA" w14:textId="243A3904" w:rsidR="00E60DE6" w:rsidRPr="007246B9" w:rsidRDefault="00E60DE6" w:rsidP="00E60DE6">
      <w:pPr>
        <w:jc w:val="both"/>
        <w:rPr>
          <w:rFonts w:ascii="Times New Roman" w:hAnsi="Times New Roman"/>
          <w:color w:val="000000" w:themeColor="text1"/>
          <w:szCs w:val="22"/>
        </w:rPr>
      </w:pPr>
      <w:r w:rsidRPr="007246B9">
        <w:rPr>
          <w:rFonts w:ascii="Times New Roman" w:hAnsi="Times New Roman"/>
          <w:color w:val="000000" w:themeColor="text1"/>
          <w:szCs w:val="22"/>
        </w:rPr>
        <w:t>Aukščiau</w:t>
      </w:r>
      <w:r w:rsidR="00250EA6">
        <w:rPr>
          <w:rFonts w:ascii="Times New Roman" w:hAnsi="Times New Roman"/>
          <w:color w:val="000000" w:themeColor="text1"/>
          <w:szCs w:val="22"/>
        </w:rPr>
        <w:t xml:space="preserve"> identifikuotos</w:t>
      </w:r>
      <w:r w:rsidRPr="007246B9">
        <w:rPr>
          <w:rFonts w:ascii="Times New Roman" w:hAnsi="Times New Roman"/>
          <w:color w:val="000000" w:themeColor="text1"/>
          <w:szCs w:val="22"/>
        </w:rPr>
        <w:t xml:space="preserve"> </w:t>
      </w:r>
      <w:r w:rsidR="00250EA6">
        <w:rPr>
          <w:rFonts w:ascii="Times New Roman" w:hAnsi="Times New Roman"/>
          <w:color w:val="000000" w:themeColor="text1"/>
          <w:szCs w:val="22"/>
        </w:rPr>
        <w:t>prioritetinės kryptys</w:t>
      </w:r>
      <w:r w:rsidRPr="007246B9">
        <w:rPr>
          <w:rFonts w:ascii="Times New Roman" w:hAnsi="Times New Roman"/>
          <w:color w:val="000000" w:themeColor="text1"/>
          <w:szCs w:val="22"/>
        </w:rPr>
        <w:t xml:space="preserve"> turėtų atsispindėti rengiamame priemonių pakete, numatant į prioritetinius pastatų fondo segmentus orientuotas paramos priemones, pvz., </w:t>
      </w:r>
      <w:proofErr w:type="spellStart"/>
      <w:r w:rsidRPr="007246B9">
        <w:rPr>
          <w:rFonts w:ascii="Times New Roman" w:hAnsi="Times New Roman"/>
          <w:color w:val="000000" w:themeColor="text1"/>
          <w:szCs w:val="22"/>
        </w:rPr>
        <w:t>kvartalinė</w:t>
      </w:r>
      <w:proofErr w:type="spellEnd"/>
      <w:r w:rsidRPr="007246B9">
        <w:rPr>
          <w:rFonts w:ascii="Times New Roman" w:hAnsi="Times New Roman"/>
          <w:color w:val="000000" w:themeColor="text1"/>
          <w:szCs w:val="22"/>
        </w:rPr>
        <w:t xml:space="preserve"> renovacija žemo energinio efektyvumo daugiabučiams, AEI priemonės iškastinį kurą naudojantiems individualiems gamybos šaltiniams </w:t>
      </w:r>
      <w:r w:rsidRPr="007246B9">
        <w:rPr>
          <w:rFonts w:ascii="Times New Roman" w:hAnsi="Times New Roman"/>
          <w:color w:val="000000" w:themeColor="text1"/>
          <w:szCs w:val="22"/>
        </w:rPr>
        <w:lastRenderedPageBreak/>
        <w:t>pakeisti ir pan.</w:t>
      </w:r>
      <w:r w:rsidR="007246B9">
        <w:rPr>
          <w:rFonts w:ascii="Times New Roman" w:hAnsi="Times New Roman"/>
          <w:color w:val="000000" w:themeColor="text1"/>
          <w:szCs w:val="22"/>
        </w:rPr>
        <w:t xml:space="preserve"> </w:t>
      </w:r>
      <w:r w:rsidRPr="007246B9">
        <w:rPr>
          <w:rFonts w:ascii="Times New Roman" w:hAnsi="Times New Roman"/>
          <w:color w:val="000000" w:themeColor="text1"/>
          <w:szCs w:val="22"/>
        </w:rPr>
        <w:t>Konkrečių AEI priemonių įgyvendinimas gali būtų vykdomas pasirenkant įvairius AEI šaltinius, pvz., diegiant šilumos siurblius ir/arba fotovoltinių saulės kolektorius, gaminant elektrą iš vėjo ar hidroelektrinių, biokuro, gaminant šilumą iš vandenį šildančių saulės kolektorių, prisijungiant prie CŠT tinklų, perkant ir vartojant energiją iš nutolusių saulės, vėjo ir hidroelektrinių.</w:t>
      </w:r>
    </w:p>
    <w:p w14:paraId="27F12ED3" w14:textId="77777777" w:rsidR="00E60DE6" w:rsidRPr="007246B9" w:rsidRDefault="00E60DE6" w:rsidP="00E60DE6">
      <w:pPr>
        <w:jc w:val="both"/>
        <w:rPr>
          <w:rFonts w:ascii="Times New Roman" w:hAnsi="Times New Roman"/>
          <w:color w:val="000000" w:themeColor="text1"/>
          <w:szCs w:val="22"/>
        </w:rPr>
      </w:pPr>
    </w:p>
    <w:p w14:paraId="6A9E128A" w14:textId="77777777" w:rsidR="00E60DE6" w:rsidRPr="007246B9" w:rsidRDefault="00E60DE6" w:rsidP="00E60DE6">
      <w:pPr>
        <w:jc w:val="both"/>
        <w:rPr>
          <w:rFonts w:ascii="Times New Roman" w:hAnsi="Times New Roman"/>
          <w:color w:val="000000" w:themeColor="text1"/>
          <w:szCs w:val="22"/>
        </w:rPr>
      </w:pPr>
      <w:r w:rsidRPr="007246B9">
        <w:rPr>
          <w:rFonts w:ascii="Times New Roman" w:hAnsi="Times New Roman"/>
          <w:color w:val="000000" w:themeColor="text1"/>
          <w:szCs w:val="22"/>
        </w:rPr>
        <w:t>Vertinama, kad CŠT ir elektros sektoriai IRS įgyvendinimo eigoje kryptingai transformuosis iškastinio kuro atsisakymo kryptimi, todėl jų keitimas alternatyviomis AEI priemonėmis nebūtų ekonomiškai racionalus ir skatinamas. Ši nuostata turėtų būti periodiškai pakartotinai įvertinama (atnaujinant IRS), atsižvelgiant į faktinius numatytos sektorių transformacijos rezultatus.</w:t>
      </w:r>
    </w:p>
    <w:p w14:paraId="4D3A39AF" w14:textId="77777777" w:rsidR="00E60DE6" w:rsidRPr="007246B9" w:rsidRDefault="00E60DE6" w:rsidP="00E60DE6">
      <w:pPr>
        <w:jc w:val="both"/>
        <w:rPr>
          <w:rFonts w:ascii="Times New Roman" w:hAnsi="Times New Roman"/>
          <w:color w:val="000000" w:themeColor="text1"/>
          <w:szCs w:val="22"/>
        </w:rPr>
      </w:pPr>
    </w:p>
    <w:p w14:paraId="4DC3CA96" w14:textId="62840DF0" w:rsidR="00E60DE6" w:rsidRPr="007246B9" w:rsidRDefault="00250EA6" w:rsidP="00E60DE6">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Aukščiau aprašytos</w:t>
      </w:r>
      <w:r w:rsidR="00E60DE6" w:rsidRPr="007246B9">
        <w:rPr>
          <w:rFonts w:ascii="Times New Roman" w:hAnsi="Times New Roman"/>
          <w:color w:val="000000" w:themeColor="text1"/>
          <w:szCs w:val="22"/>
        </w:rPr>
        <w:t xml:space="preserve"> IRS </w:t>
      </w:r>
      <w:r>
        <w:rPr>
          <w:rFonts w:ascii="Times New Roman" w:hAnsi="Times New Roman"/>
          <w:color w:val="000000" w:themeColor="text1"/>
          <w:szCs w:val="22"/>
        </w:rPr>
        <w:t>prioritetinės kryptys</w:t>
      </w:r>
      <w:r w:rsidR="00E60DE6" w:rsidRPr="007246B9">
        <w:rPr>
          <w:rFonts w:ascii="Times New Roman" w:hAnsi="Times New Roman"/>
          <w:color w:val="000000" w:themeColor="text1"/>
          <w:szCs w:val="22"/>
        </w:rPr>
        <w:t xml:space="preserve"> atitinka PEND ir kitų ES strateginių dokumentų nuostatas, numatančias, kad:</w:t>
      </w:r>
    </w:p>
    <w:p w14:paraId="6B3FB86D"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auto"/>
          <w:szCs w:val="22"/>
          <w:lang w:val="lt-LT"/>
        </w:rPr>
      </w:pPr>
      <w:r w:rsidRPr="007246B9">
        <w:rPr>
          <w:rFonts w:ascii="Times New Roman" w:hAnsi="Times New Roman"/>
          <w:color w:val="auto"/>
          <w:szCs w:val="22"/>
          <w:lang w:val="lt-LT"/>
        </w:rPr>
        <w:t>Renovuojant pastatų ūkį pirmenybė teikiama „energijos vartojimo efektyvumui, taikant principą „svarbiausia – energijos vartojimo efektyvumas“ ir apsvarstant AEI naudojimo galimybes“.</w:t>
      </w:r>
    </w:p>
    <w:p w14:paraId="069328EF"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auto"/>
          <w:szCs w:val="22"/>
          <w:lang w:val="lt-LT"/>
        </w:rPr>
      </w:pPr>
      <w:r w:rsidRPr="007246B9">
        <w:rPr>
          <w:rFonts w:ascii="Times New Roman" w:hAnsi="Times New Roman"/>
          <w:color w:val="auto"/>
          <w:szCs w:val="22"/>
          <w:lang w:val="lt-LT"/>
        </w:rPr>
        <w:t>Didelis dėmesys turi būti skiriamas prasčiausio energinio naudingumo pastatams.</w:t>
      </w:r>
    </w:p>
    <w:p w14:paraId="56960B8D"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auto"/>
          <w:szCs w:val="22"/>
          <w:lang w:val="lt-LT"/>
        </w:rPr>
      </w:pPr>
      <w:r w:rsidRPr="007246B9">
        <w:rPr>
          <w:rFonts w:ascii="Times New Roman" w:hAnsi="Times New Roman"/>
          <w:color w:val="auto"/>
          <w:szCs w:val="22"/>
          <w:lang w:val="lt-LT"/>
        </w:rPr>
        <w:t>Energijos vartojimo efektyvumui didinti renovuojant pastatus skirtos finansinės priemonės turėtų būti siejamos su tiksliniu arba pasiektu energijos sutaupymu.</w:t>
      </w:r>
    </w:p>
    <w:p w14:paraId="786BEB6C" w14:textId="77777777" w:rsidR="00E60DE6" w:rsidRPr="007246B9" w:rsidRDefault="00E60DE6" w:rsidP="00E60DE6">
      <w:pPr>
        <w:spacing w:before="240" w:after="120"/>
        <w:jc w:val="both"/>
        <w:rPr>
          <w:rFonts w:ascii="Times New Roman" w:hAnsi="Times New Roman"/>
          <w:b/>
          <w:bCs/>
          <w:sz w:val="24"/>
          <w:szCs w:val="24"/>
        </w:rPr>
      </w:pPr>
      <w:r w:rsidRPr="007246B9">
        <w:rPr>
          <w:rFonts w:ascii="Times New Roman" w:hAnsi="Times New Roman"/>
          <w:b/>
          <w:bCs/>
          <w:sz w:val="24"/>
          <w:szCs w:val="24"/>
        </w:rPr>
        <w:t>Renovacijos strategijos įgyvendinimo veiksmų planas</w:t>
      </w:r>
    </w:p>
    <w:p w14:paraId="5F337F13"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IRS įgyvendinimo laikotarpis nuo 2021 iki 2050 m. skiriamas į 2 pagrindinius etapus:</w:t>
      </w:r>
    </w:p>
    <w:p w14:paraId="559EEADF" w14:textId="77777777" w:rsidR="00E60DE6" w:rsidRPr="007246B9" w:rsidRDefault="00E60DE6" w:rsidP="00E60DE6">
      <w:pPr>
        <w:pStyle w:val="ListParagraph"/>
        <w:numPr>
          <w:ilvl w:val="0"/>
          <w:numId w:val="73"/>
        </w:numPr>
        <w:spacing w:before="120" w:after="60" w:line="240" w:lineRule="auto"/>
        <w:ind w:left="714" w:hanging="357"/>
        <w:contextualSpacing w:val="0"/>
        <w:jc w:val="both"/>
        <w:rPr>
          <w:rFonts w:ascii="Times New Roman" w:hAnsi="Times New Roman"/>
          <w:lang w:val="lt-LT"/>
        </w:rPr>
      </w:pPr>
      <w:r w:rsidRPr="007246B9">
        <w:rPr>
          <w:rFonts w:ascii="Times New Roman" w:hAnsi="Times New Roman"/>
          <w:lang w:val="lt-LT"/>
        </w:rPr>
        <w:t>I. Pasirengimo etapas (2021-2022 m.).</w:t>
      </w:r>
    </w:p>
    <w:p w14:paraId="4CA5473A" w14:textId="77777777" w:rsidR="00E60DE6" w:rsidRPr="007246B9" w:rsidRDefault="00E60DE6" w:rsidP="00E60DE6">
      <w:pPr>
        <w:pStyle w:val="ListParagraph"/>
        <w:numPr>
          <w:ilvl w:val="0"/>
          <w:numId w:val="73"/>
        </w:numPr>
        <w:spacing w:before="120" w:line="240" w:lineRule="auto"/>
        <w:ind w:left="714" w:hanging="357"/>
        <w:contextualSpacing w:val="0"/>
        <w:jc w:val="both"/>
        <w:rPr>
          <w:rFonts w:ascii="Times New Roman" w:hAnsi="Times New Roman"/>
          <w:lang w:val="lt-LT"/>
        </w:rPr>
      </w:pPr>
      <w:r w:rsidRPr="007246B9">
        <w:rPr>
          <w:rFonts w:ascii="Times New Roman" w:hAnsi="Times New Roman"/>
          <w:lang w:val="lt-LT"/>
        </w:rPr>
        <w:t>II. Įgyvendinimo etapas (2023-2050 m.).</w:t>
      </w:r>
    </w:p>
    <w:p w14:paraId="7BAA4A38" w14:textId="77777777" w:rsidR="00E60DE6" w:rsidRPr="007246B9" w:rsidRDefault="00E60DE6" w:rsidP="00E60DE6">
      <w:pPr>
        <w:spacing w:line="240" w:lineRule="auto"/>
        <w:jc w:val="both"/>
        <w:rPr>
          <w:rFonts w:ascii="Times New Roman" w:hAnsi="Times New Roman"/>
          <w:color w:val="000000" w:themeColor="text1"/>
          <w:szCs w:val="22"/>
        </w:rPr>
      </w:pPr>
    </w:p>
    <w:p w14:paraId="4EEE317E"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Paveiksle žemiau pateikiamas pagrindinių IRS įgyvendinimo etapų ir veiksmų plano suvestinė. Svarbu pažymėti, kad IRS įgyvendinimo metu planuojama, kad IRS bus 2 kartus atnaujinta iš esmės (rengiant NECP 2040 ir NECP 2050) ir 3 kartus patikslinta (tikslinant NECP 2030, NECP 2040 ir NECP 2050, jų įgyvendinimo laikotarpio viduryje).</w:t>
      </w:r>
    </w:p>
    <w:p w14:paraId="22ED7EE0" w14:textId="77777777" w:rsidR="00E60DE6" w:rsidRPr="007246B9" w:rsidRDefault="00E60DE6" w:rsidP="00E60DE6">
      <w:pPr>
        <w:spacing w:line="240" w:lineRule="auto"/>
        <w:jc w:val="both"/>
        <w:rPr>
          <w:rFonts w:ascii="Times New Roman" w:hAnsi="Times New Roman"/>
          <w:color w:val="000000" w:themeColor="text1"/>
          <w:szCs w:val="22"/>
        </w:rPr>
      </w:pPr>
    </w:p>
    <w:p w14:paraId="0C291186" w14:textId="77777777" w:rsidR="00E60DE6" w:rsidRPr="007246B9" w:rsidRDefault="00E60DE6" w:rsidP="00E60DE6">
      <w:pPr>
        <w:pStyle w:val="BodyText"/>
        <w:rPr>
          <w:rFonts w:ascii="Times New Roman" w:hAnsi="Times New Roman"/>
          <w:color w:val="000000" w:themeColor="text1"/>
          <w:szCs w:val="22"/>
          <w:lang w:val="lt-LT"/>
        </w:rPr>
      </w:pPr>
      <w:r w:rsidRPr="007246B9">
        <w:rPr>
          <w:noProof/>
          <w:lang w:val="lt-LT" w:eastAsia="lt-LT"/>
        </w:rPr>
        <w:drawing>
          <wp:inline distT="0" distB="0" distL="0" distR="0" wp14:anchorId="5A1F0548" wp14:editId="28C8F3AF">
            <wp:extent cx="6064370" cy="3512390"/>
            <wp:effectExtent l="19050" t="19050" r="12700"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4952" cy="3512727"/>
                    </a:xfrm>
                    <a:prstGeom prst="rect">
                      <a:avLst/>
                    </a:prstGeom>
                    <a:ln w="19050">
                      <a:solidFill>
                        <a:schemeClr val="bg1">
                          <a:lumMod val="75000"/>
                        </a:schemeClr>
                      </a:solidFill>
                    </a:ln>
                  </pic:spPr>
                </pic:pic>
              </a:graphicData>
            </a:graphic>
          </wp:inline>
        </w:drawing>
      </w:r>
    </w:p>
    <w:p w14:paraId="1E91F35C" w14:textId="0689F8C4" w:rsidR="00E60DE6" w:rsidRPr="007246B9" w:rsidRDefault="00E60DE6" w:rsidP="00E60DE6">
      <w:pPr>
        <w:spacing w:line="240" w:lineRule="auto"/>
        <w:jc w:val="both"/>
        <w:rPr>
          <w:rFonts w:ascii="Times New Roman" w:eastAsia="Times New Roman" w:hAnsi="Times New Roman"/>
          <w:i/>
          <w:color w:val="000000" w:themeColor="text1"/>
          <w:sz w:val="20"/>
          <w:szCs w:val="28"/>
        </w:rPr>
      </w:pPr>
      <w:r w:rsidRPr="007246B9">
        <w:rPr>
          <w:rFonts w:ascii="Times New Roman" w:eastAsia="Times New Roman" w:hAnsi="Times New Roman"/>
          <w:i/>
          <w:color w:val="000000" w:themeColor="text1"/>
          <w:sz w:val="20"/>
          <w:szCs w:val="28"/>
        </w:rPr>
        <w:t xml:space="preserve">Šaltinis: </w:t>
      </w:r>
      <w:r w:rsidR="00A0696E" w:rsidRPr="007246B9">
        <w:rPr>
          <w:rFonts w:ascii="Times New Roman" w:eastAsia="Times New Roman" w:hAnsi="Times New Roman"/>
          <w:i/>
          <w:color w:val="000000" w:themeColor="text1"/>
          <w:sz w:val="20"/>
          <w:szCs w:val="28"/>
        </w:rPr>
        <w:t>Studijos Lietuvos ilgalaikei renovacijos strategijai parengti autoriai</w:t>
      </w:r>
    </w:p>
    <w:p w14:paraId="0553D90C" w14:textId="77777777" w:rsidR="00877850" w:rsidRDefault="00877850" w:rsidP="00E60DE6">
      <w:pPr>
        <w:spacing w:after="60" w:line="240" w:lineRule="auto"/>
        <w:jc w:val="both"/>
        <w:rPr>
          <w:rFonts w:ascii="Times New Roman" w:hAnsi="Times New Roman"/>
          <w:color w:val="000000" w:themeColor="text1"/>
          <w:szCs w:val="22"/>
        </w:rPr>
      </w:pPr>
    </w:p>
    <w:p w14:paraId="7CBA5163" w14:textId="77777777" w:rsidR="00877850" w:rsidRDefault="00877850" w:rsidP="00E60DE6">
      <w:pPr>
        <w:spacing w:after="60" w:line="240" w:lineRule="auto"/>
        <w:jc w:val="both"/>
        <w:rPr>
          <w:rFonts w:ascii="Times New Roman" w:hAnsi="Times New Roman"/>
          <w:color w:val="000000" w:themeColor="text1"/>
          <w:szCs w:val="22"/>
        </w:rPr>
      </w:pPr>
    </w:p>
    <w:p w14:paraId="3FDE648A" w14:textId="77777777" w:rsidR="00E60DE6" w:rsidRPr="007246B9" w:rsidRDefault="00E60DE6" w:rsidP="00E60DE6">
      <w:pPr>
        <w:spacing w:after="60"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lastRenderedPageBreak/>
        <w:t>Žemiau pateikiamas pagrindinių IRS įgyvendinimo etapų aprašymas.</w:t>
      </w:r>
    </w:p>
    <w:p w14:paraId="342C8BB3" w14:textId="77777777" w:rsidR="00E60DE6" w:rsidRPr="007246B9" w:rsidRDefault="00E60DE6" w:rsidP="00E60DE6">
      <w:pPr>
        <w:pStyle w:val="BodyText"/>
        <w:numPr>
          <w:ilvl w:val="0"/>
          <w:numId w:val="69"/>
        </w:numPr>
        <w:spacing w:after="120"/>
        <w:ind w:left="284" w:hanging="284"/>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Darbo grupės sukūrimas </w:t>
      </w:r>
    </w:p>
    <w:p w14:paraId="2BF82679" w14:textId="34C3AA74" w:rsidR="00E60DE6" w:rsidRPr="007246B9" w:rsidRDefault="00E60DE6" w:rsidP="00E60DE6">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Už IRS įgyvendinimą atsakingo organizacinio struktūrinio vieneto, pvz., </w:t>
      </w:r>
      <w:proofErr w:type="spellStart"/>
      <w:r w:rsidRPr="007246B9">
        <w:rPr>
          <w:rFonts w:ascii="Times New Roman" w:hAnsi="Times New Roman"/>
          <w:color w:val="000000" w:themeColor="text1"/>
          <w:szCs w:val="22"/>
          <w:lang w:val="lt-LT"/>
        </w:rPr>
        <w:t>tarpinstitucinės</w:t>
      </w:r>
      <w:proofErr w:type="spellEnd"/>
      <w:r w:rsidRPr="007246B9">
        <w:rPr>
          <w:rFonts w:ascii="Times New Roman" w:hAnsi="Times New Roman"/>
          <w:color w:val="000000" w:themeColor="text1"/>
          <w:szCs w:val="22"/>
          <w:lang w:val="lt-LT"/>
        </w:rPr>
        <w:t xml:space="preserve"> darbo grupės (komiteto), įkūrimas yra pirmas žingsnis siekiant įgyvendinti IRS pagal gerąją praktiką atitinkančius projektinio valdymo principus. Proje</w:t>
      </w:r>
      <w:r w:rsidR="00A0696E" w:rsidRPr="007246B9">
        <w:rPr>
          <w:rFonts w:ascii="Times New Roman" w:hAnsi="Times New Roman"/>
          <w:color w:val="000000" w:themeColor="text1"/>
          <w:szCs w:val="22"/>
          <w:lang w:val="lt-LT"/>
        </w:rPr>
        <w:t>kto valdytojas įgyvendintų IRS p</w:t>
      </w:r>
      <w:r w:rsidRPr="007246B9">
        <w:rPr>
          <w:rFonts w:ascii="Times New Roman" w:hAnsi="Times New Roman"/>
          <w:color w:val="000000" w:themeColor="text1"/>
          <w:szCs w:val="22"/>
          <w:lang w:val="lt-LT"/>
        </w:rPr>
        <w:t xml:space="preserve">rojekto valdytojo funkcijas t.y., nustatytų įgaliojimų ribose, būtų atsakinga už IRS </w:t>
      </w:r>
      <w:proofErr w:type="spellStart"/>
      <w:r w:rsidR="00877850">
        <w:rPr>
          <w:rFonts w:ascii="Times New Roman" w:hAnsi="Times New Roman"/>
          <w:color w:val="000000" w:themeColor="text1"/>
          <w:szCs w:val="22"/>
          <w:lang w:val="lt-LT"/>
        </w:rPr>
        <w:t>roduklių</w:t>
      </w:r>
      <w:proofErr w:type="spellEnd"/>
      <w:r w:rsidRPr="007246B9">
        <w:rPr>
          <w:rFonts w:ascii="Times New Roman" w:hAnsi="Times New Roman"/>
          <w:color w:val="000000" w:themeColor="text1"/>
          <w:szCs w:val="22"/>
          <w:lang w:val="lt-LT"/>
        </w:rPr>
        <w:t xml:space="preserve"> nustatymą, peržiūrą ir atnaujinimą, IRS suderinamumą su kitomis energinio efektyvumo ir AEI skatinimo politikos priemonėmis, energetikos sektoriaus planavimu ir pan.</w:t>
      </w:r>
    </w:p>
    <w:p w14:paraId="69E8BEA1" w14:textId="77777777" w:rsidR="00E60DE6" w:rsidRPr="007246B9" w:rsidRDefault="00E60DE6" w:rsidP="00E60DE6">
      <w:pPr>
        <w:pStyle w:val="BodyText"/>
        <w:spacing w:after="120"/>
        <w:rPr>
          <w:rFonts w:ascii="Times New Roman" w:hAnsi="Times New Roman"/>
          <w:color w:val="000000" w:themeColor="text1"/>
          <w:szCs w:val="22"/>
          <w:lang w:val="lt-LT"/>
        </w:rPr>
      </w:pPr>
    </w:p>
    <w:p w14:paraId="20E61C0E" w14:textId="77777777" w:rsidR="00E60DE6" w:rsidRPr="007246B9" w:rsidRDefault="00E60DE6" w:rsidP="00E60DE6">
      <w:pPr>
        <w:pStyle w:val="BodyText"/>
        <w:numPr>
          <w:ilvl w:val="0"/>
          <w:numId w:val="69"/>
        </w:numPr>
        <w:spacing w:after="120"/>
        <w:ind w:left="284" w:hanging="284"/>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IRS integracija į teisės aktų sistemą</w:t>
      </w:r>
    </w:p>
    <w:p w14:paraId="36CEF856" w14:textId="0EED0E9B" w:rsidR="00E60DE6" w:rsidRPr="007246B9" w:rsidRDefault="00E60DE6" w:rsidP="00A0696E">
      <w:pPr>
        <w:pStyle w:val="BodyText"/>
        <w:jc w:val="both"/>
        <w:rPr>
          <w:rFonts w:ascii="Times New Roman" w:hAnsi="Times New Roman"/>
          <w:color w:val="000000" w:themeColor="text1"/>
          <w:szCs w:val="24"/>
          <w:lang w:val="lt-LT"/>
        </w:rPr>
      </w:pPr>
      <w:r w:rsidRPr="007246B9">
        <w:rPr>
          <w:rFonts w:ascii="Times New Roman" w:hAnsi="Times New Roman"/>
          <w:color w:val="000000" w:themeColor="text1"/>
          <w:szCs w:val="24"/>
          <w:lang w:val="lt-LT"/>
        </w:rPr>
        <w:t>IRS įgyvendinimo  procesas yra itin fragmentuotas, su daug susijusių šalių, turinčių skirtingus interesus, veikiančių vadovaujantis skirtingais teisės aktais, savo indėlį į IRS įgyvendinimą finansuojančių skirtingais finansavimo šaltiniais ir pan. Atitinkamai, tam, kad IRS įgyvendinimui nekiltų s</w:t>
      </w:r>
      <w:r w:rsidR="00A0696E" w:rsidRPr="007246B9">
        <w:rPr>
          <w:rFonts w:ascii="Times New Roman" w:hAnsi="Times New Roman"/>
          <w:color w:val="000000" w:themeColor="text1"/>
          <w:szCs w:val="24"/>
          <w:lang w:val="lt-LT"/>
        </w:rPr>
        <w:t>u teisėkūra susijusių kliūčių, p</w:t>
      </w:r>
      <w:r w:rsidRPr="007246B9">
        <w:rPr>
          <w:rFonts w:ascii="Times New Roman" w:hAnsi="Times New Roman"/>
          <w:color w:val="000000" w:themeColor="text1"/>
          <w:szCs w:val="24"/>
          <w:lang w:val="lt-LT"/>
        </w:rPr>
        <w:t>rojekto valdytojas turėtų inicijuoti IRS integraciją į teisės aktų sistemą.</w:t>
      </w:r>
    </w:p>
    <w:p w14:paraId="3D19DE5F" w14:textId="77777777" w:rsidR="00E60DE6" w:rsidRPr="007246B9" w:rsidRDefault="00E60DE6" w:rsidP="00A0696E">
      <w:pPr>
        <w:pStyle w:val="BodyText"/>
        <w:jc w:val="both"/>
        <w:rPr>
          <w:rFonts w:ascii="Times New Roman" w:hAnsi="Times New Roman"/>
          <w:color w:val="000000" w:themeColor="text1"/>
          <w:szCs w:val="22"/>
          <w:lang w:val="lt-LT"/>
        </w:rPr>
      </w:pPr>
    </w:p>
    <w:p w14:paraId="2474C844"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IRS įgyvendinimo plano parengimas </w:t>
      </w:r>
    </w:p>
    <w:p w14:paraId="2F33A5CE" w14:textId="49961A7F"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Vadovaujantis strateginio planavimo praktika ir reikalavimais, ilgalaikiai IRS </w:t>
      </w:r>
      <w:r w:rsidR="00877850">
        <w:rPr>
          <w:rFonts w:ascii="Times New Roman" w:hAnsi="Times New Roman"/>
          <w:color w:val="000000" w:themeColor="text1"/>
          <w:szCs w:val="22"/>
          <w:lang w:val="lt-LT"/>
        </w:rPr>
        <w:t>rodikliai</w:t>
      </w:r>
      <w:r w:rsidRPr="007246B9">
        <w:rPr>
          <w:rFonts w:ascii="Times New Roman" w:hAnsi="Times New Roman"/>
          <w:color w:val="000000" w:themeColor="text1"/>
          <w:szCs w:val="22"/>
          <w:lang w:val="lt-LT"/>
        </w:rPr>
        <w:t xml:space="preserve"> ir prioritetai detalizuojami trumpos-vidutinės trukmės planavimo dokumente (pvz., IRS įgyvendinimo plane arba </w:t>
      </w:r>
      <w:proofErr w:type="spellStart"/>
      <w:r w:rsidRPr="007246B9">
        <w:rPr>
          <w:rFonts w:ascii="Times New Roman" w:hAnsi="Times New Roman"/>
          <w:color w:val="000000" w:themeColor="text1"/>
          <w:szCs w:val="22"/>
          <w:lang w:val="lt-LT"/>
        </w:rPr>
        <w:t>tarpinstituciniame</w:t>
      </w:r>
      <w:proofErr w:type="spellEnd"/>
      <w:r w:rsidRPr="007246B9">
        <w:rPr>
          <w:rFonts w:ascii="Times New Roman" w:hAnsi="Times New Roman"/>
          <w:color w:val="000000" w:themeColor="text1"/>
          <w:szCs w:val="22"/>
          <w:lang w:val="lt-LT"/>
        </w:rPr>
        <w:t xml:space="preserve"> IRS įgyvendinimo veiklos plane), apimančiame visas suinteresuotas institucijas ir nustatančiame 2021-2030 m. laikotarpio</w:t>
      </w:r>
      <w:r w:rsidRPr="007246B9">
        <w:rPr>
          <w:rFonts w:ascii="Times New Roman" w:hAnsi="Times New Roman"/>
          <w:color w:val="000000" w:themeColor="text1"/>
          <w:szCs w:val="22"/>
          <w:vertAlign w:val="superscript"/>
          <w:lang w:val="lt-LT"/>
        </w:rPr>
        <w:footnoteReference w:id="3"/>
      </w:r>
      <w:r w:rsidRPr="007246B9">
        <w:rPr>
          <w:rFonts w:ascii="Times New Roman" w:hAnsi="Times New Roman"/>
          <w:color w:val="000000" w:themeColor="text1"/>
          <w:szCs w:val="22"/>
          <w:lang w:val="lt-LT"/>
        </w:rPr>
        <w:t xml:space="preserve"> IRS </w:t>
      </w:r>
      <w:r w:rsidR="00877850">
        <w:rPr>
          <w:rFonts w:ascii="Times New Roman" w:hAnsi="Times New Roman"/>
          <w:color w:val="000000" w:themeColor="text1"/>
          <w:szCs w:val="22"/>
          <w:lang w:val="lt-LT"/>
        </w:rPr>
        <w:t>rodiklius</w:t>
      </w:r>
      <w:r w:rsidRPr="007246B9">
        <w:rPr>
          <w:rFonts w:ascii="Times New Roman" w:hAnsi="Times New Roman"/>
          <w:color w:val="000000" w:themeColor="text1"/>
          <w:szCs w:val="22"/>
          <w:lang w:val="lt-LT"/>
        </w:rPr>
        <w:t xml:space="preserve">,  uždavinius, priemones (žr. 4 etapą) ir asignavimus jiems įgyvendinti. </w:t>
      </w:r>
    </w:p>
    <w:p w14:paraId="6B6CA627" w14:textId="77777777" w:rsidR="00E60DE6" w:rsidRPr="007246B9" w:rsidRDefault="00E60DE6" w:rsidP="00A0696E">
      <w:pPr>
        <w:pStyle w:val="BodyText"/>
        <w:spacing w:after="120"/>
        <w:jc w:val="both"/>
        <w:rPr>
          <w:rFonts w:ascii="Times New Roman" w:hAnsi="Times New Roman"/>
          <w:color w:val="000000" w:themeColor="text1"/>
          <w:szCs w:val="22"/>
          <w:lang w:val="lt-LT"/>
        </w:rPr>
      </w:pPr>
    </w:p>
    <w:p w14:paraId="422F0999"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Priemonių paketo suformavimas</w:t>
      </w:r>
    </w:p>
    <w:p w14:paraId="21900DEC" w14:textId="1C248DD0" w:rsidR="00E60DE6" w:rsidRPr="007246B9" w:rsidRDefault="00E60DE6" w:rsidP="00A0696E">
      <w:pPr>
        <w:pStyle w:val="BodyText"/>
        <w:spacing w:after="12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Suformuojamas </w:t>
      </w:r>
      <w:r w:rsidR="00805B88">
        <w:rPr>
          <w:rFonts w:ascii="Times New Roman" w:hAnsi="Times New Roman"/>
          <w:color w:val="000000" w:themeColor="text1"/>
          <w:szCs w:val="22"/>
          <w:lang w:val="lt-LT"/>
        </w:rPr>
        <w:t xml:space="preserve">siekiamus </w:t>
      </w:r>
      <w:r w:rsidRPr="007246B9">
        <w:rPr>
          <w:rFonts w:ascii="Times New Roman" w:hAnsi="Times New Roman"/>
          <w:color w:val="000000" w:themeColor="text1"/>
          <w:szCs w:val="22"/>
          <w:lang w:val="lt-LT"/>
        </w:rPr>
        <w:t xml:space="preserve">IRS </w:t>
      </w:r>
      <w:r w:rsidR="00805B88">
        <w:rPr>
          <w:rFonts w:ascii="Times New Roman" w:hAnsi="Times New Roman"/>
          <w:color w:val="000000" w:themeColor="text1"/>
          <w:szCs w:val="22"/>
          <w:lang w:val="lt-LT"/>
        </w:rPr>
        <w:t>rodiklius</w:t>
      </w:r>
      <w:r w:rsidRPr="007246B9">
        <w:rPr>
          <w:rFonts w:ascii="Times New Roman" w:hAnsi="Times New Roman"/>
          <w:color w:val="000000" w:themeColor="text1"/>
          <w:szCs w:val="22"/>
          <w:lang w:val="lt-LT"/>
        </w:rPr>
        <w:t xml:space="preserve"> atitinkantis paramos priemonių paketas, kuris pilnai pakeistų esamas paramos priemones nuo 2023 metų ir užtikrintų:</w:t>
      </w:r>
    </w:p>
    <w:p w14:paraId="2E72DA52" w14:textId="77777777" w:rsidR="00E60DE6" w:rsidRPr="007246B9" w:rsidRDefault="00E60DE6" w:rsidP="00A0696E">
      <w:pPr>
        <w:pStyle w:val="BodyText"/>
        <w:numPr>
          <w:ilvl w:val="0"/>
          <w:numId w:val="70"/>
        </w:numPr>
        <w:spacing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tinkamą IRS prioritetų įgyvendinimą;</w:t>
      </w:r>
    </w:p>
    <w:p w14:paraId="072E4F7D" w14:textId="77777777" w:rsidR="00E60DE6" w:rsidRPr="007246B9" w:rsidRDefault="00E60DE6" w:rsidP="00A0696E">
      <w:pPr>
        <w:pStyle w:val="BodyText"/>
        <w:numPr>
          <w:ilvl w:val="0"/>
          <w:numId w:val="70"/>
        </w:numPr>
        <w:spacing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subalansuotų kompleksinių motyvacijos priemonių (tiek skatinimo, tiek nuobaudų) taikymą ir renovacijos tempų ir naudų maksimizavimą;</w:t>
      </w:r>
    </w:p>
    <w:p w14:paraId="16AC1DC5" w14:textId="77777777" w:rsidR="00E60DE6" w:rsidRPr="007246B9" w:rsidRDefault="00E60DE6" w:rsidP="00A0696E">
      <w:pPr>
        <w:pStyle w:val="BodyText"/>
        <w:numPr>
          <w:ilvl w:val="0"/>
          <w:numId w:val="70"/>
        </w:numPr>
        <w:spacing w:after="12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finansavimo šaltinių ir mechanizmų pakankamumą ir prieinamumą;</w:t>
      </w:r>
    </w:p>
    <w:p w14:paraId="63FEBA3F" w14:textId="77777777" w:rsidR="00E60DE6" w:rsidRPr="007246B9" w:rsidRDefault="00E60DE6" w:rsidP="00A0696E">
      <w:pPr>
        <w:pStyle w:val="BodyText"/>
        <w:numPr>
          <w:ilvl w:val="0"/>
          <w:numId w:val="70"/>
        </w:numPr>
        <w:spacing w:after="12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minimalių energinio naudingumo (energijos vartojimo) reikalavimų po renovacijos nustatymą;</w:t>
      </w:r>
    </w:p>
    <w:p w14:paraId="3E3BFF1E" w14:textId="77777777" w:rsidR="00E60DE6" w:rsidRPr="007246B9" w:rsidRDefault="00E60DE6" w:rsidP="00A0696E">
      <w:pPr>
        <w:pStyle w:val="BodyText"/>
        <w:jc w:val="both"/>
        <w:rPr>
          <w:rFonts w:ascii="Times New Roman" w:hAnsi="Times New Roman"/>
          <w:color w:val="000000" w:themeColor="text1"/>
          <w:szCs w:val="22"/>
          <w:lang w:val="lt-LT"/>
        </w:rPr>
      </w:pPr>
    </w:p>
    <w:p w14:paraId="1EB701E2"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Įgyvendinimo sistemos suformavimas </w:t>
      </w:r>
    </w:p>
    <w:p w14:paraId="6DD008BA" w14:textId="2BF78560"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Siekiant užtikrinti sklandų renovacijos įgyvendinimo procesą ir sudaryti sąlygas pasiekti ko</w:t>
      </w:r>
      <w:r w:rsidR="00A0696E" w:rsidRPr="007246B9">
        <w:rPr>
          <w:rFonts w:ascii="Times New Roman" w:hAnsi="Times New Roman"/>
          <w:color w:val="000000" w:themeColor="text1"/>
          <w:szCs w:val="22"/>
          <w:lang w:val="lt-LT"/>
        </w:rPr>
        <w:t>kybišką renovacijos rezultatą, p</w:t>
      </w:r>
      <w:r w:rsidRPr="007246B9">
        <w:rPr>
          <w:rFonts w:ascii="Times New Roman" w:hAnsi="Times New Roman"/>
          <w:color w:val="000000" w:themeColor="text1"/>
          <w:szCs w:val="22"/>
          <w:lang w:val="lt-LT"/>
        </w:rPr>
        <w:t xml:space="preserve">rojekto valdytojas turėtų suformuoti IRS įgyvendinimo sistemą. Pagrindinius sistemos elementus turėtų sudaryti kompetencijų centras, kokybės kontrolės mechanizmas ir </w:t>
      </w:r>
      <w:proofErr w:type="spellStart"/>
      <w:r w:rsidRPr="007246B9">
        <w:rPr>
          <w:rFonts w:ascii="Times New Roman" w:hAnsi="Times New Roman"/>
          <w:color w:val="000000" w:themeColor="text1"/>
          <w:szCs w:val="22"/>
          <w:lang w:val="lt-LT"/>
        </w:rPr>
        <w:t>stebėsenos</w:t>
      </w:r>
      <w:proofErr w:type="spellEnd"/>
      <w:r w:rsidRPr="007246B9">
        <w:rPr>
          <w:rFonts w:ascii="Times New Roman" w:hAnsi="Times New Roman"/>
          <w:color w:val="000000" w:themeColor="text1"/>
          <w:szCs w:val="22"/>
          <w:lang w:val="lt-LT"/>
        </w:rPr>
        <w:t xml:space="preserve"> sistema</w:t>
      </w:r>
    </w:p>
    <w:p w14:paraId="60EBA84D" w14:textId="77777777" w:rsidR="00E60DE6" w:rsidRPr="007246B9" w:rsidRDefault="00E60DE6" w:rsidP="00A0696E">
      <w:pPr>
        <w:pStyle w:val="BodyText"/>
        <w:spacing w:after="120"/>
        <w:jc w:val="both"/>
        <w:rPr>
          <w:rFonts w:ascii="Times New Roman" w:hAnsi="Times New Roman"/>
          <w:color w:val="000000" w:themeColor="text1"/>
          <w:szCs w:val="22"/>
          <w:lang w:val="lt-LT"/>
        </w:rPr>
      </w:pPr>
    </w:p>
    <w:p w14:paraId="4BA47EFE"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Komunikacijos plano parengimas </w:t>
      </w:r>
    </w:p>
    <w:p w14:paraId="00A8BB22" w14:textId="31AC134D"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Projekto valdytojas turėtų parengti IRS komunikacijos strategiją, apimančią komunikaciją tiek apie ilgalaikius renovacijos </w:t>
      </w:r>
      <w:r w:rsidR="00877850">
        <w:rPr>
          <w:rFonts w:ascii="Times New Roman" w:hAnsi="Times New Roman"/>
          <w:color w:val="000000" w:themeColor="text1"/>
          <w:szCs w:val="22"/>
          <w:lang w:val="lt-LT"/>
        </w:rPr>
        <w:t>rodiklius</w:t>
      </w:r>
      <w:r w:rsidRPr="007246B9">
        <w:rPr>
          <w:rFonts w:ascii="Times New Roman" w:hAnsi="Times New Roman"/>
          <w:color w:val="000000" w:themeColor="text1"/>
          <w:szCs w:val="22"/>
          <w:lang w:val="lt-LT"/>
        </w:rPr>
        <w:t xml:space="preserve">, tiek apie konkrečias renovacijos priemones. Turėtų būti paskirtas už komunikacijos įgyvendinimą atsakingą institucija. </w:t>
      </w:r>
    </w:p>
    <w:p w14:paraId="641FA732" w14:textId="77777777" w:rsidR="00E60DE6" w:rsidRPr="007246B9" w:rsidRDefault="00E60DE6" w:rsidP="00A0696E">
      <w:pPr>
        <w:pStyle w:val="BodyText"/>
        <w:spacing w:after="120"/>
        <w:jc w:val="both"/>
        <w:rPr>
          <w:rFonts w:ascii="Times New Roman" w:hAnsi="Times New Roman"/>
          <w:color w:val="000000" w:themeColor="text1"/>
          <w:szCs w:val="22"/>
          <w:lang w:val="lt-LT"/>
        </w:rPr>
      </w:pPr>
    </w:p>
    <w:p w14:paraId="2D5E0A93"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Duomenų bazės parengimas </w:t>
      </w:r>
    </w:p>
    <w:p w14:paraId="0BC86D71"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Siekiant spręsti duomenų nepakankamumo problemą, turėtų būti suformuota pastatų fondo duomenų bazė, paskirtas </w:t>
      </w:r>
      <w:r w:rsidRPr="007246B9">
        <w:rPr>
          <w:rFonts w:ascii="Times New Roman" w:hAnsi="Times New Roman"/>
          <w:szCs w:val="22"/>
          <w:lang w:val="lt-LT"/>
        </w:rPr>
        <w:t>ilgalaikis duomenų bazės administratorius ir užtikrintas jos finansavimo šaltinis</w:t>
      </w:r>
      <w:r w:rsidRPr="007246B9">
        <w:rPr>
          <w:rFonts w:ascii="Times New Roman" w:hAnsi="Times New Roman"/>
          <w:color w:val="000000" w:themeColor="text1"/>
          <w:szCs w:val="22"/>
          <w:lang w:val="lt-LT"/>
        </w:rPr>
        <w:t>. Duomenų bazės turėtų būti formuojama šiais etapais:</w:t>
      </w:r>
    </w:p>
    <w:p w14:paraId="231B38D5" w14:textId="77777777" w:rsidR="00E60DE6" w:rsidRPr="007246B9" w:rsidRDefault="00E60DE6" w:rsidP="00A0696E">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Nustatomi reikalavimai duomenų surinkimui savivaldybėse;</w:t>
      </w:r>
    </w:p>
    <w:p w14:paraId="6660005E" w14:textId="77777777" w:rsidR="00E60DE6" w:rsidRPr="007246B9" w:rsidRDefault="00E60DE6" w:rsidP="00A0696E">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Renkami duomenys savivaldybėse (žr. 9 etapą) bei  parengta metodika duomenų apdorojimui ir palyginimui su išoriniais šaltiniais.</w:t>
      </w:r>
    </w:p>
    <w:p w14:paraId="0BFB10CF" w14:textId="77777777" w:rsidR="00E60DE6" w:rsidRPr="007246B9" w:rsidRDefault="00E60DE6" w:rsidP="00E60DE6">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lastRenderedPageBreak/>
        <w:t>Konsoliduojami savivaldybių pateikti duomenys, užpildant duomenų bazę ir (pagal poreikį) atnaujinant IRS rodiklius (žr. 13 etapą).</w:t>
      </w:r>
    </w:p>
    <w:p w14:paraId="39C095F0" w14:textId="77777777" w:rsidR="00E60DE6" w:rsidRPr="007246B9" w:rsidRDefault="00E60DE6" w:rsidP="00E60DE6">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Nustatomas duomenų apie atliktą renovaciją rinkimo procesas, kurio metu būtų papildomi esami pastatų fondo duomenys. </w:t>
      </w:r>
    </w:p>
    <w:p w14:paraId="2C44EFA1" w14:textId="77777777" w:rsidR="00E60DE6" w:rsidRPr="007246B9" w:rsidRDefault="00E60DE6" w:rsidP="00A0696E">
      <w:pPr>
        <w:pStyle w:val="BodyText"/>
        <w:jc w:val="both"/>
        <w:rPr>
          <w:rFonts w:ascii="Times New Roman" w:hAnsi="Times New Roman"/>
          <w:color w:val="000000" w:themeColor="text1"/>
          <w:szCs w:val="22"/>
          <w:lang w:val="lt-LT"/>
        </w:rPr>
      </w:pPr>
    </w:p>
    <w:p w14:paraId="6BA9CC5A"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Esamų programų įgyvendinimas</w:t>
      </w:r>
    </w:p>
    <w:p w14:paraId="6C1182DE"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Pasirengimo etapo metu turi būti užtikrinamas esamų paramos programų vykdymas. Suformavus naujų paramos priemonių paketą (žr. 4 etapą) pradedamas IRS įgyvendinimo etapas ir naujų paramos priemonių įgyvendinimas (žr. 12 etapą).</w:t>
      </w:r>
    </w:p>
    <w:p w14:paraId="76D66752" w14:textId="77777777" w:rsidR="00E60DE6" w:rsidRPr="007246B9" w:rsidRDefault="00E60DE6" w:rsidP="00A0696E">
      <w:pPr>
        <w:pStyle w:val="BodyText"/>
        <w:jc w:val="both"/>
        <w:rPr>
          <w:rFonts w:ascii="Times New Roman" w:hAnsi="Times New Roman"/>
          <w:color w:val="000000" w:themeColor="text1"/>
          <w:szCs w:val="22"/>
          <w:lang w:val="lt-LT"/>
        </w:rPr>
      </w:pPr>
    </w:p>
    <w:p w14:paraId="1A46AB8E"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Pastatų fondo inventorizacija</w:t>
      </w:r>
    </w:p>
    <w:p w14:paraId="24301651"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Remdamosi parengtais duomenų surinkimo nurodymais ir reikalaujama duomenų struktūra (žr. 7 etapą), savivaldybės turėtų surinkti faktinę informaciją apie esamą pastatų fondą: naudojamų (šildomų) pastatų skaičių ir plotą, jų energijos gamybos šaltinius ir energijos vartojimą. Surinkta informacija turėtų būti teikiama į centralizuotą duomenų bazę, taip pat naudojama IRS įgyvendinimo planų savivaldybėse (žr. 10 etapą) rengimui.</w:t>
      </w:r>
    </w:p>
    <w:p w14:paraId="63D4EFF3" w14:textId="77777777" w:rsidR="00E60DE6" w:rsidRPr="007246B9" w:rsidRDefault="00E60DE6" w:rsidP="00A0696E">
      <w:pPr>
        <w:jc w:val="both"/>
        <w:rPr>
          <w:rFonts w:ascii="Times New Roman" w:hAnsi="Times New Roman"/>
          <w:b/>
          <w:bCs/>
          <w:color w:val="000000" w:themeColor="text1"/>
          <w:szCs w:val="22"/>
        </w:rPr>
      </w:pPr>
    </w:p>
    <w:p w14:paraId="7B0624E6"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IRS įgyvendinimo planų parengimas</w:t>
      </w:r>
    </w:p>
    <w:p w14:paraId="35C293C6" w14:textId="46637BB0"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Remdamosi IRS nustatytais </w:t>
      </w:r>
      <w:r w:rsidR="00877850">
        <w:rPr>
          <w:rFonts w:ascii="Times New Roman" w:hAnsi="Times New Roman"/>
          <w:color w:val="000000" w:themeColor="text1"/>
          <w:szCs w:val="22"/>
          <w:lang w:val="lt-LT"/>
        </w:rPr>
        <w:t>rodikliais</w:t>
      </w:r>
      <w:r w:rsidRPr="007246B9">
        <w:rPr>
          <w:rFonts w:ascii="Times New Roman" w:hAnsi="Times New Roman"/>
          <w:color w:val="000000" w:themeColor="text1"/>
          <w:szCs w:val="22"/>
          <w:lang w:val="lt-LT"/>
        </w:rPr>
        <w:t xml:space="preserve"> ir surinkta faktine informacija apie savivaldybių pastatų fondą (žr. 9 etapą), savivaldybės turi parenti savivaldybių IRS įgyvendinimo planus, kurie apimtų planuojamus rodiklius savivaldybės lygmeniu bei integraciją su kitais planavimo dokumentais. </w:t>
      </w:r>
    </w:p>
    <w:p w14:paraId="04ABF551" w14:textId="77777777" w:rsidR="00E60DE6" w:rsidRPr="007246B9" w:rsidRDefault="00E60DE6" w:rsidP="00A0696E">
      <w:pPr>
        <w:pStyle w:val="BodyText"/>
        <w:jc w:val="both"/>
        <w:rPr>
          <w:rFonts w:ascii="Times New Roman" w:hAnsi="Times New Roman"/>
          <w:color w:val="000000" w:themeColor="text1"/>
          <w:szCs w:val="22"/>
          <w:lang w:val="lt-LT"/>
        </w:rPr>
      </w:pPr>
    </w:p>
    <w:p w14:paraId="53EEC47F"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Įgyvendinimo sistemos adaptavimas </w:t>
      </w:r>
    </w:p>
    <w:p w14:paraId="09F50C17"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Savivaldybės turėtų adaptuoti paramos priemones (žr. 4 etapą) ir nacionalinę IRS įgyvendinimo sistemą (žr. 5 etapą) vietos savivaldos lygmeniu, užtikrinant „vieno langelio“ principo įgyvendinimą. </w:t>
      </w:r>
    </w:p>
    <w:p w14:paraId="18DD7A91" w14:textId="77777777" w:rsidR="00E60DE6" w:rsidRPr="007246B9" w:rsidRDefault="00E60DE6" w:rsidP="00A0696E">
      <w:pPr>
        <w:pStyle w:val="BodyText"/>
        <w:jc w:val="both"/>
        <w:rPr>
          <w:rFonts w:ascii="Times New Roman" w:hAnsi="Times New Roman"/>
          <w:color w:val="000000" w:themeColor="text1"/>
          <w:szCs w:val="22"/>
          <w:lang w:val="lt-LT"/>
        </w:rPr>
      </w:pPr>
    </w:p>
    <w:p w14:paraId="03B3C699"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Naujo programų paketo įgyvendinimas</w:t>
      </w:r>
    </w:p>
    <w:p w14:paraId="22D69EB8"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Suformavus naujų paramos priemonių paketą (žr. 4 etapą) pradedamas IRS įgyvendinimo etapas ir naujų paramos priemonių įgyvendinimas. </w:t>
      </w:r>
    </w:p>
    <w:p w14:paraId="1E93C918" w14:textId="77777777" w:rsidR="00E60DE6" w:rsidRPr="007246B9" w:rsidRDefault="00E60DE6" w:rsidP="00A0696E">
      <w:pPr>
        <w:pStyle w:val="BodyText"/>
        <w:jc w:val="both"/>
        <w:rPr>
          <w:rFonts w:ascii="Times New Roman" w:hAnsi="Times New Roman"/>
          <w:color w:val="000000" w:themeColor="text1"/>
          <w:szCs w:val="22"/>
          <w:lang w:val="lt-LT"/>
        </w:rPr>
      </w:pPr>
    </w:p>
    <w:p w14:paraId="269665CD"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NECP ir IRS atnaujinimas</w:t>
      </w:r>
    </w:p>
    <w:p w14:paraId="72CC3945"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Įgyvendinant ES direktyvų reikalavimus, IRS yra integruota NECP dalis. Atsižvelgiant į NECP taikomus reikalavimus, IRS turi būti atnaujinta ir pateikta Europos Komisijai kartu su atnaujintu NECP iki 2024 m. birželio mėnesio. </w:t>
      </w:r>
    </w:p>
    <w:p w14:paraId="1FBDF711" w14:textId="77777777" w:rsidR="00E60DE6" w:rsidRPr="007246B9" w:rsidRDefault="00E60DE6" w:rsidP="00A0696E">
      <w:pPr>
        <w:pStyle w:val="BodyText"/>
        <w:jc w:val="both"/>
        <w:rPr>
          <w:rFonts w:ascii="Times New Roman" w:hAnsi="Times New Roman"/>
          <w:color w:val="000000" w:themeColor="text1"/>
          <w:szCs w:val="22"/>
          <w:lang w:val="lt-LT"/>
        </w:rPr>
      </w:pPr>
    </w:p>
    <w:p w14:paraId="55BC0956"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NECP 2040 parengimas ir IRS atnaujinimas</w:t>
      </w:r>
    </w:p>
    <w:p w14:paraId="29BF10FE"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Įgyvendinant ES direktyvų reikalavimus, IRS yra integruota NECP dalis. Atsižvelgiant į NECP taikomus reikalavimus, naujo laikotarpio (2031-2040 m.) NECP turėti būti parengtas ir pateiktas Europos Komisijai iki 2029 m. sausio 1 d.</w:t>
      </w:r>
    </w:p>
    <w:p w14:paraId="21FBB791" w14:textId="77777777" w:rsidR="00E60DE6" w:rsidRPr="007246B9" w:rsidRDefault="00E60DE6" w:rsidP="00A0696E">
      <w:pPr>
        <w:pStyle w:val="BodyText"/>
        <w:jc w:val="both"/>
        <w:rPr>
          <w:rFonts w:ascii="Times New Roman" w:hAnsi="Times New Roman"/>
          <w:color w:val="000000" w:themeColor="text1"/>
          <w:szCs w:val="22"/>
          <w:lang w:val="lt-LT"/>
        </w:rPr>
      </w:pPr>
    </w:p>
    <w:p w14:paraId="50BE009A"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Naujų programų įgyvendinimas</w:t>
      </w:r>
    </w:p>
    <w:p w14:paraId="242A065D"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Suformavus naujų paramos priemonių paketą (žr. 14 etapą) tęsiamas IRS įgyvendinimo etapas ir naujų paramos priemonių įgyvendinimas. </w:t>
      </w:r>
    </w:p>
    <w:p w14:paraId="7B42DF45" w14:textId="77777777" w:rsidR="00E60DE6" w:rsidRPr="007246B9" w:rsidRDefault="00E60DE6" w:rsidP="00A0696E">
      <w:pPr>
        <w:pStyle w:val="BodyText"/>
        <w:jc w:val="both"/>
        <w:rPr>
          <w:rFonts w:ascii="Times New Roman" w:hAnsi="Times New Roman"/>
          <w:color w:val="000000" w:themeColor="text1"/>
          <w:szCs w:val="22"/>
          <w:lang w:val="lt-LT"/>
        </w:rPr>
      </w:pPr>
    </w:p>
    <w:p w14:paraId="4F7C50D4"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NECP 2050 parengimas ir IRS atnaujinimas</w:t>
      </w:r>
    </w:p>
    <w:p w14:paraId="6F35AB1B"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Įgyvendinant ES direktyvų reikalavimus, IRS yra integruota NECP dalis. Atsižvelgiant į šiuo metu NECP taikomus reikalavimus, naujo laikotarpio (2041-2050 m.) NECP turėtų būti parengtas ir pateiktas Europos Komisijai iki 2039 m. sausio 1 d. </w:t>
      </w:r>
    </w:p>
    <w:p w14:paraId="78F21FB2" w14:textId="77777777" w:rsidR="00E60DE6" w:rsidRPr="007246B9" w:rsidRDefault="00E60DE6" w:rsidP="00A0696E">
      <w:pPr>
        <w:pStyle w:val="BodyText"/>
        <w:jc w:val="both"/>
        <w:rPr>
          <w:rFonts w:ascii="Times New Roman" w:hAnsi="Times New Roman"/>
          <w:color w:val="000000" w:themeColor="text1"/>
          <w:szCs w:val="22"/>
          <w:lang w:val="lt-LT"/>
        </w:rPr>
      </w:pPr>
    </w:p>
    <w:p w14:paraId="7BB6D749"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Naujų programų įgyvendinimas</w:t>
      </w:r>
    </w:p>
    <w:p w14:paraId="4369146D" w14:textId="306E13D1" w:rsidR="00427AB3" w:rsidRPr="00650EE4" w:rsidRDefault="00E60DE6" w:rsidP="00A0696E">
      <w:pPr>
        <w:spacing w:after="60" w:line="240" w:lineRule="auto"/>
        <w:jc w:val="both"/>
        <w:rPr>
          <w:rFonts w:ascii="Times New Roman" w:hAnsi="Times New Roman"/>
          <w:szCs w:val="22"/>
        </w:rPr>
      </w:pPr>
      <w:r w:rsidRPr="007246B9">
        <w:rPr>
          <w:rFonts w:ascii="Times New Roman" w:hAnsi="Times New Roman"/>
          <w:color w:val="000000" w:themeColor="text1"/>
          <w:szCs w:val="22"/>
        </w:rPr>
        <w:t>Suformavus naujų paramos priemonių paketą (žr. 16 etapą) tęsiamas IRS įgyvendinimo etapas ir naujų paramos priemonių įgyvendinimas.</w:t>
      </w:r>
      <w:r w:rsidRPr="00650EE4">
        <w:rPr>
          <w:rFonts w:ascii="Times New Roman" w:hAnsi="Times New Roman"/>
          <w:color w:val="000000" w:themeColor="text1"/>
          <w:szCs w:val="22"/>
        </w:rPr>
        <w:t xml:space="preserve"> </w:t>
      </w:r>
      <w:r w:rsidR="00427AB3" w:rsidRPr="00650EE4">
        <w:rPr>
          <w:rFonts w:ascii="Times New Roman" w:hAnsi="Times New Roman"/>
          <w:color w:val="002060"/>
          <w:sz w:val="24"/>
          <w:szCs w:val="24"/>
        </w:rPr>
        <w:br w:type="page"/>
      </w:r>
    </w:p>
    <w:p w14:paraId="6939AC50" w14:textId="7233AC62" w:rsidR="00AA59D4" w:rsidRPr="00650EE4" w:rsidRDefault="008E1F13" w:rsidP="00A3407D">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10" w:name="_Toc67925100"/>
      <w:r w:rsidRPr="00650EE4">
        <w:rPr>
          <w:rFonts w:ascii="Times New Roman" w:hAnsi="Times New Roman"/>
          <w:color w:val="002060"/>
          <w:sz w:val="24"/>
          <w:szCs w:val="24"/>
        </w:rPr>
        <w:lastRenderedPageBreak/>
        <w:t>ĮŽAN</w:t>
      </w:r>
      <w:r w:rsidR="0088407D" w:rsidRPr="00650EE4">
        <w:rPr>
          <w:rFonts w:ascii="Times New Roman" w:hAnsi="Times New Roman"/>
          <w:color w:val="002060"/>
          <w:sz w:val="24"/>
          <w:szCs w:val="24"/>
        </w:rPr>
        <w:t>GA</w:t>
      </w:r>
      <w:bookmarkEnd w:id="10"/>
    </w:p>
    <w:p w14:paraId="27874EE3" w14:textId="0CCDC90A" w:rsidR="00D25BFD" w:rsidRPr="00650EE4" w:rsidRDefault="00D25BFD" w:rsidP="00D25BFD">
      <w:pPr>
        <w:jc w:val="both"/>
        <w:rPr>
          <w:rFonts w:ascii="Times New Roman" w:hAnsi="Times New Roman"/>
          <w:szCs w:val="22"/>
        </w:rPr>
      </w:pPr>
      <w:r w:rsidRPr="00650EE4">
        <w:rPr>
          <w:rFonts w:ascii="Times New Roman" w:hAnsi="Times New Roman"/>
          <w:szCs w:val="22"/>
        </w:rPr>
        <w:t>Pagal 2018 m. gegužės 30 d. Europos Parlamento ir Tarybos direktyvą (ES) 2018/844</w:t>
      </w:r>
      <w:r w:rsidR="00F95855" w:rsidRPr="00650EE4">
        <w:rPr>
          <w:rFonts w:ascii="Times New Roman" w:hAnsi="Times New Roman"/>
          <w:szCs w:val="22"/>
        </w:rPr>
        <w:t xml:space="preserve"> (</w:t>
      </w:r>
      <w:r w:rsidR="00590293" w:rsidRPr="00650EE4">
        <w:rPr>
          <w:rFonts w:ascii="Times New Roman" w:hAnsi="Times New Roman"/>
          <w:szCs w:val="22"/>
        </w:rPr>
        <w:t xml:space="preserve">toliau- </w:t>
      </w:r>
      <w:r w:rsidR="00F95855" w:rsidRPr="00650EE4">
        <w:rPr>
          <w:rFonts w:ascii="Times New Roman" w:hAnsi="Times New Roman"/>
          <w:szCs w:val="22"/>
        </w:rPr>
        <w:t>Pakeitimo direktyva)</w:t>
      </w:r>
      <w:r w:rsidRPr="00650EE4">
        <w:rPr>
          <w:rFonts w:ascii="Times New Roman" w:hAnsi="Times New Roman"/>
          <w:szCs w:val="22"/>
        </w:rPr>
        <w:t>, kuria iš dalies keičiama Direktyva 2010/31/ES dėl pastatų energinio naudingumo</w:t>
      </w:r>
      <w:r w:rsidR="00590293" w:rsidRPr="00650EE4">
        <w:rPr>
          <w:rFonts w:ascii="Times New Roman" w:hAnsi="Times New Roman"/>
          <w:szCs w:val="22"/>
        </w:rPr>
        <w:t xml:space="preserve"> (toliau- PEND)</w:t>
      </w:r>
      <w:r w:rsidRPr="00650EE4">
        <w:rPr>
          <w:rFonts w:ascii="Times New Roman" w:hAnsi="Times New Roman"/>
          <w:szCs w:val="22"/>
        </w:rPr>
        <w:t xml:space="preserve"> ir Direktyva 2012/27/ES dėl energijos vartojimo efektyvumo</w:t>
      </w:r>
      <w:r w:rsidR="00590293" w:rsidRPr="00650EE4">
        <w:rPr>
          <w:rFonts w:ascii="Times New Roman" w:hAnsi="Times New Roman"/>
          <w:szCs w:val="22"/>
        </w:rPr>
        <w:t xml:space="preserve"> (toliau - EVED)</w:t>
      </w:r>
      <w:r w:rsidR="00900B9F" w:rsidRPr="00650EE4">
        <w:rPr>
          <w:rFonts w:ascii="Times New Roman" w:hAnsi="Times New Roman"/>
          <w:szCs w:val="22"/>
        </w:rPr>
        <w:t xml:space="preserve">, Lietuva </w:t>
      </w:r>
      <w:r w:rsidRPr="00650EE4">
        <w:rPr>
          <w:rFonts w:ascii="Times New Roman" w:hAnsi="Times New Roman"/>
          <w:szCs w:val="22"/>
        </w:rPr>
        <w:t>turi pasirengti Ilgalaikę renovacijos strategiją, kuria būtų remiama nacionalinio viešosios paskirties ir privačių gyvenamųjų ir negyvenamųjų pastatų ūkio renovacija, užtikrinant, kad pastatų ūkyje energija būtų vartojama ypač efektyviai ir kad jis iki 2050 m. taptų nepriklausomas nuo iškastinio kuro, sudarant palankesnes sąlygas ekonomiškai efektyviam esamų pastatų pertvarkymui į beveik nulinės energijos pastatus.</w:t>
      </w:r>
    </w:p>
    <w:p w14:paraId="3904846C" w14:textId="77777777" w:rsidR="00D25BFD" w:rsidRPr="00650EE4" w:rsidRDefault="00D25BFD" w:rsidP="00D25BFD">
      <w:pPr>
        <w:jc w:val="both"/>
        <w:rPr>
          <w:rFonts w:ascii="Times New Roman" w:hAnsi="Times New Roman"/>
          <w:szCs w:val="22"/>
        </w:rPr>
      </w:pPr>
    </w:p>
    <w:p w14:paraId="0CEA174F" w14:textId="77777777" w:rsidR="00D25BFD" w:rsidRPr="00650EE4" w:rsidRDefault="00D25BFD" w:rsidP="00D25BFD">
      <w:pPr>
        <w:jc w:val="both"/>
        <w:rPr>
          <w:rFonts w:ascii="Times New Roman" w:hAnsi="Times New Roman"/>
          <w:szCs w:val="22"/>
        </w:rPr>
      </w:pPr>
      <w:r w:rsidRPr="00650EE4">
        <w:rPr>
          <w:rFonts w:ascii="Times New Roman" w:hAnsi="Times New Roman"/>
          <w:szCs w:val="22"/>
        </w:rPr>
        <w:t xml:space="preserve">Pagal 2018 m. gruodžio 11 d. Europos Parlamento ir Tarybos reglamentą (ES) 2018/1999 dėl energetikos sąjungos ir klimato politikos veiksmų valdymo, kuriuo iš dalies keičiami Europos Parlamento ir Tarybos reglamentai (EB) Nr. 663/2009 ir (EB) Nr. 715/2009, Europos Parlamento ir Tarybos direktyvos 94/22/EB, 98/70/EB, 2009/31/EB, 2009/73/EB, 2010/31/ES, 2012/27/ES ir 2013/30/ES, Tarybos direktyvos 2009/119/EB ir (ES) 2015/652 ir panaikinamas Europos Parlamento ir Tarybos reglamentas (ES) Nr. 525/2013 Kiekvienos valstybės narės ilgalaikė renovacijos strategija pateikiama Komisijai kaip valstybės galutinio integruoto nacionalinio energetikos ir klimato srities veiksmų plano, nurodyto Europos Parlamento ir Tarybos reglamento (ES) 2018/1999 3 straipsnyje, dalis. </w:t>
      </w:r>
    </w:p>
    <w:p w14:paraId="0B8CF80F" w14:textId="77777777" w:rsidR="00D25BFD" w:rsidRPr="00650EE4" w:rsidRDefault="00D25BFD" w:rsidP="00D25BFD">
      <w:pPr>
        <w:jc w:val="both"/>
        <w:rPr>
          <w:rFonts w:ascii="Times New Roman" w:hAnsi="Times New Roman"/>
          <w:szCs w:val="22"/>
        </w:rPr>
      </w:pPr>
    </w:p>
    <w:p w14:paraId="027ACE55" w14:textId="7D597F18" w:rsidR="00AA59D4" w:rsidRPr="00650EE4" w:rsidRDefault="00D36BB0" w:rsidP="00D25BFD">
      <w:pPr>
        <w:jc w:val="both"/>
        <w:rPr>
          <w:rFonts w:ascii="Times New Roman" w:hAnsi="Times New Roman"/>
          <w:szCs w:val="22"/>
        </w:rPr>
      </w:pPr>
      <w:r>
        <w:rPr>
          <w:rFonts w:ascii="Times New Roman" w:hAnsi="Times New Roman"/>
          <w:szCs w:val="22"/>
        </w:rPr>
        <w:t>Ilgalaikėje renovacijos strategijoje išdėstomos</w:t>
      </w:r>
      <w:r w:rsidR="00D25BFD" w:rsidRPr="00650EE4">
        <w:rPr>
          <w:rFonts w:ascii="Times New Roman" w:hAnsi="Times New Roman"/>
          <w:szCs w:val="22"/>
        </w:rPr>
        <w:t xml:space="preserve"> veiksmų gaires, kuriose numatomos priemonės ir vidaus mastu nustatyti išmatuojami pažangos rodikliai, atsižvelgiant į ilgalaikį 2050 m. tikslą Europos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w:t>
      </w:r>
      <w:r w:rsidR="00D95FDF" w:rsidRPr="00650EE4">
        <w:rPr>
          <w:rFonts w:ascii="Times New Roman" w:hAnsi="Times New Roman"/>
          <w:szCs w:val="22"/>
        </w:rPr>
        <w:t>T</w:t>
      </w:r>
      <w:r w:rsidR="00D25BFD" w:rsidRPr="00650EE4">
        <w:rPr>
          <w:rFonts w:ascii="Times New Roman" w:hAnsi="Times New Roman"/>
          <w:szCs w:val="22"/>
        </w:rPr>
        <w:t>aip pat</w:t>
      </w:r>
      <w:r w:rsidR="00D95FDF" w:rsidRPr="00650EE4">
        <w:rPr>
          <w:rFonts w:ascii="Times New Roman" w:hAnsi="Times New Roman"/>
          <w:szCs w:val="22"/>
        </w:rPr>
        <w:t>, numat</w:t>
      </w:r>
      <w:r>
        <w:rPr>
          <w:rFonts w:ascii="Times New Roman" w:hAnsi="Times New Roman"/>
          <w:szCs w:val="22"/>
        </w:rPr>
        <w:t>omi</w:t>
      </w:r>
      <w:r w:rsidR="00D95FDF" w:rsidRPr="00650EE4">
        <w:rPr>
          <w:rFonts w:ascii="Times New Roman" w:hAnsi="Times New Roman"/>
          <w:szCs w:val="22"/>
        </w:rPr>
        <w:t xml:space="preserve"> orientacini</w:t>
      </w:r>
      <w:r>
        <w:rPr>
          <w:rFonts w:ascii="Times New Roman" w:hAnsi="Times New Roman"/>
          <w:szCs w:val="22"/>
        </w:rPr>
        <w:t>ai</w:t>
      </w:r>
      <w:r w:rsidR="00D25BFD" w:rsidRPr="00650EE4">
        <w:rPr>
          <w:rFonts w:ascii="Times New Roman" w:hAnsi="Times New Roman"/>
          <w:szCs w:val="22"/>
        </w:rPr>
        <w:t xml:space="preserve"> 2030 </w:t>
      </w:r>
      <w:r w:rsidR="00D95FDF" w:rsidRPr="00650EE4">
        <w:rPr>
          <w:rFonts w:ascii="Times New Roman" w:hAnsi="Times New Roman"/>
          <w:szCs w:val="22"/>
        </w:rPr>
        <w:t>m., 2040 m. ir 2050 m. tarpini</w:t>
      </w:r>
      <w:r>
        <w:rPr>
          <w:rFonts w:ascii="Times New Roman" w:hAnsi="Times New Roman"/>
          <w:szCs w:val="22"/>
        </w:rPr>
        <w:t>ai</w:t>
      </w:r>
      <w:r w:rsidR="00D95FDF" w:rsidRPr="00650EE4">
        <w:rPr>
          <w:rFonts w:ascii="Times New Roman" w:hAnsi="Times New Roman"/>
          <w:szCs w:val="22"/>
        </w:rPr>
        <w:t xml:space="preserve"> tiksl</w:t>
      </w:r>
      <w:r>
        <w:rPr>
          <w:rFonts w:ascii="Times New Roman" w:hAnsi="Times New Roman"/>
          <w:szCs w:val="22"/>
        </w:rPr>
        <w:t>ai</w:t>
      </w:r>
      <w:r w:rsidR="00D95FDF" w:rsidRPr="00650EE4">
        <w:rPr>
          <w:rFonts w:ascii="Times New Roman" w:hAnsi="Times New Roman"/>
          <w:szCs w:val="22"/>
        </w:rPr>
        <w:t xml:space="preserve"> ir </w:t>
      </w:r>
      <w:r w:rsidRPr="00650EE4">
        <w:rPr>
          <w:rFonts w:ascii="Times New Roman" w:hAnsi="Times New Roman"/>
          <w:szCs w:val="22"/>
        </w:rPr>
        <w:t>nurod</w:t>
      </w:r>
      <w:r>
        <w:rPr>
          <w:rFonts w:ascii="Times New Roman" w:hAnsi="Times New Roman"/>
          <w:szCs w:val="22"/>
        </w:rPr>
        <w:t>oma</w:t>
      </w:r>
      <w:r w:rsidR="00D25BFD" w:rsidRPr="00650EE4">
        <w:rPr>
          <w:rFonts w:ascii="Times New Roman" w:hAnsi="Times New Roman"/>
          <w:szCs w:val="22"/>
        </w:rPr>
        <w:t>, kaip jie padeda pasiekti Sąjungos energijos vartojimo efektyvumo tikslus pagal Direktyvą 2012/27/ES.</w:t>
      </w:r>
    </w:p>
    <w:p w14:paraId="2EC8624D" w14:textId="77777777" w:rsidR="00746E46" w:rsidRPr="00650EE4" w:rsidRDefault="00746E46" w:rsidP="00746E46">
      <w:pPr>
        <w:jc w:val="both"/>
        <w:rPr>
          <w:rFonts w:ascii="Times New Roman" w:hAnsi="Times New Roman"/>
          <w:szCs w:val="22"/>
        </w:rPr>
      </w:pPr>
    </w:p>
    <w:p w14:paraId="1D909DB4" w14:textId="77777777" w:rsidR="003A587C" w:rsidRPr="00650EE4" w:rsidRDefault="003A587C" w:rsidP="003A587C">
      <w:pPr>
        <w:spacing w:after="240"/>
        <w:rPr>
          <w:rFonts w:ascii="Times New Roman" w:eastAsia="Times New Roman" w:hAnsi="Times New Roman"/>
          <w:b/>
          <w:bCs/>
          <w:caps/>
          <w:color w:val="auto"/>
          <w:kern w:val="32"/>
          <w:sz w:val="24"/>
          <w:szCs w:val="24"/>
        </w:rPr>
      </w:pPr>
      <w:r w:rsidRPr="00650EE4">
        <w:rPr>
          <w:rFonts w:ascii="Times New Roman" w:hAnsi="Times New Roman"/>
          <w:color w:val="auto"/>
          <w:sz w:val="24"/>
          <w:szCs w:val="24"/>
        </w:rPr>
        <w:br w:type="page"/>
      </w:r>
    </w:p>
    <w:bookmarkStart w:id="11" w:name="_Toc40346673"/>
    <w:bookmarkStart w:id="12" w:name="_Toc67925101"/>
    <w:bookmarkEnd w:id="11"/>
    <w:p w14:paraId="4E6DE733" w14:textId="423AF239" w:rsidR="0032704C" w:rsidRPr="00650EE4" w:rsidRDefault="0032704C" w:rsidP="00A16555">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 w:val="24"/>
          <w:szCs w:val="24"/>
        </w:rPr>
      </w:pPr>
      <w:r w:rsidRPr="00650EE4">
        <w:rPr>
          <w:rFonts w:ascii="Times New Roman" w:hAnsi="Times New Roman"/>
          <w:noProof/>
          <w:color w:val="002060"/>
          <w:sz w:val="24"/>
          <w:szCs w:val="24"/>
        </w:rPr>
        <w:lastRenderedPageBreak/>
        <mc:AlternateContent>
          <mc:Choice Requires="wps">
            <w:drawing>
              <wp:anchor distT="0" distB="0" distL="114300" distR="114300" simplePos="0" relativeHeight="251755520" behindDoc="0" locked="0" layoutInCell="1" allowOverlap="1" wp14:anchorId="477CCA0A" wp14:editId="39DAB16E">
                <wp:simplePos x="0" y="0"/>
                <wp:positionH relativeFrom="column">
                  <wp:posOffset>732790</wp:posOffset>
                </wp:positionH>
                <wp:positionV relativeFrom="paragraph">
                  <wp:posOffset>8831580</wp:posOffset>
                </wp:positionV>
                <wp:extent cx="719455" cy="3168015"/>
                <wp:effectExtent l="0" t="5080" r="0" b="0"/>
                <wp:wrapNone/>
                <wp:docPr id="1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9455" cy="3168015"/>
                        </a:xfrm>
                        <a:prstGeom prst="chevron">
                          <a:avLst>
                            <a:gd name="adj" fmla="val 23772"/>
                          </a:avLst>
                        </a:prstGeom>
                        <a:solidFill>
                          <a:srgbClr val="002776"/>
                        </a:solidFill>
                        <a:ln w="6350" algn="ctr">
                          <a:noFill/>
                          <a:miter lim="800000"/>
                          <a:headEnd/>
                          <a:tailEnd/>
                        </a:ln>
                      </wps:spPr>
                      <wps:txbx>
                        <w:txbxContent>
                          <w:p w14:paraId="02B5080F" w14:textId="77777777" w:rsidR="005E392B" w:rsidRDefault="005E392B"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energetikos įstatymas</w:t>
                            </w:r>
                          </w:p>
                        </w:txbxContent>
                      </wps:txbx>
                      <wps:bodyPr rot="10800000" vert="eaVert" lIns="36000" tIns="36000" rIns="36000" bIns="36000" anchor="ct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1028" type="#_x0000_t55" style="position:absolute;left:0;text-align:left;margin-left:57.7pt;margin-top:695.4pt;width:56.65pt;height:249.4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LGJgIAADgEAAAOAAAAZHJzL2Uyb0RvYy54bWysU01v1DAQvSPxHyzf2SS73Q+izVZVSxFS&#10;KZUK3B3bSQy2x7LdzfbfM/aG7RZuiBwcjz+e5703s708GE320gcFtqHVrKREWg5C2b6h377evttQ&#10;EiKzgmmwsqHPMtDL3ds329HVcg4DaCE9QRAb6tE1dIjR1UUR+CANCzNw0uJmB96wiKHvC+HZiOhG&#10;F/OyXBUjeOE8cBkCrt4cN+ku43ed5PFL1wUZiW4o5hbz6PPYprHYbVnde+YGxac02D9kYZiy+OgJ&#10;6oZFRp68+gvKKO4hQBdnHEwBXae4zByQTVX+weZxYE5mLihOcCeZwv+D5ff7B0+UQO/KihLLDJp0&#10;9RQhv00WSaDRhRrPPboHnygGdwf8ZyAWrgdme3nlPYyDZALTqtL54tWFFAS8StrxMwhEZ4ietTp0&#10;3hAP6MnyokxfXkVNyCEb9HwySB4i4bi4rt5fLJeUcNxaVKtNWS3zg6xOWCk550P8KMGQNGkoltHe&#10;w9Eatr8LMXskJp5M/KCkMxod3zNN5ov1ej7hTYeLF8RMHbQSt0rrHPi+vdae4FVMtJyv16vpcjg/&#10;pi0ZG7paLLH8mO6xS3j0mamFBJUr0KiIbaCVaejmKEVeTqp+sCLPI1P6OMektJ1kTsoeHYqH9pCN&#10;zBSS6i2IZ9Q9K1yVE25qVhRGsu/4p0R/smjbYpXUJ/E88OdBex4wywfAHko8ftuN5YkZvar/8zhn&#10;+9Lwu18AAAD//wMAUEsDBBQABgAIAAAAIQAFLXC24wAAAA0BAAAPAAAAZHJzL2Rvd25yZXYueG1s&#10;TI/BbsIwDIbvk/YOkSftBikdpNA1RWzSTkNIdENcQ5O1hcapmhS6t5932o72/+n352w92pZdTe8b&#10;hxJm0wiYwdLpBisJnx9vkyUwHxRq1To0Er6Nh3V+f5epVLsb7s21CBWjEvSpklCH0KWc+7I2Vvmp&#10;6wxS9uV6qwKNfcV1r25UblseR5HgVjVIF2rVmdfalJdisBIOQyjG7ftenJN4e7gcz5uX466S8vFh&#10;3DwDC2YMfzD86pM65OR0cgNqz1oJkySZE0rBYvkkgBEyj2cLYCdaiZVYAc8z/v+L/AcAAP//AwBQ&#10;SwECLQAUAAYACAAAACEAtoM4kv4AAADhAQAAEwAAAAAAAAAAAAAAAAAAAAAAW0NvbnRlbnRfVHlw&#10;ZXNdLnhtbFBLAQItABQABgAIAAAAIQA4/SH/1gAAAJQBAAALAAAAAAAAAAAAAAAAAC8BAABfcmVs&#10;cy8ucmVsc1BLAQItABQABgAIAAAAIQAtblLGJgIAADgEAAAOAAAAAAAAAAAAAAAAAC4CAABkcnMv&#10;ZTJvRG9jLnhtbFBLAQItABQABgAIAAAAIQAFLXC24wAAAA0BAAAPAAAAAAAAAAAAAAAAAIAEAABk&#10;cnMvZG93bnJldi54bWxQSwUGAAAAAAQABADzAAAAkAUAAAAA&#10;" adj="16465" fillcolor="#002776" stroked="f" strokeweight=".5pt">
                <v:textbox style="layout-flow:vertical-ideographic;mso-rotate:180" inset="1mm,1mm,1mm,1mm">
                  <w:txbxContent>
                    <w:p w14:paraId="02B5080F" w14:textId="77777777" w:rsidR="005E392B" w:rsidRDefault="005E392B"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energetikos įstatymas</w:t>
                      </w:r>
                    </w:p>
                  </w:txbxContent>
                </v:textbox>
              </v:shape>
            </w:pict>
          </mc:Fallback>
        </mc:AlternateContent>
      </w:r>
      <w:r w:rsidRPr="00650EE4">
        <w:rPr>
          <w:rFonts w:ascii="Times New Roman" w:hAnsi="Times New Roman"/>
          <w:noProof/>
          <w:color w:val="002060"/>
          <w:sz w:val="24"/>
          <w:szCs w:val="24"/>
        </w:rPr>
        <mc:AlternateContent>
          <mc:Choice Requires="wps">
            <w:drawing>
              <wp:anchor distT="0" distB="0" distL="114300" distR="114300" simplePos="0" relativeHeight="251756544" behindDoc="0" locked="0" layoutInCell="1" allowOverlap="1" wp14:anchorId="09517B01" wp14:editId="15D59D68">
                <wp:simplePos x="0" y="0"/>
                <wp:positionH relativeFrom="column">
                  <wp:posOffset>723265</wp:posOffset>
                </wp:positionH>
                <wp:positionV relativeFrom="paragraph">
                  <wp:posOffset>9397365</wp:posOffset>
                </wp:positionV>
                <wp:extent cx="719455" cy="3167380"/>
                <wp:effectExtent l="0" t="4762" r="0" b="0"/>
                <wp:wrapNone/>
                <wp:docPr id="10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9455" cy="3167380"/>
                        </a:xfrm>
                        <a:prstGeom prst="chevron">
                          <a:avLst>
                            <a:gd name="adj" fmla="val 23772"/>
                          </a:avLst>
                        </a:prstGeom>
                        <a:solidFill>
                          <a:srgbClr val="002776">
                            <a:alpha val="60000"/>
                          </a:srgbClr>
                        </a:solidFill>
                        <a:ln w="6350" algn="ctr">
                          <a:noFill/>
                          <a:miter lim="800000"/>
                          <a:headEnd/>
                          <a:tailEnd/>
                        </a:ln>
                      </wps:spPr>
                      <wps:txbx>
                        <w:txbxContent>
                          <w:p w14:paraId="672B010B" w14:textId="77777777" w:rsidR="005E392B" w:rsidRDefault="005E392B"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elektros energetikos įstatymas</w:t>
                            </w:r>
                          </w:p>
                        </w:txbxContent>
                      </wps:txbx>
                      <wps:bodyPr rot="10800000" vert="eaVert" lIns="36000" tIns="36000" rIns="36000" bIns="36000" anchor="ctr"/>
                    </wps:wsp>
                  </a:graphicData>
                </a:graphic>
                <wp14:sizeRelH relativeFrom="margin">
                  <wp14:pctWidth>0</wp14:pctWidth>
                </wp14:sizeRelH>
                <wp14:sizeRelV relativeFrom="margin">
                  <wp14:pctHeight>0</wp14:pctHeight>
                </wp14:sizeRelV>
              </wp:anchor>
            </w:drawing>
          </mc:Choice>
          <mc:Fallback>
            <w:pict>
              <v:shape id="_x0000_s1029" type="#_x0000_t55" style="position:absolute;left:0;text-align:left;margin-left:56.95pt;margin-top:739.95pt;width:56.65pt;height:249.4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OAIAAFkEAAAOAAAAZHJzL2Uyb0RvYy54bWysVMFuEzEQvSPxD5bvZDdJk5RVN1XVUoRU&#10;SqUC94ntzRpsj2W72eTvGXtDCHBD5OB47PHzvPc8e3W9t4btVIgaXcunk5oz5QRK7bYt//L5/s0l&#10;ZzGBk2DQqZYfVOTX69evrgbfqBn2aKQKjEBcbAbf8j4l31RVFL2yECfolaPNDoOFRGHYVjLAQOjW&#10;VLO6XlYDBukDChUjrd6Nm3xd8LtOifSp66JKzLScaktlDGXc5LFaX0GzDeB7LY5lwD9UYUE7uvQE&#10;dQcJ2EvQf0FZLQJG7NJEoK2w67RQhQOxmdZ/sHnuwavChcSJ/iRT/H+w4nH3FJiW5F0948yBJZNu&#10;XhKWu9k8CzT42FDes38KmWL0Dyi+R+bwtge3VTch4NArkFTWNOdXvx3IQaSjbDN8REnoQOhFq30X&#10;LAtIniwu6vwrq6QJ2xeDDieD1D4xQYur6duLxYIzQVvz6XI1vywOVtBkrFycDzG9V2hZnrScntEu&#10;4GgN7B5iKh7JI0+Q3zjrrCHHd2DYbL5azQoBaI7JhPwTsVBHo+W9NqYEYbu5NYHRUSq0nq1Wy0IA&#10;jO9hXF0WVlkSkm1MH+fnOMaxoeXL+YLeJ5gttZFIoSA5zHeVJ2p1oj4x2rb8ctSqLGfZ3zlZ5gm0&#10;Ged0m3FHH7L0o4Vpv9kXp0+mblAeyJhiwbQ+4uZuJuUUfKV/zswHR77OMxNqn/MgnAeb8wCc6JGa&#10;LPPI5PMToPdbqB97LTfIeVyyfn0R1j8AAAD//wMAUEsDBBQABgAIAAAAIQC0K5KN4gAAAA0BAAAP&#10;AAAAZHJzL2Rvd25yZXYueG1sTI/BbsIwEETvlfoP1lbqDWxQSUKIgxBSLz1UKlStejOxiSPsdRob&#10;SP++21M57s5o5k21Hr1jFzPELqCE2VQAM9gE3WEr4X3/PCmAxaRQKxfQSPgxEdb1/V2lSh2u+GYu&#10;u9QyCsFYKgk2pb7kPDbWeBWnoTdI2jEMXiU6h5brQV0p3Ds+FyLjXnVIDVb1ZmtNc9qdvYTupZ0d&#10;91+vYhPt5zZ9fyzE0vVSPj6MmxWwZMb0b4Y/fEKHmpgO4Yw6MidhkheEnkjI8nkGjCxP1AjsQK+8&#10;WCyB1xW/XVH/AgAA//8DAFBLAQItABQABgAIAAAAIQC2gziS/gAAAOEBAAATAAAAAAAAAAAAAAAA&#10;AAAAAABbQ29udGVudF9UeXBlc10ueG1sUEsBAi0AFAAGAAgAAAAhADj9If/WAAAAlAEAAAsAAAAA&#10;AAAAAAAAAAAALwEAAF9yZWxzLy5yZWxzUEsBAi0AFAAGAAgAAAAhAMaP9P44AgAAWQQAAA4AAAAA&#10;AAAAAAAAAAAALgIAAGRycy9lMm9Eb2MueG1sUEsBAi0AFAAGAAgAAAAhALQrko3iAAAADQEAAA8A&#10;AAAAAAAAAAAAAAAAkgQAAGRycy9kb3ducmV2LnhtbFBLBQYAAAAABAAEAPMAAAChBQAAAAA=&#10;" adj="16465" fillcolor="#002776" stroked="f" strokeweight=".5pt">
                <v:fill opacity="39321f"/>
                <v:textbox style="layout-flow:vertical-ideographic;mso-rotate:180" inset="1mm,1mm,1mm,1mm">
                  <w:txbxContent>
                    <w:p w14:paraId="672B010B" w14:textId="77777777" w:rsidR="005E392B" w:rsidRDefault="005E392B"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elektros energetikos įstatymas</w:t>
                      </w:r>
                    </w:p>
                  </w:txbxContent>
                </v:textbox>
              </v:shape>
            </w:pict>
          </mc:Fallback>
        </mc:AlternateContent>
      </w:r>
      <w:r w:rsidR="007955A4" w:rsidRPr="00650EE4">
        <w:rPr>
          <w:rFonts w:ascii="Times New Roman" w:hAnsi="Times New Roman"/>
          <w:color w:val="002060"/>
          <w:sz w:val="24"/>
          <w:szCs w:val="24"/>
        </w:rPr>
        <w:t>N</w:t>
      </w:r>
      <w:r w:rsidR="003C3017" w:rsidRPr="00650EE4">
        <w:rPr>
          <w:rFonts w:ascii="Times New Roman" w:hAnsi="Times New Roman"/>
          <w:color w:val="002060"/>
          <w:sz w:val="24"/>
          <w:szCs w:val="24"/>
        </w:rPr>
        <w:t xml:space="preserve">ACIONALINIO PASTATŲ FONDO </w:t>
      </w:r>
      <w:r w:rsidR="00375C2B">
        <w:rPr>
          <w:rFonts w:ascii="Times New Roman" w:hAnsi="Times New Roman"/>
          <w:color w:val="002060"/>
          <w:sz w:val="24"/>
          <w:szCs w:val="24"/>
        </w:rPr>
        <w:t>APŽVALGA</w:t>
      </w:r>
      <w:bookmarkEnd w:id="12"/>
    </w:p>
    <w:p w14:paraId="4DBF02B3" w14:textId="36278119" w:rsidR="00C83F29" w:rsidRPr="00650EE4" w:rsidRDefault="00C36458" w:rsidP="00486902">
      <w:pPr>
        <w:jc w:val="both"/>
        <w:rPr>
          <w:rFonts w:ascii="Times New Roman" w:hAnsi="Times New Roman"/>
          <w:color w:val="000000" w:themeColor="text1"/>
          <w:sz w:val="24"/>
          <w:szCs w:val="24"/>
        </w:rPr>
      </w:pPr>
      <w:r w:rsidRPr="00650EE4">
        <w:rPr>
          <w:rFonts w:ascii="Times New Roman" w:hAnsi="Times New Roman"/>
          <w:noProof/>
          <w:color w:val="000000" w:themeColor="text1"/>
          <w:sz w:val="24"/>
          <w:szCs w:val="24"/>
          <w:lang w:eastAsia="lt-LT"/>
        </w:rPr>
        <mc:AlternateContent>
          <mc:Choice Requires="wps">
            <w:drawing>
              <wp:inline distT="0" distB="0" distL="0" distR="0" wp14:anchorId="5DF67DCF" wp14:editId="3F046D75">
                <wp:extent cx="6488430" cy="2676525"/>
                <wp:effectExtent l="0" t="0" r="7620"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2676525"/>
                        </a:xfrm>
                        <a:prstGeom prst="rect">
                          <a:avLst/>
                        </a:prstGeom>
                        <a:solidFill>
                          <a:schemeClr val="bg1">
                            <a:lumMod val="85000"/>
                          </a:schemeClr>
                        </a:solidFill>
                        <a:ln>
                          <a:noFill/>
                        </a:ln>
                      </wps:spPr>
                      <wps:txbx>
                        <w:txbxContent>
                          <w:p w14:paraId="2C74E703" w14:textId="074A2FE6"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PEND 2a straipsnio 1 dalies a punkte numatyta, kad į kiekvieną IRS įtraukiama „nacionalinio pastatų ūkio apžvalga, grindžiama atitinkamai statistine atranka ir numatoma renovuotų pastatų dalimi 2020 m.“</w:t>
                            </w:r>
                          </w:p>
                          <w:p w14:paraId="38771DF4" w14:textId="77777777"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Numatomą renovuotų pastatų dalį galima išreikšti įvairiai, pavyzdžiui: a) procentais (%); b) kaip absoliutų skaičių arba c) kaip kiekvienos rūšies pastatų renovuotą plotą m</w:t>
                            </w:r>
                            <w:r w:rsidRPr="00445553">
                              <w:rPr>
                                <w:rFonts w:ascii="Times New Roman" w:hAnsi="Times New Roman" w:cs="Times New Roman"/>
                                <w:bCs/>
                                <w:color w:val="000000" w:themeColor="text1"/>
                                <w:sz w:val="22"/>
                                <w:vertAlign w:val="superscript"/>
                              </w:rPr>
                              <w:t>2</w:t>
                            </w:r>
                            <w:r w:rsidRPr="00445553">
                              <w:rPr>
                                <w:rFonts w:ascii="Times New Roman" w:hAnsi="Times New Roman" w:cs="Times New Roman"/>
                                <w:bCs/>
                                <w:color w:val="000000" w:themeColor="text1"/>
                                <w:sz w:val="22"/>
                              </w:rPr>
                              <w:t xml:space="preserve">. </w:t>
                            </w:r>
                          </w:p>
                          <w:p w14:paraId="21522DAA" w14:textId="12DB6A10"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Siekiant užtikrinti didesnį tikslumą taip pat galima vertinti renovacijos lygį (pvz., „nedidelė“, „vidutinė“ ir „esminė“). Dar vienas galimas rodiklis – pastatų pavertimas EBNP</w:t>
                            </w:r>
                            <w:r w:rsidRPr="00445553">
                              <w:rPr>
                                <w:rFonts w:ascii="Times New Roman" w:hAnsi="Times New Roman" w:cs="Times New Roman"/>
                                <w:bCs/>
                                <w:color w:val="000000" w:themeColor="text1"/>
                                <w:sz w:val="22"/>
                                <w:vertAlign w:val="superscript"/>
                              </w:rPr>
                              <w:t>1</w:t>
                            </w:r>
                            <w:r w:rsidRPr="00445553">
                              <w:rPr>
                                <w:rFonts w:ascii="Times New Roman" w:hAnsi="Times New Roman" w:cs="Times New Roman"/>
                                <w:bCs/>
                                <w:color w:val="000000" w:themeColor="text1"/>
                                <w:sz w:val="22"/>
                              </w:rPr>
                              <w:t>. Apskritai atlikus esminę renovaciją turėtų ne tik padidėti energijos vartojimo efektyvumas, bet ir sumažėti išmetamųjų šiltnamio efektą sukeliančių dujų.</w:t>
                            </w:r>
                          </w:p>
                          <w:p w14:paraId="6FA5C1E0" w14:textId="586A3901"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Numatoma dalis nebus privaloma siektina reikšmė; tai veikiau skaičius, kuriuo realistiškai perteikiama tikėtina iki 2020 m. baigtų renovuoti pastatų dalis. Laikydamosi reikalavimo pateikti orientacinius tarpinius tikslus valstybės narės taip pat gali nurodyti numatomą baigtų renovuoti pastatų dalį iki 2030 m., 2040 m. ir 2050 m.</w:t>
                            </w:r>
                          </w:p>
                          <w:p w14:paraId="67E5672C" w14:textId="65D5CEF3" w:rsidR="005E392B" w:rsidRPr="00445553" w:rsidRDefault="005E392B" w:rsidP="00F62C54">
                            <w:pPr>
                              <w:pStyle w:val="Text"/>
                              <w:spacing w:after="120" w:line="240" w:lineRule="auto"/>
                              <w:ind w:left="0" w:right="0"/>
                              <w:rPr>
                                <w:rFonts w:ascii="Times New Roman" w:hAnsi="Times New Roman" w:cs="Times New Roman"/>
                                <w:bCs/>
                                <w:i/>
                                <w:iCs/>
                                <w:color w:val="000000" w:themeColor="text1"/>
                                <w:sz w:val="22"/>
                              </w:rPr>
                            </w:pPr>
                            <w:r w:rsidRPr="00445553">
                              <w:rPr>
                                <w:rFonts w:ascii="Times New Roman" w:hAnsi="Times New Roman" w:cs="Times New Roman"/>
                                <w:bCs/>
                                <w:i/>
                                <w:iCs/>
                                <w:color w:val="000000" w:themeColor="text1"/>
                                <w:sz w:val="22"/>
                                <w:vertAlign w:val="superscript"/>
                              </w:rPr>
                              <w:t>1</w:t>
                            </w:r>
                            <w:r w:rsidRPr="00445553">
                              <w:rPr>
                                <w:rFonts w:ascii="Times New Roman" w:hAnsi="Times New Roman" w:cs="Times New Roman"/>
                                <w:bCs/>
                                <w:i/>
                                <w:iCs/>
                                <w:color w:val="000000" w:themeColor="text1"/>
                                <w:sz w:val="22"/>
                              </w:rPr>
                              <w:t xml:space="preserve"> – </w:t>
                            </w:r>
                            <w:r w:rsidRPr="00445553">
                              <w:rPr>
                                <w:rFonts w:ascii="Times New Roman" w:hAnsi="Times New Roman" w:cs="Times New Roman"/>
                                <w:i/>
                                <w:iCs/>
                                <w:sz w:val="22"/>
                              </w:rPr>
                              <w:t>Atsižvelgdamas į sutaupytos pirminės energijos kiekį ES pastatų ūkio stebėsenos centras nustatė šiuos renovacijos lygius: — nedidelė (mažiau nei 30 %), — vidutinė (30–60 %) ir — esminė (daugiau nei 60 %). EBNP renovacija apibrėžiama nenustatant konkrečios pirminės energijos sutaupymo vertės: vadovaujamasi oficialiosiomis nacionalinėmis EBNP renovacijos apibrėžtimis.</w:t>
                            </w:r>
                          </w:p>
                        </w:txbxContent>
                      </wps:txbx>
                      <wps:bodyPr rot="0" vert="horz" wrap="square" lIns="91440" tIns="45720" rIns="91440" bIns="45720" anchor="t" anchorCtr="0" upright="1">
                        <a:noAutofit/>
                      </wps:bodyPr>
                    </wps:wsp>
                  </a:graphicData>
                </a:graphic>
              </wp:inline>
            </w:drawing>
          </mc:Choice>
          <mc:Fallback>
            <w:pict>
              <v:shape id="Text Box 7" o:spid="_x0000_s1030" type="#_x0000_t202" style="width:510.9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sNGwIAABoEAAAOAAAAZHJzL2Uyb0RvYy54bWysU9uO0zAQfUfiHyy/06QlvRA1XS1dLUJa&#10;FqRdPsBxnMTC8RjbbbJ8PWO7LQXeEC+W5+IzZ86MtzfToMhRWCdBV3Q+yykRmkMjdVfRr8/3bzaU&#10;OM90wxRoUdEX4ejN7vWr7WhKsYAeVCMsQRDtytFUtPfelFnmeC8G5mZghMZgC3ZgHk3bZY1lI6IP&#10;Klvk+SobwTbGAhfOofcuBeku4ret4P5z2zrhiaoocvPxtPGsw5nttqzsLDO95Cca7B9YDExqLHqB&#10;umOekYOVf0ENkltw0PoZhyGDtpVcxB6wm3n+RzdPPTMi9oLiOHORyf0/WP54/GKJbCq6pkSzAUf0&#10;LCZP3sNE1kGd0bgSk54MpvkJ3Tjl2KkzD8C/OaJh3zPdiVtrYewFa5DdPLzMrp4mHBdA6vETNFiG&#10;HTxEoKm1Q5AOxSCIjlN6uUwmUOHoXBWbTfEWQxxji9V6tVwsYw1Wnp8b6/wHAQMJl4paHH2EZ8cH&#10;5wMdVp5TQjUHSjb3UqlohHUTe2XJkeGi1F1qUR0G5Jp8m2Wex3VBnLidIT2i/oakdMDTEJBT0eCJ&#10;UoTukw5+qqeoeXFWuIbmBbWxkBYUPxReerA/KBlxOSvqvh+YFZSojxr1fTcvirDN0SiW6wUa9jpS&#10;X0eY5ghVUU9Juu59+gEHY2XXY6XUroZbnEkro1pheInViT4uYGz39FnChl/bMevXl979BAAA//8D&#10;AFBLAwQUAAYACAAAACEASlHdw90AAAAGAQAADwAAAGRycy9kb3ducmV2LnhtbEyPT0vDQBDF74Lf&#10;YRnBm90k+Kek2RQRBJUq2GrP0+w0CWZnw+6mif30br3o5cHwhvd+r1hOphMHcr61rCCdJSCIK6tb&#10;rhV8bB6v5iB8QNbYWSYF3+RhWZ6fFZhrO/I7HdahFjGEfY4KmhD6XEpfNWTQz2xPHL29dQZDPF0t&#10;tcMxhptOZklyKw22HBsa7OmhoeprPRgFK355xv1m/no8ZsP4uX26G99WTqnLi+l+ASLQFP6e4YQf&#10;0aGMTDs7sPaiUxCHhF89eUmWxh07BddZegOyLOR//PIHAAD//wMAUEsBAi0AFAAGAAgAAAAhALaD&#10;OJL+AAAA4QEAABMAAAAAAAAAAAAAAAAAAAAAAFtDb250ZW50X1R5cGVzXS54bWxQSwECLQAUAAYA&#10;CAAAACEAOP0h/9YAAACUAQAACwAAAAAAAAAAAAAAAAAvAQAAX3JlbHMvLnJlbHNQSwECLQAUAAYA&#10;CAAAACEACppbDRsCAAAaBAAADgAAAAAAAAAAAAAAAAAuAgAAZHJzL2Uyb0RvYy54bWxQSwECLQAU&#10;AAYACAAAACEASlHdw90AAAAGAQAADwAAAAAAAAAAAAAAAAB1BAAAZHJzL2Rvd25yZXYueG1sUEsF&#10;BgAAAAAEAAQA8wAAAH8FAAAAAA==&#10;" fillcolor="#d8d8d8 [2732]" stroked="f">
                <v:textbox>
                  <w:txbxContent>
                    <w:p w14:paraId="2C74E703" w14:textId="074A2FE6"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PEND 2a straipsnio 1 dalies a punkte numatyta, kad į kiekvieną IRS įtraukiama „nacionalinio pastatų ūkio apžvalga, grindžiama atitinkamai statistine atranka ir numatoma renovuotų pastatų dalimi 2020 m.“</w:t>
                      </w:r>
                    </w:p>
                    <w:p w14:paraId="38771DF4" w14:textId="77777777"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Numatomą renovuotų pastatų dalį galima išreikšti įvairiai, pavyzdžiui: a) procentais (%); b) kaip absoliutų skaičių arba c) kaip kiekvienos rūšies pastatų renovuotą plotą m</w:t>
                      </w:r>
                      <w:r w:rsidRPr="00445553">
                        <w:rPr>
                          <w:rFonts w:ascii="Times New Roman" w:hAnsi="Times New Roman" w:cs="Times New Roman"/>
                          <w:bCs/>
                          <w:color w:val="000000" w:themeColor="text1"/>
                          <w:sz w:val="22"/>
                          <w:vertAlign w:val="superscript"/>
                        </w:rPr>
                        <w:t>2</w:t>
                      </w:r>
                      <w:r w:rsidRPr="00445553">
                        <w:rPr>
                          <w:rFonts w:ascii="Times New Roman" w:hAnsi="Times New Roman" w:cs="Times New Roman"/>
                          <w:bCs/>
                          <w:color w:val="000000" w:themeColor="text1"/>
                          <w:sz w:val="22"/>
                        </w:rPr>
                        <w:t xml:space="preserve">. </w:t>
                      </w:r>
                    </w:p>
                    <w:p w14:paraId="21522DAA" w14:textId="12DB6A10"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Siekiant užtikrinti didesnį tikslumą taip pat galima vertinti renovacijos lygį (pvz., „nedidelė“, „vidutinė“ ir „esminė“). Dar vienas galimas rodiklis – pastatų pavertimas EBNP</w:t>
                      </w:r>
                      <w:r w:rsidRPr="00445553">
                        <w:rPr>
                          <w:rFonts w:ascii="Times New Roman" w:hAnsi="Times New Roman" w:cs="Times New Roman"/>
                          <w:bCs/>
                          <w:color w:val="000000" w:themeColor="text1"/>
                          <w:sz w:val="22"/>
                          <w:vertAlign w:val="superscript"/>
                        </w:rPr>
                        <w:t>1</w:t>
                      </w:r>
                      <w:r w:rsidRPr="00445553">
                        <w:rPr>
                          <w:rFonts w:ascii="Times New Roman" w:hAnsi="Times New Roman" w:cs="Times New Roman"/>
                          <w:bCs/>
                          <w:color w:val="000000" w:themeColor="text1"/>
                          <w:sz w:val="22"/>
                        </w:rPr>
                        <w:t>. Apskritai atlikus esminę renovaciją turėtų ne tik padidėti energijos vartojimo efektyvumas, bet ir sumažėti išmetamųjų šiltnamio efektą sukeliančių dujų.</w:t>
                      </w:r>
                    </w:p>
                    <w:p w14:paraId="6FA5C1E0" w14:textId="586A3901" w:rsidR="005E392B" w:rsidRPr="00445553" w:rsidRDefault="005E392B"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Numatoma dalis nebus privaloma siektina reikšmė; tai veikiau skaičius, kuriuo realistiškai perteikiama tikėtina iki 2020 m. baigtų renovuoti pastatų dalis. Laikydamosi reikalavimo pateikti orientacinius tarpinius tikslus valstybės narės taip pat gali nurodyti numatomą baigtų renovuoti pastatų dalį iki 2030 m., 2040 m. ir 2050 m.</w:t>
                      </w:r>
                    </w:p>
                    <w:p w14:paraId="67E5672C" w14:textId="65D5CEF3" w:rsidR="005E392B" w:rsidRPr="00445553" w:rsidRDefault="005E392B" w:rsidP="00F62C54">
                      <w:pPr>
                        <w:pStyle w:val="Text"/>
                        <w:spacing w:after="120" w:line="240" w:lineRule="auto"/>
                        <w:ind w:left="0" w:right="0"/>
                        <w:rPr>
                          <w:rFonts w:ascii="Times New Roman" w:hAnsi="Times New Roman" w:cs="Times New Roman"/>
                          <w:bCs/>
                          <w:i/>
                          <w:iCs/>
                          <w:color w:val="000000" w:themeColor="text1"/>
                          <w:sz w:val="22"/>
                        </w:rPr>
                      </w:pPr>
                      <w:r w:rsidRPr="00445553">
                        <w:rPr>
                          <w:rFonts w:ascii="Times New Roman" w:hAnsi="Times New Roman" w:cs="Times New Roman"/>
                          <w:bCs/>
                          <w:i/>
                          <w:iCs/>
                          <w:color w:val="000000" w:themeColor="text1"/>
                          <w:sz w:val="22"/>
                          <w:vertAlign w:val="superscript"/>
                        </w:rPr>
                        <w:t>1</w:t>
                      </w:r>
                      <w:r w:rsidRPr="00445553">
                        <w:rPr>
                          <w:rFonts w:ascii="Times New Roman" w:hAnsi="Times New Roman" w:cs="Times New Roman"/>
                          <w:bCs/>
                          <w:i/>
                          <w:iCs/>
                          <w:color w:val="000000" w:themeColor="text1"/>
                          <w:sz w:val="22"/>
                        </w:rPr>
                        <w:t xml:space="preserve"> – </w:t>
                      </w:r>
                      <w:r w:rsidRPr="00445553">
                        <w:rPr>
                          <w:rFonts w:ascii="Times New Roman" w:hAnsi="Times New Roman" w:cs="Times New Roman"/>
                          <w:i/>
                          <w:iCs/>
                          <w:sz w:val="22"/>
                        </w:rPr>
                        <w:t>Atsižvelgdamas į sutaupytos pirminės energijos kiekį ES pastatų ūkio stebėsenos centras nustatė šiuos renovacijos lygius: — nedidelė (mažiau nei 30 %), — vidutinė (30–60 %) ir — esminė (daugiau nei 60 %). EBNP renovacija apibrėžiama nenustatant konkrečios pirminės energijos sutaupymo vertės: vadovaujamasi oficialiosiomis nacionalinėmis EBNP renovacijos apibrėžtimis.</w:t>
                      </w:r>
                    </w:p>
                  </w:txbxContent>
                </v:textbox>
                <w10:anchorlock/>
              </v:shape>
            </w:pict>
          </mc:Fallback>
        </mc:AlternateContent>
      </w:r>
    </w:p>
    <w:p w14:paraId="6941527C" w14:textId="77777777" w:rsidR="00A16555" w:rsidRPr="00650EE4" w:rsidRDefault="00A16555" w:rsidP="00865E12">
      <w:pPr>
        <w:spacing w:before="240"/>
        <w:jc w:val="both"/>
        <w:rPr>
          <w:rFonts w:ascii="Times New Roman" w:hAnsi="Times New Roman"/>
          <w:color w:val="000000" w:themeColor="text1"/>
          <w:szCs w:val="22"/>
        </w:rPr>
      </w:pPr>
      <w:r w:rsidRPr="00650EE4">
        <w:rPr>
          <w:rFonts w:ascii="Times New Roman" w:hAnsi="Times New Roman"/>
          <w:color w:val="000000" w:themeColor="text1"/>
          <w:szCs w:val="22"/>
        </w:rPr>
        <w:t>Šiame skyriuje pateikiami atliktos Nacionalinio pastatų fondo apžvalgos rezultatai:</w:t>
      </w:r>
    </w:p>
    <w:p w14:paraId="0A065955" w14:textId="1598E5F7" w:rsidR="00A16555" w:rsidRPr="00650EE4" w:rsidRDefault="00A16555" w:rsidP="00865E12">
      <w:pPr>
        <w:pStyle w:val="Pagrindinispaprastastekstas"/>
        <w:numPr>
          <w:ilvl w:val="0"/>
          <w:numId w:val="10"/>
        </w:numPr>
        <w:spacing w:before="120"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w:t>
      </w:r>
      <w:r w:rsidR="00B17CD0" w:rsidRPr="00650EE4">
        <w:rPr>
          <w:rFonts w:ascii="Times New Roman" w:hAnsi="Times New Roman"/>
          <w:color w:val="000000" w:themeColor="text1"/>
          <w:szCs w:val="22"/>
        </w:rPr>
        <w:t>ų fondo struktūra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.1 skyrius).</w:t>
      </w:r>
    </w:p>
    <w:p w14:paraId="309DD624" w14:textId="25BAE789" w:rsidR="00A16555" w:rsidRPr="00650EE4"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Pastatų fondo ene</w:t>
      </w:r>
      <w:r w:rsidR="00B17CD0" w:rsidRPr="00650EE4">
        <w:rPr>
          <w:rFonts w:ascii="Times New Roman" w:hAnsi="Times New Roman"/>
          <w:color w:val="000000" w:themeColor="text1"/>
          <w:szCs w:val="22"/>
        </w:rPr>
        <w:t>rgijos vartojimas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.2 skyrius).</w:t>
      </w:r>
    </w:p>
    <w:p w14:paraId="322CE8C3" w14:textId="0E512C18" w:rsidR="00A16555" w:rsidRPr="00650EE4"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Pastatų fondo CO</w:t>
      </w:r>
      <w:r w:rsidRPr="00650EE4">
        <w:rPr>
          <w:rFonts w:ascii="Times New Roman" w:hAnsi="Times New Roman"/>
          <w:color w:val="000000" w:themeColor="text1"/>
          <w:szCs w:val="22"/>
          <w:vertAlign w:val="subscript"/>
        </w:rPr>
        <w:t>2</w:t>
      </w:r>
      <w:r w:rsidR="00B17CD0" w:rsidRPr="00650EE4">
        <w:rPr>
          <w:rFonts w:ascii="Times New Roman" w:hAnsi="Times New Roman"/>
          <w:color w:val="000000" w:themeColor="text1"/>
          <w:szCs w:val="22"/>
        </w:rPr>
        <w:t xml:space="preserve"> išmetimai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.3. skyrius).</w:t>
      </w:r>
    </w:p>
    <w:p w14:paraId="7FEA57D4" w14:textId="5B154678" w:rsidR="00A16555" w:rsidRPr="00650EE4"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Specifiniai pastatų</w:t>
      </w:r>
      <w:r w:rsidR="00B17CD0" w:rsidRPr="00650EE4">
        <w:rPr>
          <w:rFonts w:ascii="Times New Roman" w:hAnsi="Times New Roman"/>
          <w:color w:val="000000" w:themeColor="text1"/>
          <w:szCs w:val="22"/>
        </w:rPr>
        <w:t xml:space="preserve"> fondo segmentai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.4. skyrius).</w:t>
      </w:r>
    </w:p>
    <w:p w14:paraId="5C385BCC" w14:textId="19E07E0D" w:rsidR="00A16555"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Esminiai skyri</w:t>
      </w:r>
      <w:r w:rsidR="00D95FDF" w:rsidRPr="00650EE4">
        <w:rPr>
          <w:rFonts w:ascii="Times New Roman" w:hAnsi="Times New Roman"/>
          <w:color w:val="000000" w:themeColor="text1"/>
          <w:szCs w:val="22"/>
        </w:rPr>
        <w:t>aus pastebėjimai (</w:t>
      </w:r>
      <w:r w:rsidR="0061497C">
        <w:rPr>
          <w:rFonts w:ascii="Times New Roman" w:hAnsi="Times New Roman"/>
          <w:color w:val="000000" w:themeColor="text1"/>
          <w:szCs w:val="22"/>
        </w:rPr>
        <w:t>1</w:t>
      </w:r>
      <w:r w:rsidR="00D95FDF" w:rsidRPr="00650EE4">
        <w:rPr>
          <w:rFonts w:ascii="Times New Roman" w:hAnsi="Times New Roman"/>
          <w:color w:val="000000" w:themeColor="text1"/>
          <w:szCs w:val="22"/>
        </w:rPr>
        <w:t>.5. skyrius)</w:t>
      </w:r>
      <w:r w:rsidRPr="00650EE4">
        <w:rPr>
          <w:rFonts w:ascii="Times New Roman" w:hAnsi="Times New Roman"/>
          <w:color w:val="000000" w:themeColor="text1"/>
          <w:szCs w:val="22"/>
        </w:rPr>
        <w:t>.</w:t>
      </w:r>
    </w:p>
    <w:p w14:paraId="030A3F45" w14:textId="77777777" w:rsidR="00C15EE3" w:rsidRPr="00C15EE3" w:rsidRDefault="00C15EE3" w:rsidP="00C15EE3">
      <w:pPr>
        <w:pStyle w:val="Pagrindinispaprastastekstas"/>
        <w:spacing w:after="60"/>
        <w:rPr>
          <w:rFonts w:ascii="Times New Roman" w:hAnsi="Times New Roman"/>
          <w:color w:val="000000" w:themeColor="text1"/>
          <w:sz w:val="14"/>
          <w:szCs w:val="22"/>
        </w:rPr>
      </w:pPr>
    </w:p>
    <w:p w14:paraId="78337B2F" w14:textId="4CB7EAD4" w:rsidR="00D464D7" w:rsidRPr="00650EE4" w:rsidRDefault="00CA195A" w:rsidP="00140A43">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3" w:name="_Hlk39148345"/>
      <w:bookmarkStart w:id="14" w:name="_Toc67925102"/>
      <w:r w:rsidRPr="00650EE4">
        <w:rPr>
          <w:rFonts w:ascii="Times New Roman" w:hAnsi="Times New Roman"/>
          <w:color w:val="auto"/>
          <w:sz w:val="24"/>
          <w:szCs w:val="24"/>
          <w:lang w:val="lt-LT"/>
        </w:rPr>
        <w:t>P</w:t>
      </w:r>
      <w:r w:rsidR="006A7BC5" w:rsidRPr="00650EE4">
        <w:rPr>
          <w:rFonts w:ascii="Times New Roman" w:hAnsi="Times New Roman"/>
          <w:color w:val="auto"/>
          <w:sz w:val="24"/>
          <w:szCs w:val="24"/>
          <w:lang w:val="lt-LT"/>
        </w:rPr>
        <w:t>astatų fond</w:t>
      </w:r>
      <w:r w:rsidR="005B3444" w:rsidRPr="00650EE4">
        <w:rPr>
          <w:rFonts w:ascii="Times New Roman" w:hAnsi="Times New Roman"/>
          <w:color w:val="auto"/>
          <w:sz w:val="24"/>
          <w:szCs w:val="24"/>
          <w:lang w:val="lt-LT"/>
        </w:rPr>
        <w:t xml:space="preserve">o </w:t>
      </w:r>
      <w:r w:rsidRPr="00650EE4">
        <w:rPr>
          <w:rFonts w:ascii="Times New Roman" w:hAnsi="Times New Roman"/>
          <w:color w:val="auto"/>
          <w:sz w:val="24"/>
          <w:szCs w:val="24"/>
          <w:lang w:val="lt-LT"/>
        </w:rPr>
        <w:t>struktūra</w:t>
      </w:r>
      <w:bookmarkEnd w:id="14"/>
    </w:p>
    <w:bookmarkEnd w:id="13"/>
    <w:p w14:paraId="523D0901" w14:textId="4AD24A2A" w:rsidR="0005004F" w:rsidRPr="00650EE4" w:rsidRDefault="003F74C6" w:rsidP="004E763B">
      <w:pPr>
        <w:jc w:val="both"/>
        <w:rPr>
          <w:rFonts w:ascii="Times New Roman" w:hAnsi="Times New Roman"/>
          <w:color w:val="000000" w:themeColor="text1"/>
          <w:szCs w:val="22"/>
        </w:rPr>
      </w:pPr>
      <w:r>
        <w:rPr>
          <w:rFonts w:ascii="Times New Roman" w:hAnsi="Times New Roman"/>
          <w:color w:val="000000" w:themeColor="text1"/>
          <w:szCs w:val="22"/>
        </w:rPr>
        <w:t>Šiame skyriuje pateikiama p</w:t>
      </w:r>
      <w:r w:rsidR="0005004F" w:rsidRPr="00650EE4">
        <w:rPr>
          <w:rFonts w:ascii="Times New Roman" w:hAnsi="Times New Roman"/>
          <w:color w:val="000000" w:themeColor="text1"/>
          <w:szCs w:val="22"/>
        </w:rPr>
        <w:t xml:space="preserve">astatų fondo apžvalga, siekiant identifikuoti </w:t>
      </w:r>
      <w:r w:rsidR="00865E12" w:rsidRPr="00650EE4">
        <w:rPr>
          <w:rFonts w:ascii="Times New Roman" w:hAnsi="Times New Roman"/>
          <w:color w:val="000000" w:themeColor="text1"/>
          <w:szCs w:val="22"/>
        </w:rPr>
        <w:t xml:space="preserve">reikšmingiausius </w:t>
      </w:r>
      <w:r w:rsidR="00C15EE3">
        <w:rPr>
          <w:rFonts w:ascii="Times New Roman" w:hAnsi="Times New Roman"/>
          <w:color w:val="000000" w:themeColor="text1"/>
          <w:szCs w:val="22"/>
        </w:rPr>
        <w:t>p</w:t>
      </w:r>
      <w:r w:rsidR="00870FA3" w:rsidRPr="00650EE4">
        <w:rPr>
          <w:rFonts w:ascii="Times New Roman" w:hAnsi="Times New Roman"/>
          <w:color w:val="000000" w:themeColor="text1"/>
          <w:szCs w:val="22"/>
        </w:rPr>
        <w:t xml:space="preserve">astatų fondo </w:t>
      </w:r>
      <w:r w:rsidR="005B7C71" w:rsidRPr="00650EE4">
        <w:rPr>
          <w:rFonts w:ascii="Times New Roman" w:hAnsi="Times New Roman"/>
          <w:color w:val="000000" w:themeColor="text1"/>
          <w:szCs w:val="22"/>
        </w:rPr>
        <w:t>segmentus ir</w:t>
      </w:r>
      <w:r w:rsidR="00865E12" w:rsidRPr="00650EE4">
        <w:rPr>
          <w:rFonts w:ascii="Times New Roman" w:hAnsi="Times New Roman"/>
          <w:color w:val="000000" w:themeColor="text1"/>
          <w:szCs w:val="22"/>
        </w:rPr>
        <w:t xml:space="preserve"> esminius jų požymius IRS kontekste. </w:t>
      </w:r>
    </w:p>
    <w:p w14:paraId="21B8EF50" w14:textId="77777777" w:rsidR="00865E12" w:rsidRPr="004960CA" w:rsidRDefault="00865E12" w:rsidP="004E763B">
      <w:pPr>
        <w:jc w:val="both"/>
        <w:rPr>
          <w:rFonts w:ascii="Times New Roman" w:hAnsi="Times New Roman"/>
          <w:color w:val="000000" w:themeColor="text1"/>
          <w:sz w:val="18"/>
          <w:szCs w:val="22"/>
        </w:rPr>
      </w:pPr>
    </w:p>
    <w:p w14:paraId="021B5331" w14:textId="7461788F" w:rsidR="00B63760" w:rsidRPr="00650EE4" w:rsidRDefault="00AD64BD" w:rsidP="00991029">
      <w:pPr>
        <w:pStyle w:val="Antrastes31"/>
        <w:numPr>
          <w:ilvl w:val="2"/>
          <w:numId w:val="4"/>
        </w:numPr>
        <w:spacing w:before="0" w:after="120"/>
        <w:ind w:left="720" w:hanging="720"/>
        <w:rPr>
          <w:rFonts w:ascii="Times New Roman" w:hAnsi="Times New Roman"/>
          <w:color w:val="000000" w:themeColor="text1"/>
          <w:sz w:val="24"/>
          <w:szCs w:val="24"/>
          <w:lang w:val="lt-LT"/>
        </w:rPr>
      </w:pPr>
      <w:bookmarkStart w:id="15" w:name="_Toc67925103"/>
      <w:r w:rsidRPr="00650EE4">
        <w:rPr>
          <w:rFonts w:ascii="Times New Roman" w:hAnsi="Times New Roman"/>
          <w:color w:val="000000" w:themeColor="text1"/>
          <w:sz w:val="24"/>
          <w:szCs w:val="24"/>
          <w:lang w:val="lt-LT"/>
        </w:rPr>
        <w:t>P</w:t>
      </w:r>
      <w:r w:rsidR="00B63760" w:rsidRPr="00650EE4">
        <w:rPr>
          <w:rFonts w:ascii="Times New Roman" w:hAnsi="Times New Roman"/>
          <w:color w:val="000000" w:themeColor="text1"/>
          <w:sz w:val="24"/>
          <w:szCs w:val="24"/>
          <w:lang w:val="lt-LT"/>
        </w:rPr>
        <w:t>astatų fond</w:t>
      </w:r>
      <w:r w:rsidR="00CA195A" w:rsidRPr="00650EE4">
        <w:rPr>
          <w:rFonts w:ascii="Times New Roman" w:hAnsi="Times New Roman"/>
          <w:color w:val="000000" w:themeColor="text1"/>
          <w:sz w:val="24"/>
          <w:szCs w:val="24"/>
          <w:lang w:val="lt-LT"/>
        </w:rPr>
        <w:t>as pagal grupes ir pogrupius</w:t>
      </w:r>
      <w:bookmarkEnd w:id="15"/>
    </w:p>
    <w:p w14:paraId="581018A5" w14:textId="1CCAE418" w:rsidR="00DF3B2F" w:rsidRPr="00650EE4" w:rsidRDefault="00C0136F" w:rsidP="00C15EE3">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2019 m. gruodžio 31 d. NTR</w:t>
      </w:r>
      <w:r w:rsidR="00730122" w:rsidRPr="00650EE4">
        <w:rPr>
          <w:rFonts w:ascii="Times New Roman" w:hAnsi="Times New Roman"/>
          <w:color w:val="000000" w:themeColor="text1"/>
          <w:szCs w:val="22"/>
        </w:rPr>
        <w:t xml:space="preserve"> duomenimis </w:t>
      </w:r>
      <w:r w:rsidR="00910E7F" w:rsidRPr="00650EE4">
        <w:rPr>
          <w:rFonts w:ascii="Times New Roman" w:hAnsi="Times New Roman"/>
          <w:color w:val="000000" w:themeColor="text1"/>
          <w:szCs w:val="22"/>
        </w:rPr>
        <w:t>L</w:t>
      </w:r>
      <w:r w:rsidRPr="00650EE4">
        <w:rPr>
          <w:rFonts w:ascii="Times New Roman" w:hAnsi="Times New Roman"/>
          <w:color w:val="000000" w:themeColor="text1"/>
          <w:szCs w:val="22"/>
        </w:rPr>
        <w:t>ietuvoje buvo registruota 2,6 mln. vnt.</w:t>
      </w:r>
      <w:r w:rsidR="00910E7F" w:rsidRPr="00650EE4">
        <w:rPr>
          <w:rFonts w:ascii="Times New Roman" w:hAnsi="Times New Roman"/>
          <w:color w:val="000000" w:themeColor="text1"/>
          <w:szCs w:val="22"/>
        </w:rPr>
        <w:t xml:space="preserve"> pastatų</w:t>
      </w:r>
      <w:r w:rsidR="005B3444" w:rsidRPr="00650EE4">
        <w:rPr>
          <w:rFonts w:ascii="Times New Roman" w:hAnsi="Times New Roman"/>
          <w:color w:val="000000" w:themeColor="text1"/>
          <w:szCs w:val="22"/>
        </w:rPr>
        <w:t>, kurių bendras plotas sudarė</w:t>
      </w:r>
      <w:r w:rsidR="00910E7F" w:rsidRPr="00650EE4">
        <w:rPr>
          <w:rFonts w:ascii="Times New Roman" w:hAnsi="Times New Roman"/>
          <w:color w:val="000000" w:themeColor="text1"/>
          <w:szCs w:val="22"/>
        </w:rPr>
        <w:t xml:space="preserve"> </w:t>
      </w:r>
      <w:r w:rsidR="006C6D49" w:rsidRPr="00650EE4">
        <w:rPr>
          <w:rFonts w:ascii="Times New Roman" w:hAnsi="Times New Roman"/>
          <w:color w:val="000000" w:themeColor="text1"/>
          <w:szCs w:val="22"/>
        </w:rPr>
        <w:t>235,</w:t>
      </w:r>
      <w:r w:rsidR="009A79EA">
        <w:rPr>
          <w:rFonts w:ascii="Times New Roman" w:hAnsi="Times New Roman"/>
          <w:color w:val="000000" w:themeColor="text1"/>
          <w:szCs w:val="22"/>
          <w:lang w:val="en-GB"/>
        </w:rPr>
        <w:t>3</w:t>
      </w:r>
      <w:r w:rsidR="00736E30" w:rsidRPr="00650EE4">
        <w:rPr>
          <w:rFonts w:ascii="Times New Roman" w:hAnsi="Times New Roman"/>
          <w:color w:val="000000" w:themeColor="text1"/>
          <w:szCs w:val="22"/>
        </w:rPr>
        <w:t xml:space="preserve"> mln. </w:t>
      </w:r>
      <w:r w:rsidR="00910E7F" w:rsidRPr="00650EE4">
        <w:rPr>
          <w:rFonts w:ascii="Times New Roman" w:hAnsi="Times New Roman"/>
          <w:color w:val="000000" w:themeColor="text1"/>
          <w:szCs w:val="22"/>
        </w:rPr>
        <w:t>m</w:t>
      </w:r>
      <w:r w:rsidR="00910E7F" w:rsidRPr="00650EE4">
        <w:rPr>
          <w:rFonts w:ascii="Times New Roman" w:hAnsi="Times New Roman"/>
          <w:color w:val="000000" w:themeColor="text1"/>
          <w:szCs w:val="22"/>
          <w:vertAlign w:val="superscript"/>
        </w:rPr>
        <w:t>2</w:t>
      </w:r>
      <w:r w:rsidR="005B3444" w:rsidRPr="00650EE4">
        <w:rPr>
          <w:rFonts w:ascii="Times New Roman" w:hAnsi="Times New Roman"/>
          <w:color w:val="000000" w:themeColor="text1"/>
          <w:szCs w:val="22"/>
        </w:rPr>
        <w:t>.</w:t>
      </w:r>
      <w:r w:rsidR="00C15EE3">
        <w:rPr>
          <w:rFonts w:ascii="Times New Roman" w:hAnsi="Times New Roman"/>
          <w:color w:val="000000" w:themeColor="text1"/>
          <w:szCs w:val="22"/>
        </w:rPr>
        <w:t xml:space="preserve"> </w:t>
      </w:r>
      <w:r w:rsidR="00F3653A">
        <w:rPr>
          <w:rFonts w:ascii="Times New Roman" w:hAnsi="Times New Roman"/>
          <w:color w:val="000000" w:themeColor="text1"/>
          <w:szCs w:val="22"/>
        </w:rPr>
        <w:t>D</w:t>
      </w:r>
      <w:r w:rsidR="00075968" w:rsidRPr="00650EE4">
        <w:rPr>
          <w:rFonts w:ascii="Times New Roman" w:hAnsi="Times New Roman"/>
          <w:color w:val="000000" w:themeColor="text1"/>
          <w:szCs w:val="22"/>
        </w:rPr>
        <w:t xml:space="preserve">uomenys </w:t>
      </w:r>
      <w:r w:rsidR="005974E1" w:rsidRPr="00650EE4">
        <w:rPr>
          <w:rFonts w:ascii="Times New Roman" w:hAnsi="Times New Roman"/>
          <w:color w:val="000000" w:themeColor="text1"/>
          <w:szCs w:val="22"/>
        </w:rPr>
        <w:t>su</w:t>
      </w:r>
      <w:r w:rsidR="00075968" w:rsidRPr="00650EE4">
        <w:rPr>
          <w:rFonts w:ascii="Times New Roman" w:hAnsi="Times New Roman"/>
          <w:color w:val="000000" w:themeColor="text1"/>
          <w:szCs w:val="22"/>
        </w:rPr>
        <w:t>grupuo</w:t>
      </w:r>
      <w:r w:rsidR="005974E1" w:rsidRPr="00650EE4">
        <w:rPr>
          <w:rFonts w:ascii="Times New Roman" w:hAnsi="Times New Roman"/>
          <w:color w:val="000000" w:themeColor="text1"/>
          <w:szCs w:val="22"/>
        </w:rPr>
        <w:t>ti</w:t>
      </w:r>
      <w:r w:rsidR="00526AF5" w:rsidRPr="00650EE4">
        <w:rPr>
          <w:rFonts w:ascii="Times New Roman" w:hAnsi="Times New Roman"/>
          <w:color w:val="000000" w:themeColor="text1"/>
          <w:szCs w:val="22"/>
        </w:rPr>
        <w:t xml:space="preserve"> į </w:t>
      </w:r>
      <w:r w:rsidR="007F3C6A" w:rsidRPr="00650EE4">
        <w:rPr>
          <w:rFonts w:ascii="Times New Roman" w:hAnsi="Times New Roman"/>
          <w:color w:val="000000" w:themeColor="text1"/>
          <w:szCs w:val="22"/>
        </w:rPr>
        <w:t>len</w:t>
      </w:r>
      <w:r w:rsidR="00075968" w:rsidRPr="00650EE4">
        <w:rPr>
          <w:rFonts w:ascii="Times New Roman" w:hAnsi="Times New Roman"/>
          <w:color w:val="000000" w:themeColor="text1"/>
          <w:szCs w:val="22"/>
        </w:rPr>
        <w:t>t</w:t>
      </w:r>
      <w:r w:rsidR="007F3C6A" w:rsidRPr="00650EE4">
        <w:rPr>
          <w:rFonts w:ascii="Times New Roman" w:hAnsi="Times New Roman"/>
          <w:color w:val="000000" w:themeColor="text1"/>
          <w:szCs w:val="22"/>
        </w:rPr>
        <w:t>elėje žemiau nurodytas</w:t>
      </w:r>
      <w:r w:rsidR="00DF3B2F" w:rsidRPr="00650EE4">
        <w:rPr>
          <w:rFonts w:ascii="Times New Roman" w:hAnsi="Times New Roman"/>
          <w:color w:val="000000" w:themeColor="text1"/>
          <w:szCs w:val="22"/>
        </w:rPr>
        <w:t xml:space="preserve"> pagrindines </w:t>
      </w:r>
      <w:r w:rsidR="007F3C6A" w:rsidRPr="00650EE4">
        <w:rPr>
          <w:rFonts w:ascii="Times New Roman" w:hAnsi="Times New Roman"/>
          <w:color w:val="000000" w:themeColor="text1"/>
          <w:szCs w:val="22"/>
        </w:rPr>
        <w:t xml:space="preserve">pastatų </w:t>
      </w:r>
      <w:r w:rsidR="00DF3B2F" w:rsidRPr="00650EE4">
        <w:rPr>
          <w:rFonts w:ascii="Times New Roman" w:hAnsi="Times New Roman"/>
          <w:color w:val="000000" w:themeColor="text1"/>
          <w:szCs w:val="22"/>
        </w:rPr>
        <w:t>grupes</w:t>
      </w:r>
      <w:r w:rsidR="00C761DA" w:rsidRPr="00650EE4">
        <w:rPr>
          <w:rFonts w:ascii="Times New Roman" w:hAnsi="Times New Roman"/>
          <w:color w:val="000000" w:themeColor="text1"/>
          <w:szCs w:val="22"/>
        </w:rPr>
        <w:t xml:space="preserve"> ir pogrupius</w:t>
      </w:r>
      <w:r w:rsidR="00DC79E5" w:rsidRPr="00650EE4">
        <w:rPr>
          <w:rFonts w:ascii="Times New Roman" w:hAnsi="Times New Roman"/>
          <w:color w:val="000000" w:themeColor="text1"/>
          <w:szCs w:val="22"/>
        </w:rPr>
        <w:t>.</w:t>
      </w:r>
    </w:p>
    <w:p w14:paraId="6811146E" w14:textId="77777777" w:rsidR="00CF75E4" w:rsidRPr="00650EE4" w:rsidRDefault="00CF75E4" w:rsidP="00295968">
      <w:pPr>
        <w:pStyle w:val="BodyText"/>
        <w:spacing w:line="240" w:lineRule="auto"/>
        <w:jc w:val="both"/>
        <w:rPr>
          <w:rFonts w:ascii="Times New Roman" w:hAnsi="Times New Roman"/>
          <w:color w:val="000000" w:themeColor="text1"/>
          <w:szCs w:val="22"/>
          <w:lang w:val="lt-LT"/>
        </w:rPr>
      </w:pPr>
    </w:p>
    <w:p w14:paraId="13F5C00F" w14:textId="49569B75" w:rsidR="0031098D"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 w:name="_Toc67925184"/>
      <w:r w:rsidR="007744C1">
        <w:t>1</w:t>
      </w:r>
      <w:r w:rsidRPr="00650EE4">
        <w:rPr>
          <w:noProof w:val="0"/>
        </w:rPr>
        <w:fldChar w:fldCharType="end"/>
      </w:r>
      <w:r w:rsidR="002E70E5" w:rsidRPr="00650EE4">
        <w:rPr>
          <w:noProof w:val="0"/>
        </w:rPr>
        <w:t xml:space="preserve"> lentelė. </w:t>
      </w:r>
      <w:r w:rsidR="00BE64CA" w:rsidRPr="00650EE4">
        <w:rPr>
          <w:noProof w:val="0"/>
        </w:rPr>
        <w:t>Nacionalinis pastatų fondas pagal pastatų grupes ir pogrupius</w:t>
      </w:r>
      <w:bookmarkEnd w:id="16"/>
    </w:p>
    <w:tbl>
      <w:tblPr>
        <w:tblW w:w="5000" w:type="pct"/>
        <w:tblLook w:val="04A0" w:firstRow="1" w:lastRow="0" w:firstColumn="1" w:lastColumn="0" w:noHBand="0" w:noVBand="1"/>
      </w:tblPr>
      <w:tblGrid>
        <w:gridCol w:w="1898"/>
        <w:gridCol w:w="2930"/>
        <w:gridCol w:w="1905"/>
        <w:gridCol w:w="2051"/>
        <w:gridCol w:w="1636"/>
      </w:tblGrid>
      <w:tr w:rsidR="0031098D" w:rsidRPr="00650EE4" w14:paraId="4C142786" w14:textId="77777777" w:rsidTr="00733985">
        <w:tc>
          <w:tcPr>
            <w:tcW w:w="911" w:type="pct"/>
            <w:tcBorders>
              <w:top w:val="single" w:sz="4" w:space="0" w:color="auto"/>
              <w:left w:val="single" w:sz="4" w:space="0" w:color="auto"/>
              <w:bottom w:val="single" w:sz="4" w:space="0" w:color="auto"/>
              <w:right w:val="nil"/>
            </w:tcBorders>
            <w:shd w:val="clear" w:color="000000" w:fill="FFFFFF"/>
            <w:noWrap/>
            <w:vAlign w:val="center"/>
            <w:hideMark/>
          </w:tcPr>
          <w:p w14:paraId="55D5B985"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Pastatų grupė</w:t>
            </w:r>
          </w:p>
        </w:tc>
        <w:tc>
          <w:tcPr>
            <w:tcW w:w="1406" w:type="pct"/>
            <w:tcBorders>
              <w:top w:val="single" w:sz="4" w:space="0" w:color="auto"/>
              <w:left w:val="nil"/>
              <w:bottom w:val="single" w:sz="4" w:space="0" w:color="auto"/>
              <w:right w:val="nil"/>
            </w:tcBorders>
            <w:shd w:val="clear" w:color="000000" w:fill="FFFFFF"/>
            <w:noWrap/>
            <w:vAlign w:val="center"/>
            <w:hideMark/>
          </w:tcPr>
          <w:p w14:paraId="033B02C3"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Pastatų pogrupis</w:t>
            </w:r>
          </w:p>
        </w:tc>
        <w:tc>
          <w:tcPr>
            <w:tcW w:w="914" w:type="pct"/>
            <w:tcBorders>
              <w:top w:val="single" w:sz="4" w:space="0" w:color="auto"/>
              <w:left w:val="nil"/>
              <w:bottom w:val="single" w:sz="4" w:space="0" w:color="auto"/>
              <w:right w:val="nil"/>
            </w:tcBorders>
            <w:shd w:val="clear" w:color="000000" w:fill="FFFFFF"/>
            <w:noWrap/>
            <w:vAlign w:val="center"/>
            <w:hideMark/>
          </w:tcPr>
          <w:p w14:paraId="09E5978F"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Skaičius, vnt.</w:t>
            </w:r>
          </w:p>
        </w:tc>
        <w:tc>
          <w:tcPr>
            <w:tcW w:w="984" w:type="pct"/>
            <w:tcBorders>
              <w:top w:val="single" w:sz="4" w:space="0" w:color="auto"/>
              <w:left w:val="nil"/>
              <w:bottom w:val="single" w:sz="4" w:space="0" w:color="auto"/>
              <w:right w:val="nil"/>
            </w:tcBorders>
            <w:shd w:val="clear" w:color="000000" w:fill="FFFFFF"/>
            <w:noWrap/>
            <w:vAlign w:val="center"/>
            <w:hideMark/>
          </w:tcPr>
          <w:p w14:paraId="47F3FC94" w14:textId="0B914036" w:rsidR="0031098D" w:rsidRPr="00650EE4" w:rsidRDefault="00343C6C"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Bendras p</w:t>
            </w:r>
            <w:r w:rsidR="0031098D" w:rsidRPr="00650EE4">
              <w:rPr>
                <w:rFonts w:ascii="Times New Roman" w:eastAsia="Times New Roman" w:hAnsi="Times New Roman"/>
                <w:b/>
                <w:bCs/>
                <w:sz w:val="20"/>
                <w:szCs w:val="20"/>
              </w:rPr>
              <w:t>lotas, m</w:t>
            </w:r>
            <w:r w:rsidR="0031098D" w:rsidRPr="00650EE4">
              <w:rPr>
                <w:rFonts w:ascii="Times New Roman" w:eastAsia="Times New Roman" w:hAnsi="Times New Roman"/>
                <w:b/>
                <w:bCs/>
                <w:sz w:val="20"/>
                <w:szCs w:val="20"/>
                <w:vertAlign w:val="superscript"/>
              </w:rPr>
              <w:t>2</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14:paraId="762D8A00"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Plotas, proc.</w:t>
            </w:r>
          </w:p>
        </w:tc>
      </w:tr>
      <w:tr w:rsidR="006517C5" w:rsidRPr="00650EE4" w14:paraId="5E26702D" w14:textId="77777777" w:rsidTr="00733985">
        <w:tc>
          <w:tcPr>
            <w:tcW w:w="911" w:type="pct"/>
            <w:vMerge w:val="restart"/>
            <w:tcBorders>
              <w:top w:val="nil"/>
              <w:left w:val="single" w:sz="4" w:space="0" w:color="auto"/>
              <w:right w:val="nil"/>
            </w:tcBorders>
            <w:shd w:val="clear" w:color="000000" w:fill="FFFFFF"/>
            <w:noWrap/>
            <w:hideMark/>
          </w:tcPr>
          <w:p w14:paraId="3280D7D2"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Gyvenamieji</w:t>
            </w:r>
          </w:p>
          <w:p w14:paraId="13E45AA0"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3A755C9B"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3C3D0D88" w14:textId="436E6DCA"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406" w:type="pct"/>
            <w:tcBorders>
              <w:top w:val="nil"/>
              <w:left w:val="nil"/>
              <w:bottom w:val="nil"/>
              <w:right w:val="nil"/>
            </w:tcBorders>
            <w:shd w:val="clear" w:color="000000" w:fill="FFFFFF"/>
            <w:noWrap/>
            <w:vAlign w:val="center"/>
            <w:hideMark/>
          </w:tcPr>
          <w:p w14:paraId="0D3CE9AF"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Individualūs</w:t>
            </w:r>
          </w:p>
        </w:tc>
        <w:tc>
          <w:tcPr>
            <w:tcW w:w="914" w:type="pct"/>
            <w:tcBorders>
              <w:top w:val="nil"/>
              <w:left w:val="nil"/>
              <w:bottom w:val="nil"/>
              <w:right w:val="nil"/>
            </w:tcBorders>
            <w:shd w:val="clear" w:color="000000" w:fill="FFFFFF"/>
            <w:noWrap/>
            <w:vAlign w:val="center"/>
            <w:hideMark/>
          </w:tcPr>
          <w:p w14:paraId="74DD98CA"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529.492</w:t>
            </w:r>
          </w:p>
        </w:tc>
        <w:tc>
          <w:tcPr>
            <w:tcW w:w="984" w:type="pct"/>
            <w:tcBorders>
              <w:top w:val="nil"/>
              <w:left w:val="nil"/>
              <w:bottom w:val="nil"/>
              <w:right w:val="nil"/>
            </w:tcBorders>
            <w:shd w:val="clear" w:color="000000" w:fill="FFFFFF"/>
            <w:noWrap/>
            <w:vAlign w:val="center"/>
            <w:hideMark/>
          </w:tcPr>
          <w:p w14:paraId="743B82C1"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69.540.001</w:t>
            </w:r>
          </w:p>
        </w:tc>
        <w:tc>
          <w:tcPr>
            <w:tcW w:w="785" w:type="pct"/>
            <w:tcBorders>
              <w:top w:val="nil"/>
              <w:left w:val="nil"/>
              <w:bottom w:val="nil"/>
              <w:right w:val="single" w:sz="4" w:space="0" w:color="auto"/>
            </w:tcBorders>
            <w:shd w:val="clear" w:color="000000" w:fill="FFFFFF"/>
            <w:noWrap/>
            <w:vAlign w:val="center"/>
            <w:hideMark/>
          </w:tcPr>
          <w:p w14:paraId="2A140C3E"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r>
      <w:tr w:rsidR="006517C5" w:rsidRPr="00650EE4" w14:paraId="18AFFFF8" w14:textId="77777777" w:rsidTr="00733985">
        <w:tc>
          <w:tcPr>
            <w:tcW w:w="911" w:type="pct"/>
            <w:vMerge/>
            <w:tcBorders>
              <w:left w:val="single" w:sz="4" w:space="0" w:color="auto"/>
              <w:right w:val="nil"/>
            </w:tcBorders>
            <w:shd w:val="clear" w:color="000000" w:fill="FFFFFF"/>
            <w:noWrap/>
            <w:vAlign w:val="center"/>
            <w:hideMark/>
          </w:tcPr>
          <w:p w14:paraId="03AA5D65" w14:textId="3A42DF64" w:rsidR="006517C5" w:rsidRPr="00650EE4" w:rsidRDefault="006517C5"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39CDA683" w14:textId="578FFDE1"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 (&lt;1 tūkst.</w:t>
            </w:r>
            <w:r w:rsidR="00755CF1" w:rsidRPr="00650EE4">
              <w:rPr>
                <w:rFonts w:ascii="Times New Roman" w:eastAsia="Times New Roman" w:hAnsi="Times New Roman"/>
                <w:sz w:val="20"/>
                <w:szCs w:val="20"/>
              </w:rPr>
              <w:t xml:space="preserve"> </w:t>
            </w:r>
            <w:r w:rsidRPr="00650EE4">
              <w:rPr>
                <w:rFonts w:ascii="Times New Roman" w:eastAsia="Times New Roman" w:hAnsi="Times New Roman"/>
                <w:sz w:val="20"/>
                <w:szCs w:val="20"/>
              </w:rPr>
              <w:t>m</w:t>
            </w:r>
            <w:r w:rsidRPr="00650EE4">
              <w:rPr>
                <w:rFonts w:ascii="Times New Roman" w:eastAsia="Times New Roman" w:hAnsi="Times New Roman"/>
                <w:sz w:val="20"/>
                <w:szCs w:val="20"/>
                <w:vertAlign w:val="superscript"/>
              </w:rPr>
              <w:t>2</w:t>
            </w:r>
            <w:r w:rsidRPr="00650EE4">
              <w:rPr>
                <w:rFonts w:ascii="Times New Roman" w:eastAsia="Times New Roman" w:hAnsi="Times New Roman"/>
                <w:sz w:val="20"/>
                <w:szCs w:val="20"/>
              </w:rPr>
              <w:t>)</w:t>
            </w:r>
          </w:p>
        </w:tc>
        <w:tc>
          <w:tcPr>
            <w:tcW w:w="914" w:type="pct"/>
            <w:tcBorders>
              <w:top w:val="nil"/>
              <w:left w:val="nil"/>
              <w:bottom w:val="nil"/>
              <w:right w:val="nil"/>
            </w:tcBorders>
            <w:shd w:val="clear" w:color="000000" w:fill="FFFFFF"/>
            <w:noWrap/>
            <w:vAlign w:val="center"/>
            <w:hideMark/>
          </w:tcPr>
          <w:p w14:paraId="2179B99F"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24.113</w:t>
            </w:r>
          </w:p>
        </w:tc>
        <w:tc>
          <w:tcPr>
            <w:tcW w:w="984" w:type="pct"/>
            <w:tcBorders>
              <w:top w:val="nil"/>
              <w:left w:val="nil"/>
              <w:bottom w:val="nil"/>
              <w:right w:val="nil"/>
            </w:tcBorders>
            <w:shd w:val="clear" w:color="000000" w:fill="FFFFFF"/>
            <w:noWrap/>
            <w:vAlign w:val="center"/>
            <w:hideMark/>
          </w:tcPr>
          <w:p w14:paraId="55D2CDEB"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9.334.072</w:t>
            </w:r>
          </w:p>
        </w:tc>
        <w:tc>
          <w:tcPr>
            <w:tcW w:w="785" w:type="pct"/>
            <w:tcBorders>
              <w:top w:val="nil"/>
              <w:left w:val="nil"/>
              <w:bottom w:val="nil"/>
              <w:right w:val="single" w:sz="4" w:space="0" w:color="auto"/>
            </w:tcBorders>
            <w:shd w:val="clear" w:color="000000" w:fill="FFFFFF"/>
            <w:noWrap/>
            <w:vAlign w:val="center"/>
            <w:hideMark/>
          </w:tcPr>
          <w:p w14:paraId="1332A350"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6517C5" w:rsidRPr="00650EE4" w14:paraId="5CCC4ADB" w14:textId="77777777" w:rsidTr="00733985">
        <w:tc>
          <w:tcPr>
            <w:tcW w:w="911" w:type="pct"/>
            <w:vMerge/>
            <w:tcBorders>
              <w:left w:val="single" w:sz="4" w:space="0" w:color="auto"/>
              <w:right w:val="nil"/>
            </w:tcBorders>
            <w:shd w:val="clear" w:color="000000" w:fill="FFFFFF"/>
            <w:noWrap/>
            <w:vAlign w:val="center"/>
            <w:hideMark/>
          </w:tcPr>
          <w:p w14:paraId="32FB80A5" w14:textId="1BB6CE8C" w:rsidR="006517C5" w:rsidRPr="00650EE4" w:rsidRDefault="006517C5"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75831294" w14:textId="0FD41E02"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 (1-5 tūkst.</w:t>
            </w:r>
            <w:r w:rsidR="00755CF1" w:rsidRPr="00650EE4">
              <w:rPr>
                <w:rFonts w:ascii="Times New Roman" w:eastAsia="Times New Roman" w:hAnsi="Times New Roman"/>
                <w:sz w:val="20"/>
                <w:szCs w:val="20"/>
              </w:rPr>
              <w:t xml:space="preserve"> </w:t>
            </w:r>
            <w:r w:rsidRPr="00650EE4">
              <w:rPr>
                <w:rFonts w:ascii="Times New Roman" w:eastAsia="Times New Roman" w:hAnsi="Times New Roman"/>
                <w:sz w:val="20"/>
                <w:szCs w:val="20"/>
              </w:rPr>
              <w:t>m</w:t>
            </w:r>
            <w:r w:rsidRPr="00650EE4">
              <w:rPr>
                <w:rFonts w:ascii="Times New Roman" w:eastAsia="Times New Roman" w:hAnsi="Times New Roman"/>
                <w:sz w:val="20"/>
                <w:szCs w:val="20"/>
                <w:vertAlign w:val="superscript"/>
              </w:rPr>
              <w:t>2</w:t>
            </w:r>
            <w:r w:rsidRPr="00650EE4">
              <w:rPr>
                <w:rFonts w:ascii="Times New Roman" w:eastAsia="Times New Roman" w:hAnsi="Times New Roman"/>
                <w:sz w:val="20"/>
                <w:szCs w:val="20"/>
              </w:rPr>
              <w:t>)</w:t>
            </w:r>
          </w:p>
        </w:tc>
        <w:tc>
          <w:tcPr>
            <w:tcW w:w="914" w:type="pct"/>
            <w:tcBorders>
              <w:top w:val="nil"/>
              <w:left w:val="nil"/>
              <w:bottom w:val="nil"/>
              <w:right w:val="nil"/>
            </w:tcBorders>
            <w:shd w:val="clear" w:color="000000" w:fill="FFFFFF"/>
            <w:noWrap/>
            <w:vAlign w:val="center"/>
            <w:hideMark/>
          </w:tcPr>
          <w:p w14:paraId="406CB366"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15.072</w:t>
            </w:r>
          </w:p>
        </w:tc>
        <w:tc>
          <w:tcPr>
            <w:tcW w:w="984" w:type="pct"/>
            <w:tcBorders>
              <w:top w:val="nil"/>
              <w:left w:val="nil"/>
              <w:bottom w:val="nil"/>
              <w:right w:val="nil"/>
            </w:tcBorders>
            <w:shd w:val="clear" w:color="000000" w:fill="FFFFFF"/>
            <w:noWrap/>
            <w:vAlign w:val="center"/>
            <w:hideMark/>
          </w:tcPr>
          <w:p w14:paraId="252B1ECE"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37.805.494</w:t>
            </w:r>
          </w:p>
        </w:tc>
        <w:tc>
          <w:tcPr>
            <w:tcW w:w="785" w:type="pct"/>
            <w:tcBorders>
              <w:top w:val="nil"/>
              <w:left w:val="nil"/>
              <w:bottom w:val="nil"/>
              <w:right w:val="single" w:sz="4" w:space="0" w:color="auto"/>
            </w:tcBorders>
            <w:shd w:val="clear" w:color="000000" w:fill="FFFFFF"/>
            <w:noWrap/>
            <w:vAlign w:val="center"/>
            <w:hideMark/>
          </w:tcPr>
          <w:p w14:paraId="02499B02"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6517C5" w:rsidRPr="00650EE4" w14:paraId="6253C1A5" w14:textId="77777777" w:rsidTr="00733985">
        <w:tc>
          <w:tcPr>
            <w:tcW w:w="911" w:type="pct"/>
            <w:vMerge/>
            <w:tcBorders>
              <w:left w:val="single" w:sz="4" w:space="0" w:color="auto"/>
              <w:bottom w:val="nil"/>
              <w:right w:val="nil"/>
            </w:tcBorders>
            <w:shd w:val="clear" w:color="000000" w:fill="FFFFFF"/>
            <w:noWrap/>
            <w:vAlign w:val="center"/>
            <w:hideMark/>
          </w:tcPr>
          <w:p w14:paraId="24609711" w14:textId="6877850E" w:rsidR="006517C5" w:rsidRPr="00650EE4" w:rsidRDefault="006517C5"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28903A0C" w14:textId="30177AF0"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 (&gt;5 tūkst.</w:t>
            </w:r>
            <w:r w:rsidR="00755CF1" w:rsidRPr="00650EE4">
              <w:rPr>
                <w:rFonts w:ascii="Times New Roman" w:eastAsia="Times New Roman" w:hAnsi="Times New Roman"/>
                <w:sz w:val="20"/>
                <w:szCs w:val="20"/>
              </w:rPr>
              <w:t xml:space="preserve"> </w:t>
            </w:r>
            <w:r w:rsidRPr="00650EE4">
              <w:rPr>
                <w:rFonts w:ascii="Times New Roman" w:eastAsia="Times New Roman" w:hAnsi="Times New Roman"/>
                <w:sz w:val="20"/>
                <w:szCs w:val="20"/>
              </w:rPr>
              <w:t>m</w:t>
            </w:r>
            <w:r w:rsidRPr="00650EE4">
              <w:rPr>
                <w:rFonts w:ascii="Times New Roman" w:eastAsia="Times New Roman" w:hAnsi="Times New Roman"/>
                <w:sz w:val="20"/>
                <w:szCs w:val="20"/>
                <w:vertAlign w:val="superscript"/>
              </w:rPr>
              <w:t>2</w:t>
            </w:r>
            <w:r w:rsidRPr="00650EE4">
              <w:rPr>
                <w:rFonts w:ascii="Times New Roman" w:eastAsia="Times New Roman" w:hAnsi="Times New Roman"/>
                <w:sz w:val="20"/>
                <w:szCs w:val="20"/>
              </w:rPr>
              <w:t>)</w:t>
            </w:r>
          </w:p>
        </w:tc>
        <w:tc>
          <w:tcPr>
            <w:tcW w:w="914" w:type="pct"/>
            <w:tcBorders>
              <w:top w:val="nil"/>
              <w:left w:val="nil"/>
              <w:bottom w:val="nil"/>
              <w:right w:val="nil"/>
            </w:tcBorders>
            <w:shd w:val="clear" w:color="000000" w:fill="FFFFFF"/>
            <w:noWrap/>
            <w:vAlign w:val="center"/>
            <w:hideMark/>
          </w:tcPr>
          <w:p w14:paraId="400FB427"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1.836</w:t>
            </w:r>
          </w:p>
        </w:tc>
        <w:tc>
          <w:tcPr>
            <w:tcW w:w="984" w:type="pct"/>
            <w:tcBorders>
              <w:top w:val="nil"/>
              <w:left w:val="nil"/>
              <w:bottom w:val="nil"/>
              <w:right w:val="nil"/>
            </w:tcBorders>
            <w:shd w:val="clear" w:color="000000" w:fill="FFFFFF"/>
            <w:noWrap/>
            <w:vAlign w:val="center"/>
            <w:hideMark/>
          </w:tcPr>
          <w:p w14:paraId="357F152F"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12.324.006</w:t>
            </w:r>
          </w:p>
        </w:tc>
        <w:tc>
          <w:tcPr>
            <w:tcW w:w="785" w:type="pct"/>
            <w:tcBorders>
              <w:top w:val="nil"/>
              <w:left w:val="nil"/>
              <w:bottom w:val="nil"/>
              <w:right w:val="single" w:sz="4" w:space="0" w:color="auto"/>
            </w:tcBorders>
            <w:shd w:val="clear" w:color="000000" w:fill="FFFFFF"/>
            <w:noWrap/>
            <w:vAlign w:val="center"/>
            <w:hideMark/>
          </w:tcPr>
          <w:p w14:paraId="675C7DD2"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AD64BD" w:rsidRPr="00650EE4" w14:paraId="263D6BE8" w14:textId="77777777" w:rsidTr="00733985">
        <w:tc>
          <w:tcPr>
            <w:tcW w:w="911" w:type="pct"/>
            <w:vMerge w:val="restart"/>
            <w:tcBorders>
              <w:top w:val="single" w:sz="4" w:space="0" w:color="auto"/>
              <w:left w:val="single" w:sz="4" w:space="0" w:color="auto"/>
              <w:right w:val="nil"/>
            </w:tcBorders>
            <w:shd w:val="clear" w:color="000000" w:fill="FFFFFF"/>
            <w:noWrap/>
            <w:vAlign w:val="center"/>
            <w:hideMark/>
          </w:tcPr>
          <w:p w14:paraId="0AC20634"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Negyvenamieji</w:t>
            </w:r>
          </w:p>
          <w:p w14:paraId="5074AD31"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27250266"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51D9D57A"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2CDF7BAB"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14981A80"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2A3D7000"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11FE7F21"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4238C769" w14:textId="6B5FC145"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406" w:type="pct"/>
            <w:tcBorders>
              <w:top w:val="single" w:sz="4" w:space="0" w:color="auto"/>
              <w:left w:val="nil"/>
              <w:bottom w:val="nil"/>
              <w:right w:val="nil"/>
            </w:tcBorders>
            <w:shd w:val="clear" w:color="000000" w:fill="FFFFFF"/>
            <w:noWrap/>
            <w:vAlign w:val="center"/>
            <w:hideMark/>
          </w:tcPr>
          <w:p w14:paraId="1746D346"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Pramonės</w:t>
            </w:r>
          </w:p>
        </w:tc>
        <w:tc>
          <w:tcPr>
            <w:tcW w:w="914" w:type="pct"/>
            <w:tcBorders>
              <w:top w:val="single" w:sz="4" w:space="0" w:color="auto"/>
              <w:left w:val="nil"/>
              <w:bottom w:val="nil"/>
              <w:right w:val="nil"/>
            </w:tcBorders>
            <w:shd w:val="clear" w:color="000000" w:fill="FFFFFF"/>
            <w:noWrap/>
            <w:vAlign w:val="center"/>
            <w:hideMark/>
          </w:tcPr>
          <w:p w14:paraId="1323ECE3"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48.775</w:t>
            </w:r>
          </w:p>
        </w:tc>
        <w:tc>
          <w:tcPr>
            <w:tcW w:w="984" w:type="pct"/>
            <w:tcBorders>
              <w:top w:val="single" w:sz="4" w:space="0" w:color="auto"/>
              <w:left w:val="nil"/>
              <w:bottom w:val="nil"/>
              <w:right w:val="nil"/>
            </w:tcBorders>
            <w:shd w:val="clear" w:color="000000" w:fill="FFFFFF"/>
            <w:noWrap/>
            <w:vAlign w:val="center"/>
            <w:hideMark/>
          </w:tcPr>
          <w:p w14:paraId="64438CBD"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35.489.710</w:t>
            </w:r>
          </w:p>
        </w:tc>
        <w:tc>
          <w:tcPr>
            <w:tcW w:w="785" w:type="pct"/>
            <w:tcBorders>
              <w:top w:val="single" w:sz="4" w:space="0" w:color="auto"/>
              <w:left w:val="nil"/>
              <w:bottom w:val="nil"/>
              <w:right w:val="single" w:sz="4" w:space="0" w:color="auto"/>
            </w:tcBorders>
            <w:shd w:val="clear" w:color="000000" w:fill="FFFFFF"/>
            <w:noWrap/>
            <w:vAlign w:val="center"/>
            <w:hideMark/>
          </w:tcPr>
          <w:p w14:paraId="0E7B2B6B"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AD64BD" w:rsidRPr="00650EE4" w14:paraId="64302612" w14:textId="77777777" w:rsidTr="00733985">
        <w:tc>
          <w:tcPr>
            <w:tcW w:w="911" w:type="pct"/>
            <w:vMerge/>
            <w:tcBorders>
              <w:left w:val="single" w:sz="4" w:space="0" w:color="auto"/>
              <w:right w:val="nil"/>
            </w:tcBorders>
            <w:shd w:val="clear" w:color="000000" w:fill="FFFFFF"/>
            <w:noWrap/>
            <w:vAlign w:val="center"/>
            <w:hideMark/>
          </w:tcPr>
          <w:p w14:paraId="1D617A6D" w14:textId="1C33D012"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3FA26497"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Administraciniai</w:t>
            </w:r>
          </w:p>
        </w:tc>
        <w:tc>
          <w:tcPr>
            <w:tcW w:w="914" w:type="pct"/>
            <w:tcBorders>
              <w:top w:val="nil"/>
              <w:left w:val="nil"/>
              <w:bottom w:val="nil"/>
              <w:right w:val="nil"/>
            </w:tcBorders>
            <w:shd w:val="clear" w:color="000000" w:fill="FFFFFF"/>
            <w:noWrap/>
            <w:vAlign w:val="center"/>
            <w:hideMark/>
          </w:tcPr>
          <w:p w14:paraId="53F9C926"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10.377</w:t>
            </w:r>
          </w:p>
        </w:tc>
        <w:tc>
          <w:tcPr>
            <w:tcW w:w="984" w:type="pct"/>
            <w:tcBorders>
              <w:top w:val="nil"/>
              <w:left w:val="nil"/>
              <w:bottom w:val="nil"/>
              <w:right w:val="nil"/>
            </w:tcBorders>
            <w:shd w:val="clear" w:color="000000" w:fill="FFFFFF"/>
            <w:noWrap/>
            <w:vAlign w:val="center"/>
            <w:hideMark/>
          </w:tcPr>
          <w:p w14:paraId="30A69DE8"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10.096.910</w:t>
            </w:r>
          </w:p>
        </w:tc>
        <w:tc>
          <w:tcPr>
            <w:tcW w:w="785" w:type="pct"/>
            <w:tcBorders>
              <w:top w:val="nil"/>
              <w:left w:val="nil"/>
              <w:bottom w:val="nil"/>
              <w:right w:val="single" w:sz="4" w:space="0" w:color="auto"/>
            </w:tcBorders>
            <w:shd w:val="clear" w:color="000000" w:fill="FFFFFF"/>
            <w:noWrap/>
            <w:vAlign w:val="center"/>
            <w:hideMark/>
          </w:tcPr>
          <w:p w14:paraId="0304A4BA"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AD64BD" w:rsidRPr="00650EE4" w14:paraId="20512828" w14:textId="77777777" w:rsidTr="00733985">
        <w:tc>
          <w:tcPr>
            <w:tcW w:w="911" w:type="pct"/>
            <w:vMerge/>
            <w:tcBorders>
              <w:left w:val="single" w:sz="4" w:space="0" w:color="auto"/>
              <w:right w:val="nil"/>
            </w:tcBorders>
            <w:shd w:val="clear" w:color="000000" w:fill="FFFFFF"/>
            <w:noWrap/>
            <w:vAlign w:val="center"/>
            <w:hideMark/>
          </w:tcPr>
          <w:p w14:paraId="26316AB7" w14:textId="57C05110"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0D7C7B8"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Mokslo</w:t>
            </w:r>
          </w:p>
        </w:tc>
        <w:tc>
          <w:tcPr>
            <w:tcW w:w="914" w:type="pct"/>
            <w:tcBorders>
              <w:top w:val="nil"/>
              <w:left w:val="nil"/>
              <w:bottom w:val="nil"/>
              <w:right w:val="nil"/>
            </w:tcBorders>
            <w:shd w:val="clear" w:color="000000" w:fill="FFFFFF"/>
            <w:noWrap/>
            <w:vAlign w:val="center"/>
            <w:hideMark/>
          </w:tcPr>
          <w:p w14:paraId="0115C48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4.715</w:t>
            </w:r>
          </w:p>
        </w:tc>
        <w:tc>
          <w:tcPr>
            <w:tcW w:w="984" w:type="pct"/>
            <w:tcBorders>
              <w:top w:val="nil"/>
              <w:left w:val="nil"/>
              <w:bottom w:val="nil"/>
              <w:right w:val="nil"/>
            </w:tcBorders>
            <w:shd w:val="clear" w:color="000000" w:fill="FFFFFF"/>
            <w:noWrap/>
            <w:vAlign w:val="center"/>
            <w:hideMark/>
          </w:tcPr>
          <w:p w14:paraId="3B20102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8.503.112</w:t>
            </w:r>
          </w:p>
        </w:tc>
        <w:tc>
          <w:tcPr>
            <w:tcW w:w="785" w:type="pct"/>
            <w:tcBorders>
              <w:top w:val="nil"/>
              <w:left w:val="nil"/>
              <w:bottom w:val="nil"/>
              <w:right w:val="single" w:sz="4" w:space="0" w:color="auto"/>
            </w:tcBorders>
            <w:shd w:val="clear" w:color="000000" w:fill="FFFFFF"/>
            <w:noWrap/>
            <w:vAlign w:val="center"/>
            <w:hideMark/>
          </w:tcPr>
          <w:p w14:paraId="5817B394"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AD64BD" w:rsidRPr="00650EE4" w14:paraId="3CC65A0D" w14:textId="77777777" w:rsidTr="00733985">
        <w:tc>
          <w:tcPr>
            <w:tcW w:w="911" w:type="pct"/>
            <w:vMerge/>
            <w:tcBorders>
              <w:left w:val="single" w:sz="4" w:space="0" w:color="auto"/>
              <w:right w:val="nil"/>
            </w:tcBorders>
            <w:shd w:val="clear" w:color="000000" w:fill="FFFFFF"/>
            <w:noWrap/>
            <w:vAlign w:val="center"/>
            <w:hideMark/>
          </w:tcPr>
          <w:p w14:paraId="647E55E1" w14:textId="2A1C2750"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DB1804A"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Prekybos</w:t>
            </w:r>
          </w:p>
        </w:tc>
        <w:tc>
          <w:tcPr>
            <w:tcW w:w="914" w:type="pct"/>
            <w:tcBorders>
              <w:top w:val="nil"/>
              <w:left w:val="nil"/>
              <w:bottom w:val="nil"/>
              <w:right w:val="nil"/>
            </w:tcBorders>
            <w:shd w:val="clear" w:color="000000" w:fill="FFFFFF"/>
            <w:noWrap/>
            <w:vAlign w:val="center"/>
            <w:hideMark/>
          </w:tcPr>
          <w:p w14:paraId="7D9371C4"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8.760</w:t>
            </w:r>
          </w:p>
        </w:tc>
        <w:tc>
          <w:tcPr>
            <w:tcW w:w="984" w:type="pct"/>
            <w:tcBorders>
              <w:top w:val="nil"/>
              <w:left w:val="nil"/>
              <w:bottom w:val="nil"/>
              <w:right w:val="nil"/>
            </w:tcBorders>
            <w:shd w:val="clear" w:color="000000" w:fill="FFFFFF"/>
            <w:noWrap/>
            <w:vAlign w:val="center"/>
            <w:hideMark/>
          </w:tcPr>
          <w:p w14:paraId="1C80791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7.064.489</w:t>
            </w:r>
          </w:p>
        </w:tc>
        <w:tc>
          <w:tcPr>
            <w:tcW w:w="785" w:type="pct"/>
            <w:tcBorders>
              <w:top w:val="nil"/>
              <w:left w:val="nil"/>
              <w:bottom w:val="nil"/>
              <w:right w:val="single" w:sz="4" w:space="0" w:color="auto"/>
            </w:tcBorders>
            <w:shd w:val="clear" w:color="000000" w:fill="FFFFFF"/>
            <w:noWrap/>
            <w:vAlign w:val="center"/>
            <w:hideMark/>
          </w:tcPr>
          <w:p w14:paraId="07B16D9A"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AD64BD" w:rsidRPr="00650EE4" w14:paraId="020BAF6E" w14:textId="77777777" w:rsidTr="00733985">
        <w:tc>
          <w:tcPr>
            <w:tcW w:w="911" w:type="pct"/>
            <w:vMerge/>
            <w:tcBorders>
              <w:left w:val="single" w:sz="4" w:space="0" w:color="auto"/>
              <w:right w:val="nil"/>
            </w:tcBorders>
            <w:shd w:val="clear" w:color="000000" w:fill="FFFFFF"/>
            <w:noWrap/>
            <w:vAlign w:val="center"/>
            <w:hideMark/>
          </w:tcPr>
          <w:p w14:paraId="20798BE7" w14:textId="08A108FB"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71F8D4F6"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Gydymo</w:t>
            </w:r>
          </w:p>
        </w:tc>
        <w:tc>
          <w:tcPr>
            <w:tcW w:w="914" w:type="pct"/>
            <w:tcBorders>
              <w:top w:val="nil"/>
              <w:left w:val="nil"/>
              <w:bottom w:val="nil"/>
              <w:right w:val="nil"/>
            </w:tcBorders>
            <w:shd w:val="clear" w:color="000000" w:fill="FFFFFF"/>
            <w:noWrap/>
            <w:vAlign w:val="center"/>
            <w:hideMark/>
          </w:tcPr>
          <w:p w14:paraId="720EDC79"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1.839</w:t>
            </w:r>
          </w:p>
        </w:tc>
        <w:tc>
          <w:tcPr>
            <w:tcW w:w="984" w:type="pct"/>
            <w:tcBorders>
              <w:top w:val="nil"/>
              <w:left w:val="nil"/>
              <w:bottom w:val="nil"/>
              <w:right w:val="nil"/>
            </w:tcBorders>
            <w:shd w:val="clear" w:color="000000" w:fill="FFFFFF"/>
            <w:noWrap/>
            <w:vAlign w:val="center"/>
            <w:hideMark/>
          </w:tcPr>
          <w:p w14:paraId="3F2CF895"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2.951.779</w:t>
            </w:r>
          </w:p>
        </w:tc>
        <w:tc>
          <w:tcPr>
            <w:tcW w:w="785" w:type="pct"/>
            <w:tcBorders>
              <w:top w:val="nil"/>
              <w:left w:val="nil"/>
              <w:bottom w:val="nil"/>
              <w:right w:val="single" w:sz="4" w:space="0" w:color="auto"/>
            </w:tcBorders>
            <w:shd w:val="clear" w:color="000000" w:fill="FFFFFF"/>
            <w:noWrap/>
            <w:vAlign w:val="center"/>
            <w:hideMark/>
          </w:tcPr>
          <w:p w14:paraId="3B4931E3"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67A5999B" w14:textId="77777777" w:rsidTr="00733985">
        <w:tc>
          <w:tcPr>
            <w:tcW w:w="911" w:type="pct"/>
            <w:vMerge/>
            <w:tcBorders>
              <w:left w:val="single" w:sz="4" w:space="0" w:color="auto"/>
              <w:right w:val="nil"/>
            </w:tcBorders>
            <w:shd w:val="clear" w:color="000000" w:fill="FFFFFF"/>
            <w:noWrap/>
            <w:vAlign w:val="center"/>
            <w:hideMark/>
          </w:tcPr>
          <w:p w14:paraId="1555B9E6" w14:textId="56757F93"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14C9631C"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Apgyvendinimo</w:t>
            </w:r>
          </w:p>
        </w:tc>
        <w:tc>
          <w:tcPr>
            <w:tcW w:w="914" w:type="pct"/>
            <w:tcBorders>
              <w:top w:val="nil"/>
              <w:left w:val="nil"/>
              <w:bottom w:val="nil"/>
              <w:right w:val="nil"/>
            </w:tcBorders>
            <w:shd w:val="clear" w:color="000000" w:fill="FFFFFF"/>
            <w:noWrap/>
            <w:vAlign w:val="center"/>
            <w:hideMark/>
          </w:tcPr>
          <w:p w14:paraId="0CEBD648"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6.900</w:t>
            </w:r>
          </w:p>
        </w:tc>
        <w:tc>
          <w:tcPr>
            <w:tcW w:w="984" w:type="pct"/>
            <w:tcBorders>
              <w:top w:val="nil"/>
              <w:left w:val="nil"/>
              <w:bottom w:val="nil"/>
              <w:right w:val="nil"/>
            </w:tcBorders>
            <w:shd w:val="clear" w:color="000000" w:fill="FFFFFF"/>
            <w:noWrap/>
            <w:vAlign w:val="center"/>
            <w:hideMark/>
          </w:tcPr>
          <w:p w14:paraId="4E8848F8"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2.496.666</w:t>
            </w:r>
          </w:p>
        </w:tc>
        <w:tc>
          <w:tcPr>
            <w:tcW w:w="785" w:type="pct"/>
            <w:tcBorders>
              <w:top w:val="nil"/>
              <w:left w:val="nil"/>
              <w:bottom w:val="nil"/>
              <w:right w:val="single" w:sz="4" w:space="0" w:color="auto"/>
            </w:tcBorders>
            <w:shd w:val="clear" w:color="000000" w:fill="FFFFFF"/>
            <w:noWrap/>
            <w:vAlign w:val="center"/>
            <w:hideMark/>
          </w:tcPr>
          <w:p w14:paraId="5D64308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0DF2BD53" w14:textId="77777777" w:rsidTr="00733985">
        <w:tc>
          <w:tcPr>
            <w:tcW w:w="911" w:type="pct"/>
            <w:vMerge/>
            <w:tcBorders>
              <w:left w:val="single" w:sz="4" w:space="0" w:color="auto"/>
              <w:right w:val="nil"/>
            </w:tcBorders>
            <w:shd w:val="clear" w:color="000000" w:fill="FFFFFF"/>
            <w:noWrap/>
            <w:vAlign w:val="center"/>
            <w:hideMark/>
          </w:tcPr>
          <w:p w14:paraId="5702B9DB" w14:textId="57F724F7"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1EA0EBA4"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Kultūros</w:t>
            </w:r>
          </w:p>
        </w:tc>
        <w:tc>
          <w:tcPr>
            <w:tcW w:w="914" w:type="pct"/>
            <w:tcBorders>
              <w:top w:val="nil"/>
              <w:left w:val="nil"/>
              <w:bottom w:val="nil"/>
              <w:right w:val="nil"/>
            </w:tcBorders>
            <w:shd w:val="clear" w:color="000000" w:fill="FFFFFF"/>
            <w:noWrap/>
            <w:vAlign w:val="center"/>
            <w:hideMark/>
          </w:tcPr>
          <w:p w14:paraId="1E7CA754"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2.341</w:t>
            </w:r>
          </w:p>
        </w:tc>
        <w:tc>
          <w:tcPr>
            <w:tcW w:w="984" w:type="pct"/>
            <w:tcBorders>
              <w:top w:val="nil"/>
              <w:left w:val="nil"/>
              <w:bottom w:val="nil"/>
              <w:right w:val="nil"/>
            </w:tcBorders>
            <w:shd w:val="clear" w:color="000000" w:fill="FFFFFF"/>
            <w:noWrap/>
            <w:vAlign w:val="center"/>
            <w:hideMark/>
          </w:tcPr>
          <w:p w14:paraId="2F2C169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2.279.194</w:t>
            </w:r>
          </w:p>
        </w:tc>
        <w:tc>
          <w:tcPr>
            <w:tcW w:w="785" w:type="pct"/>
            <w:tcBorders>
              <w:top w:val="nil"/>
              <w:left w:val="nil"/>
              <w:bottom w:val="nil"/>
              <w:right w:val="single" w:sz="4" w:space="0" w:color="auto"/>
            </w:tcBorders>
            <w:shd w:val="clear" w:color="000000" w:fill="FFFFFF"/>
            <w:noWrap/>
            <w:vAlign w:val="center"/>
            <w:hideMark/>
          </w:tcPr>
          <w:p w14:paraId="496A4C0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40464D98" w14:textId="77777777" w:rsidTr="00733985">
        <w:tc>
          <w:tcPr>
            <w:tcW w:w="911" w:type="pct"/>
            <w:vMerge/>
            <w:tcBorders>
              <w:left w:val="single" w:sz="4" w:space="0" w:color="auto"/>
              <w:right w:val="nil"/>
            </w:tcBorders>
            <w:shd w:val="clear" w:color="000000" w:fill="FFFFFF"/>
            <w:noWrap/>
            <w:vAlign w:val="center"/>
            <w:hideMark/>
          </w:tcPr>
          <w:p w14:paraId="3455CF67" w14:textId="014BC696"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B026960"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Paslaugų</w:t>
            </w:r>
          </w:p>
        </w:tc>
        <w:tc>
          <w:tcPr>
            <w:tcW w:w="914" w:type="pct"/>
            <w:tcBorders>
              <w:top w:val="nil"/>
              <w:left w:val="nil"/>
              <w:bottom w:val="nil"/>
              <w:right w:val="nil"/>
            </w:tcBorders>
            <w:shd w:val="clear" w:color="000000" w:fill="FFFFFF"/>
            <w:noWrap/>
            <w:vAlign w:val="center"/>
            <w:hideMark/>
          </w:tcPr>
          <w:p w14:paraId="0691623E"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5.059</w:t>
            </w:r>
          </w:p>
        </w:tc>
        <w:tc>
          <w:tcPr>
            <w:tcW w:w="984" w:type="pct"/>
            <w:tcBorders>
              <w:top w:val="nil"/>
              <w:left w:val="nil"/>
              <w:bottom w:val="nil"/>
              <w:right w:val="nil"/>
            </w:tcBorders>
            <w:shd w:val="clear" w:color="000000" w:fill="FFFFFF"/>
            <w:noWrap/>
            <w:vAlign w:val="center"/>
            <w:hideMark/>
          </w:tcPr>
          <w:p w14:paraId="12729A4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2.199.200</w:t>
            </w:r>
          </w:p>
        </w:tc>
        <w:tc>
          <w:tcPr>
            <w:tcW w:w="785" w:type="pct"/>
            <w:tcBorders>
              <w:top w:val="nil"/>
              <w:left w:val="nil"/>
              <w:bottom w:val="nil"/>
              <w:right w:val="single" w:sz="4" w:space="0" w:color="auto"/>
            </w:tcBorders>
            <w:shd w:val="clear" w:color="000000" w:fill="FFFFFF"/>
            <w:noWrap/>
            <w:vAlign w:val="center"/>
            <w:hideMark/>
          </w:tcPr>
          <w:p w14:paraId="519445CB"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6B3F4A82" w14:textId="77777777" w:rsidTr="00733985">
        <w:tc>
          <w:tcPr>
            <w:tcW w:w="911" w:type="pct"/>
            <w:vMerge/>
            <w:tcBorders>
              <w:left w:val="single" w:sz="4" w:space="0" w:color="auto"/>
              <w:bottom w:val="single" w:sz="4" w:space="0" w:color="auto"/>
              <w:right w:val="nil"/>
            </w:tcBorders>
            <w:shd w:val="clear" w:color="000000" w:fill="FFFFFF"/>
            <w:noWrap/>
            <w:vAlign w:val="center"/>
            <w:hideMark/>
          </w:tcPr>
          <w:p w14:paraId="641B99AE" w14:textId="23398D78"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single" w:sz="4" w:space="0" w:color="auto"/>
              <w:right w:val="nil"/>
            </w:tcBorders>
            <w:shd w:val="clear" w:color="000000" w:fill="FFFFFF"/>
            <w:noWrap/>
            <w:vAlign w:val="center"/>
            <w:hideMark/>
          </w:tcPr>
          <w:p w14:paraId="11E3A3C5" w14:textId="5A53A219"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914" w:type="pct"/>
            <w:tcBorders>
              <w:top w:val="nil"/>
              <w:left w:val="nil"/>
              <w:bottom w:val="single" w:sz="4" w:space="0" w:color="auto"/>
              <w:right w:val="nil"/>
            </w:tcBorders>
            <w:shd w:val="clear" w:color="000000" w:fill="FFFFFF"/>
            <w:noWrap/>
            <w:vAlign w:val="center"/>
            <w:hideMark/>
          </w:tcPr>
          <w:p w14:paraId="650E843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2.004</w:t>
            </w:r>
          </w:p>
        </w:tc>
        <w:tc>
          <w:tcPr>
            <w:tcW w:w="984" w:type="pct"/>
            <w:tcBorders>
              <w:top w:val="nil"/>
              <w:left w:val="nil"/>
              <w:bottom w:val="single" w:sz="4" w:space="0" w:color="auto"/>
              <w:right w:val="nil"/>
            </w:tcBorders>
            <w:shd w:val="clear" w:color="000000" w:fill="FFFFFF"/>
            <w:noWrap/>
            <w:vAlign w:val="center"/>
            <w:hideMark/>
          </w:tcPr>
          <w:p w14:paraId="78F264E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1.589.089</w:t>
            </w:r>
          </w:p>
        </w:tc>
        <w:tc>
          <w:tcPr>
            <w:tcW w:w="785" w:type="pct"/>
            <w:tcBorders>
              <w:top w:val="nil"/>
              <w:left w:val="nil"/>
              <w:bottom w:val="single" w:sz="4" w:space="0" w:color="auto"/>
              <w:right w:val="single" w:sz="4" w:space="0" w:color="auto"/>
            </w:tcBorders>
            <w:shd w:val="clear" w:color="000000" w:fill="FFFFFF"/>
            <w:noWrap/>
            <w:vAlign w:val="center"/>
            <w:hideMark/>
          </w:tcPr>
          <w:p w14:paraId="0614E91A"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31098D" w:rsidRPr="00650EE4" w14:paraId="1917ED2F" w14:textId="77777777" w:rsidTr="00733985">
        <w:tc>
          <w:tcPr>
            <w:tcW w:w="911" w:type="pct"/>
            <w:vMerge w:val="restart"/>
            <w:tcBorders>
              <w:top w:val="nil"/>
              <w:left w:val="single" w:sz="4" w:space="0" w:color="auto"/>
              <w:bottom w:val="nil"/>
              <w:right w:val="nil"/>
            </w:tcBorders>
            <w:shd w:val="clear" w:color="000000" w:fill="FFFFFF"/>
            <w:noWrap/>
            <w:hideMark/>
          </w:tcPr>
          <w:p w14:paraId="761A42AD" w14:textId="77777777" w:rsidR="0031098D" w:rsidRPr="00650EE4" w:rsidRDefault="0031098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Ne IRS objektas</w:t>
            </w:r>
          </w:p>
        </w:tc>
        <w:tc>
          <w:tcPr>
            <w:tcW w:w="1406" w:type="pct"/>
            <w:tcBorders>
              <w:top w:val="nil"/>
              <w:left w:val="nil"/>
              <w:bottom w:val="nil"/>
              <w:right w:val="nil"/>
            </w:tcBorders>
            <w:shd w:val="clear" w:color="000000" w:fill="FFFFFF"/>
            <w:noWrap/>
            <w:vAlign w:val="center"/>
            <w:hideMark/>
          </w:tcPr>
          <w:p w14:paraId="687CE4F3" w14:textId="77777777" w:rsidR="0031098D" w:rsidRPr="00650EE4" w:rsidRDefault="0031098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Garažų</w:t>
            </w:r>
          </w:p>
        </w:tc>
        <w:tc>
          <w:tcPr>
            <w:tcW w:w="914" w:type="pct"/>
            <w:tcBorders>
              <w:top w:val="nil"/>
              <w:left w:val="nil"/>
              <w:bottom w:val="nil"/>
              <w:right w:val="nil"/>
            </w:tcBorders>
            <w:shd w:val="clear" w:color="000000" w:fill="FFFFFF"/>
            <w:noWrap/>
            <w:vAlign w:val="center"/>
            <w:hideMark/>
          </w:tcPr>
          <w:p w14:paraId="1A683318"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22.568</w:t>
            </w:r>
          </w:p>
        </w:tc>
        <w:tc>
          <w:tcPr>
            <w:tcW w:w="984" w:type="pct"/>
            <w:tcBorders>
              <w:top w:val="nil"/>
              <w:left w:val="nil"/>
              <w:bottom w:val="nil"/>
              <w:right w:val="nil"/>
            </w:tcBorders>
            <w:shd w:val="clear" w:color="000000" w:fill="FFFFFF"/>
            <w:noWrap/>
            <w:vAlign w:val="center"/>
            <w:hideMark/>
          </w:tcPr>
          <w:p w14:paraId="2A7CDA04"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9.073.844</w:t>
            </w:r>
          </w:p>
        </w:tc>
        <w:tc>
          <w:tcPr>
            <w:tcW w:w="785" w:type="pct"/>
            <w:tcBorders>
              <w:top w:val="nil"/>
              <w:left w:val="nil"/>
              <w:bottom w:val="nil"/>
              <w:right w:val="single" w:sz="4" w:space="0" w:color="auto"/>
            </w:tcBorders>
            <w:shd w:val="clear" w:color="000000" w:fill="FFFFFF"/>
            <w:noWrap/>
            <w:vAlign w:val="center"/>
            <w:hideMark/>
          </w:tcPr>
          <w:p w14:paraId="12C48B12"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31098D" w:rsidRPr="00650EE4" w14:paraId="1C257679" w14:textId="77777777" w:rsidTr="00733985">
        <w:tc>
          <w:tcPr>
            <w:tcW w:w="911" w:type="pct"/>
            <w:vMerge/>
            <w:tcBorders>
              <w:top w:val="nil"/>
              <w:left w:val="single" w:sz="4" w:space="0" w:color="auto"/>
              <w:bottom w:val="nil"/>
              <w:right w:val="nil"/>
            </w:tcBorders>
            <w:vAlign w:val="center"/>
            <w:hideMark/>
          </w:tcPr>
          <w:p w14:paraId="45F2EE07" w14:textId="77777777" w:rsidR="0031098D" w:rsidRPr="00650EE4" w:rsidRDefault="0031098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13A2671A" w14:textId="77777777" w:rsidR="0031098D" w:rsidRPr="00650EE4" w:rsidRDefault="0031098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Religinės</w:t>
            </w:r>
          </w:p>
        </w:tc>
        <w:tc>
          <w:tcPr>
            <w:tcW w:w="914" w:type="pct"/>
            <w:tcBorders>
              <w:top w:val="nil"/>
              <w:left w:val="nil"/>
              <w:bottom w:val="nil"/>
              <w:right w:val="nil"/>
            </w:tcBorders>
            <w:shd w:val="clear" w:color="000000" w:fill="FFFFFF"/>
            <w:noWrap/>
            <w:vAlign w:val="center"/>
            <w:hideMark/>
          </w:tcPr>
          <w:p w14:paraId="5859FAC7"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1.764</w:t>
            </w:r>
          </w:p>
        </w:tc>
        <w:tc>
          <w:tcPr>
            <w:tcW w:w="984" w:type="pct"/>
            <w:tcBorders>
              <w:top w:val="nil"/>
              <w:left w:val="nil"/>
              <w:bottom w:val="nil"/>
              <w:right w:val="nil"/>
            </w:tcBorders>
            <w:shd w:val="clear" w:color="000000" w:fill="FFFFFF"/>
            <w:noWrap/>
            <w:vAlign w:val="center"/>
            <w:hideMark/>
          </w:tcPr>
          <w:p w14:paraId="0EF69630"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633.023</w:t>
            </w:r>
          </w:p>
        </w:tc>
        <w:tc>
          <w:tcPr>
            <w:tcW w:w="785" w:type="pct"/>
            <w:tcBorders>
              <w:top w:val="nil"/>
              <w:left w:val="nil"/>
              <w:bottom w:val="nil"/>
              <w:right w:val="single" w:sz="4" w:space="0" w:color="auto"/>
            </w:tcBorders>
            <w:shd w:val="clear" w:color="000000" w:fill="FFFFFF"/>
            <w:noWrap/>
            <w:vAlign w:val="center"/>
            <w:hideMark/>
          </w:tcPr>
          <w:p w14:paraId="24EC6683"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r>
      <w:tr w:rsidR="0031098D" w:rsidRPr="00650EE4" w14:paraId="55CAECE9" w14:textId="77777777" w:rsidTr="00733985">
        <w:tc>
          <w:tcPr>
            <w:tcW w:w="911" w:type="pct"/>
            <w:vMerge/>
            <w:tcBorders>
              <w:top w:val="nil"/>
              <w:left w:val="single" w:sz="4" w:space="0" w:color="auto"/>
              <w:bottom w:val="nil"/>
              <w:right w:val="nil"/>
            </w:tcBorders>
            <w:vAlign w:val="center"/>
            <w:hideMark/>
          </w:tcPr>
          <w:p w14:paraId="643ED35A" w14:textId="77777777" w:rsidR="0031098D" w:rsidRPr="00650EE4" w:rsidRDefault="0031098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93F03E7" w14:textId="638CCA31" w:rsidR="0031098D" w:rsidRPr="00650EE4" w:rsidRDefault="00B66F28"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Nešildomi, laikini</w:t>
            </w:r>
            <w:r w:rsidR="0031098D" w:rsidRPr="00650EE4">
              <w:rPr>
                <w:rFonts w:ascii="Times New Roman" w:eastAsia="Times New Roman" w:hAnsi="Times New Roman"/>
                <w:sz w:val="20"/>
                <w:szCs w:val="20"/>
              </w:rPr>
              <w:t xml:space="preserve"> ir pan.</w:t>
            </w:r>
          </w:p>
        </w:tc>
        <w:tc>
          <w:tcPr>
            <w:tcW w:w="914" w:type="pct"/>
            <w:tcBorders>
              <w:top w:val="nil"/>
              <w:left w:val="nil"/>
              <w:bottom w:val="nil"/>
              <w:right w:val="nil"/>
            </w:tcBorders>
            <w:shd w:val="clear" w:color="000000" w:fill="FFFFFF"/>
            <w:noWrap/>
            <w:vAlign w:val="center"/>
            <w:hideMark/>
          </w:tcPr>
          <w:p w14:paraId="61859772"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1.893.894</w:t>
            </w:r>
          </w:p>
        </w:tc>
        <w:tc>
          <w:tcPr>
            <w:tcW w:w="984" w:type="pct"/>
            <w:tcBorders>
              <w:top w:val="nil"/>
              <w:left w:val="nil"/>
              <w:bottom w:val="nil"/>
              <w:right w:val="nil"/>
            </w:tcBorders>
            <w:shd w:val="clear" w:color="000000" w:fill="FFFFFF"/>
            <w:noWrap/>
            <w:vAlign w:val="center"/>
            <w:hideMark/>
          </w:tcPr>
          <w:p w14:paraId="5D0FEB25"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23.884.175</w:t>
            </w:r>
          </w:p>
        </w:tc>
        <w:tc>
          <w:tcPr>
            <w:tcW w:w="785" w:type="pct"/>
            <w:tcBorders>
              <w:top w:val="nil"/>
              <w:left w:val="nil"/>
              <w:bottom w:val="nil"/>
              <w:right w:val="single" w:sz="4" w:space="0" w:color="auto"/>
            </w:tcBorders>
            <w:shd w:val="clear" w:color="000000" w:fill="FFFFFF"/>
            <w:noWrap/>
            <w:vAlign w:val="center"/>
            <w:hideMark/>
          </w:tcPr>
          <w:p w14:paraId="46BCD883"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31098D" w:rsidRPr="00650EE4" w14:paraId="3E86E08D" w14:textId="77777777" w:rsidTr="00733985">
        <w:tc>
          <w:tcPr>
            <w:tcW w:w="911" w:type="pct"/>
            <w:tcBorders>
              <w:top w:val="single" w:sz="4" w:space="0" w:color="auto"/>
              <w:left w:val="single" w:sz="4" w:space="0" w:color="auto"/>
              <w:bottom w:val="single" w:sz="4" w:space="0" w:color="auto"/>
              <w:right w:val="nil"/>
            </w:tcBorders>
            <w:shd w:val="clear" w:color="000000" w:fill="FFFFFF"/>
            <w:noWrap/>
            <w:vAlign w:val="center"/>
            <w:hideMark/>
          </w:tcPr>
          <w:p w14:paraId="64EF7FE2"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406" w:type="pct"/>
            <w:tcBorders>
              <w:top w:val="single" w:sz="4" w:space="0" w:color="auto"/>
              <w:left w:val="nil"/>
              <w:bottom w:val="single" w:sz="4" w:space="0" w:color="auto"/>
              <w:right w:val="nil"/>
            </w:tcBorders>
            <w:shd w:val="clear" w:color="000000" w:fill="FFFFFF"/>
            <w:noWrap/>
            <w:vAlign w:val="center"/>
            <w:hideMark/>
          </w:tcPr>
          <w:p w14:paraId="5309E7C1"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 </w:t>
            </w:r>
          </w:p>
        </w:tc>
        <w:tc>
          <w:tcPr>
            <w:tcW w:w="914" w:type="pct"/>
            <w:tcBorders>
              <w:top w:val="single" w:sz="4" w:space="0" w:color="auto"/>
              <w:left w:val="nil"/>
              <w:bottom w:val="single" w:sz="4" w:space="0" w:color="auto"/>
              <w:right w:val="nil"/>
            </w:tcBorders>
            <w:shd w:val="clear" w:color="000000" w:fill="FFFFFF"/>
            <w:noWrap/>
            <w:vAlign w:val="center"/>
            <w:hideMark/>
          </w:tcPr>
          <w:p w14:paraId="3E0CAB1C"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2.579.509</w:t>
            </w:r>
          </w:p>
        </w:tc>
        <w:tc>
          <w:tcPr>
            <w:tcW w:w="984" w:type="pct"/>
            <w:tcBorders>
              <w:top w:val="single" w:sz="4" w:space="0" w:color="auto"/>
              <w:left w:val="nil"/>
              <w:bottom w:val="single" w:sz="4" w:space="0" w:color="auto"/>
              <w:right w:val="nil"/>
            </w:tcBorders>
            <w:shd w:val="clear" w:color="000000" w:fill="FFFFFF"/>
            <w:noWrap/>
            <w:vAlign w:val="center"/>
            <w:hideMark/>
          </w:tcPr>
          <w:p w14:paraId="070D1C67"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235.264.764</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14:paraId="1D075CFC"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bl>
    <w:p w14:paraId="4A219B69" w14:textId="64D36C89" w:rsidR="00A26A7E" w:rsidRPr="00650EE4" w:rsidRDefault="00865E12" w:rsidP="00A26A7E">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A26A7E" w:rsidRPr="00650EE4">
        <w:rPr>
          <w:rFonts w:ascii="Times New Roman" w:eastAsia="Times New Roman" w:hAnsi="Times New Roman"/>
          <w:i/>
          <w:color w:val="000000" w:themeColor="text1"/>
          <w:sz w:val="20"/>
          <w:szCs w:val="20"/>
        </w:rPr>
        <w:t>duomenys (2019.12.31)</w:t>
      </w:r>
    </w:p>
    <w:p w14:paraId="18BE9BF8" w14:textId="62908222" w:rsidR="00DF297A" w:rsidRPr="00650EE4" w:rsidRDefault="00C15EF7" w:rsidP="00A64779">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Lentelėje aukščiau nurodyt</w:t>
      </w:r>
      <w:r w:rsidR="00A66FC9" w:rsidRPr="00650EE4">
        <w:rPr>
          <w:rFonts w:ascii="Times New Roman" w:hAnsi="Times New Roman"/>
          <w:color w:val="000000" w:themeColor="text1"/>
          <w:szCs w:val="22"/>
          <w:lang w:val="lt-LT"/>
        </w:rPr>
        <w:t xml:space="preserve">ų </w:t>
      </w:r>
      <w:r w:rsidR="005B08AE" w:rsidRPr="00650EE4">
        <w:rPr>
          <w:rFonts w:ascii="Times New Roman" w:hAnsi="Times New Roman"/>
          <w:color w:val="000000" w:themeColor="text1"/>
          <w:szCs w:val="22"/>
          <w:lang w:val="lt-LT"/>
        </w:rPr>
        <w:t xml:space="preserve">gyvenamųjų bei negyvenamųjų </w:t>
      </w:r>
      <w:r w:rsidR="00A66FC9" w:rsidRPr="00650EE4">
        <w:rPr>
          <w:rFonts w:ascii="Times New Roman" w:hAnsi="Times New Roman"/>
          <w:color w:val="000000" w:themeColor="text1"/>
          <w:szCs w:val="22"/>
          <w:lang w:val="lt-LT"/>
        </w:rPr>
        <w:t>pastatų grupių</w:t>
      </w:r>
      <w:r w:rsidRPr="00650EE4">
        <w:rPr>
          <w:rFonts w:ascii="Times New Roman" w:hAnsi="Times New Roman"/>
          <w:color w:val="000000" w:themeColor="text1"/>
          <w:szCs w:val="22"/>
          <w:lang w:val="lt-LT"/>
        </w:rPr>
        <w:t xml:space="preserve"> ir </w:t>
      </w:r>
      <w:r w:rsidR="00A64779" w:rsidRPr="00650EE4">
        <w:rPr>
          <w:rFonts w:ascii="Times New Roman" w:hAnsi="Times New Roman"/>
          <w:color w:val="000000" w:themeColor="text1"/>
          <w:szCs w:val="22"/>
          <w:lang w:val="lt-LT"/>
        </w:rPr>
        <w:t xml:space="preserve">NTR požymių sąsaja pateikiama žemiau. </w:t>
      </w:r>
    </w:p>
    <w:p w14:paraId="7A1509A0" w14:textId="77777777" w:rsidR="00A64779" w:rsidRPr="00650EE4" w:rsidRDefault="00A64779" w:rsidP="00A64779">
      <w:pPr>
        <w:pStyle w:val="BodyText"/>
        <w:spacing w:line="240" w:lineRule="auto"/>
        <w:jc w:val="both"/>
        <w:rPr>
          <w:rFonts w:ascii="Times New Roman" w:hAnsi="Times New Roman"/>
          <w:color w:val="000000" w:themeColor="text1"/>
          <w:szCs w:val="22"/>
          <w:lang w:val="lt-LT"/>
        </w:rPr>
      </w:pPr>
    </w:p>
    <w:p w14:paraId="1FC59A42" w14:textId="1E38EB91" w:rsidR="00A64779"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 w:name="_Toc67925185"/>
      <w:r w:rsidR="007744C1">
        <w:t>2</w:t>
      </w:r>
      <w:r w:rsidRPr="00650EE4">
        <w:rPr>
          <w:noProof w:val="0"/>
        </w:rPr>
        <w:fldChar w:fldCharType="end"/>
      </w:r>
      <w:r w:rsidR="00A64779" w:rsidRPr="00650EE4">
        <w:rPr>
          <w:noProof w:val="0"/>
        </w:rPr>
        <w:t xml:space="preserve"> lentelė. Gyvenamųjų bei negyvenamųjų pastatų grupių ir NTR požymių sąsaja</w:t>
      </w:r>
      <w:bookmarkEnd w:id="17"/>
    </w:p>
    <w:tbl>
      <w:tblPr>
        <w:tblW w:w="5000" w:type="pct"/>
        <w:tblLook w:val="04A0" w:firstRow="1" w:lastRow="0" w:firstColumn="1" w:lastColumn="0" w:noHBand="0" w:noVBand="1"/>
      </w:tblPr>
      <w:tblGrid>
        <w:gridCol w:w="2160"/>
        <w:gridCol w:w="2452"/>
        <w:gridCol w:w="5808"/>
      </w:tblGrid>
      <w:tr w:rsidR="00B66F28" w:rsidRPr="00650EE4" w14:paraId="6D9B6046" w14:textId="77777777" w:rsidTr="00D71809">
        <w:trPr>
          <w:tblHead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bottom"/>
          </w:tcPr>
          <w:p w14:paraId="666F66C0" w14:textId="62668C8A" w:rsidR="00B66F28" w:rsidRPr="00650EE4" w:rsidRDefault="002B1AD9" w:rsidP="00751A07">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Studija (agreguoti)</w:t>
            </w: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127EC504" w14:textId="6F652F0C" w:rsidR="00B66F28" w:rsidRPr="00650EE4" w:rsidRDefault="00B66F28" w:rsidP="00751A07">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Studija</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C5B41B" w14:textId="7CFD0A3D" w:rsidR="00B66F28" w:rsidRPr="00650EE4" w:rsidRDefault="00B66F28" w:rsidP="00751A07">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NT registras</w:t>
            </w:r>
          </w:p>
        </w:tc>
      </w:tr>
      <w:tr w:rsidR="00B66F28" w:rsidRPr="00650EE4" w14:paraId="2B97F927" w14:textId="77777777" w:rsidTr="00D71809">
        <w:tc>
          <w:tcPr>
            <w:tcW w:w="2122" w:type="dxa"/>
            <w:tcBorders>
              <w:top w:val="nil"/>
              <w:left w:val="single" w:sz="4" w:space="0" w:color="auto"/>
              <w:bottom w:val="single" w:sz="4" w:space="0" w:color="auto"/>
              <w:right w:val="single" w:sz="4" w:space="0" w:color="auto"/>
            </w:tcBorders>
            <w:shd w:val="clear" w:color="000000" w:fill="FFFFFF"/>
            <w:vAlign w:val="bottom"/>
          </w:tcPr>
          <w:p w14:paraId="7CC94FEB"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Individualūs</w:t>
            </w:r>
          </w:p>
        </w:tc>
        <w:tc>
          <w:tcPr>
            <w:tcW w:w="2409" w:type="dxa"/>
            <w:tcBorders>
              <w:top w:val="nil"/>
              <w:left w:val="single" w:sz="4" w:space="0" w:color="auto"/>
              <w:bottom w:val="single" w:sz="4" w:space="0" w:color="auto"/>
              <w:right w:val="single" w:sz="4" w:space="0" w:color="auto"/>
            </w:tcBorders>
            <w:shd w:val="clear" w:color="000000" w:fill="FFFFFF"/>
            <w:vAlign w:val="bottom"/>
          </w:tcPr>
          <w:p w14:paraId="034362BC" w14:textId="0F56F193"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Individualūs</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520BD930" w14:textId="2458F1DD"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Gyvenamoji (vieno ir dviejų butų pastatai)</w:t>
            </w:r>
          </w:p>
        </w:tc>
      </w:tr>
      <w:tr w:rsidR="00B66F28" w:rsidRPr="00650EE4" w14:paraId="3F86568E" w14:textId="77777777" w:rsidTr="00D71809">
        <w:tc>
          <w:tcPr>
            <w:tcW w:w="2122" w:type="dxa"/>
            <w:tcBorders>
              <w:top w:val="single" w:sz="4" w:space="0" w:color="auto"/>
              <w:left w:val="single" w:sz="4" w:space="0" w:color="auto"/>
              <w:bottom w:val="single" w:sz="4" w:space="0" w:color="auto"/>
              <w:right w:val="single" w:sz="4" w:space="0" w:color="auto"/>
            </w:tcBorders>
            <w:shd w:val="clear" w:color="000000" w:fill="FFFFFF"/>
          </w:tcPr>
          <w:p w14:paraId="003E2A88"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Daugiabučiai</w:t>
            </w: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79C0D72F" w14:textId="157E4D8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Daugiabučiai</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6BF26351" w14:textId="4B2F89A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Gyvenamoji (trijų ir daugiau butų - daugiabučiai pastatai)</w:t>
            </w:r>
          </w:p>
          <w:p w14:paraId="4CD9184E"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Gyvenamoji (įvairioms socialinėms grupėms)</w:t>
            </w:r>
          </w:p>
        </w:tc>
      </w:tr>
      <w:tr w:rsidR="00B66F28" w:rsidRPr="00650EE4" w14:paraId="209544CE" w14:textId="77777777" w:rsidTr="00D71809">
        <w:tc>
          <w:tcPr>
            <w:tcW w:w="2122" w:type="dxa"/>
            <w:tcBorders>
              <w:top w:val="single" w:sz="4" w:space="0" w:color="auto"/>
              <w:left w:val="single" w:sz="4" w:space="0" w:color="auto"/>
              <w:bottom w:val="single" w:sz="4" w:space="0" w:color="auto"/>
              <w:right w:val="single" w:sz="4" w:space="0" w:color="auto"/>
            </w:tcBorders>
            <w:shd w:val="clear" w:color="000000" w:fill="FFFFFF"/>
          </w:tcPr>
          <w:p w14:paraId="1FB366D8"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Pramonės</w:t>
            </w: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4A142FC0" w14:textId="296FEAB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Pramonės</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1FABE5A2" w14:textId="074C7ECE" w:rsidR="00B66F28" w:rsidRPr="00650EE4" w:rsidRDefault="00B66F28" w:rsidP="00E166A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Gamybos</w:t>
            </w:r>
            <w:r w:rsidR="00E166A1" w:rsidRPr="00650EE4">
              <w:rPr>
                <w:rFonts w:ascii="Times New Roman" w:eastAsia="Times New Roman" w:hAnsi="Times New Roman"/>
                <w:sz w:val="20"/>
                <w:szCs w:val="20"/>
                <w:lang w:eastAsia="lt-LT"/>
              </w:rPr>
              <w:t xml:space="preserve"> ir</w:t>
            </w:r>
            <w:r w:rsidRPr="00650EE4">
              <w:rPr>
                <w:rFonts w:ascii="Times New Roman" w:eastAsia="Times New Roman" w:hAnsi="Times New Roman"/>
                <w:sz w:val="20"/>
                <w:szCs w:val="20"/>
                <w:lang w:eastAsia="lt-LT"/>
              </w:rPr>
              <w:t xml:space="preserve"> pramonės</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Sandėliavimo</w:t>
            </w:r>
          </w:p>
        </w:tc>
      </w:tr>
      <w:tr w:rsidR="00B66F28" w:rsidRPr="00650EE4" w14:paraId="0A87392F" w14:textId="77777777" w:rsidTr="00D71809">
        <w:tc>
          <w:tcPr>
            <w:tcW w:w="2122" w:type="dxa"/>
            <w:vMerge w:val="restart"/>
            <w:tcBorders>
              <w:top w:val="single" w:sz="4" w:space="0" w:color="auto"/>
              <w:left w:val="single" w:sz="4" w:space="0" w:color="auto"/>
              <w:bottom w:val="single" w:sz="4" w:space="0" w:color="auto"/>
              <w:right w:val="single" w:sz="4" w:space="0" w:color="auto"/>
            </w:tcBorders>
            <w:shd w:val="clear" w:color="000000" w:fill="FFFFFF"/>
          </w:tcPr>
          <w:p w14:paraId="197D5B38" w14:textId="1DBFD6E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bottom"/>
          </w:tcPr>
          <w:p w14:paraId="49878F98" w14:textId="458C1F55"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792138A6" w14:textId="0378BA1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Administracinė</w:t>
            </w:r>
          </w:p>
        </w:tc>
      </w:tr>
      <w:tr w:rsidR="00B66F28" w:rsidRPr="00650EE4" w14:paraId="77CBB7F6"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00A983BD" w14:textId="1C810C41"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435304D3" w14:textId="2B9AEA34"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022F9DF7" w14:textId="709C9D7F"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r>
      <w:tr w:rsidR="00B66F28" w:rsidRPr="00650EE4" w14:paraId="7400440E"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5D5D5CA6" w14:textId="7DA70029"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38D45171" w14:textId="71179D1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61B83CC5" w14:textId="62ECFDDF"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r>
      <w:tr w:rsidR="00B66F28" w:rsidRPr="00650EE4" w14:paraId="1FE54737"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493FBBE8" w14:textId="70A00A24"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2E92F91B" w14:textId="31F1564A"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2D187FA2" w14:textId="4445387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r>
      <w:tr w:rsidR="00B66F28" w:rsidRPr="00650EE4" w14:paraId="0065E47A" w14:textId="77777777" w:rsidTr="00D71809">
        <w:tc>
          <w:tcPr>
            <w:tcW w:w="2122" w:type="dxa"/>
            <w:vMerge/>
            <w:tcBorders>
              <w:left w:val="single" w:sz="4" w:space="0" w:color="auto"/>
              <w:bottom w:val="single" w:sz="4" w:space="0" w:color="auto"/>
              <w:right w:val="single" w:sz="4" w:space="0" w:color="auto"/>
            </w:tcBorders>
            <w:shd w:val="clear" w:color="000000" w:fill="FFFFFF"/>
          </w:tcPr>
          <w:p w14:paraId="58CCD0B5" w14:textId="09E9560C"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128828E1"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Apgyvendinimo</w:t>
            </w:r>
          </w:p>
          <w:p w14:paraId="48B00FF2" w14:textId="77777777" w:rsidR="00B66F28" w:rsidRPr="00650EE4" w:rsidRDefault="00B66F28" w:rsidP="00751A07">
            <w:pPr>
              <w:spacing w:line="240" w:lineRule="auto"/>
              <w:rPr>
                <w:rFonts w:ascii="Times New Roman" w:eastAsia="Times New Roman" w:hAnsi="Times New Roman"/>
                <w:sz w:val="20"/>
                <w:szCs w:val="20"/>
                <w:lang w:eastAsia="lt-LT"/>
              </w:rPr>
            </w:pP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446F8F96" w14:textId="576B412C"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p w14:paraId="06E4538C"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r>
      <w:tr w:rsidR="00B66F28" w:rsidRPr="00650EE4" w14:paraId="5EEEEDA0"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5FFABBCA" w14:textId="6E98C6A2"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bottom"/>
          </w:tcPr>
          <w:p w14:paraId="078F2BE8" w14:textId="0C950AF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31031950" w14:textId="2560A463"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r>
      <w:tr w:rsidR="00B66F28" w:rsidRPr="00650EE4" w14:paraId="732030C6" w14:textId="77777777" w:rsidTr="00D71809">
        <w:tc>
          <w:tcPr>
            <w:tcW w:w="2122" w:type="dxa"/>
            <w:vMerge/>
            <w:tcBorders>
              <w:left w:val="single" w:sz="4" w:space="0" w:color="auto"/>
              <w:bottom w:val="single" w:sz="4" w:space="0" w:color="auto"/>
              <w:right w:val="single" w:sz="4" w:space="0" w:color="auto"/>
            </w:tcBorders>
            <w:shd w:val="clear" w:color="000000" w:fill="FFFFFF"/>
          </w:tcPr>
          <w:p w14:paraId="0F1EEB9E" w14:textId="2A064601"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3D53EC7F" w14:textId="4CD28DA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686483C6" w14:textId="298DD123" w:rsidR="00B66F28" w:rsidRPr="00650EE4" w:rsidRDefault="00B66F28" w:rsidP="00E166A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Paslaugų</w:t>
            </w:r>
          </w:p>
        </w:tc>
      </w:tr>
      <w:tr w:rsidR="00B66F28" w:rsidRPr="00650EE4" w14:paraId="20115B9C" w14:textId="77777777" w:rsidTr="00D71809">
        <w:tc>
          <w:tcPr>
            <w:tcW w:w="2122" w:type="dxa"/>
            <w:vMerge/>
            <w:tcBorders>
              <w:left w:val="single" w:sz="4" w:space="0" w:color="auto"/>
              <w:bottom w:val="single" w:sz="4" w:space="0" w:color="auto"/>
              <w:right w:val="single" w:sz="4" w:space="0" w:color="auto"/>
            </w:tcBorders>
            <w:shd w:val="clear" w:color="000000" w:fill="FFFFFF"/>
          </w:tcPr>
          <w:p w14:paraId="34FC00B6" w14:textId="6B1A628D"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5EE62D2B" w14:textId="44913D6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544617F1" w14:textId="1F78B70D" w:rsidR="00B66F28" w:rsidRPr="00650EE4" w:rsidRDefault="00B66F28" w:rsidP="00E166A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Sporto</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Specialioji</w:t>
            </w:r>
          </w:p>
        </w:tc>
      </w:tr>
      <w:tr w:rsidR="00B66F28" w:rsidRPr="00650EE4" w14:paraId="2CF8807F" w14:textId="77777777" w:rsidTr="00D71809">
        <w:tc>
          <w:tcPr>
            <w:tcW w:w="2122" w:type="dxa"/>
            <w:vMerge w:val="restart"/>
            <w:tcBorders>
              <w:top w:val="single" w:sz="4" w:space="0" w:color="auto"/>
              <w:left w:val="single" w:sz="4" w:space="0" w:color="auto"/>
              <w:right w:val="single" w:sz="4" w:space="0" w:color="auto"/>
            </w:tcBorders>
            <w:shd w:val="clear" w:color="000000" w:fill="FFFFFF"/>
          </w:tcPr>
          <w:p w14:paraId="54F42818" w14:textId="25C0DF7B"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Ne IRS</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bottom"/>
          </w:tcPr>
          <w:p w14:paraId="53129617" w14:textId="12ED43F4"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Garažų</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35B2F1F1" w14:textId="3F5FA39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Garažų</w:t>
            </w:r>
          </w:p>
        </w:tc>
      </w:tr>
      <w:tr w:rsidR="00B66F28" w:rsidRPr="00650EE4" w14:paraId="0161A703" w14:textId="77777777" w:rsidTr="00D71809">
        <w:tc>
          <w:tcPr>
            <w:tcW w:w="2122" w:type="dxa"/>
            <w:vMerge/>
            <w:tcBorders>
              <w:left w:val="single" w:sz="4" w:space="0" w:color="auto"/>
              <w:right w:val="single" w:sz="4" w:space="0" w:color="auto"/>
            </w:tcBorders>
            <w:shd w:val="clear" w:color="000000" w:fill="FFFFFF"/>
            <w:vAlign w:val="bottom"/>
          </w:tcPr>
          <w:p w14:paraId="546648B9" w14:textId="11283F9D"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3935DF79" w14:textId="3354AF93"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Religinė</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7300D112" w14:textId="0B14D4D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Religinės</w:t>
            </w:r>
          </w:p>
        </w:tc>
      </w:tr>
      <w:tr w:rsidR="00B66F28" w:rsidRPr="00650EE4" w14:paraId="7366397A"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1A50E127" w14:textId="501D34D0"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1F16BB5F" w14:textId="7C4D0212"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rPr>
              <w:t>Nešildomi, laikini ir pan.</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2BDA5E73" w14:textId="62CAF49B"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Kitos paskirtys (nepaminėtos aukščiau)</w:t>
            </w:r>
          </w:p>
        </w:tc>
      </w:tr>
    </w:tbl>
    <w:p w14:paraId="22798EFB" w14:textId="41224A94" w:rsidR="00C21B70" w:rsidRPr="00650EE4" w:rsidRDefault="00C21B70" w:rsidP="00C21B70">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F3653A">
        <w:rPr>
          <w:rFonts w:ascii="Times New Roman" w:eastAsia="Times New Roman" w:hAnsi="Times New Roman"/>
          <w:i/>
          <w:color w:val="000000" w:themeColor="text1"/>
          <w:sz w:val="20"/>
          <w:szCs w:val="20"/>
        </w:rPr>
        <w:t xml:space="preserve"> </w:t>
      </w:r>
      <w:r w:rsidR="00F3653A">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0634E764" w14:textId="77777777" w:rsidR="00A64779" w:rsidRPr="00650EE4" w:rsidRDefault="00A64779" w:rsidP="00A64779">
      <w:pPr>
        <w:pStyle w:val="BodyText"/>
        <w:spacing w:line="240" w:lineRule="auto"/>
        <w:jc w:val="both"/>
        <w:rPr>
          <w:rFonts w:ascii="Times New Roman" w:hAnsi="Times New Roman"/>
          <w:color w:val="000000" w:themeColor="text1"/>
          <w:szCs w:val="22"/>
          <w:lang w:val="lt-LT"/>
        </w:rPr>
      </w:pPr>
    </w:p>
    <w:p w14:paraId="4425A241" w14:textId="3A841138" w:rsidR="002431D8" w:rsidRPr="00650EE4" w:rsidRDefault="0056044B" w:rsidP="00260AF0">
      <w:pPr>
        <w:pStyle w:val="BodyText"/>
        <w:spacing w:after="120"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grup</w:t>
      </w:r>
      <w:r w:rsidR="005B08AE" w:rsidRPr="00650EE4">
        <w:rPr>
          <w:rFonts w:ascii="Times New Roman" w:hAnsi="Times New Roman"/>
          <w:color w:val="000000" w:themeColor="text1"/>
          <w:szCs w:val="22"/>
          <w:lang w:val="lt-LT"/>
        </w:rPr>
        <w:t>ei „Ne IRS objektas“ priskirti</w:t>
      </w:r>
      <w:r w:rsidR="00124244" w:rsidRPr="00650EE4">
        <w:rPr>
          <w:rFonts w:ascii="Times New Roman" w:hAnsi="Times New Roman"/>
          <w:color w:val="000000" w:themeColor="text1"/>
          <w:szCs w:val="22"/>
          <w:lang w:val="lt-LT"/>
        </w:rPr>
        <w:t xml:space="preserve"> pastatai, kuriems netaikomi statyb</w:t>
      </w:r>
      <w:r w:rsidR="00F3653A">
        <w:rPr>
          <w:rFonts w:ascii="Times New Roman" w:hAnsi="Times New Roman"/>
          <w:color w:val="000000" w:themeColor="text1"/>
          <w:szCs w:val="22"/>
          <w:lang w:val="lt-LT"/>
        </w:rPr>
        <w:t>os</w:t>
      </w:r>
      <w:r w:rsidR="00124244" w:rsidRPr="00650EE4">
        <w:rPr>
          <w:rFonts w:ascii="Times New Roman" w:hAnsi="Times New Roman"/>
          <w:color w:val="000000" w:themeColor="text1"/>
          <w:szCs w:val="22"/>
          <w:lang w:val="lt-LT"/>
        </w:rPr>
        <w:t xml:space="preserve"> techninio reglamento reikalavimai</w:t>
      </w:r>
      <w:r w:rsidR="00383BA0" w:rsidRPr="00650EE4">
        <w:rPr>
          <w:rStyle w:val="FootnoteReference"/>
          <w:rFonts w:ascii="Times New Roman" w:hAnsi="Times New Roman"/>
          <w:color w:val="000000" w:themeColor="text1"/>
          <w:szCs w:val="22"/>
          <w:lang w:val="lt-LT"/>
        </w:rPr>
        <w:footnoteReference w:id="4"/>
      </w:r>
      <w:r w:rsidR="00383BA0" w:rsidRPr="00650EE4">
        <w:rPr>
          <w:rFonts w:ascii="Times New Roman" w:hAnsi="Times New Roman"/>
          <w:color w:val="000000" w:themeColor="text1"/>
          <w:szCs w:val="22"/>
          <w:lang w:val="lt-LT"/>
        </w:rPr>
        <w:t xml:space="preserve">, </w:t>
      </w:r>
      <w:r w:rsidR="00124244" w:rsidRPr="00650EE4">
        <w:rPr>
          <w:rFonts w:ascii="Times New Roman" w:hAnsi="Times New Roman"/>
          <w:color w:val="000000" w:themeColor="text1"/>
          <w:szCs w:val="22"/>
          <w:lang w:val="lt-LT"/>
        </w:rPr>
        <w:t>susiję su energiniu naudingumu:</w:t>
      </w:r>
    </w:p>
    <w:p w14:paraId="70BA6B04" w14:textId="093F7455" w:rsidR="00987F41" w:rsidRPr="00650EE4" w:rsidRDefault="006075B1" w:rsidP="00AD64BD">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Religinės paskirtie</w:t>
      </w:r>
      <w:r w:rsidR="00124244" w:rsidRPr="00650EE4">
        <w:rPr>
          <w:rFonts w:ascii="Times New Roman" w:hAnsi="Times New Roman"/>
          <w:color w:val="000000" w:themeColor="text1"/>
          <w:szCs w:val="22"/>
        </w:rPr>
        <w:t>s pastatai</w:t>
      </w:r>
      <w:r w:rsidR="003C1A60" w:rsidRPr="00650EE4">
        <w:rPr>
          <w:rFonts w:ascii="Times New Roman" w:hAnsi="Times New Roman"/>
          <w:color w:val="000000" w:themeColor="text1"/>
          <w:szCs w:val="22"/>
        </w:rPr>
        <w:t>: maldos namai ir kitokios religinės veiklos pastatai</w:t>
      </w:r>
      <w:r w:rsidR="00124244" w:rsidRPr="00650EE4">
        <w:rPr>
          <w:rFonts w:ascii="Times New Roman" w:hAnsi="Times New Roman"/>
          <w:color w:val="000000" w:themeColor="text1"/>
          <w:szCs w:val="22"/>
        </w:rPr>
        <w:t xml:space="preserve">. </w:t>
      </w:r>
      <w:r w:rsidR="00B91603" w:rsidRPr="00650EE4">
        <w:rPr>
          <w:rFonts w:ascii="Times New Roman" w:hAnsi="Times New Roman"/>
          <w:color w:val="000000" w:themeColor="text1"/>
          <w:szCs w:val="22"/>
        </w:rPr>
        <w:t>Didžioji dalis (~</w:t>
      </w:r>
      <w:r w:rsidR="00987F41" w:rsidRPr="00650EE4">
        <w:rPr>
          <w:rFonts w:ascii="Times New Roman" w:hAnsi="Times New Roman"/>
          <w:color w:val="000000" w:themeColor="text1"/>
          <w:szCs w:val="22"/>
        </w:rPr>
        <w:t>80%) religinės paskirties pastatų yra pastatyti iki 1940</w:t>
      </w:r>
      <w:r w:rsidR="00193161" w:rsidRPr="00650EE4">
        <w:rPr>
          <w:rFonts w:ascii="Times New Roman" w:hAnsi="Times New Roman"/>
          <w:color w:val="000000" w:themeColor="text1"/>
          <w:szCs w:val="22"/>
        </w:rPr>
        <w:t> </w:t>
      </w:r>
      <w:r w:rsidR="00987F41" w:rsidRPr="00650EE4">
        <w:rPr>
          <w:rFonts w:ascii="Times New Roman" w:hAnsi="Times New Roman"/>
          <w:color w:val="000000" w:themeColor="text1"/>
          <w:szCs w:val="22"/>
        </w:rPr>
        <w:t xml:space="preserve">m. ir patenka </w:t>
      </w:r>
      <w:r w:rsidR="00B91603" w:rsidRPr="00650EE4">
        <w:rPr>
          <w:rFonts w:ascii="Times New Roman" w:hAnsi="Times New Roman"/>
          <w:color w:val="000000" w:themeColor="text1"/>
          <w:szCs w:val="22"/>
        </w:rPr>
        <w:t xml:space="preserve">į </w:t>
      </w:r>
      <w:r w:rsidR="007833AF" w:rsidRPr="00650EE4">
        <w:rPr>
          <w:rFonts w:ascii="Times New Roman" w:hAnsi="Times New Roman"/>
          <w:color w:val="000000" w:themeColor="text1"/>
          <w:szCs w:val="22"/>
        </w:rPr>
        <w:t xml:space="preserve">nekilnojamųjų kultūrinio </w:t>
      </w:r>
      <w:r w:rsidR="00B91603" w:rsidRPr="00650EE4">
        <w:rPr>
          <w:rFonts w:ascii="Times New Roman" w:hAnsi="Times New Roman"/>
          <w:color w:val="000000" w:themeColor="text1"/>
          <w:szCs w:val="22"/>
        </w:rPr>
        <w:t xml:space="preserve">paveldo pastatų sąrašą. </w:t>
      </w:r>
    </w:p>
    <w:p w14:paraId="0409C399" w14:textId="51E33229" w:rsidR="00B91603" w:rsidRPr="00650EE4" w:rsidRDefault="00231239" w:rsidP="00AD64BD">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Garažų bei ū</w:t>
      </w:r>
      <w:r w:rsidR="00B91603" w:rsidRPr="00650EE4">
        <w:rPr>
          <w:rFonts w:ascii="Times New Roman" w:hAnsi="Times New Roman"/>
          <w:color w:val="000000" w:themeColor="text1"/>
          <w:szCs w:val="22"/>
        </w:rPr>
        <w:t>kinės ir pan. paskirties pastata</w:t>
      </w:r>
      <w:r w:rsidR="00DF6BBD" w:rsidRPr="00650EE4">
        <w:rPr>
          <w:rFonts w:ascii="Times New Roman" w:hAnsi="Times New Roman"/>
          <w:color w:val="000000" w:themeColor="text1"/>
          <w:szCs w:val="22"/>
        </w:rPr>
        <w:t>i</w:t>
      </w:r>
      <w:r w:rsidR="00025ED9" w:rsidRPr="00650EE4">
        <w:rPr>
          <w:rFonts w:ascii="Times New Roman" w:hAnsi="Times New Roman"/>
          <w:color w:val="000000" w:themeColor="text1"/>
          <w:szCs w:val="22"/>
        </w:rPr>
        <w:t>, priskiriant juos nedaug energijos sunaudojan</w:t>
      </w:r>
      <w:r w:rsidR="007E0D20" w:rsidRPr="00650EE4">
        <w:rPr>
          <w:rFonts w:ascii="Times New Roman" w:hAnsi="Times New Roman"/>
          <w:color w:val="000000" w:themeColor="text1"/>
          <w:szCs w:val="22"/>
        </w:rPr>
        <w:t>tiems</w:t>
      </w:r>
      <w:r w:rsidR="00025ED9" w:rsidRPr="00650EE4">
        <w:rPr>
          <w:rFonts w:ascii="Times New Roman" w:hAnsi="Times New Roman"/>
          <w:color w:val="000000" w:themeColor="text1"/>
          <w:szCs w:val="22"/>
        </w:rPr>
        <w:t xml:space="preserve"> gamybos ir pramonės, sandėliavimo</w:t>
      </w:r>
      <w:r w:rsidR="00124244" w:rsidRPr="00650EE4">
        <w:rPr>
          <w:rFonts w:ascii="Times New Roman" w:hAnsi="Times New Roman"/>
          <w:color w:val="000000" w:themeColor="text1"/>
          <w:szCs w:val="22"/>
        </w:rPr>
        <w:t xml:space="preserve"> </w:t>
      </w:r>
      <w:r w:rsidR="00025ED9" w:rsidRPr="00650EE4">
        <w:rPr>
          <w:rFonts w:ascii="Times New Roman" w:hAnsi="Times New Roman"/>
          <w:color w:val="000000" w:themeColor="text1"/>
          <w:szCs w:val="22"/>
        </w:rPr>
        <w:t>pastat</w:t>
      </w:r>
      <w:r w:rsidR="007E0D20" w:rsidRPr="00650EE4">
        <w:rPr>
          <w:rFonts w:ascii="Times New Roman" w:hAnsi="Times New Roman"/>
          <w:color w:val="000000" w:themeColor="text1"/>
          <w:szCs w:val="22"/>
        </w:rPr>
        <w:t>ams</w:t>
      </w:r>
      <w:r w:rsidR="00025ED9" w:rsidRPr="00650EE4">
        <w:rPr>
          <w:rFonts w:ascii="Times New Roman" w:hAnsi="Times New Roman"/>
          <w:color w:val="000000" w:themeColor="text1"/>
          <w:szCs w:val="22"/>
        </w:rPr>
        <w:t xml:space="preserve"> </w:t>
      </w:r>
      <w:r w:rsidR="007E0D20" w:rsidRPr="00650EE4">
        <w:rPr>
          <w:rFonts w:ascii="Times New Roman" w:hAnsi="Times New Roman"/>
          <w:color w:val="000000" w:themeColor="text1"/>
          <w:szCs w:val="22"/>
        </w:rPr>
        <w:t>ir/arba pastatams, kuriuose šildymo sezono metu palaikoma ne aukštesnė kaip 10° C temperatūra</w:t>
      </w:r>
      <w:r w:rsidR="00B17CD0" w:rsidRPr="00650EE4">
        <w:rPr>
          <w:rFonts w:ascii="Times New Roman" w:hAnsi="Times New Roman"/>
          <w:color w:val="000000" w:themeColor="text1"/>
          <w:szCs w:val="22"/>
        </w:rPr>
        <w:t>.</w:t>
      </w:r>
    </w:p>
    <w:p w14:paraId="7B908049" w14:textId="1FE2D018" w:rsidR="005B7C71" w:rsidRPr="00650EE4" w:rsidRDefault="00193161" w:rsidP="00260AF0">
      <w:pPr>
        <w:pStyle w:val="Pagrindinispaprastastekstas"/>
        <w:numPr>
          <w:ilvl w:val="0"/>
          <w:numId w:val="10"/>
        </w:numPr>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Pastatai,</w:t>
      </w:r>
      <w:r w:rsidRPr="00650EE4">
        <w:rPr>
          <w:rFonts w:ascii="Times New Roman" w:hAnsi="Times New Roman"/>
          <w:szCs w:val="22"/>
        </w:rPr>
        <w:t xml:space="preserve"> </w:t>
      </w:r>
      <w:r w:rsidRPr="00650EE4">
        <w:rPr>
          <w:rFonts w:ascii="Times New Roman" w:hAnsi="Times New Roman"/>
          <w:color w:val="000000" w:themeColor="text1"/>
          <w:szCs w:val="22"/>
        </w:rPr>
        <w:t>kurių bendrasis plotas ne did</w:t>
      </w:r>
      <w:r w:rsidR="00260AF0" w:rsidRPr="00650EE4">
        <w:rPr>
          <w:rFonts w:ascii="Times New Roman" w:hAnsi="Times New Roman"/>
          <w:color w:val="000000" w:themeColor="text1"/>
          <w:szCs w:val="22"/>
        </w:rPr>
        <w:t>esnis kaip 50 kvadratinių metrų.</w:t>
      </w:r>
    </w:p>
    <w:p w14:paraId="6E2C3249" w14:textId="5489A3B1" w:rsidR="002C66F8" w:rsidRPr="00650EE4" w:rsidRDefault="002C66F8" w:rsidP="00F94B76">
      <w:pPr>
        <w:pStyle w:val="BodyText"/>
        <w:spacing w:line="240" w:lineRule="auto"/>
        <w:jc w:val="both"/>
        <w:rPr>
          <w:rFonts w:ascii="Times New Roman" w:hAnsi="Times New Roman"/>
          <w:color w:val="000000" w:themeColor="text1"/>
          <w:szCs w:val="22"/>
          <w:lang w:val="lt-LT"/>
        </w:rPr>
      </w:pPr>
    </w:p>
    <w:p w14:paraId="0F485C96" w14:textId="6606CF36" w:rsidR="00B55034" w:rsidRPr="00650EE4" w:rsidRDefault="005B7C71" w:rsidP="00B5503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Toliau nagrinėjama </w:t>
      </w:r>
      <w:r w:rsidR="006666D2" w:rsidRPr="00650EE4">
        <w:rPr>
          <w:rFonts w:ascii="Times New Roman" w:hAnsi="Times New Roman"/>
          <w:color w:val="000000" w:themeColor="text1"/>
          <w:szCs w:val="22"/>
        </w:rPr>
        <w:t xml:space="preserve">pastatų fondo </w:t>
      </w:r>
      <w:r w:rsidRPr="00650EE4">
        <w:rPr>
          <w:rFonts w:ascii="Times New Roman" w:hAnsi="Times New Roman"/>
          <w:color w:val="000000" w:themeColor="text1"/>
          <w:szCs w:val="22"/>
        </w:rPr>
        <w:t xml:space="preserve">dalis, eliminavus pastatų grupę „Ne IRS objektas“ </w:t>
      </w:r>
      <w:r w:rsidR="00E679FF" w:rsidRPr="00650EE4">
        <w:rPr>
          <w:rFonts w:ascii="Times New Roman" w:hAnsi="Times New Roman"/>
          <w:color w:val="000000" w:themeColor="text1"/>
          <w:szCs w:val="22"/>
        </w:rPr>
        <w:t xml:space="preserve">(toliau </w:t>
      </w:r>
      <w:r w:rsidR="00B02F57" w:rsidRPr="00650EE4">
        <w:rPr>
          <w:rFonts w:ascii="Times New Roman" w:hAnsi="Times New Roman"/>
          <w:color w:val="000000" w:themeColor="text1"/>
          <w:szCs w:val="22"/>
        </w:rPr>
        <w:t xml:space="preserve">– </w:t>
      </w:r>
      <w:r w:rsidR="007A52B6">
        <w:rPr>
          <w:rFonts w:ascii="Times New Roman" w:hAnsi="Times New Roman"/>
          <w:bCs/>
          <w:color w:val="000000" w:themeColor="text1"/>
          <w:szCs w:val="22"/>
        </w:rPr>
        <w:t>p</w:t>
      </w:r>
      <w:r w:rsidR="00F6475C" w:rsidRPr="00650EE4">
        <w:rPr>
          <w:rFonts w:ascii="Times New Roman" w:hAnsi="Times New Roman"/>
          <w:bCs/>
          <w:color w:val="000000" w:themeColor="text1"/>
          <w:szCs w:val="22"/>
        </w:rPr>
        <w:t>astatų fondas</w:t>
      </w:r>
      <w:r w:rsidR="00E679FF" w:rsidRPr="00650EE4">
        <w:rPr>
          <w:rFonts w:ascii="Times New Roman" w:hAnsi="Times New Roman"/>
          <w:bCs/>
          <w:color w:val="000000" w:themeColor="text1"/>
          <w:szCs w:val="22"/>
        </w:rPr>
        <w:t>)</w:t>
      </w:r>
      <w:r w:rsidR="00756692" w:rsidRPr="00650EE4">
        <w:rPr>
          <w:rFonts w:ascii="Times New Roman" w:hAnsi="Times New Roman"/>
          <w:color w:val="000000" w:themeColor="text1"/>
          <w:szCs w:val="22"/>
        </w:rPr>
        <w:t>.</w:t>
      </w:r>
      <w:r w:rsidR="00E73715" w:rsidRPr="00650EE4">
        <w:rPr>
          <w:rFonts w:ascii="Times New Roman" w:hAnsi="Times New Roman"/>
          <w:color w:val="000000" w:themeColor="text1"/>
          <w:szCs w:val="22"/>
        </w:rPr>
        <w:t xml:space="preserve"> </w:t>
      </w:r>
      <w:r w:rsidR="007A52B6">
        <w:rPr>
          <w:rFonts w:ascii="Times New Roman" w:hAnsi="Times New Roman"/>
          <w:color w:val="000000" w:themeColor="text1"/>
          <w:szCs w:val="22"/>
        </w:rPr>
        <w:t>Agreguoti p</w:t>
      </w:r>
      <w:r w:rsidR="00AD510E" w:rsidRPr="00650EE4">
        <w:rPr>
          <w:rFonts w:ascii="Times New Roman" w:hAnsi="Times New Roman"/>
          <w:color w:val="000000" w:themeColor="text1"/>
          <w:szCs w:val="22"/>
        </w:rPr>
        <w:t>astatų fondo duomenys pagal pastatų grupes ir pogrupius pateikiami paveiksle žemiau.</w:t>
      </w:r>
    </w:p>
    <w:p w14:paraId="232804E2" w14:textId="77777777" w:rsidR="00AD510E" w:rsidRPr="00650EE4" w:rsidRDefault="00AD510E" w:rsidP="00B55034">
      <w:pPr>
        <w:spacing w:line="240" w:lineRule="auto"/>
        <w:jc w:val="both"/>
        <w:rPr>
          <w:rFonts w:ascii="Times New Roman" w:eastAsiaTheme="minorHAnsi" w:hAnsi="Times New Roman"/>
          <w:b/>
          <w:iCs/>
          <w:color w:val="auto"/>
          <w:szCs w:val="22"/>
          <w:lang w:eastAsia="lt-LT"/>
        </w:rPr>
      </w:pPr>
    </w:p>
    <w:bookmarkStart w:id="18" w:name="_Hlk55970008"/>
    <w:p w14:paraId="495CFB5E" w14:textId="711ED8F6" w:rsidR="00E42A30"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9" w:name="_Toc67925249"/>
      <w:r w:rsidR="007744C1">
        <w:t>1</w:t>
      </w:r>
      <w:r w:rsidRPr="00650EE4">
        <w:rPr>
          <w:noProof w:val="0"/>
        </w:rPr>
        <w:fldChar w:fldCharType="end"/>
      </w:r>
      <w:r w:rsidR="00D4382E" w:rsidRPr="00650EE4">
        <w:rPr>
          <w:noProof w:val="0"/>
        </w:rPr>
        <w:t xml:space="preserve"> </w:t>
      </w:r>
      <w:r w:rsidR="00E42A30" w:rsidRPr="00650EE4">
        <w:rPr>
          <w:noProof w:val="0"/>
        </w:rPr>
        <w:t xml:space="preserve">paveikslas. </w:t>
      </w:r>
      <w:r w:rsidR="002431D8" w:rsidRPr="00650EE4">
        <w:rPr>
          <w:noProof w:val="0"/>
        </w:rPr>
        <w:t>Pastatų fondas pagal pastatų grupes (agreguotas)</w:t>
      </w:r>
      <w:bookmarkEnd w:id="19"/>
    </w:p>
    <w:tbl>
      <w:tblPr>
        <w:tblStyle w:val="TableGrid"/>
        <w:tblW w:w="51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5"/>
      </w:tblGrid>
      <w:tr w:rsidR="00FD07AA" w:rsidRPr="00650EE4" w14:paraId="74E69A77" w14:textId="77777777" w:rsidTr="00004F84">
        <w:trPr>
          <w:trHeight w:val="3453"/>
        </w:trPr>
        <w:tc>
          <w:tcPr>
            <w:tcW w:w="5000" w:type="pct"/>
          </w:tcPr>
          <w:bookmarkEnd w:id="18"/>
          <w:p w14:paraId="1DFC58C7" w14:textId="125F6992" w:rsidR="00FD07AA" w:rsidRPr="00650EE4" w:rsidRDefault="004B71A9" w:rsidP="00631BA6">
            <w:pPr>
              <w:pStyle w:val="TESlentelspavadinimas"/>
              <w:rPr>
                <w:noProof w:val="0"/>
              </w:rPr>
            </w:pPr>
            <w:r w:rsidRPr="004B71A9">
              <w:rPr>
                <w:i w:val="0"/>
                <w:lang w:eastAsia="lt-LT"/>
              </w:rPr>
              <w:drawing>
                <wp:inline distT="0" distB="0" distL="0" distR="0" wp14:anchorId="74A36862" wp14:editId="7E09C1AE">
                  <wp:extent cx="3196743" cy="2055571"/>
                  <wp:effectExtent l="0" t="0" r="22860" b="20955"/>
                  <wp:docPr id="2" name="Chart 2">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50EE4">
              <w:rPr>
                <w:lang w:eastAsia="lt-LT"/>
              </w:rPr>
              <w:drawing>
                <wp:inline distT="0" distB="0" distL="0" distR="0" wp14:anchorId="7161B7CA" wp14:editId="7C27608E">
                  <wp:extent cx="3204058" cy="2055571"/>
                  <wp:effectExtent l="0" t="0" r="15875" b="20955"/>
                  <wp:docPr id="10" name="Chart 10">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5298B4B" w14:textId="3B52D41F" w:rsidR="006D0A5A" w:rsidRPr="004960CA" w:rsidRDefault="006D0A5A" w:rsidP="006D0A5A">
      <w:pPr>
        <w:spacing w:before="60" w:line="240" w:lineRule="auto"/>
        <w:jc w:val="both"/>
        <w:rPr>
          <w:rFonts w:ascii="Times New Roman" w:eastAsia="Times New Roman" w:hAnsi="Times New Roman"/>
          <w:i/>
          <w:color w:val="000000" w:themeColor="text1"/>
          <w:sz w:val="20"/>
          <w:szCs w:val="22"/>
        </w:rPr>
      </w:pPr>
      <w:r w:rsidRPr="004960CA">
        <w:rPr>
          <w:rFonts w:ascii="Times New Roman" w:eastAsia="Times New Roman" w:hAnsi="Times New Roman"/>
          <w:i/>
          <w:color w:val="000000" w:themeColor="text1"/>
          <w:sz w:val="20"/>
          <w:szCs w:val="22"/>
        </w:rPr>
        <w:t>Šaltinis: NT</w:t>
      </w:r>
      <w:r w:rsidR="004832F6" w:rsidRPr="004960CA">
        <w:rPr>
          <w:rFonts w:ascii="Times New Roman" w:eastAsia="Times New Roman" w:hAnsi="Times New Roman"/>
          <w:i/>
          <w:color w:val="000000" w:themeColor="text1"/>
          <w:sz w:val="20"/>
          <w:szCs w:val="22"/>
        </w:rPr>
        <w:t>R</w:t>
      </w:r>
      <w:r w:rsidRPr="004960CA">
        <w:rPr>
          <w:rFonts w:ascii="Times New Roman" w:eastAsia="Times New Roman" w:hAnsi="Times New Roman"/>
          <w:i/>
          <w:color w:val="000000" w:themeColor="text1"/>
          <w:sz w:val="20"/>
          <w:szCs w:val="22"/>
        </w:rPr>
        <w:t xml:space="preserve"> duomenys (2019.12.31)</w:t>
      </w:r>
    </w:p>
    <w:p w14:paraId="3BDB7C9D" w14:textId="77777777" w:rsidR="008739AA" w:rsidRPr="00650EE4" w:rsidRDefault="008739AA" w:rsidP="00D75BBF">
      <w:pPr>
        <w:spacing w:before="60" w:line="240" w:lineRule="auto"/>
        <w:jc w:val="both"/>
        <w:rPr>
          <w:rFonts w:ascii="Times New Roman" w:eastAsia="Times New Roman" w:hAnsi="Times New Roman"/>
          <w:i/>
          <w:color w:val="000000" w:themeColor="text1"/>
          <w:szCs w:val="22"/>
        </w:rPr>
      </w:pPr>
    </w:p>
    <w:p w14:paraId="4931B97E" w14:textId="69469211" w:rsidR="00166C44" w:rsidRPr="00650EE4" w:rsidRDefault="00166C44" w:rsidP="006B35DC">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 xml:space="preserve">Apibendrinant </w:t>
      </w:r>
      <w:r w:rsidR="00E832EA" w:rsidRPr="00650EE4">
        <w:rPr>
          <w:rFonts w:ascii="Times New Roman" w:hAnsi="Times New Roman"/>
          <w:color w:val="000000" w:themeColor="text1"/>
          <w:szCs w:val="22"/>
        </w:rPr>
        <w:t>aukščiau</w:t>
      </w:r>
      <w:r w:rsidRPr="00650EE4">
        <w:rPr>
          <w:rFonts w:ascii="Times New Roman" w:hAnsi="Times New Roman"/>
          <w:color w:val="000000" w:themeColor="text1"/>
          <w:szCs w:val="22"/>
        </w:rPr>
        <w:t xml:space="preserve"> pate</w:t>
      </w:r>
      <w:r w:rsidR="00462F5D" w:rsidRPr="00650EE4">
        <w:rPr>
          <w:rFonts w:ascii="Times New Roman" w:hAnsi="Times New Roman"/>
          <w:color w:val="000000" w:themeColor="text1"/>
          <w:szCs w:val="22"/>
        </w:rPr>
        <w:t>i</w:t>
      </w:r>
      <w:r w:rsidRPr="00650EE4">
        <w:rPr>
          <w:rFonts w:ascii="Times New Roman" w:hAnsi="Times New Roman"/>
          <w:color w:val="000000" w:themeColor="text1"/>
          <w:szCs w:val="22"/>
        </w:rPr>
        <w:t>ktus duomenis galima pastebėti</w:t>
      </w:r>
      <w:r w:rsidR="00F2074A" w:rsidRPr="00650EE4">
        <w:rPr>
          <w:rFonts w:ascii="Times New Roman" w:hAnsi="Times New Roman"/>
          <w:color w:val="000000" w:themeColor="text1"/>
          <w:szCs w:val="22"/>
        </w:rPr>
        <w:t>, kad</w:t>
      </w:r>
      <w:r w:rsidR="00704081" w:rsidRPr="00650EE4">
        <w:rPr>
          <w:rFonts w:ascii="Times New Roman" w:hAnsi="Times New Roman"/>
          <w:color w:val="000000" w:themeColor="text1"/>
          <w:szCs w:val="22"/>
        </w:rPr>
        <w:t>:</w:t>
      </w:r>
    </w:p>
    <w:p w14:paraId="226E1545" w14:textId="781DCC12" w:rsidR="00F83E2F" w:rsidRPr="00650EE4" w:rsidRDefault="004960CA" w:rsidP="001D57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lastRenderedPageBreak/>
        <w:t>v</w:t>
      </w:r>
      <w:r w:rsidR="00F83E2F" w:rsidRPr="00650EE4">
        <w:rPr>
          <w:rFonts w:ascii="Times New Roman" w:hAnsi="Times New Roman"/>
          <w:color w:val="000000" w:themeColor="text1"/>
          <w:szCs w:val="22"/>
        </w:rPr>
        <w:t>idutiniai pastatų plotai</w:t>
      </w:r>
      <w:r w:rsidR="00F2074A" w:rsidRPr="00650EE4">
        <w:rPr>
          <w:rFonts w:ascii="Times New Roman" w:hAnsi="Times New Roman"/>
          <w:color w:val="000000" w:themeColor="text1"/>
          <w:szCs w:val="22"/>
        </w:rPr>
        <w:t xml:space="preserve"> </w:t>
      </w:r>
      <w:r w:rsidR="002316A4" w:rsidRPr="00650EE4">
        <w:rPr>
          <w:rFonts w:ascii="Times New Roman" w:hAnsi="Times New Roman"/>
          <w:color w:val="000000" w:themeColor="text1"/>
          <w:szCs w:val="22"/>
        </w:rPr>
        <w:t>reikšmingai skiriasi</w:t>
      </w:r>
      <w:r w:rsidR="00F83E2F" w:rsidRPr="00650EE4">
        <w:rPr>
          <w:rFonts w:ascii="Times New Roman" w:hAnsi="Times New Roman"/>
          <w:color w:val="000000" w:themeColor="text1"/>
          <w:szCs w:val="22"/>
        </w:rPr>
        <w:t>: individualus namas ~130 m</w:t>
      </w:r>
      <w:r w:rsidR="00F83E2F" w:rsidRPr="00650EE4">
        <w:rPr>
          <w:rFonts w:ascii="Times New Roman" w:hAnsi="Times New Roman"/>
          <w:color w:val="000000" w:themeColor="text1"/>
          <w:szCs w:val="22"/>
          <w:vertAlign w:val="superscript"/>
        </w:rPr>
        <w:t>2</w:t>
      </w:r>
      <w:r w:rsidR="00F83E2F" w:rsidRPr="00650EE4">
        <w:rPr>
          <w:rFonts w:ascii="Times New Roman" w:hAnsi="Times New Roman"/>
          <w:color w:val="000000" w:themeColor="text1"/>
          <w:szCs w:val="22"/>
        </w:rPr>
        <w:t>, daugiabutis ~1450 m</w:t>
      </w:r>
      <w:r w:rsidR="00F83E2F" w:rsidRPr="00650EE4">
        <w:rPr>
          <w:rFonts w:ascii="Times New Roman" w:hAnsi="Times New Roman"/>
          <w:color w:val="000000" w:themeColor="text1"/>
          <w:szCs w:val="22"/>
          <w:vertAlign w:val="superscript"/>
        </w:rPr>
        <w:t>2</w:t>
      </w:r>
      <w:r w:rsidR="00F83E2F" w:rsidRPr="00650EE4">
        <w:rPr>
          <w:rFonts w:ascii="Times New Roman" w:hAnsi="Times New Roman"/>
          <w:color w:val="000000" w:themeColor="text1"/>
          <w:szCs w:val="22"/>
        </w:rPr>
        <w:t>,  pramonės pastata</w:t>
      </w:r>
      <w:r w:rsidR="001A20D0" w:rsidRPr="00650EE4">
        <w:rPr>
          <w:rFonts w:ascii="Times New Roman" w:hAnsi="Times New Roman"/>
          <w:color w:val="000000" w:themeColor="text1"/>
          <w:szCs w:val="22"/>
        </w:rPr>
        <w:t>s</w:t>
      </w:r>
      <w:r w:rsidR="00F83E2F" w:rsidRPr="00650EE4">
        <w:rPr>
          <w:rFonts w:ascii="Times New Roman" w:hAnsi="Times New Roman"/>
          <w:color w:val="000000" w:themeColor="text1"/>
          <w:szCs w:val="22"/>
        </w:rPr>
        <w:t xml:space="preserve"> ~700 m</w:t>
      </w:r>
      <w:r w:rsidR="00F83E2F" w:rsidRPr="00650EE4">
        <w:rPr>
          <w:rFonts w:ascii="Times New Roman" w:hAnsi="Times New Roman"/>
          <w:color w:val="000000" w:themeColor="text1"/>
          <w:szCs w:val="22"/>
          <w:vertAlign w:val="superscript"/>
        </w:rPr>
        <w:t>2</w:t>
      </w:r>
      <w:r w:rsidR="00F83E2F" w:rsidRPr="00650EE4">
        <w:rPr>
          <w:rFonts w:ascii="Times New Roman" w:hAnsi="Times New Roman"/>
          <w:color w:val="000000" w:themeColor="text1"/>
          <w:szCs w:val="22"/>
        </w:rPr>
        <w:t>, kit</w:t>
      </w:r>
      <w:r w:rsidR="001A20D0" w:rsidRPr="00650EE4">
        <w:rPr>
          <w:rFonts w:ascii="Times New Roman" w:hAnsi="Times New Roman"/>
          <w:color w:val="000000" w:themeColor="text1"/>
          <w:szCs w:val="22"/>
        </w:rPr>
        <w:t>a</w:t>
      </w:r>
      <w:r w:rsidR="00F83E2F" w:rsidRPr="00650EE4">
        <w:rPr>
          <w:rFonts w:ascii="Times New Roman" w:hAnsi="Times New Roman"/>
          <w:color w:val="000000" w:themeColor="text1"/>
          <w:szCs w:val="22"/>
        </w:rPr>
        <w:t xml:space="preserve"> negyvenam</w:t>
      </w:r>
      <w:r w:rsidR="00F7358C" w:rsidRPr="00650EE4">
        <w:rPr>
          <w:rFonts w:ascii="Times New Roman" w:hAnsi="Times New Roman"/>
          <w:color w:val="000000" w:themeColor="text1"/>
          <w:szCs w:val="22"/>
        </w:rPr>
        <w:t>o</w:t>
      </w:r>
      <w:r w:rsidR="00F83E2F" w:rsidRPr="00650EE4">
        <w:rPr>
          <w:rFonts w:ascii="Times New Roman" w:hAnsi="Times New Roman"/>
          <w:color w:val="000000" w:themeColor="text1"/>
          <w:szCs w:val="22"/>
        </w:rPr>
        <w:t>ji</w:t>
      </w:r>
      <w:r w:rsidR="001A20D0" w:rsidRPr="00650EE4">
        <w:rPr>
          <w:rFonts w:ascii="Times New Roman" w:hAnsi="Times New Roman"/>
          <w:color w:val="000000" w:themeColor="text1"/>
          <w:szCs w:val="22"/>
        </w:rPr>
        <w:t xml:space="preserve"> paskirtis</w:t>
      </w:r>
      <w:r w:rsidR="00F83E2F" w:rsidRPr="00650EE4">
        <w:rPr>
          <w:rFonts w:ascii="Times New Roman" w:hAnsi="Times New Roman"/>
          <w:color w:val="000000" w:themeColor="text1"/>
          <w:szCs w:val="22"/>
        </w:rPr>
        <w:t xml:space="preserve"> ~900 m</w:t>
      </w:r>
      <w:r w:rsidR="00F83E2F" w:rsidRPr="00650EE4">
        <w:rPr>
          <w:rFonts w:ascii="Times New Roman" w:hAnsi="Times New Roman"/>
          <w:color w:val="000000" w:themeColor="text1"/>
          <w:szCs w:val="22"/>
          <w:vertAlign w:val="superscript"/>
        </w:rPr>
        <w:t>2</w:t>
      </w:r>
      <w:r>
        <w:rPr>
          <w:rFonts w:ascii="Times New Roman" w:hAnsi="Times New Roman"/>
          <w:color w:val="000000" w:themeColor="text1"/>
          <w:szCs w:val="22"/>
        </w:rPr>
        <w:t>;</w:t>
      </w:r>
      <w:r w:rsidR="00F83E2F" w:rsidRPr="00650EE4">
        <w:rPr>
          <w:rFonts w:ascii="Times New Roman" w:hAnsi="Times New Roman"/>
          <w:color w:val="000000" w:themeColor="text1"/>
          <w:szCs w:val="22"/>
        </w:rPr>
        <w:t xml:space="preserve"> </w:t>
      </w:r>
    </w:p>
    <w:p w14:paraId="7762D931" w14:textId="3FB945CD" w:rsidR="00462F5D" w:rsidRPr="00650EE4" w:rsidRDefault="004960CA" w:rsidP="001D57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w:t>
      </w:r>
      <w:r w:rsidR="00166C44" w:rsidRPr="00650EE4">
        <w:rPr>
          <w:rFonts w:ascii="Times New Roman" w:hAnsi="Times New Roman"/>
          <w:color w:val="000000" w:themeColor="text1"/>
          <w:szCs w:val="22"/>
        </w:rPr>
        <w:t>yvenam</w:t>
      </w:r>
      <w:r w:rsidR="008469DD" w:rsidRPr="00650EE4">
        <w:rPr>
          <w:rFonts w:ascii="Times New Roman" w:hAnsi="Times New Roman"/>
          <w:color w:val="000000" w:themeColor="text1"/>
          <w:szCs w:val="22"/>
        </w:rPr>
        <w:t>osios paskirties</w:t>
      </w:r>
      <w:r w:rsidR="006B35DC" w:rsidRPr="00650EE4">
        <w:rPr>
          <w:rFonts w:ascii="Times New Roman" w:hAnsi="Times New Roman"/>
          <w:color w:val="000000" w:themeColor="text1"/>
          <w:szCs w:val="22"/>
        </w:rPr>
        <w:t xml:space="preserve"> pastatai</w:t>
      </w:r>
      <w:r w:rsidR="00166C44" w:rsidRPr="00650EE4">
        <w:rPr>
          <w:rFonts w:ascii="Times New Roman" w:hAnsi="Times New Roman"/>
          <w:color w:val="000000" w:themeColor="text1"/>
          <w:szCs w:val="22"/>
        </w:rPr>
        <w:t xml:space="preserve"> sudaro </w:t>
      </w:r>
      <w:r w:rsidR="00B66F28" w:rsidRPr="00650EE4">
        <w:rPr>
          <w:rFonts w:ascii="Times New Roman" w:hAnsi="Times New Roman"/>
          <w:color w:val="000000" w:themeColor="text1"/>
          <w:szCs w:val="22"/>
        </w:rPr>
        <w:t>2/3 (</w:t>
      </w:r>
      <w:r w:rsidR="008469DD" w:rsidRPr="00650EE4">
        <w:rPr>
          <w:rFonts w:ascii="Times New Roman" w:hAnsi="Times New Roman"/>
          <w:color w:val="000000" w:themeColor="text1"/>
          <w:szCs w:val="22"/>
        </w:rPr>
        <w:t>64</w:t>
      </w:r>
      <w:r w:rsidR="006B35DC" w:rsidRPr="00650EE4">
        <w:rPr>
          <w:rFonts w:ascii="Times New Roman" w:hAnsi="Times New Roman"/>
          <w:color w:val="000000" w:themeColor="text1"/>
          <w:szCs w:val="22"/>
        </w:rPr>
        <w:t xml:space="preserve"> proc.</w:t>
      </w:r>
      <w:r w:rsidR="00B66F28" w:rsidRPr="00650EE4">
        <w:rPr>
          <w:rFonts w:ascii="Times New Roman" w:hAnsi="Times New Roman"/>
          <w:color w:val="000000" w:themeColor="text1"/>
          <w:szCs w:val="22"/>
        </w:rPr>
        <w:t>)</w:t>
      </w:r>
      <w:r w:rsidR="006B35DC" w:rsidRPr="00650EE4">
        <w:rPr>
          <w:rFonts w:ascii="Times New Roman" w:hAnsi="Times New Roman"/>
          <w:color w:val="000000" w:themeColor="text1"/>
          <w:szCs w:val="22"/>
        </w:rPr>
        <w:t xml:space="preserve"> viso </w:t>
      </w:r>
      <w:r>
        <w:rPr>
          <w:rFonts w:ascii="Times New Roman" w:hAnsi="Times New Roman"/>
          <w:color w:val="000000" w:themeColor="text1"/>
          <w:szCs w:val="22"/>
        </w:rPr>
        <w:t>p</w:t>
      </w:r>
      <w:r w:rsidR="00A8081F" w:rsidRPr="00650EE4">
        <w:rPr>
          <w:rFonts w:ascii="Times New Roman" w:hAnsi="Times New Roman"/>
          <w:color w:val="000000" w:themeColor="text1"/>
          <w:szCs w:val="22"/>
        </w:rPr>
        <w:t>astatų fondo ploto</w:t>
      </w:r>
      <w:r w:rsidR="00ED3074" w:rsidRPr="00650EE4">
        <w:rPr>
          <w:rFonts w:ascii="Times New Roman" w:hAnsi="Times New Roman"/>
          <w:color w:val="000000" w:themeColor="text1"/>
          <w:szCs w:val="22"/>
        </w:rPr>
        <w:t>. Tai yra</w:t>
      </w:r>
      <w:r w:rsidR="00A8081F" w:rsidRPr="00650EE4">
        <w:rPr>
          <w:rFonts w:ascii="Times New Roman" w:hAnsi="Times New Roman"/>
          <w:color w:val="000000" w:themeColor="text1"/>
          <w:szCs w:val="22"/>
        </w:rPr>
        <w:t xml:space="preserve"> reikšmingiausias pastatų</w:t>
      </w:r>
      <w:r w:rsidR="006B35DC" w:rsidRPr="00650EE4">
        <w:rPr>
          <w:rFonts w:ascii="Times New Roman" w:hAnsi="Times New Roman"/>
          <w:color w:val="000000" w:themeColor="text1"/>
          <w:szCs w:val="22"/>
        </w:rPr>
        <w:t xml:space="preserve"> segmentas</w:t>
      </w:r>
      <w:r>
        <w:rPr>
          <w:rFonts w:ascii="Times New Roman" w:hAnsi="Times New Roman"/>
          <w:color w:val="000000" w:themeColor="text1"/>
          <w:szCs w:val="22"/>
        </w:rPr>
        <w:t xml:space="preserve"> vertinant pagal pastatų plotą;</w:t>
      </w:r>
      <w:r w:rsidR="006B35DC" w:rsidRPr="00650EE4">
        <w:rPr>
          <w:rFonts w:ascii="Times New Roman" w:hAnsi="Times New Roman"/>
          <w:color w:val="000000" w:themeColor="text1"/>
          <w:szCs w:val="22"/>
        </w:rPr>
        <w:t xml:space="preserve"> </w:t>
      </w:r>
    </w:p>
    <w:p w14:paraId="52E23F03" w14:textId="6DBE1CC9" w:rsidR="00A8081F" w:rsidRPr="00650EE4" w:rsidRDefault="004960CA" w:rsidP="001D57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w:t>
      </w:r>
      <w:r w:rsidR="006F46B7" w:rsidRPr="00650EE4">
        <w:rPr>
          <w:rFonts w:ascii="Times New Roman" w:hAnsi="Times New Roman"/>
          <w:color w:val="000000" w:themeColor="text1"/>
          <w:szCs w:val="22"/>
        </w:rPr>
        <w:t>yvenamosios paskirties</w:t>
      </w:r>
      <w:r w:rsidR="00B128E5" w:rsidRPr="00650EE4">
        <w:rPr>
          <w:rFonts w:ascii="Times New Roman" w:hAnsi="Times New Roman"/>
          <w:color w:val="000000" w:themeColor="text1"/>
          <w:szCs w:val="22"/>
        </w:rPr>
        <w:t xml:space="preserve"> segmente</w:t>
      </w:r>
      <w:r w:rsidR="00BD2E66" w:rsidRPr="00650EE4">
        <w:rPr>
          <w:rFonts w:ascii="Times New Roman" w:hAnsi="Times New Roman"/>
          <w:color w:val="000000" w:themeColor="text1"/>
          <w:szCs w:val="22"/>
        </w:rPr>
        <w:t>,</w:t>
      </w:r>
      <w:r w:rsidR="00B128E5" w:rsidRPr="00650EE4">
        <w:rPr>
          <w:rFonts w:ascii="Times New Roman" w:hAnsi="Times New Roman"/>
          <w:color w:val="000000" w:themeColor="text1"/>
          <w:szCs w:val="22"/>
        </w:rPr>
        <w:t xml:space="preserve"> daugiabučiai ir individualūs </w:t>
      </w:r>
      <w:r w:rsidR="00A8081F" w:rsidRPr="00650EE4">
        <w:rPr>
          <w:rFonts w:ascii="Times New Roman" w:hAnsi="Times New Roman"/>
          <w:color w:val="000000" w:themeColor="text1"/>
          <w:szCs w:val="22"/>
        </w:rPr>
        <w:t xml:space="preserve">namai </w:t>
      </w:r>
      <w:r w:rsidR="00D1451D" w:rsidRPr="00650EE4">
        <w:rPr>
          <w:rFonts w:ascii="Times New Roman" w:hAnsi="Times New Roman"/>
          <w:color w:val="000000" w:themeColor="text1"/>
          <w:szCs w:val="22"/>
        </w:rPr>
        <w:t>pasiskir</w:t>
      </w:r>
      <w:r w:rsidR="007C141C" w:rsidRPr="00650EE4">
        <w:rPr>
          <w:rFonts w:ascii="Times New Roman" w:hAnsi="Times New Roman"/>
          <w:color w:val="000000" w:themeColor="text1"/>
          <w:szCs w:val="22"/>
        </w:rPr>
        <w:t>s</w:t>
      </w:r>
      <w:r w:rsidR="00D1451D" w:rsidRPr="00650EE4">
        <w:rPr>
          <w:rFonts w:ascii="Times New Roman" w:hAnsi="Times New Roman"/>
          <w:color w:val="000000" w:themeColor="text1"/>
          <w:szCs w:val="22"/>
        </w:rPr>
        <w:t>tę panašiomis dalimis</w:t>
      </w:r>
      <w:r w:rsidR="00D75652" w:rsidRPr="00650EE4">
        <w:rPr>
          <w:rFonts w:ascii="Times New Roman" w:hAnsi="Times New Roman"/>
          <w:color w:val="000000" w:themeColor="text1"/>
          <w:szCs w:val="22"/>
        </w:rPr>
        <w:t>,</w:t>
      </w:r>
      <w:r w:rsidR="00D1451D" w:rsidRPr="00650EE4">
        <w:rPr>
          <w:rFonts w:ascii="Times New Roman" w:hAnsi="Times New Roman"/>
          <w:color w:val="000000" w:themeColor="text1"/>
          <w:szCs w:val="22"/>
        </w:rPr>
        <w:t xml:space="preserve"> vertinant pagal plotą (29 proc. ir 34 proc. bendro Pastatų fondo ploto). Tačiau, </w:t>
      </w:r>
      <w:r w:rsidR="00D75652" w:rsidRPr="00650EE4">
        <w:rPr>
          <w:rFonts w:ascii="Times New Roman" w:hAnsi="Times New Roman"/>
          <w:color w:val="000000" w:themeColor="text1"/>
          <w:szCs w:val="22"/>
        </w:rPr>
        <w:t xml:space="preserve">vertinant pagal pastatų skaičių, </w:t>
      </w:r>
      <w:r w:rsidR="00D1451D" w:rsidRPr="00650EE4">
        <w:rPr>
          <w:rFonts w:ascii="Times New Roman" w:hAnsi="Times New Roman"/>
          <w:color w:val="000000" w:themeColor="text1"/>
          <w:szCs w:val="22"/>
        </w:rPr>
        <w:t>individualūs pastatai sudaro net 80 proc., o daugiabučiai tik 6 proc.</w:t>
      </w:r>
      <w:r>
        <w:rPr>
          <w:rFonts w:ascii="Times New Roman" w:hAnsi="Times New Roman"/>
          <w:color w:val="000000" w:themeColor="text1"/>
          <w:szCs w:val="22"/>
        </w:rPr>
        <w:t xml:space="preserve"> bendro Pastatų fondo skaičiaus;</w:t>
      </w:r>
      <w:r w:rsidR="00D1451D" w:rsidRPr="00650EE4">
        <w:rPr>
          <w:rFonts w:ascii="Times New Roman" w:hAnsi="Times New Roman"/>
          <w:color w:val="000000" w:themeColor="text1"/>
          <w:szCs w:val="22"/>
        </w:rPr>
        <w:t xml:space="preserve"> </w:t>
      </w:r>
    </w:p>
    <w:p w14:paraId="7D27DD82" w14:textId="47249414" w:rsidR="00085A6E" w:rsidRPr="00650EE4" w:rsidRDefault="004960CA" w:rsidP="00004F84">
      <w:pPr>
        <w:pStyle w:val="Pagrindinispaprastastekstas"/>
        <w:numPr>
          <w:ilvl w:val="0"/>
          <w:numId w:val="10"/>
        </w:numPr>
        <w:spacing w:after="360"/>
        <w:ind w:left="714" w:hanging="357"/>
        <w:rPr>
          <w:rFonts w:ascii="Times New Roman" w:hAnsi="Times New Roman"/>
          <w:b/>
          <w:bCs/>
          <w:color w:val="000000" w:themeColor="text1"/>
          <w:kern w:val="32"/>
          <w:sz w:val="24"/>
        </w:rPr>
      </w:pPr>
      <w:r>
        <w:rPr>
          <w:rFonts w:ascii="Times New Roman" w:hAnsi="Times New Roman"/>
          <w:color w:val="000000" w:themeColor="text1"/>
          <w:szCs w:val="22"/>
        </w:rPr>
        <w:t>a</w:t>
      </w:r>
      <w:r w:rsidR="00A8081F" w:rsidRPr="00650EE4">
        <w:rPr>
          <w:rFonts w:ascii="Times New Roman" w:hAnsi="Times New Roman"/>
          <w:color w:val="000000" w:themeColor="text1"/>
          <w:szCs w:val="22"/>
        </w:rPr>
        <w:t>titinkamai, siekiant masto ekonomijos ir spartesnių renovacijos tempų, daugiabučiai yra prioritetinis IRS segmentas</w:t>
      </w:r>
      <w:r w:rsidR="00F83E2F" w:rsidRPr="00650EE4">
        <w:rPr>
          <w:rFonts w:ascii="Times New Roman" w:hAnsi="Times New Roman"/>
          <w:color w:val="000000" w:themeColor="text1"/>
          <w:szCs w:val="22"/>
        </w:rPr>
        <w:t>,</w:t>
      </w:r>
      <w:r w:rsidR="00A8081F" w:rsidRPr="00650EE4">
        <w:rPr>
          <w:rFonts w:ascii="Times New Roman" w:hAnsi="Times New Roman"/>
          <w:color w:val="000000" w:themeColor="text1"/>
          <w:szCs w:val="22"/>
        </w:rPr>
        <w:t xml:space="preserve"> </w:t>
      </w:r>
      <w:r w:rsidR="006B35DC" w:rsidRPr="00650EE4">
        <w:rPr>
          <w:rFonts w:ascii="Times New Roman" w:hAnsi="Times New Roman"/>
          <w:color w:val="000000" w:themeColor="text1"/>
          <w:szCs w:val="22"/>
        </w:rPr>
        <w:t>s</w:t>
      </w:r>
      <w:r w:rsidR="00A8081F" w:rsidRPr="00650EE4">
        <w:rPr>
          <w:rFonts w:ascii="Times New Roman" w:hAnsi="Times New Roman"/>
          <w:color w:val="000000" w:themeColor="text1"/>
          <w:szCs w:val="22"/>
        </w:rPr>
        <w:t>udarantis</w:t>
      </w:r>
      <w:r w:rsidR="006B35DC" w:rsidRPr="00650EE4">
        <w:rPr>
          <w:rFonts w:ascii="Times New Roman" w:hAnsi="Times New Roman"/>
          <w:color w:val="000000" w:themeColor="text1"/>
          <w:szCs w:val="22"/>
        </w:rPr>
        <w:t xml:space="preserve"> tik 6 proc. </w:t>
      </w:r>
      <w:r w:rsidR="00623C1D" w:rsidRPr="00650EE4">
        <w:rPr>
          <w:rFonts w:ascii="Times New Roman" w:hAnsi="Times New Roman"/>
          <w:color w:val="000000" w:themeColor="text1"/>
          <w:szCs w:val="22"/>
        </w:rPr>
        <w:t xml:space="preserve">Pastatų fondo pagal pastatų skaičių, tačiau net 29 proc. </w:t>
      </w:r>
      <w:r w:rsidR="00FD3539" w:rsidRPr="00650EE4">
        <w:rPr>
          <w:rFonts w:ascii="Times New Roman" w:hAnsi="Times New Roman"/>
          <w:color w:val="000000" w:themeColor="text1"/>
          <w:szCs w:val="22"/>
        </w:rPr>
        <w:t>pagal pastatų plotą</w:t>
      </w:r>
      <w:r w:rsidR="00F83E2F" w:rsidRPr="00650EE4">
        <w:rPr>
          <w:rFonts w:ascii="Times New Roman" w:hAnsi="Times New Roman"/>
          <w:color w:val="000000" w:themeColor="text1"/>
          <w:szCs w:val="22"/>
        </w:rPr>
        <w:t xml:space="preserve">. </w:t>
      </w:r>
    </w:p>
    <w:p w14:paraId="700B1E42" w14:textId="2FDAEFA2" w:rsidR="0077148E" w:rsidRPr="00650EE4" w:rsidRDefault="0077148E" w:rsidP="004832F6">
      <w:pPr>
        <w:pStyle w:val="Antrastes31"/>
        <w:numPr>
          <w:ilvl w:val="2"/>
          <w:numId w:val="4"/>
        </w:numPr>
        <w:spacing w:before="0" w:after="200"/>
        <w:ind w:left="720" w:hanging="720"/>
        <w:rPr>
          <w:rFonts w:ascii="Times New Roman" w:hAnsi="Times New Roman"/>
          <w:color w:val="000000" w:themeColor="text1"/>
          <w:sz w:val="24"/>
          <w:szCs w:val="24"/>
          <w:lang w:val="lt-LT"/>
        </w:rPr>
      </w:pPr>
      <w:bookmarkStart w:id="20" w:name="_Toc67925104"/>
      <w:r w:rsidRPr="00650EE4">
        <w:rPr>
          <w:rFonts w:ascii="Times New Roman" w:hAnsi="Times New Roman"/>
          <w:color w:val="000000" w:themeColor="text1"/>
          <w:sz w:val="24"/>
          <w:szCs w:val="24"/>
          <w:lang w:val="lt-LT"/>
        </w:rPr>
        <w:t xml:space="preserve">Pastatų fondas </w:t>
      </w:r>
      <w:r w:rsidR="00D220F9" w:rsidRPr="00650EE4">
        <w:rPr>
          <w:rFonts w:ascii="Times New Roman" w:hAnsi="Times New Roman"/>
          <w:color w:val="000000" w:themeColor="text1"/>
          <w:sz w:val="24"/>
          <w:szCs w:val="24"/>
          <w:lang w:val="lt-LT"/>
        </w:rPr>
        <w:t xml:space="preserve">pagal </w:t>
      </w:r>
      <w:r w:rsidR="00877BD5" w:rsidRPr="00650EE4">
        <w:rPr>
          <w:rFonts w:ascii="Times New Roman" w:hAnsi="Times New Roman"/>
          <w:color w:val="000000" w:themeColor="text1"/>
          <w:sz w:val="24"/>
          <w:szCs w:val="24"/>
          <w:lang w:val="lt-LT"/>
        </w:rPr>
        <w:t>paskirtį ir statybos metus</w:t>
      </w:r>
      <w:bookmarkEnd w:id="20"/>
    </w:p>
    <w:p w14:paraId="51523370" w14:textId="4F47F7C1" w:rsidR="0077148E" w:rsidRPr="00650EE4" w:rsidRDefault="00E906DA" w:rsidP="0077148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w:t>
      </w:r>
      <w:r w:rsidR="007A5BBF" w:rsidRPr="00650EE4">
        <w:rPr>
          <w:rFonts w:ascii="Times New Roman" w:hAnsi="Times New Roman"/>
          <w:color w:val="000000" w:themeColor="text1"/>
          <w:szCs w:val="22"/>
          <w:lang w:val="lt-LT"/>
        </w:rPr>
        <w:t>ė</w:t>
      </w:r>
      <w:r w:rsidR="0024481B" w:rsidRPr="00650EE4">
        <w:rPr>
          <w:rFonts w:ascii="Times New Roman" w:hAnsi="Times New Roman"/>
          <w:color w:val="000000" w:themeColor="text1"/>
          <w:szCs w:val="22"/>
          <w:lang w:val="lt-LT"/>
        </w:rPr>
        <w:t xml:space="preserve">se </w:t>
      </w:r>
      <w:r w:rsidR="004960CA">
        <w:rPr>
          <w:rFonts w:ascii="Times New Roman" w:hAnsi="Times New Roman"/>
          <w:color w:val="000000" w:themeColor="text1"/>
          <w:szCs w:val="22"/>
          <w:lang w:val="lt-LT"/>
        </w:rPr>
        <w:t>žemiau pateikiamas p</w:t>
      </w:r>
      <w:r w:rsidR="0077148E" w:rsidRPr="00650EE4">
        <w:rPr>
          <w:rFonts w:ascii="Times New Roman" w:hAnsi="Times New Roman"/>
          <w:color w:val="000000" w:themeColor="text1"/>
          <w:szCs w:val="22"/>
          <w:lang w:val="lt-LT"/>
        </w:rPr>
        <w:t>astatų fond</w:t>
      </w:r>
      <w:r w:rsidR="00704081" w:rsidRPr="00650EE4">
        <w:rPr>
          <w:rFonts w:ascii="Times New Roman" w:hAnsi="Times New Roman"/>
          <w:color w:val="000000" w:themeColor="text1"/>
          <w:szCs w:val="22"/>
          <w:lang w:val="lt-LT"/>
        </w:rPr>
        <w:t>a</w:t>
      </w:r>
      <w:r w:rsidR="0077148E" w:rsidRPr="00650EE4">
        <w:rPr>
          <w:rFonts w:ascii="Times New Roman" w:hAnsi="Times New Roman"/>
          <w:color w:val="000000" w:themeColor="text1"/>
          <w:szCs w:val="22"/>
          <w:lang w:val="lt-LT"/>
        </w:rPr>
        <w:t>s pagal statybos</w:t>
      </w:r>
      <w:r w:rsidR="002C3F3C" w:rsidRPr="00650EE4">
        <w:rPr>
          <w:rFonts w:ascii="Times New Roman" w:hAnsi="Times New Roman"/>
          <w:color w:val="000000" w:themeColor="text1"/>
          <w:szCs w:val="22"/>
          <w:lang w:val="lt-LT"/>
        </w:rPr>
        <w:t xml:space="preserve"> pabaigos</w:t>
      </w:r>
      <w:r w:rsidR="0077148E" w:rsidRPr="00650EE4">
        <w:rPr>
          <w:rFonts w:ascii="Times New Roman" w:hAnsi="Times New Roman"/>
          <w:color w:val="000000" w:themeColor="text1"/>
          <w:szCs w:val="22"/>
          <w:lang w:val="lt-LT"/>
        </w:rPr>
        <w:t xml:space="preserve"> </w:t>
      </w:r>
      <w:r w:rsidR="007A5BBF" w:rsidRPr="00650EE4">
        <w:rPr>
          <w:rFonts w:ascii="Times New Roman" w:hAnsi="Times New Roman"/>
          <w:color w:val="000000" w:themeColor="text1"/>
          <w:szCs w:val="22"/>
          <w:lang w:val="lt-LT"/>
        </w:rPr>
        <w:t xml:space="preserve">metus, </w:t>
      </w:r>
      <w:r w:rsidR="00F83E2F" w:rsidRPr="00650EE4">
        <w:rPr>
          <w:rFonts w:ascii="Times New Roman" w:hAnsi="Times New Roman"/>
          <w:color w:val="000000" w:themeColor="text1"/>
          <w:szCs w:val="22"/>
          <w:lang w:val="lt-LT"/>
        </w:rPr>
        <w:t>vienetais</w:t>
      </w:r>
      <w:r w:rsidR="0024481B" w:rsidRPr="00650EE4">
        <w:rPr>
          <w:rFonts w:ascii="Times New Roman" w:hAnsi="Times New Roman"/>
          <w:color w:val="000000" w:themeColor="text1"/>
          <w:szCs w:val="22"/>
          <w:lang w:val="lt-LT"/>
        </w:rPr>
        <w:t xml:space="preserve"> ir tūkst. m</w:t>
      </w:r>
      <w:r w:rsidR="0024481B" w:rsidRPr="00650EE4">
        <w:rPr>
          <w:rFonts w:ascii="Times New Roman" w:hAnsi="Times New Roman"/>
          <w:color w:val="000000" w:themeColor="text1"/>
          <w:szCs w:val="22"/>
          <w:vertAlign w:val="superscript"/>
          <w:lang w:val="lt-LT"/>
        </w:rPr>
        <w:t>2</w:t>
      </w:r>
      <w:r w:rsidR="0024481B" w:rsidRPr="00650EE4">
        <w:rPr>
          <w:rFonts w:ascii="Times New Roman" w:hAnsi="Times New Roman"/>
          <w:color w:val="000000" w:themeColor="text1"/>
          <w:szCs w:val="22"/>
          <w:lang w:val="lt-LT"/>
        </w:rPr>
        <w:t xml:space="preserve">. </w:t>
      </w:r>
      <w:r w:rsidR="0077148E" w:rsidRPr="00650EE4">
        <w:rPr>
          <w:rFonts w:ascii="Times New Roman" w:hAnsi="Times New Roman"/>
          <w:color w:val="000000" w:themeColor="text1"/>
          <w:szCs w:val="22"/>
          <w:lang w:val="lt-LT"/>
        </w:rPr>
        <w:t xml:space="preserve"> </w:t>
      </w:r>
    </w:p>
    <w:p w14:paraId="738A05DE" w14:textId="77777777" w:rsidR="00E906DA" w:rsidRPr="00650EE4" w:rsidRDefault="00E906DA" w:rsidP="0077148E">
      <w:pPr>
        <w:pStyle w:val="BodyText"/>
        <w:jc w:val="both"/>
        <w:rPr>
          <w:rFonts w:ascii="Times New Roman" w:hAnsi="Times New Roman"/>
          <w:color w:val="000000" w:themeColor="text1"/>
          <w:szCs w:val="22"/>
          <w:lang w:val="lt-LT"/>
        </w:rPr>
      </w:pPr>
    </w:p>
    <w:p w14:paraId="503D48A0" w14:textId="4B00A9DA" w:rsidR="00242210"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1" w:name="_Toc67925186"/>
      <w:r w:rsidR="007744C1">
        <w:t>3</w:t>
      </w:r>
      <w:r w:rsidRPr="00650EE4">
        <w:rPr>
          <w:noProof w:val="0"/>
        </w:rPr>
        <w:fldChar w:fldCharType="end"/>
      </w:r>
      <w:r w:rsidR="00025050" w:rsidRPr="00650EE4">
        <w:rPr>
          <w:noProof w:val="0"/>
        </w:rPr>
        <w:t xml:space="preserve"> lentelė</w:t>
      </w:r>
      <w:r w:rsidR="00242210" w:rsidRPr="00650EE4">
        <w:rPr>
          <w:noProof w:val="0"/>
        </w:rPr>
        <w:t>. Pastatų fonda</w:t>
      </w:r>
      <w:r w:rsidR="00DB17F7" w:rsidRPr="00650EE4">
        <w:rPr>
          <w:noProof w:val="0"/>
        </w:rPr>
        <w:t>s pagal statybos</w:t>
      </w:r>
      <w:r w:rsidR="00E71C69" w:rsidRPr="00650EE4">
        <w:rPr>
          <w:noProof w:val="0"/>
        </w:rPr>
        <w:t xml:space="preserve"> pabaigos</w:t>
      </w:r>
      <w:r w:rsidR="00DB17F7" w:rsidRPr="00650EE4">
        <w:rPr>
          <w:noProof w:val="0"/>
        </w:rPr>
        <w:t xml:space="preserve"> metus (vnt</w:t>
      </w:r>
      <w:r w:rsidR="00567DB2" w:rsidRPr="00650EE4">
        <w:rPr>
          <w:noProof w:val="0"/>
        </w:rPr>
        <w:t>.</w:t>
      </w:r>
      <w:r w:rsidR="00242210" w:rsidRPr="00650EE4">
        <w:rPr>
          <w:noProof w:val="0"/>
        </w:rPr>
        <w:t>)</w:t>
      </w:r>
      <w:bookmarkEnd w:id="21"/>
    </w:p>
    <w:tbl>
      <w:tblPr>
        <w:tblW w:w="5000" w:type="pct"/>
        <w:tblLook w:val="04A0" w:firstRow="1" w:lastRow="0" w:firstColumn="1" w:lastColumn="0" w:noHBand="0" w:noVBand="1"/>
      </w:tblPr>
      <w:tblGrid>
        <w:gridCol w:w="1861"/>
        <w:gridCol w:w="851"/>
        <w:gridCol w:w="866"/>
        <w:gridCol w:w="866"/>
        <w:gridCol w:w="852"/>
        <w:gridCol w:w="852"/>
        <w:gridCol w:w="852"/>
        <w:gridCol w:w="852"/>
        <w:gridCol w:w="852"/>
        <w:gridCol w:w="866"/>
        <w:gridCol w:w="850"/>
      </w:tblGrid>
      <w:tr w:rsidR="006248AC" w:rsidRPr="00650EE4" w14:paraId="3420F370" w14:textId="77777777" w:rsidTr="00307987">
        <w:tc>
          <w:tcPr>
            <w:tcW w:w="893"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657ED79"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 pogrupis</w:t>
            </w:r>
          </w:p>
        </w:tc>
        <w:tc>
          <w:tcPr>
            <w:tcW w:w="3283"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063E267C"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Statybos metai</w:t>
            </w:r>
          </w:p>
        </w:tc>
        <w:tc>
          <w:tcPr>
            <w:tcW w:w="41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9570943"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B0B1B3E" w14:textId="77777777" w:rsidR="006248AC" w:rsidRPr="00650EE4" w:rsidRDefault="006248AC" w:rsidP="006248AC">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Iš viso, proc.</w:t>
            </w:r>
          </w:p>
        </w:tc>
      </w:tr>
      <w:tr w:rsidR="006248AC" w:rsidRPr="00650EE4" w14:paraId="2BB8ACBD" w14:textId="77777777" w:rsidTr="00307987">
        <w:tc>
          <w:tcPr>
            <w:tcW w:w="893" w:type="pct"/>
            <w:vMerge/>
            <w:tcBorders>
              <w:top w:val="single" w:sz="4" w:space="0" w:color="auto"/>
              <w:left w:val="single" w:sz="4" w:space="0" w:color="auto"/>
              <w:bottom w:val="single" w:sz="4" w:space="0" w:color="000000"/>
              <w:right w:val="single" w:sz="4" w:space="0" w:color="000000"/>
            </w:tcBorders>
            <w:vAlign w:val="center"/>
            <w:hideMark/>
          </w:tcPr>
          <w:p w14:paraId="6F27E853" w14:textId="77777777" w:rsidR="006248AC" w:rsidRPr="00650EE4" w:rsidRDefault="006248AC" w:rsidP="006248AC">
            <w:pPr>
              <w:spacing w:line="240" w:lineRule="auto"/>
              <w:rPr>
                <w:rFonts w:ascii="Times New Roman" w:eastAsia="Times New Roman" w:hAnsi="Times New Roman"/>
                <w:b/>
                <w:bCs/>
                <w:sz w:val="20"/>
                <w:szCs w:val="20"/>
              </w:rPr>
            </w:pPr>
          </w:p>
        </w:tc>
        <w:tc>
          <w:tcPr>
            <w:tcW w:w="409" w:type="pct"/>
            <w:tcBorders>
              <w:top w:val="nil"/>
              <w:left w:val="nil"/>
              <w:bottom w:val="single" w:sz="4" w:space="0" w:color="auto"/>
              <w:right w:val="nil"/>
            </w:tcBorders>
            <w:shd w:val="clear" w:color="000000" w:fill="FFFFFF"/>
            <w:vAlign w:val="center"/>
            <w:hideMark/>
          </w:tcPr>
          <w:p w14:paraId="6908B3C8"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iki 1900</w:t>
            </w:r>
          </w:p>
        </w:tc>
        <w:tc>
          <w:tcPr>
            <w:tcW w:w="415" w:type="pct"/>
            <w:tcBorders>
              <w:top w:val="nil"/>
              <w:left w:val="nil"/>
              <w:bottom w:val="single" w:sz="4" w:space="0" w:color="auto"/>
              <w:right w:val="nil"/>
            </w:tcBorders>
            <w:shd w:val="clear" w:color="000000" w:fill="FFFFFF"/>
            <w:vAlign w:val="center"/>
            <w:hideMark/>
          </w:tcPr>
          <w:p w14:paraId="0DE5F4C6"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1901-1960</w:t>
            </w:r>
          </w:p>
        </w:tc>
        <w:tc>
          <w:tcPr>
            <w:tcW w:w="415" w:type="pct"/>
            <w:tcBorders>
              <w:top w:val="nil"/>
              <w:left w:val="nil"/>
              <w:bottom w:val="single" w:sz="4" w:space="0" w:color="auto"/>
              <w:right w:val="nil"/>
            </w:tcBorders>
            <w:shd w:val="clear" w:color="000000" w:fill="FFFFFF"/>
            <w:vAlign w:val="center"/>
            <w:hideMark/>
          </w:tcPr>
          <w:p w14:paraId="49EBFFBC"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1961-1992</w:t>
            </w:r>
          </w:p>
        </w:tc>
        <w:tc>
          <w:tcPr>
            <w:tcW w:w="409" w:type="pct"/>
            <w:tcBorders>
              <w:top w:val="nil"/>
              <w:left w:val="nil"/>
              <w:bottom w:val="single" w:sz="4" w:space="0" w:color="auto"/>
              <w:right w:val="nil"/>
            </w:tcBorders>
            <w:shd w:val="clear" w:color="000000" w:fill="FFFFFF"/>
            <w:vAlign w:val="center"/>
            <w:hideMark/>
          </w:tcPr>
          <w:p w14:paraId="7DBEA4C9"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1993-2005</w:t>
            </w:r>
          </w:p>
        </w:tc>
        <w:tc>
          <w:tcPr>
            <w:tcW w:w="409" w:type="pct"/>
            <w:tcBorders>
              <w:top w:val="nil"/>
              <w:left w:val="nil"/>
              <w:bottom w:val="single" w:sz="4" w:space="0" w:color="auto"/>
              <w:right w:val="nil"/>
            </w:tcBorders>
            <w:shd w:val="clear" w:color="000000" w:fill="FFFFFF"/>
            <w:vAlign w:val="center"/>
            <w:hideMark/>
          </w:tcPr>
          <w:p w14:paraId="15C4BCE4"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2006-2013</w:t>
            </w:r>
          </w:p>
        </w:tc>
        <w:tc>
          <w:tcPr>
            <w:tcW w:w="409" w:type="pct"/>
            <w:tcBorders>
              <w:top w:val="nil"/>
              <w:left w:val="nil"/>
              <w:bottom w:val="single" w:sz="4" w:space="0" w:color="auto"/>
              <w:right w:val="nil"/>
            </w:tcBorders>
            <w:shd w:val="clear" w:color="000000" w:fill="FFFFFF"/>
            <w:vAlign w:val="center"/>
            <w:hideMark/>
          </w:tcPr>
          <w:p w14:paraId="378F32B2"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2014-2016</w:t>
            </w:r>
          </w:p>
        </w:tc>
        <w:tc>
          <w:tcPr>
            <w:tcW w:w="409" w:type="pct"/>
            <w:tcBorders>
              <w:top w:val="nil"/>
              <w:left w:val="nil"/>
              <w:bottom w:val="single" w:sz="4" w:space="0" w:color="auto"/>
              <w:right w:val="nil"/>
            </w:tcBorders>
            <w:shd w:val="clear" w:color="000000" w:fill="FFFFFF"/>
            <w:vAlign w:val="center"/>
            <w:hideMark/>
          </w:tcPr>
          <w:p w14:paraId="0B98B587"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2017-2018</w:t>
            </w:r>
          </w:p>
        </w:tc>
        <w:tc>
          <w:tcPr>
            <w:tcW w:w="409" w:type="pct"/>
            <w:tcBorders>
              <w:top w:val="nil"/>
              <w:left w:val="nil"/>
              <w:bottom w:val="single" w:sz="4" w:space="0" w:color="auto"/>
              <w:right w:val="single" w:sz="4" w:space="0" w:color="auto"/>
            </w:tcBorders>
            <w:shd w:val="clear" w:color="000000" w:fill="FFFFFF"/>
            <w:vAlign w:val="center"/>
            <w:hideMark/>
          </w:tcPr>
          <w:p w14:paraId="7C78ADDE"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2019</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3CB315D5" w14:textId="77777777" w:rsidR="006248AC" w:rsidRPr="00650EE4" w:rsidRDefault="006248AC" w:rsidP="006248AC">
            <w:pPr>
              <w:spacing w:line="240" w:lineRule="auto"/>
              <w:rPr>
                <w:rFonts w:ascii="Times New Roman" w:eastAsia="Times New Roman" w:hAnsi="Times New Roman"/>
                <w:b/>
                <w:bCs/>
                <w:sz w:val="20"/>
                <w:szCs w:val="20"/>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14:paraId="3D5973B5" w14:textId="77777777" w:rsidR="006248AC" w:rsidRPr="00650EE4" w:rsidRDefault="006248AC" w:rsidP="006248AC">
            <w:pPr>
              <w:spacing w:line="240" w:lineRule="auto"/>
              <w:rPr>
                <w:rFonts w:ascii="Times New Roman" w:eastAsia="Times New Roman" w:hAnsi="Times New Roman"/>
                <w:sz w:val="20"/>
                <w:szCs w:val="20"/>
              </w:rPr>
            </w:pPr>
          </w:p>
        </w:tc>
      </w:tr>
      <w:tr w:rsidR="006248AC" w:rsidRPr="00650EE4" w14:paraId="4CA6671D" w14:textId="77777777" w:rsidTr="00307987">
        <w:tc>
          <w:tcPr>
            <w:tcW w:w="893" w:type="pct"/>
            <w:tcBorders>
              <w:top w:val="nil"/>
              <w:left w:val="single" w:sz="4" w:space="0" w:color="auto"/>
              <w:bottom w:val="single" w:sz="4" w:space="0" w:color="auto"/>
              <w:right w:val="single" w:sz="4" w:space="0" w:color="auto"/>
            </w:tcBorders>
            <w:shd w:val="clear" w:color="000000" w:fill="F2F2F2"/>
            <w:noWrap/>
            <w:vAlign w:val="center"/>
            <w:hideMark/>
          </w:tcPr>
          <w:p w14:paraId="66C79B29" w14:textId="77777777" w:rsidR="006248AC" w:rsidRPr="00650EE4" w:rsidRDefault="006248AC" w:rsidP="006248AC">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409" w:type="pct"/>
            <w:tcBorders>
              <w:top w:val="nil"/>
              <w:left w:val="nil"/>
              <w:bottom w:val="single" w:sz="4" w:space="0" w:color="auto"/>
              <w:right w:val="nil"/>
            </w:tcBorders>
            <w:shd w:val="clear" w:color="000000" w:fill="F2F2F2"/>
            <w:noWrap/>
            <w:vAlign w:val="center"/>
            <w:hideMark/>
          </w:tcPr>
          <w:p w14:paraId="12985F32"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13.417</w:t>
            </w:r>
          </w:p>
        </w:tc>
        <w:tc>
          <w:tcPr>
            <w:tcW w:w="415" w:type="pct"/>
            <w:tcBorders>
              <w:top w:val="nil"/>
              <w:left w:val="nil"/>
              <w:bottom w:val="single" w:sz="4" w:space="0" w:color="auto"/>
              <w:right w:val="nil"/>
            </w:tcBorders>
            <w:shd w:val="clear" w:color="000000" w:fill="F2F2F2"/>
            <w:noWrap/>
            <w:vAlign w:val="center"/>
            <w:hideMark/>
          </w:tcPr>
          <w:p w14:paraId="7A88B8D5"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204.189</w:t>
            </w:r>
          </w:p>
        </w:tc>
        <w:tc>
          <w:tcPr>
            <w:tcW w:w="415" w:type="pct"/>
            <w:tcBorders>
              <w:top w:val="nil"/>
              <w:left w:val="nil"/>
              <w:bottom w:val="single" w:sz="4" w:space="0" w:color="auto"/>
              <w:right w:val="nil"/>
            </w:tcBorders>
            <w:shd w:val="clear" w:color="000000" w:fill="F2F2F2"/>
            <w:noWrap/>
            <w:vAlign w:val="center"/>
            <w:hideMark/>
          </w:tcPr>
          <w:p w14:paraId="6A27C201"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239.068</w:t>
            </w:r>
          </w:p>
        </w:tc>
        <w:tc>
          <w:tcPr>
            <w:tcW w:w="409" w:type="pct"/>
            <w:tcBorders>
              <w:top w:val="nil"/>
              <w:left w:val="nil"/>
              <w:bottom w:val="single" w:sz="4" w:space="0" w:color="auto"/>
              <w:right w:val="nil"/>
            </w:tcBorders>
            <w:shd w:val="clear" w:color="000000" w:fill="F2F2F2"/>
            <w:noWrap/>
            <w:vAlign w:val="center"/>
            <w:hideMark/>
          </w:tcPr>
          <w:p w14:paraId="124A9FAB"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28.955</w:t>
            </w:r>
          </w:p>
        </w:tc>
        <w:tc>
          <w:tcPr>
            <w:tcW w:w="409" w:type="pct"/>
            <w:tcBorders>
              <w:top w:val="nil"/>
              <w:left w:val="nil"/>
              <w:bottom w:val="single" w:sz="4" w:space="0" w:color="auto"/>
              <w:right w:val="nil"/>
            </w:tcBorders>
            <w:shd w:val="clear" w:color="000000" w:fill="F2F2F2"/>
            <w:noWrap/>
            <w:vAlign w:val="center"/>
            <w:hideMark/>
          </w:tcPr>
          <w:p w14:paraId="53DC2DE6"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35.272</w:t>
            </w:r>
          </w:p>
        </w:tc>
        <w:tc>
          <w:tcPr>
            <w:tcW w:w="409" w:type="pct"/>
            <w:tcBorders>
              <w:top w:val="nil"/>
              <w:left w:val="nil"/>
              <w:bottom w:val="single" w:sz="4" w:space="0" w:color="auto"/>
              <w:right w:val="nil"/>
            </w:tcBorders>
            <w:shd w:val="clear" w:color="000000" w:fill="F2F2F2"/>
            <w:noWrap/>
            <w:vAlign w:val="center"/>
            <w:hideMark/>
          </w:tcPr>
          <w:p w14:paraId="40D9B509"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22.001</w:t>
            </w:r>
          </w:p>
        </w:tc>
        <w:tc>
          <w:tcPr>
            <w:tcW w:w="409" w:type="pct"/>
            <w:tcBorders>
              <w:top w:val="nil"/>
              <w:left w:val="nil"/>
              <w:bottom w:val="single" w:sz="4" w:space="0" w:color="auto"/>
              <w:right w:val="nil"/>
            </w:tcBorders>
            <w:shd w:val="clear" w:color="000000" w:fill="F2F2F2"/>
            <w:noWrap/>
            <w:vAlign w:val="center"/>
            <w:hideMark/>
          </w:tcPr>
          <w:p w14:paraId="7B02E3FF"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17.773</w:t>
            </w:r>
          </w:p>
        </w:tc>
        <w:tc>
          <w:tcPr>
            <w:tcW w:w="409" w:type="pct"/>
            <w:tcBorders>
              <w:top w:val="nil"/>
              <w:left w:val="nil"/>
              <w:bottom w:val="single" w:sz="4" w:space="0" w:color="auto"/>
              <w:right w:val="single" w:sz="4" w:space="0" w:color="auto"/>
            </w:tcBorders>
            <w:shd w:val="clear" w:color="000000" w:fill="F2F2F2"/>
            <w:noWrap/>
            <w:vAlign w:val="center"/>
            <w:hideMark/>
          </w:tcPr>
          <w:p w14:paraId="38F1A3A6"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9.838</w:t>
            </w:r>
          </w:p>
        </w:tc>
        <w:tc>
          <w:tcPr>
            <w:tcW w:w="415" w:type="pct"/>
            <w:tcBorders>
              <w:top w:val="nil"/>
              <w:left w:val="nil"/>
              <w:bottom w:val="single" w:sz="4" w:space="0" w:color="auto"/>
              <w:right w:val="nil"/>
            </w:tcBorders>
            <w:shd w:val="clear" w:color="000000" w:fill="F2F2F2"/>
            <w:noWrap/>
            <w:vAlign w:val="center"/>
            <w:hideMark/>
          </w:tcPr>
          <w:p w14:paraId="291FF471"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570.513</w:t>
            </w:r>
          </w:p>
        </w:tc>
        <w:tc>
          <w:tcPr>
            <w:tcW w:w="409" w:type="pct"/>
            <w:tcBorders>
              <w:top w:val="nil"/>
              <w:left w:val="single" w:sz="4" w:space="0" w:color="auto"/>
              <w:bottom w:val="single" w:sz="4" w:space="0" w:color="auto"/>
              <w:right w:val="single" w:sz="4" w:space="0" w:color="auto"/>
            </w:tcBorders>
            <w:shd w:val="clear" w:color="000000" w:fill="F2F2F2"/>
            <w:noWrap/>
            <w:vAlign w:val="center"/>
            <w:hideMark/>
          </w:tcPr>
          <w:p w14:paraId="49F1646C"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6248AC" w:rsidRPr="00650EE4" w14:paraId="1097DAC2"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26CEA23F"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09" w:type="pct"/>
            <w:tcBorders>
              <w:top w:val="nil"/>
              <w:left w:val="nil"/>
              <w:bottom w:val="nil"/>
              <w:right w:val="nil"/>
            </w:tcBorders>
            <w:shd w:val="clear" w:color="000000" w:fill="FFFFFF"/>
            <w:noWrap/>
            <w:vAlign w:val="center"/>
            <w:hideMark/>
          </w:tcPr>
          <w:p w14:paraId="6033152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11.917</w:t>
            </w:r>
          </w:p>
        </w:tc>
        <w:tc>
          <w:tcPr>
            <w:tcW w:w="415" w:type="pct"/>
            <w:tcBorders>
              <w:top w:val="nil"/>
              <w:left w:val="nil"/>
              <w:bottom w:val="nil"/>
              <w:right w:val="nil"/>
            </w:tcBorders>
            <w:shd w:val="clear" w:color="000000" w:fill="FFFFFF"/>
            <w:noWrap/>
            <w:vAlign w:val="center"/>
            <w:hideMark/>
          </w:tcPr>
          <w:p w14:paraId="22BEE02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191.307</w:t>
            </w:r>
          </w:p>
        </w:tc>
        <w:tc>
          <w:tcPr>
            <w:tcW w:w="415" w:type="pct"/>
            <w:tcBorders>
              <w:top w:val="nil"/>
              <w:left w:val="nil"/>
              <w:bottom w:val="nil"/>
              <w:right w:val="nil"/>
            </w:tcBorders>
            <w:shd w:val="clear" w:color="000000" w:fill="FFFFFF"/>
            <w:noWrap/>
            <w:vAlign w:val="center"/>
            <w:hideMark/>
          </w:tcPr>
          <w:p w14:paraId="0FA9ABA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216.399</w:t>
            </w:r>
          </w:p>
        </w:tc>
        <w:tc>
          <w:tcPr>
            <w:tcW w:w="409" w:type="pct"/>
            <w:tcBorders>
              <w:top w:val="nil"/>
              <w:left w:val="nil"/>
              <w:bottom w:val="nil"/>
              <w:right w:val="nil"/>
            </w:tcBorders>
            <w:shd w:val="clear" w:color="000000" w:fill="FFFFFF"/>
            <w:noWrap/>
            <w:vAlign w:val="center"/>
            <w:hideMark/>
          </w:tcPr>
          <w:p w14:paraId="7B2B19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27.171</w:t>
            </w:r>
          </w:p>
        </w:tc>
        <w:tc>
          <w:tcPr>
            <w:tcW w:w="409" w:type="pct"/>
            <w:tcBorders>
              <w:top w:val="nil"/>
              <w:left w:val="nil"/>
              <w:bottom w:val="nil"/>
              <w:right w:val="nil"/>
            </w:tcBorders>
            <w:shd w:val="clear" w:color="000000" w:fill="FFFFFF"/>
            <w:noWrap/>
            <w:vAlign w:val="center"/>
            <w:hideMark/>
          </w:tcPr>
          <w:p w14:paraId="3F6D23C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34.227</w:t>
            </w:r>
          </w:p>
        </w:tc>
        <w:tc>
          <w:tcPr>
            <w:tcW w:w="409" w:type="pct"/>
            <w:tcBorders>
              <w:top w:val="nil"/>
              <w:left w:val="nil"/>
              <w:bottom w:val="nil"/>
              <w:right w:val="nil"/>
            </w:tcBorders>
            <w:shd w:val="clear" w:color="000000" w:fill="FFFFFF"/>
            <w:noWrap/>
            <w:vAlign w:val="center"/>
            <w:hideMark/>
          </w:tcPr>
          <w:p w14:paraId="590330B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21.584</w:t>
            </w:r>
          </w:p>
        </w:tc>
        <w:tc>
          <w:tcPr>
            <w:tcW w:w="409" w:type="pct"/>
            <w:tcBorders>
              <w:top w:val="nil"/>
              <w:left w:val="nil"/>
              <w:bottom w:val="nil"/>
              <w:right w:val="nil"/>
            </w:tcBorders>
            <w:shd w:val="clear" w:color="000000" w:fill="FFFFFF"/>
            <w:noWrap/>
            <w:vAlign w:val="center"/>
            <w:hideMark/>
          </w:tcPr>
          <w:p w14:paraId="6A717E2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17.319</w:t>
            </w:r>
          </w:p>
        </w:tc>
        <w:tc>
          <w:tcPr>
            <w:tcW w:w="409" w:type="pct"/>
            <w:tcBorders>
              <w:top w:val="nil"/>
              <w:left w:val="nil"/>
              <w:bottom w:val="nil"/>
              <w:right w:val="single" w:sz="4" w:space="0" w:color="auto"/>
            </w:tcBorders>
            <w:shd w:val="clear" w:color="000000" w:fill="FFFFFF"/>
            <w:noWrap/>
            <w:vAlign w:val="center"/>
            <w:hideMark/>
          </w:tcPr>
          <w:p w14:paraId="1F01808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9.568</w:t>
            </w:r>
          </w:p>
        </w:tc>
        <w:tc>
          <w:tcPr>
            <w:tcW w:w="415" w:type="pct"/>
            <w:tcBorders>
              <w:top w:val="nil"/>
              <w:left w:val="nil"/>
              <w:bottom w:val="nil"/>
              <w:right w:val="nil"/>
            </w:tcBorders>
            <w:shd w:val="clear" w:color="000000" w:fill="FFFFFF"/>
            <w:noWrap/>
            <w:vAlign w:val="center"/>
            <w:hideMark/>
          </w:tcPr>
          <w:p w14:paraId="17AD67A8"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409" w:type="pct"/>
            <w:tcBorders>
              <w:top w:val="nil"/>
              <w:left w:val="single" w:sz="4" w:space="0" w:color="auto"/>
              <w:bottom w:val="nil"/>
              <w:right w:val="single" w:sz="4" w:space="0" w:color="auto"/>
            </w:tcBorders>
            <w:shd w:val="clear" w:color="000000" w:fill="FFFFFF"/>
            <w:noWrap/>
            <w:vAlign w:val="center"/>
            <w:hideMark/>
          </w:tcPr>
          <w:p w14:paraId="726E67F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6248AC" w:rsidRPr="00650EE4" w14:paraId="72A12B6E" w14:textId="77777777" w:rsidTr="00307987">
        <w:tc>
          <w:tcPr>
            <w:tcW w:w="893" w:type="pct"/>
            <w:tcBorders>
              <w:top w:val="nil"/>
              <w:left w:val="single" w:sz="4" w:space="0" w:color="auto"/>
              <w:bottom w:val="single" w:sz="4" w:space="0" w:color="auto"/>
              <w:right w:val="single" w:sz="4" w:space="0" w:color="auto"/>
            </w:tcBorders>
            <w:shd w:val="clear" w:color="000000" w:fill="FFFFFF"/>
            <w:noWrap/>
            <w:vAlign w:val="center"/>
            <w:hideMark/>
          </w:tcPr>
          <w:p w14:paraId="2CAFFE8C"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09" w:type="pct"/>
            <w:tcBorders>
              <w:top w:val="nil"/>
              <w:left w:val="nil"/>
              <w:bottom w:val="single" w:sz="4" w:space="0" w:color="auto"/>
              <w:right w:val="nil"/>
            </w:tcBorders>
            <w:shd w:val="clear" w:color="000000" w:fill="FFFFFF"/>
            <w:noWrap/>
            <w:vAlign w:val="center"/>
            <w:hideMark/>
          </w:tcPr>
          <w:p w14:paraId="76C511E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1.500</w:t>
            </w:r>
          </w:p>
        </w:tc>
        <w:tc>
          <w:tcPr>
            <w:tcW w:w="415" w:type="pct"/>
            <w:tcBorders>
              <w:top w:val="nil"/>
              <w:left w:val="nil"/>
              <w:bottom w:val="single" w:sz="4" w:space="0" w:color="auto"/>
              <w:right w:val="nil"/>
            </w:tcBorders>
            <w:shd w:val="clear" w:color="000000" w:fill="FFFFFF"/>
            <w:noWrap/>
            <w:vAlign w:val="center"/>
            <w:hideMark/>
          </w:tcPr>
          <w:p w14:paraId="014DC5D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12.882</w:t>
            </w:r>
          </w:p>
        </w:tc>
        <w:tc>
          <w:tcPr>
            <w:tcW w:w="415" w:type="pct"/>
            <w:tcBorders>
              <w:top w:val="nil"/>
              <w:left w:val="nil"/>
              <w:bottom w:val="single" w:sz="4" w:space="0" w:color="auto"/>
              <w:right w:val="nil"/>
            </w:tcBorders>
            <w:shd w:val="clear" w:color="000000" w:fill="FFFFFF"/>
            <w:noWrap/>
            <w:vAlign w:val="center"/>
            <w:hideMark/>
          </w:tcPr>
          <w:p w14:paraId="1FAB454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22.669</w:t>
            </w:r>
          </w:p>
        </w:tc>
        <w:tc>
          <w:tcPr>
            <w:tcW w:w="409" w:type="pct"/>
            <w:tcBorders>
              <w:top w:val="nil"/>
              <w:left w:val="nil"/>
              <w:bottom w:val="single" w:sz="4" w:space="0" w:color="auto"/>
              <w:right w:val="nil"/>
            </w:tcBorders>
            <w:shd w:val="clear" w:color="000000" w:fill="FFFFFF"/>
            <w:noWrap/>
            <w:vAlign w:val="center"/>
            <w:hideMark/>
          </w:tcPr>
          <w:p w14:paraId="088DD14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1.784</w:t>
            </w:r>
          </w:p>
        </w:tc>
        <w:tc>
          <w:tcPr>
            <w:tcW w:w="409" w:type="pct"/>
            <w:tcBorders>
              <w:top w:val="nil"/>
              <w:left w:val="nil"/>
              <w:bottom w:val="single" w:sz="4" w:space="0" w:color="auto"/>
              <w:right w:val="nil"/>
            </w:tcBorders>
            <w:shd w:val="clear" w:color="000000" w:fill="FFFFFF"/>
            <w:noWrap/>
            <w:vAlign w:val="center"/>
            <w:hideMark/>
          </w:tcPr>
          <w:p w14:paraId="43A127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1.045</w:t>
            </w:r>
          </w:p>
        </w:tc>
        <w:tc>
          <w:tcPr>
            <w:tcW w:w="409" w:type="pct"/>
            <w:tcBorders>
              <w:top w:val="nil"/>
              <w:left w:val="nil"/>
              <w:bottom w:val="single" w:sz="4" w:space="0" w:color="auto"/>
              <w:right w:val="nil"/>
            </w:tcBorders>
            <w:shd w:val="clear" w:color="000000" w:fill="FFFFFF"/>
            <w:noWrap/>
            <w:vAlign w:val="center"/>
            <w:hideMark/>
          </w:tcPr>
          <w:p w14:paraId="1864190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417</w:t>
            </w:r>
          </w:p>
        </w:tc>
        <w:tc>
          <w:tcPr>
            <w:tcW w:w="409" w:type="pct"/>
            <w:tcBorders>
              <w:top w:val="nil"/>
              <w:left w:val="nil"/>
              <w:bottom w:val="single" w:sz="4" w:space="0" w:color="auto"/>
              <w:right w:val="nil"/>
            </w:tcBorders>
            <w:shd w:val="clear" w:color="000000" w:fill="FFFFFF"/>
            <w:noWrap/>
            <w:vAlign w:val="center"/>
            <w:hideMark/>
          </w:tcPr>
          <w:p w14:paraId="5320973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454</w:t>
            </w:r>
          </w:p>
        </w:tc>
        <w:tc>
          <w:tcPr>
            <w:tcW w:w="409" w:type="pct"/>
            <w:tcBorders>
              <w:top w:val="nil"/>
              <w:left w:val="nil"/>
              <w:bottom w:val="single" w:sz="4" w:space="0" w:color="auto"/>
              <w:right w:val="single" w:sz="4" w:space="0" w:color="auto"/>
            </w:tcBorders>
            <w:shd w:val="clear" w:color="000000" w:fill="FFFFFF"/>
            <w:noWrap/>
            <w:vAlign w:val="center"/>
            <w:hideMark/>
          </w:tcPr>
          <w:p w14:paraId="24557D2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270</w:t>
            </w:r>
          </w:p>
        </w:tc>
        <w:tc>
          <w:tcPr>
            <w:tcW w:w="415" w:type="pct"/>
            <w:tcBorders>
              <w:top w:val="nil"/>
              <w:left w:val="nil"/>
              <w:bottom w:val="nil"/>
              <w:right w:val="nil"/>
            </w:tcBorders>
            <w:shd w:val="clear" w:color="000000" w:fill="FFFFFF"/>
            <w:noWrap/>
            <w:vAlign w:val="center"/>
            <w:hideMark/>
          </w:tcPr>
          <w:p w14:paraId="7EB03F00"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409" w:type="pct"/>
            <w:tcBorders>
              <w:top w:val="nil"/>
              <w:left w:val="single" w:sz="4" w:space="0" w:color="auto"/>
              <w:bottom w:val="single" w:sz="4" w:space="0" w:color="auto"/>
              <w:right w:val="single" w:sz="4" w:space="0" w:color="auto"/>
            </w:tcBorders>
            <w:shd w:val="clear" w:color="000000" w:fill="FFFFFF"/>
            <w:noWrap/>
            <w:vAlign w:val="center"/>
            <w:hideMark/>
          </w:tcPr>
          <w:p w14:paraId="4A6DD56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6248AC" w:rsidRPr="00650EE4" w14:paraId="769734F6" w14:textId="77777777" w:rsidTr="00307987">
        <w:tc>
          <w:tcPr>
            <w:tcW w:w="893" w:type="pct"/>
            <w:tcBorders>
              <w:top w:val="nil"/>
              <w:left w:val="single" w:sz="4" w:space="0" w:color="auto"/>
              <w:bottom w:val="single" w:sz="4" w:space="0" w:color="auto"/>
              <w:right w:val="single" w:sz="4" w:space="0" w:color="auto"/>
            </w:tcBorders>
            <w:shd w:val="clear" w:color="000000" w:fill="F2F2F2"/>
            <w:noWrap/>
            <w:vAlign w:val="center"/>
            <w:hideMark/>
          </w:tcPr>
          <w:p w14:paraId="2C0C18B1" w14:textId="77777777" w:rsidR="006248AC" w:rsidRPr="00650EE4" w:rsidRDefault="006248AC" w:rsidP="006248AC">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409" w:type="pct"/>
            <w:tcBorders>
              <w:top w:val="nil"/>
              <w:left w:val="nil"/>
              <w:bottom w:val="single" w:sz="4" w:space="0" w:color="auto"/>
              <w:right w:val="nil"/>
            </w:tcBorders>
            <w:shd w:val="clear" w:color="000000" w:fill="F2F2F2"/>
            <w:noWrap/>
            <w:vAlign w:val="center"/>
            <w:hideMark/>
          </w:tcPr>
          <w:p w14:paraId="671C1058"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1.390</w:t>
            </w:r>
          </w:p>
        </w:tc>
        <w:tc>
          <w:tcPr>
            <w:tcW w:w="415" w:type="pct"/>
            <w:tcBorders>
              <w:top w:val="nil"/>
              <w:left w:val="nil"/>
              <w:bottom w:val="single" w:sz="4" w:space="0" w:color="auto"/>
              <w:right w:val="nil"/>
            </w:tcBorders>
            <w:shd w:val="clear" w:color="000000" w:fill="F2F2F2"/>
            <w:noWrap/>
            <w:vAlign w:val="center"/>
            <w:hideMark/>
          </w:tcPr>
          <w:p w14:paraId="3AABFC33"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13.178</w:t>
            </w:r>
          </w:p>
        </w:tc>
        <w:tc>
          <w:tcPr>
            <w:tcW w:w="415" w:type="pct"/>
            <w:tcBorders>
              <w:top w:val="nil"/>
              <w:left w:val="nil"/>
              <w:bottom w:val="single" w:sz="4" w:space="0" w:color="auto"/>
              <w:right w:val="nil"/>
            </w:tcBorders>
            <w:shd w:val="clear" w:color="000000" w:fill="F2F2F2"/>
            <w:noWrap/>
            <w:vAlign w:val="center"/>
            <w:hideMark/>
          </w:tcPr>
          <w:p w14:paraId="72F71082"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57.783</w:t>
            </w:r>
          </w:p>
        </w:tc>
        <w:tc>
          <w:tcPr>
            <w:tcW w:w="409" w:type="pct"/>
            <w:tcBorders>
              <w:top w:val="nil"/>
              <w:left w:val="nil"/>
              <w:bottom w:val="single" w:sz="4" w:space="0" w:color="auto"/>
              <w:right w:val="nil"/>
            </w:tcBorders>
            <w:shd w:val="clear" w:color="000000" w:fill="F2F2F2"/>
            <w:noWrap/>
            <w:vAlign w:val="center"/>
            <w:hideMark/>
          </w:tcPr>
          <w:p w14:paraId="0B413F38"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8.930</w:t>
            </w:r>
          </w:p>
        </w:tc>
        <w:tc>
          <w:tcPr>
            <w:tcW w:w="409" w:type="pct"/>
            <w:tcBorders>
              <w:top w:val="nil"/>
              <w:left w:val="nil"/>
              <w:bottom w:val="single" w:sz="4" w:space="0" w:color="auto"/>
              <w:right w:val="nil"/>
            </w:tcBorders>
            <w:shd w:val="clear" w:color="000000" w:fill="F2F2F2"/>
            <w:noWrap/>
            <w:vAlign w:val="center"/>
            <w:hideMark/>
          </w:tcPr>
          <w:p w14:paraId="612301B6"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4.897</w:t>
            </w:r>
          </w:p>
        </w:tc>
        <w:tc>
          <w:tcPr>
            <w:tcW w:w="409" w:type="pct"/>
            <w:tcBorders>
              <w:top w:val="nil"/>
              <w:left w:val="nil"/>
              <w:bottom w:val="single" w:sz="4" w:space="0" w:color="auto"/>
              <w:right w:val="nil"/>
            </w:tcBorders>
            <w:shd w:val="clear" w:color="000000" w:fill="F2F2F2"/>
            <w:noWrap/>
            <w:vAlign w:val="center"/>
            <w:hideMark/>
          </w:tcPr>
          <w:p w14:paraId="17059011"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2.329</w:t>
            </w:r>
          </w:p>
        </w:tc>
        <w:tc>
          <w:tcPr>
            <w:tcW w:w="409" w:type="pct"/>
            <w:tcBorders>
              <w:top w:val="nil"/>
              <w:left w:val="nil"/>
              <w:bottom w:val="single" w:sz="4" w:space="0" w:color="auto"/>
              <w:right w:val="nil"/>
            </w:tcBorders>
            <w:shd w:val="clear" w:color="000000" w:fill="F2F2F2"/>
            <w:noWrap/>
            <w:vAlign w:val="center"/>
            <w:hideMark/>
          </w:tcPr>
          <w:p w14:paraId="4B7493B3"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1.603</w:t>
            </w:r>
          </w:p>
        </w:tc>
        <w:tc>
          <w:tcPr>
            <w:tcW w:w="409" w:type="pct"/>
            <w:tcBorders>
              <w:top w:val="nil"/>
              <w:left w:val="nil"/>
              <w:bottom w:val="single" w:sz="4" w:space="0" w:color="auto"/>
              <w:right w:val="nil"/>
            </w:tcBorders>
            <w:shd w:val="clear" w:color="000000" w:fill="F2F2F2"/>
            <w:noWrap/>
            <w:vAlign w:val="center"/>
            <w:hideMark/>
          </w:tcPr>
          <w:p w14:paraId="5253045B"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660</w:t>
            </w:r>
          </w:p>
        </w:tc>
        <w:tc>
          <w:tcPr>
            <w:tcW w:w="4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AF817"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90.770</w:t>
            </w:r>
          </w:p>
        </w:tc>
        <w:tc>
          <w:tcPr>
            <w:tcW w:w="409" w:type="pct"/>
            <w:tcBorders>
              <w:top w:val="nil"/>
              <w:left w:val="nil"/>
              <w:bottom w:val="single" w:sz="4" w:space="0" w:color="auto"/>
              <w:right w:val="single" w:sz="4" w:space="0" w:color="auto"/>
            </w:tcBorders>
            <w:shd w:val="clear" w:color="000000" w:fill="F2F2F2"/>
            <w:noWrap/>
            <w:vAlign w:val="center"/>
            <w:hideMark/>
          </w:tcPr>
          <w:p w14:paraId="4C6C6CD0"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6248AC" w:rsidRPr="00650EE4" w14:paraId="09533439"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21D7B38F"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09" w:type="pct"/>
            <w:tcBorders>
              <w:top w:val="nil"/>
              <w:left w:val="nil"/>
              <w:bottom w:val="nil"/>
              <w:right w:val="nil"/>
            </w:tcBorders>
            <w:shd w:val="clear" w:color="000000" w:fill="FFFFFF"/>
            <w:noWrap/>
            <w:vAlign w:val="center"/>
            <w:hideMark/>
          </w:tcPr>
          <w:p w14:paraId="6B1047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498</w:t>
            </w:r>
          </w:p>
        </w:tc>
        <w:tc>
          <w:tcPr>
            <w:tcW w:w="415" w:type="pct"/>
            <w:tcBorders>
              <w:top w:val="nil"/>
              <w:left w:val="nil"/>
              <w:bottom w:val="nil"/>
              <w:right w:val="nil"/>
            </w:tcBorders>
            <w:shd w:val="clear" w:color="000000" w:fill="FFFFFF"/>
            <w:noWrap/>
            <w:vAlign w:val="center"/>
            <w:hideMark/>
          </w:tcPr>
          <w:p w14:paraId="6AA2F8F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5.907</w:t>
            </w:r>
          </w:p>
        </w:tc>
        <w:tc>
          <w:tcPr>
            <w:tcW w:w="415" w:type="pct"/>
            <w:tcBorders>
              <w:top w:val="nil"/>
              <w:left w:val="nil"/>
              <w:bottom w:val="nil"/>
              <w:right w:val="nil"/>
            </w:tcBorders>
            <w:shd w:val="clear" w:color="000000" w:fill="FFFFFF"/>
            <w:noWrap/>
            <w:vAlign w:val="center"/>
            <w:hideMark/>
          </w:tcPr>
          <w:p w14:paraId="09357DB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34.521</w:t>
            </w:r>
          </w:p>
        </w:tc>
        <w:tc>
          <w:tcPr>
            <w:tcW w:w="409" w:type="pct"/>
            <w:tcBorders>
              <w:top w:val="nil"/>
              <w:left w:val="nil"/>
              <w:bottom w:val="nil"/>
              <w:right w:val="nil"/>
            </w:tcBorders>
            <w:shd w:val="clear" w:color="000000" w:fill="FFFFFF"/>
            <w:noWrap/>
            <w:vAlign w:val="center"/>
            <w:hideMark/>
          </w:tcPr>
          <w:p w14:paraId="642382A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4.101</w:t>
            </w:r>
          </w:p>
        </w:tc>
        <w:tc>
          <w:tcPr>
            <w:tcW w:w="409" w:type="pct"/>
            <w:tcBorders>
              <w:top w:val="nil"/>
              <w:left w:val="nil"/>
              <w:bottom w:val="nil"/>
              <w:right w:val="nil"/>
            </w:tcBorders>
            <w:shd w:val="clear" w:color="000000" w:fill="FFFFFF"/>
            <w:noWrap/>
            <w:vAlign w:val="center"/>
            <w:hideMark/>
          </w:tcPr>
          <w:p w14:paraId="4157557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2.064</w:t>
            </w:r>
          </w:p>
        </w:tc>
        <w:tc>
          <w:tcPr>
            <w:tcW w:w="409" w:type="pct"/>
            <w:tcBorders>
              <w:top w:val="nil"/>
              <w:left w:val="nil"/>
              <w:bottom w:val="nil"/>
              <w:right w:val="nil"/>
            </w:tcBorders>
            <w:shd w:val="clear" w:color="000000" w:fill="FFFFFF"/>
            <w:noWrap/>
            <w:vAlign w:val="center"/>
            <w:hideMark/>
          </w:tcPr>
          <w:p w14:paraId="4E75D30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904</w:t>
            </w:r>
          </w:p>
        </w:tc>
        <w:tc>
          <w:tcPr>
            <w:tcW w:w="409" w:type="pct"/>
            <w:tcBorders>
              <w:top w:val="nil"/>
              <w:left w:val="nil"/>
              <w:bottom w:val="nil"/>
              <w:right w:val="nil"/>
            </w:tcBorders>
            <w:shd w:val="clear" w:color="000000" w:fill="FFFFFF"/>
            <w:noWrap/>
            <w:vAlign w:val="center"/>
            <w:hideMark/>
          </w:tcPr>
          <w:p w14:paraId="192D7A8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612</w:t>
            </w:r>
          </w:p>
        </w:tc>
        <w:tc>
          <w:tcPr>
            <w:tcW w:w="409" w:type="pct"/>
            <w:tcBorders>
              <w:top w:val="nil"/>
              <w:left w:val="nil"/>
              <w:bottom w:val="nil"/>
              <w:right w:val="nil"/>
            </w:tcBorders>
            <w:shd w:val="clear" w:color="000000" w:fill="FFFFFF"/>
            <w:noWrap/>
            <w:vAlign w:val="center"/>
            <w:hideMark/>
          </w:tcPr>
          <w:p w14:paraId="00C15AD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w:t>
            </w:r>
          </w:p>
        </w:tc>
        <w:tc>
          <w:tcPr>
            <w:tcW w:w="415" w:type="pct"/>
            <w:tcBorders>
              <w:top w:val="nil"/>
              <w:left w:val="single" w:sz="4" w:space="0" w:color="auto"/>
              <w:bottom w:val="nil"/>
              <w:right w:val="single" w:sz="4" w:space="0" w:color="auto"/>
            </w:tcBorders>
            <w:shd w:val="clear" w:color="000000" w:fill="FFFFFF"/>
            <w:noWrap/>
            <w:vAlign w:val="center"/>
            <w:hideMark/>
          </w:tcPr>
          <w:p w14:paraId="14C7AC60"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409" w:type="pct"/>
            <w:tcBorders>
              <w:top w:val="nil"/>
              <w:left w:val="nil"/>
              <w:bottom w:val="nil"/>
              <w:right w:val="single" w:sz="4" w:space="0" w:color="auto"/>
            </w:tcBorders>
            <w:shd w:val="clear" w:color="000000" w:fill="FFFFFF"/>
            <w:noWrap/>
            <w:vAlign w:val="center"/>
            <w:hideMark/>
          </w:tcPr>
          <w:p w14:paraId="4B2C9B6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6248AC" w:rsidRPr="00650EE4" w14:paraId="0C103D0E"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5807307E"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09" w:type="pct"/>
            <w:tcBorders>
              <w:top w:val="nil"/>
              <w:left w:val="nil"/>
              <w:bottom w:val="nil"/>
              <w:right w:val="nil"/>
            </w:tcBorders>
            <w:shd w:val="clear" w:color="000000" w:fill="FFFFFF"/>
            <w:noWrap/>
            <w:vAlign w:val="center"/>
            <w:hideMark/>
          </w:tcPr>
          <w:p w14:paraId="26DC3E0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225</w:t>
            </w:r>
          </w:p>
        </w:tc>
        <w:tc>
          <w:tcPr>
            <w:tcW w:w="415" w:type="pct"/>
            <w:tcBorders>
              <w:top w:val="nil"/>
              <w:left w:val="nil"/>
              <w:bottom w:val="nil"/>
              <w:right w:val="nil"/>
            </w:tcBorders>
            <w:shd w:val="clear" w:color="000000" w:fill="FFFFFF"/>
            <w:noWrap/>
            <w:vAlign w:val="center"/>
            <w:hideMark/>
          </w:tcPr>
          <w:p w14:paraId="6A4517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2.122</w:t>
            </w:r>
          </w:p>
        </w:tc>
        <w:tc>
          <w:tcPr>
            <w:tcW w:w="415" w:type="pct"/>
            <w:tcBorders>
              <w:top w:val="nil"/>
              <w:left w:val="nil"/>
              <w:bottom w:val="nil"/>
              <w:right w:val="nil"/>
            </w:tcBorders>
            <w:shd w:val="clear" w:color="000000" w:fill="FFFFFF"/>
            <w:noWrap/>
            <w:vAlign w:val="center"/>
            <w:hideMark/>
          </w:tcPr>
          <w:p w14:paraId="77B2753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6.345</w:t>
            </w:r>
          </w:p>
        </w:tc>
        <w:tc>
          <w:tcPr>
            <w:tcW w:w="409" w:type="pct"/>
            <w:tcBorders>
              <w:top w:val="nil"/>
              <w:left w:val="nil"/>
              <w:bottom w:val="nil"/>
              <w:right w:val="nil"/>
            </w:tcBorders>
            <w:shd w:val="clear" w:color="000000" w:fill="FFFFFF"/>
            <w:noWrap/>
            <w:vAlign w:val="center"/>
            <w:hideMark/>
          </w:tcPr>
          <w:p w14:paraId="1448CF8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955</w:t>
            </w:r>
          </w:p>
        </w:tc>
        <w:tc>
          <w:tcPr>
            <w:tcW w:w="409" w:type="pct"/>
            <w:tcBorders>
              <w:top w:val="nil"/>
              <w:left w:val="nil"/>
              <w:bottom w:val="nil"/>
              <w:right w:val="nil"/>
            </w:tcBorders>
            <w:shd w:val="clear" w:color="000000" w:fill="FFFFFF"/>
            <w:noWrap/>
            <w:vAlign w:val="center"/>
            <w:hideMark/>
          </w:tcPr>
          <w:p w14:paraId="484F09C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396</w:t>
            </w:r>
          </w:p>
        </w:tc>
        <w:tc>
          <w:tcPr>
            <w:tcW w:w="409" w:type="pct"/>
            <w:tcBorders>
              <w:top w:val="nil"/>
              <w:left w:val="nil"/>
              <w:bottom w:val="nil"/>
              <w:right w:val="nil"/>
            </w:tcBorders>
            <w:shd w:val="clear" w:color="000000" w:fill="FFFFFF"/>
            <w:noWrap/>
            <w:vAlign w:val="center"/>
            <w:hideMark/>
          </w:tcPr>
          <w:p w14:paraId="1B37AC1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409" w:type="pct"/>
            <w:tcBorders>
              <w:top w:val="nil"/>
              <w:left w:val="nil"/>
              <w:bottom w:val="nil"/>
              <w:right w:val="nil"/>
            </w:tcBorders>
            <w:shd w:val="clear" w:color="000000" w:fill="FFFFFF"/>
            <w:noWrap/>
            <w:vAlign w:val="center"/>
            <w:hideMark/>
          </w:tcPr>
          <w:p w14:paraId="41D1545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409" w:type="pct"/>
            <w:tcBorders>
              <w:top w:val="nil"/>
              <w:left w:val="nil"/>
              <w:bottom w:val="nil"/>
              <w:right w:val="nil"/>
            </w:tcBorders>
            <w:shd w:val="clear" w:color="000000" w:fill="FFFFFF"/>
            <w:noWrap/>
            <w:vAlign w:val="center"/>
            <w:hideMark/>
          </w:tcPr>
          <w:p w14:paraId="169DFF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415" w:type="pct"/>
            <w:tcBorders>
              <w:top w:val="nil"/>
              <w:left w:val="single" w:sz="4" w:space="0" w:color="auto"/>
              <w:bottom w:val="nil"/>
              <w:right w:val="single" w:sz="4" w:space="0" w:color="auto"/>
            </w:tcBorders>
            <w:shd w:val="clear" w:color="000000" w:fill="FFFFFF"/>
            <w:noWrap/>
            <w:vAlign w:val="center"/>
            <w:hideMark/>
          </w:tcPr>
          <w:p w14:paraId="466A2B2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409" w:type="pct"/>
            <w:tcBorders>
              <w:top w:val="nil"/>
              <w:left w:val="nil"/>
              <w:bottom w:val="nil"/>
              <w:right w:val="single" w:sz="4" w:space="0" w:color="auto"/>
            </w:tcBorders>
            <w:shd w:val="clear" w:color="000000" w:fill="FFFFFF"/>
            <w:noWrap/>
            <w:vAlign w:val="center"/>
            <w:hideMark/>
          </w:tcPr>
          <w:p w14:paraId="7206DB1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6248AC" w:rsidRPr="00650EE4" w14:paraId="121A6912"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6602F60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09" w:type="pct"/>
            <w:tcBorders>
              <w:top w:val="nil"/>
              <w:left w:val="nil"/>
              <w:bottom w:val="nil"/>
              <w:right w:val="nil"/>
            </w:tcBorders>
            <w:shd w:val="clear" w:color="000000" w:fill="FFFFFF"/>
            <w:noWrap/>
            <w:vAlign w:val="center"/>
            <w:hideMark/>
          </w:tcPr>
          <w:p w14:paraId="1AA4A63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415" w:type="pct"/>
            <w:tcBorders>
              <w:top w:val="nil"/>
              <w:left w:val="nil"/>
              <w:bottom w:val="nil"/>
              <w:right w:val="nil"/>
            </w:tcBorders>
            <w:shd w:val="clear" w:color="000000" w:fill="FFFFFF"/>
            <w:noWrap/>
            <w:vAlign w:val="center"/>
            <w:hideMark/>
          </w:tcPr>
          <w:p w14:paraId="3989264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1.044</w:t>
            </w:r>
          </w:p>
        </w:tc>
        <w:tc>
          <w:tcPr>
            <w:tcW w:w="415" w:type="pct"/>
            <w:tcBorders>
              <w:top w:val="nil"/>
              <w:left w:val="nil"/>
              <w:bottom w:val="nil"/>
              <w:right w:val="nil"/>
            </w:tcBorders>
            <w:shd w:val="clear" w:color="000000" w:fill="FFFFFF"/>
            <w:noWrap/>
            <w:vAlign w:val="center"/>
            <w:hideMark/>
          </w:tcPr>
          <w:p w14:paraId="5D8E68A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3.287</w:t>
            </w:r>
          </w:p>
        </w:tc>
        <w:tc>
          <w:tcPr>
            <w:tcW w:w="409" w:type="pct"/>
            <w:tcBorders>
              <w:top w:val="nil"/>
              <w:left w:val="nil"/>
              <w:bottom w:val="nil"/>
              <w:right w:val="nil"/>
            </w:tcBorders>
            <w:shd w:val="clear" w:color="000000" w:fill="FFFFFF"/>
            <w:noWrap/>
            <w:vAlign w:val="center"/>
            <w:hideMark/>
          </w:tcPr>
          <w:p w14:paraId="3B50C57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137</w:t>
            </w:r>
          </w:p>
        </w:tc>
        <w:tc>
          <w:tcPr>
            <w:tcW w:w="409" w:type="pct"/>
            <w:tcBorders>
              <w:top w:val="nil"/>
              <w:left w:val="nil"/>
              <w:bottom w:val="nil"/>
              <w:right w:val="nil"/>
            </w:tcBorders>
            <w:shd w:val="clear" w:color="000000" w:fill="FFFFFF"/>
            <w:noWrap/>
            <w:vAlign w:val="center"/>
            <w:hideMark/>
          </w:tcPr>
          <w:p w14:paraId="24B49CC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w:t>
            </w:r>
          </w:p>
        </w:tc>
        <w:tc>
          <w:tcPr>
            <w:tcW w:w="409" w:type="pct"/>
            <w:tcBorders>
              <w:top w:val="nil"/>
              <w:left w:val="nil"/>
              <w:bottom w:val="nil"/>
              <w:right w:val="nil"/>
            </w:tcBorders>
            <w:shd w:val="clear" w:color="000000" w:fill="FFFFFF"/>
            <w:noWrap/>
            <w:vAlign w:val="center"/>
            <w:hideMark/>
          </w:tcPr>
          <w:p w14:paraId="3FEE843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c>
          <w:tcPr>
            <w:tcW w:w="409" w:type="pct"/>
            <w:tcBorders>
              <w:top w:val="nil"/>
              <w:left w:val="nil"/>
              <w:bottom w:val="nil"/>
              <w:right w:val="nil"/>
            </w:tcBorders>
            <w:shd w:val="clear" w:color="000000" w:fill="FFFFFF"/>
            <w:noWrap/>
            <w:vAlign w:val="center"/>
            <w:hideMark/>
          </w:tcPr>
          <w:p w14:paraId="3C53CFC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09" w:type="pct"/>
            <w:tcBorders>
              <w:top w:val="nil"/>
              <w:left w:val="nil"/>
              <w:bottom w:val="nil"/>
              <w:right w:val="nil"/>
            </w:tcBorders>
            <w:shd w:val="clear" w:color="000000" w:fill="FFFFFF"/>
            <w:noWrap/>
            <w:vAlign w:val="center"/>
            <w:hideMark/>
          </w:tcPr>
          <w:p w14:paraId="765616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15" w:type="pct"/>
            <w:tcBorders>
              <w:top w:val="nil"/>
              <w:left w:val="single" w:sz="4" w:space="0" w:color="auto"/>
              <w:bottom w:val="nil"/>
              <w:right w:val="single" w:sz="4" w:space="0" w:color="auto"/>
            </w:tcBorders>
            <w:shd w:val="clear" w:color="000000" w:fill="FFFFFF"/>
            <w:noWrap/>
            <w:vAlign w:val="center"/>
            <w:hideMark/>
          </w:tcPr>
          <w:p w14:paraId="5FB486D7"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409" w:type="pct"/>
            <w:tcBorders>
              <w:top w:val="nil"/>
              <w:left w:val="nil"/>
              <w:bottom w:val="nil"/>
              <w:right w:val="single" w:sz="4" w:space="0" w:color="auto"/>
            </w:tcBorders>
            <w:shd w:val="clear" w:color="000000" w:fill="FFFFFF"/>
            <w:noWrap/>
            <w:vAlign w:val="center"/>
            <w:hideMark/>
          </w:tcPr>
          <w:p w14:paraId="2BA5C8F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6248AC" w:rsidRPr="00650EE4" w14:paraId="6DB31008"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1A3D8EC4"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09" w:type="pct"/>
            <w:tcBorders>
              <w:top w:val="nil"/>
              <w:left w:val="nil"/>
              <w:bottom w:val="nil"/>
              <w:right w:val="nil"/>
            </w:tcBorders>
            <w:shd w:val="clear" w:color="000000" w:fill="FFFFFF"/>
            <w:noWrap/>
            <w:vAlign w:val="center"/>
            <w:hideMark/>
          </w:tcPr>
          <w:p w14:paraId="469AA3A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w:t>
            </w:r>
          </w:p>
        </w:tc>
        <w:tc>
          <w:tcPr>
            <w:tcW w:w="415" w:type="pct"/>
            <w:tcBorders>
              <w:top w:val="nil"/>
              <w:left w:val="nil"/>
              <w:bottom w:val="nil"/>
              <w:right w:val="nil"/>
            </w:tcBorders>
            <w:shd w:val="clear" w:color="000000" w:fill="FFFFFF"/>
            <w:noWrap/>
            <w:vAlign w:val="center"/>
            <w:hideMark/>
          </w:tcPr>
          <w:p w14:paraId="3585558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1.272</w:t>
            </w:r>
          </w:p>
        </w:tc>
        <w:tc>
          <w:tcPr>
            <w:tcW w:w="415" w:type="pct"/>
            <w:tcBorders>
              <w:top w:val="nil"/>
              <w:left w:val="nil"/>
              <w:bottom w:val="nil"/>
              <w:right w:val="nil"/>
            </w:tcBorders>
            <w:shd w:val="clear" w:color="000000" w:fill="FFFFFF"/>
            <w:noWrap/>
            <w:vAlign w:val="center"/>
            <w:hideMark/>
          </w:tcPr>
          <w:p w14:paraId="572FBCD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4.108</w:t>
            </w:r>
          </w:p>
        </w:tc>
        <w:tc>
          <w:tcPr>
            <w:tcW w:w="409" w:type="pct"/>
            <w:tcBorders>
              <w:top w:val="nil"/>
              <w:left w:val="nil"/>
              <w:bottom w:val="nil"/>
              <w:right w:val="nil"/>
            </w:tcBorders>
            <w:shd w:val="clear" w:color="000000" w:fill="FFFFFF"/>
            <w:noWrap/>
            <w:vAlign w:val="center"/>
            <w:hideMark/>
          </w:tcPr>
          <w:p w14:paraId="5D6B796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2.007</w:t>
            </w:r>
          </w:p>
        </w:tc>
        <w:tc>
          <w:tcPr>
            <w:tcW w:w="409" w:type="pct"/>
            <w:tcBorders>
              <w:top w:val="nil"/>
              <w:left w:val="nil"/>
              <w:bottom w:val="nil"/>
              <w:right w:val="nil"/>
            </w:tcBorders>
            <w:shd w:val="clear" w:color="000000" w:fill="FFFFFF"/>
            <w:noWrap/>
            <w:vAlign w:val="center"/>
            <w:hideMark/>
          </w:tcPr>
          <w:p w14:paraId="7F1DA90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650</w:t>
            </w:r>
          </w:p>
        </w:tc>
        <w:tc>
          <w:tcPr>
            <w:tcW w:w="409" w:type="pct"/>
            <w:tcBorders>
              <w:top w:val="nil"/>
              <w:left w:val="nil"/>
              <w:bottom w:val="nil"/>
              <w:right w:val="nil"/>
            </w:tcBorders>
            <w:shd w:val="clear" w:color="000000" w:fill="FFFFFF"/>
            <w:noWrap/>
            <w:vAlign w:val="center"/>
            <w:hideMark/>
          </w:tcPr>
          <w:p w14:paraId="2FEA635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303</w:t>
            </w:r>
          </w:p>
        </w:tc>
        <w:tc>
          <w:tcPr>
            <w:tcW w:w="409" w:type="pct"/>
            <w:tcBorders>
              <w:top w:val="nil"/>
              <w:left w:val="nil"/>
              <w:bottom w:val="nil"/>
              <w:right w:val="nil"/>
            </w:tcBorders>
            <w:shd w:val="clear" w:color="000000" w:fill="FFFFFF"/>
            <w:noWrap/>
            <w:vAlign w:val="center"/>
            <w:hideMark/>
          </w:tcPr>
          <w:p w14:paraId="4DF296F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w:t>
            </w:r>
          </w:p>
        </w:tc>
        <w:tc>
          <w:tcPr>
            <w:tcW w:w="409" w:type="pct"/>
            <w:tcBorders>
              <w:top w:val="nil"/>
              <w:left w:val="nil"/>
              <w:bottom w:val="nil"/>
              <w:right w:val="nil"/>
            </w:tcBorders>
            <w:shd w:val="clear" w:color="000000" w:fill="FFFFFF"/>
            <w:noWrap/>
            <w:vAlign w:val="center"/>
            <w:hideMark/>
          </w:tcPr>
          <w:p w14:paraId="6E9653B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w:t>
            </w:r>
          </w:p>
        </w:tc>
        <w:tc>
          <w:tcPr>
            <w:tcW w:w="415" w:type="pct"/>
            <w:tcBorders>
              <w:top w:val="nil"/>
              <w:left w:val="single" w:sz="4" w:space="0" w:color="auto"/>
              <w:bottom w:val="nil"/>
              <w:right w:val="single" w:sz="4" w:space="0" w:color="auto"/>
            </w:tcBorders>
            <w:shd w:val="clear" w:color="000000" w:fill="FFFFFF"/>
            <w:noWrap/>
            <w:vAlign w:val="center"/>
            <w:hideMark/>
          </w:tcPr>
          <w:p w14:paraId="1815EF4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409" w:type="pct"/>
            <w:tcBorders>
              <w:top w:val="nil"/>
              <w:left w:val="nil"/>
              <w:bottom w:val="nil"/>
              <w:right w:val="single" w:sz="4" w:space="0" w:color="auto"/>
            </w:tcBorders>
            <w:shd w:val="clear" w:color="000000" w:fill="FFFFFF"/>
            <w:noWrap/>
            <w:vAlign w:val="center"/>
            <w:hideMark/>
          </w:tcPr>
          <w:p w14:paraId="1C89CE1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6248AC" w:rsidRPr="00650EE4" w14:paraId="08D44FD2"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097AE30B"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09" w:type="pct"/>
            <w:tcBorders>
              <w:top w:val="nil"/>
              <w:left w:val="nil"/>
              <w:bottom w:val="nil"/>
              <w:right w:val="nil"/>
            </w:tcBorders>
            <w:shd w:val="clear" w:color="000000" w:fill="FFFFFF"/>
            <w:noWrap/>
            <w:vAlign w:val="center"/>
            <w:hideMark/>
          </w:tcPr>
          <w:p w14:paraId="4A64D24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c>
          <w:tcPr>
            <w:tcW w:w="415" w:type="pct"/>
            <w:tcBorders>
              <w:top w:val="nil"/>
              <w:left w:val="nil"/>
              <w:bottom w:val="nil"/>
              <w:right w:val="nil"/>
            </w:tcBorders>
            <w:shd w:val="clear" w:color="000000" w:fill="FFFFFF"/>
            <w:noWrap/>
            <w:vAlign w:val="center"/>
            <w:hideMark/>
          </w:tcPr>
          <w:p w14:paraId="18E3808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542</w:t>
            </w:r>
          </w:p>
        </w:tc>
        <w:tc>
          <w:tcPr>
            <w:tcW w:w="415" w:type="pct"/>
            <w:tcBorders>
              <w:top w:val="nil"/>
              <w:left w:val="nil"/>
              <w:bottom w:val="nil"/>
              <w:right w:val="nil"/>
            </w:tcBorders>
            <w:shd w:val="clear" w:color="000000" w:fill="FFFFFF"/>
            <w:noWrap/>
            <w:vAlign w:val="center"/>
            <w:hideMark/>
          </w:tcPr>
          <w:p w14:paraId="6AC67E4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1.023</w:t>
            </w:r>
          </w:p>
        </w:tc>
        <w:tc>
          <w:tcPr>
            <w:tcW w:w="409" w:type="pct"/>
            <w:tcBorders>
              <w:top w:val="nil"/>
              <w:left w:val="nil"/>
              <w:bottom w:val="nil"/>
              <w:right w:val="nil"/>
            </w:tcBorders>
            <w:shd w:val="clear" w:color="000000" w:fill="FFFFFF"/>
            <w:noWrap/>
            <w:vAlign w:val="center"/>
            <w:hideMark/>
          </w:tcPr>
          <w:p w14:paraId="5BE65AD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409" w:type="pct"/>
            <w:tcBorders>
              <w:top w:val="nil"/>
              <w:left w:val="nil"/>
              <w:bottom w:val="nil"/>
              <w:right w:val="nil"/>
            </w:tcBorders>
            <w:shd w:val="clear" w:color="000000" w:fill="FFFFFF"/>
            <w:noWrap/>
            <w:vAlign w:val="center"/>
            <w:hideMark/>
          </w:tcPr>
          <w:p w14:paraId="2F37615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409" w:type="pct"/>
            <w:tcBorders>
              <w:top w:val="nil"/>
              <w:left w:val="nil"/>
              <w:bottom w:val="nil"/>
              <w:right w:val="nil"/>
            </w:tcBorders>
            <w:shd w:val="clear" w:color="000000" w:fill="FFFFFF"/>
            <w:noWrap/>
            <w:vAlign w:val="center"/>
            <w:hideMark/>
          </w:tcPr>
          <w:p w14:paraId="7A9E16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09" w:type="pct"/>
            <w:tcBorders>
              <w:top w:val="nil"/>
              <w:left w:val="nil"/>
              <w:bottom w:val="nil"/>
              <w:right w:val="nil"/>
            </w:tcBorders>
            <w:shd w:val="clear" w:color="000000" w:fill="FFFFFF"/>
            <w:noWrap/>
            <w:vAlign w:val="center"/>
            <w:hideMark/>
          </w:tcPr>
          <w:p w14:paraId="1DDCB7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09" w:type="pct"/>
            <w:tcBorders>
              <w:top w:val="nil"/>
              <w:left w:val="nil"/>
              <w:bottom w:val="nil"/>
              <w:right w:val="nil"/>
            </w:tcBorders>
            <w:shd w:val="clear" w:color="000000" w:fill="FFFFFF"/>
            <w:noWrap/>
            <w:vAlign w:val="center"/>
            <w:hideMark/>
          </w:tcPr>
          <w:p w14:paraId="3782D49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15" w:type="pct"/>
            <w:tcBorders>
              <w:top w:val="nil"/>
              <w:left w:val="single" w:sz="4" w:space="0" w:color="auto"/>
              <w:bottom w:val="nil"/>
              <w:right w:val="single" w:sz="4" w:space="0" w:color="auto"/>
            </w:tcBorders>
            <w:shd w:val="clear" w:color="000000" w:fill="FFFFFF"/>
            <w:noWrap/>
            <w:vAlign w:val="center"/>
            <w:hideMark/>
          </w:tcPr>
          <w:p w14:paraId="3121638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409" w:type="pct"/>
            <w:tcBorders>
              <w:top w:val="nil"/>
              <w:left w:val="nil"/>
              <w:bottom w:val="nil"/>
              <w:right w:val="single" w:sz="4" w:space="0" w:color="auto"/>
            </w:tcBorders>
            <w:shd w:val="clear" w:color="000000" w:fill="FFFFFF"/>
            <w:noWrap/>
            <w:vAlign w:val="center"/>
            <w:hideMark/>
          </w:tcPr>
          <w:p w14:paraId="68F48D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0,28%</w:t>
            </w:r>
          </w:p>
        </w:tc>
      </w:tr>
      <w:tr w:rsidR="006248AC" w:rsidRPr="00650EE4" w14:paraId="419F260C"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5406D6D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409" w:type="pct"/>
            <w:tcBorders>
              <w:top w:val="nil"/>
              <w:left w:val="nil"/>
              <w:bottom w:val="nil"/>
              <w:right w:val="nil"/>
            </w:tcBorders>
            <w:shd w:val="clear" w:color="000000" w:fill="FFFFFF"/>
            <w:noWrap/>
            <w:vAlign w:val="center"/>
            <w:hideMark/>
          </w:tcPr>
          <w:p w14:paraId="256C249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415" w:type="pct"/>
            <w:tcBorders>
              <w:top w:val="nil"/>
              <w:left w:val="nil"/>
              <w:bottom w:val="nil"/>
              <w:right w:val="nil"/>
            </w:tcBorders>
            <w:shd w:val="clear" w:color="000000" w:fill="FFFFFF"/>
            <w:noWrap/>
            <w:vAlign w:val="center"/>
            <w:hideMark/>
          </w:tcPr>
          <w:p w14:paraId="40C4505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458</w:t>
            </w:r>
          </w:p>
        </w:tc>
        <w:tc>
          <w:tcPr>
            <w:tcW w:w="415" w:type="pct"/>
            <w:tcBorders>
              <w:top w:val="nil"/>
              <w:left w:val="nil"/>
              <w:bottom w:val="nil"/>
              <w:right w:val="nil"/>
            </w:tcBorders>
            <w:shd w:val="clear" w:color="000000" w:fill="FFFFFF"/>
            <w:noWrap/>
            <w:vAlign w:val="center"/>
            <w:hideMark/>
          </w:tcPr>
          <w:p w14:paraId="464B7FE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3.462</w:t>
            </w:r>
          </w:p>
        </w:tc>
        <w:tc>
          <w:tcPr>
            <w:tcW w:w="409" w:type="pct"/>
            <w:tcBorders>
              <w:top w:val="nil"/>
              <w:left w:val="nil"/>
              <w:bottom w:val="nil"/>
              <w:right w:val="nil"/>
            </w:tcBorders>
            <w:shd w:val="clear" w:color="000000" w:fill="FFFFFF"/>
            <w:noWrap/>
            <w:vAlign w:val="center"/>
            <w:hideMark/>
          </w:tcPr>
          <w:p w14:paraId="5977DB9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610</w:t>
            </w:r>
          </w:p>
        </w:tc>
        <w:tc>
          <w:tcPr>
            <w:tcW w:w="409" w:type="pct"/>
            <w:tcBorders>
              <w:top w:val="nil"/>
              <w:left w:val="nil"/>
              <w:bottom w:val="nil"/>
              <w:right w:val="nil"/>
            </w:tcBorders>
            <w:shd w:val="clear" w:color="000000" w:fill="FFFFFF"/>
            <w:noWrap/>
            <w:vAlign w:val="center"/>
            <w:hideMark/>
          </w:tcPr>
          <w:p w14:paraId="66306C5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1.076</w:t>
            </w:r>
          </w:p>
        </w:tc>
        <w:tc>
          <w:tcPr>
            <w:tcW w:w="409" w:type="pct"/>
            <w:tcBorders>
              <w:top w:val="nil"/>
              <w:left w:val="nil"/>
              <w:bottom w:val="nil"/>
              <w:right w:val="nil"/>
            </w:tcBorders>
            <w:shd w:val="clear" w:color="000000" w:fill="FFFFFF"/>
            <w:noWrap/>
            <w:vAlign w:val="center"/>
            <w:hideMark/>
          </w:tcPr>
          <w:p w14:paraId="6ABA790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591</w:t>
            </w:r>
          </w:p>
        </w:tc>
        <w:tc>
          <w:tcPr>
            <w:tcW w:w="409" w:type="pct"/>
            <w:tcBorders>
              <w:top w:val="nil"/>
              <w:left w:val="nil"/>
              <w:bottom w:val="nil"/>
              <w:right w:val="nil"/>
            </w:tcBorders>
            <w:shd w:val="clear" w:color="000000" w:fill="FFFFFF"/>
            <w:noWrap/>
            <w:vAlign w:val="center"/>
            <w:hideMark/>
          </w:tcPr>
          <w:p w14:paraId="0EC155A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412</w:t>
            </w:r>
          </w:p>
        </w:tc>
        <w:tc>
          <w:tcPr>
            <w:tcW w:w="409" w:type="pct"/>
            <w:tcBorders>
              <w:top w:val="nil"/>
              <w:left w:val="nil"/>
              <w:bottom w:val="nil"/>
              <w:right w:val="nil"/>
            </w:tcBorders>
            <w:shd w:val="clear" w:color="000000" w:fill="FFFFFF"/>
            <w:noWrap/>
            <w:vAlign w:val="center"/>
            <w:hideMark/>
          </w:tcPr>
          <w:p w14:paraId="29FF171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247</w:t>
            </w:r>
          </w:p>
        </w:tc>
        <w:tc>
          <w:tcPr>
            <w:tcW w:w="415" w:type="pct"/>
            <w:tcBorders>
              <w:top w:val="nil"/>
              <w:left w:val="single" w:sz="4" w:space="0" w:color="auto"/>
              <w:bottom w:val="nil"/>
              <w:right w:val="single" w:sz="4" w:space="0" w:color="auto"/>
            </w:tcBorders>
            <w:shd w:val="clear" w:color="000000" w:fill="FFFFFF"/>
            <w:noWrap/>
            <w:vAlign w:val="center"/>
            <w:hideMark/>
          </w:tcPr>
          <w:p w14:paraId="3A26CFFC"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409" w:type="pct"/>
            <w:tcBorders>
              <w:top w:val="nil"/>
              <w:left w:val="nil"/>
              <w:bottom w:val="nil"/>
              <w:right w:val="single" w:sz="4" w:space="0" w:color="auto"/>
            </w:tcBorders>
            <w:shd w:val="clear" w:color="000000" w:fill="FFFFFF"/>
            <w:noWrap/>
            <w:vAlign w:val="center"/>
            <w:hideMark/>
          </w:tcPr>
          <w:p w14:paraId="7E05DA9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r>
      <w:tr w:rsidR="006248AC" w:rsidRPr="00650EE4" w14:paraId="6499AFE8"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118382E3"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409" w:type="pct"/>
            <w:tcBorders>
              <w:top w:val="nil"/>
              <w:left w:val="nil"/>
              <w:bottom w:val="nil"/>
              <w:right w:val="nil"/>
            </w:tcBorders>
            <w:shd w:val="clear" w:color="000000" w:fill="FFFFFF"/>
            <w:noWrap/>
            <w:vAlign w:val="center"/>
            <w:hideMark/>
          </w:tcPr>
          <w:p w14:paraId="7D4100D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221</w:t>
            </w:r>
          </w:p>
        </w:tc>
        <w:tc>
          <w:tcPr>
            <w:tcW w:w="415" w:type="pct"/>
            <w:tcBorders>
              <w:top w:val="nil"/>
              <w:left w:val="nil"/>
              <w:bottom w:val="nil"/>
              <w:right w:val="nil"/>
            </w:tcBorders>
            <w:shd w:val="clear" w:color="000000" w:fill="FFFFFF"/>
            <w:noWrap/>
            <w:vAlign w:val="center"/>
            <w:hideMark/>
          </w:tcPr>
          <w:p w14:paraId="41CA827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753</w:t>
            </w:r>
          </w:p>
        </w:tc>
        <w:tc>
          <w:tcPr>
            <w:tcW w:w="415" w:type="pct"/>
            <w:tcBorders>
              <w:top w:val="nil"/>
              <w:left w:val="nil"/>
              <w:bottom w:val="nil"/>
              <w:right w:val="nil"/>
            </w:tcBorders>
            <w:shd w:val="clear" w:color="000000" w:fill="FFFFFF"/>
            <w:noWrap/>
            <w:vAlign w:val="center"/>
            <w:hideMark/>
          </w:tcPr>
          <w:p w14:paraId="10FCC06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1.199</w:t>
            </w:r>
          </w:p>
        </w:tc>
        <w:tc>
          <w:tcPr>
            <w:tcW w:w="409" w:type="pct"/>
            <w:tcBorders>
              <w:top w:val="nil"/>
              <w:left w:val="nil"/>
              <w:bottom w:val="nil"/>
              <w:right w:val="nil"/>
            </w:tcBorders>
            <w:shd w:val="clear" w:color="000000" w:fill="FFFFFF"/>
            <w:noWrap/>
            <w:vAlign w:val="center"/>
            <w:hideMark/>
          </w:tcPr>
          <w:p w14:paraId="4B6E758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c>
          <w:tcPr>
            <w:tcW w:w="409" w:type="pct"/>
            <w:tcBorders>
              <w:top w:val="nil"/>
              <w:left w:val="nil"/>
              <w:bottom w:val="nil"/>
              <w:right w:val="nil"/>
            </w:tcBorders>
            <w:shd w:val="clear" w:color="000000" w:fill="FFFFFF"/>
            <w:noWrap/>
            <w:vAlign w:val="center"/>
            <w:hideMark/>
          </w:tcPr>
          <w:p w14:paraId="679F9F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409" w:type="pct"/>
            <w:tcBorders>
              <w:top w:val="nil"/>
              <w:left w:val="nil"/>
              <w:bottom w:val="nil"/>
              <w:right w:val="nil"/>
            </w:tcBorders>
            <w:shd w:val="clear" w:color="000000" w:fill="FFFFFF"/>
            <w:noWrap/>
            <w:vAlign w:val="center"/>
            <w:hideMark/>
          </w:tcPr>
          <w:p w14:paraId="71C13FB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409" w:type="pct"/>
            <w:tcBorders>
              <w:top w:val="nil"/>
              <w:left w:val="nil"/>
              <w:bottom w:val="nil"/>
              <w:right w:val="nil"/>
            </w:tcBorders>
            <w:shd w:val="clear" w:color="000000" w:fill="FFFFFF"/>
            <w:noWrap/>
            <w:vAlign w:val="center"/>
            <w:hideMark/>
          </w:tcPr>
          <w:p w14:paraId="1DB5AE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09" w:type="pct"/>
            <w:tcBorders>
              <w:top w:val="nil"/>
              <w:left w:val="nil"/>
              <w:bottom w:val="nil"/>
              <w:right w:val="nil"/>
            </w:tcBorders>
            <w:shd w:val="clear" w:color="000000" w:fill="FFFFFF"/>
            <w:noWrap/>
            <w:vAlign w:val="center"/>
            <w:hideMark/>
          </w:tcPr>
          <w:p w14:paraId="5E0313D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5" w:type="pct"/>
            <w:tcBorders>
              <w:top w:val="nil"/>
              <w:left w:val="single" w:sz="4" w:space="0" w:color="auto"/>
              <w:bottom w:val="nil"/>
              <w:right w:val="single" w:sz="4" w:space="0" w:color="auto"/>
            </w:tcBorders>
            <w:shd w:val="clear" w:color="000000" w:fill="FFFFFF"/>
            <w:noWrap/>
            <w:vAlign w:val="center"/>
            <w:hideMark/>
          </w:tcPr>
          <w:p w14:paraId="371D86C9"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409" w:type="pct"/>
            <w:tcBorders>
              <w:top w:val="nil"/>
              <w:left w:val="nil"/>
              <w:bottom w:val="nil"/>
              <w:right w:val="single" w:sz="4" w:space="0" w:color="auto"/>
            </w:tcBorders>
            <w:shd w:val="clear" w:color="000000" w:fill="FFFFFF"/>
            <w:noWrap/>
            <w:vAlign w:val="center"/>
            <w:hideMark/>
          </w:tcPr>
          <w:p w14:paraId="02C898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0,35%</w:t>
            </w:r>
          </w:p>
        </w:tc>
      </w:tr>
      <w:tr w:rsidR="006248AC" w:rsidRPr="00650EE4" w14:paraId="28665D1B"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76FE382A"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09" w:type="pct"/>
            <w:tcBorders>
              <w:top w:val="nil"/>
              <w:left w:val="nil"/>
              <w:bottom w:val="nil"/>
              <w:right w:val="nil"/>
            </w:tcBorders>
            <w:shd w:val="clear" w:color="000000" w:fill="FFFFFF"/>
            <w:noWrap/>
            <w:vAlign w:val="center"/>
            <w:hideMark/>
          </w:tcPr>
          <w:p w14:paraId="11BD8EC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w:t>
            </w:r>
          </w:p>
        </w:tc>
        <w:tc>
          <w:tcPr>
            <w:tcW w:w="415" w:type="pct"/>
            <w:tcBorders>
              <w:top w:val="nil"/>
              <w:left w:val="nil"/>
              <w:bottom w:val="nil"/>
              <w:right w:val="nil"/>
            </w:tcBorders>
            <w:shd w:val="clear" w:color="000000" w:fill="FFFFFF"/>
            <w:noWrap/>
            <w:vAlign w:val="center"/>
            <w:hideMark/>
          </w:tcPr>
          <w:p w14:paraId="301B5B4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717</w:t>
            </w:r>
          </w:p>
        </w:tc>
        <w:tc>
          <w:tcPr>
            <w:tcW w:w="415" w:type="pct"/>
            <w:tcBorders>
              <w:top w:val="nil"/>
              <w:left w:val="nil"/>
              <w:bottom w:val="nil"/>
              <w:right w:val="nil"/>
            </w:tcBorders>
            <w:shd w:val="clear" w:color="000000" w:fill="FFFFFF"/>
            <w:noWrap/>
            <w:vAlign w:val="center"/>
            <w:hideMark/>
          </w:tcPr>
          <w:p w14:paraId="248AB89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2.802</w:t>
            </w:r>
          </w:p>
        </w:tc>
        <w:tc>
          <w:tcPr>
            <w:tcW w:w="409" w:type="pct"/>
            <w:tcBorders>
              <w:top w:val="nil"/>
              <w:left w:val="nil"/>
              <w:bottom w:val="nil"/>
              <w:right w:val="nil"/>
            </w:tcBorders>
            <w:shd w:val="clear" w:color="000000" w:fill="FFFFFF"/>
            <w:noWrap/>
            <w:vAlign w:val="center"/>
            <w:hideMark/>
          </w:tcPr>
          <w:p w14:paraId="78D78ED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653</w:t>
            </w:r>
          </w:p>
        </w:tc>
        <w:tc>
          <w:tcPr>
            <w:tcW w:w="409" w:type="pct"/>
            <w:tcBorders>
              <w:top w:val="nil"/>
              <w:left w:val="nil"/>
              <w:bottom w:val="nil"/>
              <w:right w:val="nil"/>
            </w:tcBorders>
            <w:shd w:val="clear" w:color="000000" w:fill="FFFFFF"/>
            <w:noWrap/>
            <w:vAlign w:val="center"/>
            <w:hideMark/>
          </w:tcPr>
          <w:p w14:paraId="008F5A6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409" w:type="pct"/>
            <w:tcBorders>
              <w:top w:val="nil"/>
              <w:left w:val="nil"/>
              <w:bottom w:val="nil"/>
              <w:right w:val="nil"/>
            </w:tcBorders>
            <w:shd w:val="clear" w:color="000000" w:fill="FFFFFF"/>
            <w:noWrap/>
            <w:vAlign w:val="center"/>
            <w:hideMark/>
          </w:tcPr>
          <w:p w14:paraId="168BA67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216</w:t>
            </w:r>
          </w:p>
        </w:tc>
        <w:tc>
          <w:tcPr>
            <w:tcW w:w="409" w:type="pct"/>
            <w:tcBorders>
              <w:top w:val="nil"/>
              <w:left w:val="nil"/>
              <w:bottom w:val="nil"/>
              <w:right w:val="nil"/>
            </w:tcBorders>
            <w:shd w:val="clear" w:color="000000" w:fill="FFFFFF"/>
            <w:noWrap/>
            <w:vAlign w:val="center"/>
            <w:hideMark/>
          </w:tcPr>
          <w:p w14:paraId="067CF70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409" w:type="pct"/>
            <w:tcBorders>
              <w:top w:val="nil"/>
              <w:left w:val="nil"/>
              <w:bottom w:val="nil"/>
              <w:right w:val="nil"/>
            </w:tcBorders>
            <w:shd w:val="clear" w:color="000000" w:fill="FFFFFF"/>
            <w:noWrap/>
            <w:vAlign w:val="center"/>
            <w:hideMark/>
          </w:tcPr>
          <w:p w14:paraId="031E5CF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75</w:t>
            </w:r>
          </w:p>
        </w:tc>
        <w:tc>
          <w:tcPr>
            <w:tcW w:w="415" w:type="pct"/>
            <w:tcBorders>
              <w:top w:val="nil"/>
              <w:left w:val="single" w:sz="4" w:space="0" w:color="auto"/>
              <w:bottom w:val="nil"/>
              <w:right w:val="single" w:sz="4" w:space="0" w:color="auto"/>
            </w:tcBorders>
            <w:shd w:val="clear" w:color="000000" w:fill="FFFFFF"/>
            <w:noWrap/>
            <w:vAlign w:val="center"/>
            <w:hideMark/>
          </w:tcPr>
          <w:p w14:paraId="3EE14A82"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409" w:type="pct"/>
            <w:tcBorders>
              <w:top w:val="nil"/>
              <w:left w:val="nil"/>
              <w:bottom w:val="nil"/>
              <w:right w:val="single" w:sz="4" w:space="0" w:color="auto"/>
            </w:tcBorders>
            <w:shd w:val="clear" w:color="000000" w:fill="FFFFFF"/>
            <w:noWrap/>
            <w:vAlign w:val="center"/>
            <w:hideMark/>
          </w:tcPr>
          <w:p w14:paraId="63F4261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0,77%</w:t>
            </w:r>
          </w:p>
        </w:tc>
      </w:tr>
      <w:tr w:rsidR="006248AC" w:rsidRPr="00650EE4" w14:paraId="3753571A" w14:textId="77777777" w:rsidTr="00307987">
        <w:tc>
          <w:tcPr>
            <w:tcW w:w="893" w:type="pct"/>
            <w:tcBorders>
              <w:top w:val="nil"/>
              <w:left w:val="single" w:sz="4" w:space="0" w:color="auto"/>
              <w:bottom w:val="single" w:sz="4" w:space="0" w:color="auto"/>
              <w:right w:val="single" w:sz="4" w:space="0" w:color="auto"/>
            </w:tcBorders>
            <w:shd w:val="clear" w:color="000000" w:fill="FFFFFF"/>
            <w:noWrap/>
            <w:vAlign w:val="center"/>
            <w:hideMark/>
          </w:tcPr>
          <w:p w14:paraId="7A0EAE58"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09" w:type="pct"/>
            <w:tcBorders>
              <w:top w:val="nil"/>
              <w:left w:val="nil"/>
              <w:bottom w:val="nil"/>
              <w:right w:val="nil"/>
            </w:tcBorders>
            <w:shd w:val="clear" w:color="000000" w:fill="FFFFFF"/>
            <w:noWrap/>
            <w:vAlign w:val="center"/>
            <w:hideMark/>
          </w:tcPr>
          <w:p w14:paraId="2043687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w:t>
            </w:r>
          </w:p>
        </w:tc>
        <w:tc>
          <w:tcPr>
            <w:tcW w:w="415" w:type="pct"/>
            <w:tcBorders>
              <w:top w:val="nil"/>
              <w:left w:val="nil"/>
              <w:bottom w:val="nil"/>
              <w:right w:val="nil"/>
            </w:tcBorders>
            <w:shd w:val="clear" w:color="000000" w:fill="FFFFFF"/>
            <w:noWrap/>
            <w:vAlign w:val="center"/>
            <w:hideMark/>
          </w:tcPr>
          <w:p w14:paraId="550C93C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363</w:t>
            </w:r>
          </w:p>
        </w:tc>
        <w:tc>
          <w:tcPr>
            <w:tcW w:w="415" w:type="pct"/>
            <w:tcBorders>
              <w:top w:val="nil"/>
              <w:left w:val="nil"/>
              <w:bottom w:val="nil"/>
              <w:right w:val="nil"/>
            </w:tcBorders>
            <w:shd w:val="clear" w:color="000000" w:fill="FFFFFF"/>
            <w:noWrap/>
            <w:vAlign w:val="center"/>
            <w:hideMark/>
          </w:tcPr>
          <w:p w14:paraId="5E8ED3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1.036</w:t>
            </w:r>
          </w:p>
        </w:tc>
        <w:tc>
          <w:tcPr>
            <w:tcW w:w="409" w:type="pct"/>
            <w:tcBorders>
              <w:top w:val="nil"/>
              <w:left w:val="nil"/>
              <w:bottom w:val="nil"/>
              <w:right w:val="nil"/>
            </w:tcBorders>
            <w:shd w:val="clear" w:color="000000" w:fill="FFFFFF"/>
            <w:noWrap/>
            <w:vAlign w:val="center"/>
            <w:hideMark/>
          </w:tcPr>
          <w:p w14:paraId="285F248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261</w:t>
            </w:r>
          </w:p>
        </w:tc>
        <w:tc>
          <w:tcPr>
            <w:tcW w:w="409" w:type="pct"/>
            <w:tcBorders>
              <w:top w:val="nil"/>
              <w:left w:val="nil"/>
              <w:bottom w:val="nil"/>
              <w:right w:val="nil"/>
            </w:tcBorders>
            <w:shd w:val="clear" w:color="000000" w:fill="FFFFFF"/>
            <w:noWrap/>
            <w:vAlign w:val="center"/>
            <w:hideMark/>
          </w:tcPr>
          <w:p w14:paraId="6509217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163</w:t>
            </w:r>
          </w:p>
        </w:tc>
        <w:tc>
          <w:tcPr>
            <w:tcW w:w="409" w:type="pct"/>
            <w:tcBorders>
              <w:top w:val="nil"/>
              <w:left w:val="nil"/>
              <w:bottom w:val="nil"/>
              <w:right w:val="nil"/>
            </w:tcBorders>
            <w:shd w:val="clear" w:color="000000" w:fill="FFFFFF"/>
            <w:noWrap/>
            <w:vAlign w:val="center"/>
            <w:hideMark/>
          </w:tcPr>
          <w:p w14:paraId="2A55A49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w:t>
            </w:r>
          </w:p>
        </w:tc>
        <w:tc>
          <w:tcPr>
            <w:tcW w:w="409" w:type="pct"/>
            <w:tcBorders>
              <w:top w:val="nil"/>
              <w:left w:val="nil"/>
              <w:bottom w:val="nil"/>
              <w:right w:val="nil"/>
            </w:tcBorders>
            <w:shd w:val="clear" w:color="000000" w:fill="FFFFFF"/>
            <w:noWrap/>
            <w:vAlign w:val="center"/>
            <w:hideMark/>
          </w:tcPr>
          <w:p w14:paraId="32978D2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409" w:type="pct"/>
            <w:tcBorders>
              <w:top w:val="nil"/>
              <w:left w:val="nil"/>
              <w:bottom w:val="nil"/>
              <w:right w:val="nil"/>
            </w:tcBorders>
            <w:shd w:val="clear" w:color="000000" w:fill="FFFFFF"/>
            <w:noWrap/>
            <w:vAlign w:val="center"/>
            <w:hideMark/>
          </w:tcPr>
          <w:p w14:paraId="7B0E93F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415" w:type="pct"/>
            <w:tcBorders>
              <w:top w:val="nil"/>
              <w:left w:val="single" w:sz="4" w:space="0" w:color="auto"/>
              <w:bottom w:val="single" w:sz="4" w:space="0" w:color="auto"/>
              <w:right w:val="single" w:sz="4" w:space="0" w:color="auto"/>
            </w:tcBorders>
            <w:shd w:val="clear" w:color="000000" w:fill="FFFFFF"/>
            <w:noWrap/>
            <w:vAlign w:val="center"/>
            <w:hideMark/>
          </w:tcPr>
          <w:p w14:paraId="794E53AC"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409" w:type="pct"/>
            <w:tcBorders>
              <w:top w:val="nil"/>
              <w:left w:val="nil"/>
              <w:bottom w:val="single" w:sz="4" w:space="0" w:color="auto"/>
              <w:right w:val="single" w:sz="4" w:space="0" w:color="auto"/>
            </w:tcBorders>
            <w:shd w:val="clear" w:color="000000" w:fill="FFFFFF"/>
            <w:noWrap/>
            <w:vAlign w:val="center"/>
            <w:hideMark/>
          </w:tcPr>
          <w:p w14:paraId="4CECE67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0,30%</w:t>
            </w:r>
          </w:p>
        </w:tc>
      </w:tr>
      <w:tr w:rsidR="006248AC" w:rsidRPr="00650EE4" w14:paraId="47624DD3" w14:textId="77777777" w:rsidTr="00307987">
        <w:tc>
          <w:tcPr>
            <w:tcW w:w="893" w:type="pct"/>
            <w:tcBorders>
              <w:top w:val="nil"/>
              <w:left w:val="single" w:sz="4" w:space="0" w:color="auto"/>
              <w:bottom w:val="single" w:sz="4" w:space="0" w:color="auto"/>
              <w:right w:val="single" w:sz="4" w:space="0" w:color="auto"/>
            </w:tcBorders>
            <w:shd w:val="clear" w:color="000000" w:fill="FFFFFF"/>
            <w:noWrap/>
            <w:vAlign w:val="center"/>
            <w:hideMark/>
          </w:tcPr>
          <w:p w14:paraId="1341466E" w14:textId="77777777" w:rsidR="006248AC" w:rsidRPr="00650EE4" w:rsidRDefault="006248AC" w:rsidP="006248AC">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9" w:type="pct"/>
            <w:tcBorders>
              <w:top w:val="single" w:sz="4" w:space="0" w:color="auto"/>
              <w:left w:val="nil"/>
              <w:bottom w:val="nil"/>
              <w:right w:val="nil"/>
            </w:tcBorders>
            <w:shd w:val="clear" w:color="000000" w:fill="FFFFFF"/>
            <w:noWrap/>
            <w:vAlign w:val="center"/>
            <w:hideMark/>
          </w:tcPr>
          <w:p w14:paraId="4A37B676"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14.807</w:t>
            </w:r>
          </w:p>
        </w:tc>
        <w:tc>
          <w:tcPr>
            <w:tcW w:w="415" w:type="pct"/>
            <w:tcBorders>
              <w:top w:val="single" w:sz="4" w:space="0" w:color="auto"/>
              <w:left w:val="nil"/>
              <w:bottom w:val="nil"/>
              <w:right w:val="nil"/>
            </w:tcBorders>
            <w:shd w:val="clear" w:color="000000" w:fill="FFFFFF"/>
            <w:noWrap/>
            <w:vAlign w:val="center"/>
            <w:hideMark/>
          </w:tcPr>
          <w:p w14:paraId="565FB82A"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217.367</w:t>
            </w:r>
          </w:p>
        </w:tc>
        <w:tc>
          <w:tcPr>
            <w:tcW w:w="415" w:type="pct"/>
            <w:tcBorders>
              <w:top w:val="single" w:sz="4" w:space="0" w:color="auto"/>
              <w:left w:val="nil"/>
              <w:bottom w:val="nil"/>
              <w:right w:val="nil"/>
            </w:tcBorders>
            <w:shd w:val="clear" w:color="000000" w:fill="FFFFFF"/>
            <w:noWrap/>
            <w:vAlign w:val="center"/>
            <w:hideMark/>
          </w:tcPr>
          <w:p w14:paraId="3129014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296.851</w:t>
            </w:r>
          </w:p>
        </w:tc>
        <w:tc>
          <w:tcPr>
            <w:tcW w:w="409" w:type="pct"/>
            <w:tcBorders>
              <w:top w:val="single" w:sz="4" w:space="0" w:color="auto"/>
              <w:left w:val="nil"/>
              <w:bottom w:val="nil"/>
              <w:right w:val="nil"/>
            </w:tcBorders>
            <w:shd w:val="clear" w:color="000000" w:fill="FFFFFF"/>
            <w:noWrap/>
            <w:vAlign w:val="center"/>
            <w:hideMark/>
          </w:tcPr>
          <w:p w14:paraId="0D237284"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37.885</w:t>
            </w:r>
          </w:p>
        </w:tc>
        <w:tc>
          <w:tcPr>
            <w:tcW w:w="409" w:type="pct"/>
            <w:tcBorders>
              <w:top w:val="single" w:sz="4" w:space="0" w:color="auto"/>
              <w:left w:val="nil"/>
              <w:bottom w:val="nil"/>
              <w:right w:val="nil"/>
            </w:tcBorders>
            <w:shd w:val="clear" w:color="000000" w:fill="FFFFFF"/>
            <w:noWrap/>
            <w:vAlign w:val="center"/>
            <w:hideMark/>
          </w:tcPr>
          <w:p w14:paraId="23ECE462"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40.169</w:t>
            </w:r>
          </w:p>
        </w:tc>
        <w:tc>
          <w:tcPr>
            <w:tcW w:w="409" w:type="pct"/>
            <w:tcBorders>
              <w:top w:val="single" w:sz="4" w:space="0" w:color="auto"/>
              <w:left w:val="nil"/>
              <w:bottom w:val="nil"/>
              <w:right w:val="nil"/>
            </w:tcBorders>
            <w:shd w:val="clear" w:color="000000" w:fill="FFFFFF"/>
            <w:noWrap/>
            <w:vAlign w:val="center"/>
            <w:hideMark/>
          </w:tcPr>
          <w:p w14:paraId="52024071"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24.330</w:t>
            </w:r>
          </w:p>
        </w:tc>
        <w:tc>
          <w:tcPr>
            <w:tcW w:w="409" w:type="pct"/>
            <w:tcBorders>
              <w:top w:val="single" w:sz="4" w:space="0" w:color="auto"/>
              <w:left w:val="nil"/>
              <w:bottom w:val="nil"/>
              <w:right w:val="nil"/>
            </w:tcBorders>
            <w:shd w:val="clear" w:color="000000" w:fill="FFFFFF"/>
            <w:noWrap/>
            <w:vAlign w:val="center"/>
            <w:hideMark/>
          </w:tcPr>
          <w:p w14:paraId="3B6F1BC6"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19.376</w:t>
            </w:r>
          </w:p>
        </w:tc>
        <w:tc>
          <w:tcPr>
            <w:tcW w:w="409" w:type="pct"/>
            <w:tcBorders>
              <w:top w:val="single" w:sz="4" w:space="0" w:color="auto"/>
              <w:left w:val="nil"/>
              <w:bottom w:val="nil"/>
              <w:right w:val="single" w:sz="4" w:space="0" w:color="auto"/>
            </w:tcBorders>
            <w:shd w:val="clear" w:color="000000" w:fill="FFFFFF"/>
            <w:noWrap/>
            <w:vAlign w:val="center"/>
            <w:hideMark/>
          </w:tcPr>
          <w:p w14:paraId="308943E9"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10.498</w:t>
            </w:r>
          </w:p>
        </w:tc>
        <w:tc>
          <w:tcPr>
            <w:tcW w:w="415" w:type="pct"/>
            <w:tcBorders>
              <w:top w:val="nil"/>
              <w:left w:val="nil"/>
              <w:bottom w:val="single" w:sz="4" w:space="0" w:color="auto"/>
              <w:right w:val="single" w:sz="4" w:space="0" w:color="auto"/>
            </w:tcBorders>
            <w:shd w:val="clear" w:color="000000" w:fill="FFFFFF"/>
            <w:noWrap/>
            <w:vAlign w:val="center"/>
            <w:hideMark/>
          </w:tcPr>
          <w:p w14:paraId="1CFF1857"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409" w:type="pct"/>
            <w:tcBorders>
              <w:top w:val="nil"/>
              <w:left w:val="nil"/>
              <w:bottom w:val="single" w:sz="4" w:space="0" w:color="auto"/>
              <w:right w:val="single" w:sz="4" w:space="0" w:color="auto"/>
            </w:tcBorders>
            <w:shd w:val="clear" w:color="000000" w:fill="FFFFFF"/>
            <w:noWrap/>
            <w:vAlign w:val="center"/>
            <w:hideMark/>
          </w:tcPr>
          <w:p w14:paraId="01557B2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248AC" w:rsidRPr="00650EE4" w14:paraId="26972F83" w14:textId="77777777" w:rsidTr="00307987">
        <w:tc>
          <w:tcPr>
            <w:tcW w:w="893" w:type="pct"/>
            <w:tcBorders>
              <w:top w:val="nil"/>
              <w:left w:val="single" w:sz="4" w:space="0" w:color="auto"/>
              <w:bottom w:val="single" w:sz="4" w:space="0" w:color="auto"/>
              <w:right w:val="nil"/>
            </w:tcBorders>
            <w:shd w:val="clear" w:color="000000" w:fill="FFFFFF"/>
            <w:noWrap/>
            <w:vAlign w:val="center"/>
            <w:hideMark/>
          </w:tcPr>
          <w:p w14:paraId="21507C8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09" w:type="pct"/>
            <w:tcBorders>
              <w:top w:val="single" w:sz="4" w:space="0" w:color="auto"/>
              <w:left w:val="single" w:sz="4" w:space="0" w:color="auto"/>
              <w:bottom w:val="single" w:sz="4" w:space="0" w:color="auto"/>
              <w:right w:val="nil"/>
            </w:tcBorders>
            <w:shd w:val="clear" w:color="000000" w:fill="FFFFFF"/>
            <w:noWrap/>
            <w:vAlign w:val="center"/>
            <w:hideMark/>
          </w:tcPr>
          <w:p w14:paraId="27C558E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15" w:type="pct"/>
            <w:tcBorders>
              <w:top w:val="single" w:sz="4" w:space="0" w:color="auto"/>
              <w:left w:val="nil"/>
              <w:bottom w:val="single" w:sz="4" w:space="0" w:color="auto"/>
              <w:right w:val="nil"/>
            </w:tcBorders>
            <w:shd w:val="clear" w:color="000000" w:fill="FFFFFF"/>
            <w:noWrap/>
            <w:vAlign w:val="center"/>
            <w:hideMark/>
          </w:tcPr>
          <w:p w14:paraId="58F048F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c>
          <w:tcPr>
            <w:tcW w:w="415" w:type="pct"/>
            <w:tcBorders>
              <w:top w:val="single" w:sz="4" w:space="0" w:color="auto"/>
              <w:left w:val="nil"/>
              <w:bottom w:val="single" w:sz="4" w:space="0" w:color="auto"/>
              <w:right w:val="nil"/>
            </w:tcBorders>
            <w:shd w:val="clear" w:color="000000" w:fill="FFFFFF"/>
            <w:noWrap/>
            <w:vAlign w:val="center"/>
            <w:hideMark/>
          </w:tcPr>
          <w:p w14:paraId="152B3A2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409" w:type="pct"/>
            <w:tcBorders>
              <w:top w:val="single" w:sz="4" w:space="0" w:color="auto"/>
              <w:left w:val="nil"/>
              <w:bottom w:val="single" w:sz="4" w:space="0" w:color="auto"/>
              <w:right w:val="nil"/>
            </w:tcBorders>
            <w:shd w:val="clear" w:color="000000" w:fill="FFFFFF"/>
            <w:noWrap/>
            <w:vAlign w:val="center"/>
            <w:hideMark/>
          </w:tcPr>
          <w:p w14:paraId="366242D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09" w:type="pct"/>
            <w:tcBorders>
              <w:top w:val="single" w:sz="4" w:space="0" w:color="auto"/>
              <w:left w:val="nil"/>
              <w:bottom w:val="single" w:sz="4" w:space="0" w:color="auto"/>
              <w:right w:val="nil"/>
            </w:tcBorders>
            <w:shd w:val="clear" w:color="000000" w:fill="FFFFFF"/>
            <w:noWrap/>
            <w:vAlign w:val="center"/>
            <w:hideMark/>
          </w:tcPr>
          <w:p w14:paraId="72AAB15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09" w:type="pct"/>
            <w:tcBorders>
              <w:top w:val="single" w:sz="4" w:space="0" w:color="auto"/>
              <w:left w:val="nil"/>
              <w:bottom w:val="single" w:sz="4" w:space="0" w:color="auto"/>
              <w:right w:val="nil"/>
            </w:tcBorders>
            <w:shd w:val="clear" w:color="000000" w:fill="FFFFFF"/>
            <w:noWrap/>
            <w:vAlign w:val="center"/>
            <w:hideMark/>
          </w:tcPr>
          <w:p w14:paraId="1962D0F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09" w:type="pct"/>
            <w:tcBorders>
              <w:top w:val="single" w:sz="4" w:space="0" w:color="auto"/>
              <w:left w:val="nil"/>
              <w:bottom w:val="single" w:sz="4" w:space="0" w:color="auto"/>
              <w:right w:val="nil"/>
            </w:tcBorders>
            <w:shd w:val="clear" w:color="000000" w:fill="FFFFFF"/>
            <w:noWrap/>
            <w:vAlign w:val="center"/>
            <w:hideMark/>
          </w:tcPr>
          <w:p w14:paraId="7EF6822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09" w:type="pct"/>
            <w:tcBorders>
              <w:top w:val="single" w:sz="4" w:space="0" w:color="auto"/>
              <w:left w:val="nil"/>
              <w:bottom w:val="single" w:sz="4" w:space="0" w:color="auto"/>
              <w:right w:val="single" w:sz="4" w:space="0" w:color="auto"/>
            </w:tcBorders>
            <w:shd w:val="clear" w:color="000000" w:fill="FFFFFF"/>
            <w:noWrap/>
            <w:vAlign w:val="center"/>
            <w:hideMark/>
          </w:tcPr>
          <w:p w14:paraId="51EBA20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15" w:type="pct"/>
            <w:tcBorders>
              <w:top w:val="nil"/>
              <w:left w:val="nil"/>
              <w:bottom w:val="single" w:sz="4" w:space="0" w:color="auto"/>
              <w:right w:val="single" w:sz="4" w:space="0" w:color="auto"/>
            </w:tcBorders>
            <w:shd w:val="clear" w:color="000000" w:fill="FFFFFF"/>
            <w:noWrap/>
            <w:vAlign w:val="center"/>
            <w:hideMark/>
          </w:tcPr>
          <w:p w14:paraId="57B4BA0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09" w:type="pct"/>
            <w:tcBorders>
              <w:top w:val="nil"/>
              <w:left w:val="nil"/>
              <w:bottom w:val="single" w:sz="4" w:space="0" w:color="auto"/>
              <w:right w:val="single" w:sz="4" w:space="0" w:color="auto"/>
            </w:tcBorders>
            <w:shd w:val="clear" w:color="000000" w:fill="FFFFFF"/>
            <w:noWrap/>
            <w:vAlign w:val="center"/>
            <w:hideMark/>
          </w:tcPr>
          <w:p w14:paraId="4B52125C"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631B9E57" w14:textId="12E20D79" w:rsidR="005E0E13" w:rsidRPr="00650EE4" w:rsidRDefault="004C7DC5" w:rsidP="005E0E13">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NTR</w:t>
      </w:r>
      <w:r w:rsidR="005E0E13" w:rsidRPr="00650EE4">
        <w:rPr>
          <w:rFonts w:ascii="Times New Roman" w:eastAsia="Times New Roman" w:hAnsi="Times New Roman"/>
          <w:i/>
          <w:color w:val="000000" w:themeColor="text1"/>
          <w:sz w:val="20"/>
          <w:szCs w:val="20"/>
        </w:rPr>
        <w:t xml:space="preserve"> duomenys (2019.12.31)</w:t>
      </w:r>
    </w:p>
    <w:p w14:paraId="306E65C2" w14:textId="77777777" w:rsidR="00004F84" w:rsidRPr="00650EE4" w:rsidRDefault="00004F84" w:rsidP="005E0E13">
      <w:pPr>
        <w:spacing w:before="60" w:line="240" w:lineRule="auto"/>
        <w:jc w:val="both"/>
        <w:rPr>
          <w:rFonts w:ascii="Times New Roman" w:eastAsia="Times New Roman" w:hAnsi="Times New Roman"/>
          <w:i/>
          <w:color w:val="000000" w:themeColor="text1"/>
          <w:sz w:val="20"/>
          <w:szCs w:val="20"/>
        </w:rPr>
      </w:pPr>
    </w:p>
    <w:p w14:paraId="4AE92F5A" w14:textId="49D3B29C" w:rsidR="005E0E1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2" w:name="_Toc67925187"/>
      <w:r w:rsidR="007744C1">
        <w:t>4</w:t>
      </w:r>
      <w:r w:rsidRPr="00650EE4">
        <w:rPr>
          <w:noProof w:val="0"/>
        </w:rPr>
        <w:fldChar w:fldCharType="end"/>
      </w:r>
      <w:r w:rsidR="005E0E13" w:rsidRPr="00650EE4">
        <w:rPr>
          <w:noProof w:val="0"/>
        </w:rPr>
        <w:t xml:space="preserve"> lentelė. Pastatų fondas pagal statybos pabaigos metus (tūkst. m</w:t>
      </w:r>
      <w:r w:rsidR="005E0E13" w:rsidRPr="00650EE4">
        <w:rPr>
          <w:noProof w:val="0"/>
          <w:vertAlign w:val="superscript"/>
        </w:rPr>
        <w:t>2</w:t>
      </w:r>
      <w:r w:rsidR="005E0E13" w:rsidRPr="00650EE4">
        <w:rPr>
          <w:noProof w:val="0"/>
        </w:rPr>
        <w:t>)</w:t>
      </w:r>
      <w:bookmarkEnd w:id="22"/>
    </w:p>
    <w:tbl>
      <w:tblPr>
        <w:tblW w:w="5000" w:type="pct"/>
        <w:tblLook w:val="04A0" w:firstRow="1" w:lastRow="0" w:firstColumn="1" w:lastColumn="0" w:noHBand="0" w:noVBand="1"/>
      </w:tblPr>
      <w:tblGrid>
        <w:gridCol w:w="1887"/>
        <w:gridCol w:w="849"/>
        <w:gridCol w:w="848"/>
        <w:gridCol w:w="877"/>
        <w:gridCol w:w="848"/>
        <w:gridCol w:w="848"/>
        <w:gridCol w:w="848"/>
        <w:gridCol w:w="848"/>
        <w:gridCol w:w="848"/>
        <w:gridCol w:w="877"/>
        <w:gridCol w:w="842"/>
      </w:tblGrid>
      <w:tr w:rsidR="006248AC" w:rsidRPr="00650EE4" w14:paraId="3DEE138D" w14:textId="77777777" w:rsidTr="00307987">
        <w:tc>
          <w:tcPr>
            <w:tcW w:w="9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12153EE"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 pogrupis</w:t>
            </w:r>
          </w:p>
        </w:tc>
        <w:tc>
          <w:tcPr>
            <w:tcW w:w="3267" w:type="pct"/>
            <w:gridSpan w:val="8"/>
            <w:tcBorders>
              <w:top w:val="single" w:sz="4" w:space="0" w:color="auto"/>
              <w:left w:val="nil"/>
              <w:bottom w:val="single" w:sz="4" w:space="0" w:color="auto"/>
              <w:right w:val="single" w:sz="4" w:space="0" w:color="000000"/>
            </w:tcBorders>
            <w:shd w:val="clear" w:color="000000" w:fill="FFFFFF"/>
            <w:noWrap/>
            <w:vAlign w:val="center"/>
            <w:hideMark/>
          </w:tcPr>
          <w:p w14:paraId="669D9C50"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Statybos metai</w:t>
            </w:r>
          </w:p>
        </w:tc>
        <w:tc>
          <w:tcPr>
            <w:tcW w:w="4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829482"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882B32" w14:textId="77777777" w:rsidR="006248AC" w:rsidRPr="00650EE4" w:rsidRDefault="006248AC" w:rsidP="006248AC">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Iš viso, proc.</w:t>
            </w:r>
          </w:p>
        </w:tc>
      </w:tr>
      <w:tr w:rsidR="006248AC" w:rsidRPr="00650EE4" w14:paraId="32AB9958" w14:textId="77777777" w:rsidTr="00307987">
        <w:tc>
          <w:tcPr>
            <w:tcW w:w="905" w:type="pct"/>
            <w:vMerge/>
            <w:tcBorders>
              <w:top w:val="single" w:sz="4" w:space="0" w:color="auto"/>
              <w:left w:val="single" w:sz="4" w:space="0" w:color="auto"/>
              <w:bottom w:val="single" w:sz="4" w:space="0" w:color="000000"/>
              <w:right w:val="single" w:sz="4" w:space="0" w:color="000000"/>
            </w:tcBorders>
            <w:vAlign w:val="center"/>
            <w:hideMark/>
          </w:tcPr>
          <w:p w14:paraId="7170E1C2" w14:textId="77777777" w:rsidR="006248AC" w:rsidRPr="00650EE4" w:rsidRDefault="006248AC" w:rsidP="006248AC">
            <w:pPr>
              <w:spacing w:line="240" w:lineRule="auto"/>
              <w:rPr>
                <w:rFonts w:ascii="Times New Roman" w:eastAsia="Times New Roman" w:hAnsi="Times New Roman"/>
                <w:b/>
                <w:bCs/>
                <w:sz w:val="20"/>
                <w:szCs w:val="20"/>
              </w:rPr>
            </w:pPr>
          </w:p>
        </w:tc>
        <w:tc>
          <w:tcPr>
            <w:tcW w:w="407" w:type="pct"/>
            <w:tcBorders>
              <w:top w:val="nil"/>
              <w:left w:val="nil"/>
              <w:bottom w:val="single" w:sz="4" w:space="0" w:color="auto"/>
              <w:right w:val="nil"/>
            </w:tcBorders>
            <w:shd w:val="clear" w:color="000000" w:fill="FFFFFF"/>
            <w:vAlign w:val="center"/>
            <w:hideMark/>
          </w:tcPr>
          <w:p w14:paraId="1291D201"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iki 1900</w:t>
            </w:r>
          </w:p>
        </w:tc>
        <w:tc>
          <w:tcPr>
            <w:tcW w:w="407" w:type="pct"/>
            <w:tcBorders>
              <w:top w:val="nil"/>
              <w:left w:val="nil"/>
              <w:bottom w:val="single" w:sz="4" w:space="0" w:color="auto"/>
              <w:right w:val="nil"/>
            </w:tcBorders>
            <w:shd w:val="clear" w:color="000000" w:fill="FFFFFF"/>
            <w:vAlign w:val="center"/>
            <w:hideMark/>
          </w:tcPr>
          <w:p w14:paraId="7F323405"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1901-1960</w:t>
            </w:r>
          </w:p>
        </w:tc>
        <w:tc>
          <w:tcPr>
            <w:tcW w:w="421" w:type="pct"/>
            <w:tcBorders>
              <w:top w:val="nil"/>
              <w:left w:val="nil"/>
              <w:bottom w:val="single" w:sz="4" w:space="0" w:color="auto"/>
              <w:right w:val="nil"/>
            </w:tcBorders>
            <w:shd w:val="clear" w:color="000000" w:fill="FFFFFF"/>
            <w:vAlign w:val="center"/>
            <w:hideMark/>
          </w:tcPr>
          <w:p w14:paraId="4402A4D8"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1961-1992</w:t>
            </w:r>
          </w:p>
        </w:tc>
        <w:tc>
          <w:tcPr>
            <w:tcW w:w="407" w:type="pct"/>
            <w:tcBorders>
              <w:top w:val="nil"/>
              <w:left w:val="nil"/>
              <w:bottom w:val="single" w:sz="4" w:space="0" w:color="auto"/>
              <w:right w:val="nil"/>
            </w:tcBorders>
            <w:shd w:val="clear" w:color="000000" w:fill="FFFFFF"/>
            <w:vAlign w:val="center"/>
            <w:hideMark/>
          </w:tcPr>
          <w:p w14:paraId="347AC437"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1993-2005</w:t>
            </w:r>
          </w:p>
        </w:tc>
        <w:tc>
          <w:tcPr>
            <w:tcW w:w="407" w:type="pct"/>
            <w:tcBorders>
              <w:top w:val="nil"/>
              <w:left w:val="nil"/>
              <w:bottom w:val="single" w:sz="4" w:space="0" w:color="auto"/>
              <w:right w:val="nil"/>
            </w:tcBorders>
            <w:shd w:val="clear" w:color="000000" w:fill="FFFFFF"/>
            <w:vAlign w:val="center"/>
            <w:hideMark/>
          </w:tcPr>
          <w:p w14:paraId="64C65256"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2006-2013</w:t>
            </w:r>
          </w:p>
        </w:tc>
        <w:tc>
          <w:tcPr>
            <w:tcW w:w="407" w:type="pct"/>
            <w:tcBorders>
              <w:top w:val="nil"/>
              <w:left w:val="nil"/>
              <w:bottom w:val="single" w:sz="4" w:space="0" w:color="auto"/>
              <w:right w:val="nil"/>
            </w:tcBorders>
            <w:shd w:val="clear" w:color="000000" w:fill="FFFFFF"/>
            <w:vAlign w:val="center"/>
            <w:hideMark/>
          </w:tcPr>
          <w:p w14:paraId="27519DB6"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2014-2016</w:t>
            </w:r>
          </w:p>
        </w:tc>
        <w:tc>
          <w:tcPr>
            <w:tcW w:w="407" w:type="pct"/>
            <w:tcBorders>
              <w:top w:val="nil"/>
              <w:left w:val="nil"/>
              <w:bottom w:val="single" w:sz="4" w:space="0" w:color="auto"/>
              <w:right w:val="nil"/>
            </w:tcBorders>
            <w:shd w:val="clear" w:color="000000" w:fill="FFFFFF"/>
            <w:vAlign w:val="center"/>
            <w:hideMark/>
          </w:tcPr>
          <w:p w14:paraId="011C1B40"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2017-2018</w:t>
            </w:r>
          </w:p>
        </w:tc>
        <w:tc>
          <w:tcPr>
            <w:tcW w:w="407" w:type="pct"/>
            <w:tcBorders>
              <w:top w:val="nil"/>
              <w:left w:val="nil"/>
              <w:bottom w:val="single" w:sz="4" w:space="0" w:color="auto"/>
              <w:right w:val="nil"/>
            </w:tcBorders>
            <w:shd w:val="clear" w:color="000000" w:fill="FFFFFF"/>
            <w:vAlign w:val="center"/>
            <w:hideMark/>
          </w:tcPr>
          <w:p w14:paraId="2E4E0858"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2019</w:t>
            </w:r>
          </w:p>
        </w:tc>
        <w:tc>
          <w:tcPr>
            <w:tcW w:w="421" w:type="pct"/>
            <w:vMerge/>
            <w:tcBorders>
              <w:top w:val="single" w:sz="4" w:space="0" w:color="auto"/>
              <w:left w:val="single" w:sz="4" w:space="0" w:color="auto"/>
              <w:bottom w:val="single" w:sz="4" w:space="0" w:color="000000"/>
              <w:right w:val="single" w:sz="4" w:space="0" w:color="auto"/>
            </w:tcBorders>
            <w:vAlign w:val="center"/>
            <w:hideMark/>
          </w:tcPr>
          <w:p w14:paraId="02A2E440" w14:textId="77777777" w:rsidR="006248AC" w:rsidRPr="00650EE4" w:rsidRDefault="006248AC" w:rsidP="006248AC">
            <w:pPr>
              <w:spacing w:line="240" w:lineRule="auto"/>
              <w:rPr>
                <w:rFonts w:ascii="Times New Roman" w:eastAsia="Times New Roman" w:hAnsi="Times New Roman"/>
                <w:b/>
                <w:bCs/>
                <w:sz w:val="20"/>
                <w:szCs w:val="20"/>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14:paraId="3E1B26C8" w14:textId="77777777" w:rsidR="006248AC" w:rsidRPr="00650EE4" w:rsidRDefault="006248AC" w:rsidP="006248AC">
            <w:pPr>
              <w:spacing w:line="240" w:lineRule="auto"/>
              <w:rPr>
                <w:rFonts w:ascii="Times New Roman" w:eastAsia="Times New Roman" w:hAnsi="Times New Roman"/>
                <w:sz w:val="20"/>
                <w:szCs w:val="20"/>
              </w:rPr>
            </w:pPr>
          </w:p>
        </w:tc>
      </w:tr>
      <w:tr w:rsidR="006248AC" w:rsidRPr="00650EE4" w14:paraId="4D3C7F5B" w14:textId="77777777" w:rsidTr="00307987">
        <w:tc>
          <w:tcPr>
            <w:tcW w:w="905" w:type="pct"/>
            <w:tcBorders>
              <w:top w:val="nil"/>
              <w:left w:val="single" w:sz="4" w:space="0" w:color="auto"/>
              <w:bottom w:val="single" w:sz="4" w:space="0" w:color="auto"/>
              <w:right w:val="single" w:sz="4" w:space="0" w:color="auto"/>
            </w:tcBorders>
            <w:shd w:val="clear" w:color="000000" w:fill="F2F2F2"/>
            <w:noWrap/>
            <w:vAlign w:val="center"/>
            <w:hideMark/>
          </w:tcPr>
          <w:p w14:paraId="7C268D1F" w14:textId="77777777" w:rsidR="006248AC" w:rsidRPr="00650EE4" w:rsidRDefault="006248AC" w:rsidP="006248AC">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1.Gyvenamieji</w:t>
            </w:r>
          </w:p>
        </w:tc>
        <w:tc>
          <w:tcPr>
            <w:tcW w:w="407" w:type="pct"/>
            <w:tcBorders>
              <w:top w:val="nil"/>
              <w:left w:val="nil"/>
              <w:bottom w:val="single" w:sz="4" w:space="0" w:color="auto"/>
              <w:right w:val="nil"/>
            </w:tcBorders>
            <w:shd w:val="clear" w:color="000000" w:fill="F2F2F2"/>
            <w:noWrap/>
            <w:vAlign w:val="center"/>
            <w:hideMark/>
          </w:tcPr>
          <w:p w14:paraId="6E00DB64"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1.765</w:t>
            </w:r>
          </w:p>
        </w:tc>
        <w:tc>
          <w:tcPr>
            <w:tcW w:w="407" w:type="pct"/>
            <w:tcBorders>
              <w:top w:val="nil"/>
              <w:left w:val="nil"/>
              <w:bottom w:val="single" w:sz="4" w:space="0" w:color="auto"/>
              <w:right w:val="nil"/>
            </w:tcBorders>
            <w:shd w:val="clear" w:color="000000" w:fill="F2F2F2"/>
            <w:noWrap/>
            <w:vAlign w:val="center"/>
            <w:hideMark/>
          </w:tcPr>
          <w:p w14:paraId="31ED725B"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23.105</w:t>
            </w:r>
          </w:p>
        </w:tc>
        <w:tc>
          <w:tcPr>
            <w:tcW w:w="421" w:type="pct"/>
            <w:tcBorders>
              <w:top w:val="nil"/>
              <w:left w:val="nil"/>
              <w:bottom w:val="single" w:sz="4" w:space="0" w:color="auto"/>
              <w:right w:val="nil"/>
            </w:tcBorders>
            <w:shd w:val="clear" w:color="000000" w:fill="F2F2F2"/>
            <w:noWrap/>
            <w:vAlign w:val="center"/>
            <w:hideMark/>
          </w:tcPr>
          <w:p w14:paraId="7D48DD9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72.038</w:t>
            </w:r>
          </w:p>
        </w:tc>
        <w:tc>
          <w:tcPr>
            <w:tcW w:w="407" w:type="pct"/>
            <w:tcBorders>
              <w:top w:val="nil"/>
              <w:left w:val="nil"/>
              <w:bottom w:val="single" w:sz="4" w:space="0" w:color="auto"/>
              <w:right w:val="nil"/>
            </w:tcBorders>
            <w:shd w:val="clear" w:color="000000" w:fill="F2F2F2"/>
            <w:noWrap/>
            <w:vAlign w:val="center"/>
            <w:hideMark/>
          </w:tcPr>
          <w:p w14:paraId="6F6A6743"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11.067</w:t>
            </w:r>
          </w:p>
        </w:tc>
        <w:tc>
          <w:tcPr>
            <w:tcW w:w="407" w:type="pct"/>
            <w:tcBorders>
              <w:top w:val="nil"/>
              <w:left w:val="nil"/>
              <w:bottom w:val="single" w:sz="4" w:space="0" w:color="auto"/>
              <w:right w:val="nil"/>
            </w:tcBorders>
            <w:shd w:val="clear" w:color="000000" w:fill="F2F2F2"/>
            <w:noWrap/>
            <w:vAlign w:val="center"/>
            <w:hideMark/>
          </w:tcPr>
          <w:p w14:paraId="60085B2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10.461</w:t>
            </w:r>
          </w:p>
        </w:tc>
        <w:tc>
          <w:tcPr>
            <w:tcW w:w="407" w:type="pct"/>
            <w:tcBorders>
              <w:top w:val="nil"/>
              <w:left w:val="nil"/>
              <w:bottom w:val="single" w:sz="4" w:space="0" w:color="auto"/>
              <w:right w:val="nil"/>
            </w:tcBorders>
            <w:shd w:val="clear" w:color="000000" w:fill="F2F2F2"/>
            <w:noWrap/>
            <w:vAlign w:val="center"/>
            <w:hideMark/>
          </w:tcPr>
          <w:p w14:paraId="3B9E54C4"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4.841</w:t>
            </w:r>
          </w:p>
        </w:tc>
        <w:tc>
          <w:tcPr>
            <w:tcW w:w="407" w:type="pct"/>
            <w:tcBorders>
              <w:top w:val="nil"/>
              <w:left w:val="nil"/>
              <w:bottom w:val="single" w:sz="4" w:space="0" w:color="auto"/>
              <w:right w:val="nil"/>
            </w:tcBorders>
            <w:shd w:val="clear" w:color="000000" w:fill="F2F2F2"/>
            <w:noWrap/>
            <w:vAlign w:val="center"/>
            <w:hideMark/>
          </w:tcPr>
          <w:p w14:paraId="4426BC5E"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3.768</w:t>
            </w:r>
          </w:p>
        </w:tc>
        <w:tc>
          <w:tcPr>
            <w:tcW w:w="407" w:type="pct"/>
            <w:tcBorders>
              <w:top w:val="nil"/>
              <w:left w:val="nil"/>
              <w:bottom w:val="single" w:sz="4" w:space="0" w:color="auto"/>
              <w:right w:val="single" w:sz="4" w:space="0" w:color="auto"/>
            </w:tcBorders>
            <w:shd w:val="clear" w:color="000000" w:fill="F2F2F2"/>
            <w:noWrap/>
            <w:vAlign w:val="center"/>
            <w:hideMark/>
          </w:tcPr>
          <w:p w14:paraId="1D1541D6"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1.958</w:t>
            </w:r>
          </w:p>
        </w:tc>
        <w:tc>
          <w:tcPr>
            <w:tcW w:w="421" w:type="pct"/>
            <w:tcBorders>
              <w:top w:val="nil"/>
              <w:left w:val="nil"/>
              <w:bottom w:val="single" w:sz="4" w:space="0" w:color="auto"/>
              <w:right w:val="nil"/>
            </w:tcBorders>
            <w:shd w:val="clear" w:color="000000" w:fill="F2F2F2"/>
            <w:noWrap/>
            <w:vAlign w:val="center"/>
            <w:hideMark/>
          </w:tcPr>
          <w:p w14:paraId="538B607E"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129.004</w:t>
            </w:r>
          </w:p>
        </w:tc>
        <w:tc>
          <w:tcPr>
            <w:tcW w:w="407" w:type="pct"/>
            <w:tcBorders>
              <w:top w:val="nil"/>
              <w:left w:val="single" w:sz="4" w:space="0" w:color="auto"/>
              <w:bottom w:val="single" w:sz="4" w:space="0" w:color="auto"/>
              <w:right w:val="single" w:sz="4" w:space="0" w:color="auto"/>
            </w:tcBorders>
            <w:shd w:val="clear" w:color="000000" w:fill="F2F2F2"/>
            <w:noWrap/>
            <w:vAlign w:val="center"/>
            <w:hideMark/>
          </w:tcPr>
          <w:p w14:paraId="2501B2FE"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64%</w:t>
            </w:r>
          </w:p>
        </w:tc>
      </w:tr>
      <w:tr w:rsidR="006248AC" w:rsidRPr="00650EE4" w14:paraId="5593E62B"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24EEB208"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07" w:type="pct"/>
            <w:tcBorders>
              <w:top w:val="nil"/>
              <w:left w:val="nil"/>
              <w:bottom w:val="nil"/>
              <w:right w:val="nil"/>
            </w:tcBorders>
            <w:shd w:val="clear" w:color="000000" w:fill="FFFFFF"/>
            <w:noWrap/>
            <w:vAlign w:val="center"/>
            <w:hideMark/>
          </w:tcPr>
          <w:p w14:paraId="7430ACE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1.212</w:t>
            </w:r>
          </w:p>
        </w:tc>
        <w:tc>
          <w:tcPr>
            <w:tcW w:w="407" w:type="pct"/>
            <w:tcBorders>
              <w:top w:val="nil"/>
              <w:left w:val="nil"/>
              <w:bottom w:val="nil"/>
              <w:right w:val="nil"/>
            </w:tcBorders>
            <w:shd w:val="clear" w:color="000000" w:fill="FFFFFF"/>
            <w:noWrap/>
            <w:vAlign w:val="center"/>
            <w:hideMark/>
          </w:tcPr>
          <w:p w14:paraId="0A67000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17.095</w:t>
            </w:r>
          </w:p>
        </w:tc>
        <w:tc>
          <w:tcPr>
            <w:tcW w:w="421" w:type="pct"/>
            <w:tcBorders>
              <w:top w:val="nil"/>
              <w:left w:val="nil"/>
              <w:bottom w:val="nil"/>
              <w:right w:val="nil"/>
            </w:tcBorders>
            <w:shd w:val="clear" w:color="000000" w:fill="FFFFFF"/>
            <w:noWrap/>
            <w:vAlign w:val="center"/>
            <w:hideMark/>
          </w:tcPr>
          <w:p w14:paraId="2C77DC3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29.160</w:t>
            </w:r>
          </w:p>
        </w:tc>
        <w:tc>
          <w:tcPr>
            <w:tcW w:w="407" w:type="pct"/>
            <w:tcBorders>
              <w:top w:val="nil"/>
              <w:left w:val="nil"/>
              <w:bottom w:val="nil"/>
              <w:right w:val="nil"/>
            </w:tcBorders>
            <w:shd w:val="clear" w:color="000000" w:fill="FFFFFF"/>
            <w:noWrap/>
            <w:vAlign w:val="center"/>
            <w:hideMark/>
          </w:tcPr>
          <w:p w14:paraId="0D48DAA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6.628</w:t>
            </w:r>
          </w:p>
        </w:tc>
        <w:tc>
          <w:tcPr>
            <w:tcW w:w="407" w:type="pct"/>
            <w:tcBorders>
              <w:top w:val="nil"/>
              <w:left w:val="nil"/>
              <w:bottom w:val="nil"/>
              <w:right w:val="nil"/>
            </w:tcBorders>
            <w:shd w:val="clear" w:color="000000" w:fill="FFFFFF"/>
            <w:noWrap/>
            <w:vAlign w:val="center"/>
            <w:hideMark/>
          </w:tcPr>
          <w:p w14:paraId="3EF88E2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7.231</w:t>
            </w:r>
          </w:p>
        </w:tc>
        <w:tc>
          <w:tcPr>
            <w:tcW w:w="407" w:type="pct"/>
            <w:tcBorders>
              <w:top w:val="nil"/>
              <w:left w:val="nil"/>
              <w:bottom w:val="nil"/>
              <w:right w:val="nil"/>
            </w:tcBorders>
            <w:shd w:val="clear" w:color="000000" w:fill="FFFFFF"/>
            <w:noWrap/>
            <w:vAlign w:val="center"/>
            <w:hideMark/>
          </w:tcPr>
          <w:p w14:paraId="60737B4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3.912</w:t>
            </w:r>
          </w:p>
        </w:tc>
        <w:tc>
          <w:tcPr>
            <w:tcW w:w="407" w:type="pct"/>
            <w:tcBorders>
              <w:top w:val="nil"/>
              <w:left w:val="nil"/>
              <w:bottom w:val="nil"/>
              <w:right w:val="nil"/>
            </w:tcBorders>
            <w:shd w:val="clear" w:color="000000" w:fill="FFFFFF"/>
            <w:noWrap/>
            <w:vAlign w:val="center"/>
            <w:hideMark/>
          </w:tcPr>
          <w:p w14:paraId="494D940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2.861</w:t>
            </w:r>
          </w:p>
        </w:tc>
        <w:tc>
          <w:tcPr>
            <w:tcW w:w="407" w:type="pct"/>
            <w:tcBorders>
              <w:top w:val="nil"/>
              <w:left w:val="nil"/>
              <w:bottom w:val="nil"/>
              <w:right w:val="single" w:sz="4" w:space="0" w:color="auto"/>
            </w:tcBorders>
            <w:shd w:val="clear" w:color="000000" w:fill="FFFFFF"/>
            <w:noWrap/>
            <w:vAlign w:val="center"/>
            <w:hideMark/>
          </w:tcPr>
          <w:p w14:paraId="4034E2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1.441</w:t>
            </w:r>
          </w:p>
        </w:tc>
        <w:tc>
          <w:tcPr>
            <w:tcW w:w="421" w:type="pct"/>
            <w:tcBorders>
              <w:top w:val="nil"/>
              <w:left w:val="nil"/>
              <w:bottom w:val="nil"/>
              <w:right w:val="nil"/>
            </w:tcBorders>
            <w:shd w:val="clear" w:color="000000" w:fill="FFFFFF"/>
            <w:noWrap/>
            <w:vAlign w:val="center"/>
            <w:hideMark/>
          </w:tcPr>
          <w:p w14:paraId="47D1032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07" w:type="pct"/>
            <w:tcBorders>
              <w:top w:val="nil"/>
              <w:left w:val="single" w:sz="4" w:space="0" w:color="auto"/>
              <w:bottom w:val="nil"/>
              <w:right w:val="single" w:sz="4" w:space="0" w:color="auto"/>
            </w:tcBorders>
            <w:shd w:val="clear" w:color="000000" w:fill="FFFFFF"/>
            <w:noWrap/>
            <w:vAlign w:val="center"/>
            <w:hideMark/>
          </w:tcPr>
          <w:p w14:paraId="3874029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6248AC" w:rsidRPr="00650EE4" w14:paraId="571FC7AB" w14:textId="77777777" w:rsidTr="00307987">
        <w:tc>
          <w:tcPr>
            <w:tcW w:w="905" w:type="pct"/>
            <w:tcBorders>
              <w:top w:val="nil"/>
              <w:left w:val="single" w:sz="4" w:space="0" w:color="auto"/>
              <w:bottom w:val="single" w:sz="4" w:space="0" w:color="auto"/>
              <w:right w:val="single" w:sz="4" w:space="0" w:color="auto"/>
            </w:tcBorders>
            <w:shd w:val="clear" w:color="000000" w:fill="FFFFFF"/>
            <w:noWrap/>
            <w:vAlign w:val="center"/>
            <w:hideMark/>
          </w:tcPr>
          <w:p w14:paraId="25F1E9DF"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07" w:type="pct"/>
            <w:tcBorders>
              <w:top w:val="nil"/>
              <w:left w:val="nil"/>
              <w:bottom w:val="single" w:sz="4" w:space="0" w:color="auto"/>
              <w:right w:val="nil"/>
            </w:tcBorders>
            <w:shd w:val="clear" w:color="000000" w:fill="FFFFFF"/>
            <w:noWrap/>
            <w:vAlign w:val="center"/>
            <w:hideMark/>
          </w:tcPr>
          <w:p w14:paraId="4CA5D93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553</w:t>
            </w:r>
          </w:p>
        </w:tc>
        <w:tc>
          <w:tcPr>
            <w:tcW w:w="407" w:type="pct"/>
            <w:tcBorders>
              <w:top w:val="nil"/>
              <w:left w:val="nil"/>
              <w:bottom w:val="single" w:sz="4" w:space="0" w:color="auto"/>
              <w:right w:val="nil"/>
            </w:tcBorders>
            <w:shd w:val="clear" w:color="000000" w:fill="FFFFFF"/>
            <w:noWrap/>
            <w:vAlign w:val="center"/>
            <w:hideMark/>
          </w:tcPr>
          <w:p w14:paraId="118AFE9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6.010</w:t>
            </w:r>
          </w:p>
        </w:tc>
        <w:tc>
          <w:tcPr>
            <w:tcW w:w="421" w:type="pct"/>
            <w:tcBorders>
              <w:top w:val="nil"/>
              <w:left w:val="nil"/>
              <w:bottom w:val="single" w:sz="4" w:space="0" w:color="auto"/>
              <w:right w:val="nil"/>
            </w:tcBorders>
            <w:shd w:val="clear" w:color="000000" w:fill="FFFFFF"/>
            <w:noWrap/>
            <w:vAlign w:val="center"/>
            <w:hideMark/>
          </w:tcPr>
          <w:p w14:paraId="1C55475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42.878</w:t>
            </w:r>
          </w:p>
        </w:tc>
        <w:tc>
          <w:tcPr>
            <w:tcW w:w="407" w:type="pct"/>
            <w:tcBorders>
              <w:top w:val="nil"/>
              <w:left w:val="nil"/>
              <w:bottom w:val="single" w:sz="4" w:space="0" w:color="auto"/>
              <w:right w:val="nil"/>
            </w:tcBorders>
            <w:shd w:val="clear" w:color="000000" w:fill="FFFFFF"/>
            <w:noWrap/>
            <w:vAlign w:val="center"/>
            <w:hideMark/>
          </w:tcPr>
          <w:p w14:paraId="0E9D8FD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4.439</w:t>
            </w:r>
          </w:p>
        </w:tc>
        <w:tc>
          <w:tcPr>
            <w:tcW w:w="407" w:type="pct"/>
            <w:tcBorders>
              <w:top w:val="nil"/>
              <w:left w:val="nil"/>
              <w:bottom w:val="single" w:sz="4" w:space="0" w:color="auto"/>
              <w:right w:val="nil"/>
            </w:tcBorders>
            <w:shd w:val="clear" w:color="000000" w:fill="FFFFFF"/>
            <w:noWrap/>
            <w:vAlign w:val="center"/>
            <w:hideMark/>
          </w:tcPr>
          <w:p w14:paraId="4DA42BC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3.230</w:t>
            </w:r>
          </w:p>
        </w:tc>
        <w:tc>
          <w:tcPr>
            <w:tcW w:w="407" w:type="pct"/>
            <w:tcBorders>
              <w:top w:val="nil"/>
              <w:left w:val="nil"/>
              <w:bottom w:val="single" w:sz="4" w:space="0" w:color="auto"/>
              <w:right w:val="nil"/>
            </w:tcBorders>
            <w:shd w:val="clear" w:color="000000" w:fill="FFFFFF"/>
            <w:noWrap/>
            <w:vAlign w:val="center"/>
            <w:hideMark/>
          </w:tcPr>
          <w:p w14:paraId="2E2F869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929</w:t>
            </w:r>
          </w:p>
        </w:tc>
        <w:tc>
          <w:tcPr>
            <w:tcW w:w="407" w:type="pct"/>
            <w:tcBorders>
              <w:top w:val="nil"/>
              <w:left w:val="nil"/>
              <w:bottom w:val="single" w:sz="4" w:space="0" w:color="auto"/>
              <w:right w:val="nil"/>
            </w:tcBorders>
            <w:shd w:val="clear" w:color="000000" w:fill="FFFFFF"/>
            <w:noWrap/>
            <w:vAlign w:val="center"/>
            <w:hideMark/>
          </w:tcPr>
          <w:p w14:paraId="704B5C3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907</w:t>
            </w:r>
          </w:p>
        </w:tc>
        <w:tc>
          <w:tcPr>
            <w:tcW w:w="407" w:type="pct"/>
            <w:tcBorders>
              <w:top w:val="nil"/>
              <w:left w:val="nil"/>
              <w:bottom w:val="single" w:sz="4" w:space="0" w:color="auto"/>
              <w:right w:val="single" w:sz="4" w:space="0" w:color="auto"/>
            </w:tcBorders>
            <w:shd w:val="clear" w:color="000000" w:fill="FFFFFF"/>
            <w:noWrap/>
            <w:vAlign w:val="center"/>
            <w:hideMark/>
          </w:tcPr>
          <w:p w14:paraId="161EAD5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517</w:t>
            </w:r>
          </w:p>
        </w:tc>
        <w:tc>
          <w:tcPr>
            <w:tcW w:w="421" w:type="pct"/>
            <w:tcBorders>
              <w:top w:val="nil"/>
              <w:left w:val="nil"/>
              <w:bottom w:val="nil"/>
              <w:right w:val="nil"/>
            </w:tcBorders>
            <w:shd w:val="clear" w:color="000000" w:fill="FFFFFF"/>
            <w:noWrap/>
            <w:vAlign w:val="center"/>
            <w:hideMark/>
          </w:tcPr>
          <w:p w14:paraId="31ED7F8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07" w:type="pct"/>
            <w:tcBorders>
              <w:top w:val="nil"/>
              <w:left w:val="single" w:sz="4" w:space="0" w:color="auto"/>
              <w:bottom w:val="single" w:sz="4" w:space="0" w:color="auto"/>
              <w:right w:val="single" w:sz="4" w:space="0" w:color="auto"/>
            </w:tcBorders>
            <w:shd w:val="clear" w:color="000000" w:fill="FFFFFF"/>
            <w:noWrap/>
            <w:vAlign w:val="center"/>
            <w:hideMark/>
          </w:tcPr>
          <w:p w14:paraId="7F43625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6248AC" w:rsidRPr="00650EE4" w14:paraId="03C64F26" w14:textId="77777777" w:rsidTr="00307987">
        <w:tc>
          <w:tcPr>
            <w:tcW w:w="905" w:type="pct"/>
            <w:tcBorders>
              <w:top w:val="nil"/>
              <w:left w:val="single" w:sz="4" w:space="0" w:color="auto"/>
              <w:bottom w:val="single" w:sz="4" w:space="0" w:color="auto"/>
              <w:right w:val="single" w:sz="4" w:space="0" w:color="auto"/>
            </w:tcBorders>
            <w:shd w:val="clear" w:color="000000" w:fill="F2F2F2"/>
            <w:noWrap/>
            <w:vAlign w:val="center"/>
            <w:hideMark/>
          </w:tcPr>
          <w:p w14:paraId="793BC9E7" w14:textId="77777777" w:rsidR="006248AC" w:rsidRPr="00650EE4" w:rsidRDefault="006248AC" w:rsidP="006248AC">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2.Negyvenamieji</w:t>
            </w:r>
          </w:p>
        </w:tc>
        <w:tc>
          <w:tcPr>
            <w:tcW w:w="407" w:type="pct"/>
            <w:tcBorders>
              <w:top w:val="nil"/>
              <w:left w:val="nil"/>
              <w:bottom w:val="single" w:sz="4" w:space="0" w:color="auto"/>
              <w:right w:val="nil"/>
            </w:tcBorders>
            <w:shd w:val="clear" w:color="000000" w:fill="F2F2F2"/>
            <w:noWrap/>
            <w:vAlign w:val="center"/>
            <w:hideMark/>
          </w:tcPr>
          <w:p w14:paraId="05BD9A82"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840</w:t>
            </w:r>
          </w:p>
        </w:tc>
        <w:tc>
          <w:tcPr>
            <w:tcW w:w="407" w:type="pct"/>
            <w:tcBorders>
              <w:top w:val="nil"/>
              <w:left w:val="nil"/>
              <w:bottom w:val="single" w:sz="4" w:space="0" w:color="auto"/>
              <w:right w:val="nil"/>
            </w:tcBorders>
            <w:shd w:val="clear" w:color="000000" w:fill="F2F2F2"/>
            <w:noWrap/>
            <w:vAlign w:val="center"/>
            <w:hideMark/>
          </w:tcPr>
          <w:p w14:paraId="55DD1CCE"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8.384</w:t>
            </w:r>
          </w:p>
        </w:tc>
        <w:tc>
          <w:tcPr>
            <w:tcW w:w="421" w:type="pct"/>
            <w:tcBorders>
              <w:top w:val="nil"/>
              <w:left w:val="nil"/>
              <w:bottom w:val="single" w:sz="4" w:space="0" w:color="auto"/>
              <w:right w:val="nil"/>
            </w:tcBorders>
            <w:shd w:val="clear" w:color="000000" w:fill="F2F2F2"/>
            <w:noWrap/>
            <w:vAlign w:val="center"/>
            <w:hideMark/>
          </w:tcPr>
          <w:p w14:paraId="1EA6F1C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44.337</w:t>
            </w:r>
          </w:p>
        </w:tc>
        <w:tc>
          <w:tcPr>
            <w:tcW w:w="407" w:type="pct"/>
            <w:tcBorders>
              <w:top w:val="nil"/>
              <w:left w:val="nil"/>
              <w:bottom w:val="single" w:sz="4" w:space="0" w:color="auto"/>
              <w:right w:val="nil"/>
            </w:tcBorders>
            <w:shd w:val="clear" w:color="000000" w:fill="F2F2F2"/>
            <w:noWrap/>
            <w:vAlign w:val="center"/>
            <w:hideMark/>
          </w:tcPr>
          <w:p w14:paraId="05969BE4"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7.405</w:t>
            </w:r>
          </w:p>
        </w:tc>
        <w:tc>
          <w:tcPr>
            <w:tcW w:w="407" w:type="pct"/>
            <w:tcBorders>
              <w:top w:val="nil"/>
              <w:left w:val="nil"/>
              <w:bottom w:val="single" w:sz="4" w:space="0" w:color="auto"/>
              <w:right w:val="nil"/>
            </w:tcBorders>
            <w:shd w:val="clear" w:color="000000" w:fill="F2F2F2"/>
            <w:noWrap/>
            <w:vAlign w:val="center"/>
            <w:hideMark/>
          </w:tcPr>
          <w:p w14:paraId="7DE73492"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6.477</w:t>
            </w:r>
          </w:p>
        </w:tc>
        <w:tc>
          <w:tcPr>
            <w:tcW w:w="407" w:type="pct"/>
            <w:tcBorders>
              <w:top w:val="nil"/>
              <w:left w:val="nil"/>
              <w:bottom w:val="single" w:sz="4" w:space="0" w:color="auto"/>
              <w:right w:val="nil"/>
            </w:tcBorders>
            <w:shd w:val="clear" w:color="000000" w:fill="F2F2F2"/>
            <w:noWrap/>
            <w:vAlign w:val="center"/>
            <w:hideMark/>
          </w:tcPr>
          <w:p w14:paraId="29D8AE77"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2.360</w:t>
            </w:r>
          </w:p>
        </w:tc>
        <w:tc>
          <w:tcPr>
            <w:tcW w:w="407" w:type="pct"/>
            <w:tcBorders>
              <w:top w:val="nil"/>
              <w:left w:val="nil"/>
              <w:bottom w:val="single" w:sz="4" w:space="0" w:color="auto"/>
              <w:right w:val="nil"/>
            </w:tcBorders>
            <w:shd w:val="clear" w:color="000000" w:fill="F2F2F2"/>
            <w:noWrap/>
            <w:vAlign w:val="center"/>
            <w:hideMark/>
          </w:tcPr>
          <w:p w14:paraId="78A9D495"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1.954</w:t>
            </w:r>
          </w:p>
        </w:tc>
        <w:tc>
          <w:tcPr>
            <w:tcW w:w="407" w:type="pct"/>
            <w:tcBorders>
              <w:top w:val="nil"/>
              <w:left w:val="nil"/>
              <w:bottom w:val="single" w:sz="4" w:space="0" w:color="auto"/>
              <w:right w:val="nil"/>
            </w:tcBorders>
            <w:shd w:val="clear" w:color="000000" w:fill="F2F2F2"/>
            <w:noWrap/>
            <w:vAlign w:val="center"/>
            <w:hideMark/>
          </w:tcPr>
          <w:p w14:paraId="264D51A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913</w:t>
            </w:r>
          </w:p>
        </w:tc>
        <w:tc>
          <w:tcPr>
            <w:tcW w:w="42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42B235"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72.670</w:t>
            </w:r>
          </w:p>
        </w:tc>
        <w:tc>
          <w:tcPr>
            <w:tcW w:w="407" w:type="pct"/>
            <w:tcBorders>
              <w:top w:val="nil"/>
              <w:left w:val="nil"/>
              <w:bottom w:val="single" w:sz="4" w:space="0" w:color="auto"/>
              <w:right w:val="single" w:sz="4" w:space="0" w:color="auto"/>
            </w:tcBorders>
            <w:shd w:val="clear" w:color="000000" w:fill="F2F2F2"/>
            <w:noWrap/>
            <w:vAlign w:val="center"/>
            <w:hideMark/>
          </w:tcPr>
          <w:p w14:paraId="3CBB9816"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36%</w:t>
            </w:r>
          </w:p>
        </w:tc>
      </w:tr>
      <w:tr w:rsidR="006248AC" w:rsidRPr="00650EE4" w14:paraId="19BCEF45"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69D71F65"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07" w:type="pct"/>
            <w:tcBorders>
              <w:top w:val="nil"/>
              <w:left w:val="nil"/>
              <w:bottom w:val="nil"/>
              <w:right w:val="nil"/>
            </w:tcBorders>
            <w:shd w:val="clear" w:color="000000" w:fill="FFFFFF"/>
            <w:noWrap/>
            <w:vAlign w:val="center"/>
            <w:hideMark/>
          </w:tcPr>
          <w:p w14:paraId="7CDC678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235</w:t>
            </w:r>
          </w:p>
        </w:tc>
        <w:tc>
          <w:tcPr>
            <w:tcW w:w="407" w:type="pct"/>
            <w:tcBorders>
              <w:top w:val="nil"/>
              <w:left w:val="nil"/>
              <w:bottom w:val="nil"/>
              <w:right w:val="nil"/>
            </w:tcBorders>
            <w:shd w:val="clear" w:color="000000" w:fill="FFFFFF"/>
            <w:noWrap/>
            <w:vAlign w:val="center"/>
            <w:hideMark/>
          </w:tcPr>
          <w:p w14:paraId="2E7D110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3.416</w:t>
            </w:r>
          </w:p>
        </w:tc>
        <w:tc>
          <w:tcPr>
            <w:tcW w:w="421" w:type="pct"/>
            <w:tcBorders>
              <w:top w:val="nil"/>
              <w:left w:val="nil"/>
              <w:bottom w:val="nil"/>
              <w:right w:val="nil"/>
            </w:tcBorders>
            <w:shd w:val="clear" w:color="000000" w:fill="FFFFFF"/>
            <w:noWrap/>
            <w:vAlign w:val="center"/>
            <w:hideMark/>
          </w:tcPr>
          <w:p w14:paraId="0F02B84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23.537</w:t>
            </w:r>
          </w:p>
        </w:tc>
        <w:tc>
          <w:tcPr>
            <w:tcW w:w="407" w:type="pct"/>
            <w:tcBorders>
              <w:top w:val="nil"/>
              <w:left w:val="nil"/>
              <w:bottom w:val="nil"/>
              <w:right w:val="nil"/>
            </w:tcBorders>
            <w:shd w:val="clear" w:color="000000" w:fill="FFFFFF"/>
            <w:noWrap/>
            <w:vAlign w:val="center"/>
            <w:hideMark/>
          </w:tcPr>
          <w:p w14:paraId="7664058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3.382</w:t>
            </w:r>
          </w:p>
        </w:tc>
        <w:tc>
          <w:tcPr>
            <w:tcW w:w="407" w:type="pct"/>
            <w:tcBorders>
              <w:top w:val="nil"/>
              <w:left w:val="nil"/>
              <w:bottom w:val="nil"/>
              <w:right w:val="nil"/>
            </w:tcBorders>
            <w:shd w:val="clear" w:color="000000" w:fill="FFFFFF"/>
            <w:noWrap/>
            <w:vAlign w:val="center"/>
            <w:hideMark/>
          </w:tcPr>
          <w:p w14:paraId="763523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2.627</w:t>
            </w:r>
          </w:p>
        </w:tc>
        <w:tc>
          <w:tcPr>
            <w:tcW w:w="407" w:type="pct"/>
            <w:tcBorders>
              <w:top w:val="nil"/>
              <w:left w:val="nil"/>
              <w:bottom w:val="nil"/>
              <w:right w:val="nil"/>
            </w:tcBorders>
            <w:shd w:val="clear" w:color="000000" w:fill="FFFFFF"/>
            <w:noWrap/>
            <w:vAlign w:val="center"/>
            <w:hideMark/>
          </w:tcPr>
          <w:p w14:paraId="6FAA360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968</w:t>
            </w:r>
          </w:p>
        </w:tc>
        <w:tc>
          <w:tcPr>
            <w:tcW w:w="407" w:type="pct"/>
            <w:tcBorders>
              <w:top w:val="nil"/>
              <w:left w:val="nil"/>
              <w:bottom w:val="nil"/>
              <w:right w:val="nil"/>
            </w:tcBorders>
            <w:shd w:val="clear" w:color="000000" w:fill="FFFFFF"/>
            <w:noWrap/>
            <w:vAlign w:val="center"/>
            <w:hideMark/>
          </w:tcPr>
          <w:p w14:paraId="6FE76EF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891</w:t>
            </w:r>
          </w:p>
        </w:tc>
        <w:tc>
          <w:tcPr>
            <w:tcW w:w="407" w:type="pct"/>
            <w:tcBorders>
              <w:top w:val="nil"/>
              <w:left w:val="nil"/>
              <w:bottom w:val="nil"/>
              <w:right w:val="nil"/>
            </w:tcBorders>
            <w:shd w:val="clear" w:color="000000" w:fill="FFFFFF"/>
            <w:noWrap/>
            <w:vAlign w:val="center"/>
            <w:hideMark/>
          </w:tcPr>
          <w:p w14:paraId="1C985A5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433</w:t>
            </w:r>
          </w:p>
        </w:tc>
        <w:tc>
          <w:tcPr>
            <w:tcW w:w="421" w:type="pct"/>
            <w:tcBorders>
              <w:top w:val="nil"/>
              <w:left w:val="single" w:sz="4" w:space="0" w:color="auto"/>
              <w:bottom w:val="nil"/>
              <w:right w:val="single" w:sz="4" w:space="0" w:color="auto"/>
            </w:tcBorders>
            <w:shd w:val="clear" w:color="000000" w:fill="FFFFFF"/>
            <w:noWrap/>
            <w:vAlign w:val="center"/>
            <w:hideMark/>
          </w:tcPr>
          <w:p w14:paraId="1BCE6B0A"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07" w:type="pct"/>
            <w:tcBorders>
              <w:top w:val="nil"/>
              <w:left w:val="nil"/>
              <w:bottom w:val="nil"/>
              <w:right w:val="single" w:sz="4" w:space="0" w:color="auto"/>
            </w:tcBorders>
            <w:shd w:val="clear" w:color="000000" w:fill="FFFFFF"/>
            <w:noWrap/>
            <w:vAlign w:val="center"/>
            <w:hideMark/>
          </w:tcPr>
          <w:p w14:paraId="58ED114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6248AC" w:rsidRPr="00650EE4" w14:paraId="677D856D"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0033E411"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07" w:type="pct"/>
            <w:tcBorders>
              <w:top w:val="nil"/>
              <w:left w:val="nil"/>
              <w:bottom w:val="nil"/>
              <w:right w:val="nil"/>
            </w:tcBorders>
            <w:shd w:val="clear" w:color="000000" w:fill="FFFFFF"/>
            <w:noWrap/>
            <w:vAlign w:val="center"/>
            <w:hideMark/>
          </w:tcPr>
          <w:p w14:paraId="61C103E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169</w:t>
            </w:r>
          </w:p>
        </w:tc>
        <w:tc>
          <w:tcPr>
            <w:tcW w:w="407" w:type="pct"/>
            <w:tcBorders>
              <w:top w:val="nil"/>
              <w:left w:val="nil"/>
              <w:bottom w:val="nil"/>
              <w:right w:val="nil"/>
            </w:tcBorders>
            <w:shd w:val="clear" w:color="000000" w:fill="FFFFFF"/>
            <w:noWrap/>
            <w:vAlign w:val="center"/>
            <w:hideMark/>
          </w:tcPr>
          <w:p w14:paraId="44C01A8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1.554</w:t>
            </w:r>
          </w:p>
        </w:tc>
        <w:tc>
          <w:tcPr>
            <w:tcW w:w="421" w:type="pct"/>
            <w:tcBorders>
              <w:top w:val="nil"/>
              <w:left w:val="nil"/>
              <w:bottom w:val="nil"/>
              <w:right w:val="nil"/>
            </w:tcBorders>
            <w:shd w:val="clear" w:color="000000" w:fill="FFFFFF"/>
            <w:noWrap/>
            <w:vAlign w:val="center"/>
            <w:hideMark/>
          </w:tcPr>
          <w:p w14:paraId="18C5775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5.706</w:t>
            </w:r>
          </w:p>
        </w:tc>
        <w:tc>
          <w:tcPr>
            <w:tcW w:w="407" w:type="pct"/>
            <w:tcBorders>
              <w:top w:val="nil"/>
              <w:left w:val="nil"/>
              <w:bottom w:val="nil"/>
              <w:right w:val="nil"/>
            </w:tcBorders>
            <w:shd w:val="clear" w:color="000000" w:fill="FFFFFF"/>
            <w:noWrap/>
            <w:vAlign w:val="center"/>
            <w:hideMark/>
          </w:tcPr>
          <w:p w14:paraId="6A80327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924</w:t>
            </w:r>
          </w:p>
        </w:tc>
        <w:tc>
          <w:tcPr>
            <w:tcW w:w="407" w:type="pct"/>
            <w:tcBorders>
              <w:top w:val="nil"/>
              <w:left w:val="nil"/>
              <w:bottom w:val="nil"/>
              <w:right w:val="nil"/>
            </w:tcBorders>
            <w:shd w:val="clear" w:color="000000" w:fill="FFFFFF"/>
            <w:noWrap/>
            <w:vAlign w:val="center"/>
            <w:hideMark/>
          </w:tcPr>
          <w:p w14:paraId="531C4A8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844</w:t>
            </w:r>
          </w:p>
        </w:tc>
        <w:tc>
          <w:tcPr>
            <w:tcW w:w="407" w:type="pct"/>
            <w:tcBorders>
              <w:top w:val="nil"/>
              <w:left w:val="nil"/>
              <w:bottom w:val="nil"/>
              <w:right w:val="nil"/>
            </w:tcBorders>
            <w:shd w:val="clear" w:color="000000" w:fill="FFFFFF"/>
            <w:noWrap/>
            <w:vAlign w:val="center"/>
            <w:hideMark/>
          </w:tcPr>
          <w:p w14:paraId="7F650F2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351</w:t>
            </w:r>
          </w:p>
        </w:tc>
        <w:tc>
          <w:tcPr>
            <w:tcW w:w="407" w:type="pct"/>
            <w:tcBorders>
              <w:top w:val="nil"/>
              <w:left w:val="nil"/>
              <w:bottom w:val="nil"/>
              <w:right w:val="nil"/>
            </w:tcBorders>
            <w:shd w:val="clear" w:color="000000" w:fill="FFFFFF"/>
            <w:noWrap/>
            <w:vAlign w:val="center"/>
            <w:hideMark/>
          </w:tcPr>
          <w:p w14:paraId="630489F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332</w:t>
            </w:r>
          </w:p>
        </w:tc>
        <w:tc>
          <w:tcPr>
            <w:tcW w:w="407" w:type="pct"/>
            <w:tcBorders>
              <w:top w:val="nil"/>
              <w:left w:val="nil"/>
              <w:bottom w:val="nil"/>
              <w:right w:val="nil"/>
            </w:tcBorders>
            <w:shd w:val="clear" w:color="000000" w:fill="FFFFFF"/>
            <w:noWrap/>
            <w:vAlign w:val="center"/>
            <w:hideMark/>
          </w:tcPr>
          <w:p w14:paraId="402DA75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217</w:t>
            </w:r>
          </w:p>
        </w:tc>
        <w:tc>
          <w:tcPr>
            <w:tcW w:w="421" w:type="pct"/>
            <w:tcBorders>
              <w:top w:val="nil"/>
              <w:left w:val="single" w:sz="4" w:space="0" w:color="auto"/>
              <w:bottom w:val="nil"/>
              <w:right w:val="single" w:sz="4" w:space="0" w:color="auto"/>
            </w:tcBorders>
            <w:shd w:val="clear" w:color="000000" w:fill="FFFFFF"/>
            <w:noWrap/>
            <w:vAlign w:val="center"/>
            <w:hideMark/>
          </w:tcPr>
          <w:p w14:paraId="327A846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07" w:type="pct"/>
            <w:tcBorders>
              <w:top w:val="nil"/>
              <w:left w:val="nil"/>
              <w:bottom w:val="nil"/>
              <w:right w:val="single" w:sz="4" w:space="0" w:color="auto"/>
            </w:tcBorders>
            <w:shd w:val="clear" w:color="000000" w:fill="FFFFFF"/>
            <w:noWrap/>
            <w:vAlign w:val="center"/>
            <w:hideMark/>
          </w:tcPr>
          <w:p w14:paraId="2137748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6248AC" w:rsidRPr="00650EE4" w14:paraId="0A21872E"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55749D8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07" w:type="pct"/>
            <w:tcBorders>
              <w:top w:val="nil"/>
              <w:left w:val="nil"/>
              <w:bottom w:val="nil"/>
              <w:right w:val="nil"/>
            </w:tcBorders>
            <w:shd w:val="clear" w:color="000000" w:fill="FFFFFF"/>
            <w:noWrap/>
            <w:vAlign w:val="center"/>
            <w:hideMark/>
          </w:tcPr>
          <w:p w14:paraId="75CB682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118</w:t>
            </w:r>
          </w:p>
        </w:tc>
        <w:tc>
          <w:tcPr>
            <w:tcW w:w="407" w:type="pct"/>
            <w:tcBorders>
              <w:top w:val="nil"/>
              <w:left w:val="nil"/>
              <w:bottom w:val="nil"/>
              <w:right w:val="nil"/>
            </w:tcBorders>
            <w:shd w:val="clear" w:color="000000" w:fill="FFFFFF"/>
            <w:noWrap/>
            <w:vAlign w:val="center"/>
            <w:hideMark/>
          </w:tcPr>
          <w:p w14:paraId="1768926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1.257</w:t>
            </w:r>
          </w:p>
        </w:tc>
        <w:tc>
          <w:tcPr>
            <w:tcW w:w="421" w:type="pct"/>
            <w:tcBorders>
              <w:top w:val="nil"/>
              <w:left w:val="nil"/>
              <w:bottom w:val="nil"/>
              <w:right w:val="nil"/>
            </w:tcBorders>
            <w:shd w:val="clear" w:color="000000" w:fill="FFFFFF"/>
            <w:noWrap/>
            <w:vAlign w:val="center"/>
            <w:hideMark/>
          </w:tcPr>
          <w:p w14:paraId="21C4CC8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6.367</w:t>
            </w:r>
          </w:p>
        </w:tc>
        <w:tc>
          <w:tcPr>
            <w:tcW w:w="407" w:type="pct"/>
            <w:tcBorders>
              <w:top w:val="nil"/>
              <w:left w:val="nil"/>
              <w:bottom w:val="nil"/>
              <w:right w:val="nil"/>
            </w:tcBorders>
            <w:shd w:val="clear" w:color="000000" w:fill="FFFFFF"/>
            <w:noWrap/>
            <w:vAlign w:val="center"/>
            <w:hideMark/>
          </w:tcPr>
          <w:p w14:paraId="15E7852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386</w:t>
            </w:r>
          </w:p>
        </w:tc>
        <w:tc>
          <w:tcPr>
            <w:tcW w:w="407" w:type="pct"/>
            <w:tcBorders>
              <w:top w:val="nil"/>
              <w:left w:val="nil"/>
              <w:bottom w:val="nil"/>
              <w:right w:val="nil"/>
            </w:tcBorders>
            <w:shd w:val="clear" w:color="000000" w:fill="FFFFFF"/>
            <w:noWrap/>
            <w:vAlign w:val="center"/>
            <w:hideMark/>
          </w:tcPr>
          <w:p w14:paraId="6DECEE4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w:t>
            </w:r>
          </w:p>
        </w:tc>
        <w:tc>
          <w:tcPr>
            <w:tcW w:w="407" w:type="pct"/>
            <w:tcBorders>
              <w:top w:val="nil"/>
              <w:left w:val="nil"/>
              <w:bottom w:val="nil"/>
              <w:right w:val="nil"/>
            </w:tcBorders>
            <w:shd w:val="clear" w:color="000000" w:fill="FFFFFF"/>
            <w:noWrap/>
            <w:vAlign w:val="center"/>
            <w:hideMark/>
          </w:tcPr>
          <w:p w14:paraId="357E1F5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w:t>
            </w:r>
          </w:p>
        </w:tc>
        <w:tc>
          <w:tcPr>
            <w:tcW w:w="407" w:type="pct"/>
            <w:tcBorders>
              <w:top w:val="nil"/>
              <w:left w:val="nil"/>
              <w:bottom w:val="nil"/>
              <w:right w:val="nil"/>
            </w:tcBorders>
            <w:shd w:val="clear" w:color="000000" w:fill="FFFFFF"/>
            <w:noWrap/>
            <w:vAlign w:val="center"/>
            <w:hideMark/>
          </w:tcPr>
          <w:p w14:paraId="4284344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07" w:type="pct"/>
            <w:tcBorders>
              <w:top w:val="nil"/>
              <w:left w:val="nil"/>
              <w:bottom w:val="nil"/>
              <w:right w:val="nil"/>
            </w:tcBorders>
            <w:shd w:val="clear" w:color="000000" w:fill="FFFFFF"/>
            <w:noWrap/>
            <w:vAlign w:val="center"/>
            <w:hideMark/>
          </w:tcPr>
          <w:p w14:paraId="64D6571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21" w:type="pct"/>
            <w:tcBorders>
              <w:top w:val="nil"/>
              <w:left w:val="single" w:sz="4" w:space="0" w:color="auto"/>
              <w:bottom w:val="nil"/>
              <w:right w:val="single" w:sz="4" w:space="0" w:color="auto"/>
            </w:tcBorders>
            <w:shd w:val="clear" w:color="000000" w:fill="FFFFFF"/>
            <w:noWrap/>
            <w:vAlign w:val="center"/>
            <w:hideMark/>
          </w:tcPr>
          <w:p w14:paraId="0DD707C3"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07" w:type="pct"/>
            <w:tcBorders>
              <w:top w:val="nil"/>
              <w:left w:val="nil"/>
              <w:bottom w:val="nil"/>
              <w:right w:val="single" w:sz="4" w:space="0" w:color="auto"/>
            </w:tcBorders>
            <w:shd w:val="clear" w:color="000000" w:fill="FFFFFF"/>
            <w:noWrap/>
            <w:vAlign w:val="center"/>
            <w:hideMark/>
          </w:tcPr>
          <w:p w14:paraId="0D517C7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6248AC" w:rsidRPr="00650EE4" w14:paraId="7BE5AB4F"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434B92ED"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07" w:type="pct"/>
            <w:tcBorders>
              <w:top w:val="nil"/>
              <w:left w:val="nil"/>
              <w:bottom w:val="nil"/>
              <w:right w:val="nil"/>
            </w:tcBorders>
            <w:shd w:val="clear" w:color="000000" w:fill="FFFFFF"/>
            <w:noWrap/>
            <w:vAlign w:val="center"/>
            <w:hideMark/>
          </w:tcPr>
          <w:p w14:paraId="4550762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w:t>
            </w:r>
          </w:p>
        </w:tc>
        <w:tc>
          <w:tcPr>
            <w:tcW w:w="407" w:type="pct"/>
            <w:tcBorders>
              <w:top w:val="nil"/>
              <w:left w:val="nil"/>
              <w:bottom w:val="nil"/>
              <w:right w:val="nil"/>
            </w:tcBorders>
            <w:shd w:val="clear" w:color="000000" w:fill="FFFFFF"/>
            <w:noWrap/>
            <w:vAlign w:val="center"/>
            <w:hideMark/>
          </w:tcPr>
          <w:p w14:paraId="3AD25B4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495</w:t>
            </w:r>
          </w:p>
        </w:tc>
        <w:tc>
          <w:tcPr>
            <w:tcW w:w="421" w:type="pct"/>
            <w:tcBorders>
              <w:top w:val="nil"/>
              <w:left w:val="nil"/>
              <w:bottom w:val="nil"/>
              <w:right w:val="nil"/>
            </w:tcBorders>
            <w:shd w:val="clear" w:color="000000" w:fill="FFFFFF"/>
            <w:noWrap/>
            <w:vAlign w:val="center"/>
            <w:hideMark/>
          </w:tcPr>
          <w:p w14:paraId="3304EF8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2.375</w:t>
            </w:r>
          </w:p>
        </w:tc>
        <w:tc>
          <w:tcPr>
            <w:tcW w:w="407" w:type="pct"/>
            <w:tcBorders>
              <w:top w:val="nil"/>
              <w:left w:val="nil"/>
              <w:bottom w:val="nil"/>
              <w:right w:val="nil"/>
            </w:tcBorders>
            <w:shd w:val="clear" w:color="000000" w:fill="FFFFFF"/>
            <w:noWrap/>
            <w:vAlign w:val="center"/>
            <w:hideMark/>
          </w:tcPr>
          <w:p w14:paraId="5F6649D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1.627</w:t>
            </w:r>
          </w:p>
        </w:tc>
        <w:tc>
          <w:tcPr>
            <w:tcW w:w="407" w:type="pct"/>
            <w:tcBorders>
              <w:top w:val="nil"/>
              <w:left w:val="nil"/>
              <w:bottom w:val="nil"/>
              <w:right w:val="nil"/>
            </w:tcBorders>
            <w:shd w:val="clear" w:color="000000" w:fill="FFFFFF"/>
            <w:noWrap/>
            <w:vAlign w:val="center"/>
            <w:hideMark/>
          </w:tcPr>
          <w:p w14:paraId="722A91B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1.631</w:t>
            </w:r>
          </w:p>
        </w:tc>
        <w:tc>
          <w:tcPr>
            <w:tcW w:w="407" w:type="pct"/>
            <w:tcBorders>
              <w:top w:val="nil"/>
              <w:left w:val="nil"/>
              <w:bottom w:val="nil"/>
              <w:right w:val="nil"/>
            </w:tcBorders>
            <w:shd w:val="clear" w:color="000000" w:fill="FFFFFF"/>
            <w:noWrap/>
            <w:vAlign w:val="center"/>
            <w:hideMark/>
          </w:tcPr>
          <w:p w14:paraId="6626166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491</w:t>
            </w:r>
          </w:p>
        </w:tc>
        <w:tc>
          <w:tcPr>
            <w:tcW w:w="407" w:type="pct"/>
            <w:tcBorders>
              <w:top w:val="nil"/>
              <w:left w:val="nil"/>
              <w:bottom w:val="nil"/>
              <w:right w:val="nil"/>
            </w:tcBorders>
            <w:shd w:val="clear" w:color="000000" w:fill="FFFFFF"/>
            <w:noWrap/>
            <w:vAlign w:val="center"/>
            <w:hideMark/>
          </w:tcPr>
          <w:p w14:paraId="5E36CC0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316</w:t>
            </w:r>
          </w:p>
        </w:tc>
        <w:tc>
          <w:tcPr>
            <w:tcW w:w="407" w:type="pct"/>
            <w:tcBorders>
              <w:top w:val="nil"/>
              <w:left w:val="nil"/>
              <w:bottom w:val="nil"/>
              <w:right w:val="nil"/>
            </w:tcBorders>
            <w:shd w:val="clear" w:color="000000" w:fill="FFFFFF"/>
            <w:noWrap/>
            <w:vAlign w:val="center"/>
            <w:hideMark/>
          </w:tcPr>
          <w:p w14:paraId="773E1B7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w:t>
            </w:r>
          </w:p>
        </w:tc>
        <w:tc>
          <w:tcPr>
            <w:tcW w:w="421" w:type="pct"/>
            <w:tcBorders>
              <w:top w:val="nil"/>
              <w:left w:val="single" w:sz="4" w:space="0" w:color="auto"/>
              <w:bottom w:val="nil"/>
              <w:right w:val="single" w:sz="4" w:space="0" w:color="auto"/>
            </w:tcBorders>
            <w:shd w:val="clear" w:color="000000" w:fill="FFFFFF"/>
            <w:noWrap/>
            <w:vAlign w:val="center"/>
            <w:hideMark/>
          </w:tcPr>
          <w:p w14:paraId="24B12FF4"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07" w:type="pct"/>
            <w:tcBorders>
              <w:top w:val="nil"/>
              <w:left w:val="nil"/>
              <w:bottom w:val="nil"/>
              <w:right w:val="single" w:sz="4" w:space="0" w:color="auto"/>
            </w:tcBorders>
            <w:shd w:val="clear" w:color="000000" w:fill="FFFFFF"/>
            <w:noWrap/>
            <w:vAlign w:val="center"/>
            <w:hideMark/>
          </w:tcPr>
          <w:p w14:paraId="3C89574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6248AC" w:rsidRPr="00650EE4" w14:paraId="7A9892F0"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34E9ED36"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07" w:type="pct"/>
            <w:tcBorders>
              <w:top w:val="nil"/>
              <w:left w:val="nil"/>
              <w:bottom w:val="nil"/>
              <w:right w:val="nil"/>
            </w:tcBorders>
            <w:shd w:val="clear" w:color="000000" w:fill="FFFFFF"/>
            <w:noWrap/>
            <w:vAlign w:val="center"/>
            <w:hideMark/>
          </w:tcPr>
          <w:p w14:paraId="0D3DFFA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407" w:type="pct"/>
            <w:tcBorders>
              <w:top w:val="nil"/>
              <w:left w:val="nil"/>
              <w:bottom w:val="nil"/>
              <w:right w:val="nil"/>
            </w:tcBorders>
            <w:shd w:val="clear" w:color="000000" w:fill="FFFFFF"/>
            <w:noWrap/>
            <w:vAlign w:val="center"/>
            <w:hideMark/>
          </w:tcPr>
          <w:p w14:paraId="1E860EC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467</w:t>
            </w:r>
          </w:p>
        </w:tc>
        <w:tc>
          <w:tcPr>
            <w:tcW w:w="421" w:type="pct"/>
            <w:tcBorders>
              <w:top w:val="nil"/>
              <w:left w:val="nil"/>
              <w:bottom w:val="nil"/>
              <w:right w:val="nil"/>
            </w:tcBorders>
            <w:shd w:val="clear" w:color="000000" w:fill="FFFFFF"/>
            <w:noWrap/>
            <w:vAlign w:val="center"/>
            <w:hideMark/>
          </w:tcPr>
          <w:p w14:paraId="17F2937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1.973</w:t>
            </w:r>
          </w:p>
        </w:tc>
        <w:tc>
          <w:tcPr>
            <w:tcW w:w="407" w:type="pct"/>
            <w:tcBorders>
              <w:top w:val="nil"/>
              <w:left w:val="nil"/>
              <w:bottom w:val="nil"/>
              <w:right w:val="nil"/>
            </w:tcBorders>
            <w:shd w:val="clear" w:color="000000" w:fill="FFFFFF"/>
            <w:noWrap/>
            <w:vAlign w:val="center"/>
            <w:hideMark/>
          </w:tcPr>
          <w:p w14:paraId="5010BAB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218</w:t>
            </w:r>
          </w:p>
        </w:tc>
        <w:tc>
          <w:tcPr>
            <w:tcW w:w="407" w:type="pct"/>
            <w:tcBorders>
              <w:top w:val="nil"/>
              <w:left w:val="nil"/>
              <w:bottom w:val="nil"/>
              <w:right w:val="nil"/>
            </w:tcBorders>
            <w:shd w:val="clear" w:color="000000" w:fill="FFFFFF"/>
            <w:noWrap/>
            <w:vAlign w:val="center"/>
            <w:hideMark/>
          </w:tcPr>
          <w:p w14:paraId="2CD6C61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407" w:type="pct"/>
            <w:tcBorders>
              <w:top w:val="nil"/>
              <w:left w:val="nil"/>
              <w:bottom w:val="nil"/>
              <w:right w:val="nil"/>
            </w:tcBorders>
            <w:shd w:val="clear" w:color="000000" w:fill="FFFFFF"/>
            <w:noWrap/>
            <w:vAlign w:val="center"/>
            <w:hideMark/>
          </w:tcPr>
          <w:p w14:paraId="4679ECC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w:t>
            </w:r>
          </w:p>
        </w:tc>
        <w:tc>
          <w:tcPr>
            <w:tcW w:w="407" w:type="pct"/>
            <w:tcBorders>
              <w:top w:val="nil"/>
              <w:left w:val="nil"/>
              <w:bottom w:val="nil"/>
              <w:right w:val="nil"/>
            </w:tcBorders>
            <w:shd w:val="clear" w:color="000000" w:fill="FFFFFF"/>
            <w:noWrap/>
            <w:vAlign w:val="center"/>
            <w:hideMark/>
          </w:tcPr>
          <w:p w14:paraId="4E7E076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407" w:type="pct"/>
            <w:tcBorders>
              <w:top w:val="nil"/>
              <w:left w:val="nil"/>
              <w:bottom w:val="nil"/>
              <w:right w:val="nil"/>
            </w:tcBorders>
            <w:shd w:val="clear" w:color="000000" w:fill="FFFFFF"/>
            <w:noWrap/>
            <w:vAlign w:val="center"/>
            <w:hideMark/>
          </w:tcPr>
          <w:p w14:paraId="53EFDF1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21" w:type="pct"/>
            <w:tcBorders>
              <w:top w:val="nil"/>
              <w:left w:val="single" w:sz="4" w:space="0" w:color="auto"/>
              <w:bottom w:val="nil"/>
              <w:right w:val="single" w:sz="4" w:space="0" w:color="auto"/>
            </w:tcBorders>
            <w:shd w:val="clear" w:color="000000" w:fill="FFFFFF"/>
            <w:noWrap/>
            <w:vAlign w:val="center"/>
            <w:hideMark/>
          </w:tcPr>
          <w:p w14:paraId="344DCD1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07" w:type="pct"/>
            <w:tcBorders>
              <w:top w:val="nil"/>
              <w:left w:val="nil"/>
              <w:bottom w:val="nil"/>
              <w:right w:val="single" w:sz="4" w:space="0" w:color="auto"/>
            </w:tcBorders>
            <w:shd w:val="clear" w:color="000000" w:fill="FFFFFF"/>
            <w:noWrap/>
            <w:vAlign w:val="center"/>
            <w:hideMark/>
          </w:tcPr>
          <w:p w14:paraId="27C2E35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1,46%</w:t>
            </w:r>
          </w:p>
        </w:tc>
      </w:tr>
      <w:tr w:rsidR="006248AC" w:rsidRPr="00650EE4" w14:paraId="67A42671"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4A49F793"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407" w:type="pct"/>
            <w:tcBorders>
              <w:top w:val="nil"/>
              <w:left w:val="nil"/>
              <w:bottom w:val="nil"/>
              <w:right w:val="nil"/>
            </w:tcBorders>
            <w:shd w:val="clear" w:color="000000" w:fill="FFFFFF"/>
            <w:noWrap/>
            <w:vAlign w:val="center"/>
            <w:hideMark/>
          </w:tcPr>
          <w:p w14:paraId="12AB9BF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407" w:type="pct"/>
            <w:tcBorders>
              <w:top w:val="nil"/>
              <w:left w:val="nil"/>
              <w:bottom w:val="nil"/>
              <w:right w:val="nil"/>
            </w:tcBorders>
            <w:shd w:val="clear" w:color="000000" w:fill="FFFFFF"/>
            <w:noWrap/>
            <w:vAlign w:val="center"/>
            <w:hideMark/>
          </w:tcPr>
          <w:p w14:paraId="5C8A48B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261</w:t>
            </w:r>
          </w:p>
        </w:tc>
        <w:tc>
          <w:tcPr>
            <w:tcW w:w="421" w:type="pct"/>
            <w:tcBorders>
              <w:top w:val="nil"/>
              <w:left w:val="nil"/>
              <w:bottom w:val="nil"/>
              <w:right w:val="nil"/>
            </w:tcBorders>
            <w:shd w:val="clear" w:color="000000" w:fill="FFFFFF"/>
            <w:noWrap/>
            <w:vAlign w:val="center"/>
            <w:hideMark/>
          </w:tcPr>
          <w:p w14:paraId="401457F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987</w:t>
            </w:r>
          </w:p>
        </w:tc>
        <w:tc>
          <w:tcPr>
            <w:tcW w:w="407" w:type="pct"/>
            <w:tcBorders>
              <w:top w:val="nil"/>
              <w:left w:val="nil"/>
              <w:bottom w:val="nil"/>
              <w:right w:val="nil"/>
            </w:tcBorders>
            <w:shd w:val="clear" w:color="000000" w:fill="FFFFFF"/>
            <w:noWrap/>
            <w:vAlign w:val="center"/>
            <w:hideMark/>
          </w:tcPr>
          <w:p w14:paraId="678077F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257</w:t>
            </w:r>
          </w:p>
        </w:tc>
        <w:tc>
          <w:tcPr>
            <w:tcW w:w="407" w:type="pct"/>
            <w:tcBorders>
              <w:top w:val="nil"/>
              <w:left w:val="nil"/>
              <w:bottom w:val="nil"/>
              <w:right w:val="nil"/>
            </w:tcBorders>
            <w:shd w:val="clear" w:color="000000" w:fill="FFFFFF"/>
            <w:noWrap/>
            <w:vAlign w:val="center"/>
            <w:hideMark/>
          </w:tcPr>
          <w:p w14:paraId="468871D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424</w:t>
            </w:r>
          </w:p>
        </w:tc>
        <w:tc>
          <w:tcPr>
            <w:tcW w:w="407" w:type="pct"/>
            <w:tcBorders>
              <w:top w:val="nil"/>
              <w:left w:val="nil"/>
              <w:bottom w:val="nil"/>
              <w:right w:val="nil"/>
            </w:tcBorders>
            <w:shd w:val="clear" w:color="000000" w:fill="FFFFFF"/>
            <w:noWrap/>
            <w:vAlign w:val="center"/>
            <w:hideMark/>
          </w:tcPr>
          <w:p w14:paraId="7B8416C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207</w:t>
            </w:r>
          </w:p>
        </w:tc>
        <w:tc>
          <w:tcPr>
            <w:tcW w:w="407" w:type="pct"/>
            <w:tcBorders>
              <w:top w:val="nil"/>
              <w:left w:val="nil"/>
              <w:bottom w:val="nil"/>
              <w:right w:val="nil"/>
            </w:tcBorders>
            <w:shd w:val="clear" w:color="000000" w:fill="FFFFFF"/>
            <w:noWrap/>
            <w:vAlign w:val="center"/>
            <w:hideMark/>
          </w:tcPr>
          <w:p w14:paraId="156AA9A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w:t>
            </w:r>
          </w:p>
        </w:tc>
        <w:tc>
          <w:tcPr>
            <w:tcW w:w="407" w:type="pct"/>
            <w:tcBorders>
              <w:top w:val="nil"/>
              <w:left w:val="nil"/>
              <w:bottom w:val="nil"/>
              <w:right w:val="nil"/>
            </w:tcBorders>
            <w:shd w:val="clear" w:color="000000" w:fill="FFFFFF"/>
            <w:noWrap/>
            <w:vAlign w:val="center"/>
            <w:hideMark/>
          </w:tcPr>
          <w:p w14:paraId="37FC6CE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116</w:t>
            </w:r>
          </w:p>
        </w:tc>
        <w:tc>
          <w:tcPr>
            <w:tcW w:w="421" w:type="pct"/>
            <w:tcBorders>
              <w:top w:val="nil"/>
              <w:left w:val="single" w:sz="4" w:space="0" w:color="auto"/>
              <w:bottom w:val="nil"/>
              <w:right w:val="single" w:sz="4" w:space="0" w:color="auto"/>
            </w:tcBorders>
            <w:shd w:val="clear" w:color="000000" w:fill="FFFFFF"/>
            <w:noWrap/>
            <w:vAlign w:val="center"/>
            <w:hideMark/>
          </w:tcPr>
          <w:p w14:paraId="69E9A018"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07" w:type="pct"/>
            <w:tcBorders>
              <w:top w:val="nil"/>
              <w:left w:val="nil"/>
              <w:bottom w:val="nil"/>
              <w:right w:val="single" w:sz="4" w:space="0" w:color="auto"/>
            </w:tcBorders>
            <w:shd w:val="clear" w:color="000000" w:fill="FFFFFF"/>
            <w:noWrap/>
            <w:vAlign w:val="center"/>
            <w:hideMark/>
          </w:tcPr>
          <w:p w14:paraId="42AFA6F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1,24%</w:t>
            </w:r>
          </w:p>
        </w:tc>
      </w:tr>
      <w:tr w:rsidR="006248AC" w:rsidRPr="00650EE4" w14:paraId="69CECCAD"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1F63B46A"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407" w:type="pct"/>
            <w:tcBorders>
              <w:top w:val="nil"/>
              <w:left w:val="nil"/>
              <w:bottom w:val="nil"/>
              <w:right w:val="nil"/>
            </w:tcBorders>
            <w:shd w:val="clear" w:color="000000" w:fill="FFFFFF"/>
            <w:noWrap/>
            <w:vAlign w:val="center"/>
            <w:hideMark/>
          </w:tcPr>
          <w:p w14:paraId="4F0D078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145</w:t>
            </w:r>
          </w:p>
        </w:tc>
        <w:tc>
          <w:tcPr>
            <w:tcW w:w="407" w:type="pct"/>
            <w:tcBorders>
              <w:top w:val="nil"/>
              <w:left w:val="nil"/>
              <w:bottom w:val="nil"/>
              <w:right w:val="nil"/>
            </w:tcBorders>
            <w:shd w:val="clear" w:color="000000" w:fill="FFFFFF"/>
            <w:noWrap/>
            <w:vAlign w:val="center"/>
            <w:hideMark/>
          </w:tcPr>
          <w:p w14:paraId="41E752D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467</w:t>
            </w:r>
          </w:p>
        </w:tc>
        <w:tc>
          <w:tcPr>
            <w:tcW w:w="421" w:type="pct"/>
            <w:tcBorders>
              <w:top w:val="nil"/>
              <w:left w:val="nil"/>
              <w:bottom w:val="nil"/>
              <w:right w:val="nil"/>
            </w:tcBorders>
            <w:shd w:val="clear" w:color="000000" w:fill="FFFFFF"/>
            <w:noWrap/>
            <w:vAlign w:val="center"/>
            <w:hideMark/>
          </w:tcPr>
          <w:p w14:paraId="6260BDF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1.449</w:t>
            </w:r>
          </w:p>
        </w:tc>
        <w:tc>
          <w:tcPr>
            <w:tcW w:w="407" w:type="pct"/>
            <w:tcBorders>
              <w:top w:val="nil"/>
              <w:left w:val="nil"/>
              <w:bottom w:val="nil"/>
              <w:right w:val="nil"/>
            </w:tcBorders>
            <w:shd w:val="clear" w:color="000000" w:fill="FFFFFF"/>
            <w:noWrap/>
            <w:vAlign w:val="center"/>
            <w:hideMark/>
          </w:tcPr>
          <w:p w14:paraId="3463B23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122</w:t>
            </w:r>
          </w:p>
        </w:tc>
        <w:tc>
          <w:tcPr>
            <w:tcW w:w="407" w:type="pct"/>
            <w:tcBorders>
              <w:top w:val="nil"/>
              <w:left w:val="nil"/>
              <w:bottom w:val="nil"/>
              <w:right w:val="nil"/>
            </w:tcBorders>
            <w:shd w:val="clear" w:color="000000" w:fill="FFFFFF"/>
            <w:noWrap/>
            <w:vAlign w:val="center"/>
            <w:hideMark/>
          </w:tcPr>
          <w:p w14:paraId="6FB90F3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w:t>
            </w:r>
          </w:p>
        </w:tc>
        <w:tc>
          <w:tcPr>
            <w:tcW w:w="407" w:type="pct"/>
            <w:tcBorders>
              <w:top w:val="nil"/>
              <w:left w:val="nil"/>
              <w:bottom w:val="nil"/>
              <w:right w:val="nil"/>
            </w:tcBorders>
            <w:shd w:val="clear" w:color="000000" w:fill="FFFFFF"/>
            <w:noWrap/>
            <w:vAlign w:val="center"/>
            <w:hideMark/>
          </w:tcPr>
          <w:p w14:paraId="2989C15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07" w:type="pct"/>
            <w:tcBorders>
              <w:top w:val="nil"/>
              <w:left w:val="nil"/>
              <w:bottom w:val="nil"/>
              <w:right w:val="nil"/>
            </w:tcBorders>
            <w:shd w:val="clear" w:color="000000" w:fill="FFFFFF"/>
            <w:noWrap/>
            <w:vAlign w:val="center"/>
            <w:hideMark/>
          </w:tcPr>
          <w:p w14:paraId="24CC0DE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407" w:type="pct"/>
            <w:tcBorders>
              <w:top w:val="nil"/>
              <w:left w:val="nil"/>
              <w:bottom w:val="nil"/>
              <w:right w:val="nil"/>
            </w:tcBorders>
            <w:shd w:val="clear" w:color="000000" w:fill="FFFFFF"/>
            <w:noWrap/>
            <w:vAlign w:val="center"/>
            <w:hideMark/>
          </w:tcPr>
          <w:p w14:paraId="433D960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1" w:type="pct"/>
            <w:tcBorders>
              <w:top w:val="nil"/>
              <w:left w:val="single" w:sz="4" w:space="0" w:color="auto"/>
              <w:bottom w:val="nil"/>
              <w:right w:val="single" w:sz="4" w:space="0" w:color="auto"/>
            </w:tcBorders>
            <w:shd w:val="clear" w:color="000000" w:fill="FFFFFF"/>
            <w:noWrap/>
            <w:vAlign w:val="center"/>
            <w:hideMark/>
          </w:tcPr>
          <w:p w14:paraId="2CB17F35"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07" w:type="pct"/>
            <w:tcBorders>
              <w:top w:val="nil"/>
              <w:left w:val="nil"/>
              <w:bottom w:val="nil"/>
              <w:right w:val="single" w:sz="4" w:space="0" w:color="auto"/>
            </w:tcBorders>
            <w:shd w:val="clear" w:color="000000" w:fill="FFFFFF"/>
            <w:noWrap/>
            <w:vAlign w:val="center"/>
            <w:hideMark/>
          </w:tcPr>
          <w:p w14:paraId="3069E6F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w:t>
            </w:r>
          </w:p>
        </w:tc>
      </w:tr>
      <w:tr w:rsidR="006248AC" w:rsidRPr="00650EE4" w14:paraId="39D8D933"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3D8EEA1B"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07" w:type="pct"/>
            <w:tcBorders>
              <w:top w:val="nil"/>
              <w:left w:val="nil"/>
              <w:bottom w:val="nil"/>
              <w:right w:val="nil"/>
            </w:tcBorders>
            <w:shd w:val="clear" w:color="000000" w:fill="FFFFFF"/>
            <w:noWrap/>
            <w:vAlign w:val="center"/>
            <w:hideMark/>
          </w:tcPr>
          <w:p w14:paraId="2EB7DEC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407" w:type="pct"/>
            <w:tcBorders>
              <w:top w:val="nil"/>
              <w:left w:val="nil"/>
              <w:bottom w:val="nil"/>
              <w:right w:val="nil"/>
            </w:tcBorders>
            <w:shd w:val="clear" w:color="000000" w:fill="FFFFFF"/>
            <w:noWrap/>
            <w:vAlign w:val="center"/>
            <w:hideMark/>
          </w:tcPr>
          <w:p w14:paraId="5EEB6C3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227</w:t>
            </w:r>
          </w:p>
        </w:tc>
        <w:tc>
          <w:tcPr>
            <w:tcW w:w="421" w:type="pct"/>
            <w:tcBorders>
              <w:top w:val="nil"/>
              <w:left w:val="nil"/>
              <w:bottom w:val="nil"/>
              <w:right w:val="nil"/>
            </w:tcBorders>
            <w:shd w:val="clear" w:color="000000" w:fill="FFFFFF"/>
            <w:noWrap/>
            <w:vAlign w:val="center"/>
            <w:hideMark/>
          </w:tcPr>
          <w:p w14:paraId="08A42D1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1.231</w:t>
            </w:r>
          </w:p>
        </w:tc>
        <w:tc>
          <w:tcPr>
            <w:tcW w:w="407" w:type="pct"/>
            <w:tcBorders>
              <w:top w:val="nil"/>
              <w:left w:val="nil"/>
              <w:bottom w:val="nil"/>
              <w:right w:val="nil"/>
            </w:tcBorders>
            <w:shd w:val="clear" w:color="000000" w:fill="FFFFFF"/>
            <w:noWrap/>
            <w:vAlign w:val="center"/>
            <w:hideMark/>
          </w:tcPr>
          <w:p w14:paraId="1D6379E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w:t>
            </w:r>
          </w:p>
        </w:tc>
        <w:tc>
          <w:tcPr>
            <w:tcW w:w="407" w:type="pct"/>
            <w:tcBorders>
              <w:top w:val="nil"/>
              <w:left w:val="nil"/>
              <w:bottom w:val="nil"/>
              <w:right w:val="nil"/>
            </w:tcBorders>
            <w:shd w:val="clear" w:color="000000" w:fill="FFFFFF"/>
            <w:noWrap/>
            <w:vAlign w:val="center"/>
            <w:hideMark/>
          </w:tcPr>
          <w:p w14:paraId="0C48F1A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203</w:t>
            </w:r>
          </w:p>
        </w:tc>
        <w:tc>
          <w:tcPr>
            <w:tcW w:w="407" w:type="pct"/>
            <w:tcBorders>
              <w:top w:val="nil"/>
              <w:left w:val="nil"/>
              <w:bottom w:val="nil"/>
              <w:right w:val="nil"/>
            </w:tcBorders>
            <w:shd w:val="clear" w:color="000000" w:fill="FFFFFF"/>
            <w:noWrap/>
            <w:vAlign w:val="center"/>
            <w:hideMark/>
          </w:tcPr>
          <w:p w14:paraId="656C7AB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w:t>
            </w:r>
          </w:p>
        </w:tc>
        <w:tc>
          <w:tcPr>
            <w:tcW w:w="407" w:type="pct"/>
            <w:tcBorders>
              <w:top w:val="nil"/>
              <w:left w:val="nil"/>
              <w:bottom w:val="nil"/>
              <w:right w:val="nil"/>
            </w:tcBorders>
            <w:shd w:val="clear" w:color="000000" w:fill="FFFFFF"/>
            <w:noWrap/>
            <w:vAlign w:val="center"/>
            <w:hideMark/>
          </w:tcPr>
          <w:p w14:paraId="0DACF53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w:t>
            </w:r>
          </w:p>
        </w:tc>
        <w:tc>
          <w:tcPr>
            <w:tcW w:w="407" w:type="pct"/>
            <w:tcBorders>
              <w:top w:val="nil"/>
              <w:left w:val="nil"/>
              <w:bottom w:val="nil"/>
              <w:right w:val="nil"/>
            </w:tcBorders>
            <w:shd w:val="clear" w:color="000000" w:fill="FFFFFF"/>
            <w:noWrap/>
            <w:vAlign w:val="center"/>
            <w:hideMark/>
          </w:tcPr>
          <w:p w14:paraId="3F48B31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421" w:type="pct"/>
            <w:tcBorders>
              <w:top w:val="nil"/>
              <w:left w:val="single" w:sz="4" w:space="0" w:color="auto"/>
              <w:bottom w:val="nil"/>
              <w:right w:val="single" w:sz="4" w:space="0" w:color="auto"/>
            </w:tcBorders>
            <w:shd w:val="clear" w:color="000000" w:fill="FFFFFF"/>
            <w:noWrap/>
            <w:vAlign w:val="center"/>
            <w:hideMark/>
          </w:tcPr>
          <w:p w14:paraId="630B97AD"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07" w:type="pct"/>
            <w:tcBorders>
              <w:top w:val="nil"/>
              <w:left w:val="nil"/>
              <w:bottom w:val="nil"/>
              <w:right w:val="single" w:sz="4" w:space="0" w:color="auto"/>
            </w:tcBorders>
            <w:shd w:val="clear" w:color="000000" w:fill="FFFFFF"/>
            <w:noWrap/>
            <w:vAlign w:val="center"/>
            <w:hideMark/>
          </w:tcPr>
          <w:p w14:paraId="4EC6C0A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r>
      <w:tr w:rsidR="006248AC" w:rsidRPr="00650EE4" w14:paraId="09476BB5" w14:textId="77777777" w:rsidTr="00307987">
        <w:tc>
          <w:tcPr>
            <w:tcW w:w="905" w:type="pct"/>
            <w:tcBorders>
              <w:top w:val="nil"/>
              <w:left w:val="single" w:sz="4" w:space="0" w:color="auto"/>
              <w:bottom w:val="single" w:sz="4" w:space="0" w:color="auto"/>
              <w:right w:val="single" w:sz="4" w:space="0" w:color="auto"/>
            </w:tcBorders>
            <w:shd w:val="clear" w:color="000000" w:fill="FFFFFF"/>
            <w:noWrap/>
            <w:vAlign w:val="center"/>
            <w:hideMark/>
          </w:tcPr>
          <w:p w14:paraId="4F1144E8"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07" w:type="pct"/>
            <w:tcBorders>
              <w:top w:val="nil"/>
              <w:left w:val="nil"/>
              <w:bottom w:val="nil"/>
              <w:right w:val="nil"/>
            </w:tcBorders>
            <w:shd w:val="clear" w:color="000000" w:fill="FFFFFF"/>
            <w:noWrap/>
            <w:vAlign w:val="center"/>
            <w:hideMark/>
          </w:tcPr>
          <w:p w14:paraId="648D47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407" w:type="pct"/>
            <w:tcBorders>
              <w:top w:val="nil"/>
              <w:left w:val="nil"/>
              <w:bottom w:val="nil"/>
              <w:right w:val="nil"/>
            </w:tcBorders>
            <w:shd w:val="clear" w:color="000000" w:fill="FFFFFF"/>
            <w:noWrap/>
            <w:vAlign w:val="center"/>
            <w:hideMark/>
          </w:tcPr>
          <w:p w14:paraId="1B0792C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239</w:t>
            </w:r>
          </w:p>
        </w:tc>
        <w:tc>
          <w:tcPr>
            <w:tcW w:w="421" w:type="pct"/>
            <w:tcBorders>
              <w:top w:val="nil"/>
              <w:left w:val="nil"/>
              <w:bottom w:val="nil"/>
              <w:right w:val="nil"/>
            </w:tcBorders>
            <w:shd w:val="clear" w:color="000000" w:fill="FFFFFF"/>
            <w:noWrap/>
            <w:vAlign w:val="center"/>
            <w:hideMark/>
          </w:tcPr>
          <w:p w14:paraId="0C96D54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711</w:t>
            </w:r>
          </w:p>
        </w:tc>
        <w:tc>
          <w:tcPr>
            <w:tcW w:w="407" w:type="pct"/>
            <w:tcBorders>
              <w:top w:val="nil"/>
              <w:left w:val="nil"/>
              <w:bottom w:val="nil"/>
              <w:right w:val="nil"/>
            </w:tcBorders>
            <w:shd w:val="clear" w:color="000000" w:fill="FFFFFF"/>
            <w:noWrap/>
            <w:vAlign w:val="center"/>
            <w:hideMark/>
          </w:tcPr>
          <w:p w14:paraId="1181D23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w:t>
            </w:r>
          </w:p>
        </w:tc>
        <w:tc>
          <w:tcPr>
            <w:tcW w:w="407" w:type="pct"/>
            <w:tcBorders>
              <w:top w:val="nil"/>
              <w:left w:val="nil"/>
              <w:bottom w:val="nil"/>
              <w:right w:val="nil"/>
            </w:tcBorders>
            <w:shd w:val="clear" w:color="000000" w:fill="FFFFFF"/>
            <w:noWrap/>
            <w:vAlign w:val="center"/>
            <w:hideMark/>
          </w:tcPr>
          <w:p w14:paraId="3C6ABA1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w:t>
            </w:r>
          </w:p>
        </w:tc>
        <w:tc>
          <w:tcPr>
            <w:tcW w:w="407" w:type="pct"/>
            <w:tcBorders>
              <w:top w:val="nil"/>
              <w:left w:val="nil"/>
              <w:bottom w:val="nil"/>
              <w:right w:val="nil"/>
            </w:tcBorders>
            <w:shd w:val="clear" w:color="000000" w:fill="FFFFFF"/>
            <w:noWrap/>
            <w:vAlign w:val="center"/>
            <w:hideMark/>
          </w:tcPr>
          <w:p w14:paraId="6571AE9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407" w:type="pct"/>
            <w:tcBorders>
              <w:top w:val="nil"/>
              <w:left w:val="nil"/>
              <w:bottom w:val="nil"/>
              <w:right w:val="nil"/>
            </w:tcBorders>
            <w:shd w:val="clear" w:color="000000" w:fill="FFFFFF"/>
            <w:noWrap/>
            <w:vAlign w:val="center"/>
            <w:hideMark/>
          </w:tcPr>
          <w:p w14:paraId="5544A7F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w:t>
            </w:r>
          </w:p>
        </w:tc>
        <w:tc>
          <w:tcPr>
            <w:tcW w:w="407" w:type="pct"/>
            <w:tcBorders>
              <w:top w:val="nil"/>
              <w:left w:val="nil"/>
              <w:bottom w:val="nil"/>
              <w:right w:val="nil"/>
            </w:tcBorders>
            <w:shd w:val="clear" w:color="000000" w:fill="FFFFFF"/>
            <w:noWrap/>
            <w:vAlign w:val="center"/>
            <w:hideMark/>
          </w:tcPr>
          <w:p w14:paraId="45EC438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21" w:type="pct"/>
            <w:tcBorders>
              <w:top w:val="nil"/>
              <w:left w:val="single" w:sz="4" w:space="0" w:color="auto"/>
              <w:bottom w:val="single" w:sz="4" w:space="0" w:color="auto"/>
              <w:right w:val="single" w:sz="4" w:space="0" w:color="auto"/>
            </w:tcBorders>
            <w:shd w:val="clear" w:color="000000" w:fill="FFFFFF"/>
            <w:noWrap/>
            <w:vAlign w:val="center"/>
            <w:hideMark/>
          </w:tcPr>
          <w:p w14:paraId="13E8B1D3"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07" w:type="pct"/>
            <w:tcBorders>
              <w:top w:val="nil"/>
              <w:left w:val="nil"/>
              <w:bottom w:val="single" w:sz="4" w:space="0" w:color="auto"/>
              <w:right w:val="single" w:sz="4" w:space="0" w:color="auto"/>
            </w:tcBorders>
            <w:shd w:val="clear" w:color="000000" w:fill="FFFFFF"/>
            <w:noWrap/>
            <w:vAlign w:val="center"/>
            <w:hideMark/>
          </w:tcPr>
          <w:p w14:paraId="60FA9C3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0,79%</w:t>
            </w:r>
          </w:p>
        </w:tc>
      </w:tr>
      <w:tr w:rsidR="006248AC" w:rsidRPr="00650EE4" w14:paraId="102131A9" w14:textId="77777777" w:rsidTr="00307987">
        <w:tc>
          <w:tcPr>
            <w:tcW w:w="905" w:type="pct"/>
            <w:tcBorders>
              <w:top w:val="nil"/>
              <w:left w:val="single" w:sz="4" w:space="0" w:color="auto"/>
              <w:bottom w:val="single" w:sz="4" w:space="0" w:color="auto"/>
              <w:right w:val="single" w:sz="4" w:space="0" w:color="auto"/>
            </w:tcBorders>
            <w:shd w:val="clear" w:color="000000" w:fill="FFFFFF"/>
            <w:noWrap/>
            <w:vAlign w:val="center"/>
            <w:hideMark/>
          </w:tcPr>
          <w:p w14:paraId="13FBB90D" w14:textId="77777777" w:rsidR="006248AC" w:rsidRPr="00650EE4" w:rsidRDefault="006248AC" w:rsidP="006248AC">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7" w:type="pct"/>
            <w:tcBorders>
              <w:top w:val="single" w:sz="4" w:space="0" w:color="auto"/>
              <w:left w:val="nil"/>
              <w:bottom w:val="nil"/>
              <w:right w:val="nil"/>
            </w:tcBorders>
            <w:shd w:val="clear" w:color="000000" w:fill="FFFFFF"/>
            <w:noWrap/>
            <w:vAlign w:val="center"/>
            <w:hideMark/>
          </w:tcPr>
          <w:p w14:paraId="3AF6E756"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2.605</w:t>
            </w:r>
          </w:p>
        </w:tc>
        <w:tc>
          <w:tcPr>
            <w:tcW w:w="407" w:type="pct"/>
            <w:tcBorders>
              <w:top w:val="single" w:sz="4" w:space="0" w:color="auto"/>
              <w:left w:val="nil"/>
              <w:bottom w:val="nil"/>
              <w:right w:val="nil"/>
            </w:tcBorders>
            <w:shd w:val="clear" w:color="000000" w:fill="FFFFFF"/>
            <w:noWrap/>
            <w:vAlign w:val="center"/>
            <w:hideMark/>
          </w:tcPr>
          <w:p w14:paraId="2D15B040"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31.489</w:t>
            </w:r>
          </w:p>
        </w:tc>
        <w:tc>
          <w:tcPr>
            <w:tcW w:w="421" w:type="pct"/>
            <w:tcBorders>
              <w:top w:val="single" w:sz="4" w:space="0" w:color="auto"/>
              <w:left w:val="nil"/>
              <w:bottom w:val="nil"/>
              <w:right w:val="nil"/>
            </w:tcBorders>
            <w:shd w:val="clear" w:color="000000" w:fill="FFFFFF"/>
            <w:noWrap/>
            <w:vAlign w:val="center"/>
            <w:hideMark/>
          </w:tcPr>
          <w:p w14:paraId="34175135"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116.375</w:t>
            </w:r>
          </w:p>
        </w:tc>
        <w:tc>
          <w:tcPr>
            <w:tcW w:w="407" w:type="pct"/>
            <w:tcBorders>
              <w:top w:val="single" w:sz="4" w:space="0" w:color="auto"/>
              <w:left w:val="nil"/>
              <w:bottom w:val="nil"/>
              <w:right w:val="nil"/>
            </w:tcBorders>
            <w:shd w:val="clear" w:color="000000" w:fill="FFFFFF"/>
            <w:noWrap/>
            <w:vAlign w:val="center"/>
            <w:hideMark/>
          </w:tcPr>
          <w:p w14:paraId="7D931C71"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18.472</w:t>
            </w:r>
          </w:p>
        </w:tc>
        <w:tc>
          <w:tcPr>
            <w:tcW w:w="407" w:type="pct"/>
            <w:tcBorders>
              <w:top w:val="single" w:sz="4" w:space="0" w:color="auto"/>
              <w:left w:val="nil"/>
              <w:bottom w:val="nil"/>
              <w:right w:val="nil"/>
            </w:tcBorders>
            <w:shd w:val="clear" w:color="000000" w:fill="FFFFFF"/>
            <w:noWrap/>
            <w:vAlign w:val="center"/>
            <w:hideMark/>
          </w:tcPr>
          <w:p w14:paraId="0FB7121D"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16.938</w:t>
            </w:r>
          </w:p>
        </w:tc>
        <w:tc>
          <w:tcPr>
            <w:tcW w:w="407" w:type="pct"/>
            <w:tcBorders>
              <w:top w:val="single" w:sz="4" w:space="0" w:color="auto"/>
              <w:left w:val="nil"/>
              <w:bottom w:val="nil"/>
              <w:right w:val="nil"/>
            </w:tcBorders>
            <w:shd w:val="clear" w:color="000000" w:fill="FFFFFF"/>
            <w:noWrap/>
            <w:vAlign w:val="center"/>
            <w:hideMark/>
          </w:tcPr>
          <w:p w14:paraId="7D3EAE22"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7.201</w:t>
            </w:r>
          </w:p>
        </w:tc>
        <w:tc>
          <w:tcPr>
            <w:tcW w:w="407" w:type="pct"/>
            <w:tcBorders>
              <w:top w:val="single" w:sz="4" w:space="0" w:color="auto"/>
              <w:left w:val="nil"/>
              <w:bottom w:val="nil"/>
              <w:right w:val="nil"/>
            </w:tcBorders>
            <w:shd w:val="clear" w:color="000000" w:fill="FFFFFF"/>
            <w:noWrap/>
            <w:vAlign w:val="center"/>
            <w:hideMark/>
          </w:tcPr>
          <w:p w14:paraId="68AB591E"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5.722</w:t>
            </w:r>
          </w:p>
        </w:tc>
        <w:tc>
          <w:tcPr>
            <w:tcW w:w="407" w:type="pct"/>
            <w:tcBorders>
              <w:top w:val="single" w:sz="4" w:space="0" w:color="auto"/>
              <w:left w:val="nil"/>
              <w:bottom w:val="nil"/>
              <w:right w:val="single" w:sz="4" w:space="0" w:color="auto"/>
            </w:tcBorders>
            <w:shd w:val="clear" w:color="000000" w:fill="FFFFFF"/>
            <w:noWrap/>
            <w:vAlign w:val="center"/>
            <w:hideMark/>
          </w:tcPr>
          <w:p w14:paraId="1086BD07"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2.872</w:t>
            </w:r>
          </w:p>
        </w:tc>
        <w:tc>
          <w:tcPr>
            <w:tcW w:w="421" w:type="pct"/>
            <w:tcBorders>
              <w:top w:val="nil"/>
              <w:left w:val="nil"/>
              <w:bottom w:val="single" w:sz="4" w:space="0" w:color="auto"/>
              <w:right w:val="single" w:sz="4" w:space="0" w:color="auto"/>
            </w:tcBorders>
            <w:shd w:val="clear" w:color="000000" w:fill="FFFFFF"/>
            <w:noWrap/>
            <w:vAlign w:val="center"/>
            <w:hideMark/>
          </w:tcPr>
          <w:p w14:paraId="1C0E62F4"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07" w:type="pct"/>
            <w:tcBorders>
              <w:top w:val="nil"/>
              <w:left w:val="nil"/>
              <w:bottom w:val="single" w:sz="4" w:space="0" w:color="auto"/>
              <w:right w:val="single" w:sz="4" w:space="0" w:color="auto"/>
            </w:tcBorders>
            <w:shd w:val="clear" w:color="000000" w:fill="FFFFFF"/>
            <w:noWrap/>
            <w:vAlign w:val="center"/>
            <w:hideMark/>
          </w:tcPr>
          <w:p w14:paraId="6EF6E0F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248AC" w:rsidRPr="00650EE4" w14:paraId="3739D05A" w14:textId="77777777" w:rsidTr="00307987">
        <w:tc>
          <w:tcPr>
            <w:tcW w:w="905" w:type="pct"/>
            <w:tcBorders>
              <w:top w:val="nil"/>
              <w:left w:val="single" w:sz="4" w:space="0" w:color="auto"/>
              <w:bottom w:val="single" w:sz="4" w:space="0" w:color="auto"/>
              <w:right w:val="nil"/>
            </w:tcBorders>
            <w:shd w:val="clear" w:color="000000" w:fill="FFFFFF"/>
            <w:noWrap/>
            <w:vAlign w:val="center"/>
            <w:hideMark/>
          </w:tcPr>
          <w:p w14:paraId="647AD046"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07" w:type="pct"/>
            <w:tcBorders>
              <w:top w:val="single" w:sz="4" w:space="0" w:color="auto"/>
              <w:left w:val="single" w:sz="4" w:space="0" w:color="auto"/>
              <w:bottom w:val="single" w:sz="4" w:space="0" w:color="auto"/>
              <w:right w:val="nil"/>
            </w:tcBorders>
            <w:shd w:val="clear" w:color="000000" w:fill="FFFFFF"/>
            <w:noWrap/>
            <w:vAlign w:val="center"/>
            <w:hideMark/>
          </w:tcPr>
          <w:p w14:paraId="5694E9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07" w:type="pct"/>
            <w:tcBorders>
              <w:top w:val="single" w:sz="4" w:space="0" w:color="auto"/>
              <w:left w:val="nil"/>
              <w:bottom w:val="single" w:sz="4" w:space="0" w:color="auto"/>
              <w:right w:val="nil"/>
            </w:tcBorders>
            <w:shd w:val="clear" w:color="000000" w:fill="FFFFFF"/>
            <w:noWrap/>
            <w:vAlign w:val="center"/>
            <w:hideMark/>
          </w:tcPr>
          <w:p w14:paraId="29DDAF3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21" w:type="pct"/>
            <w:tcBorders>
              <w:top w:val="single" w:sz="4" w:space="0" w:color="auto"/>
              <w:left w:val="nil"/>
              <w:bottom w:val="single" w:sz="4" w:space="0" w:color="auto"/>
              <w:right w:val="nil"/>
            </w:tcBorders>
            <w:shd w:val="clear" w:color="000000" w:fill="FFFFFF"/>
            <w:noWrap/>
            <w:vAlign w:val="center"/>
            <w:hideMark/>
          </w:tcPr>
          <w:p w14:paraId="38978D3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w:t>
            </w:r>
          </w:p>
        </w:tc>
        <w:tc>
          <w:tcPr>
            <w:tcW w:w="407" w:type="pct"/>
            <w:tcBorders>
              <w:top w:val="single" w:sz="4" w:space="0" w:color="auto"/>
              <w:left w:val="nil"/>
              <w:bottom w:val="single" w:sz="4" w:space="0" w:color="auto"/>
              <w:right w:val="nil"/>
            </w:tcBorders>
            <w:shd w:val="clear" w:color="000000" w:fill="FFFFFF"/>
            <w:noWrap/>
            <w:vAlign w:val="center"/>
            <w:hideMark/>
          </w:tcPr>
          <w:p w14:paraId="29119F0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07" w:type="pct"/>
            <w:tcBorders>
              <w:top w:val="single" w:sz="4" w:space="0" w:color="auto"/>
              <w:left w:val="nil"/>
              <w:bottom w:val="single" w:sz="4" w:space="0" w:color="auto"/>
              <w:right w:val="nil"/>
            </w:tcBorders>
            <w:shd w:val="clear" w:color="000000" w:fill="FFFFFF"/>
            <w:noWrap/>
            <w:vAlign w:val="center"/>
            <w:hideMark/>
          </w:tcPr>
          <w:p w14:paraId="240F52F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407" w:type="pct"/>
            <w:tcBorders>
              <w:top w:val="single" w:sz="4" w:space="0" w:color="auto"/>
              <w:left w:val="nil"/>
              <w:bottom w:val="single" w:sz="4" w:space="0" w:color="auto"/>
              <w:right w:val="nil"/>
            </w:tcBorders>
            <w:shd w:val="clear" w:color="000000" w:fill="FFFFFF"/>
            <w:noWrap/>
            <w:vAlign w:val="center"/>
            <w:hideMark/>
          </w:tcPr>
          <w:p w14:paraId="7AEDE19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07" w:type="pct"/>
            <w:tcBorders>
              <w:top w:val="single" w:sz="4" w:space="0" w:color="auto"/>
              <w:left w:val="nil"/>
              <w:bottom w:val="single" w:sz="4" w:space="0" w:color="auto"/>
              <w:right w:val="nil"/>
            </w:tcBorders>
            <w:shd w:val="clear" w:color="000000" w:fill="FFFFFF"/>
            <w:noWrap/>
            <w:vAlign w:val="center"/>
            <w:hideMark/>
          </w:tcPr>
          <w:p w14:paraId="12F4F36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07" w:type="pct"/>
            <w:tcBorders>
              <w:top w:val="single" w:sz="4" w:space="0" w:color="auto"/>
              <w:left w:val="nil"/>
              <w:bottom w:val="single" w:sz="4" w:space="0" w:color="auto"/>
              <w:right w:val="single" w:sz="4" w:space="0" w:color="auto"/>
            </w:tcBorders>
            <w:shd w:val="clear" w:color="000000" w:fill="FFFFFF"/>
            <w:noWrap/>
            <w:vAlign w:val="center"/>
            <w:hideMark/>
          </w:tcPr>
          <w:p w14:paraId="5A2A156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21" w:type="pct"/>
            <w:tcBorders>
              <w:top w:val="nil"/>
              <w:left w:val="nil"/>
              <w:bottom w:val="single" w:sz="4" w:space="0" w:color="auto"/>
              <w:right w:val="single" w:sz="4" w:space="0" w:color="auto"/>
            </w:tcBorders>
            <w:shd w:val="clear" w:color="000000" w:fill="FFFFFF"/>
            <w:noWrap/>
            <w:vAlign w:val="center"/>
            <w:hideMark/>
          </w:tcPr>
          <w:p w14:paraId="1B82D9B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07" w:type="pct"/>
            <w:tcBorders>
              <w:top w:val="nil"/>
              <w:left w:val="nil"/>
              <w:bottom w:val="single" w:sz="4" w:space="0" w:color="auto"/>
              <w:right w:val="single" w:sz="4" w:space="0" w:color="auto"/>
            </w:tcBorders>
            <w:shd w:val="clear" w:color="000000" w:fill="FFFFFF"/>
            <w:noWrap/>
            <w:vAlign w:val="center"/>
            <w:hideMark/>
          </w:tcPr>
          <w:p w14:paraId="05E82E03"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24B32958" w14:textId="26474A8C" w:rsidR="00242210" w:rsidRPr="00650EE4" w:rsidRDefault="004C7DC5" w:rsidP="00242210">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242210" w:rsidRPr="00650EE4">
        <w:rPr>
          <w:rFonts w:ascii="Times New Roman" w:eastAsia="Times New Roman" w:hAnsi="Times New Roman"/>
          <w:i/>
          <w:color w:val="000000" w:themeColor="text1"/>
          <w:sz w:val="20"/>
          <w:szCs w:val="20"/>
        </w:rPr>
        <w:t>duomenys (2019.12.31)</w:t>
      </w:r>
    </w:p>
    <w:p w14:paraId="5DEA8CA8" w14:textId="77777777" w:rsidR="001A20D0" w:rsidRPr="00650EE4" w:rsidRDefault="001A20D0" w:rsidP="001A20D0">
      <w:pPr>
        <w:spacing w:line="240" w:lineRule="auto"/>
        <w:rPr>
          <w:rFonts w:ascii="Times New Roman" w:hAnsi="Times New Roman"/>
          <w:color w:val="000000" w:themeColor="text1"/>
          <w:szCs w:val="22"/>
        </w:rPr>
      </w:pPr>
    </w:p>
    <w:p w14:paraId="1EEC4C46" w14:textId="57C5534F" w:rsidR="005E0E13" w:rsidRPr="00650EE4" w:rsidRDefault="00E25E23" w:rsidP="005956E8">
      <w:pPr>
        <w:spacing w:line="240" w:lineRule="auto"/>
        <w:rPr>
          <w:rFonts w:ascii="Times New Roman" w:hAnsi="Times New Roman"/>
          <w:color w:val="000000" w:themeColor="text1"/>
          <w:szCs w:val="22"/>
        </w:rPr>
      </w:pPr>
      <w:r w:rsidRPr="00650EE4">
        <w:rPr>
          <w:rFonts w:ascii="Times New Roman" w:hAnsi="Times New Roman"/>
          <w:color w:val="000000" w:themeColor="text1"/>
          <w:szCs w:val="22"/>
        </w:rPr>
        <w:lastRenderedPageBreak/>
        <w:t xml:space="preserve">Agreguoti </w:t>
      </w:r>
      <w:r w:rsidR="004960CA">
        <w:rPr>
          <w:rFonts w:ascii="Times New Roman" w:hAnsi="Times New Roman"/>
          <w:color w:val="000000" w:themeColor="text1"/>
          <w:szCs w:val="22"/>
        </w:rPr>
        <w:t>p</w:t>
      </w:r>
      <w:r w:rsidR="00AB217C" w:rsidRPr="00650EE4">
        <w:rPr>
          <w:rFonts w:ascii="Times New Roman" w:hAnsi="Times New Roman"/>
          <w:color w:val="000000" w:themeColor="text1"/>
          <w:szCs w:val="22"/>
        </w:rPr>
        <w:t>astatų fond</w:t>
      </w:r>
      <w:r w:rsidRPr="00650EE4">
        <w:rPr>
          <w:rFonts w:ascii="Times New Roman" w:hAnsi="Times New Roman"/>
          <w:color w:val="000000" w:themeColor="text1"/>
          <w:szCs w:val="22"/>
        </w:rPr>
        <w:t>o duomenys</w:t>
      </w:r>
      <w:r w:rsidR="00AB217C" w:rsidRPr="00650EE4">
        <w:rPr>
          <w:rFonts w:ascii="Times New Roman" w:hAnsi="Times New Roman"/>
          <w:color w:val="000000" w:themeColor="text1"/>
          <w:szCs w:val="22"/>
        </w:rPr>
        <w:t xml:space="preserve"> pagal statybos pabaigos </w:t>
      </w:r>
      <w:r w:rsidRPr="00650EE4">
        <w:rPr>
          <w:rFonts w:ascii="Times New Roman" w:hAnsi="Times New Roman"/>
          <w:color w:val="000000" w:themeColor="text1"/>
          <w:szCs w:val="22"/>
        </w:rPr>
        <w:t>metus pateikiami paveiksle žemiau.</w:t>
      </w:r>
    </w:p>
    <w:p w14:paraId="04F561E1" w14:textId="77777777" w:rsidR="00470EFC" w:rsidRPr="00650EE4" w:rsidRDefault="00470EFC" w:rsidP="005956E8">
      <w:pPr>
        <w:spacing w:line="240" w:lineRule="auto"/>
        <w:rPr>
          <w:rFonts w:ascii="Times New Roman" w:hAnsi="Times New Roman"/>
          <w:color w:val="000000" w:themeColor="text1"/>
          <w:szCs w:val="22"/>
        </w:rPr>
      </w:pPr>
    </w:p>
    <w:p w14:paraId="5A7107FE" w14:textId="52362B3F" w:rsidR="00C266F6"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3" w:name="_Toc67925250"/>
      <w:r w:rsidR="007744C1">
        <w:t>2</w:t>
      </w:r>
      <w:r w:rsidRPr="00650EE4">
        <w:rPr>
          <w:noProof w:val="0"/>
        </w:rPr>
        <w:fldChar w:fldCharType="end"/>
      </w:r>
      <w:r w:rsidR="00E13CFF" w:rsidRPr="00650EE4">
        <w:rPr>
          <w:noProof w:val="0"/>
        </w:rPr>
        <w:t xml:space="preserve"> paveikslas</w:t>
      </w:r>
      <w:r w:rsidR="00C266F6" w:rsidRPr="00650EE4">
        <w:rPr>
          <w:noProof w:val="0"/>
        </w:rPr>
        <w:t>. Pastatų fondas pagal statyb</w:t>
      </w:r>
      <w:r w:rsidR="00E71C69" w:rsidRPr="00650EE4">
        <w:rPr>
          <w:noProof w:val="0"/>
        </w:rPr>
        <w:t>os</w:t>
      </w:r>
      <w:r w:rsidR="00C266F6" w:rsidRPr="00650EE4">
        <w:rPr>
          <w:noProof w:val="0"/>
        </w:rPr>
        <w:t xml:space="preserve"> pabaigos metus</w:t>
      </w:r>
      <w:r w:rsidR="003B3C61" w:rsidRPr="00650EE4">
        <w:rPr>
          <w:noProof w:val="0"/>
        </w:rPr>
        <w:t xml:space="preserve"> (agreguotas)</w:t>
      </w:r>
      <w:bookmarkEnd w:id="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DD2B93" w:rsidRPr="00650EE4" w14:paraId="7BDFF001" w14:textId="77777777" w:rsidTr="004C7DC5">
        <w:trPr>
          <w:trHeight w:val="3925"/>
        </w:trPr>
        <w:tc>
          <w:tcPr>
            <w:tcW w:w="5000" w:type="pct"/>
          </w:tcPr>
          <w:p w14:paraId="48A1A266" w14:textId="2D3C9B34" w:rsidR="0008438D" w:rsidRPr="00650EE4" w:rsidRDefault="001F5D19" w:rsidP="0008438D">
            <w:pPr>
              <w:spacing w:before="60"/>
              <w:jc w:val="both"/>
              <w:rPr>
                <w:rFonts w:ascii="Times New Roman" w:eastAsia="Times New Roman" w:hAnsi="Times New Roman"/>
                <w:iCs/>
                <w:color w:val="000000" w:themeColor="text1"/>
                <w:sz w:val="20"/>
                <w:szCs w:val="28"/>
              </w:rPr>
            </w:pPr>
            <w:r w:rsidRPr="00650EE4">
              <w:rPr>
                <w:rFonts w:ascii="Times New Roman" w:hAnsi="Times New Roman"/>
                <w:noProof/>
                <w:lang w:eastAsia="lt-LT"/>
              </w:rPr>
              <w:drawing>
                <wp:inline distT="0" distB="0" distL="0" distR="0" wp14:anchorId="5C55816A" wp14:editId="5752AD80">
                  <wp:extent cx="2889196" cy="2358390"/>
                  <wp:effectExtent l="0" t="0" r="6985" b="3810"/>
                  <wp:docPr id="15" name="Chart 1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50EE4">
              <w:rPr>
                <w:rFonts w:ascii="Times New Roman" w:hAnsi="Times New Roman"/>
                <w:noProof/>
                <w:lang w:eastAsia="lt-LT"/>
              </w:rPr>
              <w:drawing>
                <wp:inline distT="0" distB="0" distL="0" distR="0" wp14:anchorId="091AD8E9" wp14:editId="66000CE7">
                  <wp:extent cx="3404235" cy="2358390"/>
                  <wp:effectExtent l="0" t="0" r="5715" b="3810"/>
                  <wp:docPr id="79" name="Chart 7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392455B" w14:textId="77777777" w:rsidR="005956E8" w:rsidRPr="00650EE4" w:rsidRDefault="005956E8" w:rsidP="00E4173C">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 registro duomenys (2019.12.31)</w:t>
      </w:r>
    </w:p>
    <w:p w14:paraId="360EAE99" w14:textId="77777777" w:rsidR="00DD2B93" w:rsidRPr="00650EE4" w:rsidRDefault="00DD2B93" w:rsidP="0024481B">
      <w:pPr>
        <w:spacing w:before="60" w:line="240" w:lineRule="auto"/>
        <w:jc w:val="both"/>
        <w:rPr>
          <w:rFonts w:ascii="Times New Roman" w:eastAsia="Times New Roman" w:hAnsi="Times New Roman"/>
          <w:iCs/>
          <w:color w:val="000000" w:themeColor="text1"/>
          <w:szCs w:val="22"/>
        </w:rPr>
      </w:pPr>
    </w:p>
    <w:p w14:paraId="4C8F93D1" w14:textId="25312433" w:rsidR="007F3C6A" w:rsidRPr="00650EE4" w:rsidRDefault="007F3C6A" w:rsidP="00141FAE">
      <w:pPr>
        <w:spacing w:after="120"/>
        <w:rPr>
          <w:rFonts w:ascii="Times New Roman" w:hAnsi="Times New Roman"/>
          <w:color w:val="000000" w:themeColor="text1"/>
          <w:szCs w:val="22"/>
        </w:rPr>
      </w:pPr>
      <w:r w:rsidRPr="00650EE4">
        <w:rPr>
          <w:rFonts w:ascii="Times New Roman" w:hAnsi="Times New Roman"/>
          <w:color w:val="000000" w:themeColor="text1"/>
          <w:szCs w:val="22"/>
        </w:rPr>
        <w:t>Ap</w:t>
      </w:r>
      <w:r w:rsidR="00F2074A" w:rsidRPr="00650EE4">
        <w:rPr>
          <w:rFonts w:ascii="Times New Roman" w:hAnsi="Times New Roman"/>
          <w:color w:val="000000" w:themeColor="text1"/>
          <w:szCs w:val="22"/>
        </w:rPr>
        <w:t xml:space="preserve">ibendrinant </w:t>
      </w:r>
      <w:r w:rsidR="007D0861" w:rsidRPr="00650EE4">
        <w:rPr>
          <w:rFonts w:ascii="Times New Roman" w:hAnsi="Times New Roman"/>
          <w:color w:val="000000" w:themeColor="text1"/>
          <w:szCs w:val="22"/>
        </w:rPr>
        <w:t>aukščiau</w:t>
      </w:r>
      <w:r w:rsidRPr="00650EE4">
        <w:rPr>
          <w:rFonts w:ascii="Times New Roman" w:hAnsi="Times New Roman"/>
          <w:color w:val="000000" w:themeColor="text1"/>
          <w:szCs w:val="22"/>
        </w:rPr>
        <w:t xml:space="preserve"> pate</w:t>
      </w:r>
      <w:r w:rsidR="008E42DB" w:rsidRPr="00650EE4">
        <w:rPr>
          <w:rFonts w:ascii="Times New Roman" w:hAnsi="Times New Roman"/>
          <w:color w:val="000000" w:themeColor="text1"/>
          <w:szCs w:val="22"/>
        </w:rPr>
        <w:t>i</w:t>
      </w:r>
      <w:r w:rsidRPr="00650EE4">
        <w:rPr>
          <w:rFonts w:ascii="Times New Roman" w:hAnsi="Times New Roman"/>
          <w:color w:val="000000" w:themeColor="text1"/>
          <w:szCs w:val="22"/>
        </w:rPr>
        <w:t>ktus duomenis galima pastebėti, kad:</w:t>
      </w:r>
    </w:p>
    <w:p w14:paraId="1067926C" w14:textId="3CBDB073" w:rsidR="00F2074A" w:rsidRPr="00650EE4" w:rsidRDefault="001E3742" w:rsidP="00017447">
      <w:pPr>
        <w:pStyle w:val="BodyText"/>
        <w:numPr>
          <w:ilvl w:val="0"/>
          <w:numId w:val="1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F2074A" w:rsidRPr="00650EE4">
        <w:rPr>
          <w:rFonts w:ascii="Times New Roman" w:hAnsi="Times New Roman"/>
          <w:color w:val="000000" w:themeColor="text1"/>
          <w:szCs w:val="22"/>
          <w:lang w:val="lt-LT"/>
        </w:rPr>
        <w:t>idžioji dalis pastatų pagal plotą (</w:t>
      </w:r>
      <w:r w:rsidR="009756A2">
        <w:rPr>
          <w:rFonts w:ascii="Times New Roman" w:hAnsi="Times New Roman"/>
          <w:color w:val="000000" w:themeColor="text1"/>
          <w:szCs w:val="22"/>
          <w:lang w:val="lt-LT"/>
        </w:rPr>
        <w:t>75</w:t>
      </w:r>
      <w:r w:rsidR="00F2074A" w:rsidRPr="00650EE4">
        <w:rPr>
          <w:rFonts w:ascii="Times New Roman" w:hAnsi="Times New Roman"/>
          <w:color w:val="000000" w:themeColor="text1"/>
          <w:szCs w:val="22"/>
          <w:lang w:val="lt-LT"/>
        </w:rPr>
        <w:t xml:space="preserve"> proc</w:t>
      </w:r>
      <w:r w:rsidR="00455688" w:rsidRPr="00650EE4">
        <w:rPr>
          <w:rFonts w:ascii="Times New Roman" w:hAnsi="Times New Roman"/>
          <w:color w:val="000000" w:themeColor="text1"/>
          <w:szCs w:val="22"/>
          <w:lang w:val="lt-LT"/>
        </w:rPr>
        <w:t>.</w:t>
      </w:r>
      <w:r w:rsidR="00F2074A" w:rsidRPr="00650EE4">
        <w:rPr>
          <w:rFonts w:ascii="Times New Roman" w:hAnsi="Times New Roman"/>
          <w:color w:val="000000" w:themeColor="text1"/>
          <w:szCs w:val="22"/>
          <w:lang w:val="lt-LT"/>
        </w:rPr>
        <w:t>) Lietuvoje buvo pastatyti iki 1993 m. Šiltinimo medžiagos nebuvo naudojamos šių pastatų geresnei terminei izoliacijai ir tik statybinių medžiagų</w:t>
      </w:r>
      <w:r w:rsidR="00E4173C" w:rsidRPr="00650EE4">
        <w:rPr>
          <w:rFonts w:ascii="Times New Roman" w:hAnsi="Times New Roman"/>
          <w:color w:val="000000" w:themeColor="text1"/>
          <w:szCs w:val="22"/>
          <w:lang w:val="lt-LT"/>
        </w:rPr>
        <w:t xml:space="preserve"> (tokių </w:t>
      </w:r>
      <w:r w:rsidR="00F2074A" w:rsidRPr="00650EE4">
        <w:rPr>
          <w:rFonts w:ascii="Times New Roman" w:hAnsi="Times New Roman"/>
          <w:color w:val="000000" w:themeColor="text1"/>
          <w:szCs w:val="22"/>
          <w:lang w:val="lt-LT"/>
        </w:rPr>
        <w:t>kaip plytos, blokai ar plokštės</w:t>
      </w:r>
      <w:r w:rsidR="00E4173C" w:rsidRPr="00650EE4">
        <w:rPr>
          <w:rFonts w:ascii="Times New Roman" w:hAnsi="Times New Roman"/>
          <w:color w:val="000000" w:themeColor="text1"/>
          <w:szCs w:val="22"/>
          <w:lang w:val="lt-LT"/>
        </w:rPr>
        <w:t>)</w:t>
      </w:r>
      <w:r w:rsidR="00F2074A" w:rsidRPr="00650EE4">
        <w:rPr>
          <w:rFonts w:ascii="Times New Roman" w:hAnsi="Times New Roman"/>
          <w:color w:val="000000" w:themeColor="text1"/>
          <w:szCs w:val="22"/>
          <w:lang w:val="lt-LT"/>
        </w:rPr>
        <w:t xml:space="preserve"> savitoji terminė varža apsprendė pastato šiluminę varžą. </w:t>
      </w:r>
      <w:r w:rsidR="004B71A9">
        <w:rPr>
          <w:rFonts w:ascii="Times New Roman" w:hAnsi="Times New Roman"/>
          <w:color w:val="000000" w:themeColor="text1"/>
          <w:szCs w:val="22"/>
          <w:lang w:val="lt-LT"/>
        </w:rPr>
        <w:t xml:space="preserve">Be to, reikšminga šių pastatų dalis nėra renovuota nei dalyvaujant renovacijos programose ne ūkio būdu. Rezultate, didelė dalis pastatų fondo yra prastos techninės būklės (ypač daugiabučių segmente). </w:t>
      </w:r>
      <w:r w:rsidR="003F7022" w:rsidRPr="00650EE4">
        <w:rPr>
          <w:rFonts w:ascii="Times New Roman" w:hAnsi="Times New Roman"/>
          <w:color w:val="000000" w:themeColor="text1"/>
          <w:szCs w:val="22"/>
          <w:lang w:val="lt-LT"/>
        </w:rPr>
        <w:t xml:space="preserve">Atitinkamai, šis pastatų segmentas vertinamas kaip prioritetinis IRS kontekste. </w:t>
      </w:r>
    </w:p>
    <w:p w14:paraId="3B269311" w14:textId="084CD80C" w:rsidR="007F3C6A" w:rsidRPr="00650EE4" w:rsidRDefault="00E7542C" w:rsidP="00017447">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58</w:t>
      </w:r>
      <w:r w:rsidR="008F7572" w:rsidRPr="00650EE4">
        <w:rPr>
          <w:rFonts w:ascii="Times New Roman" w:hAnsi="Times New Roman"/>
          <w:color w:val="000000" w:themeColor="text1"/>
          <w:szCs w:val="22"/>
        </w:rPr>
        <w:t xml:space="preserve"> </w:t>
      </w:r>
      <w:r w:rsidR="007F3C6A" w:rsidRPr="00650EE4">
        <w:rPr>
          <w:rFonts w:ascii="Times New Roman" w:hAnsi="Times New Roman"/>
          <w:color w:val="000000" w:themeColor="text1"/>
          <w:szCs w:val="22"/>
        </w:rPr>
        <w:t xml:space="preserve">proc. </w:t>
      </w:r>
      <w:r w:rsidR="00192576">
        <w:rPr>
          <w:rFonts w:ascii="Times New Roman" w:hAnsi="Times New Roman"/>
          <w:color w:val="000000" w:themeColor="text1"/>
          <w:szCs w:val="22"/>
        </w:rPr>
        <w:t>p</w:t>
      </w:r>
      <w:r w:rsidR="008F7572" w:rsidRPr="00650EE4">
        <w:rPr>
          <w:rFonts w:ascii="Times New Roman" w:hAnsi="Times New Roman"/>
          <w:color w:val="000000" w:themeColor="text1"/>
          <w:szCs w:val="22"/>
        </w:rPr>
        <w:t>astatų fondo ploto sudaro pastatai pastatyti 1961-1992 m., kurių architektūrinė ir kons</w:t>
      </w:r>
      <w:r w:rsidR="00F2074A" w:rsidRPr="00650EE4">
        <w:rPr>
          <w:rFonts w:ascii="Times New Roman" w:hAnsi="Times New Roman"/>
          <w:color w:val="000000" w:themeColor="text1"/>
          <w:szCs w:val="22"/>
        </w:rPr>
        <w:t xml:space="preserve">trukcinė įvairovė </w:t>
      </w:r>
      <w:r w:rsidR="00E4173C" w:rsidRPr="00650EE4">
        <w:rPr>
          <w:rFonts w:ascii="Times New Roman" w:hAnsi="Times New Roman"/>
          <w:color w:val="000000" w:themeColor="text1"/>
          <w:szCs w:val="22"/>
        </w:rPr>
        <w:t xml:space="preserve">tikėtina </w:t>
      </w:r>
      <w:r w:rsidR="00F2074A" w:rsidRPr="00650EE4">
        <w:rPr>
          <w:rFonts w:ascii="Times New Roman" w:hAnsi="Times New Roman"/>
          <w:color w:val="000000" w:themeColor="text1"/>
          <w:szCs w:val="22"/>
        </w:rPr>
        <w:t>nėra didelė. Atitinkamai yra p</w:t>
      </w:r>
      <w:r w:rsidR="008F7572" w:rsidRPr="00650EE4">
        <w:rPr>
          <w:rFonts w:ascii="Times New Roman" w:hAnsi="Times New Roman"/>
          <w:color w:val="000000" w:themeColor="text1"/>
          <w:szCs w:val="22"/>
        </w:rPr>
        <w:t xml:space="preserve">otencialas </w:t>
      </w:r>
      <w:r w:rsidR="00F2074A" w:rsidRPr="00650EE4">
        <w:rPr>
          <w:rFonts w:ascii="Times New Roman" w:hAnsi="Times New Roman"/>
          <w:color w:val="000000" w:themeColor="text1"/>
          <w:szCs w:val="22"/>
        </w:rPr>
        <w:t>kartotiniams (standartiniams) renovacijos sprendimams realizuoti</w:t>
      </w:r>
      <w:r w:rsidR="00C568A3" w:rsidRPr="00650EE4">
        <w:rPr>
          <w:rFonts w:ascii="Times New Roman" w:hAnsi="Times New Roman"/>
          <w:color w:val="000000" w:themeColor="text1"/>
          <w:szCs w:val="22"/>
        </w:rPr>
        <w:t>, ypač daugiabučių namų segmente, kur ~72 proc. pastatų statyti 1961-1992 m.</w:t>
      </w:r>
    </w:p>
    <w:p w14:paraId="49E739B1" w14:textId="77777777" w:rsidR="00234179" w:rsidRPr="00650EE4" w:rsidRDefault="00234179" w:rsidP="00234179">
      <w:pPr>
        <w:rPr>
          <w:rFonts w:ascii="Times New Roman" w:eastAsia="Times New Roman" w:hAnsi="Times New Roman"/>
          <w:b/>
          <w:bCs/>
          <w:color w:val="000000" w:themeColor="text1"/>
          <w:kern w:val="32"/>
          <w:szCs w:val="22"/>
        </w:rPr>
      </w:pPr>
    </w:p>
    <w:p w14:paraId="7DFF22F2" w14:textId="77777777" w:rsidR="002821CC" w:rsidRPr="00650EE4" w:rsidRDefault="002821CC">
      <w:pPr>
        <w:spacing w:after="240"/>
        <w:rPr>
          <w:rFonts w:ascii="Times New Roman" w:eastAsia="Times New Roman" w:hAnsi="Times New Roman"/>
          <w:b/>
          <w:bCs/>
          <w:color w:val="000000" w:themeColor="text1"/>
          <w:kern w:val="32"/>
          <w:sz w:val="24"/>
          <w:szCs w:val="24"/>
        </w:rPr>
      </w:pPr>
      <w:r w:rsidRPr="00650EE4">
        <w:rPr>
          <w:rFonts w:ascii="Times New Roman" w:hAnsi="Times New Roman"/>
          <w:color w:val="000000" w:themeColor="text1"/>
          <w:sz w:val="24"/>
          <w:szCs w:val="24"/>
        </w:rPr>
        <w:br w:type="page"/>
      </w:r>
    </w:p>
    <w:p w14:paraId="03D53723" w14:textId="3AA2435D" w:rsidR="005F0060" w:rsidRPr="00650EE4" w:rsidRDefault="005F0060" w:rsidP="00234179">
      <w:pPr>
        <w:pStyle w:val="Antrastes31"/>
        <w:numPr>
          <w:ilvl w:val="2"/>
          <w:numId w:val="4"/>
        </w:numPr>
        <w:spacing w:before="0"/>
        <w:ind w:left="720" w:hanging="720"/>
        <w:rPr>
          <w:rFonts w:ascii="Times New Roman" w:hAnsi="Times New Roman"/>
          <w:color w:val="000000" w:themeColor="text1"/>
          <w:sz w:val="24"/>
          <w:szCs w:val="24"/>
          <w:lang w:val="lt-LT"/>
        </w:rPr>
      </w:pPr>
      <w:bookmarkStart w:id="24" w:name="_Toc67925105"/>
      <w:r w:rsidRPr="00650EE4">
        <w:rPr>
          <w:rFonts w:ascii="Times New Roman" w:hAnsi="Times New Roman"/>
          <w:color w:val="000000" w:themeColor="text1"/>
          <w:sz w:val="24"/>
          <w:szCs w:val="24"/>
          <w:lang w:val="lt-LT"/>
        </w:rPr>
        <w:lastRenderedPageBreak/>
        <w:t>Pastatų</w:t>
      </w:r>
      <w:r w:rsidR="0072724D" w:rsidRPr="00650EE4">
        <w:rPr>
          <w:rFonts w:ascii="Times New Roman" w:hAnsi="Times New Roman"/>
          <w:color w:val="000000" w:themeColor="text1"/>
          <w:sz w:val="24"/>
          <w:szCs w:val="24"/>
          <w:lang w:val="lt-LT"/>
        </w:rPr>
        <w:t xml:space="preserve"> </w:t>
      </w:r>
      <w:r w:rsidRPr="00650EE4">
        <w:rPr>
          <w:rFonts w:ascii="Times New Roman" w:hAnsi="Times New Roman"/>
          <w:color w:val="000000" w:themeColor="text1"/>
          <w:sz w:val="24"/>
          <w:szCs w:val="24"/>
          <w:lang w:val="lt-LT"/>
        </w:rPr>
        <w:t>fondas pagal nuosavybės tipą</w:t>
      </w:r>
      <w:bookmarkEnd w:id="24"/>
    </w:p>
    <w:p w14:paraId="0DE1B57D" w14:textId="607F4A30" w:rsidR="005F0060" w:rsidRPr="00650EE4" w:rsidRDefault="005F0060" w:rsidP="005F0060">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Lentelė</w:t>
      </w:r>
      <w:r w:rsidR="00E71C69" w:rsidRPr="00650EE4">
        <w:rPr>
          <w:rFonts w:ascii="Times New Roman" w:hAnsi="Times New Roman"/>
          <w:color w:val="000000" w:themeColor="text1"/>
          <w:szCs w:val="22"/>
          <w:lang w:val="lt-LT"/>
        </w:rPr>
        <w:t>se</w:t>
      </w:r>
      <w:r w:rsidR="00192576">
        <w:rPr>
          <w:rFonts w:ascii="Times New Roman" w:hAnsi="Times New Roman"/>
          <w:color w:val="000000" w:themeColor="text1"/>
          <w:szCs w:val="22"/>
          <w:lang w:val="lt-LT"/>
        </w:rPr>
        <w:t xml:space="preserve"> žemiau pateikiamas p</w:t>
      </w:r>
      <w:r w:rsidRPr="00650EE4">
        <w:rPr>
          <w:rFonts w:ascii="Times New Roman" w:hAnsi="Times New Roman"/>
          <w:color w:val="000000" w:themeColor="text1"/>
          <w:szCs w:val="22"/>
          <w:lang w:val="lt-LT"/>
        </w:rPr>
        <w:t xml:space="preserve">astatų fondo plotas pagal nuosavybės tipą, </w:t>
      </w:r>
      <w:r w:rsidR="00E71C69" w:rsidRPr="00650EE4">
        <w:rPr>
          <w:rFonts w:ascii="Times New Roman" w:hAnsi="Times New Roman"/>
          <w:color w:val="000000" w:themeColor="text1"/>
          <w:szCs w:val="22"/>
          <w:lang w:val="lt-LT"/>
        </w:rPr>
        <w:t xml:space="preserve">vienetais ir </w:t>
      </w:r>
      <w:r w:rsidRPr="00650EE4">
        <w:rPr>
          <w:rFonts w:ascii="Times New Roman" w:hAnsi="Times New Roman"/>
          <w:color w:val="000000" w:themeColor="text1"/>
          <w:szCs w:val="22"/>
          <w:lang w:val="lt-LT"/>
        </w:rPr>
        <w:t>tūkst. m</w:t>
      </w:r>
      <w:r w:rsidRPr="00650EE4">
        <w:rPr>
          <w:rFonts w:ascii="Times New Roman" w:hAnsi="Times New Roman"/>
          <w:color w:val="000000" w:themeColor="text1"/>
          <w:szCs w:val="22"/>
          <w:vertAlign w:val="superscript"/>
          <w:lang w:val="lt-LT"/>
        </w:rPr>
        <w:t>2</w:t>
      </w:r>
      <w:r w:rsidRPr="00650EE4">
        <w:rPr>
          <w:rFonts w:ascii="Times New Roman" w:hAnsi="Times New Roman"/>
          <w:color w:val="000000" w:themeColor="text1"/>
          <w:szCs w:val="22"/>
          <w:lang w:val="lt-LT"/>
        </w:rPr>
        <w:t xml:space="preserve">. </w:t>
      </w:r>
    </w:p>
    <w:p w14:paraId="756DEA56" w14:textId="77777777" w:rsidR="00A82147" w:rsidRPr="00650EE4" w:rsidRDefault="00A82147" w:rsidP="00EA34CC">
      <w:pPr>
        <w:jc w:val="both"/>
        <w:rPr>
          <w:rFonts w:ascii="Times New Roman" w:hAnsi="Times New Roman"/>
          <w:color w:val="000000" w:themeColor="text1"/>
          <w:szCs w:val="22"/>
        </w:rPr>
      </w:pPr>
    </w:p>
    <w:p w14:paraId="4FC85B39" w14:textId="46EF99A0" w:rsidR="00DB124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5" w:name="_Toc67925188"/>
      <w:r w:rsidR="007744C1">
        <w:t>5</w:t>
      </w:r>
      <w:r w:rsidRPr="00650EE4">
        <w:rPr>
          <w:noProof w:val="0"/>
        </w:rPr>
        <w:fldChar w:fldCharType="end"/>
      </w:r>
      <w:r w:rsidR="0070585A" w:rsidRPr="00650EE4">
        <w:rPr>
          <w:noProof w:val="0"/>
        </w:rPr>
        <w:t xml:space="preserve"> lentelė</w:t>
      </w:r>
      <w:r w:rsidR="00DB1243" w:rsidRPr="00650EE4">
        <w:rPr>
          <w:noProof w:val="0"/>
        </w:rPr>
        <w:t>. Pastatų fondas pagal nuosavybės tipą (</w:t>
      </w:r>
      <w:r w:rsidR="009F4DC4" w:rsidRPr="00650EE4">
        <w:rPr>
          <w:noProof w:val="0"/>
        </w:rPr>
        <w:t>vnt.</w:t>
      </w:r>
      <w:r w:rsidR="00DB1243" w:rsidRPr="00650EE4">
        <w:rPr>
          <w:noProof w:val="0"/>
        </w:rPr>
        <w:t>)</w:t>
      </w:r>
      <w:bookmarkEnd w:id="25"/>
    </w:p>
    <w:tbl>
      <w:tblPr>
        <w:tblW w:w="5000" w:type="pct"/>
        <w:tblLook w:val="04A0" w:firstRow="1" w:lastRow="0" w:firstColumn="1" w:lastColumn="0" w:noHBand="0" w:noVBand="1"/>
      </w:tblPr>
      <w:tblGrid>
        <w:gridCol w:w="2204"/>
        <w:gridCol w:w="1203"/>
        <w:gridCol w:w="1203"/>
        <w:gridCol w:w="1202"/>
        <w:gridCol w:w="1225"/>
        <w:gridCol w:w="1205"/>
        <w:gridCol w:w="1090"/>
        <w:gridCol w:w="1088"/>
      </w:tblGrid>
      <w:tr w:rsidR="006248AC" w:rsidRPr="00650EE4" w14:paraId="134A5834" w14:textId="77777777" w:rsidTr="00100674">
        <w:tc>
          <w:tcPr>
            <w:tcW w:w="1057" w:type="pct"/>
            <w:vMerge w:val="restart"/>
            <w:tcBorders>
              <w:top w:val="single" w:sz="4" w:space="0" w:color="auto"/>
              <w:left w:val="single" w:sz="4" w:space="0" w:color="auto"/>
              <w:bottom w:val="nil"/>
              <w:right w:val="nil"/>
            </w:tcBorders>
            <w:shd w:val="clear" w:color="000000" w:fill="FFFFFF"/>
            <w:vAlign w:val="center"/>
            <w:hideMark/>
          </w:tcPr>
          <w:p w14:paraId="25ADB777"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897"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464104C"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Nuosavybės tipas</w:t>
            </w:r>
          </w:p>
        </w:tc>
        <w:tc>
          <w:tcPr>
            <w:tcW w:w="523" w:type="pct"/>
            <w:vMerge w:val="restart"/>
            <w:tcBorders>
              <w:top w:val="single" w:sz="4" w:space="0" w:color="auto"/>
              <w:left w:val="nil"/>
              <w:bottom w:val="nil"/>
              <w:right w:val="nil"/>
            </w:tcBorders>
            <w:shd w:val="clear" w:color="000000" w:fill="FFFFFF"/>
            <w:vAlign w:val="center"/>
            <w:hideMark/>
          </w:tcPr>
          <w:p w14:paraId="5DD1F2B3"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2" w:type="pct"/>
            <w:vMerge w:val="restart"/>
            <w:tcBorders>
              <w:top w:val="single" w:sz="4" w:space="0" w:color="auto"/>
              <w:left w:val="single" w:sz="4" w:space="0" w:color="auto"/>
              <w:bottom w:val="nil"/>
              <w:right w:val="single" w:sz="4" w:space="0" w:color="auto"/>
            </w:tcBorders>
            <w:shd w:val="clear" w:color="000000" w:fill="FFFFFF"/>
            <w:vAlign w:val="center"/>
            <w:hideMark/>
          </w:tcPr>
          <w:p w14:paraId="5A58949E"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6248AC" w:rsidRPr="00650EE4" w14:paraId="4AECCC00" w14:textId="77777777" w:rsidTr="00100674">
        <w:tc>
          <w:tcPr>
            <w:tcW w:w="1057" w:type="pct"/>
            <w:vMerge/>
            <w:tcBorders>
              <w:top w:val="single" w:sz="4" w:space="0" w:color="auto"/>
              <w:left w:val="single" w:sz="4" w:space="0" w:color="auto"/>
              <w:bottom w:val="nil"/>
              <w:right w:val="nil"/>
            </w:tcBorders>
            <w:vAlign w:val="center"/>
            <w:hideMark/>
          </w:tcPr>
          <w:p w14:paraId="26267E76" w14:textId="77777777" w:rsidR="006248AC" w:rsidRPr="00650EE4" w:rsidRDefault="006248AC" w:rsidP="00720C26">
            <w:pPr>
              <w:spacing w:line="240" w:lineRule="auto"/>
              <w:rPr>
                <w:rFonts w:ascii="Times New Roman" w:eastAsia="Times New Roman" w:hAnsi="Times New Roman"/>
                <w:b/>
                <w:bCs/>
                <w:sz w:val="20"/>
                <w:szCs w:val="20"/>
              </w:rPr>
            </w:pPr>
          </w:p>
        </w:tc>
        <w:tc>
          <w:tcPr>
            <w:tcW w:w="1731"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DCE37DB"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Privati</w:t>
            </w:r>
          </w:p>
        </w:tc>
        <w:tc>
          <w:tcPr>
            <w:tcW w:w="1166"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5B418EDE"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Vieša</w:t>
            </w:r>
          </w:p>
        </w:tc>
        <w:tc>
          <w:tcPr>
            <w:tcW w:w="523" w:type="pct"/>
            <w:vMerge/>
            <w:tcBorders>
              <w:top w:val="single" w:sz="4" w:space="0" w:color="auto"/>
              <w:left w:val="nil"/>
              <w:bottom w:val="nil"/>
              <w:right w:val="nil"/>
            </w:tcBorders>
            <w:vAlign w:val="center"/>
            <w:hideMark/>
          </w:tcPr>
          <w:p w14:paraId="7D12D155" w14:textId="77777777" w:rsidR="006248AC" w:rsidRPr="00650EE4" w:rsidRDefault="006248AC" w:rsidP="00720C26">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nil"/>
              <w:right w:val="single" w:sz="4" w:space="0" w:color="auto"/>
            </w:tcBorders>
            <w:vAlign w:val="center"/>
            <w:hideMark/>
          </w:tcPr>
          <w:p w14:paraId="55F59F4A" w14:textId="77777777" w:rsidR="006248AC" w:rsidRPr="00650EE4" w:rsidRDefault="006248AC" w:rsidP="00720C26">
            <w:pPr>
              <w:spacing w:line="240" w:lineRule="auto"/>
              <w:rPr>
                <w:rFonts w:ascii="Times New Roman" w:eastAsia="Times New Roman" w:hAnsi="Times New Roman"/>
                <w:b/>
                <w:bCs/>
                <w:sz w:val="20"/>
                <w:szCs w:val="20"/>
              </w:rPr>
            </w:pPr>
          </w:p>
        </w:tc>
      </w:tr>
      <w:tr w:rsidR="006248AC" w:rsidRPr="00650EE4" w14:paraId="605E7832" w14:textId="77777777" w:rsidTr="00100674">
        <w:tc>
          <w:tcPr>
            <w:tcW w:w="1057" w:type="pct"/>
            <w:vMerge/>
            <w:tcBorders>
              <w:top w:val="single" w:sz="4" w:space="0" w:color="auto"/>
              <w:left w:val="single" w:sz="4" w:space="0" w:color="auto"/>
              <w:bottom w:val="nil"/>
              <w:right w:val="nil"/>
            </w:tcBorders>
            <w:vAlign w:val="center"/>
            <w:hideMark/>
          </w:tcPr>
          <w:p w14:paraId="795AE7F9" w14:textId="77777777" w:rsidR="006248AC" w:rsidRPr="00650EE4" w:rsidRDefault="006248AC" w:rsidP="00720C26">
            <w:pPr>
              <w:spacing w:line="240" w:lineRule="auto"/>
              <w:rPr>
                <w:rFonts w:ascii="Times New Roman" w:eastAsia="Times New Roman" w:hAnsi="Times New Roman"/>
                <w:b/>
                <w:bCs/>
                <w:sz w:val="20"/>
                <w:szCs w:val="20"/>
              </w:rPr>
            </w:pPr>
          </w:p>
        </w:tc>
        <w:tc>
          <w:tcPr>
            <w:tcW w:w="577" w:type="pct"/>
            <w:tcBorders>
              <w:top w:val="nil"/>
              <w:left w:val="single" w:sz="4" w:space="0" w:color="auto"/>
              <w:bottom w:val="nil"/>
              <w:right w:val="nil"/>
            </w:tcBorders>
            <w:shd w:val="clear" w:color="000000" w:fill="FFFFFF"/>
            <w:vAlign w:val="center"/>
            <w:hideMark/>
          </w:tcPr>
          <w:p w14:paraId="2F8242B4"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Fizinių asmenų</w:t>
            </w:r>
          </w:p>
        </w:tc>
        <w:tc>
          <w:tcPr>
            <w:tcW w:w="577" w:type="pct"/>
            <w:tcBorders>
              <w:top w:val="nil"/>
              <w:left w:val="nil"/>
              <w:bottom w:val="nil"/>
              <w:right w:val="nil"/>
            </w:tcBorders>
            <w:shd w:val="clear" w:color="000000" w:fill="FFFFFF"/>
            <w:vAlign w:val="center"/>
            <w:hideMark/>
          </w:tcPr>
          <w:p w14:paraId="3345C7FC"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Juridinių asmenų</w:t>
            </w:r>
          </w:p>
        </w:tc>
        <w:tc>
          <w:tcPr>
            <w:tcW w:w="577" w:type="pct"/>
            <w:tcBorders>
              <w:top w:val="nil"/>
              <w:left w:val="nil"/>
              <w:bottom w:val="nil"/>
              <w:right w:val="single" w:sz="4" w:space="0" w:color="auto"/>
            </w:tcBorders>
            <w:shd w:val="clear" w:color="000000" w:fill="FFFFFF"/>
            <w:vAlign w:val="center"/>
            <w:hideMark/>
          </w:tcPr>
          <w:p w14:paraId="1715EB29"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Mišri, kita</w:t>
            </w:r>
          </w:p>
        </w:tc>
        <w:tc>
          <w:tcPr>
            <w:tcW w:w="588" w:type="pct"/>
            <w:tcBorders>
              <w:top w:val="nil"/>
              <w:left w:val="nil"/>
              <w:bottom w:val="single" w:sz="4" w:space="0" w:color="auto"/>
              <w:right w:val="nil"/>
            </w:tcBorders>
            <w:shd w:val="clear" w:color="000000" w:fill="FFFFFF"/>
            <w:vAlign w:val="center"/>
            <w:hideMark/>
          </w:tcPr>
          <w:p w14:paraId="3EEB4ADA"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Valstybės</w:t>
            </w:r>
          </w:p>
        </w:tc>
        <w:tc>
          <w:tcPr>
            <w:tcW w:w="578" w:type="pct"/>
            <w:tcBorders>
              <w:top w:val="nil"/>
              <w:left w:val="nil"/>
              <w:bottom w:val="single" w:sz="4" w:space="0" w:color="auto"/>
              <w:right w:val="single" w:sz="4" w:space="0" w:color="auto"/>
            </w:tcBorders>
            <w:shd w:val="clear" w:color="000000" w:fill="FFFFFF"/>
            <w:vAlign w:val="center"/>
            <w:hideMark/>
          </w:tcPr>
          <w:p w14:paraId="63A3678F" w14:textId="77777777" w:rsidR="006248AC" w:rsidRPr="00650EE4" w:rsidRDefault="006248AC" w:rsidP="00720C26">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Savival-dybių</w:t>
            </w:r>
            <w:proofErr w:type="spellEnd"/>
          </w:p>
        </w:tc>
        <w:tc>
          <w:tcPr>
            <w:tcW w:w="523" w:type="pct"/>
            <w:vMerge/>
            <w:tcBorders>
              <w:top w:val="single" w:sz="4" w:space="0" w:color="auto"/>
              <w:left w:val="nil"/>
              <w:bottom w:val="nil"/>
              <w:right w:val="nil"/>
            </w:tcBorders>
            <w:vAlign w:val="center"/>
            <w:hideMark/>
          </w:tcPr>
          <w:p w14:paraId="0EC8B50A" w14:textId="77777777" w:rsidR="006248AC" w:rsidRPr="00650EE4" w:rsidRDefault="006248AC" w:rsidP="00720C26">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nil"/>
              <w:right w:val="single" w:sz="4" w:space="0" w:color="auto"/>
            </w:tcBorders>
            <w:vAlign w:val="center"/>
            <w:hideMark/>
          </w:tcPr>
          <w:p w14:paraId="44D5FD2D" w14:textId="77777777" w:rsidR="006248AC" w:rsidRPr="00650EE4" w:rsidRDefault="006248AC" w:rsidP="00720C26">
            <w:pPr>
              <w:spacing w:line="240" w:lineRule="auto"/>
              <w:rPr>
                <w:rFonts w:ascii="Times New Roman" w:eastAsia="Times New Roman" w:hAnsi="Times New Roman"/>
                <w:b/>
                <w:bCs/>
                <w:sz w:val="20"/>
                <w:szCs w:val="20"/>
              </w:rPr>
            </w:pPr>
          </w:p>
        </w:tc>
      </w:tr>
      <w:tr w:rsidR="000B343E" w:rsidRPr="00650EE4" w14:paraId="3198B079" w14:textId="77777777" w:rsidTr="00100674">
        <w:tc>
          <w:tcPr>
            <w:tcW w:w="1057" w:type="pct"/>
            <w:tcBorders>
              <w:top w:val="single" w:sz="4" w:space="0" w:color="auto"/>
              <w:left w:val="single" w:sz="4" w:space="0" w:color="auto"/>
              <w:bottom w:val="single" w:sz="4" w:space="0" w:color="auto"/>
              <w:right w:val="nil"/>
            </w:tcBorders>
            <w:shd w:val="clear" w:color="000000" w:fill="F2F2F2"/>
            <w:noWrap/>
            <w:vAlign w:val="center"/>
            <w:hideMark/>
          </w:tcPr>
          <w:p w14:paraId="2335EFA1" w14:textId="77777777" w:rsidR="006248AC" w:rsidRPr="00650EE4" w:rsidRDefault="006248AC" w:rsidP="00720C26">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577" w:type="pct"/>
            <w:tcBorders>
              <w:top w:val="single" w:sz="4" w:space="0" w:color="auto"/>
              <w:left w:val="single" w:sz="4" w:space="0" w:color="auto"/>
              <w:bottom w:val="nil"/>
              <w:right w:val="nil"/>
            </w:tcBorders>
            <w:shd w:val="clear" w:color="000000" w:fill="F2F2F2"/>
            <w:noWrap/>
            <w:vAlign w:val="center"/>
            <w:hideMark/>
          </w:tcPr>
          <w:p w14:paraId="6736C8AE"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401.478</w:t>
            </w:r>
          </w:p>
        </w:tc>
        <w:tc>
          <w:tcPr>
            <w:tcW w:w="577" w:type="pct"/>
            <w:tcBorders>
              <w:top w:val="single" w:sz="4" w:space="0" w:color="auto"/>
              <w:left w:val="nil"/>
              <w:bottom w:val="nil"/>
              <w:right w:val="nil"/>
            </w:tcBorders>
            <w:shd w:val="clear" w:color="000000" w:fill="F2F2F2"/>
            <w:noWrap/>
            <w:vAlign w:val="center"/>
            <w:hideMark/>
          </w:tcPr>
          <w:p w14:paraId="3BBDA935"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5.267</w:t>
            </w:r>
          </w:p>
        </w:tc>
        <w:tc>
          <w:tcPr>
            <w:tcW w:w="577" w:type="pct"/>
            <w:tcBorders>
              <w:top w:val="single" w:sz="4" w:space="0" w:color="auto"/>
              <w:left w:val="nil"/>
              <w:bottom w:val="nil"/>
              <w:right w:val="single" w:sz="4" w:space="0" w:color="auto"/>
            </w:tcBorders>
            <w:shd w:val="clear" w:color="000000" w:fill="F2F2F2"/>
            <w:noWrap/>
            <w:vAlign w:val="center"/>
            <w:hideMark/>
          </w:tcPr>
          <w:p w14:paraId="7611229A"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160.839</w:t>
            </w:r>
          </w:p>
        </w:tc>
        <w:tc>
          <w:tcPr>
            <w:tcW w:w="588" w:type="pct"/>
            <w:tcBorders>
              <w:top w:val="single" w:sz="4" w:space="0" w:color="auto"/>
              <w:left w:val="single" w:sz="4" w:space="0" w:color="auto"/>
              <w:bottom w:val="nil"/>
              <w:right w:val="nil"/>
            </w:tcBorders>
            <w:shd w:val="clear" w:color="000000" w:fill="F2F2F2"/>
            <w:noWrap/>
            <w:vAlign w:val="center"/>
            <w:hideMark/>
          </w:tcPr>
          <w:p w14:paraId="0A6971AC"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1.164</w:t>
            </w:r>
          </w:p>
        </w:tc>
        <w:tc>
          <w:tcPr>
            <w:tcW w:w="578" w:type="pct"/>
            <w:tcBorders>
              <w:top w:val="single" w:sz="4" w:space="0" w:color="auto"/>
              <w:left w:val="nil"/>
              <w:bottom w:val="nil"/>
              <w:right w:val="single" w:sz="4" w:space="0" w:color="auto"/>
            </w:tcBorders>
            <w:shd w:val="clear" w:color="000000" w:fill="F2F2F2"/>
            <w:noWrap/>
            <w:vAlign w:val="center"/>
            <w:hideMark/>
          </w:tcPr>
          <w:p w14:paraId="0A3A938D"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1.765</w:t>
            </w:r>
          </w:p>
        </w:tc>
        <w:tc>
          <w:tcPr>
            <w:tcW w:w="523" w:type="pct"/>
            <w:tcBorders>
              <w:top w:val="single" w:sz="4" w:space="0" w:color="auto"/>
              <w:left w:val="nil"/>
              <w:bottom w:val="single" w:sz="4" w:space="0" w:color="auto"/>
              <w:right w:val="nil"/>
            </w:tcBorders>
            <w:shd w:val="clear" w:color="000000" w:fill="F2F2F2"/>
            <w:noWrap/>
            <w:vAlign w:val="center"/>
            <w:hideMark/>
          </w:tcPr>
          <w:p w14:paraId="043B4751"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570.513</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2B9FA7"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6248AC" w:rsidRPr="00650EE4" w14:paraId="38E75D2E" w14:textId="77777777" w:rsidTr="00100674">
        <w:tc>
          <w:tcPr>
            <w:tcW w:w="1057" w:type="pct"/>
            <w:tcBorders>
              <w:top w:val="nil"/>
              <w:left w:val="single" w:sz="4" w:space="0" w:color="auto"/>
              <w:bottom w:val="nil"/>
              <w:right w:val="nil"/>
            </w:tcBorders>
            <w:shd w:val="clear" w:color="000000" w:fill="FFFFFF"/>
            <w:noWrap/>
            <w:vAlign w:val="center"/>
            <w:hideMark/>
          </w:tcPr>
          <w:p w14:paraId="49B6CD86"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77" w:type="pct"/>
            <w:tcBorders>
              <w:top w:val="single" w:sz="4" w:space="0" w:color="auto"/>
              <w:left w:val="single" w:sz="4" w:space="0" w:color="auto"/>
              <w:bottom w:val="nil"/>
              <w:right w:val="nil"/>
            </w:tcBorders>
            <w:shd w:val="clear" w:color="000000" w:fill="FFFFFF"/>
            <w:noWrap/>
            <w:vAlign w:val="center"/>
            <w:hideMark/>
          </w:tcPr>
          <w:p w14:paraId="04F7770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400.539</w:t>
            </w:r>
          </w:p>
        </w:tc>
        <w:tc>
          <w:tcPr>
            <w:tcW w:w="577" w:type="pct"/>
            <w:tcBorders>
              <w:top w:val="single" w:sz="4" w:space="0" w:color="auto"/>
              <w:left w:val="nil"/>
              <w:bottom w:val="nil"/>
              <w:right w:val="nil"/>
            </w:tcBorders>
            <w:shd w:val="clear" w:color="000000" w:fill="FFFFFF"/>
            <w:noWrap/>
            <w:vAlign w:val="center"/>
            <w:hideMark/>
          </w:tcPr>
          <w:p w14:paraId="249E303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4.855</w:t>
            </w:r>
          </w:p>
        </w:tc>
        <w:tc>
          <w:tcPr>
            <w:tcW w:w="577" w:type="pct"/>
            <w:tcBorders>
              <w:top w:val="single" w:sz="4" w:space="0" w:color="auto"/>
              <w:left w:val="nil"/>
              <w:bottom w:val="nil"/>
              <w:right w:val="single" w:sz="4" w:space="0" w:color="auto"/>
            </w:tcBorders>
            <w:shd w:val="clear" w:color="000000" w:fill="FFFFFF"/>
            <w:noWrap/>
            <w:vAlign w:val="center"/>
            <w:hideMark/>
          </w:tcPr>
          <w:p w14:paraId="63ACA4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121.983</w:t>
            </w:r>
          </w:p>
        </w:tc>
        <w:tc>
          <w:tcPr>
            <w:tcW w:w="588" w:type="pct"/>
            <w:tcBorders>
              <w:top w:val="single" w:sz="4" w:space="0" w:color="auto"/>
              <w:left w:val="single" w:sz="4" w:space="0" w:color="auto"/>
              <w:bottom w:val="nil"/>
              <w:right w:val="nil"/>
            </w:tcBorders>
            <w:shd w:val="clear" w:color="000000" w:fill="FFFFFF"/>
            <w:noWrap/>
            <w:vAlign w:val="center"/>
            <w:hideMark/>
          </w:tcPr>
          <w:p w14:paraId="7136032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787</w:t>
            </w:r>
          </w:p>
        </w:tc>
        <w:tc>
          <w:tcPr>
            <w:tcW w:w="578" w:type="pct"/>
            <w:tcBorders>
              <w:top w:val="single" w:sz="4" w:space="0" w:color="auto"/>
              <w:left w:val="nil"/>
              <w:bottom w:val="nil"/>
              <w:right w:val="single" w:sz="4" w:space="0" w:color="auto"/>
            </w:tcBorders>
            <w:shd w:val="clear" w:color="000000" w:fill="FFFFFF"/>
            <w:noWrap/>
            <w:vAlign w:val="center"/>
            <w:hideMark/>
          </w:tcPr>
          <w:p w14:paraId="40247A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1.328</w:t>
            </w:r>
          </w:p>
        </w:tc>
        <w:tc>
          <w:tcPr>
            <w:tcW w:w="523" w:type="pct"/>
            <w:tcBorders>
              <w:top w:val="nil"/>
              <w:left w:val="nil"/>
              <w:bottom w:val="nil"/>
              <w:right w:val="nil"/>
            </w:tcBorders>
            <w:shd w:val="clear" w:color="000000" w:fill="FFFFFF"/>
            <w:noWrap/>
            <w:vAlign w:val="center"/>
            <w:hideMark/>
          </w:tcPr>
          <w:p w14:paraId="528290EA"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522" w:type="pct"/>
            <w:tcBorders>
              <w:top w:val="nil"/>
              <w:left w:val="single" w:sz="4" w:space="0" w:color="auto"/>
              <w:bottom w:val="nil"/>
              <w:right w:val="single" w:sz="4" w:space="0" w:color="auto"/>
            </w:tcBorders>
            <w:shd w:val="clear" w:color="000000" w:fill="FFFFFF"/>
            <w:noWrap/>
            <w:vAlign w:val="center"/>
            <w:hideMark/>
          </w:tcPr>
          <w:p w14:paraId="75FE53F2"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6248AC" w:rsidRPr="00650EE4" w14:paraId="156D7670" w14:textId="77777777" w:rsidTr="00100674">
        <w:tc>
          <w:tcPr>
            <w:tcW w:w="1057" w:type="pct"/>
            <w:tcBorders>
              <w:top w:val="nil"/>
              <w:left w:val="single" w:sz="4" w:space="0" w:color="auto"/>
              <w:bottom w:val="nil"/>
              <w:right w:val="nil"/>
            </w:tcBorders>
            <w:shd w:val="clear" w:color="000000" w:fill="FFFFFF"/>
            <w:noWrap/>
            <w:vAlign w:val="center"/>
            <w:hideMark/>
          </w:tcPr>
          <w:p w14:paraId="1EEE87B4"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77" w:type="pct"/>
            <w:tcBorders>
              <w:top w:val="nil"/>
              <w:left w:val="single" w:sz="4" w:space="0" w:color="auto"/>
              <w:bottom w:val="single" w:sz="4" w:space="0" w:color="auto"/>
              <w:right w:val="nil"/>
            </w:tcBorders>
            <w:shd w:val="clear" w:color="000000" w:fill="FFFFFF"/>
            <w:noWrap/>
            <w:vAlign w:val="center"/>
            <w:hideMark/>
          </w:tcPr>
          <w:p w14:paraId="3FD8BDA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939</w:t>
            </w:r>
          </w:p>
        </w:tc>
        <w:tc>
          <w:tcPr>
            <w:tcW w:w="577" w:type="pct"/>
            <w:tcBorders>
              <w:top w:val="nil"/>
              <w:left w:val="nil"/>
              <w:bottom w:val="single" w:sz="4" w:space="0" w:color="auto"/>
              <w:right w:val="nil"/>
            </w:tcBorders>
            <w:shd w:val="clear" w:color="000000" w:fill="FFFFFF"/>
            <w:noWrap/>
            <w:vAlign w:val="center"/>
            <w:hideMark/>
          </w:tcPr>
          <w:p w14:paraId="78EFE75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412</w:t>
            </w:r>
          </w:p>
        </w:tc>
        <w:tc>
          <w:tcPr>
            <w:tcW w:w="577" w:type="pct"/>
            <w:tcBorders>
              <w:top w:val="nil"/>
              <w:left w:val="nil"/>
              <w:bottom w:val="single" w:sz="4" w:space="0" w:color="auto"/>
              <w:right w:val="single" w:sz="4" w:space="0" w:color="auto"/>
            </w:tcBorders>
            <w:shd w:val="clear" w:color="000000" w:fill="FFFFFF"/>
            <w:noWrap/>
            <w:vAlign w:val="center"/>
            <w:hideMark/>
          </w:tcPr>
          <w:p w14:paraId="268BA9C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38.856</w:t>
            </w:r>
          </w:p>
        </w:tc>
        <w:tc>
          <w:tcPr>
            <w:tcW w:w="588" w:type="pct"/>
            <w:tcBorders>
              <w:top w:val="nil"/>
              <w:left w:val="single" w:sz="4" w:space="0" w:color="auto"/>
              <w:bottom w:val="single" w:sz="4" w:space="0" w:color="auto"/>
              <w:right w:val="nil"/>
            </w:tcBorders>
            <w:shd w:val="clear" w:color="000000" w:fill="FFFFFF"/>
            <w:noWrap/>
            <w:vAlign w:val="center"/>
            <w:hideMark/>
          </w:tcPr>
          <w:p w14:paraId="56FC62B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377</w:t>
            </w:r>
          </w:p>
        </w:tc>
        <w:tc>
          <w:tcPr>
            <w:tcW w:w="578" w:type="pct"/>
            <w:tcBorders>
              <w:top w:val="nil"/>
              <w:left w:val="nil"/>
              <w:bottom w:val="single" w:sz="4" w:space="0" w:color="auto"/>
              <w:right w:val="single" w:sz="4" w:space="0" w:color="auto"/>
            </w:tcBorders>
            <w:shd w:val="clear" w:color="000000" w:fill="FFFFFF"/>
            <w:noWrap/>
            <w:vAlign w:val="center"/>
            <w:hideMark/>
          </w:tcPr>
          <w:p w14:paraId="2B63441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437</w:t>
            </w:r>
          </w:p>
        </w:tc>
        <w:tc>
          <w:tcPr>
            <w:tcW w:w="523" w:type="pct"/>
            <w:tcBorders>
              <w:top w:val="nil"/>
              <w:left w:val="nil"/>
              <w:bottom w:val="nil"/>
              <w:right w:val="nil"/>
            </w:tcBorders>
            <w:shd w:val="clear" w:color="000000" w:fill="FFFFFF"/>
            <w:noWrap/>
            <w:vAlign w:val="center"/>
            <w:hideMark/>
          </w:tcPr>
          <w:p w14:paraId="1A38291C"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522" w:type="pct"/>
            <w:tcBorders>
              <w:top w:val="nil"/>
              <w:left w:val="single" w:sz="4" w:space="0" w:color="auto"/>
              <w:bottom w:val="nil"/>
              <w:right w:val="single" w:sz="4" w:space="0" w:color="auto"/>
            </w:tcBorders>
            <w:shd w:val="clear" w:color="000000" w:fill="FFFFFF"/>
            <w:noWrap/>
            <w:vAlign w:val="center"/>
            <w:hideMark/>
          </w:tcPr>
          <w:p w14:paraId="778DC93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0B343E" w:rsidRPr="00650EE4" w14:paraId="24809F68" w14:textId="77777777" w:rsidTr="00100674">
        <w:tc>
          <w:tcPr>
            <w:tcW w:w="1057" w:type="pct"/>
            <w:tcBorders>
              <w:top w:val="single" w:sz="4" w:space="0" w:color="auto"/>
              <w:left w:val="single" w:sz="4" w:space="0" w:color="auto"/>
              <w:bottom w:val="single" w:sz="4" w:space="0" w:color="auto"/>
              <w:right w:val="nil"/>
            </w:tcBorders>
            <w:shd w:val="clear" w:color="000000" w:fill="F2F2F2"/>
            <w:noWrap/>
            <w:vAlign w:val="center"/>
            <w:hideMark/>
          </w:tcPr>
          <w:p w14:paraId="23655B5D" w14:textId="77777777" w:rsidR="006248AC" w:rsidRPr="00650EE4" w:rsidRDefault="006248AC" w:rsidP="00720C26">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577" w:type="pct"/>
            <w:tcBorders>
              <w:top w:val="nil"/>
              <w:left w:val="single" w:sz="4" w:space="0" w:color="auto"/>
              <w:bottom w:val="single" w:sz="4" w:space="0" w:color="auto"/>
              <w:right w:val="nil"/>
            </w:tcBorders>
            <w:shd w:val="clear" w:color="000000" w:fill="F2F2F2"/>
            <w:noWrap/>
            <w:vAlign w:val="center"/>
            <w:hideMark/>
          </w:tcPr>
          <w:p w14:paraId="026ECCDD"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23.046</w:t>
            </w:r>
          </w:p>
        </w:tc>
        <w:tc>
          <w:tcPr>
            <w:tcW w:w="577" w:type="pct"/>
            <w:tcBorders>
              <w:top w:val="nil"/>
              <w:left w:val="nil"/>
              <w:bottom w:val="single" w:sz="4" w:space="0" w:color="auto"/>
              <w:right w:val="nil"/>
            </w:tcBorders>
            <w:shd w:val="clear" w:color="000000" w:fill="F2F2F2"/>
            <w:noWrap/>
            <w:vAlign w:val="center"/>
            <w:hideMark/>
          </w:tcPr>
          <w:p w14:paraId="6FB5F819"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36.550</w:t>
            </w:r>
          </w:p>
        </w:tc>
        <w:tc>
          <w:tcPr>
            <w:tcW w:w="577" w:type="pct"/>
            <w:tcBorders>
              <w:top w:val="nil"/>
              <w:left w:val="nil"/>
              <w:bottom w:val="single" w:sz="4" w:space="0" w:color="auto"/>
              <w:right w:val="single" w:sz="4" w:space="0" w:color="auto"/>
            </w:tcBorders>
            <w:shd w:val="clear" w:color="000000" w:fill="F2F2F2"/>
            <w:noWrap/>
            <w:vAlign w:val="center"/>
            <w:hideMark/>
          </w:tcPr>
          <w:p w14:paraId="32FBD1AB"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17.554</w:t>
            </w:r>
          </w:p>
        </w:tc>
        <w:tc>
          <w:tcPr>
            <w:tcW w:w="588" w:type="pct"/>
            <w:tcBorders>
              <w:top w:val="nil"/>
              <w:left w:val="single" w:sz="4" w:space="0" w:color="auto"/>
              <w:bottom w:val="single" w:sz="4" w:space="0" w:color="auto"/>
              <w:right w:val="nil"/>
            </w:tcBorders>
            <w:shd w:val="clear" w:color="000000" w:fill="F2F2F2"/>
            <w:noWrap/>
            <w:vAlign w:val="center"/>
            <w:hideMark/>
          </w:tcPr>
          <w:p w14:paraId="01A75DF9"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6.203</w:t>
            </w:r>
          </w:p>
        </w:tc>
        <w:tc>
          <w:tcPr>
            <w:tcW w:w="578" w:type="pct"/>
            <w:tcBorders>
              <w:top w:val="nil"/>
              <w:left w:val="nil"/>
              <w:bottom w:val="single" w:sz="4" w:space="0" w:color="auto"/>
              <w:right w:val="nil"/>
            </w:tcBorders>
            <w:shd w:val="clear" w:color="000000" w:fill="F2F2F2"/>
            <w:noWrap/>
            <w:vAlign w:val="center"/>
            <w:hideMark/>
          </w:tcPr>
          <w:p w14:paraId="0CCCCC90"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7.417</w:t>
            </w:r>
          </w:p>
        </w:tc>
        <w:tc>
          <w:tcPr>
            <w:tcW w:w="52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D05F25"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90.770</w:t>
            </w:r>
          </w:p>
        </w:tc>
        <w:tc>
          <w:tcPr>
            <w:tcW w:w="522" w:type="pct"/>
            <w:tcBorders>
              <w:top w:val="single" w:sz="4" w:space="0" w:color="auto"/>
              <w:left w:val="nil"/>
              <w:bottom w:val="single" w:sz="4" w:space="0" w:color="auto"/>
              <w:right w:val="single" w:sz="4" w:space="0" w:color="auto"/>
            </w:tcBorders>
            <w:shd w:val="clear" w:color="000000" w:fill="F2F2F2"/>
            <w:noWrap/>
            <w:vAlign w:val="center"/>
            <w:hideMark/>
          </w:tcPr>
          <w:p w14:paraId="7FDEE192"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6248AC" w:rsidRPr="00650EE4" w14:paraId="45A651C1" w14:textId="77777777" w:rsidTr="00100674">
        <w:tc>
          <w:tcPr>
            <w:tcW w:w="1057" w:type="pct"/>
            <w:tcBorders>
              <w:top w:val="nil"/>
              <w:left w:val="single" w:sz="4" w:space="0" w:color="auto"/>
              <w:bottom w:val="nil"/>
              <w:right w:val="nil"/>
            </w:tcBorders>
            <w:shd w:val="clear" w:color="000000" w:fill="FFFFFF"/>
            <w:noWrap/>
            <w:vAlign w:val="center"/>
            <w:hideMark/>
          </w:tcPr>
          <w:p w14:paraId="7570104D"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77" w:type="pct"/>
            <w:tcBorders>
              <w:top w:val="nil"/>
              <w:left w:val="single" w:sz="4" w:space="0" w:color="auto"/>
              <w:bottom w:val="nil"/>
              <w:right w:val="nil"/>
            </w:tcBorders>
            <w:shd w:val="clear" w:color="000000" w:fill="FFFFFF"/>
            <w:noWrap/>
            <w:vAlign w:val="center"/>
            <w:hideMark/>
          </w:tcPr>
          <w:p w14:paraId="672E4A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12.216</w:t>
            </w:r>
          </w:p>
        </w:tc>
        <w:tc>
          <w:tcPr>
            <w:tcW w:w="577" w:type="pct"/>
            <w:tcBorders>
              <w:top w:val="nil"/>
              <w:left w:val="nil"/>
              <w:bottom w:val="nil"/>
              <w:right w:val="nil"/>
            </w:tcBorders>
            <w:shd w:val="clear" w:color="000000" w:fill="FFFFFF"/>
            <w:noWrap/>
            <w:vAlign w:val="center"/>
            <w:hideMark/>
          </w:tcPr>
          <w:p w14:paraId="75F33CC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24.120</w:t>
            </w:r>
          </w:p>
        </w:tc>
        <w:tc>
          <w:tcPr>
            <w:tcW w:w="577" w:type="pct"/>
            <w:tcBorders>
              <w:top w:val="nil"/>
              <w:left w:val="nil"/>
              <w:bottom w:val="nil"/>
              <w:right w:val="single" w:sz="4" w:space="0" w:color="auto"/>
            </w:tcBorders>
            <w:shd w:val="clear" w:color="000000" w:fill="FFFFFF"/>
            <w:noWrap/>
            <w:vAlign w:val="center"/>
            <w:hideMark/>
          </w:tcPr>
          <w:p w14:paraId="0F6FF3D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9.169</w:t>
            </w:r>
          </w:p>
        </w:tc>
        <w:tc>
          <w:tcPr>
            <w:tcW w:w="588" w:type="pct"/>
            <w:tcBorders>
              <w:top w:val="nil"/>
              <w:left w:val="single" w:sz="4" w:space="0" w:color="auto"/>
              <w:bottom w:val="nil"/>
              <w:right w:val="nil"/>
            </w:tcBorders>
            <w:shd w:val="clear" w:color="000000" w:fill="FFFFFF"/>
            <w:noWrap/>
            <w:vAlign w:val="center"/>
            <w:hideMark/>
          </w:tcPr>
          <w:p w14:paraId="54EA4CA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2.159</w:t>
            </w:r>
          </w:p>
        </w:tc>
        <w:tc>
          <w:tcPr>
            <w:tcW w:w="578" w:type="pct"/>
            <w:tcBorders>
              <w:top w:val="nil"/>
              <w:left w:val="nil"/>
              <w:bottom w:val="nil"/>
              <w:right w:val="single" w:sz="4" w:space="0" w:color="auto"/>
            </w:tcBorders>
            <w:shd w:val="clear" w:color="000000" w:fill="FFFFFF"/>
            <w:noWrap/>
            <w:vAlign w:val="center"/>
            <w:hideMark/>
          </w:tcPr>
          <w:p w14:paraId="3B8BA2C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1.111</w:t>
            </w:r>
          </w:p>
        </w:tc>
        <w:tc>
          <w:tcPr>
            <w:tcW w:w="523" w:type="pct"/>
            <w:tcBorders>
              <w:top w:val="nil"/>
              <w:left w:val="nil"/>
              <w:bottom w:val="nil"/>
              <w:right w:val="nil"/>
            </w:tcBorders>
            <w:shd w:val="clear" w:color="000000" w:fill="FFFFFF"/>
            <w:noWrap/>
            <w:vAlign w:val="center"/>
            <w:hideMark/>
          </w:tcPr>
          <w:p w14:paraId="76F136CF"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522" w:type="pct"/>
            <w:tcBorders>
              <w:top w:val="nil"/>
              <w:left w:val="single" w:sz="4" w:space="0" w:color="auto"/>
              <w:bottom w:val="nil"/>
              <w:right w:val="single" w:sz="4" w:space="0" w:color="auto"/>
            </w:tcBorders>
            <w:shd w:val="clear" w:color="000000" w:fill="FFFFFF"/>
            <w:noWrap/>
            <w:vAlign w:val="center"/>
            <w:hideMark/>
          </w:tcPr>
          <w:p w14:paraId="1ED0A71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6248AC" w:rsidRPr="00650EE4" w14:paraId="324D1E62" w14:textId="77777777" w:rsidTr="00100674">
        <w:tc>
          <w:tcPr>
            <w:tcW w:w="1057" w:type="pct"/>
            <w:tcBorders>
              <w:top w:val="nil"/>
              <w:left w:val="single" w:sz="4" w:space="0" w:color="auto"/>
              <w:bottom w:val="nil"/>
              <w:right w:val="nil"/>
            </w:tcBorders>
            <w:shd w:val="clear" w:color="000000" w:fill="FFFFFF"/>
            <w:noWrap/>
            <w:vAlign w:val="center"/>
            <w:hideMark/>
          </w:tcPr>
          <w:p w14:paraId="189B2864"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77" w:type="pct"/>
            <w:tcBorders>
              <w:top w:val="nil"/>
              <w:left w:val="single" w:sz="4" w:space="0" w:color="auto"/>
              <w:bottom w:val="nil"/>
              <w:right w:val="nil"/>
            </w:tcBorders>
            <w:shd w:val="clear" w:color="000000" w:fill="FFFFFF"/>
            <w:noWrap/>
            <w:vAlign w:val="center"/>
            <w:hideMark/>
          </w:tcPr>
          <w:p w14:paraId="13693E8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1.680</w:t>
            </w:r>
          </w:p>
        </w:tc>
        <w:tc>
          <w:tcPr>
            <w:tcW w:w="577" w:type="pct"/>
            <w:tcBorders>
              <w:top w:val="nil"/>
              <w:left w:val="nil"/>
              <w:bottom w:val="nil"/>
              <w:right w:val="nil"/>
            </w:tcBorders>
            <w:shd w:val="clear" w:color="000000" w:fill="FFFFFF"/>
            <w:noWrap/>
            <w:vAlign w:val="center"/>
            <w:hideMark/>
          </w:tcPr>
          <w:p w14:paraId="47915FD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3.980</w:t>
            </w:r>
          </w:p>
        </w:tc>
        <w:tc>
          <w:tcPr>
            <w:tcW w:w="577" w:type="pct"/>
            <w:tcBorders>
              <w:top w:val="nil"/>
              <w:left w:val="nil"/>
              <w:bottom w:val="nil"/>
              <w:right w:val="single" w:sz="4" w:space="0" w:color="auto"/>
            </w:tcBorders>
            <w:shd w:val="clear" w:color="000000" w:fill="FFFFFF"/>
            <w:noWrap/>
            <w:vAlign w:val="center"/>
            <w:hideMark/>
          </w:tcPr>
          <w:p w14:paraId="2F17ADC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2.509</w:t>
            </w:r>
          </w:p>
        </w:tc>
        <w:tc>
          <w:tcPr>
            <w:tcW w:w="588" w:type="pct"/>
            <w:tcBorders>
              <w:top w:val="nil"/>
              <w:left w:val="single" w:sz="4" w:space="0" w:color="auto"/>
              <w:bottom w:val="nil"/>
              <w:right w:val="nil"/>
            </w:tcBorders>
            <w:shd w:val="clear" w:color="000000" w:fill="FFFFFF"/>
            <w:noWrap/>
            <w:vAlign w:val="center"/>
            <w:hideMark/>
          </w:tcPr>
          <w:p w14:paraId="3A7274E0"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1.343</w:t>
            </w:r>
          </w:p>
        </w:tc>
        <w:tc>
          <w:tcPr>
            <w:tcW w:w="578" w:type="pct"/>
            <w:tcBorders>
              <w:top w:val="nil"/>
              <w:left w:val="nil"/>
              <w:bottom w:val="nil"/>
              <w:right w:val="single" w:sz="4" w:space="0" w:color="auto"/>
            </w:tcBorders>
            <w:shd w:val="clear" w:color="000000" w:fill="FFFFFF"/>
            <w:noWrap/>
            <w:vAlign w:val="center"/>
            <w:hideMark/>
          </w:tcPr>
          <w:p w14:paraId="53FA7716"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865</w:t>
            </w:r>
          </w:p>
        </w:tc>
        <w:tc>
          <w:tcPr>
            <w:tcW w:w="523" w:type="pct"/>
            <w:tcBorders>
              <w:top w:val="nil"/>
              <w:left w:val="nil"/>
              <w:bottom w:val="nil"/>
              <w:right w:val="nil"/>
            </w:tcBorders>
            <w:shd w:val="clear" w:color="000000" w:fill="FFFFFF"/>
            <w:noWrap/>
            <w:vAlign w:val="center"/>
            <w:hideMark/>
          </w:tcPr>
          <w:p w14:paraId="4AB76C4B"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522" w:type="pct"/>
            <w:tcBorders>
              <w:top w:val="nil"/>
              <w:left w:val="single" w:sz="4" w:space="0" w:color="auto"/>
              <w:bottom w:val="nil"/>
              <w:right w:val="single" w:sz="4" w:space="0" w:color="auto"/>
            </w:tcBorders>
            <w:shd w:val="clear" w:color="000000" w:fill="FFFFFF"/>
            <w:noWrap/>
            <w:vAlign w:val="center"/>
            <w:hideMark/>
          </w:tcPr>
          <w:p w14:paraId="79C2694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6248AC" w:rsidRPr="00650EE4" w14:paraId="58D06E92" w14:textId="77777777" w:rsidTr="00100674">
        <w:tc>
          <w:tcPr>
            <w:tcW w:w="1057" w:type="pct"/>
            <w:tcBorders>
              <w:top w:val="nil"/>
              <w:left w:val="single" w:sz="4" w:space="0" w:color="auto"/>
              <w:bottom w:val="nil"/>
              <w:right w:val="nil"/>
            </w:tcBorders>
            <w:shd w:val="clear" w:color="000000" w:fill="FFFFFF"/>
            <w:noWrap/>
            <w:vAlign w:val="center"/>
            <w:hideMark/>
          </w:tcPr>
          <w:p w14:paraId="539376EF"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77" w:type="pct"/>
            <w:tcBorders>
              <w:top w:val="nil"/>
              <w:left w:val="single" w:sz="4" w:space="0" w:color="auto"/>
              <w:bottom w:val="nil"/>
              <w:right w:val="nil"/>
            </w:tcBorders>
            <w:shd w:val="clear" w:color="000000" w:fill="FFFFFF"/>
            <w:noWrap/>
            <w:vAlign w:val="center"/>
            <w:hideMark/>
          </w:tcPr>
          <w:p w14:paraId="5B4686C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465</w:t>
            </w:r>
          </w:p>
        </w:tc>
        <w:tc>
          <w:tcPr>
            <w:tcW w:w="577" w:type="pct"/>
            <w:tcBorders>
              <w:top w:val="nil"/>
              <w:left w:val="nil"/>
              <w:bottom w:val="nil"/>
              <w:right w:val="nil"/>
            </w:tcBorders>
            <w:shd w:val="clear" w:color="000000" w:fill="FFFFFF"/>
            <w:noWrap/>
            <w:vAlign w:val="center"/>
            <w:hideMark/>
          </w:tcPr>
          <w:p w14:paraId="3BADD6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468</w:t>
            </w:r>
          </w:p>
        </w:tc>
        <w:tc>
          <w:tcPr>
            <w:tcW w:w="577" w:type="pct"/>
            <w:tcBorders>
              <w:top w:val="nil"/>
              <w:left w:val="nil"/>
              <w:bottom w:val="nil"/>
              <w:right w:val="single" w:sz="4" w:space="0" w:color="auto"/>
            </w:tcBorders>
            <w:shd w:val="clear" w:color="000000" w:fill="FFFFFF"/>
            <w:noWrap/>
            <w:vAlign w:val="center"/>
            <w:hideMark/>
          </w:tcPr>
          <w:p w14:paraId="17110516"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328</w:t>
            </w:r>
          </w:p>
        </w:tc>
        <w:tc>
          <w:tcPr>
            <w:tcW w:w="588" w:type="pct"/>
            <w:tcBorders>
              <w:top w:val="nil"/>
              <w:left w:val="single" w:sz="4" w:space="0" w:color="auto"/>
              <w:bottom w:val="nil"/>
              <w:right w:val="nil"/>
            </w:tcBorders>
            <w:shd w:val="clear" w:color="000000" w:fill="FFFFFF"/>
            <w:noWrap/>
            <w:vAlign w:val="center"/>
            <w:hideMark/>
          </w:tcPr>
          <w:p w14:paraId="02FCE1D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681</w:t>
            </w:r>
          </w:p>
        </w:tc>
        <w:tc>
          <w:tcPr>
            <w:tcW w:w="578" w:type="pct"/>
            <w:tcBorders>
              <w:top w:val="nil"/>
              <w:left w:val="nil"/>
              <w:bottom w:val="nil"/>
              <w:right w:val="single" w:sz="4" w:space="0" w:color="auto"/>
            </w:tcBorders>
            <w:shd w:val="clear" w:color="000000" w:fill="FFFFFF"/>
            <w:noWrap/>
            <w:vAlign w:val="center"/>
            <w:hideMark/>
          </w:tcPr>
          <w:p w14:paraId="3A713F4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2.773</w:t>
            </w:r>
          </w:p>
        </w:tc>
        <w:tc>
          <w:tcPr>
            <w:tcW w:w="523" w:type="pct"/>
            <w:tcBorders>
              <w:top w:val="nil"/>
              <w:left w:val="nil"/>
              <w:bottom w:val="nil"/>
              <w:right w:val="nil"/>
            </w:tcBorders>
            <w:shd w:val="clear" w:color="000000" w:fill="FFFFFF"/>
            <w:noWrap/>
            <w:vAlign w:val="center"/>
            <w:hideMark/>
          </w:tcPr>
          <w:p w14:paraId="2594C9BB"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522" w:type="pct"/>
            <w:tcBorders>
              <w:top w:val="nil"/>
              <w:left w:val="single" w:sz="4" w:space="0" w:color="auto"/>
              <w:bottom w:val="nil"/>
              <w:right w:val="single" w:sz="4" w:space="0" w:color="auto"/>
            </w:tcBorders>
            <w:shd w:val="clear" w:color="000000" w:fill="FFFFFF"/>
            <w:noWrap/>
            <w:vAlign w:val="center"/>
            <w:hideMark/>
          </w:tcPr>
          <w:p w14:paraId="580BD3F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w:t>
            </w:r>
          </w:p>
        </w:tc>
      </w:tr>
      <w:tr w:rsidR="006248AC" w:rsidRPr="00650EE4" w14:paraId="564E30AC" w14:textId="77777777" w:rsidTr="00100674">
        <w:tc>
          <w:tcPr>
            <w:tcW w:w="1057" w:type="pct"/>
            <w:tcBorders>
              <w:top w:val="nil"/>
              <w:left w:val="single" w:sz="4" w:space="0" w:color="auto"/>
              <w:bottom w:val="nil"/>
              <w:right w:val="nil"/>
            </w:tcBorders>
            <w:shd w:val="clear" w:color="000000" w:fill="FFFFFF"/>
            <w:noWrap/>
            <w:vAlign w:val="center"/>
            <w:hideMark/>
          </w:tcPr>
          <w:p w14:paraId="4F2EB2D3"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77" w:type="pct"/>
            <w:tcBorders>
              <w:top w:val="nil"/>
              <w:left w:val="single" w:sz="4" w:space="0" w:color="auto"/>
              <w:bottom w:val="nil"/>
              <w:right w:val="nil"/>
            </w:tcBorders>
            <w:shd w:val="clear" w:color="000000" w:fill="FFFFFF"/>
            <w:noWrap/>
            <w:vAlign w:val="center"/>
            <w:hideMark/>
          </w:tcPr>
          <w:p w14:paraId="4D8F360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2.670</w:t>
            </w:r>
          </w:p>
        </w:tc>
        <w:tc>
          <w:tcPr>
            <w:tcW w:w="577" w:type="pct"/>
            <w:tcBorders>
              <w:top w:val="nil"/>
              <w:left w:val="nil"/>
              <w:bottom w:val="nil"/>
              <w:right w:val="nil"/>
            </w:tcBorders>
            <w:shd w:val="clear" w:color="000000" w:fill="FFFFFF"/>
            <w:noWrap/>
            <w:vAlign w:val="center"/>
            <w:hideMark/>
          </w:tcPr>
          <w:p w14:paraId="0A194BB2"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3.538</w:t>
            </w:r>
          </w:p>
        </w:tc>
        <w:tc>
          <w:tcPr>
            <w:tcW w:w="577" w:type="pct"/>
            <w:tcBorders>
              <w:top w:val="nil"/>
              <w:left w:val="nil"/>
              <w:bottom w:val="nil"/>
              <w:right w:val="single" w:sz="4" w:space="0" w:color="auto"/>
            </w:tcBorders>
            <w:shd w:val="clear" w:color="000000" w:fill="FFFFFF"/>
            <w:noWrap/>
            <w:vAlign w:val="center"/>
            <w:hideMark/>
          </w:tcPr>
          <w:p w14:paraId="07799D45"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2.404</w:t>
            </w:r>
          </w:p>
        </w:tc>
        <w:tc>
          <w:tcPr>
            <w:tcW w:w="588" w:type="pct"/>
            <w:tcBorders>
              <w:top w:val="nil"/>
              <w:left w:val="single" w:sz="4" w:space="0" w:color="auto"/>
              <w:bottom w:val="nil"/>
              <w:right w:val="nil"/>
            </w:tcBorders>
            <w:shd w:val="clear" w:color="000000" w:fill="FFFFFF"/>
            <w:noWrap/>
            <w:vAlign w:val="center"/>
            <w:hideMark/>
          </w:tcPr>
          <w:p w14:paraId="5F931CF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578" w:type="pct"/>
            <w:tcBorders>
              <w:top w:val="nil"/>
              <w:left w:val="nil"/>
              <w:bottom w:val="nil"/>
              <w:right w:val="single" w:sz="4" w:space="0" w:color="auto"/>
            </w:tcBorders>
            <w:shd w:val="clear" w:color="000000" w:fill="FFFFFF"/>
            <w:noWrap/>
            <w:vAlign w:val="center"/>
            <w:hideMark/>
          </w:tcPr>
          <w:p w14:paraId="29CBBCE0"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w:t>
            </w:r>
          </w:p>
        </w:tc>
        <w:tc>
          <w:tcPr>
            <w:tcW w:w="523" w:type="pct"/>
            <w:tcBorders>
              <w:top w:val="nil"/>
              <w:left w:val="nil"/>
              <w:bottom w:val="nil"/>
              <w:right w:val="nil"/>
            </w:tcBorders>
            <w:shd w:val="clear" w:color="000000" w:fill="FFFFFF"/>
            <w:noWrap/>
            <w:vAlign w:val="center"/>
            <w:hideMark/>
          </w:tcPr>
          <w:p w14:paraId="0819A23D"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522" w:type="pct"/>
            <w:tcBorders>
              <w:top w:val="nil"/>
              <w:left w:val="single" w:sz="4" w:space="0" w:color="auto"/>
              <w:bottom w:val="nil"/>
              <w:right w:val="single" w:sz="4" w:space="0" w:color="auto"/>
            </w:tcBorders>
            <w:shd w:val="clear" w:color="000000" w:fill="FFFFFF"/>
            <w:noWrap/>
            <w:vAlign w:val="center"/>
            <w:hideMark/>
          </w:tcPr>
          <w:p w14:paraId="5A71AED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6248AC" w:rsidRPr="00650EE4" w14:paraId="6C0CDD5F" w14:textId="77777777" w:rsidTr="00100674">
        <w:tc>
          <w:tcPr>
            <w:tcW w:w="1057" w:type="pct"/>
            <w:tcBorders>
              <w:top w:val="nil"/>
              <w:left w:val="single" w:sz="4" w:space="0" w:color="auto"/>
              <w:bottom w:val="nil"/>
              <w:right w:val="nil"/>
            </w:tcBorders>
            <w:shd w:val="clear" w:color="000000" w:fill="FFFFFF"/>
            <w:noWrap/>
            <w:vAlign w:val="center"/>
            <w:hideMark/>
          </w:tcPr>
          <w:p w14:paraId="10AE0EE7"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77" w:type="pct"/>
            <w:tcBorders>
              <w:top w:val="nil"/>
              <w:left w:val="single" w:sz="4" w:space="0" w:color="auto"/>
              <w:bottom w:val="nil"/>
              <w:right w:val="nil"/>
            </w:tcBorders>
            <w:shd w:val="clear" w:color="000000" w:fill="FFFFFF"/>
            <w:noWrap/>
            <w:vAlign w:val="center"/>
            <w:hideMark/>
          </w:tcPr>
          <w:p w14:paraId="007E744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244</w:t>
            </w:r>
          </w:p>
        </w:tc>
        <w:tc>
          <w:tcPr>
            <w:tcW w:w="577" w:type="pct"/>
            <w:tcBorders>
              <w:top w:val="nil"/>
              <w:left w:val="nil"/>
              <w:bottom w:val="nil"/>
              <w:right w:val="nil"/>
            </w:tcBorders>
            <w:shd w:val="clear" w:color="000000" w:fill="FFFFFF"/>
            <w:noWrap/>
            <w:vAlign w:val="center"/>
            <w:hideMark/>
          </w:tcPr>
          <w:p w14:paraId="0E3FC91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345</w:t>
            </w:r>
          </w:p>
        </w:tc>
        <w:tc>
          <w:tcPr>
            <w:tcW w:w="577" w:type="pct"/>
            <w:tcBorders>
              <w:top w:val="nil"/>
              <w:left w:val="nil"/>
              <w:bottom w:val="nil"/>
              <w:right w:val="single" w:sz="4" w:space="0" w:color="auto"/>
            </w:tcBorders>
            <w:shd w:val="clear" w:color="000000" w:fill="FFFFFF"/>
            <w:noWrap/>
            <w:vAlign w:val="center"/>
            <w:hideMark/>
          </w:tcPr>
          <w:p w14:paraId="4013715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315</w:t>
            </w:r>
          </w:p>
        </w:tc>
        <w:tc>
          <w:tcPr>
            <w:tcW w:w="588" w:type="pct"/>
            <w:tcBorders>
              <w:top w:val="nil"/>
              <w:left w:val="single" w:sz="4" w:space="0" w:color="auto"/>
              <w:bottom w:val="nil"/>
              <w:right w:val="nil"/>
            </w:tcBorders>
            <w:shd w:val="clear" w:color="000000" w:fill="FFFFFF"/>
            <w:noWrap/>
            <w:vAlign w:val="center"/>
            <w:hideMark/>
          </w:tcPr>
          <w:p w14:paraId="44F116F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347</w:t>
            </w:r>
          </w:p>
        </w:tc>
        <w:tc>
          <w:tcPr>
            <w:tcW w:w="578" w:type="pct"/>
            <w:tcBorders>
              <w:top w:val="nil"/>
              <w:left w:val="nil"/>
              <w:bottom w:val="nil"/>
              <w:right w:val="single" w:sz="4" w:space="0" w:color="auto"/>
            </w:tcBorders>
            <w:shd w:val="clear" w:color="000000" w:fill="FFFFFF"/>
            <w:noWrap/>
            <w:vAlign w:val="center"/>
            <w:hideMark/>
          </w:tcPr>
          <w:p w14:paraId="700A4AB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588</w:t>
            </w:r>
          </w:p>
        </w:tc>
        <w:tc>
          <w:tcPr>
            <w:tcW w:w="523" w:type="pct"/>
            <w:tcBorders>
              <w:top w:val="nil"/>
              <w:left w:val="nil"/>
              <w:bottom w:val="nil"/>
              <w:right w:val="nil"/>
            </w:tcBorders>
            <w:shd w:val="clear" w:color="000000" w:fill="FFFFFF"/>
            <w:noWrap/>
            <w:vAlign w:val="center"/>
            <w:hideMark/>
          </w:tcPr>
          <w:p w14:paraId="55E1DBB2"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522" w:type="pct"/>
            <w:tcBorders>
              <w:top w:val="nil"/>
              <w:left w:val="single" w:sz="4" w:space="0" w:color="auto"/>
              <w:bottom w:val="nil"/>
              <w:right w:val="single" w:sz="4" w:space="0" w:color="auto"/>
            </w:tcBorders>
            <w:shd w:val="clear" w:color="000000" w:fill="FFFFFF"/>
            <w:noWrap/>
            <w:vAlign w:val="center"/>
            <w:hideMark/>
          </w:tcPr>
          <w:p w14:paraId="54B62DE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6248AC" w:rsidRPr="00650EE4" w14:paraId="42FF12ED" w14:textId="77777777" w:rsidTr="00100674">
        <w:tc>
          <w:tcPr>
            <w:tcW w:w="1057" w:type="pct"/>
            <w:tcBorders>
              <w:top w:val="nil"/>
              <w:left w:val="single" w:sz="4" w:space="0" w:color="auto"/>
              <w:bottom w:val="nil"/>
              <w:right w:val="nil"/>
            </w:tcBorders>
            <w:shd w:val="clear" w:color="000000" w:fill="FFFFFF"/>
            <w:noWrap/>
            <w:vAlign w:val="center"/>
            <w:hideMark/>
          </w:tcPr>
          <w:p w14:paraId="44958484"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577" w:type="pct"/>
            <w:tcBorders>
              <w:top w:val="nil"/>
              <w:left w:val="single" w:sz="4" w:space="0" w:color="auto"/>
              <w:bottom w:val="nil"/>
              <w:right w:val="nil"/>
            </w:tcBorders>
            <w:shd w:val="clear" w:color="000000" w:fill="FFFFFF"/>
            <w:noWrap/>
            <w:vAlign w:val="center"/>
            <w:hideMark/>
          </w:tcPr>
          <w:p w14:paraId="3709914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3.410</w:t>
            </w:r>
          </w:p>
        </w:tc>
        <w:tc>
          <w:tcPr>
            <w:tcW w:w="577" w:type="pct"/>
            <w:tcBorders>
              <w:top w:val="nil"/>
              <w:left w:val="nil"/>
              <w:bottom w:val="nil"/>
              <w:right w:val="nil"/>
            </w:tcBorders>
            <w:shd w:val="clear" w:color="000000" w:fill="FFFFFF"/>
            <w:noWrap/>
            <w:vAlign w:val="center"/>
            <w:hideMark/>
          </w:tcPr>
          <w:p w14:paraId="0517E62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1.715</w:t>
            </w:r>
          </w:p>
        </w:tc>
        <w:tc>
          <w:tcPr>
            <w:tcW w:w="577" w:type="pct"/>
            <w:tcBorders>
              <w:top w:val="nil"/>
              <w:left w:val="nil"/>
              <w:bottom w:val="nil"/>
              <w:right w:val="single" w:sz="4" w:space="0" w:color="auto"/>
            </w:tcBorders>
            <w:shd w:val="clear" w:color="000000" w:fill="FFFFFF"/>
            <w:noWrap/>
            <w:vAlign w:val="center"/>
            <w:hideMark/>
          </w:tcPr>
          <w:p w14:paraId="00E636D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1.371</w:t>
            </w:r>
          </w:p>
        </w:tc>
        <w:tc>
          <w:tcPr>
            <w:tcW w:w="588" w:type="pct"/>
            <w:tcBorders>
              <w:top w:val="nil"/>
              <w:left w:val="single" w:sz="4" w:space="0" w:color="auto"/>
              <w:bottom w:val="nil"/>
              <w:right w:val="nil"/>
            </w:tcBorders>
            <w:shd w:val="clear" w:color="000000" w:fill="FFFFFF"/>
            <w:noWrap/>
            <w:vAlign w:val="center"/>
            <w:hideMark/>
          </w:tcPr>
          <w:p w14:paraId="1AD1F46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279</w:t>
            </w:r>
          </w:p>
        </w:tc>
        <w:tc>
          <w:tcPr>
            <w:tcW w:w="578" w:type="pct"/>
            <w:tcBorders>
              <w:top w:val="nil"/>
              <w:left w:val="nil"/>
              <w:bottom w:val="nil"/>
              <w:right w:val="single" w:sz="4" w:space="0" w:color="auto"/>
            </w:tcBorders>
            <w:shd w:val="clear" w:color="000000" w:fill="FFFFFF"/>
            <w:noWrap/>
            <w:vAlign w:val="center"/>
            <w:hideMark/>
          </w:tcPr>
          <w:p w14:paraId="0399CC4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w:t>
            </w:r>
          </w:p>
        </w:tc>
        <w:tc>
          <w:tcPr>
            <w:tcW w:w="523" w:type="pct"/>
            <w:tcBorders>
              <w:top w:val="nil"/>
              <w:left w:val="nil"/>
              <w:bottom w:val="nil"/>
              <w:right w:val="nil"/>
            </w:tcBorders>
            <w:shd w:val="clear" w:color="000000" w:fill="FFFFFF"/>
            <w:noWrap/>
            <w:vAlign w:val="center"/>
            <w:hideMark/>
          </w:tcPr>
          <w:p w14:paraId="3E3F130E"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522" w:type="pct"/>
            <w:tcBorders>
              <w:top w:val="nil"/>
              <w:left w:val="single" w:sz="4" w:space="0" w:color="auto"/>
              <w:bottom w:val="nil"/>
              <w:right w:val="single" w:sz="4" w:space="0" w:color="auto"/>
            </w:tcBorders>
            <w:shd w:val="clear" w:color="000000" w:fill="FFFFFF"/>
            <w:noWrap/>
            <w:vAlign w:val="center"/>
            <w:hideMark/>
          </w:tcPr>
          <w:p w14:paraId="14CACBF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6248AC" w:rsidRPr="00650EE4" w14:paraId="765278EA" w14:textId="77777777" w:rsidTr="00100674">
        <w:tc>
          <w:tcPr>
            <w:tcW w:w="1057" w:type="pct"/>
            <w:tcBorders>
              <w:top w:val="nil"/>
              <w:left w:val="single" w:sz="4" w:space="0" w:color="auto"/>
              <w:bottom w:val="nil"/>
              <w:right w:val="nil"/>
            </w:tcBorders>
            <w:shd w:val="clear" w:color="000000" w:fill="FFFFFF"/>
            <w:noWrap/>
            <w:vAlign w:val="center"/>
            <w:hideMark/>
          </w:tcPr>
          <w:p w14:paraId="4E85EC48"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577" w:type="pct"/>
            <w:tcBorders>
              <w:top w:val="nil"/>
              <w:left w:val="single" w:sz="4" w:space="0" w:color="auto"/>
              <w:bottom w:val="nil"/>
              <w:right w:val="nil"/>
            </w:tcBorders>
            <w:shd w:val="clear" w:color="000000" w:fill="FFFFFF"/>
            <w:noWrap/>
            <w:vAlign w:val="center"/>
            <w:hideMark/>
          </w:tcPr>
          <w:p w14:paraId="02C66C5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286</w:t>
            </w:r>
          </w:p>
        </w:tc>
        <w:tc>
          <w:tcPr>
            <w:tcW w:w="577" w:type="pct"/>
            <w:tcBorders>
              <w:top w:val="nil"/>
              <w:left w:val="nil"/>
              <w:bottom w:val="nil"/>
              <w:right w:val="nil"/>
            </w:tcBorders>
            <w:shd w:val="clear" w:color="000000" w:fill="FFFFFF"/>
            <w:noWrap/>
            <w:vAlign w:val="center"/>
            <w:hideMark/>
          </w:tcPr>
          <w:p w14:paraId="1137D5F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w:t>
            </w:r>
          </w:p>
        </w:tc>
        <w:tc>
          <w:tcPr>
            <w:tcW w:w="577" w:type="pct"/>
            <w:tcBorders>
              <w:top w:val="nil"/>
              <w:left w:val="nil"/>
              <w:bottom w:val="nil"/>
              <w:right w:val="single" w:sz="4" w:space="0" w:color="auto"/>
            </w:tcBorders>
            <w:shd w:val="clear" w:color="000000" w:fill="FFFFFF"/>
            <w:noWrap/>
            <w:vAlign w:val="center"/>
            <w:hideMark/>
          </w:tcPr>
          <w:p w14:paraId="26186F0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w:t>
            </w:r>
          </w:p>
        </w:tc>
        <w:tc>
          <w:tcPr>
            <w:tcW w:w="588" w:type="pct"/>
            <w:tcBorders>
              <w:top w:val="nil"/>
              <w:left w:val="single" w:sz="4" w:space="0" w:color="auto"/>
              <w:bottom w:val="nil"/>
              <w:right w:val="nil"/>
            </w:tcBorders>
            <w:shd w:val="clear" w:color="000000" w:fill="FFFFFF"/>
            <w:noWrap/>
            <w:vAlign w:val="center"/>
            <w:hideMark/>
          </w:tcPr>
          <w:p w14:paraId="12691C0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267</w:t>
            </w:r>
          </w:p>
        </w:tc>
        <w:tc>
          <w:tcPr>
            <w:tcW w:w="578" w:type="pct"/>
            <w:tcBorders>
              <w:top w:val="nil"/>
              <w:left w:val="nil"/>
              <w:bottom w:val="nil"/>
              <w:right w:val="single" w:sz="4" w:space="0" w:color="auto"/>
            </w:tcBorders>
            <w:shd w:val="clear" w:color="000000" w:fill="FFFFFF"/>
            <w:noWrap/>
            <w:vAlign w:val="center"/>
            <w:hideMark/>
          </w:tcPr>
          <w:p w14:paraId="65658F10"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1.105</w:t>
            </w:r>
          </w:p>
        </w:tc>
        <w:tc>
          <w:tcPr>
            <w:tcW w:w="523" w:type="pct"/>
            <w:tcBorders>
              <w:top w:val="nil"/>
              <w:left w:val="nil"/>
              <w:bottom w:val="nil"/>
              <w:right w:val="nil"/>
            </w:tcBorders>
            <w:shd w:val="clear" w:color="000000" w:fill="FFFFFF"/>
            <w:noWrap/>
            <w:vAlign w:val="center"/>
            <w:hideMark/>
          </w:tcPr>
          <w:p w14:paraId="042E3414"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522" w:type="pct"/>
            <w:tcBorders>
              <w:top w:val="nil"/>
              <w:left w:val="single" w:sz="4" w:space="0" w:color="auto"/>
              <w:bottom w:val="nil"/>
              <w:right w:val="single" w:sz="4" w:space="0" w:color="auto"/>
            </w:tcBorders>
            <w:shd w:val="clear" w:color="000000" w:fill="FFFFFF"/>
            <w:noWrap/>
            <w:vAlign w:val="center"/>
            <w:hideMark/>
          </w:tcPr>
          <w:p w14:paraId="7B909FE1"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r>
      <w:tr w:rsidR="006248AC" w:rsidRPr="00650EE4" w14:paraId="272C1654" w14:textId="77777777" w:rsidTr="00100674">
        <w:tc>
          <w:tcPr>
            <w:tcW w:w="1057" w:type="pct"/>
            <w:tcBorders>
              <w:top w:val="nil"/>
              <w:left w:val="single" w:sz="4" w:space="0" w:color="auto"/>
              <w:bottom w:val="nil"/>
              <w:right w:val="nil"/>
            </w:tcBorders>
            <w:shd w:val="clear" w:color="000000" w:fill="FFFFFF"/>
            <w:noWrap/>
            <w:vAlign w:val="center"/>
            <w:hideMark/>
          </w:tcPr>
          <w:p w14:paraId="54F5A4B7"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77" w:type="pct"/>
            <w:tcBorders>
              <w:top w:val="nil"/>
              <w:left w:val="single" w:sz="4" w:space="0" w:color="auto"/>
              <w:bottom w:val="nil"/>
              <w:right w:val="nil"/>
            </w:tcBorders>
            <w:shd w:val="clear" w:color="000000" w:fill="FFFFFF"/>
            <w:noWrap/>
            <w:vAlign w:val="center"/>
            <w:hideMark/>
          </w:tcPr>
          <w:p w14:paraId="6EBCD61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1.883</w:t>
            </w:r>
          </w:p>
        </w:tc>
        <w:tc>
          <w:tcPr>
            <w:tcW w:w="577" w:type="pct"/>
            <w:tcBorders>
              <w:top w:val="nil"/>
              <w:left w:val="nil"/>
              <w:bottom w:val="nil"/>
              <w:right w:val="nil"/>
            </w:tcBorders>
            <w:shd w:val="clear" w:color="000000" w:fill="FFFFFF"/>
            <w:noWrap/>
            <w:vAlign w:val="center"/>
            <w:hideMark/>
          </w:tcPr>
          <w:p w14:paraId="5D6F54B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1.664</w:t>
            </w:r>
          </w:p>
        </w:tc>
        <w:tc>
          <w:tcPr>
            <w:tcW w:w="577" w:type="pct"/>
            <w:tcBorders>
              <w:top w:val="nil"/>
              <w:left w:val="nil"/>
              <w:bottom w:val="nil"/>
              <w:right w:val="single" w:sz="4" w:space="0" w:color="auto"/>
            </w:tcBorders>
            <w:shd w:val="clear" w:color="000000" w:fill="FFFFFF"/>
            <w:noWrap/>
            <w:vAlign w:val="center"/>
            <w:hideMark/>
          </w:tcPr>
          <w:p w14:paraId="1311578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906</w:t>
            </w:r>
          </w:p>
        </w:tc>
        <w:tc>
          <w:tcPr>
            <w:tcW w:w="588" w:type="pct"/>
            <w:tcBorders>
              <w:top w:val="nil"/>
              <w:left w:val="single" w:sz="4" w:space="0" w:color="auto"/>
              <w:bottom w:val="nil"/>
              <w:right w:val="nil"/>
            </w:tcBorders>
            <w:shd w:val="clear" w:color="000000" w:fill="FFFFFF"/>
            <w:noWrap/>
            <w:vAlign w:val="center"/>
            <w:hideMark/>
          </w:tcPr>
          <w:p w14:paraId="1B57C39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578" w:type="pct"/>
            <w:tcBorders>
              <w:top w:val="nil"/>
              <w:left w:val="nil"/>
              <w:bottom w:val="nil"/>
              <w:right w:val="single" w:sz="4" w:space="0" w:color="auto"/>
            </w:tcBorders>
            <w:shd w:val="clear" w:color="000000" w:fill="FFFFFF"/>
            <w:noWrap/>
            <w:vAlign w:val="center"/>
            <w:hideMark/>
          </w:tcPr>
          <w:p w14:paraId="10F740C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343</w:t>
            </w:r>
          </w:p>
        </w:tc>
        <w:tc>
          <w:tcPr>
            <w:tcW w:w="523" w:type="pct"/>
            <w:tcBorders>
              <w:top w:val="nil"/>
              <w:left w:val="nil"/>
              <w:bottom w:val="nil"/>
              <w:right w:val="nil"/>
            </w:tcBorders>
            <w:shd w:val="clear" w:color="000000" w:fill="FFFFFF"/>
            <w:noWrap/>
            <w:vAlign w:val="center"/>
            <w:hideMark/>
          </w:tcPr>
          <w:p w14:paraId="787C488F"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522" w:type="pct"/>
            <w:tcBorders>
              <w:top w:val="nil"/>
              <w:left w:val="single" w:sz="4" w:space="0" w:color="auto"/>
              <w:bottom w:val="nil"/>
              <w:right w:val="single" w:sz="4" w:space="0" w:color="auto"/>
            </w:tcBorders>
            <w:shd w:val="clear" w:color="000000" w:fill="FFFFFF"/>
            <w:noWrap/>
            <w:vAlign w:val="center"/>
            <w:hideMark/>
          </w:tcPr>
          <w:p w14:paraId="52F8A05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6248AC" w:rsidRPr="00650EE4" w14:paraId="647DEEDF" w14:textId="77777777" w:rsidTr="00100674">
        <w:tc>
          <w:tcPr>
            <w:tcW w:w="1057" w:type="pct"/>
            <w:tcBorders>
              <w:top w:val="nil"/>
              <w:left w:val="single" w:sz="4" w:space="0" w:color="auto"/>
              <w:bottom w:val="single" w:sz="4" w:space="0" w:color="auto"/>
              <w:right w:val="nil"/>
            </w:tcBorders>
            <w:shd w:val="clear" w:color="000000" w:fill="FFFFFF"/>
            <w:noWrap/>
            <w:vAlign w:val="center"/>
            <w:hideMark/>
          </w:tcPr>
          <w:p w14:paraId="61615D7E"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77" w:type="pct"/>
            <w:tcBorders>
              <w:top w:val="nil"/>
              <w:left w:val="single" w:sz="4" w:space="0" w:color="auto"/>
              <w:bottom w:val="single" w:sz="4" w:space="0" w:color="auto"/>
              <w:right w:val="nil"/>
            </w:tcBorders>
            <w:shd w:val="clear" w:color="000000" w:fill="FFFFFF"/>
            <w:noWrap/>
            <w:vAlign w:val="center"/>
            <w:hideMark/>
          </w:tcPr>
          <w:p w14:paraId="6F4CA7D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w:t>
            </w:r>
          </w:p>
        </w:tc>
        <w:tc>
          <w:tcPr>
            <w:tcW w:w="577" w:type="pct"/>
            <w:tcBorders>
              <w:top w:val="nil"/>
              <w:left w:val="nil"/>
              <w:bottom w:val="single" w:sz="4" w:space="0" w:color="auto"/>
              <w:right w:val="nil"/>
            </w:tcBorders>
            <w:shd w:val="clear" w:color="000000" w:fill="FFFFFF"/>
            <w:noWrap/>
            <w:vAlign w:val="center"/>
            <w:hideMark/>
          </w:tcPr>
          <w:p w14:paraId="6ACF4FE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390</w:t>
            </w:r>
          </w:p>
        </w:tc>
        <w:tc>
          <w:tcPr>
            <w:tcW w:w="577" w:type="pct"/>
            <w:tcBorders>
              <w:top w:val="nil"/>
              <w:left w:val="nil"/>
              <w:bottom w:val="single" w:sz="4" w:space="0" w:color="auto"/>
              <w:right w:val="single" w:sz="4" w:space="0" w:color="auto"/>
            </w:tcBorders>
            <w:shd w:val="clear" w:color="000000" w:fill="FFFFFF"/>
            <w:noWrap/>
            <w:vAlign w:val="center"/>
            <w:hideMark/>
          </w:tcPr>
          <w:p w14:paraId="2E39FDC2"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w:t>
            </w:r>
          </w:p>
        </w:tc>
        <w:tc>
          <w:tcPr>
            <w:tcW w:w="588" w:type="pct"/>
            <w:tcBorders>
              <w:top w:val="nil"/>
              <w:left w:val="single" w:sz="4" w:space="0" w:color="auto"/>
              <w:bottom w:val="single" w:sz="4" w:space="0" w:color="auto"/>
              <w:right w:val="nil"/>
            </w:tcBorders>
            <w:shd w:val="clear" w:color="000000" w:fill="FFFFFF"/>
            <w:noWrap/>
            <w:vAlign w:val="center"/>
            <w:hideMark/>
          </w:tcPr>
          <w:p w14:paraId="01C8BA0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826</w:t>
            </w:r>
          </w:p>
        </w:tc>
        <w:tc>
          <w:tcPr>
            <w:tcW w:w="578" w:type="pct"/>
            <w:tcBorders>
              <w:top w:val="nil"/>
              <w:left w:val="nil"/>
              <w:bottom w:val="single" w:sz="4" w:space="0" w:color="auto"/>
              <w:right w:val="single" w:sz="4" w:space="0" w:color="auto"/>
            </w:tcBorders>
            <w:shd w:val="clear" w:color="000000" w:fill="FFFFFF"/>
            <w:noWrap/>
            <w:vAlign w:val="center"/>
            <w:hideMark/>
          </w:tcPr>
          <w:p w14:paraId="0C96052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397</w:t>
            </w:r>
          </w:p>
        </w:tc>
        <w:tc>
          <w:tcPr>
            <w:tcW w:w="523" w:type="pct"/>
            <w:tcBorders>
              <w:top w:val="nil"/>
              <w:left w:val="nil"/>
              <w:bottom w:val="single" w:sz="4" w:space="0" w:color="auto"/>
              <w:right w:val="nil"/>
            </w:tcBorders>
            <w:shd w:val="clear" w:color="000000" w:fill="FFFFFF"/>
            <w:noWrap/>
            <w:vAlign w:val="center"/>
            <w:hideMark/>
          </w:tcPr>
          <w:p w14:paraId="72514645"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522" w:type="pct"/>
            <w:tcBorders>
              <w:top w:val="nil"/>
              <w:left w:val="single" w:sz="4" w:space="0" w:color="auto"/>
              <w:bottom w:val="single" w:sz="4" w:space="0" w:color="auto"/>
              <w:right w:val="single" w:sz="4" w:space="0" w:color="auto"/>
            </w:tcBorders>
            <w:shd w:val="clear" w:color="000000" w:fill="FFFFFF"/>
            <w:noWrap/>
            <w:vAlign w:val="center"/>
            <w:hideMark/>
          </w:tcPr>
          <w:p w14:paraId="3301BB5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6248AC" w:rsidRPr="00650EE4" w14:paraId="559EC2FF" w14:textId="77777777" w:rsidTr="00100674">
        <w:tc>
          <w:tcPr>
            <w:tcW w:w="1057" w:type="pct"/>
            <w:tcBorders>
              <w:top w:val="nil"/>
              <w:left w:val="single" w:sz="4" w:space="0" w:color="auto"/>
              <w:bottom w:val="nil"/>
              <w:right w:val="nil"/>
            </w:tcBorders>
            <w:shd w:val="clear" w:color="000000" w:fill="FFFFFF"/>
            <w:noWrap/>
            <w:vAlign w:val="center"/>
            <w:hideMark/>
          </w:tcPr>
          <w:p w14:paraId="4E41C62A" w14:textId="77777777" w:rsidR="006248AC" w:rsidRPr="00650EE4" w:rsidRDefault="006248AC" w:rsidP="00720C26">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77" w:type="pct"/>
            <w:tcBorders>
              <w:top w:val="nil"/>
              <w:left w:val="single" w:sz="4" w:space="0" w:color="auto"/>
              <w:bottom w:val="nil"/>
              <w:right w:val="nil"/>
            </w:tcBorders>
            <w:shd w:val="clear" w:color="000000" w:fill="FFFFFF"/>
            <w:noWrap/>
            <w:vAlign w:val="center"/>
            <w:hideMark/>
          </w:tcPr>
          <w:p w14:paraId="4C5C1B57"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424.524</w:t>
            </w:r>
          </w:p>
        </w:tc>
        <w:tc>
          <w:tcPr>
            <w:tcW w:w="577" w:type="pct"/>
            <w:tcBorders>
              <w:top w:val="nil"/>
              <w:left w:val="nil"/>
              <w:bottom w:val="nil"/>
              <w:right w:val="nil"/>
            </w:tcBorders>
            <w:shd w:val="clear" w:color="000000" w:fill="FFFFFF"/>
            <w:noWrap/>
            <w:vAlign w:val="center"/>
            <w:hideMark/>
          </w:tcPr>
          <w:p w14:paraId="0491A988"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41.817</w:t>
            </w:r>
          </w:p>
        </w:tc>
        <w:tc>
          <w:tcPr>
            <w:tcW w:w="577" w:type="pct"/>
            <w:tcBorders>
              <w:top w:val="nil"/>
              <w:left w:val="nil"/>
              <w:bottom w:val="nil"/>
              <w:right w:val="single" w:sz="4" w:space="0" w:color="auto"/>
            </w:tcBorders>
            <w:shd w:val="clear" w:color="000000" w:fill="FFFFFF"/>
            <w:noWrap/>
            <w:vAlign w:val="center"/>
            <w:hideMark/>
          </w:tcPr>
          <w:p w14:paraId="63218079"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178.393</w:t>
            </w:r>
          </w:p>
        </w:tc>
        <w:tc>
          <w:tcPr>
            <w:tcW w:w="588" w:type="pct"/>
            <w:tcBorders>
              <w:top w:val="nil"/>
              <w:left w:val="single" w:sz="4" w:space="0" w:color="auto"/>
              <w:bottom w:val="nil"/>
              <w:right w:val="nil"/>
            </w:tcBorders>
            <w:shd w:val="clear" w:color="000000" w:fill="FFFFFF"/>
            <w:noWrap/>
            <w:vAlign w:val="center"/>
            <w:hideMark/>
          </w:tcPr>
          <w:p w14:paraId="174A9965"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7.367</w:t>
            </w:r>
          </w:p>
        </w:tc>
        <w:tc>
          <w:tcPr>
            <w:tcW w:w="578" w:type="pct"/>
            <w:tcBorders>
              <w:top w:val="nil"/>
              <w:left w:val="nil"/>
              <w:bottom w:val="nil"/>
              <w:right w:val="single" w:sz="4" w:space="0" w:color="auto"/>
            </w:tcBorders>
            <w:shd w:val="clear" w:color="000000" w:fill="FFFFFF"/>
            <w:noWrap/>
            <w:vAlign w:val="center"/>
            <w:hideMark/>
          </w:tcPr>
          <w:p w14:paraId="23EB7FB3"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9.182</w:t>
            </w:r>
          </w:p>
        </w:tc>
        <w:tc>
          <w:tcPr>
            <w:tcW w:w="523" w:type="pct"/>
            <w:tcBorders>
              <w:top w:val="nil"/>
              <w:left w:val="nil"/>
              <w:bottom w:val="nil"/>
              <w:right w:val="nil"/>
            </w:tcBorders>
            <w:shd w:val="clear" w:color="000000" w:fill="FFFFFF"/>
            <w:noWrap/>
            <w:vAlign w:val="center"/>
            <w:hideMark/>
          </w:tcPr>
          <w:p w14:paraId="1C8EBEDC"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522" w:type="pct"/>
            <w:tcBorders>
              <w:top w:val="nil"/>
              <w:left w:val="single" w:sz="4" w:space="0" w:color="auto"/>
              <w:bottom w:val="nil"/>
              <w:right w:val="single" w:sz="4" w:space="0" w:color="auto"/>
            </w:tcBorders>
            <w:shd w:val="clear" w:color="000000" w:fill="FFFFFF"/>
            <w:noWrap/>
            <w:vAlign w:val="center"/>
            <w:hideMark/>
          </w:tcPr>
          <w:p w14:paraId="2B3CC6A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248AC" w:rsidRPr="00650EE4" w14:paraId="70757D49" w14:textId="77777777" w:rsidTr="00100674">
        <w:tc>
          <w:tcPr>
            <w:tcW w:w="1057" w:type="pct"/>
            <w:tcBorders>
              <w:top w:val="single" w:sz="4" w:space="0" w:color="auto"/>
              <w:left w:val="single" w:sz="4" w:space="0" w:color="auto"/>
              <w:bottom w:val="single" w:sz="4" w:space="0" w:color="auto"/>
              <w:right w:val="nil"/>
            </w:tcBorders>
            <w:shd w:val="clear" w:color="000000" w:fill="FFFFFF"/>
            <w:noWrap/>
            <w:vAlign w:val="center"/>
            <w:hideMark/>
          </w:tcPr>
          <w:p w14:paraId="46AB9CE8"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77" w:type="pct"/>
            <w:tcBorders>
              <w:top w:val="single" w:sz="4" w:space="0" w:color="auto"/>
              <w:left w:val="single" w:sz="4" w:space="0" w:color="auto"/>
              <w:bottom w:val="single" w:sz="4" w:space="0" w:color="auto"/>
              <w:right w:val="nil"/>
            </w:tcBorders>
            <w:shd w:val="clear" w:color="000000" w:fill="FFFFFF"/>
            <w:noWrap/>
            <w:vAlign w:val="center"/>
            <w:hideMark/>
          </w:tcPr>
          <w:p w14:paraId="40AF5C2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577" w:type="pct"/>
            <w:tcBorders>
              <w:top w:val="single" w:sz="4" w:space="0" w:color="auto"/>
              <w:left w:val="nil"/>
              <w:bottom w:val="single" w:sz="4" w:space="0" w:color="auto"/>
              <w:right w:val="nil"/>
            </w:tcBorders>
            <w:shd w:val="clear" w:color="000000" w:fill="FFFFFF"/>
            <w:noWrap/>
            <w:vAlign w:val="center"/>
            <w:hideMark/>
          </w:tcPr>
          <w:p w14:paraId="227019C5"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77" w:type="pct"/>
            <w:tcBorders>
              <w:top w:val="single" w:sz="4" w:space="0" w:color="auto"/>
              <w:left w:val="nil"/>
              <w:bottom w:val="single" w:sz="4" w:space="0" w:color="auto"/>
              <w:right w:val="single" w:sz="4" w:space="0" w:color="auto"/>
            </w:tcBorders>
            <w:shd w:val="clear" w:color="000000" w:fill="FFFFFF"/>
            <w:noWrap/>
            <w:vAlign w:val="center"/>
            <w:hideMark/>
          </w:tcPr>
          <w:p w14:paraId="419951D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588" w:type="pct"/>
            <w:tcBorders>
              <w:top w:val="single" w:sz="4" w:space="0" w:color="auto"/>
              <w:left w:val="single" w:sz="4" w:space="0" w:color="auto"/>
              <w:bottom w:val="single" w:sz="4" w:space="0" w:color="auto"/>
              <w:right w:val="nil"/>
            </w:tcBorders>
            <w:shd w:val="clear" w:color="000000" w:fill="FFFFFF"/>
            <w:noWrap/>
            <w:vAlign w:val="center"/>
            <w:hideMark/>
          </w:tcPr>
          <w:p w14:paraId="31E6671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6F0D0AE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3" w:type="pct"/>
            <w:tcBorders>
              <w:top w:val="single" w:sz="4" w:space="0" w:color="auto"/>
              <w:left w:val="nil"/>
              <w:bottom w:val="single" w:sz="4" w:space="0" w:color="auto"/>
              <w:right w:val="nil"/>
            </w:tcBorders>
            <w:shd w:val="clear" w:color="000000" w:fill="FFFFFF"/>
            <w:noWrap/>
            <w:vAlign w:val="center"/>
            <w:hideMark/>
          </w:tcPr>
          <w:p w14:paraId="6269542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5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CE5A92"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8407D9E" w14:textId="063C83B6" w:rsidR="00681794" w:rsidRPr="00650EE4" w:rsidRDefault="00681794" w:rsidP="00194B9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141FAE" w:rsidRPr="00650EE4">
        <w:rPr>
          <w:rFonts w:ascii="Times New Roman" w:eastAsia="Times New Roman" w:hAnsi="Times New Roman"/>
          <w:i/>
          <w:color w:val="000000" w:themeColor="text1"/>
          <w:sz w:val="20"/>
          <w:szCs w:val="20"/>
        </w:rPr>
        <w:t>NTR</w:t>
      </w:r>
      <w:r w:rsidR="00974DFD" w:rsidRPr="00650EE4">
        <w:rPr>
          <w:rFonts w:ascii="Times New Roman" w:eastAsia="Times New Roman" w:hAnsi="Times New Roman"/>
          <w:i/>
          <w:color w:val="000000" w:themeColor="text1"/>
          <w:sz w:val="20"/>
          <w:szCs w:val="20"/>
        </w:rPr>
        <w:t xml:space="preserve"> duomenys (2019.12.31)</w:t>
      </w:r>
    </w:p>
    <w:p w14:paraId="611FD1A2" w14:textId="77777777" w:rsidR="00123E5D" w:rsidRPr="00650EE4" w:rsidRDefault="00123E5D" w:rsidP="00631BA6">
      <w:pPr>
        <w:pStyle w:val="TESlentelspavadinimas"/>
        <w:rPr>
          <w:noProof w:val="0"/>
        </w:rPr>
      </w:pPr>
    </w:p>
    <w:p w14:paraId="5730AE84" w14:textId="777FCAD6" w:rsidR="00DB124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6" w:name="_Toc67925189"/>
      <w:r w:rsidR="007744C1">
        <w:t>6</w:t>
      </w:r>
      <w:r w:rsidRPr="00650EE4">
        <w:rPr>
          <w:noProof w:val="0"/>
        </w:rPr>
        <w:fldChar w:fldCharType="end"/>
      </w:r>
      <w:r w:rsidR="0070585A" w:rsidRPr="00650EE4">
        <w:rPr>
          <w:noProof w:val="0"/>
        </w:rPr>
        <w:t xml:space="preserve"> lentelė</w:t>
      </w:r>
      <w:r w:rsidR="00DB1243" w:rsidRPr="00650EE4">
        <w:rPr>
          <w:noProof w:val="0"/>
        </w:rPr>
        <w:t>. Pastatų fondas pagal nuosavybės tipą (</w:t>
      </w:r>
      <w:r w:rsidR="009F4DC4" w:rsidRPr="00650EE4">
        <w:rPr>
          <w:noProof w:val="0"/>
        </w:rPr>
        <w:t>tūkst. m</w:t>
      </w:r>
      <w:r w:rsidR="009F4DC4" w:rsidRPr="00650EE4">
        <w:rPr>
          <w:noProof w:val="0"/>
          <w:vertAlign w:val="superscript"/>
        </w:rPr>
        <w:t>2</w:t>
      </w:r>
      <w:r w:rsidR="00DB1243" w:rsidRPr="00650EE4">
        <w:rPr>
          <w:noProof w:val="0"/>
        </w:rPr>
        <w:t>)</w:t>
      </w:r>
      <w:bookmarkEnd w:id="26"/>
    </w:p>
    <w:tbl>
      <w:tblPr>
        <w:tblW w:w="5000" w:type="pct"/>
        <w:tblLook w:val="04A0" w:firstRow="1" w:lastRow="0" w:firstColumn="1" w:lastColumn="0" w:noHBand="0" w:noVBand="1"/>
      </w:tblPr>
      <w:tblGrid>
        <w:gridCol w:w="2212"/>
        <w:gridCol w:w="1200"/>
        <w:gridCol w:w="1202"/>
        <w:gridCol w:w="1202"/>
        <w:gridCol w:w="1230"/>
        <w:gridCol w:w="1200"/>
        <w:gridCol w:w="1088"/>
        <w:gridCol w:w="1086"/>
      </w:tblGrid>
      <w:tr w:rsidR="00FD4ED3" w:rsidRPr="00650EE4" w14:paraId="2B20AFF2" w14:textId="77777777" w:rsidTr="0085443A">
        <w:tc>
          <w:tcPr>
            <w:tcW w:w="1061"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3F76245C"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896"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5DA295"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Nuosavybės tipas</w:t>
            </w:r>
          </w:p>
        </w:tc>
        <w:tc>
          <w:tcPr>
            <w:tcW w:w="522" w:type="pct"/>
            <w:vMerge w:val="restart"/>
            <w:tcBorders>
              <w:top w:val="single" w:sz="4" w:space="0" w:color="auto"/>
              <w:left w:val="nil"/>
              <w:bottom w:val="single" w:sz="4" w:space="0" w:color="000000"/>
              <w:right w:val="nil"/>
            </w:tcBorders>
            <w:shd w:val="clear" w:color="000000" w:fill="FFFFFF"/>
            <w:vAlign w:val="center"/>
            <w:hideMark/>
          </w:tcPr>
          <w:p w14:paraId="4D32FAB5"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C8BDA8"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D4ED3" w:rsidRPr="00650EE4" w14:paraId="7ED9252D" w14:textId="77777777" w:rsidTr="0085443A">
        <w:tc>
          <w:tcPr>
            <w:tcW w:w="1061" w:type="pct"/>
            <w:vMerge/>
            <w:tcBorders>
              <w:top w:val="single" w:sz="4" w:space="0" w:color="auto"/>
              <w:left w:val="single" w:sz="4" w:space="0" w:color="auto"/>
              <w:bottom w:val="single" w:sz="4" w:space="0" w:color="000000"/>
              <w:right w:val="nil"/>
            </w:tcBorders>
            <w:vAlign w:val="center"/>
            <w:hideMark/>
          </w:tcPr>
          <w:p w14:paraId="200AAF8E" w14:textId="77777777" w:rsidR="00FD4ED3" w:rsidRPr="00650EE4" w:rsidRDefault="00FD4ED3" w:rsidP="00FD4ED3">
            <w:pPr>
              <w:spacing w:line="240" w:lineRule="auto"/>
              <w:rPr>
                <w:rFonts w:ascii="Times New Roman" w:eastAsia="Times New Roman" w:hAnsi="Times New Roman"/>
                <w:b/>
                <w:bCs/>
                <w:sz w:val="20"/>
                <w:szCs w:val="20"/>
              </w:rPr>
            </w:pPr>
          </w:p>
        </w:tc>
        <w:tc>
          <w:tcPr>
            <w:tcW w:w="173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4FDAFDA"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Privati</w:t>
            </w:r>
          </w:p>
        </w:tc>
        <w:tc>
          <w:tcPr>
            <w:tcW w:w="1166"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3503329"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Vieša</w:t>
            </w:r>
          </w:p>
        </w:tc>
        <w:tc>
          <w:tcPr>
            <w:tcW w:w="522" w:type="pct"/>
            <w:vMerge/>
            <w:tcBorders>
              <w:top w:val="single" w:sz="4" w:space="0" w:color="auto"/>
              <w:left w:val="nil"/>
              <w:bottom w:val="single" w:sz="4" w:space="0" w:color="000000"/>
              <w:right w:val="nil"/>
            </w:tcBorders>
            <w:vAlign w:val="center"/>
            <w:hideMark/>
          </w:tcPr>
          <w:p w14:paraId="56C77420" w14:textId="77777777" w:rsidR="00FD4ED3" w:rsidRPr="00650EE4" w:rsidRDefault="00FD4ED3" w:rsidP="00FD4ED3">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14:paraId="3CBECD5C" w14:textId="77777777" w:rsidR="00FD4ED3" w:rsidRPr="00650EE4" w:rsidRDefault="00FD4ED3" w:rsidP="00FD4ED3">
            <w:pPr>
              <w:spacing w:line="240" w:lineRule="auto"/>
              <w:rPr>
                <w:rFonts w:ascii="Times New Roman" w:eastAsia="Times New Roman" w:hAnsi="Times New Roman"/>
                <w:b/>
                <w:bCs/>
                <w:sz w:val="20"/>
                <w:szCs w:val="20"/>
              </w:rPr>
            </w:pPr>
          </w:p>
        </w:tc>
      </w:tr>
      <w:tr w:rsidR="00FD4ED3" w:rsidRPr="00650EE4" w14:paraId="4FA6B33F" w14:textId="77777777" w:rsidTr="0085443A">
        <w:tc>
          <w:tcPr>
            <w:tcW w:w="1061" w:type="pct"/>
            <w:vMerge/>
            <w:tcBorders>
              <w:top w:val="single" w:sz="4" w:space="0" w:color="auto"/>
              <w:left w:val="single" w:sz="4" w:space="0" w:color="auto"/>
              <w:bottom w:val="single" w:sz="4" w:space="0" w:color="000000"/>
              <w:right w:val="nil"/>
            </w:tcBorders>
            <w:vAlign w:val="center"/>
            <w:hideMark/>
          </w:tcPr>
          <w:p w14:paraId="6B74189F" w14:textId="77777777" w:rsidR="00FD4ED3" w:rsidRPr="00650EE4" w:rsidRDefault="00FD4ED3" w:rsidP="00FD4ED3">
            <w:pPr>
              <w:spacing w:line="240" w:lineRule="auto"/>
              <w:rPr>
                <w:rFonts w:ascii="Times New Roman" w:eastAsia="Times New Roman" w:hAnsi="Times New Roman"/>
                <w:b/>
                <w:bCs/>
                <w:sz w:val="20"/>
                <w:szCs w:val="20"/>
              </w:rPr>
            </w:pPr>
          </w:p>
        </w:tc>
        <w:tc>
          <w:tcPr>
            <w:tcW w:w="576" w:type="pct"/>
            <w:tcBorders>
              <w:top w:val="nil"/>
              <w:left w:val="single" w:sz="4" w:space="0" w:color="auto"/>
              <w:bottom w:val="nil"/>
              <w:right w:val="nil"/>
            </w:tcBorders>
            <w:shd w:val="clear" w:color="000000" w:fill="FFFFFF"/>
            <w:vAlign w:val="center"/>
            <w:hideMark/>
          </w:tcPr>
          <w:p w14:paraId="5FE16D8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Fizinių asmenų</w:t>
            </w:r>
          </w:p>
        </w:tc>
        <w:tc>
          <w:tcPr>
            <w:tcW w:w="577" w:type="pct"/>
            <w:tcBorders>
              <w:top w:val="nil"/>
              <w:left w:val="nil"/>
              <w:bottom w:val="nil"/>
              <w:right w:val="nil"/>
            </w:tcBorders>
            <w:shd w:val="clear" w:color="000000" w:fill="FFFFFF"/>
            <w:vAlign w:val="center"/>
            <w:hideMark/>
          </w:tcPr>
          <w:p w14:paraId="663448F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Juridinių asmenų</w:t>
            </w:r>
          </w:p>
        </w:tc>
        <w:tc>
          <w:tcPr>
            <w:tcW w:w="576" w:type="pct"/>
            <w:tcBorders>
              <w:top w:val="nil"/>
              <w:left w:val="nil"/>
              <w:bottom w:val="nil"/>
              <w:right w:val="single" w:sz="4" w:space="0" w:color="auto"/>
            </w:tcBorders>
            <w:shd w:val="clear" w:color="000000" w:fill="FFFFFF"/>
            <w:vAlign w:val="center"/>
            <w:hideMark/>
          </w:tcPr>
          <w:p w14:paraId="7EE0BD11"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Mišri, kita</w:t>
            </w:r>
          </w:p>
        </w:tc>
        <w:tc>
          <w:tcPr>
            <w:tcW w:w="590" w:type="pct"/>
            <w:tcBorders>
              <w:top w:val="nil"/>
              <w:left w:val="nil"/>
              <w:bottom w:val="single" w:sz="4" w:space="0" w:color="auto"/>
              <w:right w:val="nil"/>
            </w:tcBorders>
            <w:shd w:val="clear" w:color="000000" w:fill="FFFFFF"/>
            <w:vAlign w:val="center"/>
            <w:hideMark/>
          </w:tcPr>
          <w:p w14:paraId="0EC226F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Valstybės</w:t>
            </w:r>
          </w:p>
        </w:tc>
        <w:tc>
          <w:tcPr>
            <w:tcW w:w="576" w:type="pct"/>
            <w:tcBorders>
              <w:top w:val="nil"/>
              <w:left w:val="nil"/>
              <w:bottom w:val="single" w:sz="4" w:space="0" w:color="auto"/>
              <w:right w:val="single" w:sz="4" w:space="0" w:color="auto"/>
            </w:tcBorders>
            <w:shd w:val="clear" w:color="000000" w:fill="FFFFFF"/>
            <w:vAlign w:val="center"/>
            <w:hideMark/>
          </w:tcPr>
          <w:p w14:paraId="495EB4D1"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Savival-dybių</w:t>
            </w:r>
            <w:proofErr w:type="spellEnd"/>
          </w:p>
        </w:tc>
        <w:tc>
          <w:tcPr>
            <w:tcW w:w="522" w:type="pct"/>
            <w:vMerge/>
            <w:tcBorders>
              <w:top w:val="single" w:sz="4" w:space="0" w:color="auto"/>
              <w:left w:val="nil"/>
              <w:bottom w:val="single" w:sz="4" w:space="0" w:color="000000"/>
              <w:right w:val="nil"/>
            </w:tcBorders>
            <w:vAlign w:val="center"/>
            <w:hideMark/>
          </w:tcPr>
          <w:p w14:paraId="514B87E6" w14:textId="77777777" w:rsidR="00FD4ED3" w:rsidRPr="00650EE4" w:rsidRDefault="00FD4ED3" w:rsidP="00FD4ED3">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14:paraId="59A95174" w14:textId="77777777" w:rsidR="00FD4ED3" w:rsidRPr="00650EE4" w:rsidRDefault="00FD4ED3" w:rsidP="00FD4ED3">
            <w:pPr>
              <w:spacing w:line="240" w:lineRule="auto"/>
              <w:rPr>
                <w:rFonts w:ascii="Times New Roman" w:eastAsia="Times New Roman" w:hAnsi="Times New Roman"/>
                <w:b/>
                <w:bCs/>
                <w:sz w:val="20"/>
                <w:szCs w:val="20"/>
              </w:rPr>
            </w:pPr>
          </w:p>
        </w:tc>
      </w:tr>
      <w:tr w:rsidR="000B343E" w:rsidRPr="00650EE4" w14:paraId="197D4C5E" w14:textId="77777777" w:rsidTr="0085443A">
        <w:tc>
          <w:tcPr>
            <w:tcW w:w="1061" w:type="pct"/>
            <w:tcBorders>
              <w:top w:val="nil"/>
              <w:left w:val="single" w:sz="4" w:space="0" w:color="auto"/>
              <w:bottom w:val="single" w:sz="4" w:space="0" w:color="auto"/>
              <w:right w:val="nil"/>
            </w:tcBorders>
            <w:shd w:val="clear" w:color="000000" w:fill="F2F2F2"/>
            <w:noWrap/>
            <w:vAlign w:val="center"/>
            <w:hideMark/>
          </w:tcPr>
          <w:p w14:paraId="49374523"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576" w:type="pct"/>
            <w:tcBorders>
              <w:top w:val="single" w:sz="4" w:space="0" w:color="auto"/>
              <w:left w:val="single" w:sz="4" w:space="0" w:color="auto"/>
              <w:bottom w:val="nil"/>
              <w:right w:val="nil"/>
            </w:tcBorders>
            <w:shd w:val="clear" w:color="000000" w:fill="F2F2F2"/>
            <w:noWrap/>
            <w:vAlign w:val="center"/>
            <w:hideMark/>
          </w:tcPr>
          <w:p w14:paraId="686433F7"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52.651</w:t>
            </w:r>
          </w:p>
        </w:tc>
        <w:tc>
          <w:tcPr>
            <w:tcW w:w="577" w:type="pct"/>
            <w:tcBorders>
              <w:top w:val="single" w:sz="4" w:space="0" w:color="auto"/>
              <w:left w:val="nil"/>
              <w:bottom w:val="nil"/>
              <w:right w:val="nil"/>
            </w:tcBorders>
            <w:shd w:val="clear" w:color="000000" w:fill="F2F2F2"/>
            <w:noWrap/>
            <w:vAlign w:val="center"/>
            <w:hideMark/>
          </w:tcPr>
          <w:p w14:paraId="672A8C48"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1.196</w:t>
            </w:r>
          </w:p>
        </w:tc>
        <w:tc>
          <w:tcPr>
            <w:tcW w:w="576" w:type="pct"/>
            <w:tcBorders>
              <w:top w:val="single" w:sz="4" w:space="0" w:color="auto"/>
              <w:left w:val="nil"/>
              <w:bottom w:val="nil"/>
              <w:right w:val="single" w:sz="4" w:space="0" w:color="auto"/>
            </w:tcBorders>
            <w:shd w:val="clear" w:color="000000" w:fill="F2F2F2"/>
            <w:noWrap/>
            <w:vAlign w:val="center"/>
            <w:hideMark/>
          </w:tcPr>
          <w:p w14:paraId="6654822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73.652</w:t>
            </w:r>
          </w:p>
        </w:tc>
        <w:tc>
          <w:tcPr>
            <w:tcW w:w="590" w:type="pct"/>
            <w:tcBorders>
              <w:top w:val="single" w:sz="4" w:space="0" w:color="auto"/>
              <w:left w:val="single" w:sz="4" w:space="0" w:color="auto"/>
              <w:bottom w:val="nil"/>
              <w:right w:val="nil"/>
            </w:tcBorders>
            <w:shd w:val="clear" w:color="000000" w:fill="F2F2F2"/>
            <w:noWrap/>
            <w:vAlign w:val="center"/>
            <w:hideMark/>
          </w:tcPr>
          <w:p w14:paraId="5312878F"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915</w:t>
            </w:r>
          </w:p>
        </w:tc>
        <w:tc>
          <w:tcPr>
            <w:tcW w:w="576" w:type="pct"/>
            <w:tcBorders>
              <w:top w:val="single" w:sz="4" w:space="0" w:color="auto"/>
              <w:left w:val="nil"/>
              <w:bottom w:val="nil"/>
              <w:right w:val="single" w:sz="4" w:space="0" w:color="auto"/>
            </w:tcBorders>
            <w:shd w:val="clear" w:color="000000" w:fill="F2F2F2"/>
            <w:noWrap/>
            <w:vAlign w:val="center"/>
            <w:hideMark/>
          </w:tcPr>
          <w:p w14:paraId="08E74DEC"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590</w:t>
            </w:r>
          </w:p>
        </w:tc>
        <w:tc>
          <w:tcPr>
            <w:tcW w:w="522" w:type="pct"/>
            <w:tcBorders>
              <w:top w:val="nil"/>
              <w:left w:val="nil"/>
              <w:bottom w:val="single" w:sz="4" w:space="0" w:color="auto"/>
              <w:right w:val="nil"/>
            </w:tcBorders>
            <w:shd w:val="clear" w:color="000000" w:fill="F2F2F2"/>
            <w:noWrap/>
            <w:vAlign w:val="center"/>
            <w:hideMark/>
          </w:tcPr>
          <w:p w14:paraId="2CA50976"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522" w:type="pct"/>
            <w:tcBorders>
              <w:top w:val="nil"/>
              <w:left w:val="single" w:sz="4" w:space="0" w:color="auto"/>
              <w:bottom w:val="single" w:sz="4" w:space="0" w:color="auto"/>
              <w:right w:val="single" w:sz="4" w:space="0" w:color="auto"/>
            </w:tcBorders>
            <w:shd w:val="clear" w:color="000000" w:fill="F2F2F2"/>
            <w:noWrap/>
            <w:vAlign w:val="center"/>
            <w:hideMark/>
          </w:tcPr>
          <w:p w14:paraId="5268CC95"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64%</w:t>
            </w:r>
          </w:p>
        </w:tc>
      </w:tr>
      <w:tr w:rsidR="00FD4ED3" w:rsidRPr="00650EE4" w14:paraId="5A6D0223" w14:textId="77777777" w:rsidTr="0085443A">
        <w:tc>
          <w:tcPr>
            <w:tcW w:w="1061" w:type="pct"/>
            <w:tcBorders>
              <w:top w:val="nil"/>
              <w:left w:val="single" w:sz="4" w:space="0" w:color="auto"/>
              <w:bottom w:val="nil"/>
              <w:right w:val="nil"/>
            </w:tcBorders>
            <w:shd w:val="clear" w:color="000000" w:fill="FFFFFF"/>
            <w:noWrap/>
            <w:vAlign w:val="center"/>
            <w:hideMark/>
          </w:tcPr>
          <w:p w14:paraId="76E77CA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76" w:type="pct"/>
            <w:tcBorders>
              <w:top w:val="single" w:sz="4" w:space="0" w:color="auto"/>
              <w:left w:val="single" w:sz="4" w:space="0" w:color="auto"/>
              <w:bottom w:val="nil"/>
              <w:right w:val="nil"/>
            </w:tcBorders>
            <w:shd w:val="clear" w:color="000000" w:fill="FFFFFF"/>
            <w:noWrap/>
            <w:vAlign w:val="center"/>
            <w:hideMark/>
          </w:tcPr>
          <w:p w14:paraId="29A4F51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52.331</w:t>
            </w:r>
          </w:p>
        </w:tc>
        <w:tc>
          <w:tcPr>
            <w:tcW w:w="577" w:type="pct"/>
            <w:tcBorders>
              <w:top w:val="single" w:sz="4" w:space="0" w:color="auto"/>
              <w:left w:val="nil"/>
              <w:bottom w:val="nil"/>
              <w:right w:val="nil"/>
            </w:tcBorders>
            <w:shd w:val="clear" w:color="000000" w:fill="FFFFFF"/>
            <w:noWrap/>
            <w:vAlign w:val="center"/>
            <w:hideMark/>
          </w:tcPr>
          <w:p w14:paraId="385B740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722</w:t>
            </w:r>
          </w:p>
        </w:tc>
        <w:tc>
          <w:tcPr>
            <w:tcW w:w="576" w:type="pct"/>
            <w:tcBorders>
              <w:top w:val="single" w:sz="4" w:space="0" w:color="auto"/>
              <w:left w:val="nil"/>
              <w:bottom w:val="nil"/>
              <w:right w:val="single" w:sz="4" w:space="0" w:color="auto"/>
            </w:tcBorders>
            <w:shd w:val="clear" w:color="000000" w:fill="FFFFFF"/>
            <w:noWrap/>
            <w:vAlign w:val="center"/>
            <w:hideMark/>
          </w:tcPr>
          <w:p w14:paraId="277E45D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16.225</w:t>
            </w:r>
          </w:p>
        </w:tc>
        <w:tc>
          <w:tcPr>
            <w:tcW w:w="590" w:type="pct"/>
            <w:tcBorders>
              <w:top w:val="single" w:sz="4" w:space="0" w:color="auto"/>
              <w:left w:val="single" w:sz="4" w:space="0" w:color="auto"/>
              <w:bottom w:val="nil"/>
              <w:right w:val="nil"/>
            </w:tcBorders>
            <w:shd w:val="clear" w:color="000000" w:fill="FFFFFF"/>
            <w:noWrap/>
            <w:vAlign w:val="center"/>
            <w:hideMark/>
          </w:tcPr>
          <w:p w14:paraId="324A567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w:t>
            </w:r>
          </w:p>
        </w:tc>
        <w:tc>
          <w:tcPr>
            <w:tcW w:w="576" w:type="pct"/>
            <w:tcBorders>
              <w:top w:val="single" w:sz="4" w:space="0" w:color="auto"/>
              <w:left w:val="nil"/>
              <w:bottom w:val="nil"/>
              <w:right w:val="single" w:sz="4" w:space="0" w:color="auto"/>
            </w:tcBorders>
            <w:shd w:val="clear" w:color="000000" w:fill="FFFFFF"/>
            <w:noWrap/>
            <w:vAlign w:val="center"/>
            <w:hideMark/>
          </w:tcPr>
          <w:p w14:paraId="68E5169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157</w:t>
            </w:r>
          </w:p>
        </w:tc>
        <w:tc>
          <w:tcPr>
            <w:tcW w:w="522" w:type="pct"/>
            <w:tcBorders>
              <w:top w:val="nil"/>
              <w:left w:val="nil"/>
              <w:bottom w:val="nil"/>
              <w:right w:val="nil"/>
            </w:tcBorders>
            <w:shd w:val="clear" w:color="000000" w:fill="FFFFFF"/>
            <w:noWrap/>
            <w:vAlign w:val="center"/>
            <w:hideMark/>
          </w:tcPr>
          <w:p w14:paraId="37A13BA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522" w:type="pct"/>
            <w:tcBorders>
              <w:top w:val="nil"/>
              <w:left w:val="single" w:sz="4" w:space="0" w:color="auto"/>
              <w:bottom w:val="nil"/>
              <w:right w:val="single" w:sz="4" w:space="0" w:color="auto"/>
            </w:tcBorders>
            <w:shd w:val="clear" w:color="000000" w:fill="FFFFFF"/>
            <w:noWrap/>
            <w:vAlign w:val="center"/>
            <w:hideMark/>
          </w:tcPr>
          <w:p w14:paraId="3F7A85D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D4ED3" w:rsidRPr="00650EE4" w14:paraId="26E15EB0" w14:textId="77777777" w:rsidTr="0085443A">
        <w:tc>
          <w:tcPr>
            <w:tcW w:w="1061" w:type="pct"/>
            <w:tcBorders>
              <w:top w:val="nil"/>
              <w:left w:val="single" w:sz="4" w:space="0" w:color="auto"/>
              <w:bottom w:val="nil"/>
              <w:right w:val="nil"/>
            </w:tcBorders>
            <w:shd w:val="clear" w:color="000000" w:fill="FFFFFF"/>
            <w:noWrap/>
            <w:vAlign w:val="center"/>
            <w:hideMark/>
          </w:tcPr>
          <w:p w14:paraId="22F7D6A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76" w:type="pct"/>
            <w:tcBorders>
              <w:top w:val="nil"/>
              <w:left w:val="single" w:sz="4" w:space="0" w:color="auto"/>
              <w:bottom w:val="single" w:sz="4" w:space="0" w:color="auto"/>
              <w:right w:val="nil"/>
            </w:tcBorders>
            <w:shd w:val="clear" w:color="000000" w:fill="FFFFFF"/>
            <w:noWrap/>
            <w:vAlign w:val="center"/>
            <w:hideMark/>
          </w:tcPr>
          <w:p w14:paraId="18F37C2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320</w:t>
            </w:r>
          </w:p>
        </w:tc>
        <w:tc>
          <w:tcPr>
            <w:tcW w:w="577" w:type="pct"/>
            <w:tcBorders>
              <w:top w:val="nil"/>
              <w:left w:val="nil"/>
              <w:bottom w:val="single" w:sz="4" w:space="0" w:color="auto"/>
              <w:right w:val="nil"/>
            </w:tcBorders>
            <w:shd w:val="clear" w:color="000000" w:fill="FFFFFF"/>
            <w:noWrap/>
            <w:vAlign w:val="center"/>
            <w:hideMark/>
          </w:tcPr>
          <w:p w14:paraId="4FEE745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474</w:t>
            </w:r>
          </w:p>
        </w:tc>
        <w:tc>
          <w:tcPr>
            <w:tcW w:w="576" w:type="pct"/>
            <w:tcBorders>
              <w:top w:val="nil"/>
              <w:left w:val="nil"/>
              <w:bottom w:val="single" w:sz="4" w:space="0" w:color="auto"/>
              <w:right w:val="single" w:sz="4" w:space="0" w:color="auto"/>
            </w:tcBorders>
            <w:shd w:val="clear" w:color="000000" w:fill="FFFFFF"/>
            <w:noWrap/>
            <w:vAlign w:val="center"/>
            <w:hideMark/>
          </w:tcPr>
          <w:p w14:paraId="09F2838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57.428</w:t>
            </w:r>
          </w:p>
        </w:tc>
        <w:tc>
          <w:tcPr>
            <w:tcW w:w="590" w:type="pct"/>
            <w:tcBorders>
              <w:top w:val="nil"/>
              <w:left w:val="single" w:sz="4" w:space="0" w:color="auto"/>
              <w:bottom w:val="single" w:sz="4" w:space="0" w:color="auto"/>
              <w:right w:val="nil"/>
            </w:tcBorders>
            <w:shd w:val="clear" w:color="000000" w:fill="FFFFFF"/>
            <w:noWrap/>
            <w:vAlign w:val="center"/>
            <w:hideMark/>
          </w:tcPr>
          <w:p w14:paraId="37AC9BE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809</w:t>
            </w:r>
          </w:p>
        </w:tc>
        <w:tc>
          <w:tcPr>
            <w:tcW w:w="576" w:type="pct"/>
            <w:tcBorders>
              <w:top w:val="nil"/>
              <w:left w:val="nil"/>
              <w:bottom w:val="single" w:sz="4" w:space="0" w:color="auto"/>
              <w:right w:val="single" w:sz="4" w:space="0" w:color="auto"/>
            </w:tcBorders>
            <w:shd w:val="clear" w:color="000000" w:fill="FFFFFF"/>
            <w:noWrap/>
            <w:vAlign w:val="center"/>
            <w:hideMark/>
          </w:tcPr>
          <w:p w14:paraId="73E68A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433</w:t>
            </w:r>
          </w:p>
        </w:tc>
        <w:tc>
          <w:tcPr>
            <w:tcW w:w="522" w:type="pct"/>
            <w:tcBorders>
              <w:top w:val="nil"/>
              <w:left w:val="nil"/>
              <w:bottom w:val="nil"/>
              <w:right w:val="nil"/>
            </w:tcBorders>
            <w:shd w:val="clear" w:color="000000" w:fill="FFFFFF"/>
            <w:noWrap/>
            <w:vAlign w:val="center"/>
            <w:hideMark/>
          </w:tcPr>
          <w:p w14:paraId="6E55409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522" w:type="pct"/>
            <w:tcBorders>
              <w:top w:val="nil"/>
              <w:left w:val="single" w:sz="4" w:space="0" w:color="auto"/>
              <w:bottom w:val="nil"/>
              <w:right w:val="single" w:sz="4" w:space="0" w:color="auto"/>
            </w:tcBorders>
            <w:shd w:val="clear" w:color="000000" w:fill="FFFFFF"/>
            <w:noWrap/>
            <w:vAlign w:val="center"/>
            <w:hideMark/>
          </w:tcPr>
          <w:p w14:paraId="579C6BD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0B343E" w:rsidRPr="00650EE4" w14:paraId="45B5F4BB" w14:textId="77777777" w:rsidTr="0085443A">
        <w:tc>
          <w:tcPr>
            <w:tcW w:w="1061" w:type="pct"/>
            <w:tcBorders>
              <w:top w:val="single" w:sz="4" w:space="0" w:color="auto"/>
              <w:left w:val="single" w:sz="4" w:space="0" w:color="auto"/>
              <w:bottom w:val="single" w:sz="4" w:space="0" w:color="auto"/>
              <w:right w:val="nil"/>
            </w:tcBorders>
            <w:shd w:val="clear" w:color="000000" w:fill="F2F2F2"/>
            <w:noWrap/>
            <w:vAlign w:val="center"/>
            <w:hideMark/>
          </w:tcPr>
          <w:p w14:paraId="2EFA4208"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576" w:type="pct"/>
            <w:tcBorders>
              <w:top w:val="nil"/>
              <w:left w:val="single" w:sz="4" w:space="0" w:color="auto"/>
              <w:bottom w:val="single" w:sz="4" w:space="0" w:color="auto"/>
              <w:right w:val="nil"/>
            </w:tcBorders>
            <w:shd w:val="clear" w:color="000000" w:fill="F2F2F2"/>
            <w:noWrap/>
            <w:vAlign w:val="center"/>
            <w:hideMark/>
          </w:tcPr>
          <w:p w14:paraId="51C3FA4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9.389</w:t>
            </w:r>
          </w:p>
        </w:tc>
        <w:tc>
          <w:tcPr>
            <w:tcW w:w="577" w:type="pct"/>
            <w:tcBorders>
              <w:top w:val="nil"/>
              <w:left w:val="nil"/>
              <w:bottom w:val="single" w:sz="4" w:space="0" w:color="auto"/>
              <w:right w:val="nil"/>
            </w:tcBorders>
            <w:shd w:val="clear" w:color="000000" w:fill="F2F2F2"/>
            <w:noWrap/>
            <w:vAlign w:val="center"/>
            <w:hideMark/>
          </w:tcPr>
          <w:p w14:paraId="66667486"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30.732</w:t>
            </w:r>
          </w:p>
        </w:tc>
        <w:tc>
          <w:tcPr>
            <w:tcW w:w="576" w:type="pct"/>
            <w:tcBorders>
              <w:top w:val="nil"/>
              <w:left w:val="nil"/>
              <w:bottom w:val="single" w:sz="4" w:space="0" w:color="auto"/>
              <w:right w:val="single" w:sz="4" w:space="0" w:color="auto"/>
            </w:tcBorders>
            <w:shd w:val="clear" w:color="000000" w:fill="F2F2F2"/>
            <w:noWrap/>
            <w:vAlign w:val="center"/>
            <w:hideMark/>
          </w:tcPr>
          <w:p w14:paraId="039131F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17.216</w:t>
            </w:r>
          </w:p>
        </w:tc>
        <w:tc>
          <w:tcPr>
            <w:tcW w:w="590" w:type="pct"/>
            <w:tcBorders>
              <w:top w:val="nil"/>
              <w:left w:val="single" w:sz="4" w:space="0" w:color="auto"/>
              <w:bottom w:val="single" w:sz="4" w:space="0" w:color="auto"/>
              <w:right w:val="nil"/>
            </w:tcBorders>
            <w:shd w:val="clear" w:color="000000" w:fill="F2F2F2"/>
            <w:noWrap/>
            <w:vAlign w:val="center"/>
            <w:hideMark/>
          </w:tcPr>
          <w:p w14:paraId="743793A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6.476</w:t>
            </w:r>
          </w:p>
        </w:tc>
        <w:tc>
          <w:tcPr>
            <w:tcW w:w="576" w:type="pct"/>
            <w:tcBorders>
              <w:top w:val="nil"/>
              <w:left w:val="nil"/>
              <w:bottom w:val="single" w:sz="4" w:space="0" w:color="auto"/>
              <w:right w:val="nil"/>
            </w:tcBorders>
            <w:shd w:val="clear" w:color="000000" w:fill="F2F2F2"/>
            <w:noWrap/>
            <w:vAlign w:val="center"/>
            <w:hideMark/>
          </w:tcPr>
          <w:p w14:paraId="13290262"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8.857</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4D1570"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522" w:type="pct"/>
            <w:tcBorders>
              <w:top w:val="single" w:sz="4" w:space="0" w:color="auto"/>
              <w:left w:val="nil"/>
              <w:bottom w:val="single" w:sz="4" w:space="0" w:color="auto"/>
              <w:right w:val="single" w:sz="4" w:space="0" w:color="auto"/>
            </w:tcBorders>
            <w:shd w:val="clear" w:color="000000" w:fill="F2F2F2"/>
            <w:noWrap/>
            <w:vAlign w:val="center"/>
            <w:hideMark/>
          </w:tcPr>
          <w:p w14:paraId="533C2721"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w:t>
            </w:r>
          </w:p>
        </w:tc>
      </w:tr>
      <w:tr w:rsidR="00FD4ED3" w:rsidRPr="00650EE4" w14:paraId="3FAC1D09" w14:textId="77777777" w:rsidTr="0085443A">
        <w:tc>
          <w:tcPr>
            <w:tcW w:w="1061" w:type="pct"/>
            <w:tcBorders>
              <w:top w:val="nil"/>
              <w:left w:val="single" w:sz="4" w:space="0" w:color="auto"/>
              <w:bottom w:val="nil"/>
              <w:right w:val="nil"/>
            </w:tcBorders>
            <w:shd w:val="clear" w:color="000000" w:fill="FFFFFF"/>
            <w:noWrap/>
            <w:vAlign w:val="center"/>
            <w:hideMark/>
          </w:tcPr>
          <w:p w14:paraId="707A784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76" w:type="pct"/>
            <w:tcBorders>
              <w:top w:val="nil"/>
              <w:left w:val="single" w:sz="4" w:space="0" w:color="auto"/>
              <w:bottom w:val="nil"/>
              <w:right w:val="nil"/>
            </w:tcBorders>
            <w:shd w:val="clear" w:color="000000" w:fill="FFFFFF"/>
            <w:noWrap/>
            <w:vAlign w:val="center"/>
            <w:hideMark/>
          </w:tcPr>
          <w:p w14:paraId="2566486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6.248</w:t>
            </w:r>
          </w:p>
        </w:tc>
        <w:tc>
          <w:tcPr>
            <w:tcW w:w="577" w:type="pct"/>
            <w:tcBorders>
              <w:top w:val="nil"/>
              <w:left w:val="nil"/>
              <w:bottom w:val="nil"/>
              <w:right w:val="nil"/>
            </w:tcBorders>
            <w:shd w:val="clear" w:color="000000" w:fill="FFFFFF"/>
            <w:noWrap/>
            <w:vAlign w:val="center"/>
            <w:hideMark/>
          </w:tcPr>
          <w:p w14:paraId="5FF3E82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19.690</w:t>
            </w:r>
          </w:p>
        </w:tc>
        <w:tc>
          <w:tcPr>
            <w:tcW w:w="576" w:type="pct"/>
            <w:tcBorders>
              <w:top w:val="nil"/>
              <w:left w:val="nil"/>
              <w:bottom w:val="nil"/>
              <w:right w:val="single" w:sz="4" w:space="0" w:color="auto"/>
            </w:tcBorders>
            <w:shd w:val="clear" w:color="000000" w:fill="FFFFFF"/>
            <w:noWrap/>
            <w:vAlign w:val="center"/>
            <w:hideMark/>
          </w:tcPr>
          <w:p w14:paraId="2B1D6F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8.280</w:t>
            </w:r>
          </w:p>
        </w:tc>
        <w:tc>
          <w:tcPr>
            <w:tcW w:w="590" w:type="pct"/>
            <w:tcBorders>
              <w:top w:val="nil"/>
              <w:left w:val="single" w:sz="4" w:space="0" w:color="auto"/>
              <w:bottom w:val="nil"/>
              <w:right w:val="nil"/>
            </w:tcBorders>
            <w:shd w:val="clear" w:color="000000" w:fill="FFFFFF"/>
            <w:noWrap/>
            <w:vAlign w:val="center"/>
            <w:hideMark/>
          </w:tcPr>
          <w:p w14:paraId="23443FC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975</w:t>
            </w:r>
          </w:p>
        </w:tc>
        <w:tc>
          <w:tcPr>
            <w:tcW w:w="576" w:type="pct"/>
            <w:tcBorders>
              <w:top w:val="nil"/>
              <w:left w:val="nil"/>
              <w:bottom w:val="nil"/>
              <w:right w:val="single" w:sz="4" w:space="0" w:color="auto"/>
            </w:tcBorders>
            <w:shd w:val="clear" w:color="000000" w:fill="FFFFFF"/>
            <w:noWrap/>
            <w:vAlign w:val="center"/>
            <w:hideMark/>
          </w:tcPr>
          <w:p w14:paraId="0C4FAED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296</w:t>
            </w:r>
          </w:p>
        </w:tc>
        <w:tc>
          <w:tcPr>
            <w:tcW w:w="522" w:type="pct"/>
            <w:tcBorders>
              <w:top w:val="nil"/>
              <w:left w:val="nil"/>
              <w:bottom w:val="nil"/>
              <w:right w:val="nil"/>
            </w:tcBorders>
            <w:shd w:val="clear" w:color="000000" w:fill="FFFFFF"/>
            <w:noWrap/>
            <w:vAlign w:val="center"/>
            <w:hideMark/>
          </w:tcPr>
          <w:p w14:paraId="67F2C65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522" w:type="pct"/>
            <w:tcBorders>
              <w:top w:val="nil"/>
              <w:left w:val="single" w:sz="4" w:space="0" w:color="auto"/>
              <w:bottom w:val="nil"/>
              <w:right w:val="single" w:sz="4" w:space="0" w:color="auto"/>
            </w:tcBorders>
            <w:shd w:val="clear" w:color="000000" w:fill="FFFFFF"/>
            <w:noWrap/>
            <w:vAlign w:val="center"/>
            <w:hideMark/>
          </w:tcPr>
          <w:p w14:paraId="67AF00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D4ED3" w:rsidRPr="00650EE4" w14:paraId="354F12E6" w14:textId="77777777" w:rsidTr="0085443A">
        <w:tc>
          <w:tcPr>
            <w:tcW w:w="1061" w:type="pct"/>
            <w:tcBorders>
              <w:top w:val="nil"/>
              <w:left w:val="single" w:sz="4" w:space="0" w:color="auto"/>
              <w:bottom w:val="nil"/>
              <w:right w:val="nil"/>
            </w:tcBorders>
            <w:shd w:val="clear" w:color="000000" w:fill="FFFFFF"/>
            <w:noWrap/>
            <w:vAlign w:val="center"/>
            <w:hideMark/>
          </w:tcPr>
          <w:p w14:paraId="48E2B48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76" w:type="pct"/>
            <w:tcBorders>
              <w:top w:val="nil"/>
              <w:left w:val="single" w:sz="4" w:space="0" w:color="auto"/>
              <w:bottom w:val="nil"/>
              <w:right w:val="nil"/>
            </w:tcBorders>
            <w:shd w:val="clear" w:color="000000" w:fill="FFFFFF"/>
            <w:noWrap/>
            <w:vAlign w:val="center"/>
            <w:hideMark/>
          </w:tcPr>
          <w:p w14:paraId="3C34FCE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837</w:t>
            </w:r>
          </w:p>
        </w:tc>
        <w:tc>
          <w:tcPr>
            <w:tcW w:w="577" w:type="pct"/>
            <w:tcBorders>
              <w:top w:val="nil"/>
              <w:left w:val="nil"/>
              <w:bottom w:val="nil"/>
              <w:right w:val="nil"/>
            </w:tcBorders>
            <w:shd w:val="clear" w:color="000000" w:fill="FFFFFF"/>
            <w:noWrap/>
            <w:vAlign w:val="center"/>
            <w:hideMark/>
          </w:tcPr>
          <w:p w14:paraId="57D723E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3.832</w:t>
            </w:r>
          </w:p>
        </w:tc>
        <w:tc>
          <w:tcPr>
            <w:tcW w:w="576" w:type="pct"/>
            <w:tcBorders>
              <w:top w:val="nil"/>
              <w:left w:val="nil"/>
              <w:bottom w:val="nil"/>
              <w:right w:val="single" w:sz="4" w:space="0" w:color="auto"/>
            </w:tcBorders>
            <w:shd w:val="clear" w:color="000000" w:fill="FFFFFF"/>
            <w:noWrap/>
            <w:vAlign w:val="center"/>
            <w:hideMark/>
          </w:tcPr>
          <w:p w14:paraId="738923A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3.460</w:t>
            </w:r>
          </w:p>
        </w:tc>
        <w:tc>
          <w:tcPr>
            <w:tcW w:w="590" w:type="pct"/>
            <w:tcBorders>
              <w:top w:val="nil"/>
              <w:left w:val="single" w:sz="4" w:space="0" w:color="auto"/>
              <w:bottom w:val="nil"/>
              <w:right w:val="nil"/>
            </w:tcBorders>
            <w:shd w:val="clear" w:color="000000" w:fill="FFFFFF"/>
            <w:noWrap/>
            <w:vAlign w:val="center"/>
            <w:hideMark/>
          </w:tcPr>
          <w:p w14:paraId="6F2A2D4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1.449</w:t>
            </w:r>
          </w:p>
        </w:tc>
        <w:tc>
          <w:tcPr>
            <w:tcW w:w="576" w:type="pct"/>
            <w:tcBorders>
              <w:top w:val="nil"/>
              <w:left w:val="nil"/>
              <w:bottom w:val="nil"/>
              <w:right w:val="single" w:sz="4" w:space="0" w:color="auto"/>
            </w:tcBorders>
            <w:shd w:val="clear" w:color="000000" w:fill="FFFFFF"/>
            <w:noWrap/>
            <w:vAlign w:val="center"/>
            <w:hideMark/>
          </w:tcPr>
          <w:p w14:paraId="401845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519</w:t>
            </w:r>
          </w:p>
        </w:tc>
        <w:tc>
          <w:tcPr>
            <w:tcW w:w="522" w:type="pct"/>
            <w:tcBorders>
              <w:top w:val="nil"/>
              <w:left w:val="nil"/>
              <w:bottom w:val="nil"/>
              <w:right w:val="nil"/>
            </w:tcBorders>
            <w:shd w:val="clear" w:color="000000" w:fill="FFFFFF"/>
            <w:noWrap/>
            <w:vAlign w:val="center"/>
            <w:hideMark/>
          </w:tcPr>
          <w:p w14:paraId="7E30173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522" w:type="pct"/>
            <w:tcBorders>
              <w:top w:val="nil"/>
              <w:left w:val="single" w:sz="4" w:space="0" w:color="auto"/>
              <w:bottom w:val="nil"/>
              <w:right w:val="single" w:sz="4" w:space="0" w:color="auto"/>
            </w:tcBorders>
            <w:shd w:val="clear" w:color="000000" w:fill="FFFFFF"/>
            <w:noWrap/>
            <w:vAlign w:val="center"/>
            <w:hideMark/>
          </w:tcPr>
          <w:p w14:paraId="15F6BA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D4ED3" w:rsidRPr="00650EE4" w14:paraId="5E1A49C8" w14:textId="77777777" w:rsidTr="0085443A">
        <w:tc>
          <w:tcPr>
            <w:tcW w:w="1061" w:type="pct"/>
            <w:tcBorders>
              <w:top w:val="nil"/>
              <w:left w:val="single" w:sz="4" w:space="0" w:color="auto"/>
              <w:bottom w:val="nil"/>
              <w:right w:val="nil"/>
            </w:tcBorders>
            <w:shd w:val="clear" w:color="000000" w:fill="FFFFFF"/>
            <w:noWrap/>
            <w:vAlign w:val="center"/>
            <w:hideMark/>
          </w:tcPr>
          <w:p w14:paraId="3594E104"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76" w:type="pct"/>
            <w:tcBorders>
              <w:top w:val="nil"/>
              <w:left w:val="single" w:sz="4" w:space="0" w:color="auto"/>
              <w:bottom w:val="nil"/>
              <w:right w:val="nil"/>
            </w:tcBorders>
            <w:shd w:val="clear" w:color="000000" w:fill="FFFFFF"/>
            <w:noWrap/>
            <w:vAlign w:val="center"/>
            <w:hideMark/>
          </w:tcPr>
          <w:p w14:paraId="2B8919A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269</w:t>
            </w:r>
          </w:p>
        </w:tc>
        <w:tc>
          <w:tcPr>
            <w:tcW w:w="577" w:type="pct"/>
            <w:tcBorders>
              <w:top w:val="nil"/>
              <w:left w:val="nil"/>
              <w:bottom w:val="nil"/>
              <w:right w:val="nil"/>
            </w:tcBorders>
            <w:shd w:val="clear" w:color="000000" w:fill="FFFFFF"/>
            <w:noWrap/>
            <w:vAlign w:val="center"/>
            <w:hideMark/>
          </w:tcPr>
          <w:p w14:paraId="45AA65F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794</w:t>
            </w:r>
          </w:p>
        </w:tc>
        <w:tc>
          <w:tcPr>
            <w:tcW w:w="576" w:type="pct"/>
            <w:tcBorders>
              <w:top w:val="nil"/>
              <w:left w:val="nil"/>
              <w:bottom w:val="nil"/>
              <w:right w:val="single" w:sz="4" w:space="0" w:color="auto"/>
            </w:tcBorders>
            <w:shd w:val="clear" w:color="000000" w:fill="FFFFFF"/>
            <w:noWrap/>
            <w:vAlign w:val="center"/>
            <w:hideMark/>
          </w:tcPr>
          <w:p w14:paraId="3516EBC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477</w:t>
            </w:r>
          </w:p>
        </w:tc>
        <w:tc>
          <w:tcPr>
            <w:tcW w:w="590" w:type="pct"/>
            <w:tcBorders>
              <w:top w:val="nil"/>
              <w:left w:val="single" w:sz="4" w:space="0" w:color="auto"/>
              <w:bottom w:val="nil"/>
              <w:right w:val="nil"/>
            </w:tcBorders>
            <w:shd w:val="clear" w:color="000000" w:fill="FFFFFF"/>
            <w:noWrap/>
            <w:vAlign w:val="center"/>
            <w:hideMark/>
          </w:tcPr>
          <w:p w14:paraId="4B6027D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1.822</w:t>
            </w:r>
          </w:p>
        </w:tc>
        <w:tc>
          <w:tcPr>
            <w:tcW w:w="576" w:type="pct"/>
            <w:tcBorders>
              <w:top w:val="nil"/>
              <w:left w:val="nil"/>
              <w:bottom w:val="nil"/>
              <w:right w:val="single" w:sz="4" w:space="0" w:color="auto"/>
            </w:tcBorders>
            <w:shd w:val="clear" w:color="000000" w:fill="FFFFFF"/>
            <w:noWrap/>
            <w:vAlign w:val="center"/>
            <w:hideMark/>
          </w:tcPr>
          <w:p w14:paraId="42E4D77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5.142</w:t>
            </w:r>
          </w:p>
        </w:tc>
        <w:tc>
          <w:tcPr>
            <w:tcW w:w="522" w:type="pct"/>
            <w:tcBorders>
              <w:top w:val="nil"/>
              <w:left w:val="nil"/>
              <w:bottom w:val="nil"/>
              <w:right w:val="nil"/>
            </w:tcBorders>
            <w:shd w:val="clear" w:color="000000" w:fill="FFFFFF"/>
            <w:noWrap/>
            <w:vAlign w:val="center"/>
            <w:hideMark/>
          </w:tcPr>
          <w:p w14:paraId="602BD0B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522" w:type="pct"/>
            <w:tcBorders>
              <w:top w:val="nil"/>
              <w:left w:val="single" w:sz="4" w:space="0" w:color="auto"/>
              <w:bottom w:val="nil"/>
              <w:right w:val="single" w:sz="4" w:space="0" w:color="auto"/>
            </w:tcBorders>
            <w:shd w:val="clear" w:color="000000" w:fill="FFFFFF"/>
            <w:noWrap/>
            <w:vAlign w:val="center"/>
            <w:hideMark/>
          </w:tcPr>
          <w:p w14:paraId="0BF200E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15609138" w14:textId="77777777" w:rsidTr="0085443A">
        <w:tc>
          <w:tcPr>
            <w:tcW w:w="1061" w:type="pct"/>
            <w:tcBorders>
              <w:top w:val="nil"/>
              <w:left w:val="single" w:sz="4" w:space="0" w:color="auto"/>
              <w:bottom w:val="nil"/>
              <w:right w:val="nil"/>
            </w:tcBorders>
            <w:shd w:val="clear" w:color="000000" w:fill="FFFFFF"/>
            <w:noWrap/>
            <w:vAlign w:val="center"/>
            <w:hideMark/>
          </w:tcPr>
          <w:p w14:paraId="318D54A6"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76" w:type="pct"/>
            <w:tcBorders>
              <w:top w:val="nil"/>
              <w:left w:val="single" w:sz="4" w:space="0" w:color="auto"/>
              <w:bottom w:val="nil"/>
              <w:right w:val="nil"/>
            </w:tcBorders>
            <w:shd w:val="clear" w:color="000000" w:fill="FFFFFF"/>
            <w:noWrap/>
            <w:vAlign w:val="center"/>
            <w:hideMark/>
          </w:tcPr>
          <w:p w14:paraId="15F539B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676</w:t>
            </w:r>
          </w:p>
        </w:tc>
        <w:tc>
          <w:tcPr>
            <w:tcW w:w="577" w:type="pct"/>
            <w:tcBorders>
              <w:top w:val="nil"/>
              <w:left w:val="nil"/>
              <w:bottom w:val="nil"/>
              <w:right w:val="nil"/>
            </w:tcBorders>
            <w:shd w:val="clear" w:color="000000" w:fill="FFFFFF"/>
            <w:noWrap/>
            <w:vAlign w:val="center"/>
            <w:hideMark/>
          </w:tcPr>
          <w:p w14:paraId="7BB44AB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3.643</w:t>
            </w:r>
          </w:p>
        </w:tc>
        <w:tc>
          <w:tcPr>
            <w:tcW w:w="576" w:type="pct"/>
            <w:tcBorders>
              <w:top w:val="nil"/>
              <w:left w:val="nil"/>
              <w:bottom w:val="nil"/>
              <w:right w:val="single" w:sz="4" w:space="0" w:color="auto"/>
            </w:tcBorders>
            <w:shd w:val="clear" w:color="000000" w:fill="FFFFFF"/>
            <w:noWrap/>
            <w:vAlign w:val="center"/>
            <w:hideMark/>
          </w:tcPr>
          <w:p w14:paraId="4EA4416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2.651</w:t>
            </w:r>
          </w:p>
        </w:tc>
        <w:tc>
          <w:tcPr>
            <w:tcW w:w="590" w:type="pct"/>
            <w:tcBorders>
              <w:top w:val="nil"/>
              <w:left w:val="single" w:sz="4" w:space="0" w:color="auto"/>
              <w:bottom w:val="nil"/>
              <w:right w:val="nil"/>
            </w:tcBorders>
            <w:shd w:val="clear" w:color="000000" w:fill="FFFFFF"/>
            <w:noWrap/>
            <w:vAlign w:val="center"/>
            <w:hideMark/>
          </w:tcPr>
          <w:p w14:paraId="0E6CDE8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76" w:type="pct"/>
            <w:tcBorders>
              <w:top w:val="nil"/>
              <w:left w:val="nil"/>
              <w:bottom w:val="nil"/>
              <w:right w:val="single" w:sz="4" w:space="0" w:color="auto"/>
            </w:tcBorders>
            <w:shd w:val="clear" w:color="000000" w:fill="FFFFFF"/>
            <w:noWrap/>
            <w:vAlign w:val="center"/>
            <w:hideMark/>
          </w:tcPr>
          <w:p w14:paraId="01A10AE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w:t>
            </w:r>
          </w:p>
        </w:tc>
        <w:tc>
          <w:tcPr>
            <w:tcW w:w="522" w:type="pct"/>
            <w:tcBorders>
              <w:top w:val="nil"/>
              <w:left w:val="nil"/>
              <w:bottom w:val="nil"/>
              <w:right w:val="nil"/>
            </w:tcBorders>
            <w:shd w:val="clear" w:color="000000" w:fill="FFFFFF"/>
            <w:noWrap/>
            <w:vAlign w:val="center"/>
            <w:hideMark/>
          </w:tcPr>
          <w:p w14:paraId="1A2B1190"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522" w:type="pct"/>
            <w:tcBorders>
              <w:top w:val="nil"/>
              <w:left w:val="single" w:sz="4" w:space="0" w:color="auto"/>
              <w:bottom w:val="nil"/>
              <w:right w:val="single" w:sz="4" w:space="0" w:color="auto"/>
            </w:tcBorders>
            <w:shd w:val="clear" w:color="000000" w:fill="FFFFFF"/>
            <w:noWrap/>
            <w:vAlign w:val="center"/>
            <w:hideMark/>
          </w:tcPr>
          <w:p w14:paraId="014D812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6F7D985F" w14:textId="77777777" w:rsidTr="0085443A">
        <w:tc>
          <w:tcPr>
            <w:tcW w:w="1061" w:type="pct"/>
            <w:tcBorders>
              <w:top w:val="nil"/>
              <w:left w:val="single" w:sz="4" w:space="0" w:color="auto"/>
              <w:bottom w:val="nil"/>
              <w:right w:val="nil"/>
            </w:tcBorders>
            <w:shd w:val="clear" w:color="000000" w:fill="FFFFFF"/>
            <w:noWrap/>
            <w:vAlign w:val="center"/>
            <w:hideMark/>
          </w:tcPr>
          <w:p w14:paraId="34AFDD96"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76" w:type="pct"/>
            <w:tcBorders>
              <w:top w:val="nil"/>
              <w:left w:val="single" w:sz="4" w:space="0" w:color="auto"/>
              <w:bottom w:val="nil"/>
              <w:right w:val="nil"/>
            </w:tcBorders>
            <w:shd w:val="clear" w:color="000000" w:fill="FFFFFF"/>
            <w:noWrap/>
            <w:vAlign w:val="center"/>
            <w:hideMark/>
          </w:tcPr>
          <w:p w14:paraId="59D48EB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99</w:t>
            </w:r>
          </w:p>
        </w:tc>
        <w:tc>
          <w:tcPr>
            <w:tcW w:w="577" w:type="pct"/>
            <w:tcBorders>
              <w:top w:val="nil"/>
              <w:left w:val="nil"/>
              <w:bottom w:val="nil"/>
              <w:right w:val="nil"/>
            </w:tcBorders>
            <w:shd w:val="clear" w:color="000000" w:fill="FFFFFF"/>
            <w:noWrap/>
            <w:vAlign w:val="center"/>
            <w:hideMark/>
          </w:tcPr>
          <w:p w14:paraId="4A7410C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451</w:t>
            </w:r>
          </w:p>
        </w:tc>
        <w:tc>
          <w:tcPr>
            <w:tcW w:w="576" w:type="pct"/>
            <w:tcBorders>
              <w:top w:val="nil"/>
              <w:left w:val="nil"/>
              <w:bottom w:val="nil"/>
              <w:right w:val="single" w:sz="4" w:space="0" w:color="auto"/>
            </w:tcBorders>
            <w:shd w:val="clear" w:color="000000" w:fill="FFFFFF"/>
            <w:noWrap/>
            <w:vAlign w:val="center"/>
            <w:hideMark/>
          </w:tcPr>
          <w:p w14:paraId="61B42CE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329</w:t>
            </w:r>
          </w:p>
        </w:tc>
        <w:tc>
          <w:tcPr>
            <w:tcW w:w="590" w:type="pct"/>
            <w:tcBorders>
              <w:top w:val="nil"/>
              <w:left w:val="single" w:sz="4" w:space="0" w:color="auto"/>
              <w:bottom w:val="nil"/>
              <w:right w:val="nil"/>
            </w:tcBorders>
            <w:shd w:val="clear" w:color="000000" w:fill="FFFFFF"/>
            <w:noWrap/>
            <w:vAlign w:val="center"/>
            <w:hideMark/>
          </w:tcPr>
          <w:p w14:paraId="582C9EB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938</w:t>
            </w:r>
          </w:p>
        </w:tc>
        <w:tc>
          <w:tcPr>
            <w:tcW w:w="576" w:type="pct"/>
            <w:tcBorders>
              <w:top w:val="nil"/>
              <w:left w:val="nil"/>
              <w:bottom w:val="nil"/>
              <w:right w:val="single" w:sz="4" w:space="0" w:color="auto"/>
            </w:tcBorders>
            <w:shd w:val="clear" w:color="000000" w:fill="FFFFFF"/>
            <w:noWrap/>
            <w:vAlign w:val="center"/>
            <w:hideMark/>
          </w:tcPr>
          <w:p w14:paraId="42D1E72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1.134</w:t>
            </w:r>
          </w:p>
        </w:tc>
        <w:tc>
          <w:tcPr>
            <w:tcW w:w="522" w:type="pct"/>
            <w:tcBorders>
              <w:top w:val="nil"/>
              <w:left w:val="nil"/>
              <w:bottom w:val="nil"/>
              <w:right w:val="nil"/>
            </w:tcBorders>
            <w:shd w:val="clear" w:color="000000" w:fill="FFFFFF"/>
            <w:noWrap/>
            <w:vAlign w:val="center"/>
            <w:hideMark/>
          </w:tcPr>
          <w:p w14:paraId="099D11F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522" w:type="pct"/>
            <w:tcBorders>
              <w:top w:val="nil"/>
              <w:left w:val="single" w:sz="4" w:space="0" w:color="auto"/>
              <w:bottom w:val="nil"/>
              <w:right w:val="single" w:sz="4" w:space="0" w:color="auto"/>
            </w:tcBorders>
            <w:shd w:val="clear" w:color="000000" w:fill="FFFFFF"/>
            <w:noWrap/>
            <w:vAlign w:val="center"/>
            <w:hideMark/>
          </w:tcPr>
          <w:p w14:paraId="69C6176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FD4ED3" w:rsidRPr="00650EE4" w14:paraId="6D1FFDDD" w14:textId="77777777" w:rsidTr="0085443A">
        <w:tc>
          <w:tcPr>
            <w:tcW w:w="1061" w:type="pct"/>
            <w:tcBorders>
              <w:top w:val="nil"/>
              <w:left w:val="single" w:sz="4" w:space="0" w:color="auto"/>
              <w:bottom w:val="nil"/>
              <w:right w:val="nil"/>
            </w:tcBorders>
            <w:shd w:val="clear" w:color="000000" w:fill="FFFFFF"/>
            <w:noWrap/>
            <w:vAlign w:val="center"/>
            <w:hideMark/>
          </w:tcPr>
          <w:p w14:paraId="404B644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576" w:type="pct"/>
            <w:tcBorders>
              <w:top w:val="nil"/>
              <w:left w:val="single" w:sz="4" w:space="0" w:color="auto"/>
              <w:bottom w:val="nil"/>
              <w:right w:val="nil"/>
            </w:tcBorders>
            <w:shd w:val="clear" w:color="000000" w:fill="FFFFFF"/>
            <w:noWrap/>
            <w:vAlign w:val="center"/>
            <w:hideMark/>
          </w:tcPr>
          <w:p w14:paraId="2753DE7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544</w:t>
            </w:r>
          </w:p>
        </w:tc>
        <w:tc>
          <w:tcPr>
            <w:tcW w:w="577" w:type="pct"/>
            <w:tcBorders>
              <w:top w:val="nil"/>
              <w:left w:val="nil"/>
              <w:bottom w:val="nil"/>
              <w:right w:val="nil"/>
            </w:tcBorders>
            <w:shd w:val="clear" w:color="000000" w:fill="FFFFFF"/>
            <w:noWrap/>
            <w:vAlign w:val="center"/>
            <w:hideMark/>
          </w:tcPr>
          <w:p w14:paraId="578AB58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835</w:t>
            </w:r>
          </w:p>
        </w:tc>
        <w:tc>
          <w:tcPr>
            <w:tcW w:w="576" w:type="pct"/>
            <w:tcBorders>
              <w:top w:val="nil"/>
              <w:left w:val="nil"/>
              <w:bottom w:val="nil"/>
              <w:right w:val="single" w:sz="4" w:space="0" w:color="auto"/>
            </w:tcBorders>
            <w:shd w:val="clear" w:color="000000" w:fill="FFFFFF"/>
            <w:noWrap/>
            <w:vAlign w:val="center"/>
            <w:hideMark/>
          </w:tcPr>
          <w:p w14:paraId="7F61DEC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967</w:t>
            </w:r>
          </w:p>
        </w:tc>
        <w:tc>
          <w:tcPr>
            <w:tcW w:w="590" w:type="pct"/>
            <w:tcBorders>
              <w:top w:val="nil"/>
              <w:left w:val="single" w:sz="4" w:space="0" w:color="auto"/>
              <w:bottom w:val="nil"/>
              <w:right w:val="nil"/>
            </w:tcBorders>
            <w:shd w:val="clear" w:color="000000" w:fill="FFFFFF"/>
            <w:noWrap/>
            <w:vAlign w:val="center"/>
            <w:hideMark/>
          </w:tcPr>
          <w:p w14:paraId="68ABFB4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76" w:type="pct"/>
            <w:tcBorders>
              <w:top w:val="nil"/>
              <w:left w:val="nil"/>
              <w:bottom w:val="nil"/>
              <w:right w:val="single" w:sz="4" w:space="0" w:color="auto"/>
            </w:tcBorders>
            <w:shd w:val="clear" w:color="000000" w:fill="FFFFFF"/>
            <w:noWrap/>
            <w:vAlign w:val="center"/>
            <w:hideMark/>
          </w:tcPr>
          <w:p w14:paraId="28D429E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w:t>
            </w:r>
          </w:p>
        </w:tc>
        <w:tc>
          <w:tcPr>
            <w:tcW w:w="522" w:type="pct"/>
            <w:tcBorders>
              <w:top w:val="nil"/>
              <w:left w:val="nil"/>
              <w:bottom w:val="nil"/>
              <w:right w:val="nil"/>
            </w:tcBorders>
            <w:shd w:val="clear" w:color="000000" w:fill="FFFFFF"/>
            <w:noWrap/>
            <w:vAlign w:val="center"/>
            <w:hideMark/>
          </w:tcPr>
          <w:p w14:paraId="6E58BC4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522" w:type="pct"/>
            <w:tcBorders>
              <w:top w:val="nil"/>
              <w:left w:val="single" w:sz="4" w:space="0" w:color="auto"/>
              <w:bottom w:val="nil"/>
              <w:right w:val="single" w:sz="4" w:space="0" w:color="auto"/>
            </w:tcBorders>
            <w:shd w:val="clear" w:color="000000" w:fill="FFFFFF"/>
            <w:noWrap/>
            <w:vAlign w:val="center"/>
            <w:hideMark/>
          </w:tcPr>
          <w:p w14:paraId="5D3C4B4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FD4ED3" w:rsidRPr="00650EE4" w14:paraId="68B0AD68" w14:textId="77777777" w:rsidTr="0085443A">
        <w:tc>
          <w:tcPr>
            <w:tcW w:w="1061" w:type="pct"/>
            <w:tcBorders>
              <w:top w:val="nil"/>
              <w:left w:val="single" w:sz="4" w:space="0" w:color="auto"/>
              <w:bottom w:val="nil"/>
              <w:right w:val="nil"/>
            </w:tcBorders>
            <w:shd w:val="clear" w:color="000000" w:fill="FFFFFF"/>
            <w:noWrap/>
            <w:vAlign w:val="center"/>
            <w:hideMark/>
          </w:tcPr>
          <w:p w14:paraId="7F5AEDC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576" w:type="pct"/>
            <w:tcBorders>
              <w:top w:val="nil"/>
              <w:left w:val="single" w:sz="4" w:space="0" w:color="auto"/>
              <w:bottom w:val="nil"/>
              <w:right w:val="nil"/>
            </w:tcBorders>
            <w:shd w:val="clear" w:color="000000" w:fill="FFFFFF"/>
            <w:noWrap/>
            <w:vAlign w:val="center"/>
            <w:hideMark/>
          </w:tcPr>
          <w:p w14:paraId="5E6124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132</w:t>
            </w:r>
          </w:p>
        </w:tc>
        <w:tc>
          <w:tcPr>
            <w:tcW w:w="577" w:type="pct"/>
            <w:tcBorders>
              <w:top w:val="nil"/>
              <w:left w:val="nil"/>
              <w:bottom w:val="nil"/>
              <w:right w:val="nil"/>
            </w:tcBorders>
            <w:shd w:val="clear" w:color="000000" w:fill="FFFFFF"/>
            <w:noWrap/>
            <w:vAlign w:val="center"/>
            <w:hideMark/>
          </w:tcPr>
          <w:p w14:paraId="4FBFD69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76" w:type="pct"/>
            <w:tcBorders>
              <w:top w:val="nil"/>
              <w:left w:val="nil"/>
              <w:bottom w:val="nil"/>
              <w:right w:val="single" w:sz="4" w:space="0" w:color="auto"/>
            </w:tcBorders>
            <w:shd w:val="clear" w:color="000000" w:fill="FFFFFF"/>
            <w:noWrap/>
            <w:vAlign w:val="center"/>
            <w:hideMark/>
          </w:tcPr>
          <w:p w14:paraId="0D98735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314</w:t>
            </w:r>
          </w:p>
        </w:tc>
        <w:tc>
          <w:tcPr>
            <w:tcW w:w="590" w:type="pct"/>
            <w:tcBorders>
              <w:top w:val="nil"/>
              <w:left w:val="single" w:sz="4" w:space="0" w:color="auto"/>
              <w:bottom w:val="nil"/>
              <w:right w:val="nil"/>
            </w:tcBorders>
            <w:shd w:val="clear" w:color="000000" w:fill="FFFFFF"/>
            <w:noWrap/>
            <w:vAlign w:val="center"/>
            <w:hideMark/>
          </w:tcPr>
          <w:p w14:paraId="2C8E911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450</w:t>
            </w:r>
          </w:p>
        </w:tc>
        <w:tc>
          <w:tcPr>
            <w:tcW w:w="576" w:type="pct"/>
            <w:tcBorders>
              <w:top w:val="nil"/>
              <w:left w:val="nil"/>
              <w:bottom w:val="nil"/>
              <w:right w:val="single" w:sz="4" w:space="0" w:color="auto"/>
            </w:tcBorders>
            <w:shd w:val="clear" w:color="000000" w:fill="FFFFFF"/>
            <w:noWrap/>
            <w:vAlign w:val="center"/>
            <w:hideMark/>
          </w:tcPr>
          <w:p w14:paraId="74605B0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1.078</w:t>
            </w:r>
          </w:p>
        </w:tc>
        <w:tc>
          <w:tcPr>
            <w:tcW w:w="522" w:type="pct"/>
            <w:tcBorders>
              <w:top w:val="nil"/>
              <w:left w:val="nil"/>
              <w:bottom w:val="nil"/>
              <w:right w:val="nil"/>
            </w:tcBorders>
            <w:shd w:val="clear" w:color="000000" w:fill="FFFFFF"/>
            <w:noWrap/>
            <w:vAlign w:val="center"/>
            <w:hideMark/>
          </w:tcPr>
          <w:p w14:paraId="2F90B5D8"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522" w:type="pct"/>
            <w:tcBorders>
              <w:top w:val="nil"/>
              <w:left w:val="single" w:sz="4" w:space="0" w:color="auto"/>
              <w:bottom w:val="nil"/>
              <w:right w:val="single" w:sz="4" w:space="0" w:color="auto"/>
            </w:tcBorders>
            <w:shd w:val="clear" w:color="000000" w:fill="FFFFFF"/>
            <w:noWrap/>
            <w:vAlign w:val="center"/>
            <w:hideMark/>
          </w:tcPr>
          <w:p w14:paraId="5D9CF0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45B74C59" w14:textId="77777777" w:rsidTr="0085443A">
        <w:tc>
          <w:tcPr>
            <w:tcW w:w="1061" w:type="pct"/>
            <w:tcBorders>
              <w:top w:val="nil"/>
              <w:left w:val="single" w:sz="4" w:space="0" w:color="auto"/>
              <w:bottom w:val="nil"/>
              <w:right w:val="nil"/>
            </w:tcBorders>
            <w:shd w:val="clear" w:color="000000" w:fill="FFFFFF"/>
            <w:noWrap/>
            <w:vAlign w:val="center"/>
            <w:hideMark/>
          </w:tcPr>
          <w:p w14:paraId="5CF9547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76" w:type="pct"/>
            <w:tcBorders>
              <w:top w:val="nil"/>
              <w:left w:val="single" w:sz="4" w:space="0" w:color="auto"/>
              <w:bottom w:val="nil"/>
              <w:right w:val="nil"/>
            </w:tcBorders>
            <w:shd w:val="clear" w:color="000000" w:fill="FFFFFF"/>
            <w:noWrap/>
            <w:vAlign w:val="center"/>
            <w:hideMark/>
          </w:tcPr>
          <w:p w14:paraId="6429F90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496</w:t>
            </w:r>
          </w:p>
        </w:tc>
        <w:tc>
          <w:tcPr>
            <w:tcW w:w="577" w:type="pct"/>
            <w:tcBorders>
              <w:top w:val="nil"/>
              <w:left w:val="nil"/>
              <w:bottom w:val="nil"/>
              <w:right w:val="nil"/>
            </w:tcBorders>
            <w:shd w:val="clear" w:color="000000" w:fill="FFFFFF"/>
            <w:noWrap/>
            <w:vAlign w:val="center"/>
            <w:hideMark/>
          </w:tcPr>
          <w:p w14:paraId="39424F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905</w:t>
            </w:r>
          </w:p>
        </w:tc>
        <w:tc>
          <w:tcPr>
            <w:tcW w:w="576" w:type="pct"/>
            <w:tcBorders>
              <w:top w:val="nil"/>
              <w:left w:val="nil"/>
              <w:bottom w:val="nil"/>
              <w:right w:val="single" w:sz="4" w:space="0" w:color="auto"/>
            </w:tcBorders>
            <w:shd w:val="clear" w:color="000000" w:fill="FFFFFF"/>
            <w:noWrap/>
            <w:vAlign w:val="center"/>
            <w:hideMark/>
          </w:tcPr>
          <w:p w14:paraId="3FEE5EB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506</w:t>
            </w:r>
          </w:p>
        </w:tc>
        <w:tc>
          <w:tcPr>
            <w:tcW w:w="590" w:type="pct"/>
            <w:tcBorders>
              <w:top w:val="nil"/>
              <w:left w:val="single" w:sz="4" w:space="0" w:color="auto"/>
              <w:bottom w:val="nil"/>
              <w:right w:val="nil"/>
            </w:tcBorders>
            <w:shd w:val="clear" w:color="000000" w:fill="FFFFFF"/>
            <w:noWrap/>
            <w:vAlign w:val="center"/>
            <w:hideMark/>
          </w:tcPr>
          <w:p w14:paraId="36B57DC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184</w:t>
            </w:r>
          </w:p>
        </w:tc>
        <w:tc>
          <w:tcPr>
            <w:tcW w:w="576" w:type="pct"/>
            <w:tcBorders>
              <w:top w:val="nil"/>
              <w:left w:val="nil"/>
              <w:bottom w:val="nil"/>
              <w:right w:val="single" w:sz="4" w:space="0" w:color="auto"/>
            </w:tcBorders>
            <w:shd w:val="clear" w:color="000000" w:fill="FFFFFF"/>
            <w:noWrap/>
            <w:vAlign w:val="center"/>
            <w:hideMark/>
          </w:tcPr>
          <w:p w14:paraId="6BA83F6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107</w:t>
            </w:r>
          </w:p>
        </w:tc>
        <w:tc>
          <w:tcPr>
            <w:tcW w:w="522" w:type="pct"/>
            <w:tcBorders>
              <w:top w:val="nil"/>
              <w:left w:val="nil"/>
              <w:bottom w:val="nil"/>
              <w:right w:val="nil"/>
            </w:tcBorders>
            <w:shd w:val="clear" w:color="000000" w:fill="FFFFFF"/>
            <w:noWrap/>
            <w:vAlign w:val="center"/>
            <w:hideMark/>
          </w:tcPr>
          <w:p w14:paraId="3095E82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522" w:type="pct"/>
            <w:tcBorders>
              <w:top w:val="nil"/>
              <w:left w:val="single" w:sz="4" w:space="0" w:color="auto"/>
              <w:bottom w:val="nil"/>
              <w:right w:val="single" w:sz="4" w:space="0" w:color="auto"/>
            </w:tcBorders>
            <w:shd w:val="clear" w:color="000000" w:fill="FFFFFF"/>
            <w:noWrap/>
            <w:vAlign w:val="center"/>
            <w:hideMark/>
          </w:tcPr>
          <w:p w14:paraId="01F8ED6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4C1E5F12" w14:textId="77777777" w:rsidTr="0085443A">
        <w:tc>
          <w:tcPr>
            <w:tcW w:w="1061" w:type="pct"/>
            <w:tcBorders>
              <w:top w:val="nil"/>
              <w:left w:val="single" w:sz="4" w:space="0" w:color="auto"/>
              <w:bottom w:val="single" w:sz="4" w:space="0" w:color="auto"/>
              <w:right w:val="nil"/>
            </w:tcBorders>
            <w:shd w:val="clear" w:color="000000" w:fill="FFFFFF"/>
            <w:noWrap/>
            <w:vAlign w:val="center"/>
            <w:hideMark/>
          </w:tcPr>
          <w:p w14:paraId="23F8CF5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76" w:type="pct"/>
            <w:tcBorders>
              <w:top w:val="nil"/>
              <w:left w:val="single" w:sz="4" w:space="0" w:color="auto"/>
              <w:bottom w:val="single" w:sz="4" w:space="0" w:color="auto"/>
              <w:right w:val="nil"/>
            </w:tcBorders>
            <w:shd w:val="clear" w:color="000000" w:fill="FFFFFF"/>
            <w:noWrap/>
            <w:vAlign w:val="center"/>
            <w:hideMark/>
          </w:tcPr>
          <w:p w14:paraId="1B36573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87,304</w:t>
            </w:r>
          </w:p>
        </w:tc>
        <w:tc>
          <w:tcPr>
            <w:tcW w:w="577" w:type="pct"/>
            <w:tcBorders>
              <w:top w:val="nil"/>
              <w:left w:val="nil"/>
              <w:bottom w:val="single" w:sz="4" w:space="0" w:color="auto"/>
              <w:right w:val="nil"/>
            </w:tcBorders>
            <w:shd w:val="clear" w:color="000000" w:fill="FFFFFF"/>
            <w:noWrap/>
            <w:vAlign w:val="center"/>
            <w:hideMark/>
          </w:tcPr>
          <w:p w14:paraId="0EBD2F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276,569</w:t>
            </w:r>
          </w:p>
        </w:tc>
        <w:tc>
          <w:tcPr>
            <w:tcW w:w="576" w:type="pct"/>
            <w:tcBorders>
              <w:top w:val="nil"/>
              <w:left w:val="nil"/>
              <w:bottom w:val="single" w:sz="4" w:space="0" w:color="auto"/>
              <w:right w:val="single" w:sz="4" w:space="0" w:color="auto"/>
            </w:tcBorders>
            <w:shd w:val="clear" w:color="000000" w:fill="FFFFFF"/>
            <w:noWrap/>
            <w:vAlign w:val="center"/>
            <w:hideMark/>
          </w:tcPr>
          <w:p w14:paraId="0AC5BD6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231,536</w:t>
            </w:r>
          </w:p>
        </w:tc>
        <w:tc>
          <w:tcPr>
            <w:tcW w:w="590" w:type="pct"/>
            <w:tcBorders>
              <w:top w:val="nil"/>
              <w:left w:val="single" w:sz="4" w:space="0" w:color="auto"/>
              <w:bottom w:val="single" w:sz="4" w:space="0" w:color="auto"/>
              <w:right w:val="nil"/>
            </w:tcBorders>
            <w:shd w:val="clear" w:color="000000" w:fill="FFFFFF"/>
            <w:noWrap/>
            <w:vAlign w:val="center"/>
            <w:hideMark/>
          </w:tcPr>
          <w:p w14:paraId="5F00365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568,815</w:t>
            </w:r>
          </w:p>
        </w:tc>
        <w:tc>
          <w:tcPr>
            <w:tcW w:w="576" w:type="pct"/>
            <w:tcBorders>
              <w:top w:val="nil"/>
              <w:left w:val="nil"/>
              <w:bottom w:val="single" w:sz="4" w:space="0" w:color="auto"/>
              <w:right w:val="single" w:sz="4" w:space="0" w:color="auto"/>
            </w:tcBorders>
            <w:shd w:val="clear" w:color="000000" w:fill="FFFFFF"/>
            <w:noWrap/>
            <w:vAlign w:val="center"/>
            <w:hideMark/>
          </w:tcPr>
          <w:p w14:paraId="26328A1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424,865</w:t>
            </w:r>
          </w:p>
        </w:tc>
        <w:tc>
          <w:tcPr>
            <w:tcW w:w="522" w:type="pct"/>
            <w:tcBorders>
              <w:top w:val="nil"/>
              <w:left w:val="nil"/>
              <w:bottom w:val="single" w:sz="4" w:space="0" w:color="auto"/>
              <w:right w:val="nil"/>
            </w:tcBorders>
            <w:shd w:val="clear" w:color="000000" w:fill="FFFFFF"/>
            <w:noWrap/>
            <w:vAlign w:val="center"/>
            <w:hideMark/>
          </w:tcPr>
          <w:p w14:paraId="7BE87B4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522" w:type="pct"/>
            <w:tcBorders>
              <w:top w:val="nil"/>
              <w:left w:val="single" w:sz="4" w:space="0" w:color="auto"/>
              <w:bottom w:val="single" w:sz="4" w:space="0" w:color="auto"/>
              <w:right w:val="single" w:sz="4" w:space="0" w:color="auto"/>
            </w:tcBorders>
            <w:shd w:val="clear" w:color="000000" w:fill="FFFFFF"/>
            <w:noWrap/>
            <w:vAlign w:val="center"/>
            <w:hideMark/>
          </w:tcPr>
          <w:p w14:paraId="20CF4F3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D4ED3" w:rsidRPr="00650EE4" w14:paraId="39BCC357" w14:textId="77777777" w:rsidTr="0085443A">
        <w:tc>
          <w:tcPr>
            <w:tcW w:w="1061" w:type="pct"/>
            <w:tcBorders>
              <w:top w:val="nil"/>
              <w:left w:val="single" w:sz="4" w:space="0" w:color="auto"/>
              <w:bottom w:val="nil"/>
              <w:right w:val="nil"/>
            </w:tcBorders>
            <w:shd w:val="clear" w:color="000000" w:fill="FFFFFF"/>
            <w:noWrap/>
            <w:vAlign w:val="center"/>
            <w:hideMark/>
          </w:tcPr>
          <w:p w14:paraId="443225EE"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76" w:type="pct"/>
            <w:tcBorders>
              <w:top w:val="nil"/>
              <w:left w:val="single" w:sz="4" w:space="0" w:color="auto"/>
              <w:bottom w:val="nil"/>
              <w:right w:val="nil"/>
            </w:tcBorders>
            <w:shd w:val="clear" w:color="000000" w:fill="FFFFFF"/>
            <w:noWrap/>
            <w:vAlign w:val="center"/>
            <w:hideMark/>
          </w:tcPr>
          <w:p w14:paraId="52E606F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62.040</w:t>
            </w:r>
          </w:p>
        </w:tc>
        <w:tc>
          <w:tcPr>
            <w:tcW w:w="577" w:type="pct"/>
            <w:tcBorders>
              <w:top w:val="nil"/>
              <w:left w:val="nil"/>
              <w:bottom w:val="nil"/>
              <w:right w:val="nil"/>
            </w:tcBorders>
            <w:shd w:val="clear" w:color="000000" w:fill="FFFFFF"/>
            <w:noWrap/>
            <w:vAlign w:val="center"/>
            <w:hideMark/>
          </w:tcPr>
          <w:p w14:paraId="5DA6BE1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31.928</w:t>
            </w:r>
          </w:p>
        </w:tc>
        <w:tc>
          <w:tcPr>
            <w:tcW w:w="576" w:type="pct"/>
            <w:tcBorders>
              <w:top w:val="nil"/>
              <w:left w:val="nil"/>
              <w:bottom w:val="nil"/>
              <w:right w:val="single" w:sz="4" w:space="0" w:color="auto"/>
            </w:tcBorders>
            <w:shd w:val="clear" w:color="000000" w:fill="FFFFFF"/>
            <w:noWrap/>
            <w:vAlign w:val="center"/>
            <w:hideMark/>
          </w:tcPr>
          <w:p w14:paraId="60D89D8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90.868</w:t>
            </w:r>
          </w:p>
        </w:tc>
        <w:tc>
          <w:tcPr>
            <w:tcW w:w="590" w:type="pct"/>
            <w:tcBorders>
              <w:top w:val="nil"/>
              <w:left w:val="single" w:sz="4" w:space="0" w:color="auto"/>
              <w:bottom w:val="nil"/>
              <w:right w:val="nil"/>
            </w:tcBorders>
            <w:shd w:val="clear" w:color="000000" w:fill="FFFFFF"/>
            <w:noWrap/>
            <w:vAlign w:val="center"/>
            <w:hideMark/>
          </w:tcPr>
          <w:p w14:paraId="71201DF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7.391</w:t>
            </w:r>
          </w:p>
        </w:tc>
        <w:tc>
          <w:tcPr>
            <w:tcW w:w="576" w:type="pct"/>
            <w:tcBorders>
              <w:top w:val="nil"/>
              <w:left w:val="nil"/>
              <w:bottom w:val="nil"/>
              <w:right w:val="single" w:sz="4" w:space="0" w:color="auto"/>
            </w:tcBorders>
            <w:shd w:val="clear" w:color="000000" w:fill="FFFFFF"/>
            <w:noWrap/>
            <w:vAlign w:val="center"/>
            <w:hideMark/>
          </w:tcPr>
          <w:p w14:paraId="782A18A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9.446</w:t>
            </w:r>
          </w:p>
        </w:tc>
        <w:tc>
          <w:tcPr>
            <w:tcW w:w="522" w:type="pct"/>
            <w:tcBorders>
              <w:top w:val="nil"/>
              <w:left w:val="nil"/>
              <w:bottom w:val="nil"/>
              <w:right w:val="nil"/>
            </w:tcBorders>
            <w:shd w:val="clear" w:color="000000" w:fill="FFFFFF"/>
            <w:noWrap/>
            <w:vAlign w:val="center"/>
            <w:hideMark/>
          </w:tcPr>
          <w:p w14:paraId="0200474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522" w:type="pct"/>
            <w:tcBorders>
              <w:top w:val="nil"/>
              <w:left w:val="single" w:sz="4" w:space="0" w:color="auto"/>
              <w:bottom w:val="nil"/>
              <w:right w:val="single" w:sz="4" w:space="0" w:color="auto"/>
            </w:tcBorders>
            <w:shd w:val="clear" w:color="000000" w:fill="FFFFFF"/>
            <w:noWrap/>
            <w:vAlign w:val="center"/>
            <w:hideMark/>
          </w:tcPr>
          <w:p w14:paraId="5FBB912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56F282F9" w14:textId="77777777" w:rsidTr="0085443A">
        <w:tc>
          <w:tcPr>
            <w:tcW w:w="1061" w:type="pct"/>
            <w:tcBorders>
              <w:top w:val="single" w:sz="4" w:space="0" w:color="auto"/>
              <w:left w:val="single" w:sz="4" w:space="0" w:color="auto"/>
              <w:bottom w:val="single" w:sz="4" w:space="0" w:color="auto"/>
              <w:right w:val="nil"/>
            </w:tcBorders>
            <w:shd w:val="clear" w:color="000000" w:fill="FFFFFF"/>
            <w:noWrap/>
            <w:vAlign w:val="center"/>
            <w:hideMark/>
          </w:tcPr>
          <w:p w14:paraId="199EAB3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76" w:type="pct"/>
            <w:tcBorders>
              <w:top w:val="single" w:sz="4" w:space="0" w:color="auto"/>
              <w:left w:val="single" w:sz="4" w:space="0" w:color="auto"/>
              <w:bottom w:val="single" w:sz="4" w:space="0" w:color="auto"/>
              <w:right w:val="nil"/>
            </w:tcBorders>
            <w:shd w:val="clear" w:color="000000" w:fill="FFFFFF"/>
            <w:noWrap/>
            <w:vAlign w:val="center"/>
            <w:hideMark/>
          </w:tcPr>
          <w:p w14:paraId="771BF35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577" w:type="pct"/>
            <w:tcBorders>
              <w:top w:val="single" w:sz="4" w:space="0" w:color="auto"/>
              <w:left w:val="nil"/>
              <w:bottom w:val="single" w:sz="4" w:space="0" w:color="auto"/>
              <w:right w:val="nil"/>
            </w:tcBorders>
            <w:shd w:val="clear" w:color="000000" w:fill="FFFFFF"/>
            <w:noWrap/>
            <w:vAlign w:val="center"/>
            <w:hideMark/>
          </w:tcPr>
          <w:p w14:paraId="0653229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14:paraId="3E6256D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590" w:type="pct"/>
            <w:tcBorders>
              <w:top w:val="single" w:sz="4" w:space="0" w:color="auto"/>
              <w:left w:val="single" w:sz="4" w:space="0" w:color="auto"/>
              <w:bottom w:val="single" w:sz="4" w:space="0" w:color="auto"/>
              <w:right w:val="nil"/>
            </w:tcBorders>
            <w:shd w:val="clear" w:color="000000" w:fill="FFFFFF"/>
            <w:noWrap/>
            <w:vAlign w:val="center"/>
            <w:hideMark/>
          </w:tcPr>
          <w:p w14:paraId="5DA95B9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14:paraId="452C0E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22" w:type="pct"/>
            <w:tcBorders>
              <w:top w:val="single" w:sz="4" w:space="0" w:color="auto"/>
              <w:left w:val="nil"/>
              <w:bottom w:val="single" w:sz="4" w:space="0" w:color="auto"/>
              <w:right w:val="nil"/>
            </w:tcBorders>
            <w:shd w:val="clear" w:color="000000" w:fill="FFFFFF"/>
            <w:noWrap/>
            <w:vAlign w:val="center"/>
            <w:hideMark/>
          </w:tcPr>
          <w:p w14:paraId="462E1E6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5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2361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EA36E1F" w14:textId="37383DFE" w:rsidR="00DB1243" w:rsidRPr="00650EE4" w:rsidRDefault="00141FAE" w:rsidP="00DB1243">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E1362C" w:rsidRPr="00650EE4">
        <w:rPr>
          <w:rFonts w:ascii="Times New Roman" w:eastAsia="Times New Roman" w:hAnsi="Times New Roman"/>
          <w:i/>
          <w:color w:val="000000" w:themeColor="text1"/>
          <w:sz w:val="20"/>
          <w:szCs w:val="20"/>
        </w:rPr>
        <w:t>duomenys (2019.12.31</w:t>
      </w:r>
      <w:r w:rsidR="008E42DB" w:rsidRPr="00650EE4">
        <w:rPr>
          <w:rFonts w:ascii="Times New Roman" w:eastAsia="Times New Roman" w:hAnsi="Times New Roman"/>
          <w:i/>
          <w:color w:val="000000" w:themeColor="text1"/>
          <w:sz w:val="20"/>
          <w:szCs w:val="20"/>
        </w:rPr>
        <w:t>)</w:t>
      </w:r>
    </w:p>
    <w:p w14:paraId="5F66A3DA" w14:textId="77777777" w:rsidR="00E71C69" w:rsidRPr="00650EE4" w:rsidRDefault="00E71C69" w:rsidP="00A8616C">
      <w:pPr>
        <w:jc w:val="both"/>
        <w:rPr>
          <w:rFonts w:ascii="Times New Roman" w:hAnsi="Times New Roman"/>
          <w:color w:val="000000" w:themeColor="text1"/>
          <w:szCs w:val="22"/>
        </w:rPr>
      </w:pPr>
    </w:p>
    <w:p w14:paraId="4A713AEA" w14:textId="77777777" w:rsidR="00141FAE" w:rsidRPr="00650EE4" w:rsidRDefault="00141FAE" w:rsidP="00A8616C">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NTR </w:t>
      </w:r>
      <w:r w:rsidR="00BB3EA4" w:rsidRPr="00650EE4">
        <w:rPr>
          <w:rFonts w:ascii="Times New Roman" w:hAnsi="Times New Roman"/>
          <w:color w:val="000000" w:themeColor="text1"/>
          <w:szCs w:val="22"/>
        </w:rPr>
        <w:t xml:space="preserve">požymis </w:t>
      </w:r>
      <w:r w:rsidR="00131B42" w:rsidRPr="00650EE4">
        <w:rPr>
          <w:rFonts w:ascii="Times New Roman" w:hAnsi="Times New Roman"/>
          <w:color w:val="000000" w:themeColor="text1"/>
          <w:szCs w:val="22"/>
        </w:rPr>
        <w:t>„Mišri nuosavybė“</w:t>
      </w:r>
      <w:r w:rsidRPr="00650EE4">
        <w:rPr>
          <w:rFonts w:ascii="Times New Roman" w:hAnsi="Times New Roman"/>
          <w:color w:val="000000" w:themeColor="text1"/>
          <w:szCs w:val="22"/>
        </w:rPr>
        <w:t>, apibrėžiamas kaip</w:t>
      </w:r>
      <w:r w:rsidR="00BB3EA4" w:rsidRPr="00650EE4">
        <w:rPr>
          <w:rFonts w:ascii="Times New Roman" w:hAnsi="Times New Roman"/>
          <w:color w:val="000000" w:themeColor="text1"/>
          <w:szCs w:val="22"/>
        </w:rPr>
        <w:t xml:space="preserve"> bendroji fizinių ir juridinių asmenų, valstybė ir savivaldybių, valstybės ir fizinių bei juridinių asmenų, savivaldybių ir fizinių bei juridinių asmenų  nuosavybė. Taip pat šis požymis priskiriamas pastatams, kuriems nuosavybės teisės neįregistruotos.</w:t>
      </w:r>
      <w:r w:rsidR="00131B42" w:rsidRPr="00650EE4">
        <w:rPr>
          <w:rFonts w:ascii="Times New Roman" w:hAnsi="Times New Roman"/>
          <w:color w:val="000000" w:themeColor="text1"/>
          <w:szCs w:val="22"/>
        </w:rPr>
        <w:t xml:space="preserve"> </w:t>
      </w:r>
    </w:p>
    <w:p w14:paraId="6993DC4B" w14:textId="77777777" w:rsidR="00141FAE" w:rsidRPr="00650EE4" w:rsidRDefault="00141FAE" w:rsidP="00A8616C">
      <w:pPr>
        <w:jc w:val="both"/>
        <w:rPr>
          <w:rFonts w:ascii="Times New Roman" w:hAnsi="Times New Roman"/>
          <w:color w:val="000000" w:themeColor="text1"/>
          <w:szCs w:val="22"/>
        </w:rPr>
      </w:pPr>
    </w:p>
    <w:p w14:paraId="5D50DDA6" w14:textId="471AD30A" w:rsidR="00E71C69" w:rsidRPr="00650EE4" w:rsidRDefault="00B77AD2" w:rsidP="00A8616C">
      <w:pPr>
        <w:spacing w:line="240" w:lineRule="auto"/>
        <w:rPr>
          <w:rFonts w:ascii="Times New Roman" w:hAnsi="Times New Roman"/>
          <w:color w:val="000000" w:themeColor="text1"/>
          <w:szCs w:val="22"/>
        </w:rPr>
      </w:pPr>
      <w:r w:rsidRPr="00650EE4">
        <w:rPr>
          <w:rFonts w:ascii="Times New Roman" w:hAnsi="Times New Roman"/>
          <w:color w:val="000000" w:themeColor="text1"/>
          <w:szCs w:val="22"/>
        </w:rPr>
        <w:t xml:space="preserve">Agreguoti </w:t>
      </w:r>
      <w:r w:rsidR="00192576">
        <w:rPr>
          <w:rFonts w:ascii="Times New Roman" w:hAnsi="Times New Roman"/>
          <w:color w:val="000000" w:themeColor="text1"/>
          <w:szCs w:val="22"/>
        </w:rPr>
        <w:t>p</w:t>
      </w:r>
      <w:r w:rsidRPr="00650EE4">
        <w:rPr>
          <w:rFonts w:ascii="Times New Roman" w:hAnsi="Times New Roman"/>
          <w:color w:val="000000" w:themeColor="text1"/>
          <w:szCs w:val="22"/>
        </w:rPr>
        <w:t>astatų fondo duomenys pagal nuosavybės tipą pateikiami p</w:t>
      </w:r>
      <w:r w:rsidR="00E71C69" w:rsidRPr="00650EE4">
        <w:rPr>
          <w:rFonts w:ascii="Times New Roman" w:hAnsi="Times New Roman"/>
          <w:color w:val="000000" w:themeColor="text1"/>
          <w:szCs w:val="22"/>
        </w:rPr>
        <w:t>aveiksle žemiau</w:t>
      </w:r>
      <w:r w:rsidR="00131B42" w:rsidRPr="00650EE4">
        <w:rPr>
          <w:rFonts w:ascii="Times New Roman" w:hAnsi="Times New Roman"/>
          <w:color w:val="000000" w:themeColor="text1"/>
          <w:szCs w:val="22"/>
        </w:rPr>
        <w:t>.</w:t>
      </w:r>
    </w:p>
    <w:p w14:paraId="5A1577BF" w14:textId="77777777" w:rsidR="0023171E" w:rsidRPr="00650EE4" w:rsidRDefault="0023171E" w:rsidP="00A8616C">
      <w:pPr>
        <w:spacing w:line="240" w:lineRule="auto"/>
        <w:rPr>
          <w:rFonts w:ascii="Times New Roman" w:hAnsi="Times New Roman"/>
          <w:color w:val="000000" w:themeColor="text1"/>
          <w:szCs w:val="22"/>
        </w:rPr>
      </w:pPr>
    </w:p>
    <w:p w14:paraId="31FFB34C" w14:textId="77777777" w:rsidR="00DD7CF3" w:rsidRPr="00650EE4" w:rsidRDefault="00DD7CF3">
      <w:pPr>
        <w:spacing w:after="240"/>
        <w:rPr>
          <w:rFonts w:ascii="Times New Roman" w:eastAsiaTheme="minorHAnsi" w:hAnsi="Times New Roman"/>
          <w:bCs/>
          <w:i/>
          <w:color w:val="000000" w:themeColor="text1"/>
          <w:sz w:val="20"/>
          <w:szCs w:val="20"/>
        </w:rPr>
      </w:pPr>
      <w:r w:rsidRPr="00650EE4">
        <w:br w:type="page"/>
      </w:r>
    </w:p>
    <w:p w14:paraId="3EF2D398" w14:textId="4AB547FE" w:rsidR="00E71C69"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27" w:name="_Toc67925251"/>
      <w:r w:rsidR="007744C1">
        <w:t>3</w:t>
      </w:r>
      <w:r w:rsidRPr="00650EE4">
        <w:rPr>
          <w:noProof w:val="0"/>
        </w:rPr>
        <w:fldChar w:fldCharType="end"/>
      </w:r>
      <w:r w:rsidR="009703CC" w:rsidRPr="00650EE4">
        <w:rPr>
          <w:noProof w:val="0"/>
        </w:rPr>
        <w:t xml:space="preserve"> paveikslas</w:t>
      </w:r>
      <w:r w:rsidR="00E71C69" w:rsidRPr="00650EE4">
        <w:rPr>
          <w:noProof w:val="0"/>
        </w:rPr>
        <w:t>. Pastatų fondas pagal nuosavybės tipą</w:t>
      </w:r>
      <w:r w:rsidR="00141FAE" w:rsidRPr="00650EE4">
        <w:rPr>
          <w:noProof w:val="0"/>
        </w:rPr>
        <w:t xml:space="preserve"> (agreguotas)</w:t>
      </w:r>
      <w:bookmarkEnd w:id="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2768FC" w:rsidRPr="00650EE4" w14:paraId="630A8DE6" w14:textId="77777777" w:rsidTr="005A1578">
        <w:trPr>
          <w:trHeight w:val="3565"/>
        </w:trPr>
        <w:tc>
          <w:tcPr>
            <w:tcW w:w="5000" w:type="pct"/>
          </w:tcPr>
          <w:p w14:paraId="192607EB" w14:textId="37D53AC0" w:rsidR="002768FC" w:rsidRPr="00650EE4" w:rsidRDefault="004B71A9" w:rsidP="002768FC">
            <w:pPr>
              <w:tabs>
                <w:tab w:val="left" w:pos="6910"/>
              </w:tabs>
              <w:spacing w:before="60"/>
              <w:jc w:val="both"/>
              <w:rPr>
                <w:rFonts w:ascii="Times New Roman" w:eastAsia="Times New Roman" w:hAnsi="Times New Roman"/>
                <w:i/>
                <w:color w:val="000000" w:themeColor="text1"/>
                <w:sz w:val="20"/>
                <w:szCs w:val="28"/>
              </w:rPr>
            </w:pPr>
            <w:r w:rsidRPr="00650EE4">
              <w:rPr>
                <w:rFonts w:ascii="Times New Roman" w:hAnsi="Times New Roman"/>
                <w:noProof/>
                <w:lang w:eastAsia="lt-LT"/>
              </w:rPr>
              <w:drawing>
                <wp:inline distT="0" distB="0" distL="0" distR="0" wp14:anchorId="313A8160" wp14:editId="31D5BB1A">
                  <wp:extent cx="3072384" cy="2121408"/>
                  <wp:effectExtent l="0" t="0" r="13970" b="12700"/>
                  <wp:docPr id="84" name="Chart 84">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50EE4">
              <w:rPr>
                <w:rFonts w:ascii="Times New Roman" w:hAnsi="Times New Roman"/>
                <w:noProof/>
                <w:lang w:eastAsia="lt-LT"/>
              </w:rPr>
              <w:drawing>
                <wp:inline distT="0" distB="0" distL="0" distR="0" wp14:anchorId="0A3BA754" wp14:editId="107504A0">
                  <wp:extent cx="3233319" cy="2128723"/>
                  <wp:effectExtent l="0" t="0" r="24765" b="24130"/>
                  <wp:docPr id="86" name="Chart 86">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1C53847" w14:textId="16E4CA3C" w:rsidR="00696BA5" w:rsidRPr="00650EE4" w:rsidRDefault="005F56C6" w:rsidP="00696BA5">
      <w:pPr>
        <w:spacing w:before="60" w:line="240" w:lineRule="auto"/>
        <w:jc w:val="both"/>
        <w:rPr>
          <w:rFonts w:ascii="Times New Roman" w:eastAsia="Times New Roman" w:hAnsi="Times New Roman"/>
          <w:i/>
          <w:color w:val="000000" w:themeColor="text1"/>
          <w:szCs w:val="22"/>
        </w:rPr>
      </w:pPr>
      <w:r w:rsidRPr="00650EE4">
        <w:rPr>
          <w:rFonts w:ascii="Times New Roman" w:eastAsia="Times New Roman" w:hAnsi="Times New Roman"/>
          <w:i/>
          <w:color w:val="000000" w:themeColor="text1"/>
          <w:szCs w:val="22"/>
        </w:rPr>
        <w:t>Šaltinis: NTR</w:t>
      </w:r>
      <w:r w:rsidR="00696BA5" w:rsidRPr="00650EE4">
        <w:rPr>
          <w:rFonts w:ascii="Times New Roman" w:eastAsia="Times New Roman" w:hAnsi="Times New Roman"/>
          <w:i/>
          <w:color w:val="000000" w:themeColor="text1"/>
          <w:szCs w:val="22"/>
        </w:rPr>
        <w:t xml:space="preserve"> duomenys (2019.12.31)</w:t>
      </w:r>
    </w:p>
    <w:p w14:paraId="23414918" w14:textId="77777777" w:rsidR="00696BA5" w:rsidRPr="00650EE4" w:rsidRDefault="00696BA5" w:rsidP="000A517A">
      <w:pPr>
        <w:spacing w:line="240" w:lineRule="auto"/>
        <w:jc w:val="both"/>
        <w:rPr>
          <w:rFonts w:ascii="Times New Roman" w:eastAsia="Times New Roman" w:hAnsi="Times New Roman"/>
          <w:i/>
          <w:color w:val="000000" w:themeColor="text1"/>
          <w:szCs w:val="22"/>
        </w:rPr>
      </w:pPr>
    </w:p>
    <w:p w14:paraId="4E03C2E4" w14:textId="77D3E50B" w:rsidR="00681794" w:rsidRPr="00650EE4" w:rsidRDefault="003E0FE5" w:rsidP="00141FAE">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lentelės</w:t>
      </w:r>
      <w:r w:rsidR="0021317A" w:rsidRPr="00650EE4">
        <w:rPr>
          <w:rFonts w:ascii="Times New Roman" w:hAnsi="Times New Roman"/>
          <w:color w:val="000000" w:themeColor="text1"/>
          <w:szCs w:val="22"/>
        </w:rPr>
        <w:t>e</w:t>
      </w:r>
      <w:r w:rsidR="00681794" w:rsidRPr="00650EE4">
        <w:rPr>
          <w:rFonts w:ascii="Times New Roman" w:hAnsi="Times New Roman"/>
          <w:color w:val="000000" w:themeColor="text1"/>
          <w:szCs w:val="22"/>
        </w:rPr>
        <w:t xml:space="preserve"> aukščiau pate</w:t>
      </w:r>
      <w:r w:rsidR="008E42DB" w:rsidRPr="00650EE4">
        <w:rPr>
          <w:rFonts w:ascii="Times New Roman" w:hAnsi="Times New Roman"/>
          <w:color w:val="000000" w:themeColor="text1"/>
          <w:szCs w:val="22"/>
        </w:rPr>
        <w:t>i</w:t>
      </w:r>
      <w:r w:rsidR="00681794" w:rsidRPr="00650EE4">
        <w:rPr>
          <w:rFonts w:ascii="Times New Roman" w:hAnsi="Times New Roman"/>
          <w:color w:val="000000" w:themeColor="text1"/>
          <w:szCs w:val="22"/>
        </w:rPr>
        <w:t>ktus duomenis galima pastebėti, kad:</w:t>
      </w:r>
    </w:p>
    <w:p w14:paraId="09F4C88B" w14:textId="61EA480E" w:rsidR="00E67915" w:rsidRPr="00650EE4" w:rsidRDefault="009B33CD" w:rsidP="008D442E">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color w:val="000000" w:themeColor="text1"/>
          <w:szCs w:val="22"/>
        </w:rPr>
        <w:t>Beveik pusę (</w:t>
      </w:r>
      <w:r w:rsidR="00464228" w:rsidRPr="00650EE4">
        <w:rPr>
          <w:rFonts w:ascii="Times New Roman" w:hAnsi="Times New Roman"/>
          <w:color w:val="000000" w:themeColor="text1"/>
          <w:szCs w:val="22"/>
        </w:rPr>
        <w:t xml:space="preserve">45 </w:t>
      </w:r>
      <w:r w:rsidR="00681794" w:rsidRPr="00650EE4">
        <w:rPr>
          <w:rFonts w:ascii="Times New Roman" w:hAnsi="Times New Roman"/>
          <w:color w:val="000000" w:themeColor="text1"/>
          <w:szCs w:val="22"/>
        </w:rPr>
        <w:t>proc.</w:t>
      </w:r>
      <w:r w:rsidRPr="00650EE4">
        <w:rPr>
          <w:rFonts w:ascii="Times New Roman" w:hAnsi="Times New Roman"/>
          <w:color w:val="000000" w:themeColor="text1"/>
          <w:szCs w:val="22"/>
        </w:rPr>
        <w:t>)</w:t>
      </w:r>
      <w:r w:rsidR="00681794" w:rsidRPr="00650EE4">
        <w:rPr>
          <w:rFonts w:ascii="Times New Roman" w:hAnsi="Times New Roman"/>
          <w:color w:val="000000" w:themeColor="text1"/>
          <w:szCs w:val="22"/>
        </w:rPr>
        <w:t xml:space="preserve"> </w:t>
      </w:r>
      <w:r w:rsidR="00192576">
        <w:rPr>
          <w:rFonts w:ascii="Times New Roman" w:hAnsi="Times New Roman"/>
          <w:color w:val="000000" w:themeColor="text1"/>
          <w:szCs w:val="22"/>
        </w:rPr>
        <w:t>p</w:t>
      </w:r>
      <w:r w:rsidR="00464228" w:rsidRPr="00650EE4">
        <w:rPr>
          <w:rFonts w:ascii="Times New Roman" w:hAnsi="Times New Roman"/>
          <w:color w:val="000000" w:themeColor="text1"/>
          <w:szCs w:val="22"/>
        </w:rPr>
        <w:t>astatų fond</w:t>
      </w:r>
      <w:r w:rsidRPr="00650EE4">
        <w:rPr>
          <w:rFonts w:ascii="Times New Roman" w:hAnsi="Times New Roman"/>
          <w:color w:val="000000" w:themeColor="text1"/>
          <w:szCs w:val="22"/>
        </w:rPr>
        <w:t xml:space="preserve">o pagal plotą, sudaro mišri nuosavybė t.y. situacija kai pastato savininku yra </w:t>
      </w:r>
      <w:r w:rsidR="00464228" w:rsidRPr="00650EE4">
        <w:rPr>
          <w:rFonts w:ascii="Times New Roman" w:hAnsi="Times New Roman"/>
          <w:color w:val="000000" w:themeColor="text1"/>
          <w:szCs w:val="22"/>
        </w:rPr>
        <w:t xml:space="preserve">daugiau nei vienas </w:t>
      </w:r>
      <w:r w:rsidRPr="00650EE4">
        <w:rPr>
          <w:rFonts w:ascii="Times New Roman" w:hAnsi="Times New Roman"/>
          <w:color w:val="000000" w:themeColor="text1"/>
          <w:szCs w:val="22"/>
        </w:rPr>
        <w:t xml:space="preserve">asmuo </w:t>
      </w:r>
      <w:r w:rsidR="00126FB2" w:rsidRPr="00650EE4">
        <w:rPr>
          <w:rFonts w:ascii="Times New Roman" w:hAnsi="Times New Roman"/>
          <w:color w:val="000000" w:themeColor="text1"/>
          <w:szCs w:val="22"/>
        </w:rPr>
        <w:t>(</w:t>
      </w:r>
      <w:r w:rsidR="007116FE" w:rsidRPr="00650EE4">
        <w:rPr>
          <w:rFonts w:ascii="Times New Roman" w:hAnsi="Times New Roman"/>
          <w:color w:val="000000" w:themeColor="text1"/>
          <w:szCs w:val="22"/>
        </w:rPr>
        <w:t>pvz.</w:t>
      </w:r>
      <w:r w:rsidR="00F318B8" w:rsidRPr="00650EE4">
        <w:rPr>
          <w:rFonts w:ascii="Times New Roman" w:hAnsi="Times New Roman"/>
          <w:color w:val="000000" w:themeColor="text1"/>
          <w:szCs w:val="22"/>
        </w:rPr>
        <w:t>,</w:t>
      </w:r>
      <w:r w:rsidR="00126FB2" w:rsidRPr="00650EE4">
        <w:rPr>
          <w:rFonts w:ascii="Times New Roman" w:hAnsi="Times New Roman"/>
          <w:color w:val="000000" w:themeColor="text1"/>
          <w:szCs w:val="22"/>
        </w:rPr>
        <w:t xml:space="preserve"> 98 </w:t>
      </w:r>
      <w:r w:rsidR="007C141C" w:rsidRPr="00650EE4">
        <w:rPr>
          <w:rFonts w:ascii="Times New Roman" w:hAnsi="Times New Roman"/>
          <w:color w:val="000000" w:themeColor="text1"/>
          <w:szCs w:val="22"/>
        </w:rPr>
        <w:t>proc.</w:t>
      </w:r>
      <w:r w:rsidR="00126FB2" w:rsidRPr="00650EE4">
        <w:rPr>
          <w:rFonts w:ascii="Times New Roman" w:hAnsi="Times New Roman"/>
          <w:color w:val="000000" w:themeColor="text1"/>
          <w:szCs w:val="22"/>
        </w:rPr>
        <w:t xml:space="preserve">, daugiabučių pagal plotą nuosavybė yra mišri). </w:t>
      </w:r>
      <w:r w:rsidRPr="00650EE4">
        <w:rPr>
          <w:rFonts w:ascii="Times New Roman" w:hAnsi="Times New Roman"/>
          <w:color w:val="000000" w:themeColor="text1"/>
          <w:szCs w:val="22"/>
        </w:rPr>
        <w:t>Taip pat</w:t>
      </w:r>
      <w:r w:rsidR="00126FB2" w:rsidRPr="00650EE4">
        <w:rPr>
          <w:rFonts w:ascii="Times New Roman" w:hAnsi="Times New Roman"/>
          <w:color w:val="000000" w:themeColor="text1"/>
          <w:szCs w:val="22"/>
        </w:rPr>
        <w:t>, mišri nuosavybė gali atspindėti situaciją, kai pastatas priklauso ne tik daugiau nei vienam asmeniui, tačiau ir skirtingiems pagal nuosavybės tipą asmenims, pvz.</w:t>
      </w:r>
      <w:r w:rsidR="00F318B8" w:rsidRPr="00650EE4">
        <w:rPr>
          <w:rFonts w:ascii="Times New Roman" w:hAnsi="Times New Roman"/>
          <w:color w:val="000000" w:themeColor="text1"/>
          <w:szCs w:val="22"/>
        </w:rPr>
        <w:t>,</w:t>
      </w:r>
      <w:r w:rsidR="00126FB2" w:rsidRPr="00650EE4">
        <w:rPr>
          <w:rFonts w:ascii="Times New Roman" w:hAnsi="Times New Roman"/>
          <w:color w:val="000000" w:themeColor="text1"/>
          <w:szCs w:val="22"/>
        </w:rPr>
        <w:t xml:space="preserve"> dalis pastato priklauso fiziniams asmenims, dalis viešiems arba juridiniams asmenims. Abiem atvejais </w:t>
      </w:r>
      <w:r w:rsidR="00DE6522" w:rsidRPr="00650EE4">
        <w:rPr>
          <w:rFonts w:ascii="Times New Roman" w:hAnsi="Times New Roman"/>
          <w:color w:val="000000" w:themeColor="text1"/>
          <w:szCs w:val="22"/>
        </w:rPr>
        <w:t xml:space="preserve">tai reiškia reikšmingai sudėtingesnį renovacijos įgyvendinimo procesą nei esant vienam pastato savininkui. </w:t>
      </w:r>
      <w:r w:rsidR="00E10E72" w:rsidRPr="00650EE4">
        <w:rPr>
          <w:rFonts w:ascii="Times New Roman" w:hAnsi="Times New Roman"/>
          <w:bCs/>
          <w:iCs/>
          <w:szCs w:val="22"/>
        </w:rPr>
        <w:t>Skirtingų savininkų (naudotojų) paskatų dilema</w:t>
      </w:r>
      <w:r w:rsidR="00E10E72" w:rsidRPr="00650EE4">
        <w:rPr>
          <w:rFonts w:ascii="Times New Roman" w:hAnsi="Times New Roman"/>
          <w:color w:val="000000" w:themeColor="text1"/>
          <w:szCs w:val="22"/>
        </w:rPr>
        <w:t xml:space="preserve"> d</w:t>
      </w:r>
      <w:r w:rsidR="0031639C" w:rsidRPr="00650EE4">
        <w:rPr>
          <w:rFonts w:ascii="Times New Roman" w:hAnsi="Times New Roman"/>
          <w:color w:val="000000" w:themeColor="text1"/>
          <w:szCs w:val="22"/>
        </w:rPr>
        <w:t xml:space="preserve">etaliau </w:t>
      </w:r>
      <w:r w:rsidR="00E10E72" w:rsidRPr="00650EE4">
        <w:rPr>
          <w:rFonts w:ascii="Times New Roman" w:hAnsi="Times New Roman"/>
          <w:color w:val="000000" w:themeColor="text1"/>
          <w:szCs w:val="22"/>
        </w:rPr>
        <w:t xml:space="preserve">aptariama </w:t>
      </w:r>
      <w:r w:rsidR="00101D6C">
        <w:rPr>
          <w:rFonts w:ascii="Times New Roman" w:hAnsi="Times New Roman"/>
          <w:color w:val="000000" w:themeColor="text1"/>
          <w:szCs w:val="22"/>
          <w:lang w:val="en-GB"/>
        </w:rPr>
        <w:t>3</w:t>
      </w:r>
      <w:r w:rsidR="00E10E72" w:rsidRPr="00650EE4">
        <w:rPr>
          <w:rFonts w:ascii="Times New Roman" w:hAnsi="Times New Roman"/>
          <w:color w:val="000000" w:themeColor="text1"/>
          <w:szCs w:val="22"/>
        </w:rPr>
        <w:t>.2.2 skyriuje</w:t>
      </w:r>
      <w:r w:rsidR="0031639C" w:rsidRPr="00650EE4">
        <w:rPr>
          <w:rFonts w:ascii="Times New Roman" w:hAnsi="Times New Roman"/>
          <w:color w:val="000000" w:themeColor="text1"/>
          <w:szCs w:val="22"/>
        </w:rPr>
        <w:t xml:space="preserve">. </w:t>
      </w:r>
    </w:p>
    <w:p w14:paraId="3D1C9F7B" w14:textId="38206236" w:rsidR="00681794" w:rsidRPr="00650EE4" w:rsidRDefault="008A09E4" w:rsidP="00DF090E">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31 </w:t>
      </w:r>
      <w:r w:rsidR="00681794" w:rsidRPr="00650EE4">
        <w:rPr>
          <w:rFonts w:ascii="Times New Roman" w:hAnsi="Times New Roman"/>
          <w:color w:val="000000" w:themeColor="text1"/>
          <w:szCs w:val="22"/>
        </w:rPr>
        <w:t xml:space="preserve">proc. </w:t>
      </w:r>
      <w:r w:rsidR="00192576">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fondo ploto </w:t>
      </w:r>
      <w:r w:rsidR="00681794" w:rsidRPr="00650EE4">
        <w:rPr>
          <w:rFonts w:ascii="Times New Roman" w:hAnsi="Times New Roman"/>
          <w:color w:val="000000" w:themeColor="text1"/>
          <w:szCs w:val="22"/>
        </w:rPr>
        <w:t>sudaro</w:t>
      </w:r>
      <w:r w:rsidR="00B450A7"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fizinių asmenų nuosavybė, daugiausia individualūs namai. Nors tokių objektų yra daugiau, o jų architektūrinė įvairovė </w:t>
      </w:r>
      <w:r w:rsidR="003F7022" w:rsidRPr="00650EE4">
        <w:rPr>
          <w:rFonts w:ascii="Times New Roman" w:hAnsi="Times New Roman"/>
          <w:color w:val="000000" w:themeColor="text1"/>
          <w:szCs w:val="22"/>
        </w:rPr>
        <w:t>yra tikėtina</w:t>
      </w:r>
      <w:r w:rsidRPr="00650EE4">
        <w:rPr>
          <w:rFonts w:ascii="Times New Roman" w:hAnsi="Times New Roman"/>
          <w:color w:val="000000" w:themeColor="text1"/>
          <w:szCs w:val="22"/>
        </w:rPr>
        <w:t xml:space="preserve"> didesnė</w:t>
      </w:r>
      <w:r w:rsidR="003F7022" w:rsidRPr="00650EE4">
        <w:rPr>
          <w:rFonts w:ascii="Times New Roman" w:hAnsi="Times New Roman"/>
          <w:color w:val="000000" w:themeColor="text1"/>
          <w:szCs w:val="22"/>
        </w:rPr>
        <w:t xml:space="preserve"> (renovaciją lėtinantis veiksnys)</w:t>
      </w:r>
      <w:r w:rsidRPr="00650EE4">
        <w:rPr>
          <w:rFonts w:ascii="Times New Roman" w:hAnsi="Times New Roman"/>
          <w:color w:val="000000" w:themeColor="text1"/>
          <w:szCs w:val="22"/>
        </w:rPr>
        <w:t xml:space="preserve">, tokių pastatų </w:t>
      </w:r>
      <w:r w:rsidR="001C6C87" w:rsidRPr="00650EE4">
        <w:rPr>
          <w:rFonts w:ascii="Times New Roman" w:hAnsi="Times New Roman"/>
          <w:color w:val="000000" w:themeColor="text1"/>
          <w:szCs w:val="22"/>
        </w:rPr>
        <w:t xml:space="preserve">renovacija </w:t>
      </w:r>
      <w:r w:rsidRPr="00650EE4">
        <w:rPr>
          <w:rFonts w:ascii="Times New Roman" w:hAnsi="Times New Roman"/>
          <w:color w:val="000000" w:themeColor="text1"/>
          <w:szCs w:val="22"/>
        </w:rPr>
        <w:t>galėtų vykti sparčiau dėl greitesnio ir paprastesnio sprendim</w:t>
      </w:r>
      <w:r w:rsidR="001C6C87" w:rsidRPr="00650EE4">
        <w:rPr>
          <w:rFonts w:ascii="Times New Roman" w:hAnsi="Times New Roman"/>
          <w:color w:val="000000" w:themeColor="text1"/>
          <w:szCs w:val="22"/>
        </w:rPr>
        <w:t>ų</w:t>
      </w:r>
      <w:r w:rsidRPr="00650EE4">
        <w:rPr>
          <w:rFonts w:ascii="Times New Roman" w:hAnsi="Times New Roman"/>
          <w:color w:val="000000" w:themeColor="text1"/>
          <w:szCs w:val="22"/>
        </w:rPr>
        <w:t xml:space="preserve"> priėmimo</w:t>
      </w:r>
      <w:r w:rsidR="005700D3" w:rsidRPr="00650EE4">
        <w:rPr>
          <w:rFonts w:ascii="Times New Roman" w:hAnsi="Times New Roman"/>
          <w:color w:val="000000" w:themeColor="text1"/>
          <w:szCs w:val="22"/>
        </w:rPr>
        <w:t xml:space="preserve"> bei stipresnio savininkų intereso rūpintis asmeniniu turtu</w:t>
      </w:r>
      <w:r w:rsidR="009B33CD" w:rsidRPr="00650EE4">
        <w:rPr>
          <w:rFonts w:ascii="Times New Roman" w:hAnsi="Times New Roman"/>
          <w:color w:val="000000" w:themeColor="text1"/>
          <w:szCs w:val="22"/>
        </w:rPr>
        <w:t>.</w:t>
      </w:r>
    </w:p>
    <w:p w14:paraId="1AE88E76" w14:textId="75753BF1" w:rsidR="008E42DB" w:rsidRPr="00650EE4" w:rsidRDefault="00192576" w:rsidP="00DF090E">
      <w:pPr>
        <w:pStyle w:val="Pagrindinispaprastastekstas"/>
        <w:numPr>
          <w:ilvl w:val="0"/>
          <w:numId w:val="10"/>
        </w:numPr>
        <w:spacing w:after="120"/>
        <w:ind w:left="714" w:hanging="357"/>
        <w:rPr>
          <w:rFonts w:ascii="Times New Roman" w:hAnsi="Times New Roman"/>
          <w:color w:val="000000" w:themeColor="text1"/>
          <w:szCs w:val="22"/>
        </w:rPr>
      </w:pPr>
      <w:r>
        <w:rPr>
          <w:rFonts w:ascii="Times New Roman" w:hAnsi="Times New Roman"/>
          <w:color w:val="000000" w:themeColor="text1"/>
          <w:szCs w:val="22"/>
        </w:rPr>
        <w:t>16 proc. p</w:t>
      </w:r>
      <w:r w:rsidR="008A09E4" w:rsidRPr="00650EE4">
        <w:rPr>
          <w:rFonts w:ascii="Times New Roman" w:hAnsi="Times New Roman"/>
          <w:color w:val="000000" w:themeColor="text1"/>
          <w:szCs w:val="22"/>
        </w:rPr>
        <w:t xml:space="preserve">astatų fondo ploto sudaro juridinių asmenų nuosavybė, kurią daugiausia sudaro pramonės, administraciniai ir prekybos objektai. Juridinių asmenų sprendimai </w:t>
      </w:r>
      <w:r w:rsidR="009B33CD" w:rsidRPr="00650EE4">
        <w:rPr>
          <w:rFonts w:ascii="Times New Roman" w:hAnsi="Times New Roman"/>
          <w:color w:val="000000" w:themeColor="text1"/>
          <w:szCs w:val="22"/>
        </w:rPr>
        <w:t>iš esmės priklauso nuo</w:t>
      </w:r>
      <w:r w:rsidR="008A09E4" w:rsidRPr="00650EE4">
        <w:rPr>
          <w:rFonts w:ascii="Times New Roman" w:hAnsi="Times New Roman"/>
          <w:color w:val="000000" w:themeColor="text1"/>
          <w:szCs w:val="22"/>
        </w:rPr>
        <w:t xml:space="preserve"> investicijų atsipirkimo laikotarpio, </w:t>
      </w:r>
      <w:r w:rsidR="009B33CD" w:rsidRPr="00650EE4">
        <w:rPr>
          <w:rFonts w:ascii="Times New Roman" w:hAnsi="Times New Roman"/>
          <w:color w:val="000000" w:themeColor="text1"/>
          <w:szCs w:val="22"/>
        </w:rPr>
        <w:t xml:space="preserve">kuris esant dabartiniam energijos kainų lygiui nėra patrauklus. </w:t>
      </w:r>
    </w:p>
    <w:p w14:paraId="4BD12D44" w14:textId="480137C4" w:rsidR="00E90CFA" w:rsidRPr="00650EE4" w:rsidRDefault="009B33CD" w:rsidP="008D442E">
      <w:pPr>
        <w:pStyle w:val="Pagrindinispaprastastekstas"/>
        <w:numPr>
          <w:ilvl w:val="0"/>
          <w:numId w:val="10"/>
        </w:numPr>
        <w:ind w:left="714" w:hanging="357"/>
        <w:rPr>
          <w:rFonts w:ascii="Times New Roman" w:hAnsi="Times New Roman"/>
          <w:b/>
          <w:bCs/>
          <w:color w:val="000000" w:themeColor="text1"/>
          <w:kern w:val="32"/>
          <w:sz w:val="24"/>
        </w:rPr>
      </w:pPr>
      <w:r w:rsidRPr="00650EE4">
        <w:rPr>
          <w:rFonts w:ascii="Times New Roman" w:hAnsi="Times New Roman"/>
          <w:color w:val="000000" w:themeColor="text1"/>
          <w:szCs w:val="22"/>
        </w:rPr>
        <w:t>7</w:t>
      </w:r>
      <w:r w:rsidR="00192576">
        <w:rPr>
          <w:rFonts w:ascii="Times New Roman" w:hAnsi="Times New Roman"/>
          <w:color w:val="000000" w:themeColor="text1"/>
          <w:szCs w:val="22"/>
        </w:rPr>
        <w:t xml:space="preserve"> proc. p</w:t>
      </w:r>
      <w:r w:rsidR="008E42DB" w:rsidRPr="00650EE4">
        <w:rPr>
          <w:rFonts w:ascii="Times New Roman" w:hAnsi="Times New Roman"/>
          <w:color w:val="000000" w:themeColor="text1"/>
          <w:szCs w:val="22"/>
        </w:rPr>
        <w:t xml:space="preserve">astatų fondo ploto sudaro </w:t>
      </w:r>
      <w:r w:rsidRPr="00650EE4">
        <w:rPr>
          <w:rFonts w:ascii="Times New Roman" w:hAnsi="Times New Roman"/>
          <w:color w:val="000000" w:themeColor="text1"/>
          <w:szCs w:val="22"/>
        </w:rPr>
        <w:t xml:space="preserve">vieša (savivaldybių ir valstybės) </w:t>
      </w:r>
      <w:r w:rsidR="00E90CFA" w:rsidRPr="00650EE4">
        <w:rPr>
          <w:rFonts w:ascii="Times New Roman" w:hAnsi="Times New Roman"/>
          <w:color w:val="000000" w:themeColor="text1"/>
          <w:szCs w:val="22"/>
        </w:rPr>
        <w:t xml:space="preserve">nuosavybė. Šis </w:t>
      </w:r>
      <w:r w:rsidR="00192576">
        <w:rPr>
          <w:rFonts w:ascii="Times New Roman" w:hAnsi="Times New Roman"/>
          <w:color w:val="000000" w:themeColor="text1"/>
          <w:szCs w:val="22"/>
        </w:rPr>
        <w:t>p</w:t>
      </w:r>
      <w:r w:rsidR="00260AF0" w:rsidRPr="00650EE4">
        <w:rPr>
          <w:rFonts w:ascii="Times New Roman" w:hAnsi="Times New Roman"/>
          <w:color w:val="000000" w:themeColor="text1"/>
          <w:szCs w:val="22"/>
        </w:rPr>
        <w:t>as</w:t>
      </w:r>
      <w:r w:rsidR="00E90CFA" w:rsidRPr="00650EE4">
        <w:rPr>
          <w:rFonts w:ascii="Times New Roman" w:hAnsi="Times New Roman"/>
          <w:color w:val="000000" w:themeColor="text1"/>
          <w:szCs w:val="22"/>
        </w:rPr>
        <w:t>t</w:t>
      </w:r>
      <w:r w:rsidR="00260AF0" w:rsidRPr="00650EE4">
        <w:rPr>
          <w:rFonts w:ascii="Times New Roman" w:hAnsi="Times New Roman"/>
          <w:color w:val="000000" w:themeColor="text1"/>
          <w:szCs w:val="22"/>
        </w:rPr>
        <w:t xml:space="preserve">atų fondo </w:t>
      </w:r>
      <w:r w:rsidR="00E90CFA" w:rsidRPr="00650EE4">
        <w:rPr>
          <w:rFonts w:ascii="Times New Roman" w:hAnsi="Times New Roman"/>
          <w:color w:val="000000" w:themeColor="text1"/>
          <w:szCs w:val="22"/>
        </w:rPr>
        <w:t xml:space="preserve">segmentas </w:t>
      </w:r>
      <w:r w:rsidR="00260AF0" w:rsidRPr="00650EE4">
        <w:rPr>
          <w:rFonts w:ascii="Times New Roman" w:hAnsi="Times New Roman"/>
          <w:color w:val="000000" w:themeColor="text1"/>
          <w:szCs w:val="22"/>
        </w:rPr>
        <w:t>gali būti kontroliuojama</w:t>
      </w:r>
      <w:r w:rsidR="00E90CFA" w:rsidRPr="00650EE4">
        <w:rPr>
          <w:rFonts w:ascii="Times New Roman" w:hAnsi="Times New Roman"/>
          <w:color w:val="000000" w:themeColor="text1"/>
          <w:szCs w:val="22"/>
        </w:rPr>
        <w:t>s</w:t>
      </w:r>
      <w:r w:rsidR="00260AF0" w:rsidRPr="00650EE4">
        <w:rPr>
          <w:rFonts w:ascii="Times New Roman" w:hAnsi="Times New Roman"/>
          <w:color w:val="000000" w:themeColor="text1"/>
          <w:szCs w:val="22"/>
        </w:rPr>
        <w:t xml:space="preserve"> iš valstybės perspektyvos</w:t>
      </w:r>
      <w:r w:rsidR="00E90CFA" w:rsidRPr="00650EE4">
        <w:rPr>
          <w:rFonts w:ascii="Times New Roman" w:hAnsi="Times New Roman"/>
          <w:color w:val="000000" w:themeColor="text1"/>
          <w:szCs w:val="22"/>
        </w:rPr>
        <w:t>. Atitinkamai, siektina, kad būtent viešieji pastatai tarnautų kaip gerasis sėkmingos renovacijos pavyzdys.</w:t>
      </w:r>
    </w:p>
    <w:p w14:paraId="318C7045" w14:textId="73BBE519" w:rsidR="000A517A" w:rsidRPr="00650EE4" w:rsidRDefault="000A517A">
      <w:pPr>
        <w:spacing w:after="240"/>
        <w:rPr>
          <w:rFonts w:ascii="Times New Roman" w:eastAsia="Times New Roman" w:hAnsi="Times New Roman"/>
          <w:color w:val="000000" w:themeColor="text1"/>
          <w:szCs w:val="22"/>
        </w:rPr>
      </w:pPr>
      <w:r w:rsidRPr="00650EE4">
        <w:rPr>
          <w:rFonts w:ascii="Times New Roman" w:hAnsi="Times New Roman"/>
          <w:color w:val="000000" w:themeColor="text1"/>
          <w:szCs w:val="22"/>
        </w:rPr>
        <w:br w:type="page"/>
      </w:r>
    </w:p>
    <w:p w14:paraId="527EB808" w14:textId="231CAD54" w:rsidR="002C3B60" w:rsidRPr="00650EE4" w:rsidRDefault="002C3B60" w:rsidP="00234179">
      <w:pPr>
        <w:pStyle w:val="Antrastes31"/>
        <w:numPr>
          <w:ilvl w:val="2"/>
          <w:numId w:val="4"/>
        </w:numPr>
        <w:spacing w:before="0"/>
        <w:ind w:left="720" w:hanging="720"/>
        <w:rPr>
          <w:rFonts w:ascii="Times New Roman" w:hAnsi="Times New Roman"/>
          <w:color w:val="000000" w:themeColor="text1"/>
          <w:sz w:val="24"/>
          <w:szCs w:val="24"/>
          <w:lang w:val="lt-LT"/>
        </w:rPr>
      </w:pPr>
      <w:bookmarkStart w:id="28" w:name="_Toc67925106"/>
      <w:r w:rsidRPr="00650EE4">
        <w:rPr>
          <w:rFonts w:ascii="Times New Roman" w:hAnsi="Times New Roman"/>
          <w:color w:val="000000" w:themeColor="text1"/>
          <w:sz w:val="24"/>
          <w:szCs w:val="24"/>
          <w:lang w:val="lt-LT"/>
        </w:rPr>
        <w:lastRenderedPageBreak/>
        <w:t>Pastatų</w:t>
      </w:r>
      <w:r w:rsidR="0072724D" w:rsidRPr="00650EE4">
        <w:rPr>
          <w:rFonts w:ascii="Times New Roman" w:hAnsi="Times New Roman"/>
          <w:color w:val="000000" w:themeColor="text1"/>
          <w:sz w:val="24"/>
          <w:szCs w:val="24"/>
          <w:lang w:val="lt-LT"/>
        </w:rPr>
        <w:t xml:space="preserve"> </w:t>
      </w:r>
      <w:r w:rsidRPr="00650EE4">
        <w:rPr>
          <w:rFonts w:ascii="Times New Roman" w:hAnsi="Times New Roman"/>
          <w:color w:val="000000" w:themeColor="text1"/>
          <w:sz w:val="24"/>
          <w:szCs w:val="24"/>
          <w:lang w:val="lt-LT"/>
        </w:rPr>
        <w:t>fondas pagal sienų medžiagiškumą</w:t>
      </w:r>
      <w:bookmarkEnd w:id="28"/>
    </w:p>
    <w:p w14:paraId="62D88686" w14:textId="5E044CCC" w:rsidR="009E7901" w:rsidRPr="00650EE4" w:rsidRDefault="00A350F0" w:rsidP="00365307">
      <w:pPr>
        <w:pStyle w:val="BodyText"/>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L</w:t>
      </w:r>
      <w:r w:rsidR="00C91824" w:rsidRPr="00650EE4">
        <w:rPr>
          <w:rFonts w:ascii="Times New Roman" w:hAnsi="Times New Roman"/>
          <w:color w:val="000000" w:themeColor="text1"/>
          <w:szCs w:val="22"/>
          <w:lang w:val="lt-LT"/>
        </w:rPr>
        <w:t>entelė</w:t>
      </w:r>
      <w:r w:rsidRPr="00650EE4">
        <w:rPr>
          <w:rFonts w:ascii="Times New Roman" w:hAnsi="Times New Roman"/>
          <w:color w:val="000000" w:themeColor="text1"/>
          <w:szCs w:val="22"/>
          <w:lang w:val="lt-LT"/>
        </w:rPr>
        <w:t>se</w:t>
      </w:r>
      <w:r w:rsidR="00F354F9" w:rsidRPr="00650EE4">
        <w:rPr>
          <w:rFonts w:ascii="Times New Roman" w:hAnsi="Times New Roman"/>
          <w:color w:val="000000" w:themeColor="text1"/>
          <w:szCs w:val="22"/>
          <w:lang w:val="lt-LT"/>
        </w:rPr>
        <w:t xml:space="preserve"> žemiau pateikiamas pastatų fondo pasiskirstymas pagal </w:t>
      </w:r>
      <w:r w:rsidR="00070ABF" w:rsidRPr="00650EE4">
        <w:rPr>
          <w:rFonts w:ascii="Times New Roman" w:hAnsi="Times New Roman"/>
          <w:color w:val="000000" w:themeColor="text1"/>
          <w:szCs w:val="22"/>
          <w:lang w:val="lt-LT"/>
        </w:rPr>
        <w:t>sienų medžiagiškumą.</w:t>
      </w:r>
    </w:p>
    <w:p w14:paraId="4BCA5B6F" w14:textId="77777777" w:rsidR="009E7901" w:rsidRPr="00650EE4" w:rsidRDefault="009E7901" w:rsidP="00365307">
      <w:pPr>
        <w:pStyle w:val="BodyText"/>
        <w:spacing w:line="240" w:lineRule="auto"/>
        <w:rPr>
          <w:rFonts w:ascii="Times New Roman" w:hAnsi="Times New Roman"/>
          <w:color w:val="000000" w:themeColor="text1"/>
          <w:szCs w:val="22"/>
          <w:lang w:val="lt-LT"/>
        </w:rPr>
      </w:pPr>
    </w:p>
    <w:p w14:paraId="2D22944E" w14:textId="49FA3420" w:rsidR="009E790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9" w:name="_Toc67925190"/>
      <w:r w:rsidR="007744C1">
        <w:t>7</w:t>
      </w:r>
      <w:r w:rsidRPr="00650EE4">
        <w:rPr>
          <w:noProof w:val="0"/>
        </w:rPr>
        <w:fldChar w:fldCharType="end"/>
      </w:r>
      <w:r w:rsidR="0070585A" w:rsidRPr="00650EE4">
        <w:rPr>
          <w:noProof w:val="0"/>
        </w:rPr>
        <w:t xml:space="preserve"> lentelė</w:t>
      </w:r>
      <w:r w:rsidR="00365307" w:rsidRPr="00650EE4">
        <w:rPr>
          <w:noProof w:val="0"/>
        </w:rPr>
        <w:t xml:space="preserve">. </w:t>
      </w:r>
      <w:r w:rsidR="006302A5" w:rsidRPr="00650EE4">
        <w:rPr>
          <w:noProof w:val="0"/>
        </w:rPr>
        <w:t>Pastatų fondas pagal sienų medžiagiškumą (</w:t>
      </w:r>
      <w:r w:rsidR="00FB3A62" w:rsidRPr="00650EE4">
        <w:rPr>
          <w:noProof w:val="0"/>
        </w:rPr>
        <w:t>vnt.</w:t>
      </w:r>
      <w:r w:rsidR="006302A5" w:rsidRPr="00650EE4">
        <w:rPr>
          <w:noProof w:val="0"/>
        </w:rPr>
        <w:t>)</w:t>
      </w:r>
      <w:bookmarkEnd w:id="29"/>
    </w:p>
    <w:tbl>
      <w:tblPr>
        <w:tblW w:w="5000" w:type="pct"/>
        <w:tblLook w:val="04A0" w:firstRow="1" w:lastRow="0" w:firstColumn="1" w:lastColumn="0" w:noHBand="0" w:noVBand="1"/>
      </w:tblPr>
      <w:tblGrid>
        <w:gridCol w:w="2016"/>
        <w:gridCol w:w="1036"/>
        <w:gridCol w:w="1036"/>
        <w:gridCol w:w="1036"/>
        <w:gridCol w:w="1036"/>
        <w:gridCol w:w="1150"/>
        <w:gridCol w:w="1038"/>
        <w:gridCol w:w="1036"/>
        <w:gridCol w:w="1036"/>
      </w:tblGrid>
      <w:tr w:rsidR="00FD4ED3" w:rsidRPr="00650EE4" w14:paraId="4114822E" w14:textId="77777777" w:rsidTr="00EC68FF">
        <w:tc>
          <w:tcPr>
            <w:tcW w:w="96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2A1DBA6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3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1860240"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Sienų medžiagiškumas</w:t>
            </w:r>
          </w:p>
        </w:tc>
        <w:tc>
          <w:tcPr>
            <w:tcW w:w="497" w:type="pct"/>
            <w:vMerge w:val="restart"/>
            <w:tcBorders>
              <w:top w:val="single" w:sz="4" w:space="0" w:color="auto"/>
              <w:left w:val="nil"/>
              <w:bottom w:val="single" w:sz="4" w:space="0" w:color="000000"/>
              <w:right w:val="nil"/>
            </w:tcBorders>
            <w:shd w:val="clear" w:color="000000" w:fill="FFFFFF"/>
            <w:vAlign w:val="center"/>
            <w:hideMark/>
          </w:tcPr>
          <w:p w14:paraId="1D11277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24E93C"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D4ED3" w:rsidRPr="00650EE4" w14:paraId="235F200E" w14:textId="77777777" w:rsidTr="00EC68FF">
        <w:tc>
          <w:tcPr>
            <w:tcW w:w="968" w:type="pct"/>
            <w:vMerge/>
            <w:tcBorders>
              <w:top w:val="single" w:sz="4" w:space="0" w:color="auto"/>
              <w:left w:val="single" w:sz="4" w:space="0" w:color="auto"/>
              <w:bottom w:val="single" w:sz="4" w:space="0" w:color="000000"/>
              <w:right w:val="nil"/>
            </w:tcBorders>
            <w:vAlign w:val="center"/>
            <w:hideMark/>
          </w:tcPr>
          <w:p w14:paraId="4AD30151"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tcBorders>
              <w:top w:val="nil"/>
              <w:left w:val="single" w:sz="4" w:space="0" w:color="auto"/>
              <w:bottom w:val="single" w:sz="4" w:space="0" w:color="auto"/>
              <w:right w:val="nil"/>
            </w:tcBorders>
            <w:shd w:val="clear" w:color="000000" w:fill="FFFFFF"/>
            <w:vAlign w:val="center"/>
            <w:hideMark/>
          </w:tcPr>
          <w:p w14:paraId="1BE65BC4"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Plytų ir blokelių</w:t>
            </w:r>
          </w:p>
        </w:tc>
        <w:tc>
          <w:tcPr>
            <w:tcW w:w="497" w:type="pct"/>
            <w:tcBorders>
              <w:top w:val="nil"/>
              <w:left w:val="nil"/>
              <w:bottom w:val="single" w:sz="4" w:space="0" w:color="auto"/>
              <w:right w:val="nil"/>
            </w:tcBorders>
            <w:shd w:val="clear" w:color="000000" w:fill="FFFFFF"/>
            <w:vAlign w:val="center"/>
            <w:hideMark/>
          </w:tcPr>
          <w:p w14:paraId="6F5B31C9"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Gelžb</w:t>
            </w:r>
            <w:proofErr w:type="spellEnd"/>
            <w:r w:rsidRPr="00650EE4">
              <w:rPr>
                <w:rFonts w:ascii="Times New Roman" w:eastAsia="Times New Roman" w:hAnsi="Times New Roman"/>
                <w:b/>
                <w:bCs/>
                <w:sz w:val="20"/>
                <w:szCs w:val="20"/>
              </w:rPr>
              <w:t>. plokščių</w:t>
            </w:r>
          </w:p>
        </w:tc>
        <w:tc>
          <w:tcPr>
            <w:tcW w:w="497" w:type="pct"/>
            <w:tcBorders>
              <w:top w:val="nil"/>
              <w:left w:val="nil"/>
              <w:bottom w:val="single" w:sz="4" w:space="0" w:color="auto"/>
              <w:right w:val="nil"/>
            </w:tcBorders>
            <w:shd w:val="clear" w:color="000000" w:fill="FFFFFF"/>
            <w:vAlign w:val="center"/>
            <w:hideMark/>
          </w:tcPr>
          <w:p w14:paraId="1891E615"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Monolit</w:t>
            </w:r>
            <w:proofErr w:type="spellEnd"/>
            <w:r w:rsidRPr="00650EE4">
              <w:rPr>
                <w:rFonts w:ascii="Times New Roman" w:eastAsia="Times New Roman" w:hAnsi="Times New Roman"/>
                <w:b/>
                <w:bCs/>
                <w:sz w:val="20"/>
                <w:szCs w:val="20"/>
              </w:rPr>
              <w:t>. betono</w:t>
            </w:r>
          </w:p>
        </w:tc>
        <w:tc>
          <w:tcPr>
            <w:tcW w:w="497" w:type="pct"/>
            <w:tcBorders>
              <w:top w:val="nil"/>
              <w:left w:val="nil"/>
              <w:bottom w:val="single" w:sz="4" w:space="0" w:color="auto"/>
              <w:right w:val="nil"/>
            </w:tcBorders>
            <w:shd w:val="clear" w:color="000000" w:fill="FFFFFF"/>
            <w:vAlign w:val="center"/>
            <w:hideMark/>
          </w:tcPr>
          <w:p w14:paraId="3034630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Rąstų</w:t>
            </w:r>
            <w:r w:rsidRPr="00650EE4">
              <w:rPr>
                <w:rFonts w:ascii="Times New Roman" w:eastAsia="Times New Roman" w:hAnsi="Times New Roman"/>
                <w:sz w:val="20"/>
                <w:szCs w:val="20"/>
              </w:rPr>
              <w:t>  </w:t>
            </w:r>
          </w:p>
        </w:tc>
        <w:tc>
          <w:tcPr>
            <w:tcW w:w="552" w:type="pct"/>
            <w:tcBorders>
              <w:top w:val="nil"/>
              <w:left w:val="nil"/>
              <w:bottom w:val="single" w:sz="4" w:space="0" w:color="auto"/>
              <w:right w:val="nil"/>
            </w:tcBorders>
            <w:shd w:val="clear" w:color="000000" w:fill="FFFFFF"/>
            <w:vAlign w:val="center"/>
            <w:hideMark/>
          </w:tcPr>
          <w:p w14:paraId="64C90F76"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Fasadinės sistemos</w:t>
            </w:r>
          </w:p>
        </w:tc>
        <w:tc>
          <w:tcPr>
            <w:tcW w:w="497" w:type="pct"/>
            <w:tcBorders>
              <w:top w:val="nil"/>
              <w:left w:val="nil"/>
              <w:bottom w:val="single" w:sz="4" w:space="0" w:color="auto"/>
              <w:right w:val="single" w:sz="4" w:space="0" w:color="auto"/>
            </w:tcBorders>
            <w:shd w:val="clear" w:color="000000" w:fill="FFFFFF"/>
            <w:vAlign w:val="center"/>
            <w:hideMark/>
          </w:tcPr>
          <w:p w14:paraId="106319F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Kita</w:t>
            </w:r>
          </w:p>
        </w:tc>
        <w:tc>
          <w:tcPr>
            <w:tcW w:w="497" w:type="pct"/>
            <w:vMerge/>
            <w:tcBorders>
              <w:top w:val="single" w:sz="4" w:space="0" w:color="auto"/>
              <w:left w:val="nil"/>
              <w:bottom w:val="single" w:sz="4" w:space="0" w:color="000000"/>
              <w:right w:val="nil"/>
            </w:tcBorders>
            <w:vAlign w:val="center"/>
            <w:hideMark/>
          </w:tcPr>
          <w:p w14:paraId="44E86C2E"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238AEAD1" w14:textId="77777777" w:rsidR="00FD4ED3" w:rsidRPr="00650EE4" w:rsidRDefault="00FD4ED3" w:rsidP="00FD4ED3">
            <w:pPr>
              <w:spacing w:line="240" w:lineRule="auto"/>
              <w:rPr>
                <w:rFonts w:ascii="Times New Roman" w:eastAsia="Times New Roman" w:hAnsi="Times New Roman"/>
                <w:b/>
                <w:bCs/>
                <w:sz w:val="20"/>
                <w:szCs w:val="20"/>
              </w:rPr>
            </w:pPr>
          </w:p>
        </w:tc>
      </w:tr>
      <w:tr w:rsidR="00FD4ED3" w:rsidRPr="00650EE4" w14:paraId="680FE5FE" w14:textId="77777777" w:rsidTr="00EC68FF">
        <w:tc>
          <w:tcPr>
            <w:tcW w:w="968" w:type="pct"/>
            <w:tcBorders>
              <w:top w:val="nil"/>
              <w:left w:val="single" w:sz="4" w:space="0" w:color="auto"/>
              <w:bottom w:val="nil"/>
              <w:right w:val="nil"/>
            </w:tcBorders>
            <w:shd w:val="clear" w:color="000000" w:fill="F2F2F2"/>
            <w:noWrap/>
            <w:vAlign w:val="center"/>
            <w:hideMark/>
          </w:tcPr>
          <w:p w14:paraId="135D818B"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497" w:type="pct"/>
            <w:tcBorders>
              <w:top w:val="nil"/>
              <w:left w:val="single" w:sz="4" w:space="0" w:color="auto"/>
              <w:bottom w:val="nil"/>
              <w:right w:val="nil"/>
            </w:tcBorders>
            <w:shd w:val="clear" w:color="000000" w:fill="F2F2F2"/>
            <w:noWrap/>
            <w:vAlign w:val="center"/>
            <w:hideMark/>
          </w:tcPr>
          <w:p w14:paraId="053F7DC7"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257.320</w:t>
            </w:r>
          </w:p>
        </w:tc>
        <w:tc>
          <w:tcPr>
            <w:tcW w:w="497" w:type="pct"/>
            <w:tcBorders>
              <w:top w:val="nil"/>
              <w:left w:val="nil"/>
              <w:bottom w:val="nil"/>
              <w:right w:val="nil"/>
            </w:tcBorders>
            <w:shd w:val="clear" w:color="000000" w:fill="F2F2F2"/>
            <w:noWrap/>
            <w:vAlign w:val="center"/>
            <w:hideMark/>
          </w:tcPr>
          <w:p w14:paraId="6FC8EB52"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12.730</w:t>
            </w:r>
          </w:p>
        </w:tc>
        <w:tc>
          <w:tcPr>
            <w:tcW w:w="497" w:type="pct"/>
            <w:tcBorders>
              <w:top w:val="nil"/>
              <w:left w:val="nil"/>
              <w:bottom w:val="nil"/>
              <w:right w:val="nil"/>
            </w:tcBorders>
            <w:shd w:val="clear" w:color="000000" w:fill="F2F2F2"/>
            <w:noWrap/>
            <w:vAlign w:val="center"/>
            <w:hideMark/>
          </w:tcPr>
          <w:p w14:paraId="09F89331"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3.677</w:t>
            </w:r>
          </w:p>
        </w:tc>
        <w:tc>
          <w:tcPr>
            <w:tcW w:w="497" w:type="pct"/>
            <w:tcBorders>
              <w:top w:val="nil"/>
              <w:left w:val="nil"/>
              <w:bottom w:val="nil"/>
              <w:right w:val="nil"/>
            </w:tcBorders>
            <w:shd w:val="clear" w:color="000000" w:fill="F2F2F2"/>
            <w:noWrap/>
            <w:vAlign w:val="center"/>
            <w:hideMark/>
          </w:tcPr>
          <w:p w14:paraId="20336F95"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239.104</w:t>
            </w:r>
          </w:p>
        </w:tc>
        <w:tc>
          <w:tcPr>
            <w:tcW w:w="552" w:type="pct"/>
            <w:tcBorders>
              <w:top w:val="nil"/>
              <w:left w:val="nil"/>
              <w:bottom w:val="nil"/>
              <w:right w:val="nil"/>
            </w:tcBorders>
            <w:shd w:val="clear" w:color="000000" w:fill="F2F2F2"/>
            <w:noWrap/>
            <w:vAlign w:val="center"/>
            <w:hideMark/>
          </w:tcPr>
          <w:p w14:paraId="704C641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225</w:t>
            </w:r>
          </w:p>
        </w:tc>
        <w:tc>
          <w:tcPr>
            <w:tcW w:w="497" w:type="pct"/>
            <w:tcBorders>
              <w:top w:val="nil"/>
              <w:left w:val="nil"/>
              <w:bottom w:val="nil"/>
              <w:right w:val="single" w:sz="4" w:space="0" w:color="auto"/>
            </w:tcBorders>
            <w:shd w:val="clear" w:color="000000" w:fill="F2F2F2"/>
            <w:noWrap/>
            <w:vAlign w:val="center"/>
            <w:hideMark/>
          </w:tcPr>
          <w:p w14:paraId="3DA9CD8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57.457</w:t>
            </w:r>
          </w:p>
        </w:tc>
        <w:tc>
          <w:tcPr>
            <w:tcW w:w="497" w:type="pct"/>
            <w:tcBorders>
              <w:top w:val="nil"/>
              <w:left w:val="nil"/>
              <w:bottom w:val="nil"/>
              <w:right w:val="nil"/>
            </w:tcBorders>
            <w:shd w:val="clear" w:color="000000" w:fill="F2F2F2"/>
            <w:noWrap/>
            <w:vAlign w:val="center"/>
            <w:hideMark/>
          </w:tcPr>
          <w:p w14:paraId="363FA7C3"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570.513</w:t>
            </w:r>
          </w:p>
        </w:tc>
        <w:tc>
          <w:tcPr>
            <w:tcW w:w="497" w:type="pct"/>
            <w:tcBorders>
              <w:top w:val="nil"/>
              <w:left w:val="single" w:sz="4" w:space="0" w:color="auto"/>
              <w:bottom w:val="nil"/>
              <w:right w:val="single" w:sz="4" w:space="0" w:color="auto"/>
            </w:tcBorders>
            <w:shd w:val="clear" w:color="000000" w:fill="F2F2F2"/>
            <w:noWrap/>
            <w:vAlign w:val="center"/>
            <w:hideMark/>
          </w:tcPr>
          <w:p w14:paraId="4313C240"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FD4ED3" w:rsidRPr="00650EE4" w14:paraId="4455E7DA" w14:textId="77777777" w:rsidTr="00EC68FF">
        <w:tc>
          <w:tcPr>
            <w:tcW w:w="968" w:type="pct"/>
            <w:tcBorders>
              <w:top w:val="nil"/>
              <w:left w:val="single" w:sz="4" w:space="0" w:color="auto"/>
              <w:bottom w:val="nil"/>
              <w:right w:val="nil"/>
            </w:tcBorders>
            <w:shd w:val="clear" w:color="000000" w:fill="FFFFFF"/>
            <w:noWrap/>
            <w:vAlign w:val="center"/>
            <w:hideMark/>
          </w:tcPr>
          <w:p w14:paraId="44F72BD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97" w:type="pct"/>
            <w:tcBorders>
              <w:top w:val="nil"/>
              <w:left w:val="single" w:sz="4" w:space="0" w:color="auto"/>
              <w:bottom w:val="nil"/>
              <w:right w:val="nil"/>
            </w:tcBorders>
            <w:shd w:val="clear" w:color="000000" w:fill="FFFFFF"/>
            <w:noWrap/>
            <w:vAlign w:val="center"/>
            <w:hideMark/>
          </w:tcPr>
          <w:p w14:paraId="5958FC5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230.651</w:t>
            </w:r>
          </w:p>
        </w:tc>
        <w:tc>
          <w:tcPr>
            <w:tcW w:w="497" w:type="pct"/>
            <w:tcBorders>
              <w:top w:val="nil"/>
              <w:left w:val="nil"/>
              <w:bottom w:val="nil"/>
              <w:right w:val="nil"/>
            </w:tcBorders>
            <w:shd w:val="clear" w:color="000000" w:fill="FFFFFF"/>
            <w:noWrap/>
            <w:vAlign w:val="center"/>
            <w:hideMark/>
          </w:tcPr>
          <w:p w14:paraId="45D67D4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6.073</w:t>
            </w:r>
          </w:p>
        </w:tc>
        <w:tc>
          <w:tcPr>
            <w:tcW w:w="497" w:type="pct"/>
            <w:tcBorders>
              <w:top w:val="nil"/>
              <w:left w:val="nil"/>
              <w:bottom w:val="nil"/>
              <w:right w:val="nil"/>
            </w:tcBorders>
            <w:shd w:val="clear" w:color="000000" w:fill="FFFFFF"/>
            <w:noWrap/>
            <w:vAlign w:val="center"/>
            <w:hideMark/>
          </w:tcPr>
          <w:p w14:paraId="5090486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3.306</w:t>
            </w:r>
          </w:p>
        </w:tc>
        <w:tc>
          <w:tcPr>
            <w:tcW w:w="497" w:type="pct"/>
            <w:tcBorders>
              <w:top w:val="nil"/>
              <w:left w:val="nil"/>
              <w:bottom w:val="nil"/>
              <w:right w:val="nil"/>
            </w:tcBorders>
            <w:shd w:val="clear" w:color="000000" w:fill="FFFFFF"/>
            <w:noWrap/>
            <w:vAlign w:val="center"/>
            <w:hideMark/>
          </w:tcPr>
          <w:p w14:paraId="4A35B7A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233.226</w:t>
            </w:r>
          </w:p>
        </w:tc>
        <w:tc>
          <w:tcPr>
            <w:tcW w:w="552" w:type="pct"/>
            <w:tcBorders>
              <w:top w:val="nil"/>
              <w:left w:val="nil"/>
              <w:bottom w:val="nil"/>
              <w:right w:val="nil"/>
            </w:tcBorders>
            <w:shd w:val="clear" w:color="000000" w:fill="FFFFFF"/>
            <w:noWrap/>
            <w:vAlign w:val="center"/>
            <w:hideMark/>
          </w:tcPr>
          <w:p w14:paraId="09D3A2F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214</w:t>
            </w:r>
          </w:p>
        </w:tc>
        <w:tc>
          <w:tcPr>
            <w:tcW w:w="497" w:type="pct"/>
            <w:tcBorders>
              <w:top w:val="nil"/>
              <w:left w:val="nil"/>
              <w:bottom w:val="nil"/>
              <w:right w:val="single" w:sz="4" w:space="0" w:color="auto"/>
            </w:tcBorders>
            <w:shd w:val="clear" w:color="000000" w:fill="FFFFFF"/>
            <w:noWrap/>
            <w:vAlign w:val="center"/>
            <w:hideMark/>
          </w:tcPr>
          <w:p w14:paraId="1720A08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56.022</w:t>
            </w:r>
          </w:p>
        </w:tc>
        <w:tc>
          <w:tcPr>
            <w:tcW w:w="497" w:type="pct"/>
            <w:tcBorders>
              <w:top w:val="nil"/>
              <w:left w:val="nil"/>
              <w:bottom w:val="nil"/>
              <w:right w:val="nil"/>
            </w:tcBorders>
            <w:shd w:val="clear" w:color="000000" w:fill="FFFFFF"/>
            <w:noWrap/>
            <w:vAlign w:val="center"/>
            <w:hideMark/>
          </w:tcPr>
          <w:p w14:paraId="59BAFBA3"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497" w:type="pct"/>
            <w:tcBorders>
              <w:top w:val="nil"/>
              <w:left w:val="single" w:sz="4" w:space="0" w:color="auto"/>
              <w:bottom w:val="nil"/>
              <w:right w:val="single" w:sz="4" w:space="0" w:color="auto"/>
            </w:tcBorders>
            <w:shd w:val="clear" w:color="000000" w:fill="FFFFFF"/>
            <w:noWrap/>
            <w:vAlign w:val="center"/>
            <w:hideMark/>
          </w:tcPr>
          <w:p w14:paraId="7554769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FD4ED3" w:rsidRPr="00650EE4" w14:paraId="49B8D312" w14:textId="77777777" w:rsidTr="00EC68FF">
        <w:tc>
          <w:tcPr>
            <w:tcW w:w="968" w:type="pct"/>
            <w:tcBorders>
              <w:top w:val="nil"/>
              <w:left w:val="single" w:sz="4" w:space="0" w:color="auto"/>
              <w:bottom w:val="nil"/>
              <w:right w:val="nil"/>
            </w:tcBorders>
            <w:shd w:val="clear" w:color="000000" w:fill="FFFFFF"/>
            <w:noWrap/>
            <w:vAlign w:val="center"/>
            <w:hideMark/>
          </w:tcPr>
          <w:p w14:paraId="2EAC792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97" w:type="pct"/>
            <w:tcBorders>
              <w:top w:val="nil"/>
              <w:left w:val="single" w:sz="4" w:space="0" w:color="auto"/>
              <w:bottom w:val="nil"/>
              <w:right w:val="nil"/>
            </w:tcBorders>
            <w:shd w:val="clear" w:color="000000" w:fill="FFFFFF"/>
            <w:noWrap/>
            <w:vAlign w:val="center"/>
            <w:hideMark/>
          </w:tcPr>
          <w:p w14:paraId="29B18B2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26.669</w:t>
            </w:r>
          </w:p>
        </w:tc>
        <w:tc>
          <w:tcPr>
            <w:tcW w:w="497" w:type="pct"/>
            <w:tcBorders>
              <w:top w:val="nil"/>
              <w:left w:val="nil"/>
              <w:bottom w:val="nil"/>
              <w:right w:val="nil"/>
            </w:tcBorders>
            <w:shd w:val="clear" w:color="000000" w:fill="FFFFFF"/>
            <w:noWrap/>
            <w:vAlign w:val="center"/>
            <w:hideMark/>
          </w:tcPr>
          <w:p w14:paraId="1B349F9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6.657</w:t>
            </w:r>
          </w:p>
        </w:tc>
        <w:tc>
          <w:tcPr>
            <w:tcW w:w="497" w:type="pct"/>
            <w:tcBorders>
              <w:top w:val="nil"/>
              <w:left w:val="nil"/>
              <w:bottom w:val="nil"/>
              <w:right w:val="nil"/>
            </w:tcBorders>
            <w:shd w:val="clear" w:color="000000" w:fill="FFFFFF"/>
            <w:noWrap/>
            <w:vAlign w:val="center"/>
            <w:hideMark/>
          </w:tcPr>
          <w:p w14:paraId="4CDBAC8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371</w:t>
            </w:r>
          </w:p>
        </w:tc>
        <w:tc>
          <w:tcPr>
            <w:tcW w:w="497" w:type="pct"/>
            <w:tcBorders>
              <w:top w:val="nil"/>
              <w:left w:val="nil"/>
              <w:bottom w:val="nil"/>
              <w:right w:val="nil"/>
            </w:tcBorders>
            <w:shd w:val="clear" w:color="000000" w:fill="FFFFFF"/>
            <w:noWrap/>
            <w:vAlign w:val="center"/>
            <w:hideMark/>
          </w:tcPr>
          <w:p w14:paraId="2276081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5.878</w:t>
            </w:r>
          </w:p>
        </w:tc>
        <w:tc>
          <w:tcPr>
            <w:tcW w:w="552" w:type="pct"/>
            <w:tcBorders>
              <w:top w:val="nil"/>
              <w:left w:val="nil"/>
              <w:bottom w:val="nil"/>
              <w:right w:val="nil"/>
            </w:tcBorders>
            <w:shd w:val="clear" w:color="000000" w:fill="FFFFFF"/>
            <w:noWrap/>
            <w:vAlign w:val="center"/>
            <w:hideMark/>
          </w:tcPr>
          <w:p w14:paraId="25202BE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97" w:type="pct"/>
            <w:tcBorders>
              <w:top w:val="nil"/>
              <w:left w:val="nil"/>
              <w:bottom w:val="nil"/>
              <w:right w:val="single" w:sz="4" w:space="0" w:color="auto"/>
            </w:tcBorders>
            <w:shd w:val="clear" w:color="000000" w:fill="FFFFFF"/>
            <w:noWrap/>
            <w:vAlign w:val="center"/>
            <w:hideMark/>
          </w:tcPr>
          <w:p w14:paraId="5E41DBF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1.435</w:t>
            </w:r>
          </w:p>
        </w:tc>
        <w:tc>
          <w:tcPr>
            <w:tcW w:w="497" w:type="pct"/>
            <w:tcBorders>
              <w:top w:val="nil"/>
              <w:left w:val="nil"/>
              <w:bottom w:val="nil"/>
              <w:right w:val="nil"/>
            </w:tcBorders>
            <w:shd w:val="clear" w:color="000000" w:fill="FFFFFF"/>
            <w:noWrap/>
            <w:vAlign w:val="center"/>
            <w:hideMark/>
          </w:tcPr>
          <w:p w14:paraId="1FA08DC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497" w:type="pct"/>
            <w:tcBorders>
              <w:top w:val="nil"/>
              <w:left w:val="single" w:sz="4" w:space="0" w:color="auto"/>
              <w:bottom w:val="nil"/>
              <w:right w:val="single" w:sz="4" w:space="0" w:color="auto"/>
            </w:tcBorders>
            <w:shd w:val="clear" w:color="000000" w:fill="FFFFFF"/>
            <w:noWrap/>
            <w:vAlign w:val="center"/>
            <w:hideMark/>
          </w:tcPr>
          <w:p w14:paraId="6D6B556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FD4ED3" w:rsidRPr="00650EE4" w14:paraId="58721F00" w14:textId="77777777" w:rsidTr="00EC68FF">
        <w:tc>
          <w:tcPr>
            <w:tcW w:w="968" w:type="pct"/>
            <w:tcBorders>
              <w:top w:val="single" w:sz="4" w:space="0" w:color="auto"/>
              <w:left w:val="single" w:sz="4" w:space="0" w:color="auto"/>
              <w:bottom w:val="nil"/>
              <w:right w:val="nil"/>
            </w:tcBorders>
            <w:shd w:val="clear" w:color="000000" w:fill="F2F2F2"/>
            <w:noWrap/>
            <w:vAlign w:val="center"/>
            <w:hideMark/>
          </w:tcPr>
          <w:p w14:paraId="52863447"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497" w:type="pct"/>
            <w:tcBorders>
              <w:top w:val="single" w:sz="4" w:space="0" w:color="auto"/>
              <w:left w:val="single" w:sz="4" w:space="0" w:color="auto"/>
              <w:bottom w:val="nil"/>
              <w:right w:val="nil"/>
            </w:tcBorders>
            <w:shd w:val="clear" w:color="000000" w:fill="F2F2F2"/>
            <w:noWrap/>
            <w:vAlign w:val="center"/>
            <w:hideMark/>
          </w:tcPr>
          <w:p w14:paraId="0190605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59.894</w:t>
            </w:r>
          </w:p>
        </w:tc>
        <w:tc>
          <w:tcPr>
            <w:tcW w:w="497" w:type="pct"/>
            <w:tcBorders>
              <w:top w:val="single" w:sz="4" w:space="0" w:color="auto"/>
              <w:left w:val="nil"/>
              <w:bottom w:val="nil"/>
              <w:right w:val="nil"/>
            </w:tcBorders>
            <w:shd w:val="clear" w:color="000000" w:fill="F2F2F2"/>
            <w:noWrap/>
            <w:vAlign w:val="center"/>
            <w:hideMark/>
          </w:tcPr>
          <w:p w14:paraId="1ACD77B9"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7.976</w:t>
            </w:r>
          </w:p>
        </w:tc>
        <w:tc>
          <w:tcPr>
            <w:tcW w:w="497" w:type="pct"/>
            <w:tcBorders>
              <w:top w:val="single" w:sz="4" w:space="0" w:color="auto"/>
              <w:left w:val="nil"/>
              <w:bottom w:val="nil"/>
              <w:right w:val="nil"/>
            </w:tcBorders>
            <w:shd w:val="clear" w:color="000000" w:fill="F2F2F2"/>
            <w:noWrap/>
            <w:vAlign w:val="center"/>
            <w:hideMark/>
          </w:tcPr>
          <w:p w14:paraId="5776C6E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908</w:t>
            </w:r>
          </w:p>
        </w:tc>
        <w:tc>
          <w:tcPr>
            <w:tcW w:w="497" w:type="pct"/>
            <w:tcBorders>
              <w:top w:val="single" w:sz="4" w:space="0" w:color="auto"/>
              <w:left w:val="nil"/>
              <w:bottom w:val="nil"/>
              <w:right w:val="nil"/>
            </w:tcBorders>
            <w:shd w:val="clear" w:color="000000" w:fill="F2F2F2"/>
            <w:noWrap/>
            <w:vAlign w:val="center"/>
            <w:hideMark/>
          </w:tcPr>
          <w:p w14:paraId="02BA6BD3"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4.113</w:t>
            </w:r>
          </w:p>
        </w:tc>
        <w:tc>
          <w:tcPr>
            <w:tcW w:w="552" w:type="pct"/>
            <w:tcBorders>
              <w:top w:val="single" w:sz="4" w:space="0" w:color="auto"/>
              <w:left w:val="nil"/>
              <w:bottom w:val="nil"/>
              <w:right w:val="nil"/>
            </w:tcBorders>
            <w:shd w:val="clear" w:color="000000" w:fill="F2F2F2"/>
            <w:noWrap/>
            <w:vAlign w:val="center"/>
            <w:hideMark/>
          </w:tcPr>
          <w:p w14:paraId="44C720D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8.488</w:t>
            </w:r>
          </w:p>
        </w:tc>
        <w:tc>
          <w:tcPr>
            <w:tcW w:w="497" w:type="pct"/>
            <w:tcBorders>
              <w:top w:val="single" w:sz="4" w:space="0" w:color="auto"/>
              <w:left w:val="nil"/>
              <w:bottom w:val="nil"/>
              <w:right w:val="single" w:sz="4" w:space="0" w:color="auto"/>
            </w:tcBorders>
            <w:shd w:val="clear" w:color="000000" w:fill="F2F2F2"/>
            <w:noWrap/>
            <w:vAlign w:val="center"/>
            <w:hideMark/>
          </w:tcPr>
          <w:p w14:paraId="2644CCBA"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9.391</w:t>
            </w:r>
          </w:p>
        </w:tc>
        <w:tc>
          <w:tcPr>
            <w:tcW w:w="497" w:type="pct"/>
            <w:tcBorders>
              <w:top w:val="single" w:sz="4" w:space="0" w:color="auto"/>
              <w:left w:val="nil"/>
              <w:bottom w:val="nil"/>
              <w:right w:val="nil"/>
            </w:tcBorders>
            <w:shd w:val="clear" w:color="000000" w:fill="F2F2F2"/>
            <w:noWrap/>
            <w:vAlign w:val="center"/>
            <w:hideMark/>
          </w:tcPr>
          <w:p w14:paraId="386ED18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90.770</w:t>
            </w:r>
          </w:p>
        </w:tc>
        <w:tc>
          <w:tcPr>
            <w:tcW w:w="497" w:type="pct"/>
            <w:tcBorders>
              <w:top w:val="single" w:sz="4" w:space="0" w:color="auto"/>
              <w:left w:val="single" w:sz="4" w:space="0" w:color="auto"/>
              <w:bottom w:val="nil"/>
              <w:right w:val="single" w:sz="4" w:space="0" w:color="auto"/>
            </w:tcBorders>
            <w:shd w:val="clear" w:color="000000" w:fill="F2F2F2"/>
            <w:noWrap/>
            <w:vAlign w:val="center"/>
            <w:hideMark/>
          </w:tcPr>
          <w:p w14:paraId="0E68758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FD4ED3" w:rsidRPr="00650EE4" w14:paraId="33387276" w14:textId="77777777" w:rsidTr="00EC68FF">
        <w:tc>
          <w:tcPr>
            <w:tcW w:w="968" w:type="pct"/>
            <w:tcBorders>
              <w:top w:val="nil"/>
              <w:left w:val="single" w:sz="4" w:space="0" w:color="auto"/>
              <w:bottom w:val="nil"/>
              <w:right w:val="nil"/>
            </w:tcBorders>
            <w:shd w:val="clear" w:color="000000" w:fill="FFFFFF"/>
            <w:noWrap/>
            <w:vAlign w:val="center"/>
            <w:hideMark/>
          </w:tcPr>
          <w:p w14:paraId="2D1C241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97" w:type="pct"/>
            <w:tcBorders>
              <w:top w:val="nil"/>
              <w:left w:val="single" w:sz="4" w:space="0" w:color="auto"/>
              <w:bottom w:val="nil"/>
              <w:right w:val="nil"/>
            </w:tcBorders>
            <w:shd w:val="clear" w:color="000000" w:fill="FFFFFF"/>
            <w:noWrap/>
            <w:vAlign w:val="center"/>
            <w:hideMark/>
          </w:tcPr>
          <w:p w14:paraId="2BA2093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33.029</w:t>
            </w:r>
          </w:p>
        </w:tc>
        <w:tc>
          <w:tcPr>
            <w:tcW w:w="497" w:type="pct"/>
            <w:tcBorders>
              <w:top w:val="nil"/>
              <w:left w:val="nil"/>
              <w:bottom w:val="nil"/>
              <w:right w:val="nil"/>
            </w:tcBorders>
            <w:shd w:val="clear" w:color="000000" w:fill="FFFFFF"/>
            <w:noWrap/>
            <w:vAlign w:val="center"/>
            <w:hideMark/>
          </w:tcPr>
          <w:p w14:paraId="02490C1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4.779</w:t>
            </w:r>
          </w:p>
        </w:tc>
        <w:tc>
          <w:tcPr>
            <w:tcW w:w="497" w:type="pct"/>
            <w:tcBorders>
              <w:top w:val="nil"/>
              <w:left w:val="nil"/>
              <w:bottom w:val="nil"/>
              <w:right w:val="nil"/>
            </w:tcBorders>
            <w:shd w:val="clear" w:color="000000" w:fill="FFFFFF"/>
            <w:noWrap/>
            <w:vAlign w:val="center"/>
            <w:hideMark/>
          </w:tcPr>
          <w:p w14:paraId="4761277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494</w:t>
            </w:r>
          </w:p>
        </w:tc>
        <w:tc>
          <w:tcPr>
            <w:tcW w:w="497" w:type="pct"/>
            <w:tcBorders>
              <w:top w:val="nil"/>
              <w:left w:val="nil"/>
              <w:bottom w:val="nil"/>
              <w:right w:val="nil"/>
            </w:tcBorders>
            <w:shd w:val="clear" w:color="000000" w:fill="FFFFFF"/>
            <w:noWrap/>
            <w:vAlign w:val="center"/>
            <w:hideMark/>
          </w:tcPr>
          <w:p w14:paraId="7533F6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708</w:t>
            </w:r>
          </w:p>
        </w:tc>
        <w:tc>
          <w:tcPr>
            <w:tcW w:w="552" w:type="pct"/>
            <w:tcBorders>
              <w:top w:val="nil"/>
              <w:left w:val="nil"/>
              <w:bottom w:val="nil"/>
              <w:right w:val="nil"/>
            </w:tcBorders>
            <w:shd w:val="clear" w:color="000000" w:fill="FFFFFF"/>
            <w:noWrap/>
            <w:vAlign w:val="center"/>
            <w:hideMark/>
          </w:tcPr>
          <w:p w14:paraId="6571FCF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6.051</w:t>
            </w:r>
          </w:p>
        </w:tc>
        <w:tc>
          <w:tcPr>
            <w:tcW w:w="497" w:type="pct"/>
            <w:tcBorders>
              <w:top w:val="nil"/>
              <w:left w:val="nil"/>
              <w:bottom w:val="nil"/>
              <w:right w:val="single" w:sz="4" w:space="0" w:color="auto"/>
            </w:tcBorders>
            <w:shd w:val="clear" w:color="000000" w:fill="FFFFFF"/>
            <w:noWrap/>
            <w:vAlign w:val="center"/>
            <w:hideMark/>
          </w:tcPr>
          <w:p w14:paraId="6102D0A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3.714</w:t>
            </w:r>
          </w:p>
        </w:tc>
        <w:tc>
          <w:tcPr>
            <w:tcW w:w="497" w:type="pct"/>
            <w:tcBorders>
              <w:top w:val="nil"/>
              <w:left w:val="nil"/>
              <w:bottom w:val="nil"/>
              <w:right w:val="nil"/>
            </w:tcBorders>
            <w:shd w:val="clear" w:color="000000" w:fill="FFFFFF"/>
            <w:noWrap/>
            <w:vAlign w:val="center"/>
            <w:hideMark/>
          </w:tcPr>
          <w:p w14:paraId="440C25C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497" w:type="pct"/>
            <w:tcBorders>
              <w:top w:val="nil"/>
              <w:left w:val="single" w:sz="4" w:space="0" w:color="auto"/>
              <w:bottom w:val="nil"/>
              <w:right w:val="single" w:sz="4" w:space="0" w:color="auto"/>
            </w:tcBorders>
            <w:shd w:val="clear" w:color="000000" w:fill="FFFFFF"/>
            <w:noWrap/>
            <w:vAlign w:val="center"/>
            <w:hideMark/>
          </w:tcPr>
          <w:p w14:paraId="2111641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FD4ED3" w:rsidRPr="00650EE4" w14:paraId="446119C4" w14:textId="77777777" w:rsidTr="00EC68FF">
        <w:tc>
          <w:tcPr>
            <w:tcW w:w="968" w:type="pct"/>
            <w:tcBorders>
              <w:top w:val="nil"/>
              <w:left w:val="single" w:sz="4" w:space="0" w:color="auto"/>
              <w:bottom w:val="nil"/>
              <w:right w:val="nil"/>
            </w:tcBorders>
            <w:shd w:val="clear" w:color="000000" w:fill="FFFFFF"/>
            <w:noWrap/>
            <w:vAlign w:val="center"/>
            <w:hideMark/>
          </w:tcPr>
          <w:p w14:paraId="178BD8A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97" w:type="pct"/>
            <w:tcBorders>
              <w:top w:val="nil"/>
              <w:left w:val="single" w:sz="4" w:space="0" w:color="auto"/>
              <w:bottom w:val="nil"/>
              <w:right w:val="nil"/>
            </w:tcBorders>
            <w:shd w:val="clear" w:color="000000" w:fill="FFFFFF"/>
            <w:noWrap/>
            <w:vAlign w:val="center"/>
            <w:hideMark/>
          </w:tcPr>
          <w:p w14:paraId="6B02886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8.289</w:t>
            </w:r>
          </w:p>
        </w:tc>
        <w:tc>
          <w:tcPr>
            <w:tcW w:w="497" w:type="pct"/>
            <w:tcBorders>
              <w:top w:val="nil"/>
              <w:left w:val="nil"/>
              <w:bottom w:val="nil"/>
              <w:right w:val="nil"/>
            </w:tcBorders>
            <w:shd w:val="clear" w:color="000000" w:fill="FFFFFF"/>
            <w:noWrap/>
            <w:vAlign w:val="center"/>
            <w:hideMark/>
          </w:tcPr>
          <w:p w14:paraId="5B38CC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814</w:t>
            </w:r>
          </w:p>
        </w:tc>
        <w:tc>
          <w:tcPr>
            <w:tcW w:w="497" w:type="pct"/>
            <w:tcBorders>
              <w:top w:val="nil"/>
              <w:left w:val="nil"/>
              <w:bottom w:val="nil"/>
              <w:right w:val="nil"/>
            </w:tcBorders>
            <w:shd w:val="clear" w:color="000000" w:fill="FFFFFF"/>
            <w:noWrap/>
            <w:vAlign w:val="center"/>
            <w:hideMark/>
          </w:tcPr>
          <w:p w14:paraId="2CF85AA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497" w:type="pct"/>
            <w:tcBorders>
              <w:top w:val="nil"/>
              <w:left w:val="nil"/>
              <w:bottom w:val="nil"/>
              <w:right w:val="nil"/>
            </w:tcBorders>
            <w:shd w:val="clear" w:color="000000" w:fill="FFFFFF"/>
            <w:noWrap/>
            <w:vAlign w:val="center"/>
            <w:hideMark/>
          </w:tcPr>
          <w:p w14:paraId="4EBA62E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w:t>
            </w:r>
          </w:p>
        </w:tc>
        <w:tc>
          <w:tcPr>
            <w:tcW w:w="552" w:type="pct"/>
            <w:tcBorders>
              <w:top w:val="nil"/>
              <w:left w:val="nil"/>
              <w:bottom w:val="nil"/>
              <w:right w:val="nil"/>
            </w:tcBorders>
            <w:shd w:val="clear" w:color="000000" w:fill="FFFFFF"/>
            <w:noWrap/>
            <w:vAlign w:val="center"/>
            <w:hideMark/>
          </w:tcPr>
          <w:p w14:paraId="5F72090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313</w:t>
            </w:r>
          </w:p>
        </w:tc>
        <w:tc>
          <w:tcPr>
            <w:tcW w:w="497" w:type="pct"/>
            <w:tcBorders>
              <w:top w:val="nil"/>
              <w:left w:val="nil"/>
              <w:bottom w:val="nil"/>
              <w:right w:val="single" w:sz="4" w:space="0" w:color="auto"/>
            </w:tcBorders>
            <w:shd w:val="clear" w:color="000000" w:fill="FFFFFF"/>
            <w:noWrap/>
            <w:vAlign w:val="center"/>
            <w:hideMark/>
          </w:tcPr>
          <w:p w14:paraId="34D0E66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460</w:t>
            </w:r>
          </w:p>
        </w:tc>
        <w:tc>
          <w:tcPr>
            <w:tcW w:w="497" w:type="pct"/>
            <w:tcBorders>
              <w:top w:val="nil"/>
              <w:left w:val="nil"/>
              <w:bottom w:val="nil"/>
              <w:right w:val="nil"/>
            </w:tcBorders>
            <w:shd w:val="clear" w:color="000000" w:fill="FFFFFF"/>
            <w:noWrap/>
            <w:vAlign w:val="center"/>
            <w:hideMark/>
          </w:tcPr>
          <w:p w14:paraId="4D22B76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497" w:type="pct"/>
            <w:tcBorders>
              <w:top w:val="nil"/>
              <w:left w:val="single" w:sz="4" w:space="0" w:color="auto"/>
              <w:bottom w:val="nil"/>
              <w:right w:val="single" w:sz="4" w:space="0" w:color="auto"/>
            </w:tcBorders>
            <w:shd w:val="clear" w:color="000000" w:fill="FFFFFF"/>
            <w:noWrap/>
            <w:vAlign w:val="center"/>
            <w:hideMark/>
          </w:tcPr>
          <w:p w14:paraId="47E2018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FD4ED3" w:rsidRPr="00650EE4" w14:paraId="034FF784" w14:textId="77777777" w:rsidTr="00EC68FF">
        <w:tc>
          <w:tcPr>
            <w:tcW w:w="968" w:type="pct"/>
            <w:tcBorders>
              <w:top w:val="nil"/>
              <w:left w:val="single" w:sz="4" w:space="0" w:color="auto"/>
              <w:bottom w:val="nil"/>
              <w:right w:val="nil"/>
            </w:tcBorders>
            <w:shd w:val="clear" w:color="000000" w:fill="FFFFFF"/>
            <w:noWrap/>
            <w:vAlign w:val="center"/>
            <w:hideMark/>
          </w:tcPr>
          <w:p w14:paraId="5C2654D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97" w:type="pct"/>
            <w:tcBorders>
              <w:top w:val="nil"/>
              <w:left w:val="single" w:sz="4" w:space="0" w:color="auto"/>
              <w:bottom w:val="nil"/>
              <w:right w:val="nil"/>
            </w:tcBorders>
            <w:shd w:val="clear" w:color="000000" w:fill="FFFFFF"/>
            <w:noWrap/>
            <w:vAlign w:val="center"/>
            <w:hideMark/>
          </w:tcPr>
          <w:p w14:paraId="459261E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3.057</w:t>
            </w:r>
          </w:p>
        </w:tc>
        <w:tc>
          <w:tcPr>
            <w:tcW w:w="497" w:type="pct"/>
            <w:tcBorders>
              <w:top w:val="nil"/>
              <w:left w:val="nil"/>
              <w:bottom w:val="nil"/>
              <w:right w:val="nil"/>
            </w:tcBorders>
            <w:shd w:val="clear" w:color="000000" w:fill="FFFFFF"/>
            <w:noWrap/>
            <w:vAlign w:val="center"/>
            <w:hideMark/>
          </w:tcPr>
          <w:p w14:paraId="1BC2969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1.039</w:t>
            </w:r>
          </w:p>
        </w:tc>
        <w:tc>
          <w:tcPr>
            <w:tcW w:w="497" w:type="pct"/>
            <w:tcBorders>
              <w:top w:val="nil"/>
              <w:left w:val="nil"/>
              <w:bottom w:val="nil"/>
              <w:right w:val="nil"/>
            </w:tcBorders>
            <w:shd w:val="clear" w:color="000000" w:fill="FFFFFF"/>
            <w:noWrap/>
            <w:vAlign w:val="center"/>
            <w:hideMark/>
          </w:tcPr>
          <w:p w14:paraId="1316DC4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497" w:type="pct"/>
            <w:tcBorders>
              <w:top w:val="nil"/>
              <w:left w:val="nil"/>
              <w:bottom w:val="nil"/>
              <w:right w:val="nil"/>
            </w:tcBorders>
            <w:shd w:val="clear" w:color="000000" w:fill="FFFFFF"/>
            <w:noWrap/>
            <w:vAlign w:val="center"/>
            <w:hideMark/>
          </w:tcPr>
          <w:p w14:paraId="6F0D014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403</w:t>
            </w:r>
          </w:p>
        </w:tc>
        <w:tc>
          <w:tcPr>
            <w:tcW w:w="552" w:type="pct"/>
            <w:tcBorders>
              <w:top w:val="nil"/>
              <w:left w:val="nil"/>
              <w:bottom w:val="nil"/>
              <w:right w:val="nil"/>
            </w:tcBorders>
            <w:shd w:val="clear" w:color="000000" w:fill="FFFFFF"/>
            <w:noWrap/>
            <w:vAlign w:val="center"/>
            <w:hideMark/>
          </w:tcPr>
          <w:p w14:paraId="60F611A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497" w:type="pct"/>
            <w:tcBorders>
              <w:top w:val="nil"/>
              <w:left w:val="nil"/>
              <w:bottom w:val="nil"/>
              <w:right w:val="single" w:sz="4" w:space="0" w:color="auto"/>
            </w:tcBorders>
            <w:shd w:val="clear" w:color="000000" w:fill="FFFFFF"/>
            <w:noWrap/>
            <w:vAlign w:val="center"/>
            <w:hideMark/>
          </w:tcPr>
          <w:p w14:paraId="5B10E57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135</w:t>
            </w:r>
          </w:p>
        </w:tc>
        <w:tc>
          <w:tcPr>
            <w:tcW w:w="497" w:type="pct"/>
            <w:tcBorders>
              <w:top w:val="nil"/>
              <w:left w:val="nil"/>
              <w:bottom w:val="nil"/>
              <w:right w:val="nil"/>
            </w:tcBorders>
            <w:shd w:val="clear" w:color="000000" w:fill="FFFFFF"/>
            <w:noWrap/>
            <w:vAlign w:val="center"/>
            <w:hideMark/>
          </w:tcPr>
          <w:p w14:paraId="323F512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497" w:type="pct"/>
            <w:tcBorders>
              <w:top w:val="nil"/>
              <w:left w:val="single" w:sz="4" w:space="0" w:color="auto"/>
              <w:bottom w:val="nil"/>
              <w:right w:val="single" w:sz="4" w:space="0" w:color="auto"/>
            </w:tcBorders>
            <w:shd w:val="clear" w:color="000000" w:fill="FFFFFF"/>
            <w:noWrap/>
            <w:vAlign w:val="center"/>
            <w:hideMark/>
          </w:tcPr>
          <w:p w14:paraId="421A3AD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w:t>
            </w:r>
          </w:p>
        </w:tc>
      </w:tr>
      <w:tr w:rsidR="00FD4ED3" w:rsidRPr="00650EE4" w14:paraId="32B8C5A1" w14:textId="77777777" w:rsidTr="00EC68FF">
        <w:tc>
          <w:tcPr>
            <w:tcW w:w="968" w:type="pct"/>
            <w:tcBorders>
              <w:top w:val="nil"/>
              <w:left w:val="single" w:sz="4" w:space="0" w:color="auto"/>
              <w:bottom w:val="nil"/>
              <w:right w:val="nil"/>
            </w:tcBorders>
            <w:shd w:val="clear" w:color="000000" w:fill="FFFFFF"/>
            <w:noWrap/>
            <w:vAlign w:val="center"/>
            <w:hideMark/>
          </w:tcPr>
          <w:p w14:paraId="2DD73947"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97" w:type="pct"/>
            <w:tcBorders>
              <w:top w:val="nil"/>
              <w:left w:val="single" w:sz="4" w:space="0" w:color="auto"/>
              <w:bottom w:val="nil"/>
              <w:right w:val="nil"/>
            </w:tcBorders>
            <w:shd w:val="clear" w:color="000000" w:fill="FFFFFF"/>
            <w:noWrap/>
            <w:vAlign w:val="center"/>
            <w:hideMark/>
          </w:tcPr>
          <w:p w14:paraId="34BD26B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5.126</w:t>
            </w:r>
          </w:p>
        </w:tc>
        <w:tc>
          <w:tcPr>
            <w:tcW w:w="497" w:type="pct"/>
            <w:tcBorders>
              <w:top w:val="nil"/>
              <w:left w:val="nil"/>
              <w:bottom w:val="nil"/>
              <w:right w:val="nil"/>
            </w:tcBorders>
            <w:shd w:val="clear" w:color="000000" w:fill="FFFFFF"/>
            <w:noWrap/>
            <w:vAlign w:val="center"/>
            <w:hideMark/>
          </w:tcPr>
          <w:p w14:paraId="57834E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768</w:t>
            </w:r>
          </w:p>
        </w:tc>
        <w:tc>
          <w:tcPr>
            <w:tcW w:w="497" w:type="pct"/>
            <w:tcBorders>
              <w:top w:val="nil"/>
              <w:left w:val="nil"/>
              <w:bottom w:val="nil"/>
              <w:right w:val="nil"/>
            </w:tcBorders>
            <w:shd w:val="clear" w:color="000000" w:fill="FFFFFF"/>
            <w:noWrap/>
            <w:vAlign w:val="center"/>
            <w:hideMark/>
          </w:tcPr>
          <w:p w14:paraId="63579BC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497" w:type="pct"/>
            <w:tcBorders>
              <w:top w:val="nil"/>
              <w:left w:val="nil"/>
              <w:bottom w:val="nil"/>
              <w:right w:val="nil"/>
            </w:tcBorders>
            <w:shd w:val="clear" w:color="000000" w:fill="FFFFFF"/>
            <w:noWrap/>
            <w:vAlign w:val="center"/>
            <w:hideMark/>
          </w:tcPr>
          <w:p w14:paraId="32FEF4F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433</w:t>
            </w:r>
          </w:p>
        </w:tc>
        <w:tc>
          <w:tcPr>
            <w:tcW w:w="552" w:type="pct"/>
            <w:tcBorders>
              <w:top w:val="nil"/>
              <w:left w:val="nil"/>
              <w:bottom w:val="nil"/>
              <w:right w:val="nil"/>
            </w:tcBorders>
            <w:shd w:val="clear" w:color="000000" w:fill="FFFFFF"/>
            <w:noWrap/>
            <w:vAlign w:val="center"/>
            <w:hideMark/>
          </w:tcPr>
          <w:p w14:paraId="7A083D8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1.338</w:t>
            </w:r>
          </w:p>
        </w:tc>
        <w:tc>
          <w:tcPr>
            <w:tcW w:w="497" w:type="pct"/>
            <w:tcBorders>
              <w:top w:val="nil"/>
              <w:left w:val="nil"/>
              <w:bottom w:val="nil"/>
              <w:right w:val="single" w:sz="4" w:space="0" w:color="auto"/>
            </w:tcBorders>
            <w:shd w:val="clear" w:color="000000" w:fill="FFFFFF"/>
            <w:noWrap/>
            <w:vAlign w:val="center"/>
            <w:hideMark/>
          </w:tcPr>
          <w:p w14:paraId="292D852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1.031</w:t>
            </w:r>
          </w:p>
        </w:tc>
        <w:tc>
          <w:tcPr>
            <w:tcW w:w="497" w:type="pct"/>
            <w:tcBorders>
              <w:top w:val="nil"/>
              <w:left w:val="nil"/>
              <w:bottom w:val="nil"/>
              <w:right w:val="nil"/>
            </w:tcBorders>
            <w:shd w:val="clear" w:color="000000" w:fill="FFFFFF"/>
            <w:noWrap/>
            <w:vAlign w:val="center"/>
            <w:hideMark/>
          </w:tcPr>
          <w:p w14:paraId="52597DE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497" w:type="pct"/>
            <w:tcBorders>
              <w:top w:val="nil"/>
              <w:left w:val="single" w:sz="4" w:space="0" w:color="auto"/>
              <w:bottom w:val="nil"/>
              <w:right w:val="single" w:sz="4" w:space="0" w:color="auto"/>
            </w:tcBorders>
            <w:shd w:val="clear" w:color="000000" w:fill="FFFFFF"/>
            <w:noWrap/>
            <w:vAlign w:val="center"/>
            <w:hideMark/>
          </w:tcPr>
          <w:p w14:paraId="4E411B1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FD4ED3" w:rsidRPr="00650EE4" w14:paraId="2E2377F5" w14:textId="77777777" w:rsidTr="00EC68FF">
        <w:tc>
          <w:tcPr>
            <w:tcW w:w="968" w:type="pct"/>
            <w:tcBorders>
              <w:top w:val="nil"/>
              <w:left w:val="single" w:sz="4" w:space="0" w:color="auto"/>
              <w:bottom w:val="nil"/>
              <w:right w:val="nil"/>
            </w:tcBorders>
            <w:shd w:val="clear" w:color="000000" w:fill="FFFFFF"/>
            <w:noWrap/>
            <w:vAlign w:val="center"/>
            <w:hideMark/>
          </w:tcPr>
          <w:p w14:paraId="75827286"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97" w:type="pct"/>
            <w:tcBorders>
              <w:top w:val="nil"/>
              <w:left w:val="single" w:sz="4" w:space="0" w:color="auto"/>
              <w:bottom w:val="nil"/>
              <w:right w:val="nil"/>
            </w:tcBorders>
            <w:shd w:val="clear" w:color="000000" w:fill="FFFFFF"/>
            <w:noWrap/>
            <w:vAlign w:val="center"/>
            <w:hideMark/>
          </w:tcPr>
          <w:p w14:paraId="287071F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1.477</w:t>
            </w:r>
          </w:p>
        </w:tc>
        <w:tc>
          <w:tcPr>
            <w:tcW w:w="497" w:type="pct"/>
            <w:tcBorders>
              <w:top w:val="nil"/>
              <w:left w:val="nil"/>
              <w:bottom w:val="nil"/>
              <w:right w:val="nil"/>
            </w:tcBorders>
            <w:shd w:val="clear" w:color="000000" w:fill="FFFFFF"/>
            <w:noWrap/>
            <w:vAlign w:val="center"/>
            <w:hideMark/>
          </w:tcPr>
          <w:p w14:paraId="7CD20C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497" w:type="pct"/>
            <w:tcBorders>
              <w:top w:val="nil"/>
              <w:left w:val="nil"/>
              <w:bottom w:val="nil"/>
              <w:right w:val="nil"/>
            </w:tcBorders>
            <w:shd w:val="clear" w:color="000000" w:fill="FFFFFF"/>
            <w:noWrap/>
            <w:vAlign w:val="center"/>
            <w:hideMark/>
          </w:tcPr>
          <w:p w14:paraId="2126C0F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7" w:type="pct"/>
            <w:tcBorders>
              <w:top w:val="nil"/>
              <w:left w:val="nil"/>
              <w:bottom w:val="nil"/>
              <w:right w:val="nil"/>
            </w:tcBorders>
            <w:shd w:val="clear" w:color="000000" w:fill="FFFFFF"/>
            <w:noWrap/>
            <w:vAlign w:val="center"/>
            <w:hideMark/>
          </w:tcPr>
          <w:p w14:paraId="66C6CD2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148</w:t>
            </w:r>
          </w:p>
        </w:tc>
        <w:tc>
          <w:tcPr>
            <w:tcW w:w="552" w:type="pct"/>
            <w:tcBorders>
              <w:top w:val="nil"/>
              <w:left w:val="nil"/>
              <w:bottom w:val="nil"/>
              <w:right w:val="nil"/>
            </w:tcBorders>
            <w:shd w:val="clear" w:color="000000" w:fill="FFFFFF"/>
            <w:noWrap/>
            <w:vAlign w:val="center"/>
            <w:hideMark/>
          </w:tcPr>
          <w:p w14:paraId="73BA2FA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97" w:type="pct"/>
            <w:tcBorders>
              <w:top w:val="nil"/>
              <w:left w:val="nil"/>
              <w:bottom w:val="nil"/>
              <w:right w:val="single" w:sz="4" w:space="0" w:color="auto"/>
            </w:tcBorders>
            <w:shd w:val="clear" w:color="000000" w:fill="FFFFFF"/>
            <w:noWrap/>
            <w:vAlign w:val="center"/>
            <w:hideMark/>
          </w:tcPr>
          <w:p w14:paraId="48C41B7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497" w:type="pct"/>
            <w:tcBorders>
              <w:top w:val="nil"/>
              <w:left w:val="nil"/>
              <w:bottom w:val="nil"/>
              <w:right w:val="nil"/>
            </w:tcBorders>
            <w:shd w:val="clear" w:color="000000" w:fill="FFFFFF"/>
            <w:noWrap/>
            <w:vAlign w:val="center"/>
            <w:hideMark/>
          </w:tcPr>
          <w:p w14:paraId="265ED523"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497" w:type="pct"/>
            <w:tcBorders>
              <w:top w:val="nil"/>
              <w:left w:val="single" w:sz="4" w:space="0" w:color="auto"/>
              <w:bottom w:val="nil"/>
              <w:right w:val="single" w:sz="4" w:space="0" w:color="auto"/>
            </w:tcBorders>
            <w:shd w:val="clear" w:color="000000" w:fill="FFFFFF"/>
            <w:noWrap/>
            <w:vAlign w:val="center"/>
            <w:hideMark/>
          </w:tcPr>
          <w:p w14:paraId="1F2373F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FD4ED3" w:rsidRPr="00650EE4" w14:paraId="4DDA7C3A" w14:textId="77777777" w:rsidTr="00EC68FF">
        <w:tc>
          <w:tcPr>
            <w:tcW w:w="968" w:type="pct"/>
            <w:tcBorders>
              <w:top w:val="nil"/>
              <w:left w:val="single" w:sz="4" w:space="0" w:color="auto"/>
              <w:bottom w:val="nil"/>
              <w:right w:val="nil"/>
            </w:tcBorders>
            <w:shd w:val="clear" w:color="000000" w:fill="FFFFFF"/>
            <w:noWrap/>
            <w:vAlign w:val="center"/>
            <w:hideMark/>
          </w:tcPr>
          <w:p w14:paraId="21BDCD9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97" w:type="pct"/>
            <w:tcBorders>
              <w:top w:val="nil"/>
              <w:left w:val="single" w:sz="4" w:space="0" w:color="auto"/>
              <w:bottom w:val="nil"/>
              <w:right w:val="nil"/>
            </w:tcBorders>
            <w:shd w:val="clear" w:color="000000" w:fill="FFFFFF"/>
            <w:noWrap/>
            <w:vAlign w:val="center"/>
            <w:hideMark/>
          </w:tcPr>
          <w:p w14:paraId="09840C2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2.420</w:t>
            </w:r>
          </w:p>
        </w:tc>
        <w:tc>
          <w:tcPr>
            <w:tcW w:w="497" w:type="pct"/>
            <w:tcBorders>
              <w:top w:val="nil"/>
              <w:left w:val="nil"/>
              <w:bottom w:val="nil"/>
              <w:right w:val="nil"/>
            </w:tcBorders>
            <w:shd w:val="clear" w:color="000000" w:fill="FFFFFF"/>
            <w:noWrap/>
            <w:vAlign w:val="center"/>
            <w:hideMark/>
          </w:tcPr>
          <w:p w14:paraId="29D394F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497" w:type="pct"/>
            <w:tcBorders>
              <w:top w:val="nil"/>
              <w:left w:val="nil"/>
              <w:bottom w:val="nil"/>
              <w:right w:val="nil"/>
            </w:tcBorders>
            <w:shd w:val="clear" w:color="000000" w:fill="FFFFFF"/>
            <w:noWrap/>
            <w:vAlign w:val="center"/>
            <w:hideMark/>
          </w:tcPr>
          <w:p w14:paraId="35062B7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w:t>
            </w:r>
          </w:p>
        </w:tc>
        <w:tc>
          <w:tcPr>
            <w:tcW w:w="497" w:type="pct"/>
            <w:tcBorders>
              <w:top w:val="nil"/>
              <w:left w:val="nil"/>
              <w:bottom w:val="nil"/>
              <w:right w:val="nil"/>
            </w:tcBorders>
            <w:shd w:val="clear" w:color="000000" w:fill="FFFFFF"/>
            <w:noWrap/>
            <w:vAlign w:val="center"/>
            <w:hideMark/>
          </w:tcPr>
          <w:p w14:paraId="48BEFB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1.175</w:t>
            </w:r>
          </w:p>
        </w:tc>
        <w:tc>
          <w:tcPr>
            <w:tcW w:w="552" w:type="pct"/>
            <w:tcBorders>
              <w:top w:val="nil"/>
              <w:left w:val="nil"/>
              <w:bottom w:val="nil"/>
              <w:right w:val="nil"/>
            </w:tcBorders>
            <w:shd w:val="clear" w:color="000000" w:fill="FFFFFF"/>
            <w:noWrap/>
            <w:vAlign w:val="center"/>
            <w:hideMark/>
          </w:tcPr>
          <w:p w14:paraId="61C44ED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497" w:type="pct"/>
            <w:tcBorders>
              <w:top w:val="nil"/>
              <w:left w:val="nil"/>
              <w:bottom w:val="nil"/>
              <w:right w:val="single" w:sz="4" w:space="0" w:color="auto"/>
            </w:tcBorders>
            <w:shd w:val="clear" w:color="000000" w:fill="FFFFFF"/>
            <w:noWrap/>
            <w:vAlign w:val="center"/>
            <w:hideMark/>
          </w:tcPr>
          <w:p w14:paraId="4310B3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3.143</w:t>
            </w:r>
          </w:p>
        </w:tc>
        <w:tc>
          <w:tcPr>
            <w:tcW w:w="497" w:type="pct"/>
            <w:tcBorders>
              <w:top w:val="nil"/>
              <w:left w:val="nil"/>
              <w:bottom w:val="nil"/>
              <w:right w:val="nil"/>
            </w:tcBorders>
            <w:shd w:val="clear" w:color="000000" w:fill="FFFFFF"/>
            <w:noWrap/>
            <w:vAlign w:val="center"/>
            <w:hideMark/>
          </w:tcPr>
          <w:p w14:paraId="72D2175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497" w:type="pct"/>
            <w:tcBorders>
              <w:top w:val="nil"/>
              <w:left w:val="single" w:sz="4" w:space="0" w:color="auto"/>
              <w:bottom w:val="nil"/>
              <w:right w:val="single" w:sz="4" w:space="0" w:color="auto"/>
            </w:tcBorders>
            <w:shd w:val="clear" w:color="000000" w:fill="FFFFFF"/>
            <w:noWrap/>
            <w:vAlign w:val="center"/>
            <w:hideMark/>
          </w:tcPr>
          <w:p w14:paraId="00D6DC9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FD4ED3" w:rsidRPr="00650EE4" w14:paraId="1D6E85AA" w14:textId="77777777" w:rsidTr="00EC68FF">
        <w:tc>
          <w:tcPr>
            <w:tcW w:w="968" w:type="pct"/>
            <w:tcBorders>
              <w:top w:val="nil"/>
              <w:left w:val="single" w:sz="4" w:space="0" w:color="auto"/>
              <w:bottom w:val="nil"/>
              <w:right w:val="nil"/>
            </w:tcBorders>
            <w:shd w:val="clear" w:color="000000" w:fill="FFFFFF"/>
            <w:noWrap/>
            <w:vAlign w:val="center"/>
            <w:hideMark/>
          </w:tcPr>
          <w:p w14:paraId="51DCAD5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97" w:type="pct"/>
            <w:tcBorders>
              <w:top w:val="nil"/>
              <w:left w:val="single" w:sz="4" w:space="0" w:color="auto"/>
              <w:bottom w:val="nil"/>
              <w:right w:val="nil"/>
            </w:tcBorders>
            <w:shd w:val="clear" w:color="000000" w:fill="FFFFFF"/>
            <w:noWrap/>
            <w:vAlign w:val="center"/>
            <w:hideMark/>
          </w:tcPr>
          <w:p w14:paraId="19F1BF1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1.558</w:t>
            </w:r>
          </w:p>
        </w:tc>
        <w:tc>
          <w:tcPr>
            <w:tcW w:w="497" w:type="pct"/>
            <w:tcBorders>
              <w:top w:val="nil"/>
              <w:left w:val="nil"/>
              <w:bottom w:val="nil"/>
              <w:right w:val="nil"/>
            </w:tcBorders>
            <w:shd w:val="clear" w:color="000000" w:fill="FFFFFF"/>
            <w:noWrap/>
            <w:vAlign w:val="center"/>
            <w:hideMark/>
          </w:tcPr>
          <w:p w14:paraId="6A3D885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w:t>
            </w:r>
          </w:p>
        </w:tc>
        <w:tc>
          <w:tcPr>
            <w:tcW w:w="497" w:type="pct"/>
            <w:tcBorders>
              <w:top w:val="nil"/>
              <w:left w:val="nil"/>
              <w:bottom w:val="nil"/>
              <w:right w:val="nil"/>
            </w:tcBorders>
            <w:shd w:val="clear" w:color="000000" w:fill="FFFFFF"/>
            <w:noWrap/>
            <w:vAlign w:val="center"/>
            <w:hideMark/>
          </w:tcPr>
          <w:p w14:paraId="55A42C0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497" w:type="pct"/>
            <w:tcBorders>
              <w:top w:val="nil"/>
              <w:left w:val="nil"/>
              <w:bottom w:val="nil"/>
              <w:right w:val="nil"/>
            </w:tcBorders>
            <w:shd w:val="clear" w:color="000000" w:fill="FFFFFF"/>
            <w:noWrap/>
            <w:vAlign w:val="center"/>
            <w:hideMark/>
          </w:tcPr>
          <w:p w14:paraId="163ABC4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428</w:t>
            </w:r>
          </w:p>
        </w:tc>
        <w:tc>
          <w:tcPr>
            <w:tcW w:w="552" w:type="pct"/>
            <w:tcBorders>
              <w:top w:val="nil"/>
              <w:left w:val="nil"/>
              <w:bottom w:val="nil"/>
              <w:right w:val="nil"/>
            </w:tcBorders>
            <w:shd w:val="clear" w:color="000000" w:fill="FFFFFF"/>
            <w:noWrap/>
            <w:vAlign w:val="center"/>
            <w:hideMark/>
          </w:tcPr>
          <w:p w14:paraId="6655A33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7" w:type="pct"/>
            <w:tcBorders>
              <w:top w:val="nil"/>
              <w:left w:val="nil"/>
              <w:bottom w:val="nil"/>
              <w:right w:val="single" w:sz="4" w:space="0" w:color="auto"/>
            </w:tcBorders>
            <w:shd w:val="clear" w:color="000000" w:fill="FFFFFF"/>
            <w:noWrap/>
            <w:vAlign w:val="center"/>
            <w:hideMark/>
          </w:tcPr>
          <w:p w14:paraId="7E627FD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212</w:t>
            </w:r>
          </w:p>
        </w:tc>
        <w:tc>
          <w:tcPr>
            <w:tcW w:w="497" w:type="pct"/>
            <w:tcBorders>
              <w:top w:val="nil"/>
              <w:left w:val="nil"/>
              <w:bottom w:val="nil"/>
              <w:right w:val="nil"/>
            </w:tcBorders>
            <w:shd w:val="clear" w:color="000000" w:fill="FFFFFF"/>
            <w:noWrap/>
            <w:vAlign w:val="center"/>
            <w:hideMark/>
          </w:tcPr>
          <w:p w14:paraId="23D0452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497" w:type="pct"/>
            <w:tcBorders>
              <w:top w:val="nil"/>
              <w:left w:val="single" w:sz="4" w:space="0" w:color="auto"/>
              <w:bottom w:val="nil"/>
              <w:right w:val="single" w:sz="4" w:space="0" w:color="auto"/>
            </w:tcBorders>
            <w:shd w:val="clear" w:color="000000" w:fill="FFFFFF"/>
            <w:noWrap/>
            <w:vAlign w:val="center"/>
            <w:hideMark/>
          </w:tcPr>
          <w:p w14:paraId="07FA03C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r>
      <w:tr w:rsidR="00FD4ED3" w:rsidRPr="00650EE4" w14:paraId="63113A93" w14:textId="77777777" w:rsidTr="00EC68FF">
        <w:tc>
          <w:tcPr>
            <w:tcW w:w="968" w:type="pct"/>
            <w:tcBorders>
              <w:top w:val="nil"/>
              <w:left w:val="single" w:sz="4" w:space="0" w:color="auto"/>
              <w:bottom w:val="nil"/>
              <w:right w:val="nil"/>
            </w:tcBorders>
            <w:shd w:val="clear" w:color="000000" w:fill="FFFFFF"/>
            <w:noWrap/>
            <w:vAlign w:val="center"/>
            <w:hideMark/>
          </w:tcPr>
          <w:p w14:paraId="340A84F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97" w:type="pct"/>
            <w:tcBorders>
              <w:top w:val="nil"/>
              <w:left w:val="single" w:sz="4" w:space="0" w:color="auto"/>
              <w:bottom w:val="nil"/>
              <w:right w:val="nil"/>
            </w:tcBorders>
            <w:shd w:val="clear" w:color="000000" w:fill="FFFFFF"/>
            <w:noWrap/>
            <w:vAlign w:val="center"/>
            <w:hideMark/>
          </w:tcPr>
          <w:p w14:paraId="129C49D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3.562</w:t>
            </w:r>
          </w:p>
        </w:tc>
        <w:tc>
          <w:tcPr>
            <w:tcW w:w="497" w:type="pct"/>
            <w:tcBorders>
              <w:top w:val="nil"/>
              <w:left w:val="nil"/>
              <w:bottom w:val="nil"/>
              <w:right w:val="nil"/>
            </w:tcBorders>
            <w:shd w:val="clear" w:color="000000" w:fill="FFFFFF"/>
            <w:noWrap/>
            <w:vAlign w:val="center"/>
            <w:hideMark/>
          </w:tcPr>
          <w:p w14:paraId="10C9302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w:t>
            </w:r>
          </w:p>
        </w:tc>
        <w:tc>
          <w:tcPr>
            <w:tcW w:w="497" w:type="pct"/>
            <w:tcBorders>
              <w:top w:val="nil"/>
              <w:left w:val="nil"/>
              <w:bottom w:val="nil"/>
              <w:right w:val="nil"/>
            </w:tcBorders>
            <w:shd w:val="clear" w:color="000000" w:fill="FFFFFF"/>
            <w:noWrap/>
            <w:vAlign w:val="center"/>
            <w:hideMark/>
          </w:tcPr>
          <w:p w14:paraId="1148C50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497" w:type="pct"/>
            <w:tcBorders>
              <w:top w:val="nil"/>
              <w:left w:val="nil"/>
              <w:bottom w:val="nil"/>
              <w:right w:val="nil"/>
            </w:tcBorders>
            <w:shd w:val="clear" w:color="000000" w:fill="FFFFFF"/>
            <w:noWrap/>
            <w:vAlign w:val="center"/>
            <w:hideMark/>
          </w:tcPr>
          <w:p w14:paraId="2FBB38E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394</w:t>
            </w:r>
          </w:p>
        </w:tc>
        <w:tc>
          <w:tcPr>
            <w:tcW w:w="552" w:type="pct"/>
            <w:tcBorders>
              <w:top w:val="nil"/>
              <w:left w:val="nil"/>
              <w:bottom w:val="nil"/>
              <w:right w:val="nil"/>
            </w:tcBorders>
            <w:shd w:val="clear" w:color="000000" w:fill="FFFFFF"/>
            <w:noWrap/>
            <w:vAlign w:val="center"/>
            <w:hideMark/>
          </w:tcPr>
          <w:p w14:paraId="3C82682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426</w:t>
            </w:r>
          </w:p>
        </w:tc>
        <w:tc>
          <w:tcPr>
            <w:tcW w:w="497" w:type="pct"/>
            <w:tcBorders>
              <w:top w:val="nil"/>
              <w:left w:val="nil"/>
              <w:bottom w:val="nil"/>
              <w:right w:val="single" w:sz="4" w:space="0" w:color="auto"/>
            </w:tcBorders>
            <w:shd w:val="clear" w:color="000000" w:fill="FFFFFF"/>
            <w:noWrap/>
            <w:vAlign w:val="center"/>
            <w:hideMark/>
          </w:tcPr>
          <w:p w14:paraId="71E1AA0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451</w:t>
            </w:r>
          </w:p>
        </w:tc>
        <w:tc>
          <w:tcPr>
            <w:tcW w:w="497" w:type="pct"/>
            <w:tcBorders>
              <w:top w:val="nil"/>
              <w:left w:val="nil"/>
              <w:bottom w:val="nil"/>
              <w:right w:val="nil"/>
            </w:tcBorders>
            <w:shd w:val="clear" w:color="000000" w:fill="FFFFFF"/>
            <w:noWrap/>
            <w:vAlign w:val="center"/>
            <w:hideMark/>
          </w:tcPr>
          <w:p w14:paraId="7943D76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497" w:type="pct"/>
            <w:tcBorders>
              <w:top w:val="nil"/>
              <w:left w:val="single" w:sz="4" w:space="0" w:color="auto"/>
              <w:bottom w:val="nil"/>
              <w:right w:val="single" w:sz="4" w:space="0" w:color="auto"/>
            </w:tcBorders>
            <w:shd w:val="clear" w:color="000000" w:fill="FFFFFF"/>
            <w:noWrap/>
            <w:vAlign w:val="center"/>
            <w:hideMark/>
          </w:tcPr>
          <w:p w14:paraId="3AAB921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D4ED3" w:rsidRPr="00650EE4" w14:paraId="2733D611" w14:textId="77777777" w:rsidTr="00EC68FF">
        <w:tc>
          <w:tcPr>
            <w:tcW w:w="968" w:type="pct"/>
            <w:tcBorders>
              <w:top w:val="nil"/>
              <w:left w:val="single" w:sz="4" w:space="0" w:color="auto"/>
              <w:bottom w:val="nil"/>
              <w:right w:val="nil"/>
            </w:tcBorders>
            <w:shd w:val="clear" w:color="000000" w:fill="FFFFFF"/>
            <w:noWrap/>
            <w:vAlign w:val="center"/>
            <w:hideMark/>
          </w:tcPr>
          <w:p w14:paraId="270103A7"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97" w:type="pct"/>
            <w:tcBorders>
              <w:top w:val="nil"/>
              <w:left w:val="single" w:sz="4" w:space="0" w:color="auto"/>
              <w:bottom w:val="single" w:sz="4" w:space="0" w:color="auto"/>
              <w:right w:val="nil"/>
            </w:tcBorders>
            <w:shd w:val="clear" w:color="000000" w:fill="FFFFFF"/>
            <w:noWrap/>
            <w:vAlign w:val="center"/>
            <w:hideMark/>
          </w:tcPr>
          <w:p w14:paraId="6CF5E6D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1.376</w:t>
            </w:r>
          </w:p>
        </w:tc>
        <w:tc>
          <w:tcPr>
            <w:tcW w:w="497" w:type="pct"/>
            <w:tcBorders>
              <w:top w:val="nil"/>
              <w:left w:val="nil"/>
              <w:bottom w:val="single" w:sz="4" w:space="0" w:color="auto"/>
              <w:right w:val="nil"/>
            </w:tcBorders>
            <w:shd w:val="clear" w:color="000000" w:fill="FFFFFF"/>
            <w:noWrap/>
            <w:vAlign w:val="center"/>
            <w:hideMark/>
          </w:tcPr>
          <w:p w14:paraId="30A6E49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w:t>
            </w:r>
          </w:p>
        </w:tc>
        <w:tc>
          <w:tcPr>
            <w:tcW w:w="497" w:type="pct"/>
            <w:tcBorders>
              <w:top w:val="nil"/>
              <w:left w:val="nil"/>
              <w:bottom w:val="single" w:sz="4" w:space="0" w:color="auto"/>
              <w:right w:val="nil"/>
            </w:tcBorders>
            <w:shd w:val="clear" w:color="000000" w:fill="FFFFFF"/>
            <w:noWrap/>
            <w:vAlign w:val="center"/>
            <w:hideMark/>
          </w:tcPr>
          <w:p w14:paraId="0D9D083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w:t>
            </w:r>
          </w:p>
        </w:tc>
        <w:tc>
          <w:tcPr>
            <w:tcW w:w="497" w:type="pct"/>
            <w:tcBorders>
              <w:top w:val="nil"/>
              <w:left w:val="nil"/>
              <w:bottom w:val="single" w:sz="4" w:space="0" w:color="auto"/>
              <w:right w:val="nil"/>
            </w:tcBorders>
            <w:shd w:val="clear" w:color="000000" w:fill="FFFFFF"/>
            <w:noWrap/>
            <w:vAlign w:val="center"/>
            <w:hideMark/>
          </w:tcPr>
          <w:p w14:paraId="5C5114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552" w:type="pct"/>
            <w:tcBorders>
              <w:top w:val="nil"/>
              <w:left w:val="nil"/>
              <w:bottom w:val="single" w:sz="4" w:space="0" w:color="auto"/>
              <w:right w:val="nil"/>
            </w:tcBorders>
            <w:shd w:val="clear" w:color="000000" w:fill="FFFFFF"/>
            <w:noWrap/>
            <w:vAlign w:val="center"/>
            <w:hideMark/>
          </w:tcPr>
          <w:p w14:paraId="2D7DE9E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242</w:t>
            </w:r>
          </w:p>
        </w:tc>
        <w:tc>
          <w:tcPr>
            <w:tcW w:w="497" w:type="pct"/>
            <w:tcBorders>
              <w:top w:val="nil"/>
              <w:left w:val="nil"/>
              <w:bottom w:val="single" w:sz="4" w:space="0" w:color="auto"/>
              <w:right w:val="single" w:sz="4" w:space="0" w:color="auto"/>
            </w:tcBorders>
            <w:shd w:val="clear" w:color="000000" w:fill="FFFFFF"/>
            <w:noWrap/>
            <w:vAlign w:val="center"/>
            <w:hideMark/>
          </w:tcPr>
          <w:p w14:paraId="52838B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142</w:t>
            </w:r>
          </w:p>
        </w:tc>
        <w:tc>
          <w:tcPr>
            <w:tcW w:w="497" w:type="pct"/>
            <w:tcBorders>
              <w:top w:val="nil"/>
              <w:left w:val="nil"/>
              <w:bottom w:val="single" w:sz="4" w:space="0" w:color="auto"/>
              <w:right w:val="nil"/>
            </w:tcBorders>
            <w:shd w:val="clear" w:color="000000" w:fill="FFFFFF"/>
            <w:noWrap/>
            <w:vAlign w:val="center"/>
            <w:hideMark/>
          </w:tcPr>
          <w:p w14:paraId="1B7D31A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497" w:type="pct"/>
            <w:tcBorders>
              <w:top w:val="nil"/>
              <w:left w:val="single" w:sz="4" w:space="0" w:color="auto"/>
              <w:bottom w:val="single" w:sz="4" w:space="0" w:color="auto"/>
              <w:right w:val="single" w:sz="4" w:space="0" w:color="auto"/>
            </w:tcBorders>
            <w:shd w:val="clear" w:color="000000" w:fill="FFFFFF"/>
            <w:noWrap/>
            <w:vAlign w:val="center"/>
            <w:hideMark/>
          </w:tcPr>
          <w:p w14:paraId="2CE6A42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FD4ED3" w:rsidRPr="00650EE4" w14:paraId="0FFC9F06" w14:textId="77777777" w:rsidTr="00EC68FF">
        <w:tc>
          <w:tcPr>
            <w:tcW w:w="968" w:type="pct"/>
            <w:tcBorders>
              <w:top w:val="single" w:sz="4" w:space="0" w:color="auto"/>
              <w:left w:val="single" w:sz="4" w:space="0" w:color="auto"/>
              <w:bottom w:val="nil"/>
              <w:right w:val="single" w:sz="4" w:space="0" w:color="auto"/>
            </w:tcBorders>
            <w:shd w:val="clear" w:color="000000" w:fill="FFFFFF"/>
            <w:noWrap/>
            <w:vAlign w:val="center"/>
            <w:hideMark/>
          </w:tcPr>
          <w:p w14:paraId="0AA80D9D"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tcBorders>
              <w:top w:val="nil"/>
              <w:left w:val="nil"/>
              <w:bottom w:val="nil"/>
              <w:right w:val="nil"/>
            </w:tcBorders>
            <w:shd w:val="clear" w:color="000000" w:fill="FFFFFF"/>
            <w:noWrap/>
            <w:vAlign w:val="center"/>
            <w:hideMark/>
          </w:tcPr>
          <w:p w14:paraId="6C1F05C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317.214</w:t>
            </w:r>
          </w:p>
        </w:tc>
        <w:tc>
          <w:tcPr>
            <w:tcW w:w="497" w:type="pct"/>
            <w:tcBorders>
              <w:top w:val="nil"/>
              <w:left w:val="nil"/>
              <w:bottom w:val="nil"/>
              <w:right w:val="nil"/>
            </w:tcBorders>
            <w:shd w:val="clear" w:color="000000" w:fill="FFFFFF"/>
            <w:noWrap/>
            <w:vAlign w:val="center"/>
            <w:hideMark/>
          </w:tcPr>
          <w:p w14:paraId="7D2E1AB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20.706</w:t>
            </w:r>
          </w:p>
        </w:tc>
        <w:tc>
          <w:tcPr>
            <w:tcW w:w="497" w:type="pct"/>
            <w:tcBorders>
              <w:top w:val="nil"/>
              <w:left w:val="nil"/>
              <w:bottom w:val="nil"/>
              <w:right w:val="nil"/>
            </w:tcBorders>
            <w:shd w:val="clear" w:color="000000" w:fill="FFFFFF"/>
            <w:noWrap/>
            <w:vAlign w:val="center"/>
            <w:hideMark/>
          </w:tcPr>
          <w:p w14:paraId="6CC36333"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4.585</w:t>
            </w:r>
          </w:p>
        </w:tc>
        <w:tc>
          <w:tcPr>
            <w:tcW w:w="497" w:type="pct"/>
            <w:tcBorders>
              <w:top w:val="nil"/>
              <w:left w:val="nil"/>
              <w:bottom w:val="nil"/>
              <w:right w:val="nil"/>
            </w:tcBorders>
            <w:shd w:val="clear" w:color="000000" w:fill="FFFFFF"/>
            <w:noWrap/>
            <w:vAlign w:val="center"/>
            <w:hideMark/>
          </w:tcPr>
          <w:p w14:paraId="1EC1867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243.217</w:t>
            </w:r>
          </w:p>
        </w:tc>
        <w:tc>
          <w:tcPr>
            <w:tcW w:w="552" w:type="pct"/>
            <w:tcBorders>
              <w:top w:val="nil"/>
              <w:left w:val="nil"/>
              <w:bottom w:val="nil"/>
              <w:right w:val="nil"/>
            </w:tcBorders>
            <w:shd w:val="clear" w:color="000000" w:fill="FFFFFF"/>
            <w:noWrap/>
            <w:vAlign w:val="center"/>
            <w:hideMark/>
          </w:tcPr>
          <w:p w14:paraId="014FCB6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8.713</w:t>
            </w:r>
          </w:p>
        </w:tc>
        <w:tc>
          <w:tcPr>
            <w:tcW w:w="497" w:type="pct"/>
            <w:tcBorders>
              <w:top w:val="nil"/>
              <w:left w:val="nil"/>
              <w:bottom w:val="nil"/>
              <w:right w:val="single" w:sz="4" w:space="0" w:color="auto"/>
            </w:tcBorders>
            <w:shd w:val="clear" w:color="000000" w:fill="FFFFFF"/>
            <w:noWrap/>
            <w:vAlign w:val="center"/>
            <w:hideMark/>
          </w:tcPr>
          <w:p w14:paraId="6D3B489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66.848</w:t>
            </w:r>
          </w:p>
        </w:tc>
        <w:tc>
          <w:tcPr>
            <w:tcW w:w="497" w:type="pct"/>
            <w:tcBorders>
              <w:top w:val="nil"/>
              <w:left w:val="nil"/>
              <w:bottom w:val="nil"/>
              <w:right w:val="nil"/>
            </w:tcBorders>
            <w:shd w:val="clear" w:color="000000" w:fill="FFFFFF"/>
            <w:noWrap/>
            <w:vAlign w:val="center"/>
            <w:hideMark/>
          </w:tcPr>
          <w:p w14:paraId="165DCE90"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497" w:type="pct"/>
            <w:tcBorders>
              <w:top w:val="nil"/>
              <w:left w:val="single" w:sz="4" w:space="0" w:color="auto"/>
              <w:bottom w:val="nil"/>
              <w:right w:val="single" w:sz="4" w:space="0" w:color="auto"/>
            </w:tcBorders>
            <w:shd w:val="clear" w:color="000000" w:fill="FFFFFF"/>
            <w:noWrap/>
            <w:vAlign w:val="center"/>
            <w:hideMark/>
          </w:tcPr>
          <w:p w14:paraId="27CA1E6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3E0BE174" w14:textId="77777777" w:rsidTr="00EC68FF">
        <w:tc>
          <w:tcPr>
            <w:tcW w:w="9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D619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97" w:type="pct"/>
            <w:tcBorders>
              <w:top w:val="single" w:sz="4" w:space="0" w:color="auto"/>
              <w:left w:val="nil"/>
              <w:bottom w:val="single" w:sz="4" w:space="0" w:color="auto"/>
              <w:right w:val="nil"/>
            </w:tcBorders>
            <w:shd w:val="clear" w:color="000000" w:fill="FFFFFF"/>
            <w:noWrap/>
            <w:vAlign w:val="center"/>
            <w:hideMark/>
          </w:tcPr>
          <w:p w14:paraId="2446222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w:t>
            </w:r>
          </w:p>
        </w:tc>
        <w:tc>
          <w:tcPr>
            <w:tcW w:w="497" w:type="pct"/>
            <w:tcBorders>
              <w:top w:val="single" w:sz="4" w:space="0" w:color="auto"/>
              <w:left w:val="nil"/>
              <w:bottom w:val="single" w:sz="4" w:space="0" w:color="auto"/>
              <w:right w:val="nil"/>
            </w:tcBorders>
            <w:shd w:val="clear" w:color="000000" w:fill="FFFFFF"/>
            <w:noWrap/>
            <w:vAlign w:val="center"/>
            <w:hideMark/>
          </w:tcPr>
          <w:p w14:paraId="3199A19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7" w:type="pct"/>
            <w:tcBorders>
              <w:top w:val="single" w:sz="4" w:space="0" w:color="auto"/>
              <w:left w:val="nil"/>
              <w:bottom w:val="single" w:sz="4" w:space="0" w:color="auto"/>
              <w:right w:val="nil"/>
            </w:tcBorders>
            <w:shd w:val="clear" w:color="000000" w:fill="FFFFFF"/>
            <w:noWrap/>
            <w:vAlign w:val="center"/>
            <w:hideMark/>
          </w:tcPr>
          <w:p w14:paraId="6DD7F84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7" w:type="pct"/>
            <w:tcBorders>
              <w:top w:val="single" w:sz="4" w:space="0" w:color="auto"/>
              <w:left w:val="nil"/>
              <w:bottom w:val="single" w:sz="4" w:space="0" w:color="auto"/>
              <w:right w:val="nil"/>
            </w:tcBorders>
            <w:shd w:val="clear" w:color="000000" w:fill="FFFFFF"/>
            <w:noWrap/>
            <w:vAlign w:val="center"/>
            <w:hideMark/>
          </w:tcPr>
          <w:p w14:paraId="115C123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552" w:type="pct"/>
            <w:tcBorders>
              <w:top w:val="single" w:sz="4" w:space="0" w:color="auto"/>
              <w:left w:val="nil"/>
              <w:bottom w:val="single" w:sz="4" w:space="0" w:color="auto"/>
              <w:right w:val="nil"/>
            </w:tcBorders>
            <w:shd w:val="clear" w:color="000000" w:fill="FFFFFF"/>
            <w:noWrap/>
            <w:vAlign w:val="center"/>
            <w:hideMark/>
          </w:tcPr>
          <w:p w14:paraId="14335C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7" w:type="pct"/>
            <w:tcBorders>
              <w:top w:val="single" w:sz="4" w:space="0" w:color="auto"/>
              <w:left w:val="nil"/>
              <w:bottom w:val="single" w:sz="4" w:space="0" w:color="auto"/>
              <w:right w:val="single" w:sz="4" w:space="0" w:color="auto"/>
            </w:tcBorders>
            <w:shd w:val="clear" w:color="000000" w:fill="FFFFFF"/>
            <w:noWrap/>
            <w:vAlign w:val="center"/>
            <w:hideMark/>
          </w:tcPr>
          <w:p w14:paraId="116DFEB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497" w:type="pct"/>
            <w:tcBorders>
              <w:top w:val="single" w:sz="4" w:space="0" w:color="auto"/>
              <w:left w:val="nil"/>
              <w:bottom w:val="single" w:sz="4" w:space="0" w:color="auto"/>
              <w:right w:val="nil"/>
            </w:tcBorders>
            <w:shd w:val="clear" w:color="000000" w:fill="FFFFFF"/>
            <w:noWrap/>
            <w:vAlign w:val="center"/>
            <w:hideMark/>
          </w:tcPr>
          <w:p w14:paraId="43D19E0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758F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6485889" w14:textId="6DF01F07" w:rsidR="0067799D" w:rsidRPr="00650EE4" w:rsidRDefault="005F56C6" w:rsidP="0067799D">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67799D" w:rsidRPr="00650EE4">
        <w:rPr>
          <w:rFonts w:ascii="Times New Roman" w:eastAsia="Times New Roman" w:hAnsi="Times New Roman"/>
          <w:i/>
          <w:color w:val="000000" w:themeColor="text1"/>
          <w:sz w:val="20"/>
          <w:szCs w:val="20"/>
        </w:rPr>
        <w:t>duomenys (2019.12.31)</w:t>
      </w:r>
    </w:p>
    <w:p w14:paraId="5FBE369B" w14:textId="5161F696" w:rsidR="00144A9C" w:rsidRPr="00650EE4" w:rsidRDefault="00144A9C" w:rsidP="00631BA6">
      <w:pPr>
        <w:pStyle w:val="TESlentelspavadinimas"/>
        <w:rPr>
          <w:noProof w:val="0"/>
        </w:rPr>
      </w:pPr>
    </w:p>
    <w:p w14:paraId="7BD53A22" w14:textId="2AFBFF3E" w:rsidR="0067799D"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0" w:name="_Toc67925191"/>
      <w:r w:rsidR="007744C1">
        <w:t>8</w:t>
      </w:r>
      <w:r w:rsidRPr="00650EE4">
        <w:rPr>
          <w:noProof w:val="0"/>
        </w:rPr>
        <w:fldChar w:fldCharType="end"/>
      </w:r>
      <w:r w:rsidR="0067799D" w:rsidRPr="00650EE4">
        <w:rPr>
          <w:noProof w:val="0"/>
        </w:rPr>
        <w:t xml:space="preserve"> lentelė. Pastatų fondas pagal sienų medžiagiškumą (tūkst. m</w:t>
      </w:r>
      <w:r w:rsidR="0067799D" w:rsidRPr="00650EE4">
        <w:rPr>
          <w:noProof w:val="0"/>
          <w:vertAlign w:val="superscript"/>
        </w:rPr>
        <w:t>2</w:t>
      </w:r>
      <w:r w:rsidR="0067799D" w:rsidRPr="00650EE4">
        <w:rPr>
          <w:noProof w:val="0"/>
        </w:rPr>
        <w:t>)</w:t>
      </w:r>
      <w:bookmarkEnd w:id="30"/>
    </w:p>
    <w:tbl>
      <w:tblPr>
        <w:tblW w:w="5000" w:type="pct"/>
        <w:tblLook w:val="04A0" w:firstRow="1" w:lastRow="0" w:firstColumn="1" w:lastColumn="0" w:noHBand="0" w:noVBand="1"/>
      </w:tblPr>
      <w:tblGrid>
        <w:gridCol w:w="2012"/>
        <w:gridCol w:w="1036"/>
        <w:gridCol w:w="1036"/>
        <w:gridCol w:w="1036"/>
        <w:gridCol w:w="1036"/>
        <w:gridCol w:w="1146"/>
        <w:gridCol w:w="1046"/>
        <w:gridCol w:w="1036"/>
        <w:gridCol w:w="1036"/>
      </w:tblGrid>
      <w:tr w:rsidR="00FD4ED3" w:rsidRPr="00650EE4" w14:paraId="07584E25" w14:textId="77777777" w:rsidTr="00EC68FF">
        <w:tc>
          <w:tcPr>
            <w:tcW w:w="965"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6034BEB7"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4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28565C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Sienų medžiagiškumas</w:t>
            </w:r>
          </w:p>
        </w:tc>
        <w:tc>
          <w:tcPr>
            <w:tcW w:w="497" w:type="pct"/>
            <w:vMerge w:val="restart"/>
            <w:tcBorders>
              <w:top w:val="single" w:sz="4" w:space="0" w:color="auto"/>
              <w:left w:val="nil"/>
              <w:bottom w:val="single" w:sz="4" w:space="0" w:color="000000"/>
              <w:right w:val="nil"/>
            </w:tcBorders>
            <w:shd w:val="clear" w:color="000000" w:fill="FFFFFF"/>
            <w:vAlign w:val="center"/>
            <w:hideMark/>
          </w:tcPr>
          <w:p w14:paraId="329F0B7E"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88A616"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D4ED3" w:rsidRPr="00650EE4" w14:paraId="59721A1C" w14:textId="77777777" w:rsidTr="00EC68FF">
        <w:tc>
          <w:tcPr>
            <w:tcW w:w="965" w:type="pct"/>
            <w:vMerge/>
            <w:tcBorders>
              <w:top w:val="single" w:sz="4" w:space="0" w:color="auto"/>
              <w:left w:val="single" w:sz="4" w:space="0" w:color="auto"/>
              <w:bottom w:val="single" w:sz="4" w:space="0" w:color="000000"/>
              <w:right w:val="nil"/>
            </w:tcBorders>
            <w:vAlign w:val="center"/>
            <w:hideMark/>
          </w:tcPr>
          <w:p w14:paraId="61BAA51A"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tcBorders>
              <w:top w:val="nil"/>
              <w:left w:val="single" w:sz="4" w:space="0" w:color="auto"/>
              <w:bottom w:val="single" w:sz="4" w:space="0" w:color="auto"/>
              <w:right w:val="nil"/>
            </w:tcBorders>
            <w:shd w:val="clear" w:color="000000" w:fill="FFFFFF"/>
            <w:vAlign w:val="center"/>
            <w:hideMark/>
          </w:tcPr>
          <w:p w14:paraId="505CB11C"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Plytų ir blokelių</w:t>
            </w:r>
          </w:p>
        </w:tc>
        <w:tc>
          <w:tcPr>
            <w:tcW w:w="497" w:type="pct"/>
            <w:tcBorders>
              <w:top w:val="nil"/>
              <w:left w:val="nil"/>
              <w:bottom w:val="single" w:sz="4" w:space="0" w:color="auto"/>
              <w:right w:val="nil"/>
            </w:tcBorders>
            <w:shd w:val="clear" w:color="000000" w:fill="FFFFFF"/>
            <w:vAlign w:val="center"/>
            <w:hideMark/>
          </w:tcPr>
          <w:p w14:paraId="0F0350C6"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Gelžb</w:t>
            </w:r>
            <w:proofErr w:type="spellEnd"/>
            <w:r w:rsidRPr="00650EE4">
              <w:rPr>
                <w:rFonts w:ascii="Times New Roman" w:eastAsia="Times New Roman" w:hAnsi="Times New Roman"/>
                <w:b/>
                <w:bCs/>
                <w:sz w:val="20"/>
                <w:szCs w:val="20"/>
              </w:rPr>
              <w:t>. plokščių</w:t>
            </w:r>
          </w:p>
        </w:tc>
        <w:tc>
          <w:tcPr>
            <w:tcW w:w="497" w:type="pct"/>
            <w:tcBorders>
              <w:top w:val="nil"/>
              <w:left w:val="nil"/>
              <w:bottom w:val="single" w:sz="4" w:space="0" w:color="auto"/>
              <w:right w:val="nil"/>
            </w:tcBorders>
            <w:shd w:val="clear" w:color="000000" w:fill="FFFFFF"/>
            <w:vAlign w:val="center"/>
            <w:hideMark/>
          </w:tcPr>
          <w:p w14:paraId="0D3E67FE"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Monolit</w:t>
            </w:r>
            <w:proofErr w:type="spellEnd"/>
            <w:r w:rsidRPr="00650EE4">
              <w:rPr>
                <w:rFonts w:ascii="Times New Roman" w:eastAsia="Times New Roman" w:hAnsi="Times New Roman"/>
                <w:b/>
                <w:bCs/>
                <w:sz w:val="20"/>
                <w:szCs w:val="20"/>
              </w:rPr>
              <w:t>. betono</w:t>
            </w:r>
          </w:p>
        </w:tc>
        <w:tc>
          <w:tcPr>
            <w:tcW w:w="497" w:type="pct"/>
            <w:tcBorders>
              <w:top w:val="nil"/>
              <w:left w:val="nil"/>
              <w:bottom w:val="single" w:sz="4" w:space="0" w:color="auto"/>
              <w:right w:val="nil"/>
            </w:tcBorders>
            <w:shd w:val="clear" w:color="000000" w:fill="FFFFFF"/>
            <w:vAlign w:val="center"/>
            <w:hideMark/>
          </w:tcPr>
          <w:p w14:paraId="2E282742"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Rąstų</w:t>
            </w:r>
          </w:p>
        </w:tc>
        <w:tc>
          <w:tcPr>
            <w:tcW w:w="550" w:type="pct"/>
            <w:tcBorders>
              <w:top w:val="nil"/>
              <w:left w:val="nil"/>
              <w:bottom w:val="single" w:sz="4" w:space="0" w:color="auto"/>
              <w:right w:val="nil"/>
            </w:tcBorders>
            <w:shd w:val="clear" w:color="000000" w:fill="FFFFFF"/>
            <w:vAlign w:val="center"/>
            <w:hideMark/>
          </w:tcPr>
          <w:p w14:paraId="5576DA5A"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Fasadinės sistemos</w:t>
            </w:r>
          </w:p>
        </w:tc>
        <w:tc>
          <w:tcPr>
            <w:tcW w:w="500" w:type="pct"/>
            <w:tcBorders>
              <w:top w:val="nil"/>
              <w:left w:val="nil"/>
              <w:bottom w:val="single" w:sz="4" w:space="0" w:color="auto"/>
              <w:right w:val="single" w:sz="4" w:space="0" w:color="auto"/>
            </w:tcBorders>
            <w:shd w:val="clear" w:color="000000" w:fill="FFFFFF"/>
            <w:vAlign w:val="center"/>
            <w:hideMark/>
          </w:tcPr>
          <w:p w14:paraId="4BA3A48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Kita</w:t>
            </w:r>
          </w:p>
        </w:tc>
        <w:tc>
          <w:tcPr>
            <w:tcW w:w="497" w:type="pct"/>
            <w:vMerge/>
            <w:tcBorders>
              <w:top w:val="single" w:sz="4" w:space="0" w:color="auto"/>
              <w:left w:val="nil"/>
              <w:bottom w:val="single" w:sz="4" w:space="0" w:color="000000"/>
              <w:right w:val="nil"/>
            </w:tcBorders>
            <w:vAlign w:val="center"/>
            <w:hideMark/>
          </w:tcPr>
          <w:p w14:paraId="5FECD112"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1B1D988D" w14:textId="77777777" w:rsidR="00FD4ED3" w:rsidRPr="00650EE4" w:rsidRDefault="00FD4ED3" w:rsidP="00FD4ED3">
            <w:pPr>
              <w:spacing w:line="240" w:lineRule="auto"/>
              <w:rPr>
                <w:rFonts w:ascii="Times New Roman" w:eastAsia="Times New Roman" w:hAnsi="Times New Roman"/>
                <w:b/>
                <w:bCs/>
                <w:sz w:val="20"/>
                <w:szCs w:val="20"/>
              </w:rPr>
            </w:pPr>
          </w:p>
        </w:tc>
      </w:tr>
      <w:tr w:rsidR="00FD4ED3" w:rsidRPr="00650EE4" w14:paraId="36A7A55B" w14:textId="77777777" w:rsidTr="00EC68FF">
        <w:tc>
          <w:tcPr>
            <w:tcW w:w="965" w:type="pct"/>
            <w:tcBorders>
              <w:top w:val="nil"/>
              <w:left w:val="single" w:sz="4" w:space="0" w:color="auto"/>
              <w:bottom w:val="nil"/>
              <w:right w:val="nil"/>
            </w:tcBorders>
            <w:shd w:val="clear" w:color="000000" w:fill="F2F2F2"/>
            <w:noWrap/>
            <w:vAlign w:val="center"/>
            <w:hideMark/>
          </w:tcPr>
          <w:p w14:paraId="0960898E" w14:textId="77777777" w:rsidR="00FD4ED3" w:rsidRPr="00650EE4" w:rsidRDefault="00FD4ED3" w:rsidP="00FD4ED3">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497" w:type="pct"/>
            <w:tcBorders>
              <w:top w:val="nil"/>
              <w:left w:val="single" w:sz="4" w:space="0" w:color="auto"/>
              <w:bottom w:val="nil"/>
              <w:right w:val="nil"/>
            </w:tcBorders>
            <w:shd w:val="clear" w:color="000000" w:fill="F2F2F2"/>
            <w:noWrap/>
            <w:vAlign w:val="center"/>
            <w:hideMark/>
          </w:tcPr>
          <w:p w14:paraId="5789B6D8"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76.880</w:t>
            </w:r>
          </w:p>
        </w:tc>
        <w:tc>
          <w:tcPr>
            <w:tcW w:w="497" w:type="pct"/>
            <w:tcBorders>
              <w:top w:val="nil"/>
              <w:left w:val="nil"/>
              <w:bottom w:val="nil"/>
              <w:right w:val="nil"/>
            </w:tcBorders>
            <w:shd w:val="clear" w:color="000000" w:fill="F2F2F2"/>
            <w:noWrap/>
            <w:vAlign w:val="center"/>
            <w:hideMark/>
          </w:tcPr>
          <w:p w14:paraId="5938676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21.792</w:t>
            </w:r>
          </w:p>
        </w:tc>
        <w:tc>
          <w:tcPr>
            <w:tcW w:w="497" w:type="pct"/>
            <w:tcBorders>
              <w:top w:val="nil"/>
              <w:left w:val="nil"/>
              <w:bottom w:val="nil"/>
              <w:right w:val="nil"/>
            </w:tcBorders>
            <w:shd w:val="clear" w:color="000000" w:fill="F2F2F2"/>
            <w:noWrap/>
            <w:vAlign w:val="center"/>
            <w:hideMark/>
          </w:tcPr>
          <w:p w14:paraId="63E348E2"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1.745</w:t>
            </w:r>
          </w:p>
        </w:tc>
        <w:tc>
          <w:tcPr>
            <w:tcW w:w="497" w:type="pct"/>
            <w:tcBorders>
              <w:top w:val="nil"/>
              <w:left w:val="nil"/>
              <w:bottom w:val="nil"/>
              <w:right w:val="nil"/>
            </w:tcBorders>
            <w:shd w:val="clear" w:color="000000" w:fill="F2F2F2"/>
            <w:noWrap/>
            <w:vAlign w:val="center"/>
            <w:hideMark/>
          </w:tcPr>
          <w:p w14:paraId="216FF2F9"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21.938</w:t>
            </w:r>
          </w:p>
        </w:tc>
        <w:tc>
          <w:tcPr>
            <w:tcW w:w="550" w:type="pct"/>
            <w:tcBorders>
              <w:top w:val="nil"/>
              <w:left w:val="nil"/>
              <w:bottom w:val="nil"/>
              <w:right w:val="nil"/>
            </w:tcBorders>
            <w:shd w:val="clear" w:color="000000" w:fill="F2F2F2"/>
            <w:noWrap/>
            <w:vAlign w:val="center"/>
            <w:hideMark/>
          </w:tcPr>
          <w:p w14:paraId="5EC9115F"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50</w:t>
            </w:r>
          </w:p>
        </w:tc>
        <w:tc>
          <w:tcPr>
            <w:tcW w:w="500" w:type="pct"/>
            <w:tcBorders>
              <w:top w:val="nil"/>
              <w:left w:val="nil"/>
              <w:bottom w:val="nil"/>
              <w:right w:val="single" w:sz="4" w:space="0" w:color="auto"/>
            </w:tcBorders>
            <w:shd w:val="clear" w:color="000000" w:fill="F2F2F2"/>
            <w:noWrap/>
            <w:vAlign w:val="center"/>
            <w:hideMark/>
          </w:tcPr>
          <w:p w14:paraId="62AC5E53"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6.599</w:t>
            </w:r>
          </w:p>
        </w:tc>
        <w:tc>
          <w:tcPr>
            <w:tcW w:w="497" w:type="pct"/>
            <w:tcBorders>
              <w:top w:val="nil"/>
              <w:left w:val="nil"/>
              <w:bottom w:val="nil"/>
              <w:right w:val="nil"/>
            </w:tcBorders>
            <w:shd w:val="clear" w:color="000000" w:fill="F2F2F2"/>
            <w:noWrap/>
            <w:vAlign w:val="center"/>
            <w:hideMark/>
          </w:tcPr>
          <w:p w14:paraId="09AB76D0"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497" w:type="pct"/>
            <w:tcBorders>
              <w:top w:val="nil"/>
              <w:left w:val="single" w:sz="4" w:space="0" w:color="auto"/>
              <w:bottom w:val="nil"/>
              <w:right w:val="single" w:sz="4" w:space="0" w:color="auto"/>
            </w:tcBorders>
            <w:shd w:val="clear" w:color="000000" w:fill="F2F2F2"/>
            <w:noWrap/>
            <w:vAlign w:val="center"/>
            <w:hideMark/>
          </w:tcPr>
          <w:p w14:paraId="11F9C92E"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64%</w:t>
            </w:r>
          </w:p>
        </w:tc>
      </w:tr>
      <w:tr w:rsidR="00FD4ED3" w:rsidRPr="00650EE4" w14:paraId="36F43932" w14:textId="77777777" w:rsidTr="00EC68FF">
        <w:tc>
          <w:tcPr>
            <w:tcW w:w="965" w:type="pct"/>
            <w:tcBorders>
              <w:top w:val="nil"/>
              <w:left w:val="single" w:sz="4" w:space="0" w:color="auto"/>
              <w:bottom w:val="nil"/>
              <w:right w:val="nil"/>
            </w:tcBorders>
            <w:shd w:val="clear" w:color="000000" w:fill="FFFFFF"/>
            <w:noWrap/>
            <w:vAlign w:val="center"/>
            <w:hideMark/>
          </w:tcPr>
          <w:p w14:paraId="587F5E0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97" w:type="pct"/>
            <w:tcBorders>
              <w:top w:val="nil"/>
              <w:left w:val="single" w:sz="4" w:space="0" w:color="auto"/>
              <w:bottom w:val="nil"/>
              <w:right w:val="nil"/>
            </w:tcBorders>
            <w:shd w:val="clear" w:color="000000" w:fill="FFFFFF"/>
            <w:noWrap/>
            <w:vAlign w:val="center"/>
            <w:hideMark/>
          </w:tcPr>
          <w:p w14:paraId="29467DA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41.055</w:t>
            </w:r>
          </w:p>
        </w:tc>
        <w:tc>
          <w:tcPr>
            <w:tcW w:w="497" w:type="pct"/>
            <w:tcBorders>
              <w:top w:val="nil"/>
              <w:left w:val="nil"/>
              <w:bottom w:val="nil"/>
              <w:right w:val="nil"/>
            </w:tcBorders>
            <w:shd w:val="clear" w:color="000000" w:fill="FFFFFF"/>
            <w:noWrap/>
            <w:vAlign w:val="center"/>
            <w:hideMark/>
          </w:tcPr>
          <w:p w14:paraId="104EF3A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1.137</w:t>
            </w:r>
          </w:p>
        </w:tc>
        <w:tc>
          <w:tcPr>
            <w:tcW w:w="497" w:type="pct"/>
            <w:tcBorders>
              <w:top w:val="nil"/>
              <w:left w:val="nil"/>
              <w:bottom w:val="nil"/>
              <w:right w:val="nil"/>
            </w:tcBorders>
            <w:shd w:val="clear" w:color="000000" w:fill="FFFFFF"/>
            <w:noWrap/>
            <w:vAlign w:val="center"/>
            <w:hideMark/>
          </w:tcPr>
          <w:p w14:paraId="3FE5A61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484</w:t>
            </w:r>
          </w:p>
        </w:tc>
        <w:tc>
          <w:tcPr>
            <w:tcW w:w="497" w:type="pct"/>
            <w:tcBorders>
              <w:top w:val="nil"/>
              <w:left w:val="nil"/>
              <w:bottom w:val="nil"/>
              <w:right w:val="nil"/>
            </w:tcBorders>
            <w:shd w:val="clear" w:color="000000" w:fill="FFFFFF"/>
            <w:noWrap/>
            <w:vAlign w:val="center"/>
            <w:hideMark/>
          </w:tcPr>
          <w:p w14:paraId="6822373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20.666</w:t>
            </w:r>
          </w:p>
        </w:tc>
        <w:tc>
          <w:tcPr>
            <w:tcW w:w="550" w:type="pct"/>
            <w:tcBorders>
              <w:top w:val="nil"/>
              <w:left w:val="nil"/>
              <w:bottom w:val="nil"/>
              <w:right w:val="nil"/>
            </w:tcBorders>
            <w:shd w:val="clear" w:color="000000" w:fill="FFFFFF"/>
            <w:noWrap/>
            <w:vAlign w:val="center"/>
            <w:hideMark/>
          </w:tcPr>
          <w:p w14:paraId="03AE32C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00" w:type="pct"/>
            <w:tcBorders>
              <w:top w:val="nil"/>
              <w:left w:val="nil"/>
              <w:bottom w:val="nil"/>
              <w:right w:val="single" w:sz="4" w:space="0" w:color="auto"/>
            </w:tcBorders>
            <w:shd w:val="clear" w:color="000000" w:fill="FFFFFF"/>
            <w:noWrap/>
            <w:vAlign w:val="center"/>
            <w:hideMark/>
          </w:tcPr>
          <w:p w14:paraId="4CDE82F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6.173</w:t>
            </w:r>
          </w:p>
        </w:tc>
        <w:tc>
          <w:tcPr>
            <w:tcW w:w="497" w:type="pct"/>
            <w:tcBorders>
              <w:top w:val="nil"/>
              <w:left w:val="nil"/>
              <w:bottom w:val="nil"/>
              <w:right w:val="nil"/>
            </w:tcBorders>
            <w:shd w:val="clear" w:color="000000" w:fill="FFFFFF"/>
            <w:noWrap/>
            <w:vAlign w:val="center"/>
            <w:hideMark/>
          </w:tcPr>
          <w:p w14:paraId="0F52F79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97" w:type="pct"/>
            <w:tcBorders>
              <w:top w:val="nil"/>
              <w:left w:val="single" w:sz="4" w:space="0" w:color="auto"/>
              <w:bottom w:val="nil"/>
              <w:right w:val="single" w:sz="4" w:space="0" w:color="auto"/>
            </w:tcBorders>
            <w:shd w:val="clear" w:color="000000" w:fill="FFFFFF"/>
            <w:noWrap/>
            <w:vAlign w:val="center"/>
            <w:hideMark/>
          </w:tcPr>
          <w:p w14:paraId="7CF0A4E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D4ED3" w:rsidRPr="00650EE4" w14:paraId="0E645439" w14:textId="77777777" w:rsidTr="00EC68FF">
        <w:tc>
          <w:tcPr>
            <w:tcW w:w="965" w:type="pct"/>
            <w:tcBorders>
              <w:top w:val="nil"/>
              <w:left w:val="single" w:sz="4" w:space="0" w:color="auto"/>
              <w:bottom w:val="nil"/>
              <w:right w:val="nil"/>
            </w:tcBorders>
            <w:shd w:val="clear" w:color="000000" w:fill="FFFFFF"/>
            <w:noWrap/>
            <w:vAlign w:val="center"/>
            <w:hideMark/>
          </w:tcPr>
          <w:p w14:paraId="5242FB0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97" w:type="pct"/>
            <w:tcBorders>
              <w:top w:val="nil"/>
              <w:left w:val="single" w:sz="4" w:space="0" w:color="auto"/>
              <w:bottom w:val="nil"/>
              <w:right w:val="nil"/>
            </w:tcBorders>
            <w:shd w:val="clear" w:color="000000" w:fill="FFFFFF"/>
            <w:noWrap/>
            <w:vAlign w:val="center"/>
            <w:hideMark/>
          </w:tcPr>
          <w:p w14:paraId="6EA4D01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35.825</w:t>
            </w:r>
          </w:p>
        </w:tc>
        <w:tc>
          <w:tcPr>
            <w:tcW w:w="497" w:type="pct"/>
            <w:tcBorders>
              <w:top w:val="nil"/>
              <w:left w:val="nil"/>
              <w:bottom w:val="nil"/>
              <w:right w:val="nil"/>
            </w:tcBorders>
            <w:shd w:val="clear" w:color="000000" w:fill="FFFFFF"/>
            <w:noWrap/>
            <w:vAlign w:val="center"/>
            <w:hideMark/>
          </w:tcPr>
          <w:p w14:paraId="43CF39E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20.655</w:t>
            </w:r>
          </w:p>
        </w:tc>
        <w:tc>
          <w:tcPr>
            <w:tcW w:w="497" w:type="pct"/>
            <w:tcBorders>
              <w:top w:val="nil"/>
              <w:left w:val="nil"/>
              <w:bottom w:val="nil"/>
              <w:right w:val="nil"/>
            </w:tcBorders>
            <w:shd w:val="clear" w:color="000000" w:fill="FFFFFF"/>
            <w:noWrap/>
            <w:vAlign w:val="center"/>
            <w:hideMark/>
          </w:tcPr>
          <w:p w14:paraId="7FED140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1.261</w:t>
            </w:r>
          </w:p>
        </w:tc>
        <w:tc>
          <w:tcPr>
            <w:tcW w:w="497" w:type="pct"/>
            <w:tcBorders>
              <w:top w:val="nil"/>
              <w:left w:val="nil"/>
              <w:bottom w:val="nil"/>
              <w:right w:val="nil"/>
            </w:tcBorders>
            <w:shd w:val="clear" w:color="000000" w:fill="FFFFFF"/>
            <w:noWrap/>
            <w:vAlign w:val="center"/>
            <w:hideMark/>
          </w:tcPr>
          <w:p w14:paraId="45264AD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1.272</w:t>
            </w:r>
          </w:p>
        </w:tc>
        <w:tc>
          <w:tcPr>
            <w:tcW w:w="550" w:type="pct"/>
            <w:tcBorders>
              <w:top w:val="nil"/>
              <w:left w:val="nil"/>
              <w:bottom w:val="nil"/>
              <w:right w:val="nil"/>
            </w:tcBorders>
            <w:shd w:val="clear" w:color="000000" w:fill="FFFFFF"/>
            <w:noWrap/>
            <w:vAlign w:val="center"/>
            <w:hideMark/>
          </w:tcPr>
          <w:p w14:paraId="69116B4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500" w:type="pct"/>
            <w:tcBorders>
              <w:top w:val="nil"/>
              <w:left w:val="nil"/>
              <w:bottom w:val="nil"/>
              <w:right w:val="single" w:sz="4" w:space="0" w:color="auto"/>
            </w:tcBorders>
            <w:shd w:val="clear" w:color="000000" w:fill="FFFFFF"/>
            <w:noWrap/>
            <w:vAlign w:val="center"/>
            <w:hideMark/>
          </w:tcPr>
          <w:p w14:paraId="5C4D487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426</w:t>
            </w:r>
          </w:p>
        </w:tc>
        <w:tc>
          <w:tcPr>
            <w:tcW w:w="497" w:type="pct"/>
            <w:tcBorders>
              <w:top w:val="nil"/>
              <w:left w:val="nil"/>
              <w:bottom w:val="nil"/>
              <w:right w:val="nil"/>
            </w:tcBorders>
            <w:shd w:val="clear" w:color="000000" w:fill="FFFFFF"/>
            <w:noWrap/>
            <w:vAlign w:val="center"/>
            <w:hideMark/>
          </w:tcPr>
          <w:p w14:paraId="1BE2475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97" w:type="pct"/>
            <w:tcBorders>
              <w:top w:val="nil"/>
              <w:left w:val="single" w:sz="4" w:space="0" w:color="auto"/>
              <w:bottom w:val="nil"/>
              <w:right w:val="single" w:sz="4" w:space="0" w:color="auto"/>
            </w:tcBorders>
            <w:shd w:val="clear" w:color="000000" w:fill="FFFFFF"/>
            <w:noWrap/>
            <w:vAlign w:val="center"/>
            <w:hideMark/>
          </w:tcPr>
          <w:p w14:paraId="52D69D7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FD4ED3" w:rsidRPr="00650EE4" w14:paraId="00F25456" w14:textId="77777777" w:rsidTr="00EC68FF">
        <w:tc>
          <w:tcPr>
            <w:tcW w:w="965" w:type="pct"/>
            <w:tcBorders>
              <w:top w:val="single" w:sz="4" w:space="0" w:color="auto"/>
              <w:left w:val="single" w:sz="4" w:space="0" w:color="auto"/>
              <w:bottom w:val="nil"/>
              <w:right w:val="nil"/>
            </w:tcBorders>
            <w:shd w:val="clear" w:color="000000" w:fill="F2F2F2"/>
            <w:noWrap/>
            <w:vAlign w:val="center"/>
            <w:hideMark/>
          </w:tcPr>
          <w:p w14:paraId="39FFCEB2" w14:textId="77777777" w:rsidR="00FD4ED3" w:rsidRPr="00650EE4" w:rsidRDefault="00FD4ED3" w:rsidP="00FD4ED3">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497" w:type="pct"/>
            <w:tcBorders>
              <w:top w:val="single" w:sz="4" w:space="0" w:color="auto"/>
              <w:left w:val="single" w:sz="4" w:space="0" w:color="auto"/>
              <w:bottom w:val="nil"/>
              <w:right w:val="nil"/>
            </w:tcBorders>
            <w:shd w:val="clear" w:color="000000" w:fill="F2F2F2"/>
            <w:noWrap/>
            <w:vAlign w:val="center"/>
            <w:hideMark/>
          </w:tcPr>
          <w:p w14:paraId="25A96127"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41.718</w:t>
            </w:r>
          </w:p>
        </w:tc>
        <w:tc>
          <w:tcPr>
            <w:tcW w:w="497" w:type="pct"/>
            <w:tcBorders>
              <w:top w:val="single" w:sz="4" w:space="0" w:color="auto"/>
              <w:left w:val="nil"/>
              <w:bottom w:val="nil"/>
              <w:right w:val="nil"/>
            </w:tcBorders>
            <w:shd w:val="clear" w:color="000000" w:fill="F2F2F2"/>
            <w:noWrap/>
            <w:vAlign w:val="center"/>
            <w:hideMark/>
          </w:tcPr>
          <w:p w14:paraId="6E00CA8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15.098</w:t>
            </w:r>
          </w:p>
        </w:tc>
        <w:tc>
          <w:tcPr>
            <w:tcW w:w="497" w:type="pct"/>
            <w:tcBorders>
              <w:top w:val="single" w:sz="4" w:space="0" w:color="auto"/>
              <w:left w:val="nil"/>
              <w:bottom w:val="nil"/>
              <w:right w:val="nil"/>
            </w:tcBorders>
            <w:shd w:val="clear" w:color="000000" w:fill="F2F2F2"/>
            <w:noWrap/>
            <w:vAlign w:val="center"/>
            <w:hideMark/>
          </w:tcPr>
          <w:p w14:paraId="2F661062"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1.840</w:t>
            </w:r>
          </w:p>
        </w:tc>
        <w:tc>
          <w:tcPr>
            <w:tcW w:w="497" w:type="pct"/>
            <w:tcBorders>
              <w:top w:val="single" w:sz="4" w:space="0" w:color="auto"/>
              <w:left w:val="nil"/>
              <w:bottom w:val="nil"/>
              <w:right w:val="nil"/>
            </w:tcBorders>
            <w:shd w:val="clear" w:color="000000" w:fill="F2F2F2"/>
            <w:noWrap/>
            <w:vAlign w:val="center"/>
            <w:hideMark/>
          </w:tcPr>
          <w:p w14:paraId="798F3EC3"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790</w:t>
            </w:r>
          </w:p>
        </w:tc>
        <w:tc>
          <w:tcPr>
            <w:tcW w:w="550" w:type="pct"/>
            <w:tcBorders>
              <w:top w:val="single" w:sz="4" w:space="0" w:color="auto"/>
              <w:left w:val="nil"/>
              <w:bottom w:val="nil"/>
              <w:right w:val="nil"/>
            </w:tcBorders>
            <w:shd w:val="clear" w:color="000000" w:fill="F2F2F2"/>
            <w:noWrap/>
            <w:vAlign w:val="center"/>
            <w:hideMark/>
          </w:tcPr>
          <w:p w14:paraId="0767C3C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11.200</w:t>
            </w:r>
          </w:p>
        </w:tc>
        <w:tc>
          <w:tcPr>
            <w:tcW w:w="500" w:type="pct"/>
            <w:tcBorders>
              <w:top w:val="single" w:sz="4" w:space="0" w:color="auto"/>
              <w:left w:val="nil"/>
              <w:bottom w:val="nil"/>
              <w:right w:val="single" w:sz="4" w:space="0" w:color="auto"/>
            </w:tcBorders>
            <w:shd w:val="clear" w:color="000000" w:fill="F2F2F2"/>
            <w:noWrap/>
            <w:vAlign w:val="center"/>
            <w:hideMark/>
          </w:tcPr>
          <w:p w14:paraId="32CDF2AC"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2.023</w:t>
            </w:r>
          </w:p>
        </w:tc>
        <w:tc>
          <w:tcPr>
            <w:tcW w:w="497" w:type="pct"/>
            <w:tcBorders>
              <w:top w:val="single" w:sz="4" w:space="0" w:color="auto"/>
              <w:left w:val="nil"/>
              <w:bottom w:val="nil"/>
              <w:right w:val="nil"/>
            </w:tcBorders>
            <w:shd w:val="clear" w:color="000000" w:fill="F2F2F2"/>
            <w:noWrap/>
            <w:vAlign w:val="center"/>
            <w:hideMark/>
          </w:tcPr>
          <w:p w14:paraId="21E37A5E"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497" w:type="pct"/>
            <w:tcBorders>
              <w:top w:val="single" w:sz="4" w:space="0" w:color="auto"/>
              <w:left w:val="single" w:sz="4" w:space="0" w:color="auto"/>
              <w:bottom w:val="nil"/>
              <w:right w:val="single" w:sz="4" w:space="0" w:color="auto"/>
            </w:tcBorders>
            <w:shd w:val="clear" w:color="000000" w:fill="F2F2F2"/>
            <w:noWrap/>
            <w:vAlign w:val="center"/>
            <w:hideMark/>
          </w:tcPr>
          <w:p w14:paraId="2EDA1F5F"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w:t>
            </w:r>
          </w:p>
        </w:tc>
      </w:tr>
      <w:tr w:rsidR="00FD4ED3" w:rsidRPr="00650EE4" w14:paraId="19E8F0DE" w14:textId="77777777" w:rsidTr="00EC68FF">
        <w:tc>
          <w:tcPr>
            <w:tcW w:w="965" w:type="pct"/>
            <w:tcBorders>
              <w:top w:val="nil"/>
              <w:left w:val="single" w:sz="4" w:space="0" w:color="auto"/>
              <w:bottom w:val="nil"/>
              <w:right w:val="nil"/>
            </w:tcBorders>
            <w:shd w:val="clear" w:color="000000" w:fill="FFFFFF"/>
            <w:noWrap/>
            <w:vAlign w:val="center"/>
            <w:hideMark/>
          </w:tcPr>
          <w:p w14:paraId="6B9A0C08"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97" w:type="pct"/>
            <w:tcBorders>
              <w:top w:val="nil"/>
              <w:left w:val="single" w:sz="4" w:space="0" w:color="auto"/>
              <w:bottom w:val="nil"/>
              <w:right w:val="nil"/>
            </w:tcBorders>
            <w:shd w:val="clear" w:color="000000" w:fill="FFFFFF"/>
            <w:noWrap/>
            <w:vAlign w:val="center"/>
            <w:hideMark/>
          </w:tcPr>
          <w:p w14:paraId="0FCC6FD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17.890</w:t>
            </w:r>
          </w:p>
        </w:tc>
        <w:tc>
          <w:tcPr>
            <w:tcW w:w="497" w:type="pct"/>
            <w:tcBorders>
              <w:top w:val="nil"/>
              <w:left w:val="nil"/>
              <w:bottom w:val="nil"/>
              <w:right w:val="nil"/>
            </w:tcBorders>
            <w:shd w:val="clear" w:color="000000" w:fill="FFFFFF"/>
            <w:noWrap/>
            <w:vAlign w:val="center"/>
            <w:hideMark/>
          </w:tcPr>
          <w:p w14:paraId="30EC585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8.618</w:t>
            </w:r>
          </w:p>
        </w:tc>
        <w:tc>
          <w:tcPr>
            <w:tcW w:w="497" w:type="pct"/>
            <w:tcBorders>
              <w:top w:val="nil"/>
              <w:left w:val="nil"/>
              <w:bottom w:val="nil"/>
              <w:right w:val="nil"/>
            </w:tcBorders>
            <w:shd w:val="clear" w:color="000000" w:fill="FFFFFF"/>
            <w:noWrap/>
            <w:vAlign w:val="center"/>
            <w:hideMark/>
          </w:tcPr>
          <w:p w14:paraId="7604C58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557</w:t>
            </w:r>
          </w:p>
        </w:tc>
        <w:tc>
          <w:tcPr>
            <w:tcW w:w="497" w:type="pct"/>
            <w:tcBorders>
              <w:top w:val="nil"/>
              <w:left w:val="nil"/>
              <w:bottom w:val="nil"/>
              <w:right w:val="nil"/>
            </w:tcBorders>
            <w:shd w:val="clear" w:color="000000" w:fill="FFFFFF"/>
            <w:noWrap/>
            <w:vAlign w:val="center"/>
            <w:hideMark/>
          </w:tcPr>
          <w:p w14:paraId="301AF5C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159</w:t>
            </w:r>
          </w:p>
        </w:tc>
        <w:tc>
          <w:tcPr>
            <w:tcW w:w="550" w:type="pct"/>
            <w:tcBorders>
              <w:top w:val="nil"/>
              <w:left w:val="nil"/>
              <w:bottom w:val="nil"/>
              <w:right w:val="nil"/>
            </w:tcBorders>
            <w:shd w:val="clear" w:color="000000" w:fill="FFFFFF"/>
            <w:noWrap/>
            <w:vAlign w:val="center"/>
            <w:hideMark/>
          </w:tcPr>
          <w:p w14:paraId="1552D6F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6.932</w:t>
            </w:r>
          </w:p>
        </w:tc>
        <w:tc>
          <w:tcPr>
            <w:tcW w:w="500" w:type="pct"/>
            <w:tcBorders>
              <w:top w:val="nil"/>
              <w:left w:val="nil"/>
              <w:bottom w:val="nil"/>
              <w:right w:val="single" w:sz="4" w:space="0" w:color="auto"/>
            </w:tcBorders>
            <w:shd w:val="clear" w:color="000000" w:fill="FFFFFF"/>
            <w:noWrap/>
            <w:vAlign w:val="center"/>
            <w:hideMark/>
          </w:tcPr>
          <w:p w14:paraId="260E74A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1.334</w:t>
            </w:r>
          </w:p>
        </w:tc>
        <w:tc>
          <w:tcPr>
            <w:tcW w:w="497" w:type="pct"/>
            <w:tcBorders>
              <w:top w:val="nil"/>
              <w:left w:val="nil"/>
              <w:bottom w:val="nil"/>
              <w:right w:val="nil"/>
            </w:tcBorders>
            <w:shd w:val="clear" w:color="000000" w:fill="FFFFFF"/>
            <w:noWrap/>
            <w:vAlign w:val="center"/>
            <w:hideMark/>
          </w:tcPr>
          <w:p w14:paraId="139D6B0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97" w:type="pct"/>
            <w:tcBorders>
              <w:top w:val="nil"/>
              <w:left w:val="single" w:sz="4" w:space="0" w:color="auto"/>
              <w:bottom w:val="nil"/>
              <w:right w:val="single" w:sz="4" w:space="0" w:color="auto"/>
            </w:tcBorders>
            <w:shd w:val="clear" w:color="000000" w:fill="FFFFFF"/>
            <w:noWrap/>
            <w:vAlign w:val="center"/>
            <w:hideMark/>
          </w:tcPr>
          <w:p w14:paraId="1920C9C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D4ED3" w:rsidRPr="00650EE4" w14:paraId="28B03C1A" w14:textId="77777777" w:rsidTr="00EC68FF">
        <w:tc>
          <w:tcPr>
            <w:tcW w:w="965" w:type="pct"/>
            <w:tcBorders>
              <w:top w:val="nil"/>
              <w:left w:val="single" w:sz="4" w:space="0" w:color="auto"/>
              <w:bottom w:val="nil"/>
              <w:right w:val="nil"/>
            </w:tcBorders>
            <w:shd w:val="clear" w:color="000000" w:fill="FFFFFF"/>
            <w:noWrap/>
            <w:vAlign w:val="center"/>
            <w:hideMark/>
          </w:tcPr>
          <w:p w14:paraId="186D42E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97" w:type="pct"/>
            <w:tcBorders>
              <w:top w:val="nil"/>
              <w:left w:val="single" w:sz="4" w:space="0" w:color="auto"/>
              <w:bottom w:val="nil"/>
              <w:right w:val="nil"/>
            </w:tcBorders>
            <w:shd w:val="clear" w:color="000000" w:fill="FFFFFF"/>
            <w:noWrap/>
            <w:vAlign w:val="center"/>
            <w:hideMark/>
          </w:tcPr>
          <w:p w14:paraId="32AB57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6.786</w:t>
            </w:r>
          </w:p>
        </w:tc>
        <w:tc>
          <w:tcPr>
            <w:tcW w:w="497" w:type="pct"/>
            <w:tcBorders>
              <w:top w:val="nil"/>
              <w:left w:val="nil"/>
              <w:bottom w:val="nil"/>
              <w:right w:val="nil"/>
            </w:tcBorders>
            <w:shd w:val="clear" w:color="000000" w:fill="FFFFFF"/>
            <w:noWrap/>
            <w:vAlign w:val="center"/>
            <w:hideMark/>
          </w:tcPr>
          <w:p w14:paraId="723A58F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1.695</w:t>
            </w:r>
          </w:p>
        </w:tc>
        <w:tc>
          <w:tcPr>
            <w:tcW w:w="497" w:type="pct"/>
            <w:tcBorders>
              <w:top w:val="nil"/>
              <w:left w:val="nil"/>
              <w:bottom w:val="nil"/>
              <w:right w:val="nil"/>
            </w:tcBorders>
            <w:shd w:val="clear" w:color="000000" w:fill="FFFFFF"/>
            <w:noWrap/>
            <w:vAlign w:val="center"/>
            <w:hideMark/>
          </w:tcPr>
          <w:p w14:paraId="4373DC9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752</w:t>
            </w:r>
          </w:p>
        </w:tc>
        <w:tc>
          <w:tcPr>
            <w:tcW w:w="497" w:type="pct"/>
            <w:tcBorders>
              <w:top w:val="nil"/>
              <w:left w:val="nil"/>
              <w:bottom w:val="nil"/>
              <w:right w:val="nil"/>
            </w:tcBorders>
            <w:shd w:val="clear" w:color="000000" w:fill="FFFFFF"/>
            <w:noWrap/>
            <w:vAlign w:val="center"/>
            <w:hideMark/>
          </w:tcPr>
          <w:p w14:paraId="4EE347A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79</w:t>
            </w:r>
          </w:p>
        </w:tc>
        <w:tc>
          <w:tcPr>
            <w:tcW w:w="550" w:type="pct"/>
            <w:tcBorders>
              <w:top w:val="nil"/>
              <w:left w:val="nil"/>
              <w:bottom w:val="nil"/>
              <w:right w:val="nil"/>
            </w:tcBorders>
            <w:shd w:val="clear" w:color="000000" w:fill="FFFFFF"/>
            <w:noWrap/>
            <w:vAlign w:val="center"/>
            <w:hideMark/>
          </w:tcPr>
          <w:p w14:paraId="003FC81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707</w:t>
            </w:r>
          </w:p>
        </w:tc>
        <w:tc>
          <w:tcPr>
            <w:tcW w:w="500" w:type="pct"/>
            <w:tcBorders>
              <w:top w:val="nil"/>
              <w:left w:val="nil"/>
              <w:bottom w:val="nil"/>
              <w:right w:val="single" w:sz="4" w:space="0" w:color="auto"/>
            </w:tcBorders>
            <w:shd w:val="clear" w:color="000000" w:fill="FFFFFF"/>
            <w:noWrap/>
            <w:vAlign w:val="center"/>
            <w:hideMark/>
          </w:tcPr>
          <w:p w14:paraId="29EC546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w:t>
            </w:r>
          </w:p>
        </w:tc>
        <w:tc>
          <w:tcPr>
            <w:tcW w:w="497" w:type="pct"/>
            <w:tcBorders>
              <w:top w:val="nil"/>
              <w:left w:val="nil"/>
              <w:bottom w:val="nil"/>
              <w:right w:val="nil"/>
            </w:tcBorders>
            <w:shd w:val="clear" w:color="000000" w:fill="FFFFFF"/>
            <w:noWrap/>
            <w:vAlign w:val="center"/>
            <w:hideMark/>
          </w:tcPr>
          <w:p w14:paraId="6A6ECDC8"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97" w:type="pct"/>
            <w:tcBorders>
              <w:top w:val="nil"/>
              <w:left w:val="single" w:sz="4" w:space="0" w:color="auto"/>
              <w:bottom w:val="nil"/>
              <w:right w:val="single" w:sz="4" w:space="0" w:color="auto"/>
            </w:tcBorders>
            <w:shd w:val="clear" w:color="000000" w:fill="FFFFFF"/>
            <w:noWrap/>
            <w:vAlign w:val="center"/>
            <w:hideMark/>
          </w:tcPr>
          <w:p w14:paraId="37D95C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D4ED3" w:rsidRPr="00650EE4" w14:paraId="44D81582" w14:textId="77777777" w:rsidTr="00EC68FF">
        <w:tc>
          <w:tcPr>
            <w:tcW w:w="965" w:type="pct"/>
            <w:tcBorders>
              <w:top w:val="nil"/>
              <w:left w:val="single" w:sz="4" w:space="0" w:color="auto"/>
              <w:bottom w:val="nil"/>
              <w:right w:val="nil"/>
            </w:tcBorders>
            <w:shd w:val="clear" w:color="000000" w:fill="FFFFFF"/>
            <w:noWrap/>
            <w:vAlign w:val="center"/>
            <w:hideMark/>
          </w:tcPr>
          <w:p w14:paraId="0BFE6A5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97" w:type="pct"/>
            <w:tcBorders>
              <w:top w:val="nil"/>
              <w:left w:val="single" w:sz="4" w:space="0" w:color="auto"/>
              <w:bottom w:val="nil"/>
              <w:right w:val="nil"/>
            </w:tcBorders>
            <w:shd w:val="clear" w:color="000000" w:fill="FFFFFF"/>
            <w:noWrap/>
            <w:vAlign w:val="center"/>
            <w:hideMark/>
          </w:tcPr>
          <w:p w14:paraId="3A417A1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5.251</w:t>
            </w:r>
          </w:p>
        </w:tc>
        <w:tc>
          <w:tcPr>
            <w:tcW w:w="497" w:type="pct"/>
            <w:tcBorders>
              <w:top w:val="nil"/>
              <w:left w:val="nil"/>
              <w:bottom w:val="nil"/>
              <w:right w:val="nil"/>
            </w:tcBorders>
            <w:shd w:val="clear" w:color="000000" w:fill="FFFFFF"/>
            <w:noWrap/>
            <w:vAlign w:val="center"/>
            <w:hideMark/>
          </w:tcPr>
          <w:p w14:paraId="7CF5CE4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2.817</w:t>
            </w:r>
          </w:p>
        </w:tc>
        <w:tc>
          <w:tcPr>
            <w:tcW w:w="497" w:type="pct"/>
            <w:tcBorders>
              <w:top w:val="nil"/>
              <w:left w:val="nil"/>
              <w:bottom w:val="nil"/>
              <w:right w:val="nil"/>
            </w:tcBorders>
            <w:shd w:val="clear" w:color="000000" w:fill="FFFFFF"/>
            <w:noWrap/>
            <w:vAlign w:val="center"/>
            <w:hideMark/>
          </w:tcPr>
          <w:p w14:paraId="7CF822C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112</w:t>
            </w:r>
          </w:p>
        </w:tc>
        <w:tc>
          <w:tcPr>
            <w:tcW w:w="497" w:type="pct"/>
            <w:tcBorders>
              <w:top w:val="nil"/>
              <w:left w:val="nil"/>
              <w:bottom w:val="nil"/>
              <w:right w:val="nil"/>
            </w:tcBorders>
            <w:shd w:val="clear" w:color="000000" w:fill="FFFFFF"/>
            <w:noWrap/>
            <w:vAlign w:val="center"/>
            <w:hideMark/>
          </w:tcPr>
          <w:p w14:paraId="565C39F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w:t>
            </w:r>
          </w:p>
        </w:tc>
        <w:tc>
          <w:tcPr>
            <w:tcW w:w="550" w:type="pct"/>
            <w:tcBorders>
              <w:top w:val="nil"/>
              <w:left w:val="nil"/>
              <w:bottom w:val="nil"/>
              <w:right w:val="nil"/>
            </w:tcBorders>
            <w:shd w:val="clear" w:color="000000" w:fill="FFFFFF"/>
            <w:noWrap/>
            <w:vAlign w:val="center"/>
            <w:hideMark/>
          </w:tcPr>
          <w:p w14:paraId="2B2784D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500" w:type="pct"/>
            <w:tcBorders>
              <w:top w:val="nil"/>
              <w:left w:val="nil"/>
              <w:bottom w:val="nil"/>
              <w:right w:val="single" w:sz="4" w:space="0" w:color="auto"/>
            </w:tcBorders>
            <w:shd w:val="clear" w:color="000000" w:fill="FFFFFF"/>
            <w:noWrap/>
            <w:vAlign w:val="center"/>
            <w:hideMark/>
          </w:tcPr>
          <w:p w14:paraId="261F8E4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497" w:type="pct"/>
            <w:tcBorders>
              <w:top w:val="nil"/>
              <w:left w:val="nil"/>
              <w:bottom w:val="nil"/>
              <w:right w:val="nil"/>
            </w:tcBorders>
            <w:shd w:val="clear" w:color="000000" w:fill="FFFFFF"/>
            <w:noWrap/>
            <w:vAlign w:val="center"/>
            <w:hideMark/>
          </w:tcPr>
          <w:p w14:paraId="23A2551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97" w:type="pct"/>
            <w:tcBorders>
              <w:top w:val="nil"/>
              <w:left w:val="single" w:sz="4" w:space="0" w:color="auto"/>
              <w:bottom w:val="nil"/>
              <w:right w:val="single" w:sz="4" w:space="0" w:color="auto"/>
            </w:tcBorders>
            <w:shd w:val="clear" w:color="000000" w:fill="FFFFFF"/>
            <w:noWrap/>
            <w:vAlign w:val="center"/>
            <w:hideMark/>
          </w:tcPr>
          <w:p w14:paraId="25A84E7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FD4ED3" w:rsidRPr="00650EE4" w14:paraId="58A09F8D" w14:textId="77777777" w:rsidTr="00EC68FF">
        <w:tc>
          <w:tcPr>
            <w:tcW w:w="965" w:type="pct"/>
            <w:tcBorders>
              <w:top w:val="nil"/>
              <w:left w:val="single" w:sz="4" w:space="0" w:color="auto"/>
              <w:bottom w:val="nil"/>
              <w:right w:val="nil"/>
            </w:tcBorders>
            <w:shd w:val="clear" w:color="000000" w:fill="FFFFFF"/>
            <w:noWrap/>
            <w:vAlign w:val="center"/>
            <w:hideMark/>
          </w:tcPr>
          <w:p w14:paraId="30BDFEF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97" w:type="pct"/>
            <w:tcBorders>
              <w:top w:val="nil"/>
              <w:left w:val="single" w:sz="4" w:space="0" w:color="auto"/>
              <w:bottom w:val="nil"/>
              <w:right w:val="nil"/>
            </w:tcBorders>
            <w:shd w:val="clear" w:color="000000" w:fill="FFFFFF"/>
            <w:noWrap/>
            <w:vAlign w:val="center"/>
            <w:hideMark/>
          </w:tcPr>
          <w:p w14:paraId="03EBCC7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3.221</w:t>
            </w:r>
          </w:p>
        </w:tc>
        <w:tc>
          <w:tcPr>
            <w:tcW w:w="497" w:type="pct"/>
            <w:tcBorders>
              <w:top w:val="nil"/>
              <w:left w:val="nil"/>
              <w:bottom w:val="nil"/>
              <w:right w:val="nil"/>
            </w:tcBorders>
            <w:shd w:val="clear" w:color="000000" w:fill="FFFFFF"/>
            <w:noWrap/>
            <w:vAlign w:val="center"/>
            <w:hideMark/>
          </w:tcPr>
          <w:p w14:paraId="080F863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833</w:t>
            </w:r>
          </w:p>
        </w:tc>
        <w:tc>
          <w:tcPr>
            <w:tcW w:w="497" w:type="pct"/>
            <w:tcBorders>
              <w:top w:val="nil"/>
              <w:left w:val="nil"/>
              <w:bottom w:val="nil"/>
              <w:right w:val="nil"/>
            </w:tcBorders>
            <w:shd w:val="clear" w:color="000000" w:fill="FFFFFF"/>
            <w:noWrap/>
            <w:vAlign w:val="center"/>
            <w:hideMark/>
          </w:tcPr>
          <w:p w14:paraId="569C9A0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497" w:type="pct"/>
            <w:tcBorders>
              <w:top w:val="nil"/>
              <w:left w:val="nil"/>
              <w:bottom w:val="nil"/>
              <w:right w:val="nil"/>
            </w:tcBorders>
            <w:shd w:val="clear" w:color="000000" w:fill="FFFFFF"/>
            <w:noWrap/>
            <w:vAlign w:val="center"/>
            <w:hideMark/>
          </w:tcPr>
          <w:p w14:paraId="50CF267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w:t>
            </w:r>
          </w:p>
        </w:tc>
        <w:tc>
          <w:tcPr>
            <w:tcW w:w="550" w:type="pct"/>
            <w:tcBorders>
              <w:top w:val="nil"/>
              <w:left w:val="nil"/>
              <w:bottom w:val="nil"/>
              <w:right w:val="nil"/>
            </w:tcBorders>
            <w:shd w:val="clear" w:color="000000" w:fill="FFFFFF"/>
            <w:noWrap/>
            <w:vAlign w:val="center"/>
            <w:hideMark/>
          </w:tcPr>
          <w:p w14:paraId="3604589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2.716</w:t>
            </w:r>
          </w:p>
        </w:tc>
        <w:tc>
          <w:tcPr>
            <w:tcW w:w="500" w:type="pct"/>
            <w:tcBorders>
              <w:top w:val="nil"/>
              <w:left w:val="nil"/>
              <w:bottom w:val="nil"/>
              <w:right w:val="single" w:sz="4" w:space="0" w:color="auto"/>
            </w:tcBorders>
            <w:shd w:val="clear" w:color="000000" w:fill="FFFFFF"/>
            <w:noWrap/>
            <w:vAlign w:val="center"/>
            <w:hideMark/>
          </w:tcPr>
          <w:p w14:paraId="5FC8324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130</w:t>
            </w:r>
          </w:p>
        </w:tc>
        <w:tc>
          <w:tcPr>
            <w:tcW w:w="497" w:type="pct"/>
            <w:tcBorders>
              <w:top w:val="nil"/>
              <w:left w:val="nil"/>
              <w:bottom w:val="nil"/>
              <w:right w:val="nil"/>
            </w:tcBorders>
            <w:shd w:val="clear" w:color="000000" w:fill="FFFFFF"/>
            <w:noWrap/>
            <w:vAlign w:val="center"/>
            <w:hideMark/>
          </w:tcPr>
          <w:p w14:paraId="1E3DFDA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97" w:type="pct"/>
            <w:tcBorders>
              <w:top w:val="nil"/>
              <w:left w:val="single" w:sz="4" w:space="0" w:color="auto"/>
              <w:bottom w:val="nil"/>
              <w:right w:val="single" w:sz="4" w:space="0" w:color="auto"/>
            </w:tcBorders>
            <w:shd w:val="clear" w:color="000000" w:fill="FFFFFF"/>
            <w:noWrap/>
            <w:vAlign w:val="center"/>
            <w:hideMark/>
          </w:tcPr>
          <w:p w14:paraId="4B38AF0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r>
      <w:tr w:rsidR="00FD4ED3" w:rsidRPr="00650EE4" w14:paraId="63EB1824" w14:textId="77777777" w:rsidTr="00EC68FF">
        <w:tc>
          <w:tcPr>
            <w:tcW w:w="965" w:type="pct"/>
            <w:tcBorders>
              <w:top w:val="nil"/>
              <w:left w:val="single" w:sz="4" w:space="0" w:color="auto"/>
              <w:bottom w:val="nil"/>
              <w:right w:val="nil"/>
            </w:tcBorders>
            <w:shd w:val="clear" w:color="000000" w:fill="FFFFFF"/>
            <w:noWrap/>
            <w:vAlign w:val="center"/>
            <w:hideMark/>
          </w:tcPr>
          <w:p w14:paraId="2515BA8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97" w:type="pct"/>
            <w:tcBorders>
              <w:top w:val="nil"/>
              <w:left w:val="single" w:sz="4" w:space="0" w:color="auto"/>
              <w:bottom w:val="nil"/>
              <w:right w:val="nil"/>
            </w:tcBorders>
            <w:shd w:val="clear" w:color="000000" w:fill="FFFFFF"/>
            <w:noWrap/>
            <w:vAlign w:val="center"/>
            <w:hideMark/>
          </w:tcPr>
          <w:p w14:paraId="4DA2239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2.439</w:t>
            </w:r>
          </w:p>
        </w:tc>
        <w:tc>
          <w:tcPr>
            <w:tcW w:w="497" w:type="pct"/>
            <w:tcBorders>
              <w:top w:val="nil"/>
              <w:left w:val="nil"/>
              <w:bottom w:val="nil"/>
              <w:right w:val="nil"/>
            </w:tcBorders>
            <w:shd w:val="clear" w:color="000000" w:fill="FFFFFF"/>
            <w:noWrap/>
            <w:vAlign w:val="center"/>
            <w:hideMark/>
          </w:tcPr>
          <w:p w14:paraId="603B269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431</w:t>
            </w:r>
          </w:p>
        </w:tc>
        <w:tc>
          <w:tcPr>
            <w:tcW w:w="497" w:type="pct"/>
            <w:tcBorders>
              <w:top w:val="nil"/>
              <w:left w:val="nil"/>
              <w:bottom w:val="nil"/>
              <w:right w:val="nil"/>
            </w:tcBorders>
            <w:shd w:val="clear" w:color="000000" w:fill="FFFFFF"/>
            <w:noWrap/>
            <w:vAlign w:val="center"/>
            <w:hideMark/>
          </w:tcPr>
          <w:p w14:paraId="5843B86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97" w:type="pct"/>
            <w:tcBorders>
              <w:top w:val="nil"/>
              <w:left w:val="nil"/>
              <w:bottom w:val="nil"/>
              <w:right w:val="nil"/>
            </w:tcBorders>
            <w:shd w:val="clear" w:color="000000" w:fill="FFFFFF"/>
            <w:noWrap/>
            <w:vAlign w:val="center"/>
            <w:hideMark/>
          </w:tcPr>
          <w:p w14:paraId="39055F6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550" w:type="pct"/>
            <w:tcBorders>
              <w:top w:val="nil"/>
              <w:left w:val="nil"/>
              <w:bottom w:val="nil"/>
              <w:right w:val="nil"/>
            </w:tcBorders>
            <w:shd w:val="clear" w:color="000000" w:fill="FFFFFF"/>
            <w:noWrap/>
            <w:vAlign w:val="center"/>
            <w:hideMark/>
          </w:tcPr>
          <w:p w14:paraId="1E2A613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0" w:type="pct"/>
            <w:tcBorders>
              <w:top w:val="nil"/>
              <w:left w:val="nil"/>
              <w:bottom w:val="nil"/>
              <w:right w:val="single" w:sz="4" w:space="0" w:color="auto"/>
            </w:tcBorders>
            <w:shd w:val="clear" w:color="000000" w:fill="FFFFFF"/>
            <w:noWrap/>
            <w:vAlign w:val="center"/>
            <w:hideMark/>
          </w:tcPr>
          <w:p w14:paraId="5AE0508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497" w:type="pct"/>
            <w:tcBorders>
              <w:top w:val="nil"/>
              <w:left w:val="nil"/>
              <w:bottom w:val="nil"/>
              <w:right w:val="nil"/>
            </w:tcBorders>
            <w:shd w:val="clear" w:color="000000" w:fill="FFFFFF"/>
            <w:noWrap/>
            <w:vAlign w:val="center"/>
            <w:hideMark/>
          </w:tcPr>
          <w:p w14:paraId="6A7EF55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97" w:type="pct"/>
            <w:tcBorders>
              <w:top w:val="nil"/>
              <w:left w:val="single" w:sz="4" w:space="0" w:color="auto"/>
              <w:bottom w:val="nil"/>
              <w:right w:val="single" w:sz="4" w:space="0" w:color="auto"/>
            </w:tcBorders>
            <w:shd w:val="clear" w:color="000000" w:fill="FFFFFF"/>
            <w:noWrap/>
            <w:vAlign w:val="center"/>
            <w:hideMark/>
          </w:tcPr>
          <w:p w14:paraId="23969BF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FD4ED3" w:rsidRPr="00650EE4" w14:paraId="634B4407" w14:textId="77777777" w:rsidTr="00EC68FF">
        <w:tc>
          <w:tcPr>
            <w:tcW w:w="965" w:type="pct"/>
            <w:tcBorders>
              <w:top w:val="nil"/>
              <w:left w:val="single" w:sz="4" w:space="0" w:color="auto"/>
              <w:bottom w:val="nil"/>
              <w:right w:val="nil"/>
            </w:tcBorders>
            <w:shd w:val="clear" w:color="000000" w:fill="FFFFFF"/>
            <w:noWrap/>
            <w:vAlign w:val="center"/>
            <w:hideMark/>
          </w:tcPr>
          <w:p w14:paraId="4D0A181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97" w:type="pct"/>
            <w:tcBorders>
              <w:top w:val="nil"/>
              <w:left w:val="single" w:sz="4" w:space="0" w:color="auto"/>
              <w:bottom w:val="nil"/>
              <w:right w:val="nil"/>
            </w:tcBorders>
            <w:shd w:val="clear" w:color="000000" w:fill="FFFFFF"/>
            <w:noWrap/>
            <w:vAlign w:val="center"/>
            <w:hideMark/>
          </w:tcPr>
          <w:p w14:paraId="174BCDC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1.825</w:t>
            </w:r>
          </w:p>
        </w:tc>
        <w:tc>
          <w:tcPr>
            <w:tcW w:w="497" w:type="pct"/>
            <w:tcBorders>
              <w:top w:val="nil"/>
              <w:left w:val="nil"/>
              <w:bottom w:val="nil"/>
              <w:right w:val="nil"/>
            </w:tcBorders>
            <w:shd w:val="clear" w:color="000000" w:fill="FFFFFF"/>
            <w:noWrap/>
            <w:vAlign w:val="center"/>
            <w:hideMark/>
          </w:tcPr>
          <w:p w14:paraId="522127F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497" w:type="pct"/>
            <w:tcBorders>
              <w:top w:val="nil"/>
              <w:left w:val="nil"/>
              <w:bottom w:val="nil"/>
              <w:right w:val="nil"/>
            </w:tcBorders>
            <w:shd w:val="clear" w:color="000000" w:fill="FFFFFF"/>
            <w:noWrap/>
            <w:vAlign w:val="center"/>
            <w:hideMark/>
          </w:tcPr>
          <w:p w14:paraId="5D0670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140</w:t>
            </w:r>
          </w:p>
        </w:tc>
        <w:tc>
          <w:tcPr>
            <w:tcW w:w="497" w:type="pct"/>
            <w:tcBorders>
              <w:top w:val="nil"/>
              <w:left w:val="nil"/>
              <w:bottom w:val="nil"/>
              <w:right w:val="nil"/>
            </w:tcBorders>
            <w:shd w:val="clear" w:color="000000" w:fill="FFFFFF"/>
            <w:noWrap/>
            <w:vAlign w:val="center"/>
            <w:hideMark/>
          </w:tcPr>
          <w:p w14:paraId="5B0422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w:t>
            </w:r>
          </w:p>
        </w:tc>
        <w:tc>
          <w:tcPr>
            <w:tcW w:w="550" w:type="pct"/>
            <w:tcBorders>
              <w:top w:val="nil"/>
              <w:left w:val="nil"/>
              <w:bottom w:val="nil"/>
              <w:right w:val="nil"/>
            </w:tcBorders>
            <w:shd w:val="clear" w:color="000000" w:fill="FFFFFF"/>
            <w:noWrap/>
            <w:vAlign w:val="center"/>
            <w:hideMark/>
          </w:tcPr>
          <w:p w14:paraId="4899E81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w:t>
            </w:r>
          </w:p>
        </w:tc>
        <w:tc>
          <w:tcPr>
            <w:tcW w:w="500" w:type="pct"/>
            <w:tcBorders>
              <w:top w:val="nil"/>
              <w:left w:val="nil"/>
              <w:bottom w:val="nil"/>
              <w:right w:val="single" w:sz="4" w:space="0" w:color="auto"/>
            </w:tcBorders>
            <w:shd w:val="clear" w:color="000000" w:fill="FFFFFF"/>
            <w:noWrap/>
            <w:vAlign w:val="center"/>
            <w:hideMark/>
          </w:tcPr>
          <w:p w14:paraId="536A999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228</w:t>
            </w:r>
          </w:p>
        </w:tc>
        <w:tc>
          <w:tcPr>
            <w:tcW w:w="497" w:type="pct"/>
            <w:tcBorders>
              <w:top w:val="nil"/>
              <w:left w:val="nil"/>
              <w:bottom w:val="nil"/>
              <w:right w:val="nil"/>
            </w:tcBorders>
            <w:shd w:val="clear" w:color="000000" w:fill="FFFFFF"/>
            <w:noWrap/>
            <w:vAlign w:val="center"/>
            <w:hideMark/>
          </w:tcPr>
          <w:p w14:paraId="3B94309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97" w:type="pct"/>
            <w:tcBorders>
              <w:top w:val="nil"/>
              <w:left w:val="single" w:sz="4" w:space="0" w:color="auto"/>
              <w:bottom w:val="nil"/>
              <w:right w:val="single" w:sz="4" w:space="0" w:color="auto"/>
            </w:tcBorders>
            <w:shd w:val="clear" w:color="000000" w:fill="FFFFFF"/>
            <w:noWrap/>
            <w:vAlign w:val="center"/>
            <w:hideMark/>
          </w:tcPr>
          <w:p w14:paraId="3F19FEA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FD4ED3" w:rsidRPr="00650EE4" w14:paraId="68C74C5B" w14:textId="77777777" w:rsidTr="00EC68FF">
        <w:tc>
          <w:tcPr>
            <w:tcW w:w="965" w:type="pct"/>
            <w:tcBorders>
              <w:top w:val="nil"/>
              <w:left w:val="single" w:sz="4" w:space="0" w:color="auto"/>
              <w:bottom w:val="nil"/>
              <w:right w:val="nil"/>
            </w:tcBorders>
            <w:shd w:val="clear" w:color="000000" w:fill="FFFFFF"/>
            <w:noWrap/>
            <w:vAlign w:val="center"/>
            <w:hideMark/>
          </w:tcPr>
          <w:p w14:paraId="597DA7F1"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97" w:type="pct"/>
            <w:tcBorders>
              <w:top w:val="nil"/>
              <w:left w:val="single" w:sz="4" w:space="0" w:color="auto"/>
              <w:bottom w:val="nil"/>
              <w:right w:val="nil"/>
            </w:tcBorders>
            <w:shd w:val="clear" w:color="000000" w:fill="FFFFFF"/>
            <w:noWrap/>
            <w:vAlign w:val="center"/>
            <w:hideMark/>
          </w:tcPr>
          <w:p w14:paraId="44A0BBD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1.795</w:t>
            </w:r>
          </w:p>
        </w:tc>
        <w:tc>
          <w:tcPr>
            <w:tcW w:w="497" w:type="pct"/>
            <w:tcBorders>
              <w:top w:val="nil"/>
              <w:left w:val="nil"/>
              <w:bottom w:val="nil"/>
              <w:right w:val="nil"/>
            </w:tcBorders>
            <w:shd w:val="clear" w:color="000000" w:fill="FFFFFF"/>
            <w:noWrap/>
            <w:vAlign w:val="center"/>
            <w:hideMark/>
          </w:tcPr>
          <w:p w14:paraId="6553FC0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255</w:t>
            </w:r>
          </w:p>
        </w:tc>
        <w:tc>
          <w:tcPr>
            <w:tcW w:w="497" w:type="pct"/>
            <w:tcBorders>
              <w:top w:val="nil"/>
              <w:left w:val="nil"/>
              <w:bottom w:val="nil"/>
              <w:right w:val="nil"/>
            </w:tcBorders>
            <w:shd w:val="clear" w:color="000000" w:fill="FFFFFF"/>
            <w:noWrap/>
            <w:vAlign w:val="center"/>
            <w:hideMark/>
          </w:tcPr>
          <w:p w14:paraId="61F8843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497" w:type="pct"/>
            <w:tcBorders>
              <w:top w:val="nil"/>
              <w:left w:val="nil"/>
              <w:bottom w:val="nil"/>
              <w:right w:val="nil"/>
            </w:tcBorders>
            <w:shd w:val="clear" w:color="000000" w:fill="FFFFFF"/>
            <w:noWrap/>
            <w:vAlign w:val="center"/>
            <w:hideMark/>
          </w:tcPr>
          <w:p w14:paraId="15F50C7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50" w:type="pct"/>
            <w:tcBorders>
              <w:top w:val="nil"/>
              <w:left w:val="nil"/>
              <w:bottom w:val="nil"/>
              <w:right w:val="nil"/>
            </w:tcBorders>
            <w:shd w:val="clear" w:color="000000" w:fill="FFFFFF"/>
            <w:noWrap/>
            <w:vAlign w:val="center"/>
            <w:hideMark/>
          </w:tcPr>
          <w:p w14:paraId="74ED27C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500" w:type="pct"/>
            <w:tcBorders>
              <w:top w:val="nil"/>
              <w:left w:val="nil"/>
              <w:bottom w:val="nil"/>
              <w:right w:val="single" w:sz="4" w:space="0" w:color="auto"/>
            </w:tcBorders>
            <w:shd w:val="clear" w:color="000000" w:fill="FFFFFF"/>
            <w:noWrap/>
            <w:vAlign w:val="center"/>
            <w:hideMark/>
          </w:tcPr>
          <w:p w14:paraId="491C97C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w:t>
            </w:r>
          </w:p>
        </w:tc>
        <w:tc>
          <w:tcPr>
            <w:tcW w:w="497" w:type="pct"/>
            <w:tcBorders>
              <w:top w:val="nil"/>
              <w:left w:val="nil"/>
              <w:bottom w:val="nil"/>
              <w:right w:val="nil"/>
            </w:tcBorders>
            <w:shd w:val="clear" w:color="000000" w:fill="FFFFFF"/>
            <w:noWrap/>
            <w:vAlign w:val="center"/>
            <w:hideMark/>
          </w:tcPr>
          <w:p w14:paraId="68F758AD"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97" w:type="pct"/>
            <w:tcBorders>
              <w:top w:val="nil"/>
              <w:left w:val="single" w:sz="4" w:space="0" w:color="auto"/>
              <w:bottom w:val="nil"/>
              <w:right w:val="single" w:sz="4" w:space="0" w:color="auto"/>
            </w:tcBorders>
            <w:shd w:val="clear" w:color="000000" w:fill="FFFFFF"/>
            <w:noWrap/>
            <w:vAlign w:val="center"/>
            <w:hideMark/>
          </w:tcPr>
          <w:p w14:paraId="7411C53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29ED9E8E" w14:textId="77777777" w:rsidTr="00EC68FF">
        <w:tc>
          <w:tcPr>
            <w:tcW w:w="965" w:type="pct"/>
            <w:tcBorders>
              <w:top w:val="nil"/>
              <w:left w:val="single" w:sz="4" w:space="0" w:color="auto"/>
              <w:bottom w:val="nil"/>
              <w:right w:val="nil"/>
            </w:tcBorders>
            <w:shd w:val="clear" w:color="000000" w:fill="FFFFFF"/>
            <w:noWrap/>
            <w:vAlign w:val="center"/>
            <w:hideMark/>
          </w:tcPr>
          <w:p w14:paraId="40C931A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97" w:type="pct"/>
            <w:tcBorders>
              <w:top w:val="nil"/>
              <w:left w:val="single" w:sz="4" w:space="0" w:color="auto"/>
              <w:bottom w:val="nil"/>
              <w:right w:val="nil"/>
            </w:tcBorders>
            <w:shd w:val="clear" w:color="000000" w:fill="FFFFFF"/>
            <w:noWrap/>
            <w:vAlign w:val="center"/>
            <w:hideMark/>
          </w:tcPr>
          <w:p w14:paraId="0181968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1.493</w:t>
            </w:r>
          </w:p>
        </w:tc>
        <w:tc>
          <w:tcPr>
            <w:tcW w:w="497" w:type="pct"/>
            <w:tcBorders>
              <w:top w:val="nil"/>
              <w:left w:val="nil"/>
              <w:bottom w:val="nil"/>
              <w:right w:val="nil"/>
            </w:tcBorders>
            <w:shd w:val="clear" w:color="000000" w:fill="FFFFFF"/>
            <w:noWrap/>
            <w:vAlign w:val="center"/>
            <w:hideMark/>
          </w:tcPr>
          <w:p w14:paraId="6379676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215</w:t>
            </w:r>
          </w:p>
        </w:tc>
        <w:tc>
          <w:tcPr>
            <w:tcW w:w="497" w:type="pct"/>
            <w:tcBorders>
              <w:top w:val="nil"/>
              <w:left w:val="nil"/>
              <w:bottom w:val="nil"/>
              <w:right w:val="nil"/>
            </w:tcBorders>
            <w:shd w:val="clear" w:color="000000" w:fill="FFFFFF"/>
            <w:noWrap/>
            <w:vAlign w:val="center"/>
            <w:hideMark/>
          </w:tcPr>
          <w:p w14:paraId="437FCB0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497" w:type="pct"/>
            <w:tcBorders>
              <w:top w:val="nil"/>
              <w:left w:val="nil"/>
              <w:bottom w:val="nil"/>
              <w:right w:val="nil"/>
            </w:tcBorders>
            <w:shd w:val="clear" w:color="000000" w:fill="FFFFFF"/>
            <w:noWrap/>
            <w:vAlign w:val="center"/>
            <w:hideMark/>
          </w:tcPr>
          <w:p w14:paraId="189BD7B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550" w:type="pct"/>
            <w:tcBorders>
              <w:top w:val="nil"/>
              <w:left w:val="nil"/>
              <w:bottom w:val="nil"/>
              <w:right w:val="nil"/>
            </w:tcBorders>
            <w:shd w:val="clear" w:color="000000" w:fill="FFFFFF"/>
            <w:noWrap/>
            <w:vAlign w:val="center"/>
            <w:hideMark/>
          </w:tcPr>
          <w:p w14:paraId="2DAEF54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302</w:t>
            </w:r>
          </w:p>
        </w:tc>
        <w:tc>
          <w:tcPr>
            <w:tcW w:w="500" w:type="pct"/>
            <w:tcBorders>
              <w:top w:val="nil"/>
              <w:left w:val="nil"/>
              <w:bottom w:val="nil"/>
              <w:right w:val="single" w:sz="4" w:space="0" w:color="auto"/>
            </w:tcBorders>
            <w:shd w:val="clear" w:color="000000" w:fill="FFFFFF"/>
            <w:noWrap/>
            <w:vAlign w:val="center"/>
            <w:hideMark/>
          </w:tcPr>
          <w:p w14:paraId="2C0452F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w:t>
            </w:r>
          </w:p>
        </w:tc>
        <w:tc>
          <w:tcPr>
            <w:tcW w:w="497" w:type="pct"/>
            <w:tcBorders>
              <w:top w:val="nil"/>
              <w:left w:val="nil"/>
              <w:bottom w:val="nil"/>
              <w:right w:val="nil"/>
            </w:tcBorders>
            <w:shd w:val="clear" w:color="000000" w:fill="FFFFFF"/>
            <w:noWrap/>
            <w:vAlign w:val="center"/>
            <w:hideMark/>
          </w:tcPr>
          <w:p w14:paraId="3CEF09EC"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97" w:type="pct"/>
            <w:tcBorders>
              <w:top w:val="nil"/>
              <w:left w:val="single" w:sz="4" w:space="0" w:color="auto"/>
              <w:bottom w:val="nil"/>
              <w:right w:val="single" w:sz="4" w:space="0" w:color="auto"/>
            </w:tcBorders>
            <w:shd w:val="clear" w:color="000000" w:fill="FFFFFF"/>
            <w:noWrap/>
            <w:vAlign w:val="center"/>
            <w:hideMark/>
          </w:tcPr>
          <w:p w14:paraId="395C6DD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1903BA19" w14:textId="77777777" w:rsidTr="00EC68FF">
        <w:tc>
          <w:tcPr>
            <w:tcW w:w="965" w:type="pct"/>
            <w:tcBorders>
              <w:top w:val="nil"/>
              <w:left w:val="single" w:sz="4" w:space="0" w:color="auto"/>
              <w:bottom w:val="nil"/>
              <w:right w:val="nil"/>
            </w:tcBorders>
            <w:shd w:val="clear" w:color="000000" w:fill="FFFFFF"/>
            <w:noWrap/>
            <w:vAlign w:val="center"/>
            <w:hideMark/>
          </w:tcPr>
          <w:p w14:paraId="1BE866D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97" w:type="pct"/>
            <w:tcBorders>
              <w:top w:val="nil"/>
              <w:left w:val="single" w:sz="4" w:space="0" w:color="auto"/>
              <w:bottom w:val="single" w:sz="4" w:space="0" w:color="auto"/>
              <w:right w:val="nil"/>
            </w:tcBorders>
            <w:shd w:val="clear" w:color="000000" w:fill="FFFFFF"/>
            <w:noWrap/>
            <w:vAlign w:val="center"/>
            <w:hideMark/>
          </w:tcPr>
          <w:p w14:paraId="3DBDCA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1.018</w:t>
            </w:r>
          </w:p>
        </w:tc>
        <w:tc>
          <w:tcPr>
            <w:tcW w:w="497" w:type="pct"/>
            <w:tcBorders>
              <w:top w:val="nil"/>
              <w:left w:val="nil"/>
              <w:bottom w:val="single" w:sz="4" w:space="0" w:color="auto"/>
              <w:right w:val="nil"/>
            </w:tcBorders>
            <w:shd w:val="clear" w:color="000000" w:fill="FFFFFF"/>
            <w:noWrap/>
            <w:vAlign w:val="center"/>
            <w:hideMark/>
          </w:tcPr>
          <w:p w14:paraId="350F6C0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136</w:t>
            </w:r>
          </w:p>
        </w:tc>
        <w:tc>
          <w:tcPr>
            <w:tcW w:w="497" w:type="pct"/>
            <w:tcBorders>
              <w:top w:val="nil"/>
              <w:left w:val="nil"/>
              <w:bottom w:val="single" w:sz="4" w:space="0" w:color="auto"/>
              <w:right w:val="nil"/>
            </w:tcBorders>
            <w:shd w:val="clear" w:color="000000" w:fill="FFFFFF"/>
            <w:noWrap/>
            <w:vAlign w:val="center"/>
            <w:hideMark/>
          </w:tcPr>
          <w:p w14:paraId="2BAFC0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497" w:type="pct"/>
            <w:tcBorders>
              <w:top w:val="nil"/>
              <w:left w:val="nil"/>
              <w:bottom w:val="single" w:sz="4" w:space="0" w:color="auto"/>
              <w:right w:val="nil"/>
            </w:tcBorders>
            <w:shd w:val="clear" w:color="000000" w:fill="FFFFFF"/>
            <w:noWrap/>
            <w:vAlign w:val="center"/>
            <w:hideMark/>
          </w:tcPr>
          <w:p w14:paraId="1079C42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50" w:type="pct"/>
            <w:tcBorders>
              <w:top w:val="nil"/>
              <w:left w:val="nil"/>
              <w:bottom w:val="single" w:sz="4" w:space="0" w:color="auto"/>
              <w:right w:val="nil"/>
            </w:tcBorders>
            <w:shd w:val="clear" w:color="000000" w:fill="FFFFFF"/>
            <w:noWrap/>
            <w:vAlign w:val="center"/>
            <w:hideMark/>
          </w:tcPr>
          <w:p w14:paraId="2A67B09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w:t>
            </w:r>
          </w:p>
        </w:tc>
        <w:tc>
          <w:tcPr>
            <w:tcW w:w="500" w:type="pct"/>
            <w:tcBorders>
              <w:top w:val="nil"/>
              <w:left w:val="nil"/>
              <w:bottom w:val="single" w:sz="4" w:space="0" w:color="auto"/>
              <w:right w:val="single" w:sz="4" w:space="0" w:color="auto"/>
            </w:tcBorders>
            <w:shd w:val="clear" w:color="000000" w:fill="FFFFFF"/>
            <w:noWrap/>
            <w:vAlign w:val="center"/>
            <w:hideMark/>
          </w:tcPr>
          <w:p w14:paraId="66EF4EB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497" w:type="pct"/>
            <w:tcBorders>
              <w:top w:val="nil"/>
              <w:left w:val="nil"/>
              <w:bottom w:val="single" w:sz="4" w:space="0" w:color="auto"/>
              <w:right w:val="nil"/>
            </w:tcBorders>
            <w:shd w:val="clear" w:color="000000" w:fill="FFFFFF"/>
            <w:noWrap/>
            <w:vAlign w:val="center"/>
            <w:hideMark/>
          </w:tcPr>
          <w:p w14:paraId="05AB16CD"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97" w:type="pct"/>
            <w:tcBorders>
              <w:top w:val="nil"/>
              <w:left w:val="single" w:sz="4" w:space="0" w:color="auto"/>
              <w:bottom w:val="single" w:sz="4" w:space="0" w:color="auto"/>
              <w:right w:val="single" w:sz="4" w:space="0" w:color="auto"/>
            </w:tcBorders>
            <w:shd w:val="clear" w:color="000000" w:fill="FFFFFF"/>
            <w:noWrap/>
            <w:vAlign w:val="center"/>
            <w:hideMark/>
          </w:tcPr>
          <w:p w14:paraId="0F966DE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D4ED3" w:rsidRPr="00650EE4" w14:paraId="241C74AE" w14:textId="77777777" w:rsidTr="00EC68FF">
        <w:tc>
          <w:tcPr>
            <w:tcW w:w="965" w:type="pct"/>
            <w:tcBorders>
              <w:top w:val="single" w:sz="4" w:space="0" w:color="auto"/>
              <w:left w:val="single" w:sz="4" w:space="0" w:color="auto"/>
              <w:bottom w:val="nil"/>
              <w:right w:val="single" w:sz="4" w:space="0" w:color="auto"/>
            </w:tcBorders>
            <w:shd w:val="clear" w:color="000000" w:fill="FFFFFF"/>
            <w:noWrap/>
            <w:vAlign w:val="center"/>
            <w:hideMark/>
          </w:tcPr>
          <w:p w14:paraId="3F070FDF"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tcBorders>
              <w:top w:val="nil"/>
              <w:left w:val="nil"/>
              <w:bottom w:val="nil"/>
              <w:right w:val="nil"/>
            </w:tcBorders>
            <w:shd w:val="clear" w:color="000000" w:fill="FFFFFF"/>
            <w:noWrap/>
            <w:vAlign w:val="center"/>
            <w:hideMark/>
          </w:tcPr>
          <w:p w14:paraId="0CF8C01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118.598</w:t>
            </w:r>
          </w:p>
        </w:tc>
        <w:tc>
          <w:tcPr>
            <w:tcW w:w="497" w:type="pct"/>
            <w:tcBorders>
              <w:top w:val="nil"/>
              <w:left w:val="nil"/>
              <w:bottom w:val="nil"/>
              <w:right w:val="nil"/>
            </w:tcBorders>
            <w:shd w:val="clear" w:color="000000" w:fill="FFFFFF"/>
            <w:noWrap/>
            <w:vAlign w:val="center"/>
            <w:hideMark/>
          </w:tcPr>
          <w:p w14:paraId="3DEE29A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36.890</w:t>
            </w:r>
          </w:p>
        </w:tc>
        <w:tc>
          <w:tcPr>
            <w:tcW w:w="497" w:type="pct"/>
            <w:tcBorders>
              <w:top w:val="nil"/>
              <w:left w:val="nil"/>
              <w:bottom w:val="nil"/>
              <w:right w:val="nil"/>
            </w:tcBorders>
            <w:shd w:val="clear" w:color="000000" w:fill="FFFFFF"/>
            <w:noWrap/>
            <w:vAlign w:val="center"/>
            <w:hideMark/>
          </w:tcPr>
          <w:p w14:paraId="74C0590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3.586</w:t>
            </w:r>
          </w:p>
        </w:tc>
        <w:tc>
          <w:tcPr>
            <w:tcW w:w="497" w:type="pct"/>
            <w:tcBorders>
              <w:top w:val="nil"/>
              <w:left w:val="nil"/>
              <w:bottom w:val="nil"/>
              <w:right w:val="nil"/>
            </w:tcBorders>
            <w:shd w:val="clear" w:color="000000" w:fill="FFFFFF"/>
            <w:noWrap/>
            <w:vAlign w:val="center"/>
            <w:hideMark/>
          </w:tcPr>
          <w:p w14:paraId="1223992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22.728</w:t>
            </w:r>
          </w:p>
        </w:tc>
        <w:tc>
          <w:tcPr>
            <w:tcW w:w="550" w:type="pct"/>
            <w:tcBorders>
              <w:top w:val="nil"/>
              <w:left w:val="nil"/>
              <w:bottom w:val="nil"/>
              <w:right w:val="nil"/>
            </w:tcBorders>
            <w:shd w:val="clear" w:color="000000" w:fill="FFFFFF"/>
            <w:noWrap/>
            <w:vAlign w:val="center"/>
            <w:hideMark/>
          </w:tcPr>
          <w:p w14:paraId="7AB7A86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11.250</w:t>
            </w:r>
          </w:p>
        </w:tc>
        <w:tc>
          <w:tcPr>
            <w:tcW w:w="500" w:type="pct"/>
            <w:tcBorders>
              <w:top w:val="nil"/>
              <w:left w:val="nil"/>
              <w:bottom w:val="nil"/>
              <w:right w:val="single" w:sz="4" w:space="0" w:color="auto"/>
            </w:tcBorders>
            <w:shd w:val="clear" w:color="000000" w:fill="FFFFFF"/>
            <w:noWrap/>
            <w:vAlign w:val="center"/>
            <w:hideMark/>
          </w:tcPr>
          <w:p w14:paraId="72C4C146"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8.622</w:t>
            </w:r>
          </w:p>
        </w:tc>
        <w:tc>
          <w:tcPr>
            <w:tcW w:w="497" w:type="pct"/>
            <w:tcBorders>
              <w:top w:val="nil"/>
              <w:left w:val="nil"/>
              <w:bottom w:val="nil"/>
              <w:right w:val="nil"/>
            </w:tcBorders>
            <w:shd w:val="clear" w:color="000000" w:fill="FFFFFF"/>
            <w:noWrap/>
            <w:vAlign w:val="center"/>
            <w:hideMark/>
          </w:tcPr>
          <w:p w14:paraId="01378176"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97" w:type="pct"/>
            <w:tcBorders>
              <w:top w:val="nil"/>
              <w:left w:val="single" w:sz="4" w:space="0" w:color="auto"/>
              <w:bottom w:val="nil"/>
              <w:right w:val="single" w:sz="4" w:space="0" w:color="auto"/>
            </w:tcBorders>
            <w:shd w:val="clear" w:color="000000" w:fill="FFFFFF"/>
            <w:noWrap/>
            <w:vAlign w:val="center"/>
            <w:hideMark/>
          </w:tcPr>
          <w:p w14:paraId="496E360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40728164" w14:textId="77777777" w:rsidTr="00EC68FF">
        <w:tc>
          <w:tcPr>
            <w:tcW w:w="9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501F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97" w:type="pct"/>
            <w:tcBorders>
              <w:top w:val="single" w:sz="4" w:space="0" w:color="auto"/>
              <w:left w:val="nil"/>
              <w:bottom w:val="single" w:sz="4" w:space="0" w:color="auto"/>
              <w:right w:val="nil"/>
            </w:tcBorders>
            <w:shd w:val="clear" w:color="000000" w:fill="FFFFFF"/>
            <w:noWrap/>
            <w:vAlign w:val="center"/>
            <w:hideMark/>
          </w:tcPr>
          <w:p w14:paraId="251A2B6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w:t>
            </w:r>
          </w:p>
        </w:tc>
        <w:tc>
          <w:tcPr>
            <w:tcW w:w="497" w:type="pct"/>
            <w:tcBorders>
              <w:top w:val="single" w:sz="4" w:space="0" w:color="auto"/>
              <w:left w:val="nil"/>
              <w:bottom w:val="single" w:sz="4" w:space="0" w:color="auto"/>
              <w:right w:val="nil"/>
            </w:tcBorders>
            <w:shd w:val="clear" w:color="000000" w:fill="FFFFFF"/>
            <w:noWrap/>
            <w:vAlign w:val="center"/>
            <w:hideMark/>
          </w:tcPr>
          <w:p w14:paraId="77FF65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97" w:type="pct"/>
            <w:tcBorders>
              <w:top w:val="single" w:sz="4" w:space="0" w:color="auto"/>
              <w:left w:val="nil"/>
              <w:bottom w:val="single" w:sz="4" w:space="0" w:color="auto"/>
              <w:right w:val="nil"/>
            </w:tcBorders>
            <w:shd w:val="clear" w:color="000000" w:fill="FFFFFF"/>
            <w:noWrap/>
            <w:vAlign w:val="center"/>
            <w:hideMark/>
          </w:tcPr>
          <w:p w14:paraId="1BD79FF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7" w:type="pct"/>
            <w:tcBorders>
              <w:top w:val="single" w:sz="4" w:space="0" w:color="auto"/>
              <w:left w:val="nil"/>
              <w:bottom w:val="single" w:sz="4" w:space="0" w:color="auto"/>
              <w:right w:val="nil"/>
            </w:tcBorders>
            <w:shd w:val="clear" w:color="000000" w:fill="FFFFFF"/>
            <w:noWrap/>
            <w:vAlign w:val="center"/>
            <w:hideMark/>
          </w:tcPr>
          <w:p w14:paraId="3A20C6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50" w:type="pct"/>
            <w:tcBorders>
              <w:top w:val="single" w:sz="4" w:space="0" w:color="auto"/>
              <w:left w:val="nil"/>
              <w:bottom w:val="single" w:sz="4" w:space="0" w:color="auto"/>
              <w:right w:val="nil"/>
            </w:tcBorders>
            <w:shd w:val="clear" w:color="000000" w:fill="FFFFFF"/>
            <w:noWrap/>
            <w:vAlign w:val="center"/>
            <w:hideMark/>
          </w:tcPr>
          <w:p w14:paraId="165A120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18733AD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7" w:type="pct"/>
            <w:tcBorders>
              <w:top w:val="single" w:sz="4" w:space="0" w:color="auto"/>
              <w:left w:val="nil"/>
              <w:bottom w:val="single" w:sz="4" w:space="0" w:color="auto"/>
              <w:right w:val="nil"/>
            </w:tcBorders>
            <w:shd w:val="clear" w:color="000000" w:fill="FFFFFF"/>
            <w:noWrap/>
            <w:vAlign w:val="center"/>
            <w:hideMark/>
          </w:tcPr>
          <w:p w14:paraId="17A513D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6C864"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42D97BC2" w14:textId="3D58A07E" w:rsidR="00506173" w:rsidRPr="00650EE4" w:rsidRDefault="005F56C6" w:rsidP="00506173">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506173" w:rsidRPr="00650EE4">
        <w:rPr>
          <w:rFonts w:ascii="Times New Roman" w:eastAsia="Times New Roman" w:hAnsi="Times New Roman"/>
          <w:i/>
          <w:color w:val="000000" w:themeColor="text1"/>
          <w:sz w:val="20"/>
          <w:szCs w:val="20"/>
        </w:rPr>
        <w:t>duomenys (2019.12.31)</w:t>
      </w:r>
    </w:p>
    <w:p w14:paraId="428FC650" w14:textId="77777777" w:rsidR="004C3D8E" w:rsidRPr="00650EE4" w:rsidRDefault="004C3D8E" w:rsidP="00BB7C7E">
      <w:pPr>
        <w:spacing w:before="60" w:line="240" w:lineRule="auto"/>
        <w:jc w:val="both"/>
        <w:rPr>
          <w:rFonts w:ascii="Times New Roman" w:eastAsia="Times New Roman" w:hAnsi="Times New Roman"/>
          <w:i/>
          <w:color w:val="000000" w:themeColor="text1"/>
          <w:sz w:val="20"/>
          <w:szCs w:val="28"/>
        </w:rPr>
      </w:pPr>
    </w:p>
    <w:p w14:paraId="3C5D307E" w14:textId="77777777" w:rsidR="00BF69D3" w:rsidRPr="00650EE4" w:rsidRDefault="00BF69D3">
      <w:pPr>
        <w:spacing w:after="240"/>
        <w:rPr>
          <w:rFonts w:ascii="Times New Roman" w:hAnsi="Times New Roman"/>
          <w:color w:val="000000" w:themeColor="text1"/>
          <w:szCs w:val="22"/>
        </w:rPr>
      </w:pPr>
      <w:r w:rsidRPr="00650EE4">
        <w:rPr>
          <w:rFonts w:ascii="Times New Roman" w:hAnsi="Times New Roman"/>
          <w:color w:val="000000" w:themeColor="text1"/>
          <w:szCs w:val="22"/>
        </w:rPr>
        <w:br w:type="page"/>
      </w:r>
    </w:p>
    <w:p w14:paraId="48A4CFC8" w14:textId="77562055" w:rsidR="00014E3D" w:rsidRPr="00650EE4" w:rsidRDefault="007A52B6" w:rsidP="004C3D8E">
      <w:pPr>
        <w:spacing w:before="60" w:line="240" w:lineRule="auto"/>
        <w:jc w:val="both"/>
        <w:rPr>
          <w:rFonts w:ascii="Times New Roman" w:hAnsi="Times New Roman"/>
          <w:color w:val="000000" w:themeColor="text1"/>
          <w:szCs w:val="22"/>
        </w:rPr>
      </w:pPr>
      <w:r>
        <w:rPr>
          <w:rFonts w:ascii="Times New Roman" w:hAnsi="Times New Roman"/>
          <w:color w:val="000000" w:themeColor="text1"/>
          <w:szCs w:val="22"/>
        </w:rPr>
        <w:lastRenderedPageBreak/>
        <w:t>Agreguoti p</w:t>
      </w:r>
      <w:r w:rsidR="00DD1E7E" w:rsidRPr="00650EE4">
        <w:rPr>
          <w:rFonts w:ascii="Times New Roman" w:hAnsi="Times New Roman"/>
          <w:color w:val="000000" w:themeColor="text1"/>
          <w:szCs w:val="22"/>
        </w:rPr>
        <w:t>astatų fondo duomenys pagal sienų medžiagiškumą pateikiami paveiksle žemiau.</w:t>
      </w:r>
    </w:p>
    <w:p w14:paraId="6D670A92" w14:textId="77777777" w:rsidR="00DD1E7E" w:rsidRPr="00650EE4" w:rsidRDefault="00DD1E7E" w:rsidP="004C3D8E">
      <w:pPr>
        <w:spacing w:before="60" w:line="240" w:lineRule="auto"/>
        <w:jc w:val="both"/>
        <w:rPr>
          <w:rFonts w:ascii="Times New Roman" w:eastAsia="Times New Roman" w:hAnsi="Times New Roman"/>
          <w:i/>
          <w:color w:val="000000" w:themeColor="text1"/>
          <w:szCs w:val="22"/>
        </w:rPr>
      </w:pPr>
    </w:p>
    <w:p w14:paraId="092803A5" w14:textId="5FDC0084" w:rsidR="00014E3D"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31" w:name="_Toc67925252"/>
      <w:r w:rsidR="007744C1">
        <w:t>4</w:t>
      </w:r>
      <w:r w:rsidRPr="00650EE4">
        <w:rPr>
          <w:noProof w:val="0"/>
        </w:rPr>
        <w:fldChar w:fldCharType="end"/>
      </w:r>
      <w:r w:rsidR="00DE1E95" w:rsidRPr="00650EE4">
        <w:rPr>
          <w:noProof w:val="0"/>
        </w:rPr>
        <w:t xml:space="preserve"> paveikslas</w:t>
      </w:r>
      <w:r w:rsidR="00014E3D" w:rsidRPr="00650EE4">
        <w:rPr>
          <w:noProof w:val="0"/>
        </w:rPr>
        <w:t>. Pastatų fondas pagal sienų medžiagiškumą (agreguotas)</w:t>
      </w:r>
      <w:bookmarkEnd w:id="31"/>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4"/>
      </w:tblGrid>
      <w:tr w:rsidR="006B24F8" w:rsidRPr="00650EE4" w14:paraId="3B94C5E6" w14:textId="77777777" w:rsidTr="00E170B3">
        <w:trPr>
          <w:trHeight w:val="3462"/>
        </w:trPr>
        <w:tc>
          <w:tcPr>
            <w:tcW w:w="5000" w:type="pct"/>
          </w:tcPr>
          <w:p w14:paraId="141D1AAB" w14:textId="722D927F" w:rsidR="006B24F8" w:rsidRPr="00650EE4" w:rsidRDefault="004B71A9" w:rsidP="00E170B3">
            <w:pPr>
              <w:jc w:val="both"/>
              <w:rPr>
                <w:rFonts w:ascii="Times New Roman" w:eastAsia="Times New Roman" w:hAnsi="Times New Roman"/>
                <w:i/>
                <w:color w:val="000000" w:themeColor="text1"/>
                <w:sz w:val="20"/>
                <w:szCs w:val="28"/>
              </w:rPr>
            </w:pPr>
            <w:r w:rsidRPr="00650EE4">
              <w:rPr>
                <w:rFonts w:ascii="Times New Roman" w:hAnsi="Times New Roman"/>
                <w:noProof/>
                <w:lang w:eastAsia="lt-LT"/>
              </w:rPr>
              <w:drawing>
                <wp:inline distT="0" distB="0" distL="0" distR="0" wp14:anchorId="4B916B12" wp14:editId="24C56370">
                  <wp:extent cx="3120705" cy="2254885"/>
                  <wp:effectExtent l="0" t="0" r="3810" b="12065"/>
                  <wp:docPr id="87" name="Chart 87">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50EE4">
              <w:rPr>
                <w:rFonts w:ascii="Times New Roman" w:hAnsi="Times New Roman"/>
                <w:noProof/>
                <w:lang w:eastAsia="lt-LT"/>
              </w:rPr>
              <w:drawing>
                <wp:inline distT="0" distB="0" distL="0" distR="0" wp14:anchorId="595A0EE4" wp14:editId="6EFA2B4C">
                  <wp:extent cx="3200400" cy="2254885"/>
                  <wp:effectExtent l="0" t="0" r="0" b="12065"/>
                  <wp:docPr id="88" name="Chart 88">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247CE7BD" w14:textId="77777777" w:rsidR="008E30A3" w:rsidRPr="00650EE4" w:rsidRDefault="008E30A3" w:rsidP="008E30A3">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 registro duomenys (2019.12.31)</w:t>
      </w:r>
    </w:p>
    <w:p w14:paraId="3A4FDA77" w14:textId="77777777" w:rsidR="008E30A3" w:rsidRPr="00650EE4" w:rsidRDefault="008E30A3" w:rsidP="005C6FD7">
      <w:pPr>
        <w:rPr>
          <w:rFonts w:ascii="Times New Roman" w:hAnsi="Times New Roman"/>
          <w:color w:val="000000" w:themeColor="text1"/>
          <w:szCs w:val="22"/>
        </w:rPr>
      </w:pPr>
    </w:p>
    <w:p w14:paraId="6F9955CC" w14:textId="61BA11F5" w:rsidR="006302A5" w:rsidRPr="00650EE4" w:rsidRDefault="0021317A" w:rsidP="005F56C6">
      <w:pPr>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Apibendrinant </w:t>
      </w:r>
      <w:r w:rsidR="006302A5" w:rsidRPr="00650EE4">
        <w:rPr>
          <w:rFonts w:ascii="Times New Roman" w:hAnsi="Times New Roman"/>
          <w:color w:val="000000" w:themeColor="text1"/>
          <w:szCs w:val="22"/>
        </w:rPr>
        <w:t>aukščiau pate</w:t>
      </w:r>
      <w:r w:rsidR="008E42DB" w:rsidRPr="00650EE4">
        <w:rPr>
          <w:rFonts w:ascii="Times New Roman" w:hAnsi="Times New Roman"/>
          <w:color w:val="000000" w:themeColor="text1"/>
          <w:szCs w:val="22"/>
        </w:rPr>
        <w:t>i</w:t>
      </w:r>
      <w:r w:rsidR="006302A5" w:rsidRPr="00650EE4">
        <w:rPr>
          <w:rFonts w:ascii="Times New Roman" w:hAnsi="Times New Roman"/>
          <w:color w:val="000000" w:themeColor="text1"/>
          <w:szCs w:val="22"/>
        </w:rPr>
        <w:t>ktus duomenis galima pastebėti, kad:</w:t>
      </w:r>
    </w:p>
    <w:p w14:paraId="48DB03AA" w14:textId="7FCC1B45" w:rsidR="006302A5" w:rsidRPr="00650EE4" w:rsidRDefault="00E31E34" w:rsidP="00DD1E7E">
      <w:pPr>
        <w:pStyle w:val="Pagrindinispaprastastekstas"/>
        <w:numPr>
          <w:ilvl w:val="0"/>
          <w:numId w:val="10"/>
        </w:numPr>
        <w:spacing w:after="120"/>
        <w:ind w:left="714" w:hanging="357"/>
        <w:rPr>
          <w:rFonts w:ascii="Times New Roman" w:hAnsi="Times New Roman"/>
          <w:szCs w:val="22"/>
        </w:rPr>
      </w:pPr>
      <w:r w:rsidRPr="00650EE4">
        <w:rPr>
          <w:rFonts w:ascii="Times New Roman" w:hAnsi="Times New Roman"/>
          <w:szCs w:val="22"/>
        </w:rPr>
        <w:t>79 pr</w:t>
      </w:r>
      <w:r w:rsidR="007A52B6">
        <w:rPr>
          <w:rFonts w:ascii="Times New Roman" w:hAnsi="Times New Roman"/>
          <w:szCs w:val="22"/>
        </w:rPr>
        <w:t>oc. viso p</w:t>
      </w:r>
      <w:r w:rsidR="00D62927" w:rsidRPr="00650EE4">
        <w:rPr>
          <w:rFonts w:ascii="Times New Roman" w:hAnsi="Times New Roman"/>
          <w:szCs w:val="22"/>
        </w:rPr>
        <w:t>astatų fondo ploto sudaro</w:t>
      </w:r>
      <w:r w:rsidRPr="00650EE4">
        <w:rPr>
          <w:rFonts w:ascii="Times New Roman" w:hAnsi="Times New Roman"/>
          <w:szCs w:val="22"/>
        </w:rPr>
        <w:t xml:space="preserve"> </w:t>
      </w:r>
      <w:r w:rsidR="00101D6C">
        <w:rPr>
          <w:rFonts w:ascii="Times New Roman" w:hAnsi="Times New Roman"/>
          <w:szCs w:val="22"/>
        </w:rPr>
        <w:t>pastatai, kurių</w:t>
      </w:r>
      <w:r w:rsidRPr="00650EE4">
        <w:rPr>
          <w:rFonts w:ascii="Times New Roman" w:hAnsi="Times New Roman"/>
          <w:szCs w:val="22"/>
        </w:rPr>
        <w:t xml:space="preserve"> laikančiosios sienos yra plytų ir blokelių, gelžbetonio plokščių ir monolitinio betono (monolito betono sienos paveiksle a</w:t>
      </w:r>
      <w:r w:rsidR="00D62927" w:rsidRPr="00650EE4">
        <w:rPr>
          <w:rFonts w:ascii="Times New Roman" w:hAnsi="Times New Roman"/>
          <w:szCs w:val="22"/>
        </w:rPr>
        <w:t>ukščiau priskirta grupei „Kita“)</w:t>
      </w:r>
      <w:r w:rsidR="00DD1E7E" w:rsidRPr="00650EE4">
        <w:rPr>
          <w:rFonts w:ascii="Times New Roman" w:hAnsi="Times New Roman"/>
          <w:szCs w:val="22"/>
        </w:rPr>
        <w:t xml:space="preserve">. </w:t>
      </w:r>
    </w:p>
    <w:p w14:paraId="03FA7FFA" w14:textId="6F117C7D" w:rsidR="00987F41" w:rsidRPr="00650EE4" w:rsidRDefault="007A52B6" w:rsidP="00DD1E7E">
      <w:pPr>
        <w:pStyle w:val="Pagrindinispaprastastekstas"/>
        <w:numPr>
          <w:ilvl w:val="0"/>
          <w:numId w:val="10"/>
        </w:numPr>
        <w:spacing w:after="120"/>
        <w:ind w:left="714" w:hanging="357"/>
        <w:rPr>
          <w:rFonts w:ascii="Times New Roman" w:hAnsi="Times New Roman"/>
          <w:szCs w:val="22"/>
        </w:rPr>
      </w:pPr>
      <w:r>
        <w:rPr>
          <w:rFonts w:ascii="Times New Roman" w:hAnsi="Times New Roman"/>
          <w:szCs w:val="22"/>
        </w:rPr>
        <w:t>11 proc. viso p</w:t>
      </w:r>
      <w:r w:rsidR="00E31E34" w:rsidRPr="00650EE4">
        <w:rPr>
          <w:rFonts w:ascii="Times New Roman" w:hAnsi="Times New Roman"/>
          <w:szCs w:val="22"/>
        </w:rPr>
        <w:t xml:space="preserve">astatų fondo </w:t>
      </w:r>
      <w:r w:rsidR="00B17CD0" w:rsidRPr="00650EE4">
        <w:rPr>
          <w:rFonts w:ascii="Times New Roman" w:hAnsi="Times New Roman"/>
          <w:szCs w:val="22"/>
        </w:rPr>
        <w:t xml:space="preserve">ploto </w:t>
      </w:r>
      <w:r w:rsidR="00F318B8" w:rsidRPr="00650EE4">
        <w:rPr>
          <w:rFonts w:ascii="Times New Roman" w:hAnsi="Times New Roman"/>
          <w:szCs w:val="22"/>
        </w:rPr>
        <w:t>sudaro</w:t>
      </w:r>
      <w:r w:rsidR="00B17CD0" w:rsidRPr="00650EE4">
        <w:rPr>
          <w:rFonts w:ascii="Times New Roman" w:hAnsi="Times New Roman"/>
          <w:szCs w:val="22"/>
        </w:rPr>
        <w:t xml:space="preserve"> rąstiniai pastatai</w:t>
      </w:r>
      <w:r w:rsidR="00E31E34" w:rsidRPr="00650EE4">
        <w:rPr>
          <w:rFonts w:ascii="Times New Roman" w:hAnsi="Times New Roman"/>
          <w:szCs w:val="22"/>
        </w:rPr>
        <w:t>, iš kurių dauguma (91 proc.) – individual</w:t>
      </w:r>
      <w:r w:rsidR="00B17CD0" w:rsidRPr="00650EE4">
        <w:rPr>
          <w:rFonts w:ascii="Times New Roman" w:hAnsi="Times New Roman"/>
          <w:szCs w:val="22"/>
        </w:rPr>
        <w:t xml:space="preserve">ios paskirties pastatai. </w:t>
      </w:r>
      <w:r w:rsidR="00E31E34" w:rsidRPr="00650EE4">
        <w:rPr>
          <w:rFonts w:ascii="Times New Roman" w:hAnsi="Times New Roman"/>
          <w:szCs w:val="22"/>
        </w:rPr>
        <w:t xml:space="preserve">72 proc. </w:t>
      </w:r>
      <w:r w:rsidR="00B17CD0" w:rsidRPr="00650EE4">
        <w:rPr>
          <w:rFonts w:ascii="Times New Roman" w:hAnsi="Times New Roman"/>
          <w:szCs w:val="22"/>
        </w:rPr>
        <w:t xml:space="preserve">individualios paskirties rastinių namų </w:t>
      </w:r>
      <w:r w:rsidR="00E31E34" w:rsidRPr="00650EE4">
        <w:rPr>
          <w:rFonts w:ascii="Times New Roman" w:hAnsi="Times New Roman"/>
          <w:szCs w:val="22"/>
        </w:rPr>
        <w:t>yra sen</w:t>
      </w:r>
      <w:r w:rsidR="00B17CD0" w:rsidRPr="00650EE4">
        <w:rPr>
          <w:rFonts w:ascii="Times New Roman" w:hAnsi="Times New Roman"/>
          <w:szCs w:val="22"/>
        </w:rPr>
        <w:t xml:space="preserve">esnės nei 1960 m. statybos, 23 proc. 1960 - </w:t>
      </w:r>
      <w:r w:rsidR="00E31E34" w:rsidRPr="00650EE4">
        <w:rPr>
          <w:rFonts w:ascii="Times New Roman" w:hAnsi="Times New Roman"/>
          <w:szCs w:val="22"/>
        </w:rPr>
        <w:t xml:space="preserve">1992 m. statybos. </w:t>
      </w:r>
      <w:r w:rsidR="00101D6C">
        <w:rPr>
          <w:rFonts w:ascii="Times New Roman" w:hAnsi="Times New Roman"/>
          <w:szCs w:val="22"/>
        </w:rPr>
        <w:t>Nėra</w:t>
      </w:r>
      <w:r w:rsidR="00B17CD0" w:rsidRPr="00650EE4">
        <w:rPr>
          <w:rFonts w:ascii="Times New Roman" w:hAnsi="Times New Roman"/>
          <w:szCs w:val="22"/>
        </w:rPr>
        <w:t xml:space="preserve"> patikimų duomenų kokia dalis šių pastatų </w:t>
      </w:r>
      <w:r w:rsidR="00101D6C">
        <w:rPr>
          <w:rFonts w:ascii="Times New Roman" w:hAnsi="Times New Roman"/>
          <w:szCs w:val="22"/>
        </w:rPr>
        <w:t>yra</w:t>
      </w:r>
      <w:r w:rsidR="00101D6C" w:rsidRPr="00650EE4">
        <w:rPr>
          <w:rFonts w:ascii="Times New Roman" w:hAnsi="Times New Roman"/>
          <w:szCs w:val="22"/>
        </w:rPr>
        <w:t xml:space="preserve"> </w:t>
      </w:r>
      <w:r w:rsidR="00E31E34" w:rsidRPr="00650EE4">
        <w:rPr>
          <w:rFonts w:ascii="Times New Roman" w:hAnsi="Times New Roman"/>
          <w:szCs w:val="22"/>
        </w:rPr>
        <w:t>nuolatos gyvenami</w:t>
      </w:r>
      <w:r w:rsidR="00610D9A" w:rsidRPr="00650EE4">
        <w:rPr>
          <w:rFonts w:ascii="Times New Roman" w:hAnsi="Times New Roman"/>
          <w:szCs w:val="22"/>
        </w:rPr>
        <w:t xml:space="preserve"> </w:t>
      </w:r>
      <w:r w:rsidR="00BD6942" w:rsidRPr="00650EE4">
        <w:rPr>
          <w:rFonts w:ascii="Times New Roman" w:hAnsi="Times New Roman"/>
          <w:szCs w:val="22"/>
        </w:rPr>
        <w:t xml:space="preserve">ir/arba </w:t>
      </w:r>
      <w:r w:rsidR="00B17CD0" w:rsidRPr="00650EE4">
        <w:rPr>
          <w:rFonts w:ascii="Times New Roman" w:hAnsi="Times New Roman"/>
          <w:szCs w:val="22"/>
        </w:rPr>
        <w:t xml:space="preserve">reguliariai šildomi. </w:t>
      </w:r>
    </w:p>
    <w:p w14:paraId="0D8CC059" w14:textId="12953387" w:rsidR="00EF30C5" w:rsidRPr="00650EE4" w:rsidRDefault="00093731" w:rsidP="00DD1E7E">
      <w:pPr>
        <w:pStyle w:val="Pagrindinispaprastastekstas"/>
        <w:numPr>
          <w:ilvl w:val="0"/>
          <w:numId w:val="10"/>
        </w:numPr>
        <w:spacing w:after="120"/>
        <w:ind w:left="714" w:hanging="357"/>
        <w:rPr>
          <w:rFonts w:ascii="Times New Roman" w:hAnsi="Times New Roman"/>
          <w:szCs w:val="22"/>
        </w:rPr>
      </w:pPr>
      <w:r>
        <w:rPr>
          <w:rFonts w:ascii="Times New Roman" w:hAnsi="Times New Roman"/>
          <w:szCs w:val="22"/>
        </w:rPr>
        <w:t>6 proc. viso p</w:t>
      </w:r>
      <w:r w:rsidR="00BD6942" w:rsidRPr="00650EE4">
        <w:rPr>
          <w:rFonts w:ascii="Times New Roman" w:hAnsi="Times New Roman"/>
          <w:szCs w:val="22"/>
        </w:rPr>
        <w:t xml:space="preserve">astatų fondo ploto sudaro fasadinių sistemų (metalas su karkasu, stiklas su karkasu) pastatai. </w:t>
      </w:r>
      <w:r w:rsidR="00BE7DF4" w:rsidRPr="00650EE4">
        <w:rPr>
          <w:rFonts w:ascii="Times New Roman" w:hAnsi="Times New Roman"/>
          <w:szCs w:val="22"/>
        </w:rPr>
        <w:t>86 proc. visų fasadinių sistemų pastatų sudaro</w:t>
      </w:r>
      <w:r w:rsidR="00BD6942" w:rsidRPr="00650EE4">
        <w:rPr>
          <w:rFonts w:ascii="Times New Roman" w:hAnsi="Times New Roman"/>
          <w:szCs w:val="22"/>
        </w:rPr>
        <w:t xml:space="preserve"> dvi pagrindinės pastatų pas</w:t>
      </w:r>
      <w:r w:rsidR="00BE7DF4" w:rsidRPr="00650EE4">
        <w:rPr>
          <w:rFonts w:ascii="Times New Roman" w:hAnsi="Times New Roman"/>
          <w:szCs w:val="22"/>
        </w:rPr>
        <w:t>kirtys  – pramonės ir prekybos. IRS kontekste svarbu tai, kad f</w:t>
      </w:r>
      <w:r w:rsidR="00BD6942" w:rsidRPr="00650EE4">
        <w:rPr>
          <w:rFonts w:ascii="Times New Roman" w:hAnsi="Times New Roman"/>
          <w:szCs w:val="22"/>
        </w:rPr>
        <w:t>asadinių sistemų atnaujinimas reikalauja reikšmingai didesnių investicijų nei kitų laikančių sienų, nes šiuo atveju reikia keisti visą sienos konstrukciją. Taip pat dalį fasadinių sistemų gali būti sunku pakeisti dėl techninių galimybių.</w:t>
      </w:r>
      <w:r w:rsidR="00BE7DF4" w:rsidRPr="00650EE4">
        <w:rPr>
          <w:rFonts w:ascii="Times New Roman" w:hAnsi="Times New Roman"/>
          <w:szCs w:val="22"/>
        </w:rPr>
        <w:t xml:space="preserve"> Atsižvelgta </w:t>
      </w:r>
      <w:r w:rsidR="005A7400" w:rsidRPr="00650EE4">
        <w:rPr>
          <w:rFonts w:ascii="Times New Roman" w:hAnsi="Times New Roman"/>
          <w:szCs w:val="22"/>
        </w:rPr>
        <w:t>prognozuoja</w:t>
      </w:r>
      <w:r w:rsidR="00BE7DF4" w:rsidRPr="00650EE4">
        <w:rPr>
          <w:rFonts w:ascii="Times New Roman" w:hAnsi="Times New Roman"/>
          <w:szCs w:val="22"/>
        </w:rPr>
        <w:t>nt renovacijoje nedalyvausiančių pastatų dalį.</w:t>
      </w:r>
    </w:p>
    <w:p w14:paraId="0F905F18" w14:textId="41B75E14" w:rsidR="00DD1E7E" w:rsidRPr="00650EE4" w:rsidRDefault="00BE7DF4" w:rsidP="00DD1E7E">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szCs w:val="22"/>
        </w:rPr>
        <w:t xml:space="preserve">4 proc. </w:t>
      </w:r>
      <w:r w:rsidR="00093731">
        <w:rPr>
          <w:rFonts w:ascii="Times New Roman" w:hAnsi="Times New Roman"/>
          <w:szCs w:val="22"/>
        </w:rPr>
        <w:t>viso p</w:t>
      </w:r>
      <w:r w:rsidR="00BD6942" w:rsidRPr="00650EE4">
        <w:rPr>
          <w:rFonts w:ascii="Times New Roman" w:hAnsi="Times New Roman"/>
          <w:szCs w:val="22"/>
        </w:rPr>
        <w:t>astatų fondo ploto priskirta „Kita“ sienų tipui</w:t>
      </w:r>
      <w:r w:rsidR="009756A2">
        <w:rPr>
          <w:rFonts w:ascii="Times New Roman" w:hAnsi="Times New Roman"/>
          <w:szCs w:val="22"/>
        </w:rPr>
        <w:t xml:space="preserve"> (paveikslėlyje aukščiau į grupę „Kita“ įtraukta ir 2 proc. monolitinio betono sienų pastatai)</w:t>
      </w:r>
      <w:r w:rsidR="00BD6942" w:rsidRPr="00650EE4">
        <w:rPr>
          <w:rFonts w:ascii="Times New Roman" w:hAnsi="Times New Roman"/>
          <w:szCs w:val="22"/>
        </w:rPr>
        <w:t xml:space="preserve">, t.y. Registrų centro duomenų bazėje pastatams buvo priskirtas šiaudų, molio, medžio, medinio karkaso, skardos, šiferio ar kt. medžiagų sienos tipas. Didžioji dalis (77 proc.) </w:t>
      </w:r>
      <w:r w:rsidR="00F12F90" w:rsidRPr="00650EE4">
        <w:rPr>
          <w:rFonts w:ascii="Times New Roman" w:hAnsi="Times New Roman"/>
          <w:szCs w:val="22"/>
        </w:rPr>
        <w:t xml:space="preserve">šio tipo </w:t>
      </w:r>
      <w:r w:rsidR="00BD6942" w:rsidRPr="00650EE4">
        <w:rPr>
          <w:rFonts w:ascii="Times New Roman" w:hAnsi="Times New Roman"/>
          <w:szCs w:val="22"/>
        </w:rPr>
        <w:t>pastatų</w:t>
      </w:r>
      <w:r w:rsidR="00F12F90" w:rsidRPr="00650EE4">
        <w:rPr>
          <w:rFonts w:ascii="Times New Roman" w:hAnsi="Times New Roman"/>
          <w:szCs w:val="22"/>
        </w:rPr>
        <w:t xml:space="preserve"> </w:t>
      </w:r>
      <w:r w:rsidR="00BD6942" w:rsidRPr="00650EE4">
        <w:rPr>
          <w:rFonts w:ascii="Times New Roman" w:hAnsi="Times New Roman"/>
          <w:szCs w:val="22"/>
        </w:rPr>
        <w:t xml:space="preserve">yra gyvenamosios paskirties pastatai, iš jų net 94 proc. individualūs namai. Tikėtina, kad didžioji </w:t>
      </w:r>
      <w:r w:rsidR="00BD6942" w:rsidRPr="00650EE4">
        <w:rPr>
          <w:rFonts w:ascii="Times New Roman" w:hAnsi="Times New Roman"/>
          <w:color w:val="000000" w:themeColor="text1"/>
          <w:szCs w:val="22"/>
        </w:rPr>
        <w:t>šių pastatų dalis nedalyvaus renovacijoje, nes reikšminga jų dalis nėra nuolatos gyvenami ar reguliariai šildomi, o techninės renovacijos galimybės yra labai ribotos. Iš „Kito“ tipo pastatų, tik medinius karkaso pastat</w:t>
      </w:r>
      <w:r w:rsidR="00F12F90" w:rsidRPr="00650EE4">
        <w:rPr>
          <w:rFonts w:ascii="Times New Roman" w:hAnsi="Times New Roman"/>
          <w:color w:val="000000" w:themeColor="text1"/>
          <w:szCs w:val="22"/>
        </w:rPr>
        <w:t>us būtų tikslinga modernizuoti taikan</w:t>
      </w:r>
      <w:r w:rsidR="005A7400" w:rsidRPr="00650EE4">
        <w:rPr>
          <w:rFonts w:ascii="Times New Roman" w:hAnsi="Times New Roman"/>
          <w:color w:val="000000" w:themeColor="text1"/>
          <w:szCs w:val="22"/>
        </w:rPr>
        <w:t xml:space="preserve">t tipines renovacijos priemones. </w:t>
      </w:r>
      <w:r w:rsidR="005A7400" w:rsidRPr="00650EE4">
        <w:rPr>
          <w:rFonts w:ascii="Times New Roman" w:hAnsi="Times New Roman"/>
          <w:szCs w:val="22"/>
        </w:rPr>
        <w:t>Atsižvelgta prognozuojant renovacijoje nedalyvausiančių pastatų dalį.</w:t>
      </w:r>
    </w:p>
    <w:p w14:paraId="48064B11" w14:textId="77777777" w:rsidR="00526AF5" w:rsidRPr="00650EE4" w:rsidRDefault="00526AF5" w:rsidP="00F5328A">
      <w:pPr>
        <w:rPr>
          <w:rFonts w:ascii="Times New Roman" w:hAnsi="Times New Roman"/>
          <w:color w:val="000000" w:themeColor="text1"/>
          <w:szCs w:val="22"/>
        </w:rPr>
      </w:pPr>
    </w:p>
    <w:p w14:paraId="67F9CB01" w14:textId="2EF0A397" w:rsidR="006A732F" w:rsidRPr="00650EE4" w:rsidRDefault="006A732F">
      <w:pPr>
        <w:spacing w:after="240"/>
        <w:rPr>
          <w:rFonts w:ascii="Times New Roman" w:hAnsi="Times New Roman"/>
          <w:color w:val="000000" w:themeColor="text1"/>
          <w:sz w:val="24"/>
          <w:szCs w:val="24"/>
        </w:rPr>
      </w:pPr>
      <w:r w:rsidRPr="00650EE4">
        <w:rPr>
          <w:rFonts w:ascii="Times New Roman" w:hAnsi="Times New Roman"/>
          <w:color w:val="000000" w:themeColor="text1"/>
          <w:sz w:val="24"/>
          <w:szCs w:val="24"/>
        </w:rPr>
        <w:br w:type="page"/>
      </w:r>
    </w:p>
    <w:p w14:paraId="406D1D09" w14:textId="77777777" w:rsidR="00E42ED4" w:rsidRPr="00650EE4" w:rsidRDefault="00E42ED4" w:rsidP="005F56C6">
      <w:pPr>
        <w:pStyle w:val="Antrastes31"/>
        <w:numPr>
          <w:ilvl w:val="2"/>
          <w:numId w:val="4"/>
        </w:numPr>
        <w:spacing w:before="0"/>
        <w:ind w:left="720" w:hanging="720"/>
        <w:rPr>
          <w:rFonts w:ascii="Times New Roman" w:hAnsi="Times New Roman"/>
          <w:color w:val="000000" w:themeColor="text1"/>
          <w:sz w:val="24"/>
          <w:szCs w:val="24"/>
          <w:lang w:val="lt-LT"/>
        </w:rPr>
      </w:pPr>
      <w:bookmarkStart w:id="32" w:name="_Toc67925107"/>
      <w:r w:rsidRPr="00650EE4">
        <w:rPr>
          <w:rFonts w:ascii="Times New Roman" w:hAnsi="Times New Roman"/>
          <w:color w:val="000000" w:themeColor="text1"/>
          <w:sz w:val="24"/>
          <w:szCs w:val="24"/>
          <w:lang w:val="lt-LT"/>
        </w:rPr>
        <w:lastRenderedPageBreak/>
        <w:t>Pastatų fondas pagal šildymo tipą</w:t>
      </w:r>
      <w:bookmarkEnd w:id="32"/>
    </w:p>
    <w:p w14:paraId="6B5AE2A8" w14:textId="38C1FFC9" w:rsidR="004A3475" w:rsidRPr="00650EE4" w:rsidRDefault="00B71A78" w:rsidP="002021F0">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Toliau</w:t>
      </w:r>
      <w:r w:rsidR="005A1578" w:rsidRPr="00650EE4">
        <w:rPr>
          <w:rFonts w:ascii="Times New Roman" w:hAnsi="Times New Roman"/>
          <w:color w:val="000000" w:themeColor="text1"/>
          <w:szCs w:val="22"/>
          <w:lang w:val="lt-LT"/>
        </w:rPr>
        <w:t xml:space="preserve"> pateikiamas</w:t>
      </w:r>
      <w:r w:rsidR="007A52B6">
        <w:rPr>
          <w:rFonts w:ascii="Times New Roman" w:hAnsi="Times New Roman"/>
          <w:color w:val="000000" w:themeColor="text1"/>
          <w:szCs w:val="22"/>
          <w:lang w:val="lt-LT"/>
        </w:rPr>
        <w:t xml:space="preserve"> p</w:t>
      </w:r>
      <w:r w:rsidR="00E42ED4" w:rsidRPr="00650EE4">
        <w:rPr>
          <w:rFonts w:ascii="Times New Roman" w:hAnsi="Times New Roman"/>
          <w:color w:val="000000" w:themeColor="text1"/>
          <w:szCs w:val="22"/>
          <w:lang w:val="lt-LT"/>
        </w:rPr>
        <w:t>astatų fondo p</w:t>
      </w:r>
      <w:r w:rsidR="005A1578" w:rsidRPr="00650EE4">
        <w:rPr>
          <w:rFonts w:ascii="Times New Roman" w:hAnsi="Times New Roman"/>
          <w:color w:val="000000" w:themeColor="text1"/>
          <w:szCs w:val="22"/>
          <w:lang w:val="lt-LT"/>
        </w:rPr>
        <w:t>jūvis</w:t>
      </w:r>
      <w:r w:rsidR="00E42ED4" w:rsidRPr="00650EE4">
        <w:rPr>
          <w:rFonts w:ascii="Times New Roman" w:hAnsi="Times New Roman"/>
          <w:color w:val="000000" w:themeColor="text1"/>
          <w:szCs w:val="22"/>
          <w:lang w:val="lt-LT"/>
        </w:rPr>
        <w:t xml:space="preserve"> pagal </w:t>
      </w:r>
      <w:r w:rsidR="00122936" w:rsidRPr="00650EE4">
        <w:rPr>
          <w:rFonts w:ascii="Times New Roman" w:hAnsi="Times New Roman"/>
          <w:color w:val="000000" w:themeColor="text1"/>
          <w:szCs w:val="22"/>
          <w:lang w:val="lt-LT"/>
        </w:rPr>
        <w:t>prijungimo</w:t>
      </w:r>
      <w:r w:rsidR="00E42ED4" w:rsidRPr="00650EE4">
        <w:rPr>
          <w:rFonts w:ascii="Times New Roman" w:hAnsi="Times New Roman"/>
          <w:color w:val="000000" w:themeColor="text1"/>
          <w:szCs w:val="22"/>
          <w:lang w:val="lt-LT"/>
        </w:rPr>
        <w:t xml:space="preserve"> prie </w:t>
      </w:r>
      <w:r w:rsidR="00BF48FC" w:rsidRPr="00650EE4">
        <w:rPr>
          <w:rFonts w:ascii="Times New Roman" w:hAnsi="Times New Roman"/>
          <w:color w:val="000000" w:themeColor="text1"/>
          <w:szCs w:val="22"/>
          <w:lang w:val="lt-LT"/>
        </w:rPr>
        <w:t xml:space="preserve">centralizuoto šilumos tiekimo (toliau – </w:t>
      </w:r>
      <w:r w:rsidR="00BF48FC" w:rsidRPr="00650EE4">
        <w:rPr>
          <w:rFonts w:ascii="Times New Roman" w:hAnsi="Times New Roman"/>
          <w:bCs/>
          <w:color w:val="000000" w:themeColor="text1"/>
          <w:szCs w:val="22"/>
          <w:lang w:val="lt-LT"/>
        </w:rPr>
        <w:t>CŠT</w:t>
      </w:r>
      <w:r w:rsidR="00BF48FC" w:rsidRPr="00650EE4">
        <w:rPr>
          <w:rFonts w:ascii="Times New Roman" w:hAnsi="Times New Roman"/>
          <w:color w:val="000000" w:themeColor="text1"/>
          <w:szCs w:val="22"/>
          <w:lang w:val="lt-LT"/>
        </w:rPr>
        <w:t>)</w:t>
      </w:r>
      <w:r w:rsidR="00122936" w:rsidRPr="00650EE4">
        <w:rPr>
          <w:rFonts w:ascii="Times New Roman" w:hAnsi="Times New Roman"/>
          <w:color w:val="000000" w:themeColor="text1"/>
          <w:szCs w:val="22"/>
          <w:lang w:val="lt-LT"/>
        </w:rPr>
        <w:t xml:space="preserve"> sistemos faktą</w:t>
      </w:r>
      <w:r w:rsidR="00BF48FC" w:rsidRPr="00650EE4">
        <w:rPr>
          <w:rFonts w:ascii="Times New Roman" w:hAnsi="Times New Roman"/>
          <w:color w:val="000000" w:themeColor="text1"/>
          <w:szCs w:val="22"/>
          <w:lang w:val="lt-LT"/>
        </w:rPr>
        <w:t>,</w:t>
      </w:r>
      <w:r w:rsidR="00E42ED4" w:rsidRPr="00650EE4">
        <w:rPr>
          <w:rFonts w:ascii="Times New Roman" w:hAnsi="Times New Roman"/>
          <w:color w:val="000000" w:themeColor="text1"/>
          <w:szCs w:val="22"/>
          <w:lang w:val="lt-LT"/>
        </w:rPr>
        <w:t xml:space="preserve"> </w:t>
      </w:r>
      <w:r w:rsidR="005A1578" w:rsidRPr="00650EE4">
        <w:rPr>
          <w:rFonts w:ascii="Times New Roman" w:hAnsi="Times New Roman"/>
          <w:color w:val="000000" w:themeColor="text1"/>
          <w:szCs w:val="22"/>
          <w:lang w:val="lt-LT"/>
        </w:rPr>
        <w:t xml:space="preserve">vienetais ir </w:t>
      </w:r>
      <w:r w:rsidR="00E42ED4" w:rsidRPr="00650EE4">
        <w:rPr>
          <w:rFonts w:ascii="Times New Roman" w:hAnsi="Times New Roman"/>
          <w:color w:val="000000" w:themeColor="text1"/>
          <w:szCs w:val="22"/>
          <w:lang w:val="lt-LT"/>
        </w:rPr>
        <w:t>tūkst. m</w:t>
      </w:r>
      <w:r w:rsidR="00E42ED4" w:rsidRPr="00650EE4">
        <w:rPr>
          <w:rFonts w:ascii="Times New Roman" w:hAnsi="Times New Roman"/>
          <w:color w:val="000000" w:themeColor="text1"/>
          <w:szCs w:val="22"/>
          <w:vertAlign w:val="superscript"/>
          <w:lang w:val="lt-LT"/>
        </w:rPr>
        <w:t>2</w:t>
      </w:r>
      <w:r w:rsidR="00E42ED4" w:rsidRPr="00650EE4">
        <w:rPr>
          <w:rFonts w:ascii="Times New Roman" w:hAnsi="Times New Roman"/>
          <w:color w:val="000000" w:themeColor="text1"/>
          <w:szCs w:val="22"/>
          <w:lang w:val="lt-LT"/>
        </w:rPr>
        <w:t>.</w:t>
      </w:r>
    </w:p>
    <w:p w14:paraId="654EC5D2" w14:textId="77777777" w:rsidR="00FD1EF1" w:rsidRPr="00650EE4" w:rsidRDefault="00FD1EF1" w:rsidP="00E42ED4">
      <w:pPr>
        <w:pStyle w:val="BodyText"/>
        <w:spacing w:line="240" w:lineRule="auto"/>
        <w:rPr>
          <w:rFonts w:ascii="Times New Roman" w:hAnsi="Times New Roman"/>
          <w:color w:val="000000" w:themeColor="text1"/>
          <w:szCs w:val="22"/>
          <w:lang w:val="lt-LT"/>
        </w:rPr>
      </w:pPr>
    </w:p>
    <w:p w14:paraId="0BEFA764" w14:textId="32D83C30" w:rsidR="00E42ED4"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3" w:name="_Toc67925192"/>
      <w:r w:rsidR="007744C1">
        <w:t>9</w:t>
      </w:r>
      <w:r w:rsidRPr="00650EE4">
        <w:rPr>
          <w:noProof w:val="0"/>
        </w:rPr>
        <w:fldChar w:fldCharType="end"/>
      </w:r>
      <w:r w:rsidR="0070585A" w:rsidRPr="00650EE4">
        <w:rPr>
          <w:noProof w:val="0"/>
        </w:rPr>
        <w:t xml:space="preserve"> lentelė</w:t>
      </w:r>
      <w:r w:rsidR="00E42ED4" w:rsidRPr="00650EE4">
        <w:rPr>
          <w:noProof w:val="0"/>
        </w:rPr>
        <w:t>. Pastatų fondas pagal šildymo tipą - prijung</w:t>
      </w:r>
      <w:r w:rsidR="007C141C" w:rsidRPr="00650EE4">
        <w:rPr>
          <w:noProof w:val="0"/>
        </w:rPr>
        <w:t>t</w:t>
      </w:r>
      <w:r w:rsidR="00E42ED4" w:rsidRPr="00650EE4">
        <w:rPr>
          <w:noProof w:val="0"/>
        </w:rPr>
        <w:t>a ar neprijungta prie CŠT (vnt.)</w:t>
      </w:r>
      <w:bookmarkEnd w:id="33"/>
    </w:p>
    <w:tbl>
      <w:tblPr>
        <w:tblW w:w="10060" w:type="dxa"/>
        <w:tblLook w:val="04A0" w:firstRow="1" w:lastRow="0" w:firstColumn="1" w:lastColumn="0" w:noHBand="0" w:noVBand="1"/>
      </w:tblPr>
      <w:tblGrid>
        <w:gridCol w:w="3397"/>
        <w:gridCol w:w="1701"/>
        <w:gridCol w:w="1843"/>
        <w:gridCol w:w="1559"/>
        <w:gridCol w:w="1560"/>
      </w:tblGrid>
      <w:tr w:rsidR="00FD4ED3" w:rsidRPr="00650EE4" w14:paraId="67190F0B" w14:textId="77777777" w:rsidTr="004F0F3B">
        <w:tc>
          <w:tcPr>
            <w:tcW w:w="3397" w:type="dxa"/>
            <w:vMerge w:val="restart"/>
            <w:tcBorders>
              <w:top w:val="single" w:sz="4" w:space="0" w:color="auto"/>
              <w:left w:val="single" w:sz="4" w:space="0" w:color="auto"/>
              <w:bottom w:val="nil"/>
              <w:right w:val="nil"/>
            </w:tcBorders>
            <w:shd w:val="clear" w:color="000000" w:fill="FFFFFF"/>
            <w:vAlign w:val="center"/>
            <w:hideMark/>
          </w:tcPr>
          <w:p w14:paraId="3371BA24"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54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CFEC7A1"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CŠT</w:t>
            </w:r>
          </w:p>
        </w:tc>
        <w:tc>
          <w:tcPr>
            <w:tcW w:w="1559" w:type="dxa"/>
            <w:vMerge w:val="restart"/>
            <w:tcBorders>
              <w:top w:val="single" w:sz="4" w:space="0" w:color="auto"/>
              <w:left w:val="nil"/>
              <w:bottom w:val="nil"/>
              <w:right w:val="nil"/>
            </w:tcBorders>
            <w:shd w:val="clear" w:color="000000" w:fill="FFFFFF"/>
            <w:vAlign w:val="center"/>
            <w:hideMark/>
          </w:tcPr>
          <w:p w14:paraId="453D2914"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5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65DC9F1" w14:textId="77777777" w:rsidR="00FD4ED3" w:rsidRPr="00650EE4" w:rsidRDefault="00FD4ED3" w:rsidP="00FD4ED3">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Iš viso, proc.</w:t>
            </w:r>
          </w:p>
        </w:tc>
      </w:tr>
      <w:tr w:rsidR="00FD4ED3" w:rsidRPr="00650EE4" w14:paraId="1177D479" w14:textId="77777777" w:rsidTr="004F0F3B">
        <w:tc>
          <w:tcPr>
            <w:tcW w:w="3397" w:type="dxa"/>
            <w:vMerge/>
            <w:tcBorders>
              <w:top w:val="single" w:sz="4" w:space="0" w:color="auto"/>
              <w:left w:val="single" w:sz="4" w:space="0" w:color="auto"/>
              <w:bottom w:val="nil"/>
              <w:right w:val="nil"/>
            </w:tcBorders>
            <w:vAlign w:val="center"/>
            <w:hideMark/>
          </w:tcPr>
          <w:p w14:paraId="476319CC" w14:textId="77777777" w:rsidR="00FD4ED3" w:rsidRPr="00650EE4" w:rsidRDefault="00FD4ED3" w:rsidP="00FD4ED3">
            <w:pPr>
              <w:spacing w:line="240" w:lineRule="auto"/>
              <w:rPr>
                <w:rFonts w:ascii="Times New Roman" w:eastAsia="Times New Roman" w:hAnsi="Times New Roman"/>
                <w:b/>
                <w:bCs/>
                <w:sz w:val="20"/>
                <w:szCs w:val="20"/>
              </w:rPr>
            </w:pPr>
          </w:p>
        </w:tc>
        <w:tc>
          <w:tcPr>
            <w:tcW w:w="1701" w:type="dxa"/>
            <w:tcBorders>
              <w:top w:val="nil"/>
              <w:left w:val="single" w:sz="4" w:space="0" w:color="auto"/>
              <w:bottom w:val="nil"/>
              <w:right w:val="nil"/>
            </w:tcBorders>
            <w:shd w:val="clear" w:color="000000" w:fill="FFFFFF"/>
            <w:noWrap/>
            <w:vAlign w:val="center"/>
            <w:hideMark/>
          </w:tcPr>
          <w:p w14:paraId="3FE18A2A"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Prijungta</w:t>
            </w:r>
          </w:p>
        </w:tc>
        <w:tc>
          <w:tcPr>
            <w:tcW w:w="1843" w:type="dxa"/>
            <w:tcBorders>
              <w:top w:val="nil"/>
              <w:left w:val="nil"/>
              <w:bottom w:val="nil"/>
              <w:right w:val="single" w:sz="4" w:space="0" w:color="auto"/>
            </w:tcBorders>
            <w:shd w:val="clear" w:color="000000" w:fill="FFFFFF"/>
            <w:noWrap/>
            <w:vAlign w:val="center"/>
            <w:hideMark/>
          </w:tcPr>
          <w:p w14:paraId="4A7E4C0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Neprijungta</w:t>
            </w:r>
          </w:p>
        </w:tc>
        <w:tc>
          <w:tcPr>
            <w:tcW w:w="1559" w:type="dxa"/>
            <w:vMerge/>
            <w:tcBorders>
              <w:top w:val="single" w:sz="4" w:space="0" w:color="auto"/>
              <w:left w:val="nil"/>
              <w:bottom w:val="nil"/>
              <w:right w:val="nil"/>
            </w:tcBorders>
            <w:vAlign w:val="center"/>
            <w:hideMark/>
          </w:tcPr>
          <w:p w14:paraId="6A381337" w14:textId="77777777" w:rsidR="00FD4ED3" w:rsidRPr="00650EE4" w:rsidRDefault="00FD4ED3" w:rsidP="00FD4ED3">
            <w:pPr>
              <w:spacing w:line="240" w:lineRule="auto"/>
              <w:rPr>
                <w:rFonts w:ascii="Times New Roman" w:eastAsia="Times New Roman" w:hAnsi="Times New Roman"/>
                <w:b/>
                <w:bCs/>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14:paraId="0446214A" w14:textId="77777777" w:rsidR="00FD4ED3" w:rsidRPr="00650EE4" w:rsidRDefault="00FD4ED3" w:rsidP="00FD4ED3">
            <w:pPr>
              <w:spacing w:line="240" w:lineRule="auto"/>
              <w:rPr>
                <w:rFonts w:ascii="Times New Roman" w:eastAsia="Times New Roman" w:hAnsi="Times New Roman"/>
                <w:sz w:val="20"/>
                <w:szCs w:val="20"/>
              </w:rPr>
            </w:pPr>
          </w:p>
        </w:tc>
      </w:tr>
      <w:tr w:rsidR="00FD4ED3" w:rsidRPr="00650EE4" w14:paraId="387B9B43" w14:textId="77777777" w:rsidTr="004F0F3B">
        <w:tc>
          <w:tcPr>
            <w:tcW w:w="3397" w:type="dxa"/>
            <w:tcBorders>
              <w:top w:val="single" w:sz="4" w:space="0" w:color="auto"/>
              <w:left w:val="single" w:sz="4" w:space="0" w:color="auto"/>
              <w:bottom w:val="single" w:sz="4" w:space="0" w:color="auto"/>
              <w:right w:val="nil"/>
            </w:tcBorders>
            <w:shd w:val="clear" w:color="000000" w:fill="F2F2F2"/>
            <w:noWrap/>
            <w:vAlign w:val="center"/>
            <w:hideMark/>
          </w:tcPr>
          <w:p w14:paraId="3D1EEF76"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1701" w:type="dxa"/>
            <w:tcBorders>
              <w:top w:val="single" w:sz="4" w:space="0" w:color="auto"/>
              <w:left w:val="single" w:sz="4" w:space="0" w:color="auto"/>
              <w:bottom w:val="single" w:sz="4" w:space="0" w:color="auto"/>
              <w:right w:val="nil"/>
            </w:tcBorders>
            <w:shd w:val="clear" w:color="000000" w:fill="F2F2F2"/>
            <w:noWrap/>
            <w:vAlign w:val="center"/>
            <w:hideMark/>
          </w:tcPr>
          <w:p w14:paraId="66D562F9"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26.192</w:t>
            </w:r>
          </w:p>
        </w:tc>
        <w:tc>
          <w:tcPr>
            <w:tcW w:w="1843" w:type="dxa"/>
            <w:tcBorders>
              <w:top w:val="single" w:sz="4" w:space="0" w:color="auto"/>
              <w:left w:val="nil"/>
              <w:bottom w:val="single" w:sz="4" w:space="0" w:color="auto"/>
              <w:right w:val="single" w:sz="4" w:space="0" w:color="auto"/>
            </w:tcBorders>
            <w:shd w:val="clear" w:color="000000" w:fill="F2F2F2"/>
            <w:noWrap/>
            <w:vAlign w:val="center"/>
            <w:hideMark/>
          </w:tcPr>
          <w:p w14:paraId="2342D3E2"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544.321</w:t>
            </w:r>
          </w:p>
        </w:tc>
        <w:tc>
          <w:tcPr>
            <w:tcW w:w="1559" w:type="dxa"/>
            <w:tcBorders>
              <w:top w:val="single" w:sz="4" w:space="0" w:color="auto"/>
              <w:left w:val="nil"/>
              <w:bottom w:val="single" w:sz="4" w:space="0" w:color="auto"/>
              <w:right w:val="nil"/>
            </w:tcBorders>
            <w:shd w:val="clear" w:color="000000" w:fill="F2F2F2"/>
            <w:noWrap/>
            <w:vAlign w:val="center"/>
            <w:hideMark/>
          </w:tcPr>
          <w:p w14:paraId="55C74E61"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570.513</w:t>
            </w: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16D1C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FD4ED3" w:rsidRPr="00650EE4" w14:paraId="47B81113" w14:textId="77777777" w:rsidTr="004F0F3B">
        <w:tc>
          <w:tcPr>
            <w:tcW w:w="3397" w:type="dxa"/>
            <w:tcBorders>
              <w:top w:val="nil"/>
              <w:left w:val="single" w:sz="4" w:space="0" w:color="auto"/>
              <w:bottom w:val="nil"/>
              <w:right w:val="nil"/>
            </w:tcBorders>
            <w:shd w:val="clear" w:color="000000" w:fill="FFFFFF"/>
            <w:noWrap/>
            <w:vAlign w:val="center"/>
            <w:hideMark/>
          </w:tcPr>
          <w:p w14:paraId="7900217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1701" w:type="dxa"/>
            <w:tcBorders>
              <w:top w:val="nil"/>
              <w:left w:val="single" w:sz="4" w:space="0" w:color="auto"/>
              <w:bottom w:val="nil"/>
              <w:right w:val="nil"/>
            </w:tcBorders>
            <w:shd w:val="clear" w:color="000000" w:fill="FFFFFF"/>
            <w:noWrap/>
            <w:vAlign w:val="center"/>
            <w:hideMark/>
          </w:tcPr>
          <w:p w14:paraId="1511DBE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7.192</w:t>
            </w:r>
          </w:p>
        </w:tc>
        <w:tc>
          <w:tcPr>
            <w:tcW w:w="1843" w:type="dxa"/>
            <w:tcBorders>
              <w:top w:val="nil"/>
              <w:left w:val="nil"/>
              <w:bottom w:val="nil"/>
              <w:right w:val="single" w:sz="4" w:space="0" w:color="auto"/>
            </w:tcBorders>
            <w:shd w:val="clear" w:color="000000" w:fill="FFFFFF"/>
            <w:noWrap/>
            <w:vAlign w:val="center"/>
            <w:hideMark/>
          </w:tcPr>
          <w:p w14:paraId="692E13F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522.300</w:t>
            </w:r>
          </w:p>
        </w:tc>
        <w:tc>
          <w:tcPr>
            <w:tcW w:w="1559" w:type="dxa"/>
            <w:tcBorders>
              <w:top w:val="nil"/>
              <w:left w:val="nil"/>
              <w:bottom w:val="nil"/>
              <w:right w:val="nil"/>
            </w:tcBorders>
            <w:shd w:val="clear" w:color="000000" w:fill="FFFFFF"/>
            <w:noWrap/>
            <w:vAlign w:val="center"/>
            <w:hideMark/>
          </w:tcPr>
          <w:p w14:paraId="27BFFB6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1560" w:type="dxa"/>
            <w:tcBorders>
              <w:top w:val="nil"/>
              <w:left w:val="single" w:sz="4" w:space="0" w:color="auto"/>
              <w:bottom w:val="nil"/>
              <w:right w:val="single" w:sz="4" w:space="0" w:color="auto"/>
            </w:tcBorders>
            <w:shd w:val="clear" w:color="000000" w:fill="FFFFFF"/>
            <w:noWrap/>
            <w:vAlign w:val="center"/>
            <w:hideMark/>
          </w:tcPr>
          <w:p w14:paraId="0B1BE1F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FD4ED3" w:rsidRPr="00650EE4" w14:paraId="1926057C" w14:textId="77777777" w:rsidTr="004F0F3B">
        <w:tc>
          <w:tcPr>
            <w:tcW w:w="3397" w:type="dxa"/>
            <w:tcBorders>
              <w:top w:val="nil"/>
              <w:left w:val="single" w:sz="4" w:space="0" w:color="auto"/>
              <w:bottom w:val="single" w:sz="4" w:space="0" w:color="auto"/>
              <w:right w:val="nil"/>
            </w:tcBorders>
            <w:shd w:val="clear" w:color="000000" w:fill="FFFFFF"/>
            <w:noWrap/>
            <w:vAlign w:val="center"/>
            <w:hideMark/>
          </w:tcPr>
          <w:p w14:paraId="7B73F20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1701" w:type="dxa"/>
            <w:tcBorders>
              <w:top w:val="nil"/>
              <w:left w:val="single" w:sz="4" w:space="0" w:color="auto"/>
              <w:bottom w:val="single" w:sz="4" w:space="0" w:color="auto"/>
              <w:right w:val="nil"/>
            </w:tcBorders>
            <w:shd w:val="clear" w:color="000000" w:fill="FFFFFF"/>
            <w:noWrap/>
            <w:vAlign w:val="center"/>
            <w:hideMark/>
          </w:tcPr>
          <w:p w14:paraId="2A18AE2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19.000</w:t>
            </w:r>
          </w:p>
        </w:tc>
        <w:tc>
          <w:tcPr>
            <w:tcW w:w="1843" w:type="dxa"/>
            <w:tcBorders>
              <w:top w:val="nil"/>
              <w:left w:val="nil"/>
              <w:bottom w:val="single" w:sz="4" w:space="0" w:color="auto"/>
              <w:right w:val="single" w:sz="4" w:space="0" w:color="auto"/>
            </w:tcBorders>
            <w:shd w:val="clear" w:color="000000" w:fill="FFFFFF"/>
            <w:noWrap/>
            <w:vAlign w:val="center"/>
            <w:hideMark/>
          </w:tcPr>
          <w:p w14:paraId="0FDD6C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22.021</w:t>
            </w:r>
          </w:p>
        </w:tc>
        <w:tc>
          <w:tcPr>
            <w:tcW w:w="1559" w:type="dxa"/>
            <w:tcBorders>
              <w:top w:val="nil"/>
              <w:left w:val="nil"/>
              <w:bottom w:val="single" w:sz="4" w:space="0" w:color="auto"/>
              <w:right w:val="nil"/>
            </w:tcBorders>
            <w:shd w:val="clear" w:color="000000" w:fill="FFFFFF"/>
            <w:noWrap/>
            <w:vAlign w:val="center"/>
            <w:hideMark/>
          </w:tcPr>
          <w:p w14:paraId="3C993B8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5D8D84A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FD4ED3" w:rsidRPr="00650EE4" w14:paraId="43DB7E2D" w14:textId="77777777" w:rsidTr="004F0F3B">
        <w:tc>
          <w:tcPr>
            <w:tcW w:w="3397" w:type="dxa"/>
            <w:tcBorders>
              <w:top w:val="nil"/>
              <w:left w:val="single" w:sz="4" w:space="0" w:color="auto"/>
              <w:bottom w:val="single" w:sz="4" w:space="0" w:color="auto"/>
              <w:right w:val="nil"/>
            </w:tcBorders>
            <w:shd w:val="clear" w:color="000000" w:fill="F2F2F2"/>
            <w:noWrap/>
            <w:vAlign w:val="center"/>
            <w:hideMark/>
          </w:tcPr>
          <w:p w14:paraId="62AD1639"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1701" w:type="dxa"/>
            <w:tcBorders>
              <w:top w:val="nil"/>
              <w:left w:val="single" w:sz="4" w:space="0" w:color="auto"/>
              <w:bottom w:val="single" w:sz="4" w:space="0" w:color="auto"/>
              <w:right w:val="nil"/>
            </w:tcBorders>
            <w:shd w:val="clear" w:color="000000" w:fill="F2F2F2"/>
            <w:noWrap/>
            <w:vAlign w:val="center"/>
            <w:hideMark/>
          </w:tcPr>
          <w:p w14:paraId="253A810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15.010</w:t>
            </w:r>
          </w:p>
        </w:tc>
        <w:tc>
          <w:tcPr>
            <w:tcW w:w="1843" w:type="dxa"/>
            <w:tcBorders>
              <w:top w:val="nil"/>
              <w:left w:val="nil"/>
              <w:bottom w:val="single" w:sz="4" w:space="0" w:color="auto"/>
              <w:right w:val="single" w:sz="4" w:space="0" w:color="auto"/>
            </w:tcBorders>
            <w:shd w:val="clear" w:color="000000" w:fill="F2F2F2"/>
            <w:noWrap/>
            <w:vAlign w:val="center"/>
            <w:hideMark/>
          </w:tcPr>
          <w:p w14:paraId="507551E5"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75.760</w:t>
            </w:r>
          </w:p>
        </w:tc>
        <w:tc>
          <w:tcPr>
            <w:tcW w:w="1559" w:type="dxa"/>
            <w:tcBorders>
              <w:top w:val="nil"/>
              <w:left w:val="nil"/>
              <w:bottom w:val="single" w:sz="4" w:space="0" w:color="auto"/>
              <w:right w:val="nil"/>
            </w:tcBorders>
            <w:shd w:val="clear" w:color="000000" w:fill="F2F2F2"/>
            <w:noWrap/>
            <w:vAlign w:val="center"/>
            <w:hideMark/>
          </w:tcPr>
          <w:p w14:paraId="3FD3A24C"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90.770</w:t>
            </w:r>
          </w:p>
        </w:tc>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35060AD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FD4ED3" w:rsidRPr="00650EE4" w14:paraId="76E8DB7F" w14:textId="77777777" w:rsidTr="004F0F3B">
        <w:tc>
          <w:tcPr>
            <w:tcW w:w="3397" w:type="dxa"/>
            <w:tcBorders>
              <w:top w:val="nil"/>
              <w:left w:val="single" w:sz="4" w:space="0" w:color="auto"/>
              <w:bottom w:val="nil"/>
              <w:right w:val="nil"/>
            </w:tcBorders>
            <w:shd w:val="clear" w:color="000000" w:fill="FFFFFF"/>
            <w:noWrap/>
            <w:vAlign w:val="center"/>
            <w:hideMark/>
          </w:tcPr>
          <w:p w14:paraId="56845F8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1701" w:type="dxa"/>
            <w:tcBorders>
              <w:top w:val="nil"/>
              <w:left w:val="single" w:sz="4" w:space="0" w:color="auto"/>
              <w:bottom w:val="nil"/>
              <w:right w:val="nil"/>
            </w:tcBorders>
            <w:shd w:val="clear" w:color="000000" w:fill="FFFFFF"/>
            <w:noWrap/>
            <w:vAlign w:val="center"/>
            <w:hideMark/>
          </w:tcPr>
          <w:p w14:paraId="2F51E6C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3.985</w:t>
            </w:r>
          </w:p>
        </w:tc>
        <w:tc>
          <w:tcPr>
            <w:tcW w:w="1843" w:type="dxa"/>
            <w:tcBorders>
              <w:top w:val="nil"/>
              <w:left w:val="nil"/>
              <w:bottom w:val="nil"/>
              <w:right w:val="single" w:sz="4" w:space="0" w:color="auto"/>
            </w:tcBorders>
            <w:shd w:val="clear" w:color="000000" w:fill="FFFFFF"/>
            <w:noWrap/>
            <w:vAlign w:val="center"/>
            <w:hideMark/>
          </w:tcPr>
          <w:p w14:paraId="740F629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44.790</w:t>
            </w:r>
          </w:p>
        </w:tc>
        <w:tc>
          <w:tcPr>
            <w:tcW w:w="1559" w:type="dxa"/>
            <w:tcBorders>
              <w:top w:val="nil"/>
              <w:left w:val="nil"/>
              <w:bottom w:val="nil"/>
              <w:right w:val="nil"/>
            </w:tcBorders>
            <w:shd w:val="clear" w:color="000000" w:fill="FFFFFF"/>
            <w:noWrap/>
            <w:vAlign w:val="center"/>
            <w:hideMark/>
          </w:tcPr>
          <w:p w14:paraId="0D46363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1560" w:type="dxa"/>
            <w:tcBorders>
              <w:top w:val="nil"/>
              <w:left w:val="single" w:sz="4" w:space="0" w:color="auto"/>
              <w:bottom w:val="nil"/>
              <w:right w:val="single" w:sz="4" w:space="0" w:color="auto"/>
            </w:tcBorders>
            <w:shd w:val="clear" w:color="000000" w:fill="FFFFFF"/>
            <w:noWrap/>
            <w:vAlign w:val="center"/>
            <w:hideMark/>
          </w:tcPr>
          <w:p w14:paraId="5999A8A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FD4ED3" w:rsidRPr="00650EE4" w14:paraId="4F6B6937" w14:textId="77777777" w:rsidTr="004F0F3B">
        <w:tc>
          <w:tcPr>
            <w:tcW w:w="3397" w:type="dxa"/>
            <w:tcBorders>
              <w:top w:val="nil"/>
              <w:left w:val="single" w:sz="4" w:space="0" w:color="auto"/>
              <w:bottom w:val="nil"/>
              <w:right w:val="nil"/>
            </w:tcBorders>
            <w:shd w:val="clear" w:color="000000" w:fill="FFFFFF"/>
            <w:noWrap/>
            <w:vAlign w:val="center"/>
            <w:hideMark/>
          </w:tcPr>
          <w:p w14:paraId="5E39917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1701" w:type="dxa"/>
            <w:tcBorders>
              <w:top w:val="nil"/>
              <w:left w:val="single" w:sz="4" w:space="0" w:color="auto"/>
              <w:bottom w:val="nil"/>
              <w:right w:val="nil"/>
            </w:tcBorders>
            <w:shd w:val="clear" w:color="000000" w:fill="FFFFFF"/>
            <w:noWrap/>
            <w:vAlign w:val="center"/>
            <w:hideMark/>
          </w:tcPr>
          <w:p w14:paraId="618F80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3.966</w:t>
            </w:r>
          </w:p>
        </w:tc>
        <w:tc>
          <w:tcPr>
            <w:tcW w:w="1843" w:type="dxa"/>
            <w:tcBorders>
              <w:top w:val="nil"/>
              <w:left w:val="nil"/>
              <w:bottom w:val="nil"/>
              <w:right w:val="single" w:sz="4" w:space="0" w:color="auto"/>
            </w:tcBorders>
            <w:shd w:val="clear" w:color="000000" w:fill="FFFFFF"/>
            <w:noWrap/>
            <w:vAlign w:val="center"/>
            <w:hideMark/>
          </w:tcPr>
          <w:p w14:paraId="593F379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6.411</w:t>
            </w:r>
          </w:p>
        </w:tc>
        <w:tc>
          <w:tcPr>
            <w:tcW w:w="1559" w:type="dxa"/>
            <w:tcBorders>
              <w:top w:val="nil"/>
              <w:left w:val="nil"/>
              <w:bottom w:val="nil"/>
              <w:right w:val="nil"/>
            </w:tcBorders>
            <w:shd w:val="clear" w:color="000000" w:fill="FFFFFF"/>
            <w:noWrap/>
            <w:vAlign w:val="center"/>
            <w:hideMark/>
          </w:tcPr>
          <w:p w14:paraId="6944225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1560" w:type="dxa"/>
            <w:tcBorders>
              <w:top w:val="nil"/>
              <w:left w:val="single" w:sz="4" w:space="0" w:color="auto"/>
              <w:bottom w:val="nil"/>
              <w:right w:val="single" w:sz="4" w:space="0" w:color="auto"/>
            </w:tcBorders>
            <w:shd w:val="clear" w:color="000000" w:fill="FFFFFF"/>
            <w:noWrap/>
            <w:vAlign w:val="center"/>
            <w:hideMark/>
          </w:tcPr>
          <w:p w14:paraId="75E78F2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FD4ED3" w:rsidRPr="00650EE4" w14:paraId="53290D2A" w14:textId="77777777" w:rsidTr="004F0F3B">
        <w:tc>
          <w:tcPr>
            <w:tcW w:w="3397" w:type="dxa"/>
            <w:tcBorders>
              <w:top w:val="nil"/>
              <w:left w:val="single" w:sz="4" w:space="0" w:color="auto"/>
              <w:bottom w:val="nil"/>
              <w:right w:val="nil"/>
            </w:tcBorders>
            <w:shd w:val="clear" w:color="000000" w:fill="FFFFFF"/>
            <w:noWrap/>
            <w:vAlign w:val="center"/>
            <w:hideMark/>
          </w:tcPr>
          <w:p w14:paraId="66B036A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1701" w:type="dxa"/>
            <w:tcBorders>
              <w:top w:val="nil"/>
              <w:left w:val="single" w:sz="4" w:space="0" w:color="auto"/>
              <w:bottom w:val="nil"/>
              <w:right w:val="nil"/>
            </w:tcBorders>
            <w:shd w:val="clear" w:color="000000" w:fill="FFFFFF"/>
            <w:noWrap/>
            <w:vAlign w:val="center"/>
            <w:hideMark/>
          </w:tcPr>
          <w:p w14:paraId="112E609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2.217</w:t>
            </w:r>
          </w:p>
        </w:tc>
        <w:tc>
          <w:tcPr>
            <w:tcW w:w="1843" w:type="dxa"/>
            <w:tcBorders>
              <w:top w:val="nil"/>
              <w:left w:val="nil"/>
              <w:bottom w:val="nil"/>
              <w:right w:val="single" w:sz="4" w:space="0" w:color="auto"/>
            </w:tcBorders>
            <w:shd w:val="clear" w:color="000000" w:fill="FFFFFF"/>
            <w:noWrap/>
            <w:vAlign w:val="center"/>
            <w:hideMark/>
          </w:tcPr>
          <w:p w14:paraId="3B3B6CB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2.498</w:t>
            </w:r>
          </w:p>
        </w:tc>
        <w:tc>
          <w:tcPr>
            <w:tcW w:w="1559" w:type="dxa"/>
            <w:tcBorders>
              <w:top w:val="nil"/>
              <w:left w:val="nil"/>
              <w:bottom w:val="nil"/>
              <w:right w:val="nil"/>
            </w:tcBorders>
            <w:shd w:val="clear" w:color="000000" w:fill="FFFFFF"/>
            <w:noWrap/>
            <w:vAlign w:val="center"/>
            <w:hideMark/>
          </w:tcPr>
          <w:p w14:paraId="71C6CB1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1560" w:type="dxa"/>
            <w:tcBorders>
              <w:top w:val="nil"/>
              <w:left w:val="single" w:sz="4" w:space="0" w:color="auto"/>
              <w:bottom w:val="nil"/>
              <w:right w:val="single" w:sz="4" w:space="0" w:color="auto"/>
            </w:tcBorders>
            <w:shd w:val="clear" w:color="000000" w:fill="FFFFFF"/>
            <w:noWrap/>
            <w:vAlign w:val="center"/>
            <w:hideMark/>
          </w:tcPr>
          <w:p w14:paraId="726977E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FD4ED3" w:rsidRPr="00650EE4" w14:paraId="62364A7D" w14:textId="77777777" w:rsidTr="004F0F3B">
        <w:tc>
          <w:tcPr>
            <w:tcW w:w="3397" w:type="dxa"/>
            <w:tcBorders>
              <w:top w:val="nil"/>
              <w:left w:val="single" w:sz="4" w:space="0" w:color="auto"/>
              <w:bottom w:val="nil"/>
              <w:right w:val="nil"/>
            </w:tcBorders>
            <w:shd w:val="clear" w:color="000000" w:fill="FFFFFF"/>
            <w:noWrap/>
            <w:vAlign w:val="center"/>
            <w:hideMark/>
          </w:tcPr>
          <w:p w14:paraId="68EAEC08"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1701" w:type="dxa"/>
            <w:tcBorders>
              <w:top w:val="nil"/>
              <w:left w:val="single" w:sz="4" w:space="0" w:color="auto"/>
              <w:bottom w:val="nil"/>
              <w:right w:val="nil"/>
            </w:tcBorders>
            <w:shd w:val="clear" w:color="000000" w:fill="FFFFFF"/>
            <w:noWrap/>
            <w:vAlign w:val="center"/>
            <w:hideMark/>
          </w:tcPr>
          <w:p w14:paraId="176DDEB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1.711</w:t>
            </w:r>
          </w:p>
        </w:tc>
        <w:tc>
          <w:tcPr>
            <w:tcW w:w="1843" w:type="dxa"/>
            <w:tcBorders>
              <w:top w:val="nil"/>
              <w:left w:val="nil"/>
              <w:bottom w:val="nil"/>
              <w:right w:val="single" w:sz="4" w:space="0" w:color="auto"/>
            </w:tcBorders>
            <w:shd w:val="clear" w:color="000000" w:fill="FFFFFF"/>
            <w:noWrap/>
            <w:vAlign w:val="center"/>
            <w:hideMark/>
          </w:tcPr>
          <w:p w14:paraId="6D05532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7.049</w:t>
            </w:r>
          </w:p>
        </w:tc>
        <w:tc>
          <w:tcPr>
            <w:tcW w:w="1559" w:type="dxa"/>
            <w:tcBorders>
              <w:top w:val="nil"/>
              <w:left w:val="nil"/>
              <w:bottom w:val="nil"/>
              <w:right w:val="nil"/>
            </w:tcBorders>
            <w:shd w:val="clear" w:color="000000" w:fill="FFFFFF"/>
            <w:noWrap/>
            <w:vAlign w:val="center"/>
            <w:hideMark/>
          </w:tcPr>
          <w:p w14:paraId="00545FC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1560" w:type="dxa"/>
            <w:tcBorders>
              <w:top w:val="nil"/>
              <w:left w:val="single" w:sz="4" w:space="0" w:color="auto"/>
              <w:bottom w:val="nil"/>
              <w:right w:val="single" w:sz="4" w:space="0" w:color="auto"/>
            </w:tcBorders>
            <w:shd w:val="clear" w:color="000000" w:fill="FFFFFF"/>
            <w:noWrap/>
            <w:vAlign w:val="center"/>
            <w:hideMark/>
          </w:tcPr>
          <w:p w14:paraId="3FEC2A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FD4ED3" w:rsidRPr="00650EE4" w14:paraId="293654DC" w14:textId="77777777" w:rsidTr="004F0F3B">
        <w:tc>
          <w:tcPr>
            <w:tcW w:w="3397" w:type="dxa"/>
            <w:tcBorders>
              <w:top w:val="nil"/>
              <w:left w:val="single" w:sz="4" w:space="0" w:color="auto"/>
              <w:bottom w:val="nil"/>
              <w:right w:val="nil"/>
            </w:tcBorders>
            <w:shd w:val="clear" w:color="000000" w:fill="FFFFFF"/>
            <w:noWrap/>
            <w:vAlign w:val="center"/>
            <w:hideMark/>
          </w:tcPr>
          <w:p w14:paraId="57D4879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1701" w:type="dxa"/>
            <w:tcBorders>
              <w:top w:val="nil"/>
              <w:left w:val="single" w:sz="4" w:space="0" w:color="auto"/>
              <w:bottom w:val="nil"/>
              <w:right w:val="nil"/>
            </w:tcBorders>
            <w:shd w:val="clear" w:color="000000" w:fill="FFFFFF"/>
            <w:noWrap/>
            <w:vAlign w:val="center"/>
            <w:hideMark/>
          </w:tcPr>
          <w:p w14:paraId="0F6247B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816</w:t>
            </w:r>
          </w:p>
        </w:tc>
        <w:tc>
          <w:tcPr>
            <w:tcW w:w="1843" w:type="dxa"/>
            <w:tcBorders>
              <w:top w:val="nil"/>
              <w:left w:val="nil"/>
              <w:bottom w:val="nil"/>
              <w:right w:val="single" w:sz="4" w:space="0" w:color="auto"/>
            </w:tcBorders>
            <w:shd w:val="clear" w:color="000000" w:fill="FFFFFF"/>
            <w:noWrap/>
            <w:vAlign w:val="center"/>
            <w:hideMark/>
          </w:tcPr>
          <w:p w14:paraId="48669A4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1.023</w:t>
            </w:r>
          </w:p>
        </w:tc>
        <w:tc>
          <w:tcPr>
            <w:tcW w:w="1559" w:type="dxa"/>
            <w:tcBorders>
              <w:top w:val="nil"/>
              <w:left w:val="nil"/>
              <w:bottom w:val="nil"/>
              <w:right w:val="nil"/>
            </w:tcBorders>
            <w:shd w:val="clear" w:color="000000" w:fill="FFFFFF"/>
            <w:noWrap/>
            <w:vAlign w:val="center"/>
            <w:hideMark/>
          </w:tcPr>
          <w:p w14:paraId="2339DC0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1560" w:type="dxa"/>
            <w:tcBorders>
              <w:top w:val="nil"/>
              <w:left w:val="single" w:sz="4" w:space="0" w:color="auto"/>
              <w:bottom w:val="nil"/>
              <w:right w:val="single" w:sz="4" w:space="0" w:color="auto"/>
            </w:tcBorders>
            <w:shd w:val="clear" w:color="000000" w:fill="FFFFFF"/>
            <w:noWrap/>
            <w:vAlign w:val="center"/>
            <w:hideMark/>
          </w:tcPr>
          <w:p w14:paraId="7DBBD06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0,28%</w:t>
            </w:r>
          </w:p>
        </w:tc>
      </w:tr>
      <w:tr w:rsidR="00FD4ED3" w:rsidRPr="00650EE4" w14:paraId="2DC38EC4" w14:textId="77777777" w:rsidTr="004F0F3B">
        <w:tc>
          <w:tcPr>
            <w:tcW w:w="3397" w:type="dxa"/>
            <w:tcBorders>
              <w:top w:val="nil"/>
              <w:left w:val="single" w:sz="4" w:space="0" w:color="auto"/>
              <w:bottom w:val="nil"/>
              <w:right w:val="nil"/>
            </w:tcBorders>
            <w:shd w:val="clear" w:color="000000" w:fill="FFFFFF"/>
            <w:noWrap/>
            <w:vAlign w:val="center"/>
            <w:hideMark/>
          </w:tcPr>
          <w:p w14:paraId="24624F2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1701" w:type="dxa"/>
            <w:tcBorders>
              <w:top w:val="nil"/>
              <w:left w:val="single" w:sz="4" w:space="0" w:color="auto"/>
              <w:bottom w:val="nil"/>
              <w:right w:val="nil"/>
            </w:tcBorders>
            <w:shd w:val="clear" w:color="000000" w:fill="FFFFFF"/>
            <w:noWrap/>
            <w:vAlign w:val="center"/>
            <w:hideMark/>
          </w:tcPr>
          <w:p w14:paraId="6A83F6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344</w:t>
            </w:r>
          </w:p>
        </w:tc>
        <w:tc>
          <w:tcPr>
            <w:tcW w:w="1843" w:type="dxa"/>
            <w:tcBorders>
              <w:top w:val="nil"/>
              <w:left w:val="nil"/>
              <w:bottom w:val="nil"/>
              <w:right w:val="single" w:sz="4" w:space="0" w:color="auto"/>
            </w:tcBorders>
            <w:shd w:val="clear" w:color="000000" w:fill="FFFFFF"/>
            <w:noWrap/>
            <w:vAlign w:val="center"/>
            <w:hideMark/>
          </w:tcPr>
          <w:p w14:paraId="63A3739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6.556</w:t>
            </w:r>
          </w:p>
        </w:tc>
        <w:tc>
          <w:tcPr>
            <w:tcW w:w="1559" w:type="dxa"/>
            <w:tcBorders>
              <w:top w:val="nil"/>
              <w:left w:val="nil"/>
              <w:bottom w:val="nil"/>
              <w:right w:val="nil"/>
            </w:tcBorders>
            <w:shd w:val="clear" w:color="000000" w:fill="FFFFFF"/>
            <w:noWrap/>
            <w:vAlign w:val="center"/>
            <w:hideMark/>
          </w:tcPr>
          <w:p w14:paraId="1096AE9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1560" w:type="dxa"/>
            <w:tcBorders>
              <w:top w:val="nil"/>
              <w:left w:val="single" w:sz="4" w:space="0" w:color="auto"/>
              <w:bottom w:val="nil"/>
              <w:right w:val="single" w:sz="4" w:space="0" w:color="auto"/>
            </w:tcBorders>
            <w:shd w:val="clear" w:color="000000" w:fill="FFFFFF"/>
            <w:noWrap/>
            <w:vAlign w:val="center"/>
            <w:hideMark/>
          </w:tcPr>
          <w:p w14:paraId="7FB3BF6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r>
      <w:tr w:rsidR="00FD4ED3" w:rsidRPr="00650EE4" w14:paraId="4F317D51" w14:textId="77777777" w:rsidTr="004F0F3B">
        <w:tc>
          <w:tcPr>
            <w:tcW w:w="3397" w:type="dxa"/>
            <w:tcBorders>
              <w:top w:val="nil"/>
              <w:left w:val="single" w:sz="4" w:space="0" w:color="auto"/>
              <w:bottom w:val="nil"/>
              <w:right w:val="nil"/>
            </w:tcBorders>
            <w:shd w:val="clear" w:color="000000" w:fill="FFFFFF"/>
            <w:noWrap/>
            <w:vAlign w:val="center"/>
            <w:hideMark/>
          </w:tcPr>
          <w:p w14:paraId="4248CAD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1701" w:type="dxa"/>
            <w:tcBorders>
              <w:top w:val="nil"/>
              <w:left w:val="single" w:sz="4" w:space="0" w:color="auto"/>
              <w:bottom w:val="nil"/>
              <w:right w:val="nil"/>
            </w:tcBorders>
            <w:shd w:val="clear" w:color="000000" w:fill="FFFFFF"/>
            <w:noWrap/>
            <w:vAlign w:val="center"/>
            <w:hideMark/>
          </w:tcPr>
          <w:p w14:paraId="7D9AB1E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664</w:t>
            </w:r>
          </w:p>
        </w:tc>
        <w:tc>
          <w:tcPr>
            <w:tcW w:w="1843" w:type="dxa"/>
            <w:tcBorders>
              <w:top w:val="nil"/>
              <w:left w:val="nil"/>
              <w:bottom w:val="nil"/>
              <w:right w:val="single" w:sz="4" w:space="0" w:color="auto"/>
            </w:tcBorders>
            <w:shd w:val="clear" w:color="000000" w:fill="FFFFFF"/>
            <w:noWrap/>
            <w:vAlign w:val="center"/>
            <w:hideMark/>
          </w:tcPr>
          <w:p w14:paraId="32A811A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1.677</w:t>
            </w:r>
          </w:p>
        </w:tc>
        <w:tc>
          <w:tcPr>
            <w:tcW w:w="1559" w:type="dxa"/>
            <w:tcBorders>
              <w:top w:val="nil"/>
              <w:left w:val="nil"/>
              <w:bottom w:val="nil"/>
              <w:right w:val="nil"/>
            </w:tcBorders>
            <w:shd w:val="clear" w:color="000000" w:fill="FFFFFF"/>
            <w:noWrap/>
            <w:vAlign w:val="center"/>
            <w:hideMark/>
          </w:tcPr>
          <w:p w14:paraId="74B95388"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1560" w:type="dxa"/>
            <w:tcBorders>
              <w:top w:val="nil"/>
              <w:left w:val="single" w:sz="4" w:space="0" w:color="auto"/>
              <w:bottom w:val="nil"/>
              <w:right w:val="single" w:sz="4" w:space="0" w:color="auto"/>
            </w:tcBorders>
            <w:shd w:val="clear" w:color="000000" w:fill="FFFFFF"/>
            <w:noWrap/>
            <w:vAlign w:val="center"/>
            <w:hideMark/>
          </w:tcPr>
          <w:p w14:paraId="04C686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0,35%</w:t>
            </w:r>
          </w:p>
        </w:tc>
      </w:tr>
      <w:tr w:rsidR="00FD4ED3" w:rsidRPr="00650EE4" w14:paraId="0DF8FCFA" w14:textId="77777777" w:rsidTr="004F0F3B">
        <w:tc>
          <w:tcPr>
            <w:tcW w:w="3397" w:type="dxa"/>
            <w:tcBorders>
              <w:top w:val="nil"/>
              <w:left w:val="single" w:sz="4" w:space="0" w:color="auto"/>
              <w:bottom w:val="nil"/>
              <w:right w:val="nil"/>
            </w:tcBorders>
            <w:shd w:val="clear" w:color="000000" w:fill="FFFFFF"/>
            <w:noWrap/>
            <w:vAlign w:val="center"/>
            <w:hideMark/>
          </w:tcPr>
          <w:p w14:paraId="38A177E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1701" w:type="dxa"/>
            <w:tcBorders>
              <w:top w:val="nil"/>
              <w:left w:val="single" w:sz="4" w:space="0" w:color="auto"/>
              <w:bottom w:val="nil"/>
              <w:right w:val="nil"/>
            </w:tcBorders>
            <w:shd w:val="clear" w:color="000000" w:fill="FFFFFF"/>
            <w:noWrap/>
            <w:vAlign w:val="center"/>
            <w:hideMark/>
          </w:tcPr>
          <w:p w14:paraId="258091F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830</w:t>
            </w:r>
          </w:p>
        </w:tc>
        <w:tc>
          <w:tcPr>
            <w:tcW w:w="1843" w:type="dxa"/>
            <w:tcBorders>
              <w:top w:val="nil"/>
              <w:left w:val="nil"/>
              <w:bottom w:val="nil"/>
              <w:right w:val="single" w:sz="4" w:space="0" w:color="auto"/>
            </w:tcBorders>
            <w:shd w:val="clear" w:color="000000" w:fill="FFFFFF"/>
            <w:noWrap/>
            <w:vAlign w:val="center"/>
            <w:hideMark/>
          </w:tcPr>
          <w:p w14:paraId="506D409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4.229</w:t>
            </w:r>
          </w:p>
        </w:tc>
        <w:tc>
          <w:tcPr>
            <w:tcW w:w="1559" w:type="dxa"/>
            <w:tcBorders>
              <w:top w:val="nil"/>
              <w:left w:val="nil"/>
              <w:bottom w:val="nil"/>
              <w:right w:val="nil"/>
            </w:tcBorders>
            <w:shd w:val="clear" w:color="000000" w:fill="FFFFFF"/>
            <w:noWrap/>
            <w:vAlign w:val="center"/>
            <w:hideMark/>
          </w:tcPr>
          <w:p w14:paraId="0A52FA9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1560" w:type="dxa"/>
            <w:tcBorders>
              <w:top w:val="nil"/>
              <w:left w:val="single" w:sz="4" w:space="0" w:color="auto"/>
              <w:bottom w:val="nil"/>
              <w:right w:val="single" w:sz="4" w:space="0" w:color="auto"/>
            </w:tcBorders>
            <w:shd w:val="clear" w:color="000000" w:fill="FFFFFF"/>
            <w:noWrap/>
            <w:vAlign w:val="center"/>
            <w:hideMark/>
          </w:tcPr>
          <w:p w14:paraId="2C63DBE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0,77%</w:t>
            </w:r>
          </w:p>
        </w:tc>
      </w:tr>
      <w:tr w:rsidR="00FD4ED3" w:rsidRPr="00650EE4" w14:paraId="05ADCCBE" w14:textId="77777777" w:rsidTr="004F0F3B">
        <w:tc>
          <w:tcPr>
            <w:tcW w:w="3397" w:type="dxa"/>
            <w:tcBorders>
              <w:top w:val="nil"/>
              <w:left w:val="single" w:sz="4" w:space="0" w:color="auto"/>
              <w:bottom w:val="nil"/>
              <w:right w:val="nil"/>
            </w:tcBorders>
            <w:shd w:val="clear" w:color="000000" w:fill="FFFFFF"/>
            <w:noWrap/>
            <w:vAlign w:val="center"/>
            <w:hideMark/>
          </w:tcPr>
          <w:p w14:paraId="240DA93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1701" w:type="dxa"/>
            <w:tcBorders>
              <w:top w:val="nil"/>
              <w:left w:val="single" w:sz="4" w:space="0" w:color="auto"/>
              <w:bottom w:val="nil"/>
              <w:right w:val="nil"/>
            </w:tcBorders>
            <w:shd w:val="clear" w:color="000000" w:fill="FFFFFF"/>
            <w:noWrap/>
            <w:vAlign w:val="center"/>
            <w:hideMark/>
          </w:tcPr>
          <w:p w14:paraId="3B2049E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477</w:t>
            </w:r>
          </w:p>
        </w:tc>
        <w:tc>
          <w:tcPr>
            <w:tcW w:w="1843" w:type="dxa"/>
            <w:tcBorders>
              <w:top w:val="nil"/>
              <w:left w:val="nil"/>
              <w:bottom w:val="nil"/>
              <w:right w:val="single" w:sz="4" w:space="0" w:color="auto"/>
            </w:tcBorders>
            <w:shd w:val="clear" w:color="000000" w:fill="FFFFFF"/>
            <w:noWrap/>
            <w:vAlign w:val="center"/>
            <w:hideMark/>
          </w:tcPr>
          <w:p w14:paraId="60C067A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1.527</w:t>
            </w:r>
          </w:p>
        </w:tc>
        <w:tc>
          <w:tcPr>
            <w:tcW w:w="1559" w:type="dxa"/>
            <w:tcBorders>
              <w:top w:val="nil"/>
              <w:left w:val="nil"/>
              <w:bottom w:val="nil"/>
              <w:right w:val="nil"/>
            </w:tcBorders>
            <w:shd w:val="clear" w:color="000000" w:fill="FFFFFF"/>
            <w:noWrap/>
            <w:vAlign w:val="center"/>
            <w:hideMark/>
          </w:tcPr>
          <w:p w14:paraId="5056579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1560" w:type="dxa"/>
            <w:tcBorders>
              <w:top w:val="nil"/>
              <w:left w:val="single" w:sz="4" w:space="0" w:color="auto"/>
              <w:bottom w:val="nil"/>
              <w:right w:val="single" w:sz="4" w:space="0" w:color="auto"/>
            </w:tcBorders>
            <w:shd w:val="clear" w:color="000000" w:fill="FFFFFF"/>
            <w:noWrap/>
            <w:vAlign w:val="center"/>
            <w:hideMark/>
          </w:tcPr>
          <w:p w14:paraId="1B6B7D2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0,30%</w:t>
            </w:r>
          </w:p>
        </w:tc>
      </w:tr>
      <w:tr w:rsidR="00FD4ED3" w:rsidRPr="00650EE4" w14:paraId="6F470A03" w14:textId="77777777" w:rsidTr="004F0F3B">
        <w:tc>
          <w:tcPr>
            <w:tcW w:w="3397" w:type="dxa"/>
            <w:tcBorders>
              <w:top w:val="single" w:sz="4" w:space="0" w:color="auto"/>
              <w:left w:val="single" w:sz="4" w:space="0" w:color="auto"/>
              <w:bottom w:val="single" w:sz="4" w:space="0" w:color="auto"/>
              <w:right w:val="nil"/>
            </w:tcBorders>
            <w:shd w:val="clear" w:color="000000" w:fill="FFFFFF"/>
            <w:noWrap/>
            <w:vAlign w:val="center"/>
            <w:hideMark/>
          </w:tcPr>
          <w:p w14:paraId="77943AA2"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701" w:type="dxa"/>
            <w:tcBorders>
              <w:top w:val="single" w:sz="4" w:space="0" w:color="auto"/>
              <w:left w:val="single" w:sz="4" w:space="0" w:color="auto"/>
              <w:bottom w:val="single" w:sz="4" w:space="0" w:color="auto"/>
              <w:right w:val="nil"/>
            </w:tcBorders>
            <w:shd w:val="clear" w:color="000000" w:fill="FFFFFF"/>
            <w:noWrap/>
            <w:vAlign w:val="center"/>
            <w:hideMark/>
          </w:tcPr>
          <w:p w14:paraId="0C9A601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41.202</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196573A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620.081</w:t>
            </w:r>
          </w:p>
        </w:tc>
        <w:tc>
          <w:tcPr>
            <w:tcW w:w="1559" w:type="dxa"/>
            <w:tcBorders>
              <w:top w:val="single" w:sz="4" w:space="0" w:color="auto"/>
              <w:left w:val="nil"/>
              <w:bottom w:val="single" w:sz="4" w:space="0" w:color="auto"/>
              <w:right w:val="nil"/>
            </w:tcBorders>
            <w:shd w:val="clear" w:color="000000" w:fill="FFFFFF"/>
            <w:noWrap/>
            <w:vAlign w:val="center"/>
            <w:hideMark/>
          </w:tcPr>
          <w:p w14:paraId="6413907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9C5D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7C216DFF" w14:textId="77777777" w:rsidTr="004F0F3B">
        <w:tc>
          <w:tcPr>
            <w:tcW w:w="3397" w:type="dxa"/>
            <w:tcBorders>
              <w:top w:val="nil"/>
              <w:left w:val="single" w:sz="4" w:space="0" w:color="auto"/>
              <w:bottom w:val="single" w:sz="4" w:space="0" w:color="auto"/>
              <w:right w:val="nil"/>
            </w:tcBorders>
            <w:shd w:val="clear" w:color="000000" w:fill="FFFFFF"/>
            <w:noWrap/>
            <w:vAlign w:val="center"/>
            <w:hideMark/>
          </w:tcPr>
          <w:p w14:paraId="1358178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1701" w:type="dxa"/>
            <w:tcBorders>
              <w:top w:val="nil"/>
              <w:left w:val="single" w:sz="4" w:space="0" w:color="auto"/>
              <w:bottom w:val="single" w:sz="4" w:space="0" w:color="auto"/>
              <w:right w:val="nil"/>
            </w:tcBorders>
            <w:shd w:val="clear" w:color="000000" w:fill="FFFFFF"/>
            <w:noWrap/>
            <w:vAlign w:val="center"/>
            <w:hideMark/>
          </w:tcPr>
          <w:p w14:paraId="358BEC1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1843" w:type="dxa"/>
            <w:tcBorders>
              <w:top w:val="nil"/>
              <w:left w:val="nil"/>
              <w:bottom w:val="single" w:sz="4" w:space="0" w:color="auto"/>
              <w:right w:val="single" w:sz="4" w:space="0" w:color="auto"/>
            </w:tcBorders>
            <w:shd w:val="clear" w:color="000000" w:fill="FFFFFF"/>
            <w:noWrap/>
            <w:vAlign w:val="center"/>
            <w:hideMark/>
          </w:tcPr>
          <w:p w14:paraId="53EDEC5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94%</w:t>
            </w:r>
          </w:p>
        </w:tc>
        <w:tc>
          <w:tcPr>
            <w:tcW w:w="1559" w:type="dxa"/>
            <w:tcBorders>
              <w:top w:val="nil"/>
              <w:left w:val="nil"/>
              <w:bottom w:val="single" w:sz="4" w:space="0" w:color="auto"/>
              <w:right w:val="nil"/>
            </w:tcBorders>
            <w:shd w:val="clear" w:color="000000" w:fill="FFFFFF"/>
            <w:noWrap/>
            <w:vAlign w:val="center"/>
            <w:hideMark/>
          </w:tcPr>
          <w:p w14:paraId="69910E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7CD46B3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7238AD4" w14:textId="4E25827E" w:rsidR="00E42ED4" w:rsidRPr="00650EE4" w:rsidRDefault="005F56C6" w:rsidP="00E42ED4">
      <w:pPr>
        <w:spacing w:before="60" w:line="240" w:lineRule="auto"/>
        <w:jc w:val="both"/>
        <w:rPr>
          <w:rFonts w:ascii="Times New Roman" w:eastAsia="Times New Roman" w:hAnsi="Times New Roman"/>
          <w:i/>
          <w:color w:val="000000" w:themeColor="text1"/>
          <w:sz w:val="20"/>
          <w:szCs w:val="20"/>
        </w:rPr>
      </w:pPr>
      <w:bookmarkStart w:id="34" w:name="_Hlk39154714"/>
      <w:r w:rsidRPr="00650EE4">
        <w:rPr>
          <w:rFonts w:ascii="Times New Roman" w:eastAsia="Times New Roman" w:hAnsi="Times New Roman"/>
          <w:i/>
          <w:color w:val="000000" w:themeColor="text1"/>
          <w:sz w:val="20"/>
          <w:szCs w:val="20"/>
        </w:rPr>
        <w:t>Šaltinis: NTR</w:t>
      </w:r>
      <w:r w:rsidR="00E42ED4" w:rsidRPr="00650EE4">
        <w:rPr>
          <w:rFonts w:ascii="Times New Roman" w:eastAsia="Times New Roman" w:hAnsi="Times New Roman"/>
          <w:i/>
          <w:color w:val="000000" w:themeColor="text1"/>
          <w:sz w:val="20"/>
          <w:szCs w:val="20"/>
        </w:rPr>
        <w:t xml:space="preserve"> duomenys (2019.12.31</w:t>
      </w:r>
      <w:r w:rsidR="00FD4ED3" w:rsidRPr="00650EE4">
        <w:rPr>
          <w:rFonts w:ascii="Times New Roman" w:eastAsia="Times New Roman" w:hAnsi="Times New Roman"/>
          <w:i/>
          <w:color w:val="000000" w:themeColor="text1"/>
          <w:sz w:val="20"/>
          <w:szCs w:val="20"/>
        </w:rPr>
        <w:t>)</w:t>
      </w:r>
    </w:p>
    <w:bookmarkEnd w:id="34"/>
    <w:p w14:paraId="2991D456" w14:textId="28D48A44" w:rsidR="00E42ED4" w:rsidRPr="00650EE4" w:rsidRDefault="00E42ED4" w:rsidP="00631BA6">
      <w:pPr>
        <w:pStyle w:val="TESlentelspavadinimas"/>
        <w:rPr>
          <w:noProof w:val="0"/>
        </w:rPr>
      </w:pPr>
    </w:p>
    <w:p w14:paraId="4A79FC4B" w14:textId="365D993A" w:rsidR="00FD1EF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5" w:name="_Toc67925193"/>
      <w:r w:rsidR="007744C1">
        <w:t>10</w:t>
      </w:r>
      <w:r w:rsidRPr="00650EE4">
        <w:rPr>
          <w:noProof w:val="0"/>
        </w:rPr>
        <w:fldChar w:fldCharType="end"/>
      </w:r>
      <w:r w:rsidR="00FD1EF1" w:rsidRPr="00650EE4">
        <w:rPr>
          <w:noProof w:val="0"/>
        </w:rPr>
        <w:t xml:space="preserve"> lentelė. Pastatų fondas pagal šildymo tipą - prijung</w:t>
      </w:r>
      <w:r w:rsidR="007C141C" w:rsidRPr="00650EE4">
        <w:rPr>
          <w:noProof w:val="0"/>
        </w:rPr>
        <w:t>t</w:t>
      </w:r>
      <w:r w:rsidR="00FD1EF1" w:rsidRPr="00650EE4">
        <w:rPr>
          <w:noProof w:val="0"/>
        </w:rPr>
        <w:t>a ar neprijungta prie CŠT (tūkst. m</w:t>
      </w:r>
      <w:r w:rsidR="00FD1EF1" w:rsidRPr="00650EE4">
        <w:rPr>
          <w:noProof w:val="0"/>
          <w:vertAlign w:val="superscript"/>
        </w:rPr>
        <w:t>2</w:t>
      </w:r>
      <w:r w:rsidR="00FD1EF1" w:rsidRPr="00650EE4">
        <w:rPr>
          <w:noProof w:val="0"/>
        </w:rPr>
        <w:t>)</w:t>
      </w:r>
      <w:bookmarkEnd w:id="35"/>
    </w:p>
    <w:tbl>
      <w:tblPr>
        <w:tblW w:w="10060" w:type="dxa"/>
        <w:tblLook w:val="04A0" w:firstRow="1" w:lastRow="0" w:firstColumn="1" w:lastColumn="0" w:noHBand="0" w:noVBand="1"/>
      </w:tblPr>
      <w:tblGrid>
        <w:gridCol w:w="3338"/>
        <w:gridCol w:w="1760"/>
        <w:gridCol w:w="1843"/>
        <w:gridCol w:w="1559"/>
        <w:gridCol w:w="1560"/>
      </w:tblGrid>
      <w:tr w:rsidR="00FD4ED3" w:rsidRPr="00650EE4" w14:paraId="6950C814" w14:textId="77777777" w:rsidTr="004F0F3B">
        <w:tc>
          <w:tcPr>
            <w:tcW w:w="3338" w:type="dxa"/>
            <w:vMerge w:val="restart"/>
            <w:tcBorders>
              <w:top w:val="single" w:sz="4" w:space="0" w:color="auto"/>
              <w:left w:val="single" w:sz="4" w:space="0" w:color="auto"/>
              <w:bottom w:val="nil"/>
              <w:right w:val="nil"/>
            </w:tcBorders>
            <w:shd w:val="clear" w:color="000000" w:fill="FFFFFF"/>
            <w:vAlign w:val="center"/>
            <w:hideMark/>
          </w:tcPr>
          <w:p w14:paraId="75256F27"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8260E73"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CŠT</w:t>
            </w:r>
          </w:p>
        </w:tc>
        <w:tc>
          <w:tcPr>
            <w:tcW w:w="1559" w:type="dxa"/>
            <w:vMerge w:val="restart"/>
            <w:tcBorders>
              <w:top w:val="single" w:sz="4" w:space="0" w:color="auto"/>
              <w:left w:val="nil"/>
              <w:bottom w:val="nil"/>
              <w:right w:val="nil"/>
            </w:tcBorders>
            <w:shd w:val="clear" w:color="000000" w:fill="FFFFFF"/>
            <w:vAlign w:val="center"/>
            <w:hideMark/>
          </w:tcPr>
          <w:p w14:paraId="27051F2E"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5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0A89F38B" w14:textId="77777777" w:rsidR="00FD4ED3" w:rsidRPr="00650EE4" w:rsidRDefault="00FD4ED3" w:rsidP="00FD4ED3">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Iš viso, proc.</w:t>
            </w:r>
          </w:p>
        </w:tc>
      </w:tr>
      <w:tr w:rsidR="00FD4ED3" w:rsidRPr="00650EE4" w14:paraId="54C98080" w14:textId="77777777" w:rsidTr="004F0F3B">
        <w:tc>
          <w:tcPr>
            <w:tcW w:w="3338" w:type="dxa"/>
            <w:vMerge/>
            <w:tcBorders>
              <w:top w:val="single" w:sz="4" w:space="0" w:color="auto"/>
              <w:left w:val="single" w:sz="4" w:space="0" w:color="auto"/>
              <w:bottom w:val="nil"/>
              <w:right w:val="nil"/>
            </w:tcBorders>
            <w:vAlign w:val="center"/>
            <w:hideMark/>
          </w:tcPr>
          <w:p w14:paraId="5B188407" w14:textId="77777777" w:rsidR="00FD4ED3" w:rsidRPr="00650EE4" w:rsidRDefault="00FD4ED3" w:rsidP="00FD4ED3">
            <w:pPr>
              <w:spacing w:line="240" w:lineRule="auto"/>
              <w:rPr>
                <w:rFonts w:ascii="Times New Roman" w:eastAsia="Times New Roman" w:hAnsi="Times New Roman"/>
                <w:b/>
                <w:bCs/>
                <w:sz w:val="20"/>
                <w:szCs w:val="20"/>
              </w:rPr>
            </w:pPr>
          </w:p>
        </w:tc>
        <w:tc>
          <w:tcPr>
            <w:tcW w:w="1760" w:type="dxa"/>
            <w:tcBorders>
              <w:top w:val="nil"/>
              <w:left w:val="single" w:sz="4" w:space="0" w:color="auto"/>
              <w:bottom w:val="nil"/>
              <w:right w:val="nil"/>
            </w:tcBorders>
            <w:shd w:val="clear" w:color="000000" w:fill="FFFFFF"/>
            <w:noWrap/>
            <w:vAlign w:val="center"/>
            <w:hideMark/>
          </w:tcPr>
          <w:p w14:paraId="568DD570"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Prijungta</w:t>
            </w:r>
          </w:p>
        </w:tc>
        <w:tc>
          <w:tcPr>
            <w:tcW w:w="1843" w:type="dxa"/>
            <w:tcBorders>
              <w:top w:val="nil"/>
              <w:left w:val="nil"/>
              <w:bottom w:val="nil"/>
              <w:right w:val="single" w:sz="4" w:space="0" w:color="auto"/>
            </w:tcBorders>
            <w:shd w:val="clear" w:color="000000" w:fill="FFFFFF"/>
            <w:noWrap/>
            <w:vAlign w:val="center"/>
            <w:hideMark/>
          </w:tcPr>
          <w:p w14:paraId="1A41FBD0"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Neprijungta</w:t>
            </w:r>
          </w:p>
        </w:tc>
        <w:tc>
          <w:tcPr>
            <w:tcW w:w="1559" w:type="dxa"/>
            <w:vMerge/>
            <w:tcBorders>
              <w:top w:val="single" w:sz="4" w:space="0" w:color="auto"/>
              <w:left w:val="nil"/>
              <w:bottom w:val="nil"/>
              <w:right w:val="nil"/>
            </w:tcBorders>
            <w:vAlign w:val="center"/>
            <w:hideMark/>
          </w:tcPr>
          <w:p w14:paraId="70661108" w14:textId="77777777" w:rsidR="00FD4ED3" w:rsidRPr="00650EE4" w:rsidRDefault="00FD4ED3" w:rsidP="00FD4ED3">
            <w:pPr>
              <w:spacing w:line="240" w:lineRule="auto"/>
              <w:rPr>
                <w:rFonts w:ascii="Times New Roman" w:eastAsia="Times New Roman" w:hAnsi="Times New Roman"/>
                <w:b/>
                <w:bCs/>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14:paraId="16A86222" w14:textId="77777777" w:rsidR="00FD4ED3" w:rsidRPr="00650EE4" w:rsidRDefault="00FD4ED3" w:rsidP="00FD4ED3">
            <w:pPr>
              <w:spacing w:line="240" w:lineRule="auto"/>
              <w:rPr>
                <w:rFonts w:ascii="Times New Roman" w:eastAsia="Times New Roman" w:hAnsi="Times New Roman"/>
                <w:sz w:val="20"/>
                <w:szCs w:val="20"/>
              </w:rPr>
            </w:pPr>
          </w:p>
        </w:tc>
      </w:tr>
      <w:tr w:rsidR="00FD4ED3" w:rsidRPr="00650EE4" w14:paraId="163970F0" w14:textId="77777777" w:rsidTr="004F0F3B">
        <w:tc>
          <w:tcPr>
            <w:tcW w:w="3338" w:type="dxa"/>
            <w:tcBorders>
              <w:top w:val="single" w:sz="4" w:space="0" w:color="auto"/>
              <w:left w:val="single" w:sz="4" w:space="0" w:color="auto"/>
              <w:bottom w:val="single" w:sz="4" w:space="0" w:color="auto"/>
              <w:right w:val="nil"/>
            </w:tcBorders>
            <w:shd w:val="clear" w:color="000000" w:fill="F2F2F2"/>
            <w:noWrap/>
            <w:vAlign w:val="center"/>
            <w:hideMark/>
          </w:tcPr>
          <w:p w14:paraId="515399A6"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1760" w:type="dxa"/>
            <w:tcBorders>
              <w:top w:val="single" w:sz="4" w:space="0" w:color="auto"/>
              <w:left w:val="single" w:sz="4" w:space="0" w:color="auto"/>
              <w:bottom w:val="single" w:sz="4" w:space="0" w:color="auto"/>
              <w:right w:val="nil"/>
            </w:tcBorders>
            <w:shd w:val="clear" w:color="000000" w:fill="F2F2F2"/>
            <w:noWrap/>
            <w:vAlign w:val="center"/>
            <w:hideMark/>
          </w:tcPr>
          <w:p w14:paraId="0F3A4568"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45.653</w:t>
            </w:r>
          </w:p>
        </w:tc>
        <w:tc>
          <w:tcPr>
            <w:tcW w:w="1843" w:type="dxa"/>
            <w:tcBorders>
              <w:top w:val="single" w:sz="4" w:space="0" w:color="auto"/>
              <w:left w:val="nil"/>
              <w:bottom w:val="single" w:sz="4" w:space="0" w:color="auto"/>
              <w:right w:val="single" w:sz="4" w:space="0" w:color="auto"/>
            </w:tcBorders>
            <w:shd w:val="clear" w:color="000000" w:fill="F2F2F2"/>
            <w:noWrap/>
            <w:vAlign w:val="center"/>
            <w:hideMark/>
          </w:tcPr>
          <w:p w14:paraId="498560E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83.351</w:t>
            </w:r>
          </w:p>
        </w:tc>
        <w:tc>
          <w:tcPr>
            <w:tcW w:w="1559" w:type="dxa"/>
            <w:tcBorders>
              <w:top w:val="single" w:sz="4" w:space="0" w:color="auto"/>
              <w:left w:val="nil"/>
              <w:bottom w:val="single" w:sz="4" w:space="0" w:color="auto"/>
              <w:right w:val="nil"/>
            </w:tcBorders>
            <w:shd w:val="clear" w:color="000000" w:fill="F2F2F2"/>
            <w:noWrap/>
            <w:vAlign w:val="center"/>
            <w:hideMark/>
          </w:tcPr>
          <w:p w14:paraId="1CE43C24"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129.004</w:t>
            </w: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E3F4F6"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64%</w:t>
            </w:r>
          </w:p>
        </w:tc>
      </w:tr>
      <w:tr w:rsidR="00FD4ED3" w:rsidRPr="00650EE4" w14:paraId="45F8F01F" w14:textId="77777777" w:rsidTr="004F0F3B">
        <w:tc>
          <w:tcPr>
            <w:tcW w:w="3338" w:type="dxa"/>
            <w:tcBorders>
              <w:top w:val="nil"/>
              <w:left w:val="single" w:sz="4" w:space="0" w:color="auto"/>
              <w:bottom w:val="nil"/>
              <w:right w:val="nil"/>
            </w:tcBorders>
            <w:shd w:val="clear" w:color="000000" w:fill="FFFFFF"/>
            <w:noWrap/>
            <w:vAlign w:val="center"/>
            <w:hideMark/>
          </w:tcPr>
          <w:p w14:paraId="34AE6C7F"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1760" w:type="dxa"/>
            <w:tcBorders>
              <w:top w:val="nil"/>
              <w:left w:val="single" w:sz="4" w:space="0" w:color="auto"/>
              <w:bottom w:val="nil"/>
              <w:right w:val="nil"/>
            </w:tcBorders>
            <w:shd w:val="clear" w:color="000000" w:fill="FFFFFF"/>
            <w:noWrap/>
            <w:vAlign w:val="center"/>
            <w:hideMark/>
          </w:tcPr>
          <w:p w14:paraId="22851EA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1.388</w:t>
            </w:r>
          </w:p>
        </w:tc>
        <w:tc>
          <w:tcPr>
            <w:tcW w:w="1843" w:type="dxa"/>
            <w:tcBorders>
              <w:top w:val="nil"/>
              <w:left w:val="nil"/>
              <w:bottom w:val="nil"/>
              <w:right w:val="single" w:sz="4" w:space="0" w:color="auto"/>
            </w:tcBorders>
            <w:shd w:val="clear" w:color="000000" w:fill="FFFFFF"/>
            <w:noWrap/>
            <w:vAlign w:val="center"/>
            <w:hideMark/>
          </w:tcPr>
          <w:p w14:paraId="67F5B05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68.152</w:t>
            </w:r>
          </w:p>
        </w:tc>
        <w:tc>
          <w:tcPr>
            <w:tcW w:w="1559" w:type="dxa"/>
            <w:tcBorders>
              <w:top w:val="nil"/>
              <w:left w:val="nil"/>
              <w:bottom w:val="nil"/>
              <w:right w:val="nil"/>
            </w:tcBorders>
            <w:shd w:val="clear" w:color="000000" w:fill="FFFFFF"/>
            <w:noWrap/>
            <w:vAlign w:val="center"/>
            <w:hideMark/>
          </w:tcPr>
          <w:p w14:paraId="577A612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1560" w:type="dxa"/>
            <w:tcBorders>
              <w:top w:val="nil"/>
              <w:left w:val="single" w:sz="4" w:space="0" w:color="auto"/>
              <w:bottom w:val="nil"/>
              <w:right w:val="single" w:sz="4" w:space="0" w:color="auto"/>
            </w:tcBorders>
            <w:shd w:val="clear" w:color="000000" w:fill="FFFFFF"/>
            <w:noWrap/>
            <w:vAlign w:val="center"/>
            <w:hideMark/>
          </w:tcPr>
          <w:p w14:paraId="0CEEF35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D4ED3" w:rsidRPr="00650EE4" w14:paraId="4A8D6594" w14:textId="77777777" w:rsidTr="004F0F3B">
        <w:tc>
          <w:tcPr>
            <w:tcW w:w="3338" w:type="dxa"/>
            <w:tcBorders>
              <w:top w:val="nil"/>
              <w:left w:val="single" w:sz="4" w:space="0" w:color="auto"/>
              <w:bottom w:val="single" w:sz="4" w:space="0" w:color="auto"/>
              <w:right w:val="nil"/>
            </w:tcBorders>
            <w:shd w:val="clear" w:color="000000" w:fill="FFFFFF"/>
            <w:noWrap/>
            <w:vAlign w:val="center"/>
            <w:hideMark/>
          </w:tcPr>
          <w:p w14:paraId="7A20A79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1760" w:type="dxa"/>
            <w:tcBorders>
              <w:top w:val="nil"/>
              <w:left w:val="single" w:sz="4" w:space="0" w:color="auto"/>
              <w:bottom w:val="single" w:sz="4" w:space="0" w:color="auto"/>
              <w:right w:val="nil"/>
            </w:tcBorders>
            <w:shd w:val="clear" w:color="000000" w:fill="FFFFFF"/>
            <w:noWrap/>
            <w:vAlign w:val="center"/>
            <w:hideMark/>
          </w:tcPr>
          <w:p w14:paraId="51CAD70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44.264</w:t>
            </w:r>
          </w:p>
        </w:tc>
        <w:tc>
          <w:tcPr>
            <w:tcW w:w="1843" w:type="dxa"/>
            <w:tcBorders>
              <w:top w:val="nil"/>
              <w:left w:val="nil"/>
              <w:bottom w:val="single" w:sz="4" w:space="0" w:color="auto"/>
              <w:right w:val="single" w:sz="4" w:space="0" w:color="auto"/>
            </w:tcBorders>
            <w:shd w:val="clear" w:color="000000" w:fill="FFFFFF"/>
            <w:noWrap/>
            <w:vAlign w:val="center"/>
            <w:hideMark/>
          </w:tcPr>
          <w:p w14:paraId="6DA8DD5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15.199</w:t>
            </w:r>
          </w:p>
        </w:tc>
        <w:tc>
          <w:tcPr>
            <w:tcW w:w="1559" w:type="dxa"/>
            <w:tcBorders>
              <w:top w:val="nil"/>
              <w:left w:val="nil"/>
              <w:bottom w:val="single" w:sz="4" w:space="0" w:color="auto"/>
              <w:right w:val="nil"/>
            </w:tcBorders>
            <w:shd w:val="clear" w:color="000000" w:fill="FFFFFF"/>
            <w:noWrap/>
            <w:vAlign w:val="center"/>
            <w:hideMark/>
          </w:tcPr>
          <w:p w14:paraId="0241629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216F6BF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FD4ED3" w:rsidRPr="00650EE4" w14:paraId="6ACEAF63" w14:textId="77777777" w:rsidTr="004F0F3B">
        <w:tc>
          <w:tcPr>
            <w:tcW w:w="3338" w:type="dxa"/>
            <w:tcBorders>
              <w:top w:val="nil"/>
              <w:left w:val="single" w:sz="4" w:space="0" w:color="auto"/>
              <w:bottom w:val="single" w:sz="4" w:space="0" w:color="auto"/>
              <w:right w:val="nil"/>
            </w:tcBorders>
            <w:shd w:val="clear" w:color="000000" w:fill="F2F2F2"/>
            <w:noWrap/>
            <w:vAlign w:val="center"/>
            <w:hideMark/>
          </w:tcPr>
          <w:p w14:paraId="2D7ECBDD"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1760" w:type="dxa"/>
            <w:tcBorders>
              <w:top w:val="nil"/>
              <w:left w:val="single" w:sz="4" w:space="0" w:color="auto"/>
              <w:bottom w:val="single" w:sz="4" w:space="0" w:color="auto"/>
              <w:right w:val="nil"/>
            </w:tcBorders>
            <w:shd w:val="clear" w:color="000000" w:fill="F2F2F2"/>
            <w:noWrap/>
            <w:vAlign w:val="center"/>
            <w:hideMark/>
          </w:tcPr>
          <w:p w14:paraId="745FA2B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27.653</w:t>
            </w:r>
          </w:p>
        </w:tc>
        <w:tc>
          <w:tcPr>
            <w:tcW w:w="1843" w:type="dxa"/>
            <w:tcBorders>
              <w:top w:val="nil"/>
              <w:left w:val="nil"/>
              <w:bottom w:val="single" w:sz="4" w:space="0" w:color="auto"/>
              <w:right w:val="single" w:sz="4" w:space="0" w:color="auto"/>
            </w:tcBorders>
            <w:shd w:val="clear" w:color="000000" w:fill="F2F2F2"/>
            <w:noWrap/>
            <w:vAlign w:val="center"/>
            <w:hideMark/>
          </w:tcPr>
          <w:p w14:paraId="13F33B7A"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45.018</w:t>
            </w:r>
          </w:p>
        </w:tc>
        <w:tc>
          <w:tcPr>
            <w:tcW w:w="1559" w:type="dxa"/>
            <w:tcBorders>
              <w:top w:val="nil"/>
              <w:left w:val="nil"/>
              <w:bottom w:val="single" w:sz="4" w:space="0" w:color="auto"/>
              <w:right w:val="nil"/>
            </w:tcBorders>
            <w:shd w:val="clear" w:color="000000" w:fill="F2F2F2"/>
            <w:noWrap/>
            <w:vAlign w:val="center"/>
            <w:hideMark/>
          </w:tcPr>
          <w:p w14:paraId="753D72E3"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72.670</w:t>
            </w:r>
          </w:p>
        </w:tc>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516D57D0"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w:t>
            </w:r>
          </w:p>
        </w:tc>
      </w:tr>
      <w:tr w:rsidR="00FD4ED3" w:rsidRPr="00650EE4" w14:paraId="1B520FCF" w14:textId="77777777" w:rsidTr="004F0F3B">
        <w:tc>
          <w:tcPr>
            <w:tcW w:w="3338" w:type="dxa"/>
            <w:tcBorders>
              <w:top w:val="nil"/>
              <w:left w:val="single" w:sz="4" w:space="0" w:color="auto"/>
              <w:bottom w:val="nil"/>
              <w:right w:val="nil"/>
            </w:tcBorders>
            <w:shd w:val="clear" w:color="000000" w:fill="FFFFFF"/>
            <w:noWrap/>
            <w:vAlign w:val="center"/>
            <w:hideMark/>
          </w:tcPr>
          <w:p w14:paraId="162B473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1760" w:type="dxa"/>
            <w:tcBorders>
              <w:top w:val="nil"/>
              <w:left w:val="single" w:sz="4" w:space="0" w:color="auto"/>
              <w:bottom w:val="nil"/>
              <w:right w:val="nil"/>
            </w:tcBorders>
            <w:shd w:val="clear" w:color="000000" w:fill="FFFFFF"/>
            <w:noWrap/>
            <w:vAlign w:val="center"/>
            <w:hideMark/>
          </w:tcPr>
          <w:p w14:paraId="1558430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7.293</w:t>
            </w:r>
          </w:p>
        </w:tc>
        <w:tc>
          <w:tcPr>
            <w:tcW w:w="1843" w:type="dxa"/>
            <w:tcBorders>
              <w:top w:val="nil"/>
              <w:left w:val="nil"/>
              <w:bottom w:val="nil"/>
              <w:right w:val="single" w:sz="4" w:space="0" w:color="auto"/>
            </w:tcBorders>
            <w:shd w:val="clear" w:color="000000" w:fill="FFFFFF"/>
            <w:noWrap/>
            <w:vAlign w:val="center"/>
            <w:hideMark/>
          </w:tcPr>
          <w:p w14:paraId="76103DE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28.197</w:t>
            </w:r>
          </w:p>
        </w:tc>
        <w:tc>
          <w:tcPr>
            <w:tcW w:w="1559" w:type="dxa"/>
            <w:tcBorders>
              <w:top w:val="nil"/>
              <w:left w:val="nil"/>
              <w:bottom w:val="nil"/>
              <w:right w:val="nil"/>
            </w:tcBorders>
            <w:shd w:val="clear" w:color="000000" w:fill="FFFFFF"/>
            <w:noWrap/>
            <w:vAlign w:val="center"/>
            <w:hideMark/>
          </w:tcPr>
          <w:p w14:paraId="6823C95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1560" w:type="dxa"/>
            <w:tcBorders>
              <w:top w:val="nil"/>
              <w:left w:val="single" w:sz="4" w:space="0" w:color="auto"/>
              <w:bottom w:val="nil"/>
              <w:right w:val="single" w:sz="4" w:space="0" w:color="auto"/>
            </w:tcBorders>
            <w:shd w:val="clear" w:color="000000" w:fill="FFFFFF"/>
            <w:noWrap/>
            <w:vAlign w:val="center"/>
            <w:hideMark/>
          </w:tcPr>
          <w:p w14:paraId="3FF0FE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D4ED3" w:rsidRPr="00650EE4" w14:paraId="3D46C1C7" w14:textId="77777777" w:rsidTr="004F0F3B">
        <w:tc>
          <w:tcPr>
            <w:tcW w:w="3338" w:type="dxa"/>
            <w:tcBorders>
              <w:top w:val="nil"/>
              <w:left w:val="single" w:sz="4" w:space="0" w:color="auto"/>
              <w:bottom w:val="nil"/>
              <w:right w:val="nil"/>
            </w:tcBorders>
            <w:shd w:val="clear" w:color="000000" w:fill="FFFFFF"/>
            <w:noWrap/>
            <w:vAlign w:val="center"/>
            <w:hideMark/>
          </w:tcPr>
          <w:p w14:paraId="3635272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1760" w:type="dxa"/>
            <w:tcBorders>
              <w:top w:val="nil"/>
              <w:left w:val="single" w:sz="4" w:space="0" w:color="auto"/>
              <w:bottom w:val="nil"/>
              <w:right w:val="nil"/>
            </w:tcBorders>
            <w:shd w:val="clear" w:color="000000" w:fill="FFFFFF"/>
            <w:noWrap/>
            <w:vAlign w:val="center"/>
            <w:hideMark/>
          </w:tcPr>
          <w:p w14:paraId="302CE54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5.812</w:t>
            </w:r>
          </w:p>
        </w:tc>
        <w:tc>
          <w:tcPr>
            <w:tcW w:w="1843" w:type="dxa"/>
            <w:tcBorders>
              <w:top w:val="nil"/>
              <w:left w:val="nil"/>
              <w:bottom w:val="nil"/>
              <w:right w:val="single" w:sz="4" w:space="0" w:color="auto"/>
            </w:tcBorders>
            <w:shd w:val="clear" w:color="000000" w:fill="FFFFFF"/>
            <w:noWrap/>
            <w:vAlign w:val="center"/>
            <w:hideMark/>
          </w:tcPr>
          <w:p w14:paraId="4564BF4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4.285</w:t>
            </w:r>
          </w:p>
        </w:tc>
        <w:tc>
          <w:tcPr>
            <w:tcW w:w="1559" w:type="dxa"/>
            <w:tcBorders>
              <w:top w:val="nil"/>
              <w:left w:val="nil"/>
              <w:bottom w:val="nil"/>
              <w:right w:val="nil"/>
            </w:tcBorders>
            <w:shd w:val="clear" w:color="000000" w:fill="FFFFFF"/>
            <w:noWrap/>
            <w:vAlign w:val="center"/>
            <w:hideMark/>
          </w:tcPr>
          <w:p w14:paraId="450A71D0"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1560" w:type="dxa"/>
            <w:tcBorders>
              <w:top w:val="nil"/>
              <w:left w:val="single" w:sz="4" w:space="0" w:color="auto"/>
              <w:bottom w:val="nil"/>
              <w:right w:val="single" w:sz="4" w:space="0" w:color="auto"/>
            </w:tcBorders>
            <w:shd w:val="clear" w:color="000000" w:fill="FFFFFF"/>
            <w:noWrap/>
            <w:vAlign w:val="center"/>
            <w:hideMark/>
          </w:tcPr>
          <w:p w14:paraId="3CBD17C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D4ED3" w:rsidRPr="00650EE4" w14:paraId="7D091B64" w14:textId="77777777" w:rsidTr="004F0F3B">
        <w:tc>
          <w:tcPr>
            <w:tcW w:w="3338" w:type="dxa"/>
            <w:tcBorders>
              <w:top w:val="nil"/>
              <w:left w:val="single" w:sz="4" w:space="0" w:color="auto"/>
              <w:bottom w:val="nil"/>
              <w:right w:val="nil"/>
            </w:tcBorders>
            <w:shd w:val="clear" w:color="000000" w:fill="FFFFFF"/>
            <w:noWrap/>
            <w:vAlign w:val="center"/>
            <w:hideMark/>
          </w:tcPr>
          <w:p w14:paraId="5E84D2DF"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1760" w:type="dxa"/>
            <w:tcBorders>
              <w:top w:val="nil"/>
              <w:left w:val="single" w:sz="4" w:space="0" w:color="auto"/>
              <w:bottom w:val="nil"/>
              <w:right w:val="nil"/>
            </w:tcBorders>
            <w:shd w:val="clear" w:color="000000" w:fill="FFFFFF"/>
            <w:noWrap/>
            <w:vAlign w:val="center"/>
            <w:hideMark/>
          </w:tcPr>
          <w:p w14:paraId="289A9E3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5.762</w:t>
            </w:r>
          </w:p>
        </w:tc>
        <w:tc>
          <w:tcPr>
            <w:tcW w:w="1843" w:type="dxa"/>
            <w:tcBorders>
              <w:top w:val="nil"/>
              <w:left w:val="nil"/>
              <w:bottom w:val="nil"/>
              <w:right w:val="single" w:sz="4" w:space="0" w:color="auto"/>
            </w:tcBorders>
            <w:shd w:val="clear" w:color="000000" w:fill="FFFFFF"/>
            <w:noWrap/>
            <w:vAlign w:val="center"/>
            <w:hideMark/>
          </w:tcPr>
          <w:p w14:paraId="4EB4585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2.741</w:t>
            </w:r>
          </w:p>
        </w:tc>
        <w:tc>
          <w:tcPr>
            <w:tcW w:w="1559" w:type="dxa"/>
            <w:tcBorders>
              <w:top w:val="nil"/>
              <w:left w:val="nil"/>
              <w:bottom w:val="nil"/>
              <w:right w:val="nil"/>
            </w:tcBorders>
            <w:shd w:val="clear" w:color="000000" w:fill="FFFFFF"/>
            <w:noWrap/>
            <w:vAlign w:val="center"/>
            <w:hideMark/>
          </w:tcPr>
          <w:p w14:paraId="77AE739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1560" w:type="dxa"/>
            <w:tcBorders>
              <w:top w:val="nil"/>
              <w:left w:val="single" w:sz="4" w:space="0" w:color="auto"/>
              <w:bottom w:val="nil"/>
              <w:right w:val="single" w:sz="4" w:space="0" w:color="auto"/>
            </w:tcBorders>
            <w:shd w:val="clear" w:color="000000" w:fill="FFFFFF"/>
            <w:noWrap/>
            <w:vAlign w:val="center"/>
            <w:hideMark/>
          </w:tcPr>
          <w:p w14:paraId="7A968F6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0F4AF0F1" w14:textId="77777777" w:rsidTr="004F0F3B">
        <w:tc>
          <w:tcPr>
            <w:tcW w:w="3338" w:type="dxa"/>
            <w:tcBorders>
              <w:top w:val="nil"/>
              <w:left w:val="single" w:sz="4" w:space="0" w:color="auto"/>
              <w:bottom w:val="nil"/>
              <w:right w:val="nil"/>
            </w:tcBorders>
            <w:shd w:val="clear" w:color="000000" w:fill="FFFFFF"/>
            <w:noWrap/>
            <w:vAlign w:val="center"/>
            <w:hideMark/>
          </w:tcPr>
          <w:p w14:paraId="616CC097"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1760" w:type="dxa"/>
            <w:tcBorders>
              <w:top w:val="nil"/>
              <w:left w:val="single" w:sz="4" w:space="0" w:color="auto"/>
              <w:bottom w:val="nil"/>
              <w:right w:val="nil"/>
            </w:tcBorders>
            <w:shd w:val="clear" w:color="000000" w:fill="FFFFFF"/>
            <w:noWrap/>
            <w:vAlign w:val="center"/>
            <w:hideMark/>
          </w:tcPr>
          <w:p w14:paraId="242545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3.022</w:t>
            </w:r>
          </w:p>
        </w:tc>
        <w:tc>
          <w:tcPr>
            <w:tcW w:w="1843" w:type="dxa"/>
            <w:tcBorders>
              <w:top w:val="nil"/>
              <w:left w:val="nil"/>
              <w:bottom w:val="nil"/>
              <w:right w:val="single" w:sz="4" w:space="0" w:color="auto"/>
            </w:tcBorders>
            <w:shd w:val="clear" w:color="000000" w:fill="FFFFFF"/>
            <w:noWrap/>
            <w:vAlign w:val="center"/>
            <w:hideMark/>
          </w:tcPr>
          <w:p w14:paraId="44D63E7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4.042</w:t>
            </w:r>
          </w:p>
        </w:tc>
        <w:tc>
          <w:tcPr>
            <w:tcW w:w="1559" w:type="dxa"/>
            <w:tcBorders>
              <w:top w:val="nil"/>
              <w:left w:val="nil"/>
              <w:bottom w:val="nil"/>
              <w:right w:val="nil"/>
            </w:tcBorders>
            <w:shd w:val="clear" w:color="000000" w:fill="FFFFFF"/>
            <w:noWrap/>
            <w:vAlign w:val="center"/>
            <w:hideMark/>
          </w:tcPr>
          <w:p w14:paraId="6A28218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1560" w:type="dxa"/>
            <w:tcBorders>
              <w:top w:val="nil"/>
              <w:left w:val="single" w:sz="4" w:space="0" w:color="auto"/>
              <w:bottom w:val="nil"/>
              <w:right w:val="single" w:sz="4" w:space="0" w:color="auto"/>
            </w:tcBorders>
            <w:shd w:val="clear" w:color="000000" w:fill="FFFFFF"/>
            <w:noWrap/>
            <w:vAlign w:val="center"/>
            <w:hideMark/>
          </w:tcPr>
          <w:p w14:paraId="209BAD1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3FFD4EB1" w14:textId="77777777" w:rsidTr="004F0F3B">
        <w:tc>
          <w:tcPr>
            <w:tcW w:w="3338" w:type="dxa"/>
            <w:tcBorders>
              <w:top w:val="nil"/>
              <w:left w:val="single" w:sz="4" w:space="0" w:color="auto"/>
              <w:bottom w:val="nil"/>
              <w:right w:val="nil"/>
            </w:tcBorders>
            <w:shd w:val="clear" w:color="000000" w:fill="FFFFFF"/>
            <w:noWrap/>
            <w:vAlign w:val="center"/>
            <w:hideMark/>
          </w:tcPr>
          <w:p w14:paraId="490A14E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1760" w:type="dxa"/>
            <w:tcBorders>
              <w:top w:val="nil"/>
              <w:left w:val="single" w:sz="4" w:space="0" w:color="auto"/>
              <w:bottom w:val="nil"/>
              <w:right w:val="nil"/>
            </w:tcBorders>
            <w:shd w:val="clear" w:color="000000" w:fill="FFFFFF"/>
            <w:noWrap/>
            <w:vAlign w:val="center"/>
            <w:hideMark/>
          </w:tcPr>
          <w:p w14:paraId="22CFF8F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2.056</w:t>
            </w:r>
          </w:p>
        </w:tc>
        <w:tc>
          <w:tcPr>
            <w:tcW w:w="1843" w:type="dxa"/>
            <w:tcBorders>
              <w:top w:val="nil"/>
              <w:left w:val="nil"/>
              <w:bottom w:val="nil"/>
              <w:right w:val="single" w:sz="4" w:space="0" w:color="auto"/>
            </w:tcBorders>
            <w:shd w:val="clear" w:color="000000" w:fill="FFFFFF"/>
            <w:noWrap/>
            <w:vAlign w:val="center"/>
            <w:hideMark/>
          </w:tcPr>
          <w:p w14:paraId="1F8E236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896</w:t>
            </w:r>
          </w:p>
        </w:tc>
        <w:tc>
          <w:tcPr>
            <w:tcW w:w="1559" w:type="dxa"/>
            <w:tcBorders>
              <w:top w:val="nil"/>
              <w:left w:val="nil"/>
              <w:bottom w:val="nil"/>
              <w:right w:val="nil"/>
            </w:tcBorders>
            <w:shd w:val="clear" w:color="000000" w:fill="FFFFFF"/>
            <w:noWrap/>
            <w:vAlign w:val="center"/>
            <w:hideMark/>
          </w:tcPr>
          <w:p w14:paraId="2AF0BE7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1560" w:type="dxa"/>
            <w:tcBorders>
              <w:top w:val="nil"/>
              <w:left w:val="single" w:sz="4" w:space="0" w:color="auto"/>
              <w:bottom w:val="nil"/>
              <w:right w:val="single" w:sz="4" w:space="0" w:color="auto"/>
            </w:tcBorders>
            <w:shd w:val="clear" w:color="000000" w:fill="FFFFFF"/>
            <w:noWrap/>
            <w:vAlign w:val="center"/>
            <w:hideMark/>
          </w:tcPr>
          <w:p w14:paraId="70C7E73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1,46%</w:t>
            </w:r>
          </w:p>
        </w:tc>
      </w:tr>
      <w:tr w:rsidR="00FD4ED3" w:rsidRPr="00650EE4" w14:paraId="1D285EC1" w14:textId="77777777" w:rsidTr="004F0F3B">
        <w:tc>
          <w:tcPr>
            <w:tcW w:w="3338" w:type="dxa"/>
            <w:tcBorders>
              <w:top w:val="nil"/>
              <w:left w:val="single" w:sz="4" w:space="0" w:color="auto"/>
              <w:bottom w:val="nil"/>
              <w:right w:val="nil"/>
            </w:tcBorders>
            <w:shd w:val="clear" w:color="000000" w:fill="FFFFFF"/>
            <w:noWrap/>
            <w:vAlign w:val="center"/>
            <w:hideMark/>
          </w:tcPr>
          <w:p w14:paraId="73C0BAEF"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1760" w:type="dxa"/>
            <w:tcBorders>
              <w:top w:val="nil"/>
              <w:left w:val="single" w:sz="4" w:space="0" w:color="auto"/>
              <w:bottom w:val="nil"/>
              <w:right w:val="nil"/>
            </w:tcBorders>
            <w:shd w:val="clear" w:color="000000" w:fill="FFFFFF"/>
            <w:noWrap/>
            <w:vAlign w:val="center"/>
            <w:hideMark/>
          </w:tcPr>
          <w:p w14:paraId="43D04C7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774</w:t>
            </w:r>
          </w:p>
        </w:tc>
        <w:tc>
          <w:tcPr>
            <w:tcW w:w="1843" w:type="dxa"/>
            <w:tcBorders>
              <w:top w:val="nil"/>
              <w:left w:val="nil"/>
              <w:bottom w:val="nil"/>
              <w:right w:val="single" w:sz="4" w:space="0" w:color="auto"/>
            </w:tcBorders>
            <w:shd w:val="clear" w:color="000000" w:fill="FFFFFF"/>
            <w:noWrap/>
            <w:vAlign w:val="center"/>
            <w:hideMark/>
          </w:tcPr>
          <w:p w14:paraId="29129C4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1.723</w:t>
            </w:r>
          </w:p>
        </w:tc>
        <w:tc>
          <w:tcPr>
            <w:tcW w:w="1559" w:type="dxa"/>
            <w:tcBorders>
              <w:top w:val="nil"/>
              <w:left w:val="nil"/>
              <w:bottom w:val="nil"/>
              <w:right w:val="nil"/>
            </w:tcBorders>
            <w:shd w:val="clear" w:color="000000" w:fill="FFFFFF"/>
            <w:noWrap/>
            <w:vAlign w:val="center"/>
            <w:hideMark/>
          </w:tcPr>
          <w:p w14:paraId="4A02B70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1560" w:type="dxa"/>
            <w:tcBorders>
              <w:top w:val="nil"/>
              <w:left w:val="single" w:sz="4" w:space="0" w:color="auto"/>
              <w:bottom w:val="nil"/>
              <w:right w:val="single" w:sz="4" w:space="0" w:color="auto"/>
            </w:tcBorders>
            <w:shd w:val="clear" w:color="000000" w:fill="FFFFFF"/>
            <w:noWrap/>
            <w:vAlign w:val="center"/>
            <w:hideMark/>
          </w:tcPr>
          <w:p w14:paraId="6534297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1,24%</w:t>
            </w:r>
          </w:p>
        </w:tc>
      </w:tr>
      <w:tr w:rsidR="00FD4ED3" w:rsidRPr="00650EE4" w14:paraId="66E1E9B3" w14:textId="77777777" w:rsidTr="004F0F3B">
        <w:tc>
          <w:tcPr>
            <w:tcW w:w="3338" w:type="dxa"/>
            <w:tcBorders>
              <w:top w:val="nil"/>
              <w:left w:val="single" w:sz="4" w:space="0" w:color="auto"/>
              <w:bottom w:val="nil"/>
              <w:right w:val="nil"/>
            </w:tcBorders>
            <w:shd w:val="clear" w:color="000000" w:fill="FFFFFF"/>
            <w:noWrap/>
            <w:vAlign w:val="center"/>
            <w:hideMark/>
          </w:tcPr>
          <w:p w14:paraId="30C7CA6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1760" w:type="dxa"/>
            <w:tcBorders>
              <w:top w:val="nil"/>
              <w:left w:val="single" w:sz="4" w:space="0" w:color="auto"/>
              <w:bottom w:val="nil"/>
              <w:right w:val="nil"/>
            </w:tcBorders>
            <w:shd w:val="clear" w:color="000000" w:fill="FFFFFF"/>
            <w:noWrap/>
            <w:vAlign w:val="center"/>
            <w:hideMark/>
          </w:tcPr>
          <w:p w14:paraId="7BABFB3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1.319</w:t>
            </w:r>
          </w:p>
        </w:tc>
        <w:tc>
          <w:tcPr>
            <w:tcW w:w="1843" w:type="dxa"/>
            <w:tcBorders>
              <w:top w:val="nil"/>
              <w:left w:val="nil"/>
              <w:bottom w:val="nil"/>
              <w:right w:val="single" w:sz="4" w:space="0" w:color="auto"/>
            </w:tcBorders>
            <w:shd w:val="clear" w:color="000000" w:fill="FFFFFF"/>
            <w:noWrap/>
            <w:vAlign w:val="center"/>
            <w:hideMark/>
          </w:tcPr>
          <w:p w14:paraId="0FD2A4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960</w:t>
            </w:r>
          </w:p>
        </w:tc>
        <w:tc>
          <w:tcPr>
            <w:tcW w:w="1559" w:type="dxa"/>
            <w:tcBorders>
              <w:top w:val="nil"/>
              <w:left w:val="nil"/>
              <w:bottom w:val="nil"/>
              <w:right w:val="nil"/>
            </w:tcBorders>
            <w:shd w:val="clear" w:color="000000" w:fill="FFFFFF"/>
            <w:noWrap/>
            <w:vAlign w:val="center"/>
            <w:hideMark/>
          </w:tcPr>
          <w:p w14:paraId="1EFB1C9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1560" w:type="dxa"/>
            <w:tcBorders>
              <w:top w:val="nil"/>
              <w:left w:val="single" w:sz="4" w:space="0" w:color="auto"/>
              <w:bottom w:val="nil"/>
              <w:right w:val="single" w:sz="4" w:space="0" w:color="auto"/>
            </w:tcBorders>
            <w:shd w:val="clear" w:color="000000" w:fill="FFFFFF"/>
            <w:noWrap/>
            <w:vAlign w:val="center"/>
            <w:hideMark/>
          </w:tcPr>
          <w:p w14:paraId="2285177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w:t>
            </w:r>
          </w:p>
        </w:tc>
      </w:tr>
      <w:tr w:rsidR="00FD4ED3" w:rsidRPr="00650EE4" w14:paraId="406A6147" w14:textId="77777777" w:rsidTr="004F0F3B">
        <w:tc>
          <w:tcPr>
            <w:tcW w:w="3338" w:type="dxa"/>
            <w:tcBorders>
              <w:top w:val="nil"/>
              <w:left w:val="single" w:sz="4" w:space="0" w:color="auto"/>
              <w:bottom w:val="nil"/>
              <w:right w:val="nil"/>
            </w:tcBorders>
            <w:shd w:val="clear" w:color="000000" w:fill="FFFFFF"/>
            <w:noWrap/>
            <w:vAlign w:val="center"/>
            <w:hideMark/>
          </w:tcPr>
          <w:p w14:paraId="03CF5E1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1760" w:type="dxa"/>
            <w:tcBorders>
              <w:top w:val="nil"/>
              <w:left w:val="single" w:sz="4" w:space="0" w:color="auto"/>
              <w:bottom w:val="nil"/>
              <w:right w:val="nil"/>
            </w:tcBorders>
            <w:shd w:val="clear" w:color="000000" w:fill="FFFFFF"/>
            <w:noWrap/>
            <w:vAlign w:val="center"/>
            <w:hideMark/>
          </w:tcPr>
          <w:p w14:paraId="45590E3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727</w:t>
            </w:r>
          </w:p>
        </w:tc>
        <w:tc>
          <w:tcPr>
            <w:tcW w:w="1843" w:type="dxa"/>
            <w:tcBorders>
              <w:top w:val="nil"/>
              <w:left w:val="nil"/>
              <w:bottom w:val="nil"/>
              <w:right w:val="single" w:sz="4" w:space="0" w:color="auto"/>
            </w:tcBorders>
            <w:shd w:val="clear" w:color="000000" w:fill="FFFFFF"/>
            <w:noWrap/>
            <w:vAlign w:val="center"/>
            <w:hideMark/>
          </w:tcPr>
          <w:p w14:paraId="0484265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1.473</w:t>
            </w:r>
          </w:p>
        </w:tc>
        <w:tc>
          <w:tcPr>
            <w:tcW w:w="1559" w:type="dxa"/>
            <w:tcBorders>
              <w:top w:val="nil"/>
              <w:left w:val="nil"/>
              <w:bottom w:val="nil"/>
              <w:right w:val="nil"/>
            </w:tcBorders>
            <w:shd w:val="clear" w:color="000000" w:fill="FFFFFF"/>
            <w:noWrap/>
            <w:vAlign w:val="center"/>
            <w:hideMark/>
          </w:tcPr>
          <w:p w14:paraId="5CC055FC"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1560" w:type="dxa"/>
            <w:tcBorders>
              <w:top w:val="nil"/>
              <w:left w:val="single" w:sz="4" w:space="0" w:color="auto"/>
              <w:bottom w:val="nil"/>
              <w:right w:val="single" w:sz="4" w:space="0" w:color="auto"/>
            </w:tcBorders>
            <w:shd w:val="clear" w:color="000000" w:fill="FFFFFF"/>
            <w:noWrap/>
            <w:vAlign w:val="center"/>
            <w:hideMark/>
          </w:tcPr>
          <w:p w14:paraId="59AF981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r>
      <w:tr w:rsidR="00FD4ED3" w:rsidRPr="00650EE4" w14:paraId="58639CEE" w14:textId="77777777" w:rsidTr="004F0F3B">
        <w:tc>
          <w:tcPr>
            <w:tcW w:w="3338" w:type="dxa"/>
            <w:tcBorders>
              <w:top w:val="nil"/>
              <w:left w:val="single" w:sz="4" w:space="0" w:color="auto"/>
              <w:bottom w:val="nil"/>
              <w:right w:val="nil"/>
            </w:tcBorders>
            <w:shd w:val="clear" w:color="000000" w:fill="FFFFFF"/>
            <w:noWrap/>
            <w:vAlign w:val="center"/>
            <w:hideMark/>
          </w:tcPr>
          <w:p w14:paraId="4C22C01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1760" w:type="dxa"/>
            <w:tcBorders>
              <w:top w:val="nil"/>
              <w:left w:val="single" w:sz="4" w:space="0" w:color="auto"/>
              <w:bottom w:val="nil"/>
              <w:right w:val="nil"/>
            </w:tcBorders>
            <w:shd w:val="clear" w:color="000000" w:fill="FFFFFF"/>
            <w:noWrap/>
            <w:vAlign w:val="center"/>
            <w:hideMark/>
          </w:tcPr>
          <w:p w14:paraId="6C30811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888</w:t>
            </w:r>
          </w:p>
        </w:tc>
        <w:tc>
          <w:tcPr>
            <w:tcW w:w="1843" w:type="dxa"/>
            <w:tcBorders>
              <w:top w:val="nil"/>
              <w:left w:val="nil"/>
              <w:bottom w:val="nil"/>
              <w:right w:val="single" w:sz="4" w:space="0" w:color="auto"/>
            </w:tcBorders>
            <w:shd w:val="clear" w:color="000000" w:fill="FFFFFF"/>
            <w:noWrap/>
            <w:vAlign w:val="center"/>
            <w:hideMark/>
          </w:tcPr>
          <w:p w14:paraId="1BD4E2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701</w:t>
            </w:r>
          </w:p>
        </w:tc>
        <w:tc>
          <w:tcPr>
            <w:tcW w:w="1559" w:type="dxa"/>
            <w:tcBorders>
              <w:top w:val="nil"/>
              <w:left w:val="nil"/>
              <w:bottom w:val="nil"/>
              <w:right w:val="nil"/>
            </w:tcBorders>
            <w:shd w:val="clear" w:color="000000" w:fill="FFFFFF"/>
            <w:noWrap/>
            <w:vAlign w:val="center"/>
            <w:hideMark/>
          </w:tcPr>
          <w:p w14:paraId="50F24FB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1560" w:type="dxa"/>
            <w:tcBorders>
              <w:top w:val="nil"/>
              <w:left w:val="single" w:sz="4" w:space="0" w:color="auto"/>
              <w:bottom w:val="nil"/>
              <w:right w:val="single" w:sz="4" w:space="0" w:color="auto"/>
            </w:tcBorders>
            <w:shd w:val="clear" w:color="000000" w:fill="FFFFFF"/>
            <w:noWrap/>
            <w:vAlign w:val="center"/>
            <w:hideMark/>
          </w:tcPr>
          <w:p w14:paraId="7AE904A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0,79%</w:t>
            </w:r>
          </w:p>
        </w:tc>
      </w:tr>
      <w:tr w:rsidR="00FD4ED3" w:rsidRPr="00650EE4" w14:paraId="4CDAAFAE" w14:textId="77777777" w:rsidTr="004F0F3B">
        <w:tc>
          <w:tcPr>
            <w:tcW w:w="3338" w:type="dxa"/>
            <w:tcBorders>
              <w:top w:val="single" w:sz="4" w:space="0" w:color="auto"/>
              <w:left w:val="single" w:sz="4" w:space="0" w:color="auto"/>
              <w:bottom w:val="single" w:sz="4" w:space="0" w:color="auto"/>
              <w:right w:val="nil"/>
            </w:tcBorders>
            <w:shd w:val="clear" w:color="000000" w:fill="FFFFFF"/>
            <w:noWrap/>
            <w:vAlign w:val="center"/>
            <w:hideMark/>
          </w:tcPr>
          <w:p w14:paraId="00884DD3"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760" w:type="dxa"/>
            <w:tcBorders>
              <w:top w:val="single" w:sz="4" w:space="0" w:color="auto"/>
              <w:left w:val="single" w:sz="4" w:space="0" w:color="auto"/>
              <w:bottom w:val="single" w:sz="4" w:space="0" w:color="auto"/>
              <w:right w:val="nil"/>
            </w:tcBorders>
            <w:shd w:val="clear" w:color="000000" w:fill="FFFFFF"/>
            <w:noWrap/>
            <w:vAlign w:val="center"/>
            <w:hideMark/>
          </w:tcPr>
          <w:p w14:paraId="081E58B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73.305</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0F3D4B4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128.369</w:t>
            </w:r>
          </w:p>
        </w:tc>
        <w:tc>
          <w:tcPr>
            <w:tcW w:w="1559" w:type="dxa"/>
            <w:tcBorders>
              <w:top w:val="single" w:sz="4" w:space="0" w:color="auto"/>
              <w:left w:val="nil"/>
              <w:bottom w:val="single" w:sz="4" w:space="0" w:color="auto"/>
              <w:right w:val="nil"/>
            </w:tcBorders>
            <w:shd w:val="clear" w:color="000000" w:fill="FFFFFF"/>
            <w:noWrap/>
            <w:vAlign w:val="center"/>
            <w:hideMark/>
          </w:tcPr>
          <w:p w14:paraId="3D7CD07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76C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4CE9ACBF" w14:textId="77777777" w:rsidTr="004F0F3B">
        <w:tc>
          <w:tcPr>
            <w:tcW w:w="3338" w:type="dxa"/>
            <w:tcBorders>
              <w:top w:val="nil"/>
              <w:left w:val="single" w:sz="4" w:space="0" w:color="auto"/>
              <w:bottom w:val="single" w:sz="4" w:space="0" w:color="auto"/>
              <w:right w:val="nil"/>
            </w:tcBorders>
            <w:shd w:val="clear" w:color="000000" w:fill="FFFFFF"/>
            <w:noWrap/>
            <w:vAlign w:val="center"/>
            <w:hideMark/>
          </w:tcPr>
          <w:p w14:paraId="7C9293D4"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1760" w:type="dxa"/>
            <w:tcBorders>
              <w:top w:val="nil"/>
              <w:left w:val="single" w:sz="4" w:space="0" w:color="auto"/>
              <w:bottom w:val="single" w:sz="4" w:space="0" w:color="auto"/>
              <w:right w:val="nil"/>
            </w:tcBorders>
            <w:shd w:val="clear" w:color="000000" w:fill="FFFFFF"/>
            <w:noWrap/>
            <w:vAlign w:val="center"/>
            <w:hideMark/>
          </w:tcPr>
          <w:p w14:paraId="1E3E224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1843" w:type="dxa"/>
            <w:tcBorders>
              <w:top w:val="nil"/>
              <w:left w:val="nil"/>
              <w:bottom w:val="single" w:sz="4" w:space="0" w:color="auto"/>
              <w:right w:val="single" w:sz="4" w:space="0" w:color="auto"/>
            </w:tcBorders>
            <w:shd w:val="clear" w:color="000000" w:fill="FFFFFF"/>
            <w:noWrap/>
            <w:vAlign w:val="center"/>
            <w:hideMark/>
          </w:tcPr>
          <w:p w14:paraId="50B4E35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1559" w:type="dxa"/>
            <w:tcBorders>
              <w:top w:val="nil"/>
              <w:left w:val="nil"/>
              <w:bottom w:val="single" w:sz="4" w:space="0" w:color="auto"/>
              <w:right w:val="nil"/>
            </w:tcBorders>
            <w:shd w:val="clear" w:color="000000" w:fill="FFFFFF"/>
            <w:noWrap/>
            <w:vAlign w:val="center"/>
            <w:hideMark/>
          </w:tcPr>
          <w:p w14:paraId="468359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37FF018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0064EBB" w14:textId="259FCCDE" w:rsidR="00E42ED4" w:rsidRPr="00650EE4" w:rsidRDefault="005F56C6" w:rsidP="00E42ED4">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E42ED4" w:rsidRPr="00650EE4">
        <w:rPr>
          <w:rFonts w:ascii="Times New Roman" w:eastAsia="Times New Roman" w:hAnsi="Times New Roman"/>
          <w:i/>
          <w:color w:val="000000" w:themeColor="text1"/>
          <w:sz w:val="20"/>
          <w:szCs w:val="20"/>
        </w:rPr>
        <w:t>duomenys (2019.12.31</w:t>
      </w:r>
      <w:r w:rsidR="00FD4ED3" w:rsidRPr="00650EE4">
        <w:rPr>
          <w:rFonts w:ascii="Times New Roman" w:eastAsia="Times New Roman" w:hAnsi="Times New Roman"/>
          <w:i/>
          <w:color w:val="000000" w:themeColor="text1"/>
          <w:sz w:val="20"/>
          <w:szCs w:val="20"/>
        </w:rPr>
        <w:t>)</w:t>
      </w:r>
      <w:r w:rsidR="00FD4ED3" w:rsidRPr="00650EE4">
        <w:rPr>
          <w:rFonts w:ascii="Times New Roman" w:eastAsia="Times New Roman" w:hAnsi="Times New Roman"/>
          <w:i/>
          <w:color w:val="000000" w:themeColor="text1"/>
          <w:sz w:val="20"/>
          <w:szCs w:val="20"/>
        </w:rPr>
        <w:tab/>
      </w:r>
    </w:p>
    <w:p w14:paraId="3D075E16" w14:textId="15FF3BC3" w:rsidR="00E42ED4" w:rsidRPr="00650EE4" w:rsidRDefault="00E42ED4" w:rsidP="00E42ED4">
      <w:pPr>
        <w:rPr>
          <w:rFonts w:ascii="Times New Roman" w:hAnsi="Times New Roman"/>
          <w:color w:val="000000" w:themeColor="text1"/>
          <w:szCs w:val="22"/>
        </w:rPr>
      </w:pPr>
    </w:p>
    <w:p w14:paraId="7BA45ACA" w14:textId="2C80A91E" w:rsidR="007054AA" w:rsidRPr="00650EE4" w:rsidRDefault="00204A07" w:rsidP="00204A07">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Siekiant įsitikinti duomenų tikslumu, duomenys buvo palyginti su Lietuvos šilumos tiekėjų </w:t>
      </w:r>
      <w:r w:rsidR="007C141C" w:rsidRPr="00650EE4">
        <w:rPr>
          <w:rFonts w:ascii="Times New Roman" w:hAnsi="Times New Roman"/>
          <w:color w:val="000000" w:themeColor="text1"/>
          <w:szCs w:val="22"/>
        </w:rPr>
        <w:t>asociacijos</w:t>
      </w:r>
      <w:r w:rsidRPr="00650EE4">
        <w:rPr>
          <w:rFonts w:ascii="Times New Roman" w:hAnsi="Times New Roman"/>
          <w:color w:val="000000" w:themeColor="text1"/>
          <w:szCs w:val="22"/>
        </w:rPr>
        <w:t xml:space="preserve"> (toliau – LŠTA) skelbiama informacija. </w:t>
      </w:r>
      <w:r w:rsidR="003F26C2" w:rsidRPr="00650EE4">
        <w:rPr>
          <w:rFonts w:ascii="Times New Roman" w:hAnsi="Times New Roman"/>
          <w:color w:val="000000" w:themeColor="text1"/>
          <w:szCs w:val="22"/>
        </w:rPr>
        <w:t>Lentelė</w:t>
      </w:r>
      <w:r w:rsidRPr="00650EE4">
        <w:rPr>
          <w:rFonts w:ascii="Times New Roman" w:hAnsi="Times New Roman"/>
          <w:color w:val="000000" w:themeColor="text1"/>
          <w:szCs w:val="22"/>
        </w:rPr>
        <w:t>s</w:t>
      </w:r>
      <w:r w:rsidR="003F26C2" w:rsidRPr="00650EE4">
        <w:rPr>
          <w:rFonts w:ascii="Times New Roman" w:hAnsi="Times New Roman"/>
          <w:color w:val="000000" w:themeColor="text1"/>
          <w:szCs w:val="22"/>
        </w:rPr>
        <w:t>e žemiau pateikiam</w:t>
      </w:r>
      <w:r w:rsidRPr="00650EE4">
        <w:rPr>
          <w:rFonts w:ascii="Times New Roman" w:hAnsi="Times New Roman"/>
          <w:color w:val="000000" w:themeColor="text1"/>
          <w:szCs w:val="22"/>
        </w:rPr>
        <w:t>as duomenų palyginimas</w:t>
      </w:r>
      <w:r w:rsidR="003F26C2" w:rsidRPr="00650EE4">
        <w:rPr>
          <w:rFonts w:ascii="Times New Roman" w:hAnsi="Times New Roman"/>
          <w:color w:val="000000" w:themeColor="text1"/>
          <w:szCs w:val="22"/>
        </w:rPr>
        <w:t>.</w:t>
      </w:r>
    </w:p>
    <w:p w14:paraId="73CD274F" w14:textId="77777777" w:rsidR="003F26C2" w:rsidRPr="00650EE4" w:rsidRDefault="003F26C2" w:rsidP="00E42ED4">
      <w:pPr>
        <w:rPr>
          <w:rFonts w:ascii="Times New Roman" w:hAnsi="Times New Roman"/>
          <w:color w:val="000000" w:themeColor="text1"/>
          <w:szCs w:val="22"/>
        </w:rPr>
      </w:pPr>
    </w:p>
    <w:p w14:paraId="34D2FC7F" w14:textId="67B8BD6C" w:rsidR="00C02F0F"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6" w:name="_Toc67925194"/>
      <w:r w:rsidR="007744C1">
        <w:t>11</w:t>
      </w:r>
      <w:r w:rsidRPr="00650EE4">
        <w:rPr>
          <w:noProof w:val="0"/>
        </w:rPr>
        <w:fldChar w:fldCharType="end"/>
      </w:r>
      <w:r w:rsidR="00F74305" w:rsidRPr="00650EE4">
        <w:rPr>
          <w:noProof w:val="0"/>
        </w:rPr>
        <w:t xml:space="preserve"> lentelė</w:t>
      </w:r>
      <w:r w:rsidR="00C02F0F" w:rsidRPr="00650EE4">
        <w:rPr>
          <w:noProof w:val="0"/>
        </w:rPr>
        <w:t xml:space="preserve">. Pastatų fondas pagal šildymo tipą </w:t>
      </w:r>
      <w:r w:rsidR="00806BF7" w:rsidRPr="00650EE4">
        <w:rPr>
          <w:noProof w:val="0"/>
        </w:rPr>
        <w:t xml:space="preserve">– </w:t>
      </w:r>
      <w:r w:rsidR="00C02F0F" w:rsidRPr="00650EE4">
        <w:rPr>
          <w:noProof w:val="0"/>
        </w:rPr>
        <w:t>prijung</w:t>
      </w:r>
      <w:r w:rsidR="007C141C" w:rsidRPr="00650EE4">
        <w:rPr>
          <w:noProof w:val="0"/>
        </w:rPr>
        <w:t>t</w:t>
      </w:r>
      <w:r w:rsidR="00C02F0F" w:rsidRPr="00650EE4">
        <w:rPr>
          <w:noProof w:val="0"/>
        </w:rPr>
        <w:t>a prie CŠT (vnt. ir tūkst. m</w:t>
      </w:r>
      <w:r w:rsidR="00C02F0F" w:rsidRPr="00650EE4">
        <w:rPr>
          <w:noProof w:val="0"/>
          <w:vertAlign w:val="superscript"/>
        </w:rPr>
        <w:t>2</w:t>
      </w:r>
      <w:r w:rsidR="00C02F0F" w:rsidRPr="00650EE4">
        <w:rPr>
          <w:noProof w:val="0"/>
        </w:rPr>
        <w:t>)</w:t>
      </w:r>
      <w:bookmarkEnd w:id="36"/>
    </w:p>
    <w:tbl>
      <w:tblPr>
        <w:tblW w:w="10194" w:type="dxa"/>
        <w:tblLook w:val="04A0" w:firstRow="1" w:lastRow="0" w:firstColumn="1" w:lastColumn="0" w:noHBand="0" w:noVBand="1"/>
      </w:tblPr>
      <w:tblGrid>
        <w:gridCol w:w="3029"/>
        <w:gridCol w:w="1139"/>
        <w:gridCol w:w="1033"/>
        <w:gridCol w:w="1012"/>
        <w:gridCol w:w="1307"/>
        <w:gridCol w:w="1275"/>
        <w:gridCol w:w="1399"/>
      </w:tblGrid>
      <w:tr w:rsidR="00C02F0F" w:rsidRPr="00650EE4" w14:paraId="06892C8C" w14:textId="77777777" w:rsidTr="00364E8F">
        <w:trPr>
          <w:trHeight w:val="247"/>
        </w:trPr>
        <w:tc>
          <w:tcPr>
            <w:tcW w:w="3029"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0C5C5D46" w14:textId="77777777"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Grupė</w:t>
            </w:r>
          </w:p>
        </w:tc>
        <w:tc>
          <w:tcPr>
            <w:tcW w:w="2172" w:type="dxa"/>
            <w:gridSpan w:val="2"/>
            <w:tcBorders>
              <w:top w:val="single" w:sz="4" w:space="0" w:color="auto"/>
              <w:left w:val="single" w:sz="4" w:space="0" w:color="auto"/>
              <w:bottom w:val="nil"/>
              <w:right w:val="single" w:sz="4" w:space="0" w:color="000000"/>
            </w:tcBorders>
            <w:shd w:val="clear" w:color="000000" w:fill="FFFFFF"/>
            <w:noWrap/>
            <w:vAlign w:val="bottom"/>
            <w:hideMark/>
          </w:tcPr>
          <w:p w14:paraId="4E72FF99" w14:textId="77777777"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LŠTA duomenys</w:t>
            </w:r>
          </w:p>
        </w:tc>
        <w:tc>
          <w:tcPr>
            <w:tcW w:w="2319" w:type="dxa"/>
            <w:gridSpan w:val="2"/>
            <w:tcBorders>
              <w:top w:val="single" w:sz="4" w:space="0" w:color="auto"/>
              <w:left w:val="nil"/>
              <w:bottom w:val="nil"/>
              <w:right w:val="single" w:sz="4" w:space="0" w:color="000000"/>
            </w:tcBorders>
            <w:shd w:val="clear" w:color="000000" w:fill="FFFFFF"/>
            <w:noWrap/>
            <w:vAlign w:val="bottom"/>
            <w:hideMark/>
          </w:tcPr>
          <w:p w14:paraId="2CC48120" w14:textId="41BD0762"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 xml:space="preserve">NTR </w:t>
            </w:r>
            <w:r w:rsidR="00A514C7" w:rsidRPr="00650EE4">
              <w:rPr>
                <w:rFonts w:ascii="Times New Roman" w:eastAsia="Times New Roman" w:hAnsi="Times New Roman"/>
                <w:b/>
                <w:sz w:val="20"/>
                <w:szCs w:val="20"/>
              </w:rPr>
              <w:t>duomenys</w:t>
            </w:r>
          </w:p>
        </w:tc>
        <w:tc>
          <w:tcPr>
            <w:tcW w:w="2674"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99A7BB9" w14:textId="77777777"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Skirtumas</w:t>
            </w:r>
          </w:p>
        </w:tc>
      </w:tr>
      <w:tr w:rsidR="00A514C7" w:rsidRPr="00650EE4" w14:paraId="74238DBC" w14:textId="77777777" w:rsidTr="00364E8F">
        <w:trPr>
          <w:trHeight w:val="403"/>
        </w:trPr>
        <w:tc>
          <w:tcPr>
            <w:tcW w:w="3029" w:type="dxa"/>
            <w:vMerge/>
            <w:tcBorders>
              <w:top w:val="single" w:sz="4" w:space="0" w:color="auto"/>
              <w:left w:val="single" w:sz="4" w:space="0" w:color="auto"/>
              <w:bottom w:val="nil"/>
              <w:right w:val="single" w:sz="4" w:space="0" w:color="auto"/>
            </w:tcBorders>
            <w:vAlign w:val="center"/>
            <w:hideMark/>
          </w:tcPr>
          <w:p w14:paraId="577E9D26" w14:textId="77777777" w:rsidR="00C02F0F" w:rsidRPr="00650EE4" w:rsidRDefault="00C02F0F" w:rsidP="00C02F0F">
            <w:pPr>
              <w:spacing w:line="240" w:lineRule="auto"/>
              <w:rPr>
                <w:rFonts w:ascii="Times New Roman" w:eastAsia="Times New Roman" w:hAnsi="Times New Roman"/>
                <w:b/>
                <w:sz w:val="20"/>
                <w:szCs w:val="20"/>
              </w:rPr>
            </w:pPr>
          </w:p>
        </w:tc>
        <w:tc>
          <w:tcPr>
            <w:tcW w:w="1139" w:type="dxa"/>
            <w:tcBorders>
              <w:top w:val="single" w:sz="4" w:space="0" w:color="auto"/>
              <w:left w:val="single" w:sz="4" w:space="0" w:color="auto"/>
              <w:bottom w:val="single" w:sz="4" w:space="0" w:color="auto"/>
              <w:right w:val="nil"/>
            </w:tcBorders>
            <w:shd w:val="clear" w:color="000000" w:fill="FFFFFF"/>
            <w:vAlign w:val="bottom"/>
            <w:hideMark/>
          </w:tcPr>
          <w:p w14:paraId="2F5F8DAD"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Skaičius</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7FCAFBA3" w14:textId="748AF596" w:rsidR="00C02F0F" w:rsidRPr="00650EE4" w:rsidRDefault="00C02F0F" w:rsidP="00AB36F1">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Šildomas plotas</w:t>
            </w:r>
          </w:p>
        </w:tc>
        <w:tc>
          <w:tcPr>
            <w:tcW w:w="1012" w:type="dxa"/>
            <w:tcBorders>
              <w:top w:val="single" w:sz="4" w:space="0" w:color="auto"/>
              <w:left w:val="nil"/>
              <w:bottom w:val="single" w:sz="4" w:space="0" w:color="auto"/>
              <w:right w:val="nil"/>
            </w:tcBorders>
            <w:shd w:val="clear" w:color="000000" w:fill="FFFFFF"/>
            <w:vAlign w:val="bottom"/>
            <w:hideMark/>
          </w:tcPr>
          <w:p w14:paraId="29249B98"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Skaičius</w:t>
            </w:r>
          </w:p>
        </w:tc>
        <w:tc>
          <w:tcPr>
            <w:tcW w:w="1307" w:type="dxa"/>
            <w:tcBorders>
              <w:top w:val="single" w:sz="4" w:space="0" w:color="auto"/>
              <w:left w:val="nil"/>
              <w:bottom w:val="single" w:sz="4" w:space="0" w:color="auto"/>
              <w:right w:val="single" w:sz="4" w:space="0" w:color="auto"/>
            </w:tcBorders>
            <w:shd w:val="clear" w:color="000000" w:fill="FFFFFF"/>
            <w:vAlign w:val="bottom"/>
            <w:hideMark/>
          </w:tcPr>
          <w:p w14:paraId="7C71E7F6" w14:textId="23EC33F2" w:rsidR="00C02F0F" w:rsidRPr="00650EE4" w:rsidRDefault="00C02F0F" w:rsidP="00E81DEB">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 xml:space="preserve">Šildomas </w:t>
            </w:r>
            <w:r w:rsidR="00A514C7" w:rsidRPr="00650EE4">
              <w:rPr>
                <w:rFonts w:ascii="Times New Roman" w:eastAsia="Times New Roman" w:hAnsi="Times New Roman"/>
                <w:b/>
                <w:sz w:val="20"/>
                <w:szCs w:val="20"/>
              </w:rPr>
              <w:t>plotas</w:t>
            </w:r>
          </w:p>
        </w:tc>
        <w:tc>
          <w:tcPr>
            <w:tcW w:w="1275" w:type="dxa"/>
            <w:tcBorders>
              <w:top w:val="nil"/>
              <w:left w:val="nil"/>
              <w:bottom w:val="single" w:sz="4" w:space="0" w:color="auto"/>
              <w:right w:val="nil"/>
            </w:tcBorders>
            <w:shd w:val="clear" w:color="000000" w:fill="FFFFFF"/>
            <w:vAlign w:val="bottom"/>
            <w:hideMark/>
          </w:tcPr>
          <w:p w14:paraId="38DCCF17"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Skaičiaus</w:t>
            </w:r>
          </w:p>
        </w:tc>
        <w:tc>
          <w:tcPr>
            <w:tcW w:w="1399" w:type="dxa"/>
            <w:tcBorders>
              <w:top w:val="nil"/>
              <w:left w:val="nil"/>
              <w:bottom w:val="single" w:sz="4" w:space="0" w:color="auto"/>
              <w:right w:val="single" w:sz="4" w:space="0" w:color="auto"/>
            </w:tcBorders>
            <w:shd w:val="clear" w:color="000000" w:fill="FFFFFF"/>
            <w:vAlign w:val="bottom"/>
            <w:hideMark/>
          </w:tcPr>
          <w:p w14:paraId="0A016F9D"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Šildomo ploto</w:t>
            </w:r>
          </w:p>
        </w:tc>
      </w:tr>
      <w:tr w:rsidR="00A514C7" w:rsidRPr="00650EE4" w14:paraId="28109124" w14:textId="77777777" w:rsidTr="00364E8F">
        <w:trPr>
          <w:trHeight w:val="202"/>
        </w:trPr>
        <w:tc>
          <w:tcPr>
            <w:tcW w:w="3029" w:type="dxa"/>
            <w:tcBorders>
              <w:top w:val="single" w:sz="4" w:space="0" w:color="auto"/>
              <w:left w:val="single" w:sz="4" w:space="0" w:color="auto"/>
              <w:bottom w:val="nil"/>
              <w:right w:val="single" w:sz="4" w:space="0" w:color="auto"/>
            </w:tcBorders>
            <w:shd w:val="clear" w:color="000000" w:fill="FFFFFF"/>
            <w:noWrap/>
            <w:vAlign w:val="bottom"/>
            <w:hideMark/>
          </w:tcPr>
          <w:p w14:paraId="13014BE0"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Individualūs</w:t>
            </w:r>
          </w:p>
        </w:tc>
        <w:tc>
          <w:tcPr>
            <w:tcW w:w="1139" w:type="dxa"/>
            <w:tcBorders>
              <w:top w:val="nil"/>
              <w:left w:val="nil"/>
              <w:bottom w:val="nil"/>
              <w:right w:val="nil"/>
            </w:tcBorders>
            <w:shd w:val="clear" w:color="000000" w:fill="FFFFFF"/>
            <w:noWrap/>
            <w:hideMark/>
          </w:tcPr>
          <w:p w14:paraId="33C89D7A" w14:textId="47FAE9B7"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2.104</w:t>
            </w:r>
          </w:p>
        </w:tc>
        <w:tc>
          <w:tcPr>
            <w:tcW w:w="1033" w:type="dxa"/>
            <w:tcBorders>
              <w:top w:val="nil"/>
              <w:left w:val="nil"/>
              <w:bottom w:val="nil"/>
              <w:right w:val="nil"/>
            </w:tcBorders>
            <w:shd w:val="clear" w:color="000000" w:fill="FFFFFF"/>
            <w:noWrap/>
            <w:hideMark/>
          </w:tcPr>
          <w:p w14:paraId="324E27A4" w14:textId="0CEDB169"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281</w:t>
            </w:r>
          </w:p>
        </w:tc>
        <w:tc>
          <w:tcPr>
            <w:tcW w:w="1012" w:type="dxa"/>
            <w:tcBorders>
              <w:top w:val="nil"/>
              <w:left w:val="single" w:sz="4" w:space="0" w:color="auto"/>
              <w:bottom w:val="nil"/>
              <w:right w:val="nil"/>
            </w:tcBorders>
            <w:shd w:val="clear" w:color="000000" w:fill="FFFFFF"/>
            <w:noWrap/>
            <w:hideMark/>
          </w:tcPr>
          <w:p w14:paraId="7B537BA4" w14:textId="60F1D265"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7.192</w:t>
            </w:r>
          </w:p>
        </w:tc>
        <w:tc>
          <w:tcPr>
            <w:tcW w:w="1307" w:type="dxa"/>
            <w:tcBorders>
              <w:top w:val="nil"/>
              <w:left w:val="nil"/>
              <w:bottom w:val="nil"/>
              <w:right w:val="single" w:sz="4" w:space="0" w:color="auto"/>
            </w:tcBorders>
            <w:shd w:val="clear" w:color="000000" w:fill="FFFFFF"/>
            <w:noWrap/>
            <w:hideMark/>
          </w:tcPr>
          <w:p w14:paraId="4CBB4434" w14:textId="70CC535E"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962</w:t>
            </w:r>
          </w:p>
        </w:tc>
        <w:tc>
          <w:tcPr>
            <w:tcW w:w="1275" w:type="dxa"/>
            <w:tcBorders>
              <w:top w:val="nil"/>
              <w:left w:val="nil"/>
              <w:bottom w:val="nil"/>
              <w:right w:val="nil"/>
            </w:tcBorders>
            <w:shd w:val="clear" w:color="000000" w:fill="FFFFFF"/>
            <w:noWrap/>
            <w:hideMark/>
          </w:tcPr>
          <w:p w14:paraId="47346205" w14:textId="4D9F11D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-242%</w:t>
            </w:r>
          </w:p>
        </w:tc>
        <w:tc>
          <w:tcPr>
            <w:tcW w:w="1399" w:type="dxa"/>
            <w:tcBorders>
              <w:top w:val="nil"/>
              <w:left w:val="nil"/>
              <w:bottom w:val="nil"/>
              <w:right w:val="single" w:sz="4" w:space="0" w:color="auto"/>
            </w:tcBorders>
            <w:shd w:val="clear" w:color="000000" w:fill="FFFFFF"/>
            <w:noWrap/>
            <w:hideMark/>
          </w:tcPr>
          <w:p w14:paraId="3FA13F92" w14:textId="25043EE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-242%</w:t>
            </w:r>
          </w:p>
        </w:tc>
      </w:tr>
      <w:tr w:rsidR="00A514C7" w:rsidRPr="00650EE4" w14:paraId="1A3C4D4D" w14:textId="77777777" w:rsidTr="00364E8F">
        <w:trPr>
          <w:trHeight w:val="202"/>
        </w:trPr>
        <w:tc>
          <w:tcPr>
            <w:tcW w:w="3029" w:type="dxa"/>
            <w:tcBorders>
              <w:top w:val="nil"/>
              <w:left w:val="single" w:sz="4" w:space="0" w:color="auto"/>
              <w:bottom w:val="nil"/>
              <w:right w:val="single" w:sz="4" w:space="0" w:color="auto"/>
            </w:tcBorders>
            <w:shd w:val="clear" w:color="000000" w:fill="FFFFFF"/>
            <w:noWrap/>
            <w:vAlign w:val="bottom"/>
            <w:hideMark/>
          </w:tcPr>
          <w:p w14:paraId="1E9CE866"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w:t>
            </w:r>
          </w:p>
        </w:tc>
        <w:tc>
          <w:tcPr>
            <w:tcW w:w="1139" w:type="dxa"/>
            <w:tcBorders>
              <w:top w:val="nil"/>
              <w:left w:val="nil"/>
              <w:bottom w:val="nil"/>
              <w:right w:val="nil"/>
            </w:tcBorders>
            <w:shd w:val="clear" w:color="000000" w:fill="FFFFFF"/>
            <w:noWrap/>
            <w:hideMark/>
          </w:tcPr>
          <w:p w14:paraId="048C4E20" w14:textId="608D5FC7"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18.426</w:t>
            </w:r>
          </w:p>
        </w:tc>
        <w:tc>
          <w:tcPr>
            <w:tcW w:w="1033" w:type="dxa"/>
            <w:tcBorders>
              <w:top w:val="nil"/>
              <w:left w:val="nil"/>
              <w:bottom w:val="nil"/>
              <w:right w:val="nil"/>
            </w:tcBorders>
            <w:shd w:val="clear" w:color="000000" w:fill="FFFFFF"/>
            <w:noWrap/>
            <w:hideMark/>
          </w:tcPr>
          <w:p w14:paraId="159DD687" w14:textId="622DEFA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37.206</w:t>
            </w:r>
          </w:p>
        </w:tc>
        <w:tc>
          <w:tcPr>
            <w:tcW w:w="1012" w:type="dxa"/>
            <w:tcBorders>
              <w:top w:val="nil"/>
              <w:left w:val="single" w:sz="4" w:space="0" w:color="auto"/>
              <w:bottom w:val="nil"/>
              <w:right w:val="nil"/>
            </w:tcBorders>
            <w:shd w:val="clear" w:color="000000" w:fill="FFFFFF"/>
            <w:noWrap/>
            <w:hideMark/>
          </w:tcPr>
          <w:p w14:paraId="633BB5A8" w14:textId="46C8AE6F"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19.000</w:t>
            </w:r>
          </w:p>
        </w:tc>
        <w:tc>
          <w:tcPr>
            <w:tcW w:w="1307" w:type="dxa"/>
            <w:tcBorders>
              <w:top w:val="nil"/>
              <w:left w:val="nil"/>
              <w:bottom w:val="nil"/>
              <w:right w:val="single" w:sz="4" w:space="0" w:color="auto"/>
            </w:tcBorders>
            <w:shd w:val="clear" w:color="000000" w:fill="FFFFFF"/>
            <w:noWrap/>
            <w:hideMark/>
          </w:tcPr>
          <w:p w14:paraId="04B4EC37" w14:textId="65964BA4"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35.561</w:t>
            </w:r>
          </w:p>
        </w:tc>
        <w:tc>
          <w:tcPr>
            <w:tcW w:w="1275" w:type="dxa"/>
            <w:tcBorders>
              <w:top w:val="nil"/>
              <w:left w:val="nil"/>
              <w:bottom w:val="nil"/>
              <w:right w:val="nil"/>
            </w:tcBorders>
            <w:shd w:val="clear" w:color="000000" w:fill="FFFFFF"/>
            <w:noWrap/>
            <w:hideMark/>
          </w:tcPr>
          <w:p w14:paraId="2BD6A8F6" w14:textId="351DA135"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-3%</w:t>
            </w:r>
          </w:p>
        </w:tc>
        <w:tc>
          <w:tcPr>
            <w:tcW w:w="1399" w:type="dxa"/>
            <w:tcBorders>
              <w:top w:val="nil"/>
              <w:left w:val="nil"/>
              <w:bottom w:val="nil"/>
              <w:right w:val="single" w:sz="4" w:space="0" w:color="auto"/>
            </w:tcBorders>
            <w:shd w:val="clear" w:color="000000" w:fill="FFFFFF"/>
            <w:noWrap/>
            <w:hideMark/>
          </w:tcPr>
          <w:p w14:paraId="651CBAEF" w14:textId="36A4E326"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4%</w:t>
            </w:r>
          </w:p>
        </w:tc>
      </w:tr>
      <w:tr w:rsidR="00A514C7" w:rsidRPr="00650EE4" w14:paraId="0EC5A276" w14:textId="77777777" w:rsidTr="00364E8F">
        <w:trPr>
          <w:trHeight w:val="202"/>
        </w:trPr>
        <w:tc>
          <w:tcPr>
            <w:tcW w:w="3029" w:type="dxa"/>
            <w:tcBorders>
              <w:top w:val="nil"/>
              <w:left w:val="single" w:sz="4" w:space="0" w:color="auto"/>
              <w:bottom w:val="single" w:sz="4" w:space="0" w:color="auto"/>
              <w:right w:val="single" w:sz="4" w:space="0" w:color="auto"/>
            </w:tcBorders>
            <w:shd w:val="clear" w:color="000000" w:fill="FFFFFF"/>
            <w:noWrap/>
            <w:vAlign w:val="bottom"/>
            <w:hideMark/>
          </w:tcPr>
          <w:p w14:paraId="166E3AB9"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1139" w:type="dxa"/>
            <w:tcBorders>
              <w:top w:val="nil"/>
              <w:left w:val="nil"/>
              <w:bottom w:val="nil"/>
              <w:right w:val="nil"/>
            </w:tcBorders>
            <w:shd w:val="clear" w:color="000000" w:fill="FFFFFF"/>
            <w:noWrap/>
            <w:hideMark/>
          </w:tcPr>
          <w:p w14:paraId="1DCF8414" w14:textId="2E9D47A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7.543</w:t>
            </w:r>
          </w:p>
        </w:tc>
        <w:tc>
          <w:tcPr>
            <w:tcW w:w="1033" w:type="dxa"/>
            <w:tcBorders>
              <w:top w:val="nil"/>
              <w:left w:val="nil"/>
              <w:bottom w:val="nil"/>
              <w:right w:val="nil"/>
            </w:tcBorders>
            <w:shd w:val="clear" w:color="000000" w:fill="FFFFFF"/>
            <w:noWrap/>
            <w:hideMark/>
          </w:tcPr>
          <w:p w14:paraId="3D0AC7EF" w14:textId="2030AB5E"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15.761</w:t>
            </w:r>
          </w:p>
        </w:tc>
        <w:tc>
          <w:tcPr>
            <w:tcW w:w="1012" w:type="dxa"/>
            <w:tcBorders>
              <w:top w:val="nil"/>
              <w:left w:val="single" w:sz="4" w:space="0" w:color="auto"/>
              <w:bottom w:val="single" w:sz="4" w:space="0" w:color="auto"/>
              <w:right w:val="nil"/>
            </w:tcBorders>
            <w:shd w:val="clear" w:color="000000" w:fill="FFFFFF"/>
            <w:noWrap/>
            <w:hideMark/>
          </w:tcPr>
          <w:p w14:paraId="61A4FF67" w14:textId="3B02279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15.010</w:t>
            </w:r>
          </w:p>
        </w:tc>
        <w:tc>
          <w:tcPr>
            <w:tcW w:w="1307" w:type="dxa"/>
            <w:tcBorders>
              <w:top w:val="nil"/>
              <w:left w:val="nil"/>
              <w:bottom w:val="single" w:sz="4" w:space="0" w:color="auto"/>
              <w:right w:val="single" w:sz="4" w:space="0" w:color="auto"/>
            </w:tcBorders>
            <w:shd w:val="clear" w:color="000000" w:fill="FFFFFF"/>
            <w:noWrap/>
            <w:hideMark/>
          </w:tcPr>
          <w:p w14:paraId="11E6FB9F" w14:textId="1E93EC1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27.198</w:t>
            </w:r>
          </w:p>
        </w:tc>
        <w:tc>
          <w:tcPr>
            <w:tcW w:w="1275" w:type="dxa"/>
            <w:tcBorders>
              <w:top w:val="nil"/>
              <w:left w:val="nil"/>
              <w:bottom w:val="nil"/>
              <w:right w:val="nil"/>
            </w:tcBorders>
            <w:shd w:val="clear" w:color="000000" w:fill="FFFFFF"/>
            <w:noWrap/>
            <w:hideMark/>
          </w:tcPr>
          <w:p w14:paraId="654FB722" w14:textId="0B48332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-99%</w:t>
            </w:r>
          </w:p>
        </w:tc>
        <w:tc>
          <w:tcPr>
            <w:tcW w:w="1399" w:type="dxa"/>
            <w:tcBorders>
              <w:top w:val="nil"/>
              <w:left w:val="nil"/>
              <w:bottom w:val="single" w:sz="4" w:space="0" w:color="auto"/>
              <w:right w:val="single" w:sz="4" w:space="0" w:color="auto"/>
            </w:tcBorders>
            <w:shd w:val="clear" w:color="000000" w:fill="FFFFFF"/>
            <w:noWrap/>
            <w:hideMark/>
          </w:tcPr>
          <w:p w14:paraId="3E319248" w14:textId="502FA63B"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-73%</w:t>
            </w:r>
          </w:p>
        </w:tc>
      </w:tr>
      <w:tr w:rsidR="00A514C7" w:rsidRPr="00650EE4" w14:paraId="3D3D6D22" w14:textId="77777777" w:rsidTr="00364E8F">
        <w:trPr>
          <w:trHeight w:val="202"/>
        </w:trPr>
        <w:tc>
          <w:tcPr>
            <w:tcW w:w="3029" w:type="dxa"/>
            <w:tcBorders>
              <w:top w:val="nil"/>
              <w:left w:val="single" w:sz="4" w:space="0" w:color="auto"/>
              <w:bottom w:val="single" w:sz="4" w:space="0" w:color="auto"/>
              <w:right w:val="nil"/>
            </w:tcBorders>
            <w:shd w:val="clear" w:color="000000" w:fill="FFFFFF"/>
            <w:noWrap/>
            <w:vAlign w:val="bottom"/>
            <w:hideMark/>
          </w:tcPr>
          <w:p w14:paraId="4EF63539"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Viso</w:t>
            </w:r>
          </w:p>
        </w:tc>
        <w:tc>
          <w:tcPr>
            <w:tcW w:w="1139" w:type="dxa"/>
            <w:tcBorders>
              <w:top w:val="single" w:sz="4" w:space="0" w:color="auto"/>
              <w:left w:val="single" w:sz="4" w:space="0" w:color="auto"/>
              <w:bottom w:val="single" w:sz="4" w:space="0" w:color="auto"/>
              <w:right w:val="nil"/>
            </w:tcBorders>
            <w:shd w:val="clear" w:color="000000" w:fill="FFFFFF"/>
            <w:noWrap/>
            <w:hideMark/>
          </w:tcPr>
          <w:p w14:paraId="5664B9ED" w14:textId="29B9D522"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28.073</w:t>
            </w:r>
          </w:p>
        </w:tc>
        <w:tc>
          <w:tcPr>
            <w:tcW w:w="1033" w:type="dxa"/>
            <w:tcBorders>
              <w:top w:val="single" w:sz="4" w:space="0" w:color="auto"/>
              <w:left w:val="nil"/>
              <w:bottom w:val="single" w:sz="4" w:space="0" w:color="auto"/>
              <w:right w:val="single" w:sz="4" w:space="0" w:color="auto"/>
            </w:tcBorders>
            <w:shd w:val="clear" w:color="000000" w:fill="FFFFFF"/>
            <w:noWrap/>
            <w:hideMark/>
          </w:tcPr>
          <w:p w14:paraId="713D9A5A" w14:textId="7A411562"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53.248</w:t>
            </w:r>
          </w:p>
        </w:tc>
        <w:tc>
          <w:tcPr>
            <w:tcW w:w="1012" w:type="dxa"/>
            <w:tcBorders>
              <w:top w:val="nil"/>
              <w:left w:val="nil"/>
              <w:bottom w:val="single" w:sz="4" w:space="0" w:color="auto"/>
              <w:right w:val="nil"/>
            </w:tcBorders>
            <w:shd w:val="clear" w:color="000000" w:fill="FFFFFF"/>
            <w:noWrap/>
            <w:hideMark/>
          </w:tcPr>
          <w:p w14:paraId="6357660E" w14:textId="45363BED"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41.202</w:t>
            </w:r>
          </w:p>
        </w:tc>
        <w:tc>
          <w:tcPr>
            <w:tcW w:w="1307" w:type="dxa"/>
            <w:tcBorders>
              <w:top w:val="nil"/>
              <w:left w:val="nil"/>
              <w:bottom w:val="single" w:sz="4" w:space="0" w:color="auto"/>
              <w:right w:val="single" w:sz="4" w:space="0" w:color="auto"/>
            </w:tcBorders>
            <w:shd w:val="clear" w:color="000000" w:fill="FFFFFF"/>
            <w:noWrap/>
            <w:hideMark/>
          </w:tcPr>
          <w:p w14:paraId="2AF30E90" w14:textId="117170D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63.721</w:t>
            </w:r>
          </w:p>
        </w:tc>
        <w:tc>
          <w:tcPr>
            <w:tcW w:w="1275" w:type="dxa"/>
            <w:tcBorders>
              <w:top w:val="single" w:sz="4" w:space="0" w:color="auto"/>
              <w:left w:val="nil"/>
              <w:bottom w:val="single" w:sz="4" w:space="0" w:color="auto"/>
              <w:right w:val="nil"/>
            </w:tcBorders>
            <w:shd w:val="clear" w:color="000000" w:fill="FFFFFF"/>
            <w:noWrap/>
            <w:hideMark/>
          </w:tcPr>
          <w:p w14:paraId="49827E3B" w14:textId="068A4BB8"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171%</w:t>
            </w:r>
          </w:p>
        </w:tc>
        <w:tc>
          <w:tcPr>
            <w:tcW w:w="1399" w:type="dxa"/>
            <w:tcBorders>
              <w:top w:val="nil"/>
              <w:left w:val="nil"/>
              <w:bottom w:val="single" w:sz="4" w:space="0" w:color="auto"/>
              <w:right w:val="single" w:sz="4" w:space="0" w:color="auto"/>
            </w:tcBorders>
            <w:shd w:val="clear" w:color="000000" w:fill="FFFFFF"/>
            <w:noWrap/>
            <w:hideMark/>
          </w:tcPr>
          <w:p w14:paraId="2E31880F" w14:textId="266571B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142%</w:t>
            </w:r>
          </w:p>
        </w:tc>
      </w:tr>
    </w:tbl>
    <w:p w14:paraId="1A89E6E4" w14:textId="68AC6BF9" w:rsidR="00C02F0F" w:rsidRPr="00650EE4" w:rsidRDefault="00C45739" w:rsidP="008D3E9E">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w:t>
      </w:r>
      <w:r w:rsidR="00C02F0F" w:rsidRPr="00650EE4">
        <w:rPr>
          <w:rFonts w:ascii="Times New Roman" w:eastAsia="Times New Roman" w:hAnsi="Times New Roman"/>
          <w:i/>
          <w:color w:val="000000" w:themeColor="text1"/>
          <w:sz w:val="20"/>
          <w:szCs w:val="20"/>
        </w:rPr>
        <w:t>tudijos</w:t>
      </w:r>
      <w:r w:rsidR="00073199">
        <w:rPr>
          <w:rFonts w:ascii="Times New Roman" w:eastAsia="Times New Roman" w:hAnsi="Times New Roman"/>
          <w:i/>
          <w:color w:val="000000" w:themeColor="text1"/>
          <w:sz w:val="20"/>
          <w:szCs w:val="20"/>
        </w:rPr>
        <w:t xml:space="preserve"> </w:t>
      </w:r>
      <w:r w:rsidR="00073199" w:rsidRPr="00073199">
        <w:rPr>
          <w:rFonts w:ascii="Times New Roman" w:eastAsia="Times New Roman" w:hAnsi="Times New Roman"/>
          <w:i/>
          <w:color w:val="000000" w:themeColor="text1"/>
          <w:sz w:val="20"/>
          <w:szCs w:val="20"/>
        </w:rPr>
        <w:t>Lietuvos ilgalaikei renovacijos strategijai parengti</w:t>
      </w:r>
      <w:r w:rsidR="00C02F0F" w:rsidRPr="00650EE4">
        <w:rPr>
          <w:rFonts w:ascii="Times New Roman" w:eastAsia="Times New Roman" w:hAnsi="Times New Roman"/>
          <w:i/>
          <w:color w:val="000000" w:themeColor="text1"/>
          <w:sz w:val="20"/>
          <w:szCs w:val="20"/>
        </w:rPr>
        <w:t xml:space="preserve"> autoriai</w:t>
      </w:r>
    </w:p>
    <w:p w14:paraId="33B9645A" w14:textId="77777777" w:rsidR="00192576" w:rsidRDefault="00192576" w:rsidP="00C45739">
      <w:pPr>
        <w:spacing w:after="120" w:line="240" w:lineRule="auto"/>
        <w:rPr>
          <w:rFonts w:ascii="Times New Roman" w:hAnsi="Times New Roman"/>
          <w:color w:val="000000" w:themeColor="text1"/>
          <w:szCs w:val="22"/>
        </w:rPr>
      </w:pPr>
    </w:p>
    <w:p w14:paraId="4D65CF61" w14:textId="693F33B9" w:rsidR="00204A07" w:rsidRPr="00650EE4" w:rsidRDefault="00D3144A" w:rsidP="00C45739">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 xml:space="preserve">LŠTA ir NTR </w:t>
      </w:r>
      <w:r w:rsidR="00204A07" w:rsidRPr="00650EE4">
        <w:rPr>
          <w:rFonts w:ascii="Times New Roman" w:hAnsi="Times New Roman"/>
          <w:color w:val="000000" w:themeColor="text1"/>
          <w:szCs w:val="22"/>
        </w:rPr>
        <w:t>duomenys reikšmingai skiriasi:</w:t>
      </w:r>
    </w:p>
    <w:p w14:paraId="757C26B6" w14:textId="33D956D3" w:rsidR="00204A07" w:rsidRPr="00650EE4" w:rsidRDefault="00204A07"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lastRenderedPageBreak/>
        <w:t>NT</w:t>
      </w:r>
      <w:r w:rsidR="00192576">
        <w:rPr>
          <w:rFonts w:ascii="Times New Roman" w:hAnsi="Times New Roman"/>
          <w:color w:val="000000" w:themeColor="text1"/>
          <w:szCs w:val="22"/>
        </w:rPr>
        <w:t>R</w:t>
      </w:r>
      <w:r w:rsidR="007054AA" w:rsidRPr="00650EE4">
        <w:rPr>
          <w:rFonts w:ascii="Times New Roman" w:hAnsi="Times New Roman"/>
          <w:color w:val="000000" w:themeColor="text1"/>
          <w:szCs w:val="22"/>
        </w:rPr>
        <w:t xml:space="preserve"> duomeni</w:t>
      </w:r>
      <w:r w:rsidRPr="00650EE4">
        <w:rPr>
          <w:rFonts w:ascii="Times New Roman" w:hAnsi="Times New Roman"/>
          <w:color w:val="000000" w:themeColor="text1"/>
          <w:szCs w:val="22"/>
        </w:rPr>
        <w:t>mis</w:t>
      </w:r>
      <w:r w:rsidR="007054AA" w:rsidRPr="00650EE4">
        <w:rPr>
          <w:rFonts w:ascii="Times New Roman" w:hAnsi="Times New Roman"/>
          <w:color w:val="000000" w:themeColor="text1"/>
          <w:szCs w:val="22"/>
        </w:rPr>
        <w:t xml:space="preserve"> prie CŠT prijungt</w:t>
      </w:r>
      <w:r w:rsidRPr="00650EE4">
        <w:rPr>
          <w:rFonts w:ascii="Times New Roman" w:hAnsi="Times New Roman"/>
          <w:color w:val="000000" w:themeColor="text1"/>
          <w:szCs w:val="22"/>
        </w:rPr>
        <w:t xml:space="preserve">a </w:t>
      </w:r>
      <w:r w:rsidR="00C93E38"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3,5 karto daugiau </w:t>
      </w:r>
      <w:r w:rsidR="00192576">
        <w:rPr>
          <w:rFonts w:ascii="Times New Roman" w:hAnsi="Times New Roman"/>
          <w:color w:val="000000" w:themeColor="text1"/>
          <w:szCs w:val="22"/>
        </w:rPr>
        <w:t>i</w:t>
      </w:r>
      <w:r w:rsidR="007054AA" w:rsidRPr="00650EE4">
        <w:rPr>
          <w:rFonts w:ascii="Times New Roman" w:hAnsi="Times New Roman"/>
          <w:color w:val="000000" w:themeColor="text1"/>
          <w:szCs w:val="22"/>
        </w:rPr>
        <w:t>ndividualios paskirties gyvenamųjų</w:t>
      </w:r>
      <w:r w:rsidR="00C02F0F" w:rsidRPr="00650EE4">
        <w:rPr>
          <w:rFonts w:ascii="Times New Roman" w:hAnsi="Times New Roman"/>
          <w:color w:val="000000" w:themeColor="text1"/>
          <w:szCs w:val="22"/>
        </w:rPr>
        <w:t xml:space="preserve"> namų</w:t>
      </w:r>
      <w:r w:rsidRPr="00650EE4">
        <w:rPr>
          <w:rFonts w:ascii="Times New Roman" w:hAnsi="Times New Roman"/>
          <w:color w:val="000000" w:themeColor="text1"/>
          <w:szCs w:val="22"/>
        </w:rPr>
        <w:t xml:space="preserve"> ploto</w:t>
      </w:r>
      <w:r w:rsidR="00192576">
        <w:rPr>
          <w:rFonts w:ascii="Times New Roman" w:hAnsi="Times New Roman"/>
          <w:color w:val="000000" w:themeColor="text1"/>
          <w:szCs w:val="22"/>
        </w:rPr>
        <w:t>;</w:t>
      </w:r>
      <w:r w:rsidR="007054AA" w:rsidRPr="00650EE4">
        <w:rPr>
          <w:rFonts w:ascii="Times New Roman" w:hAnsi="Times New Roman"/>
          <w:color w:val="000000" w:themeColor="text1"/>
          <w:szCs w:val="22"/>
        </w:rPr>
        <w:t xml:space="preserve"> </w:t>
      </w:r>
    </w:p>
    <w:p w14:paraId="775C75B0" w14:textId="1C9DD0D2" w:rsidR="00204A07" w:rsidRPr="00650EE4" w:rsidRDefault="00204A07"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NT</w:t>
      </w:r>
      <w:r w:rsidR="00192576">
        <w:rPr>
          <w:rFonts w:ascii="Times New Roman" w:hAnsi="Times New Roman"/>
          <w:color w:val="000000" w:themeColor="text1"/>
          <w:szCs w:val="22"/>
        </w:rPr>
        <w:t>R</w:t>
      </w:r>
      <w:r w:rsidRPr="00650EE4">
        <w:rPr>
          <w:rFonts w:ascii="Times New Roman" w:hAnsi="Times New Roman"/>
          <w:color w:val="000000" w:themeColor="text1"/>
          <w:szCs w:val="22"/>
        </w:rPr>
        <w:t xml:space="preserve"> duomenimis prie CŠT prijungta </w:t>
      </w:r>
      <w:r w:rsidR="00C93E38"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3,75 karto daugiau </w:t>
      </w:r>
      <w:r w:rsidR="00192576">
        <w:rPr>
          <w:rFonts w:ascii="Times New Roman" w:hAnsi="Times New Roman"/>
          <w:color w:val="000000" w:themeColor="text1"/>
          <w:szCs w:val="22"/>
        </w:rPr>
        <w:t>k</w:t>
      </w:r>
      <w:r w:rsidR="007054AA" w:rsidRPr="00650EE4">
        <w:rPr>
          <w:rFonts w:ascii="Times New Roman" w:hAnsi="Times New Roman"/>
          <w:color w:val="000000" w:themeColor="text1"/>
          <w:szCs w:val="22"/>
        </w:rPr>
        <w:t xml:space="preserve">itos negyvenamosios paskirties pastatų </w:t>
      </w:r>
      <w:r w:rsidR="00192576">
        <w:rPr>
          <w:rFonts w:ascii="Times New Roman" w:hAnsi="Times New Roman"/>
          <w:color w:val="000000" w:themeColor="text1"/>
          <w:szCs w:val="22"/>
        </w:rPr>
        <w:t>ploto;</w:t>
      </w:r>
    </w:p>
    <w:p w14:paraId="26D56C05" w14:textId="1DFF178C" w:rsidR="007054AA" w:rsidRPr="00650EE4" w:rsidRDefault="00192576" w:rsidP="00023B00">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E143CF" w:rsidRPr="00650EE4">
        <w:rPr>
          <w:rFonts w:ascii="Times New Roman" w:hAnsi="Times New Roman"/>
          <w:color w:val="000000" w:themeColor="text1"/>
          <w:szCs w:val="22"/>
        </w:rPr>
        <w:t>augiabučių paskirties pastat</w:t>
      </w:r>
      <w:r w:rsidR="00204A07" w:rsidRPr="00650EE4">
        <w:rPr>
          <w:rFonts w:ascii="Times New Roman" w:hAnsi="Times New Roman"/>
          <w:color w:val="000000" w:themeColor="text1"/>
          <w:szCs w:val="22"/>
        </w:rPr>
        <w:t xml:space="preserve">ų duomenys </w:t>
      </w:r>
      <w:r w:rsidR="007C141C" w:rsidRPr="00650EE4">
        <w:rPr>
          <w:rFonts w:ascii="Times New Roman" w:hAnsi="Times New Roman"/>
          <w:color w:val="000000" w:themeColor="text1"/>
          <w:szCs w:val="22"/>
        </w:rPr>
        <w:t>reikšmingai</w:t>
      </w:r>
      <w:r w:rsidR="00204A07" w:rsidRPr="00650EE4">
        <w:rPr>
          <w:rFonts w:ascii="Times New Roman" w:hAnsi="Times New Roman"/>
          <w:color w:val="000000" w:themeColor="text1"/>
          <w:szCs w:val="22"/>
        </w:rPr>
        <w:t xml:space="preserve"> nesiskiria</w:t>
      </w:r>
      <w:r w:rsidR="00E143CF" w:rsidRPr="00650EE4">
        <w:rPr>
          <w:rFonts w:ascii="Times New Roman" w:hAnsi="Times New Roman"/>
          <w:color w:val="000000" w:themeColor="text1"/>
          <w:szCs w:val="22"/>
        </w:rPr>
        <w:t>.</w:t>
      </w:r>
    </w:p>
    <w:p w14:paraId="3A661815" w14:textId="015DA60F" w:rsidR="00204A07" w:rsidRPr="00650EE4" w:rsidRDefault="00204A07" w:rsidP="00C93E38">
      <w:pPr>
        <w:pStyle w:val="Pagrindinispaprastastekstas"/>
        <w:rPr>
          <w:rFonts w:ascii="Times New Roman" w:hAnsi="Times New Roman"/>
          <w:color w:val="000000" w:themeColor="text1"/>
          <w:szCs w:val="22"/>
        </w:rPr>
      </w:pPr>
    </w:p>
    <w:p w14:paraId="5EB13919" w14:textId="3B9E0845" w:rsidR="00E42ED4" w:rsidRPr="00650EE4" w:rsidRDefault="00F152D9" w:rsidP="00023B00">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Apibendrinant</w:t>
      </w:r>
      <w:r w:rsidR="00E42ED4"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lentelėje </w:t>
      </w:r>
      <w:r w:rsidR="00E42ED4" w:rsidRPr="00650EE4">
        <w:rPr>
          <w:rFonts w:ascii="Times New Roman" w:hAnsi="Times New Roman"/>
          <w:color w:val="000000" w:themeColor="text1"/>
          <w:szCs w:val="22"/>
        </w:rPr>
        <w:t>aukščiau pateiktus duomenis galima pastebėti, kad:</w:t>
      </w:r>
    </w:p>
    <w:p w14:paraId="4FE85C62" w14:textId="2CE02716" w:rsidR="00E42ED4" w:rsidRPr="00650EE4" w:rsidRDefault="00591469"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¼ (</w:t>
      </w:r>
      <w:r w:rsidR="00F158F6" w:rsidRPr="00650EE4">
        <w:rPr>
          <w:rFonts w:ascii="Times New Roman" w:hAnsi="Times New Roman"/>
          <w:color w:val="000000" w:themeColor="text1"/>
          <w:szCs w:val="22"/>
        </w:rPr>
        <w:t>2</w:t>
      </w:r>
      <w:r w:rsidRPr="00650EE4">
        <w:rPr>
          <w:rFonts w:ascii="Times New Roman" w:hAnsi="Times New Roman"/>
          <w:color w:val="000000" w:themeColor="text1"/>
          <w:szCs w:val="22"/>
        </w:rPr>
        <w:t xml:space="preserve">6 proc.) </w:t>
      </w:r>
      <w:r w:rsidR="00093731">
        <w:rPr>
          <w:rFonts w:ascii="Times New Roman" w:hAnsi="Times New Roman"/>
          <w:color w:val="000000" w:themeColor="text1"/>
          <w:szCs w:val="22"/>
        </w:rPr>
        <w:t>viso p</w:t>
      </w:r>
      <w:r w:rsidR="00E42ED4" w:rsidRPr="00650EE4">
        <w:rPr>
          <w:rFonts w:ascii="Times New Roman" w:hAnsi="Times New Roman"/>
          <w:color w:val="000000" w:themeColor="text1"/>
          <w:szCs w:val="22"/>
        </w:rPr>
        <w:t xml:space="preserve">astatų fondo </w:t>
      </w:r>
      <w:r w:rsidR="00F75EE0" w:rsidRPr="00650EE4">
        <w:rPr>
          <w:rFonts w:ascii="Times New Roman" w:hAnsi="Times New Roman"/>
          <w:color w:val="000000" w:themeColor="text1"/>
          <w:szCs w:val="22"/>
        </w:rPr>
        <w:t>ploto</w:t>
      </w:r>
      <w:r w:rsidR="00E42ED4" w:rsidRPr="00650EE4">
        <w:rPr>
          <w:rFonts w:ascii="Times New Roman" w:hAnsi="Times New Roman"/>
          <w:color w:val="000000" w:themeColor="text1"/>
          <w:szCs w:val="22"/>
        </w:rPr>
        <w:t xml:space="preserve"> yra prijungta prie centralizuoto šildymo</w:t>
      </w:r>
      <w:r w:rsidR="00F158F6" w:rsidRPr="00650EE4">
        <w:rPr>
          <w:rFonts w:ascii="Times New Roman" w:hAnsi="Times New Roman"/>
          <w:color w:val="000000" w:themeColor="text1"/>
          <w:szCs w:val="22"/>
        </w:rPr>
        <w:t xml:space="preserve"> tiekimo sistem</w:t>
      </w:r>
      <w:r w:rsidR="00D36EEC" w:rsidRPr="00650EE4">
        <w:rPr>
          <w:rFonts w:ascii="Times New Roman" w:hAnsi="Times New Roman"/>
          <w:color w:val="000000" w:themeColor="text1"/>
          <w:szCs w:val="22"/>
        </w:rPr>
        <w:t>ų</w:t>
      </w:r>
      <w:r w:rsidR="00E42ED4" w:rsidRPr="00650EE4">
        <w:rPr>
          <w:rFonts w:ascii="Times New Roman" w:hAnsi="Times New Roman"/>
          <w:color w:val="000000" w:themeColor="text1"/>
          <w:szCs w:val="22"/>
        </w:rPr>
        <w:t xml:space="preserve">. </w:t>
      </w:r>
      <w:r w:rsidR="00F75EE0" w:rsidRPr="00650EE4">
        <w:rPr>
          <w:rFonts w:ascii="Times New Roman" w:hAnsi="Times New Roman"/>
          <w:color w:val="000000" w:themeColor="text1"/>
          <w:szCs w:val="22"/>
        </w:rPr>
        <w:t>Taigi</w:t>
      </w:r>
      <w:r w:rsidR="00E42ED4" w:rsidRPr="00650EE4">
        <w:rPr>
          <w:rFonts w:ascii="Times New Roman" w:hAnsi="Times New Roman"/>
          <w:color w:val="000000" w:themeColor="text1"/>
          <w:szCs w:val="22"/>
        </w:rPr>
        <w:t xml:space="preserve"> nors centralizuotas šildymas yra svarbus energetinio efektyvumo ko</w:t>
      </w:r>
      <w:r w:rsidRPr="00650EE4">
        <w:rPr>
          <w:rFonts w:ascii="Times New Roman" w:hAnsi="Times New Roman"/>
          <w:color w:val="000000" w:themeColor="text1"/>
          <w:szCs w:val="22"/>
        </w:rPr>
        <w:t xml:space="preserve">mponentas, jis nėra </w:t>
      </w:r>
      <w:r w:rsidR="00F75EE0" w:rsidRPr="00650EE4">
        <w:rPr>
          <w:rFonts w:ascii="Times New Roman" w:hAnsi="Times New Roman"/>
          <w:color w:val="000000" w:themeColor="text1"/>
          <w:szCs w:val="22"/>
        </w:rPr>
        <w:t>dominuojantis</w:t>
      </w:r>
      <w:r w:rsidR="00192576">
        <w:rPr>
          <w:rFonts w:ascii="Times New Roman" w:hAnsi="Times New Roman"/>
          <w:color w:val="000000" w:themeColor="text1"/>
          <w:szCs w:val="22"/>
        </w:rPr>
        <w:t>;</w:t>
      </w:r>
      <w:r w:rsidRPr="00650EE4">
        <w:rPr>
          <w:rFonts w:ascii="Times New Roman" w:hAnsi="Times New Roman"/>
          <w:color w:val="000000" w:themeColor="text1"/>
          <w:szCs w:val="22"/>
        </w:rPr>
        <w:t xml:space="preserve"> </w:t>
      </w:r>
    </w:p>
    <w:p w14:paraId="202CEF73" w14:textId="0BF1A28B" w:rsidR="00E42ED4" w:rsidRPr="00650EE4" w:rsidRDefault="00E42ED4"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74 proc. daugiabučių ploto (arba 46% pagal </w:t>
      </w:r>
      <w:r w:rsidR="00122FB7" w:rsidRPr="00650EE4">
        <w:rPr>
          <w:rFonts w:ascii="Times New Roman" w:hAnsi="Times New Roman"/>
          <w:color w:val="000000" w:themeColor="text1"/>
          <w:szCs w:val="22"/>
        </w:rPr>
        <w:t xml:space="preserve">daugiabučių namų </w:t>
      </w:r>
      <w:r w:rsidRPr="00650EE4">
        <w:rPr>
          <w:rFonts w:ascii="Times New Roman" w:hAnsi="Times New Roman"/>
          <w:color w:val="000000" w:themeColor="text1"/>
          <w:szCs w:val="22"/>
        </w:rPr>
        <w:t>skaičių) yra prijungta prie CŠT sistemų (tai sudaro 60,4</w:t>
      </w:r>
      <w:r w:rsidR="00B07F06" w:rsidRPr="00650EE4">
        <w:rPr>
          <w:rFonts w:ascii="Times New Roman" w:hAnsi="Times New Roman"/>
          <w:color w:val="000000" w:themeColor="text1"/>
          <w:szCs w:val="22"/>
        </w:rPr>
        <w:t> </w:t>
      </w:r>
      <w:r w:rsidRPr="00650EE4">
        <w:rPr>
          <w:rFonts w:ascii="Times New Roman" w:hAnsi="Times New Roman"/>
          <w:color w:val="000000" w:themeColor="text1"/>
          <w:szCs w:val="22"/>
        </w:rPr>
        <w:t xml:space="preserve">proc. viso </w:t>
      </w:r>
      <w:r w:rsidR="00B07F06" w:rsidRPr="00650EE4">
        <w:rPr>
          <w:rFonts w:ascii="Times New Roman" w:hAnsi="Times New Roman"/>
          <w:color w:val="000000" w:themeColor="text1"/>
          <w:szCs w:val="22"/>
        </w:rPr>
        <w:t xml:space="preserve">prie CŠT prijungtų </w:t>
      </w:r>
      <w:r w:rsidR="00192576">
        <w:rPr>
          <w:rFonts w:ascii="Times New Roman" w:hAnsi="Times New Roman"/>
          <w:color w:val="000000" w:themeColor="text1"/>
          <w:szCs w:val="22"/>
        </w:rPr>
        <w:t>p</w:t>
      </w:r>
      <w:r w:rsidRPr="00650EE4">
        <w:rPr>
          <w:rFonts w:ascii="Times New Roman" w:hAnsi="Times New Roman"/>
          <w:color w:val="000000" w:themeColor="text1"/>
          <w:szCs w:val="22"/>
        </w:rPr>
        <w:t>astatų fondo ploto)</w:t>
      </w:r>
      <w:r w:rsidR="00192576">
        <w:rPr>
          <w:rFonts w:ascii="Times New Roman" w:hAnsi="Times New Roman"/>
          <w:color w:val="000000" w:themeColor="text1"/>
          <w:szCs w:val="22"/>
        </w:rPr>
        <w:t>;</w:t>
      </w:r>
    </w:p>
    <w:p w14:paraId="76EACC11" w14:textId="2F2AF4D3" w:rsidR="00E42ED4" w:rsidRPr="00650EE4" w:rsidRDefault="00192576" w:rsidP="00023B00">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t</w:t>
      </w:r>
      <w:r w:rsidR="00E42ED4" w:rsidRPr="00650EE4">
        <w:rPr>
          <w:rFonts w:ascii="Times New Roman" w:hAnsi="Times New Roman"/>
          <w:color w:val="000000" w:themeColor="text1"/>
          <w:szCs w:val="22"/>
        </w:rPr>
        <w:t>ik 2 proc. individualių namų (arba 1,3 proc. pagal plotą) yra prijung</w:t>
      </w:r>
      <w:r w:rsidR="008640CF" w:rsidRPr="00650EE4">
        <w:rPr>
          <w:rFonts w:ascii="Times New Roman" w:hAnsi="Times New Roman"/>
          <w:color w:val="000000" w:themeColor="text1"/>
          <w:szCs w:val="22"/>
        </w:rPr>
        <w:t>ti prie CŠT sistemų (</w:t>
      </w:r>
      <w:r w:rsidR="00E42ED4" w:rsidRPr="00650EE4">
        <w:rPr>
          <w:rFonts w:ascii="Times New Roman" w:hAnsi="Times New Roman"/>
          <w:color w:val="000000" w:themeColor="text1"/>
          <w:szCs w:val="22"/>
        </w:rPr>
        <w:t>17,5 proc. viso prie CŠT prijungtų pastatų fondo objektų skaičiau</w:t>
      </w:r>
      <w:r>
        <w:rPr>
          <w:rFonts w:ascii="Times New Roman" w:hAnsi="Times New Roman"/>
          <w:color w:val="000000" w:themeColor="text1"/>
          <w:szCs w:val="22"/>
        </w:rPr>
        <w:t>s ir tik 1,9 proc. pagal plotą);</w:t>
      </w:r>
    </w:p>
    <w:p w14:paraId="415661B4" w14:textId="4DF44F12" w:rsidR="00F152D9" w:rsidRPr="00650EE4" w:rsidRDefault="00192576" w:rsidP="00023B00">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F152D9" w:rsidRPr="00650EE4">
        <w:rPr>
          <w:rFonts w:ascii="Times New Roman" w:hAnsi="Times New Roman"/>
          <w:color w:val="000000" w:themeColor="text1"/>
          <w:szCs w:val="22"/>
        </w:rPr>
        <w:t xml:space="preserve">titinkamai, NECP numatyti energijos iš AEI didinimo tikslai per CŠT </w:t>
      </w:r>
      <w:proofErr w:type="spellStart"/>
      <w:r w:rsidR="00F152D9" w:rsidRPr="00650EE4">
        <w:rPr>
          <w:rFonts w:ascii="Times New Roman" w:hAnsi="Times New Roman"/>
          <w:color w:val="000000" w:themeColor="text1"/>
          <w:szCs w:val="22"/>
        </w:rPr>
        <w:t>dekarbonizaciją</w:t>
      </w:r>
      <w:proofErr w:type="spellEnd"/>
      <w:r w:rsidR="00F152D9" w:rsidRPr="00650EE4">
        <w:rPr>
          <w:rFonts w:ascii="Times New Roman" w:hAnsi="Times New Roman"/>
          <w:color w:val="000000" w:themeColor="text1"/>
          <w:szCs w:val="22"/>
        </w:rPr>
        <w:t xml:space="preserve"> (kuri ir </w:t>
      </w:r>
      <w:r w:rsidR="00393963" w:rsidRPr="00650EE4">
        <w:rPr>
          <w:rFonts w:ascii="Times New Roman" w:hAnsi="Times New Roman"/>
          <w:color w:val="000000" w:themeColor="text1"/>
          <w:szCs w:val="22"/>
        </w:rPr>
        <w:t xml:space="preserve">šiuo metu </w:t>
      </w:r>
      <w:r w:rsidR="00F152D9" w:rsidRPr="00650EE4">
        <w:rPr>
          <w:rFonts w:ascii="Times New Roman" w:hAnsi="Times New Roman"/>
          <w:color w:val="000000" w:themeColor="text1"/>
          <w:szCs w:val="22"/>
        </w:rPr>
        <w:t>yra stipriai pažengusi</w:t>
      </w:r>
      <w:r w:rsidR="00393963" w:rsidRPr="00650EE4">
        <w:rPr>
          <w:rFonts w:ascii="Times New Roman" w:hAnsi="Times New Roman"/>
          <w:color w:val="000000" w:themeColor="text1"/>
          <w:szCs w:val="22"/>
        </w:rPr>
        <w:t xml:space="preserve"> ir </w:t>
      </w:r>
      <w:proofErr w:type="spellStart"/>
      <w:r w:rsidR="00393963" w:rsidRPr="00650EE4">
        <w:rPr>
          <w:rFonts w:ascii="Times New Roman" w:hAnsi="Times New Roman"/>
          <w:color w:val="000000" w:themeColor="text1"/>
          <w:szCs w:val="22"/>
        </w:rPr>
        <w:t>lyderiaujanti</w:t>
      </w:r>
      <w:proofErr w:type="spellEnd"/>
      <w:r w:rsidR="00393963" w:rsidRPr="00650EE4">
        <w:rPr>
          <w:rFonts w:ascii="Times New Roman" w:hAnsi="Times New Roman"/>
          <w:color w:val="000000" w:themeColor="text1"/>
          <w:szCs w:val="22"/>
        </w:rPr>
        <w:t xml:space="preserve"> ES lygmeniu) </w:t>
      </w:r>
      <w:r w:rsidR="00F152D9" w:rsidRPr="00650EE4">
        <w:rPr>
          <w:rFonts w:ascii="Times New Roman" w:hAnsi="Times New Roman"/>
          <w:color w:val="000000" w:themeColor="text1"/>
          <w:szCs w:val="22"/>
        </w:rPr>
        <w:t>ne</w:t>
      </w:r>
      <w:r>
        <w:rPr>
          <w:rFonts w:ascii="Times New Roman" w:hAnsi="Times New Roman"/>
          <w:color w:val="000000" w:themeColor="text1"/>
          <w:szCs w:val="22"/>
        </w:rPr>
        <w:t>turės reikšmingo poveikio viso p</w:t>
      </w:r>
      <w:r w:rsidR="00F152D9" w:rsidRPr="00650EE4">
        <w:rPr>
          <w:rFonts w:ascii="Times New Roman" w:hAnsi="Times New Roman"/>
          <w:color w:val="000000" w:themeColor="text1"/>
          <w:szCs w:val="22"/>
        </w:rPr>
        <w:t>asta</w:t>
      </w:r>
      <w:r w:rsidR="00CE15D6" w:rsidRPr="00650EE4">
        <w:rPr>
          <w:rFonts w:ascii="Times New Roman" w:hAnsi="Times New Roman"/>
          <w:color w:val="000000" w:themeColor="text1"/>
          <w:szCs w:val="22"/>
        </w:rPr>
        <w:t>t</w:t>
      </w:r>
      <w:r w:rsidR="00F152D9" w:rsidRPr="00650EE4">
        <w:rPr>
          <w:rFonts w:ascii="Times New Roman" w:hAnsi="Times New Roman"/>
          <w:color w:val="000000" w:themeColor="text1"/>
          <w:szCs w:val="22"/>
        </w:rPr>
        <w:t xml:space="preserve">ų fondo apimtyje. </w:t>
      </w:r>
    </w:p>
    <w:p w14:paraId="0D6310F5" w14:textId="77777777" w:rsidR="00CE7079" w:rsidRPr="00650EE4" w:rsidRDefault="00CE7079" w:rsidP="00234179">
      <w:pPr>
        <w:rPr>
          <w:rFonts w:ascii="Times New Roman" w:hAnsi="Times New Roman"/>
          <w:color w:val="000000" w:themeColor="text1"/>
          <w:szCs w:val="22"/>
        </w:rPr>
      </w:pPr>
    </w:p>
    <w:p w14:paraId="026FD108" w14:textId="4123A48D" w:rsidR="00566C6C" w:rsidRPr="00650EE4" w:rsidRDefault="00877BD5" w:rsidP="00DF3F67">
      <w:pPr>
        <w:pStyle w:val="Antrastes31"/>
        <w:numPr>
          <w:ilvl w:val="2"/>
          <w:numId w:val="4"/>
        </w:numPr>
        <w:spacing w:before="0" w:after="0"/>
        <w:ind w:left="720" w:hanging="720"/>
        <w:rPr>
          <w:rFonts w:ascii="Times New Roman" w:hAnsi="Times New Roman"/>
          <w:color w:val="000000" w:themeColor="text1"/>
          <w:sz w:val="24"/>
          <w:szCs w:val="24"/>
          <w:lang w:val="lt-LT"/>
        </w:rPr>
      </w:pPr>
      <w:bookmarkStart w:id="37" w:name="_Toc67925108"/>
      <w:r w:rsidRPr="00650EE4">
        <w:rPr>
          <w:rFonts w:ascii="Times New Roman" w:hAnsi="Times New Roman"/>
          <w:color w:val="000000" w:themeColor="text1"/>
          <w:sz w:val="24"/>
          <w:szCs w:val="24"/>
          <w:lang w:val="lt-LT"/>
        </w:rPr>
        <w:t xml:space="preserve">Pastatų fondas pagal </w:t>
      </w:r>
      <w:r w:rsidR="0062469A" w:rsidRPr="00650EE4">
        <w:rPr>
          <w:rFonts w:ascii="Times New Roman" w:hAnsi="Times New Roman"/>
          <w:color w:val="000000" w:themeColor="text1"/>
          <w:sz w:val="24"/>
          <w:szCs w:val="24"/>
          <w:lang w:val="lt-LT"/>
        </w:rPr>
        <w:t>energinio naudingumo</w:t>
      </w:r>
      <w:r w:rsidRPr="00650EE4">
        <w:rPr>
          <w:rFonts w:ascii="Times New Roman" w:hAnsi="Times New Roman"/>
          <w:color w:val="000000" w:themeColor="text1"/>
          <w:sz w:val="24"/>
          <w:szCs w:val="24"/>
          <w:lang w:val="lt-LT"/>
        </w:rPr>
        <w:t xml:space="preserve"> klasę</w:t>
      </w:r>
      <w:bookmarkEnd w:id="37"/>
    </w:p>
    <w:p w14:paraId="50025BDA" w14:textId="6835E0CE" w:rsidR="000274F5" w:rsidRPr="00650EE4" w:rsidRDefault="000274F5" w:rsidP="00CA07B0">
      <w:pPr>
        <w:pStyle w:val="BodyText"/>
        <w:jc w:val="both"/>
        <w:rPr>
          <w:rFonts w:ascii="Times New Roman" w:hAnsi="Times New Roman"/>
          <w:color w:val="000000" w:themeColor="text1"/>
          <w:szCs w:val="22"/>
          <w:lang w:val="lt-LT"/>
        </w:rPr>
      </w:pPr>
    </w:p>
    <w:p w14:paraId="75FE202A" w14:textId="53D9827C" w:rsidR="00CC439B" w:rsidRPr="00650EE4" w:rsidRDefault="00FB0876" w:rsidP="00CA07B0">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energinio naudingumo klasė</w:t>
      </w:r>
      <w:r w:rsidR="008B6B3B" w:rsidRPr="00650EE4">
        <w:rPr>
          <w:rFonts w:ascii="Times New Roman" w:hAnsi="Times New Roman"/>
          <w:color w:val="000000" w:themeColor="text1"/>
          <w:szCs w:val="22"/>
          <w:lang w:val="lt-LT"/>
        </w:rPr>
        <w:t xml:space="preserve"> (ENK)</w:t>
      </w:r>
      <w:r w:rsidRPr="00650EE4">
        <w:rPr>
          <w:rFonts w:ascii="Times New Roman" w:hAnsi="Times New Roman"/>
          <w:color w:val="000000" w:themeColor="text1"/>
          <w:szCs w:val="22"/>
          <w:lang w:val="lt-LT"/>
        </w:rPr>
        <w:t xml:space="preserve"> – </w:t>
      </w:r>
      <w:r w:rsidR="00E70332" w:rsidRPr="00650EE4">
        <w:rPr>
          <w:rFonts w:ascii="Times New Roman" w:hAnsi="Times New Roman"/>
          <w:color w:val="000000" w:themeColor="text1"/>
          <w:szCs w:val="22"/>
          <w:lang w:val="lt-LT"/>
        </w:rPr>
        <w:t xml:space="preserve">esminis </w:t>
      </w:r>
      <w:r w:rsidRPr="00650EE4">
        <w:rPr>
          <w:rFonts w:ascii="Times New Roman" w:hAnsi="Times New Roman"/>
          <w:color w:val="000000" w:themeColor="text1"/>
          <w:szCs w:val="22"/>
          <w:lang w:val="lt-LT"/>
        </w:rPr>
        <w:t xml:space="preserve">informacijos šaltinis </w:t>
      </w:r>
      <w:r w:rsidR="007A52B6">
        <w:rPr>
          <w:rFonts w:ascii="Times New Roman" w:hAnsi="Times New Roman"/>
          <w:color w:val="000000" w:themeColor="text1"/>
          <w:szCs w:val="22"/>
          <w:lang w:val="lt-LT"/>
        </w:rPr>
        <w:t>naudojamas vertinant p</w:t>
      </w:r>
      <w:r w:rsidR="00AA2C9F" w:rsidRPr="00650EE4">
        <w:rPr>
          <w:rFonts w:ascii="Times New Roman" w:hAnsi="Times New Roman"/>
          <w:color w:val="000000" w:themeColor="text1"/>
          <w:szCs w:val="22"/>
          <w:lang w:val="lt-LT"/>
        </w:rPr>
        <w:t>astatų energijos vartojimą</w:t>
      </w:r>
      <w:r w:rsidR="00E132C7" w:rsidRPr="00650EE4">
        <w:rPr>
          <w:rFonts w:ascii="Times New Roman" w:hAnsi="Times New Roman"/>
          <w:color w:val="000000" w:themeColor="text1"/>
          <w:szCs w:val="22"/>
          <w:lang w:val="lt-LT"/>
        </w:rPr>
        <w:t>.</w:t>
      </w:r>
    </w:p>
    <w:p w14:paraId="3B2FEABB" w14:textId="77777777" w:rsidR="00DA51E3" w:rsidRPr="00650EE4" w:rsidRDefault="00DA51E3" w:rsidP="00CA07B0">
      <w:pPr>
        <w:pStyle w:val="BodyText"/>
        <w:jc w:val="both"/>
        <w:rPr>
          <w:rFonts w:ascii="Times New Roman" w:hAnsi="Times New Roman"/>
          <w:color w:val="000000" w:themeColor="text1"/>
          <w:szCs w:val="22"/>
          <w:lang w:val="lt-LT"/>
        </w:rPr>
      </w:pPr>
    </w:p>
    <w:p w14:paraId="7C26CBC3" w14:textId="5644A1E5" w:rsidR="00CC439B" w:rsidRPr="00650EE4" w:rsidRDefault="00CC439B" w:rsidP="00F95123">
      <w:pPr>
        <w:spacing w:after="120"/>
        <w:rPr>
          <w:rFonts w:ascii="Times New Roman" w:hAnsi="Times New Roman"/>
          <w:b/>
          <w:szCs w:val="22"/>
        </w:rPr>
      </w:pPr>
      <w:r w:rsidRPr="00650EE4">
        <w:rPr>
          <w:rFonts w:ascii="Times New Roman" w:hAnsi="Times New Roman"/>
          <w:b/>
          <w:szCs w:val="22"/>
        </w:rPr>
        <w:t>Pastatai, turintys energinio naudingumo sertifikatą</w:t>
      </w:r>
    </w:p>
    <w:p w14:paraId="4F80AFD3" w14:textId="6254598B" w:rsidR="00B762BC" w:rsidRPr="00650EE4" w:rsidRDefault="00CC439B" w:rsidP="00CC439B">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Informacija apie išduotus energinio naudingumo sertifikatus kaupiama registre</w:t>
      </w:r>
      <w:r w:rsidRPr="00650EE4">
        <w:rPr>
          <w:rStyle w:val="FootnoteReference"/>
          <w:rFonts w:ascii="Times New Roman" w:hAnsi="Times New Roman"/>
          <w:color w:val="000000" w:themeColor="text1"/>
          <w:szCs w:val="22"/>
        </w:rPr>
        <w:footnoteReference w:id="5"/>
      </w:r>
      <w:r w:rsidRPr="00650EE4">
        <w:rPr>
          <w:rFonts w:ascii="Times New Roman" w:hAnsi="Times New Roman"/>
          <w:color w:val="000000" w:themeColor="text1"/>
          <w:szCs w:val="22"/>
        </w:rPr>
        <w:t>, kurį administruoja Valstybė</w:t>
      </w:r>
      <w:r w:rsidR="00D36EEC" w:rsidRPr="00650EE4">
        <w:rPr>
          <w:rFonts w:ascii="Times New Roman" w:hAnsi="Times New Roman"/>
          <w:color w:val="000000" w:themeColor="text1"/>
          <w:szCs w:val="22"/>
        </w:rPr>
        <w:t>s</w:t>
      </w:r>
      <w:r w:rsidRPr="00650EE4">
        <w:rPr>
          <w:rFonts w:ascii="Times New Roman" w:hAnsi="Times New Roman"/>
          <w:color w:val="000000" w:themeColor="text1"/>
          <w:szCs w:val="22"/>
        </w:rPr>
        <w:t xml:space="preserve"> įmonė „Statybos produkcijos sertifikavimo centras“ (toliau – SPSC registras).</w:t>
      </w:r>
      <w:r w:rsidR="005F5C3E" w:rsidRPr="00650EE4">
        <w:rPr>
          <w:rFonts w:ascii="Times New Roman" w:hAnsi="Times New Roman"/>
          <w:color w:val="000000" w:themeColor="text1"/>
          <w:szCs w:val="22"/>
        </w:rPr>
        <w:t xml:space="preserve"> NT</w:t>
      </w:r>
      <w:r w:rsidR="00501B06">
        <w:rPr>
          <w:rFonts w:ascii="Times New Roman" w:hAnsi="Times New Roman"/>
          <w:color w:val="000000" w:themeColor="text1"/>
          <w:szCs w:val="22"/>
        </w:rPr>
        <w:t>R</w:t>
      </w:r>
      <w:r w:rsidR="005F5C3E" w:rsidRPr="00650EE4">
        <w:rPr>
          <w:rFonts w:ascii="Times New Roman" w:hAnsi="Times New Roman"/>
          <w:color w:val="000000" w:themeColor="text1"/>
          <w:szCs w:val="22"/>
        </w:rPr>
        <w:t xml:space="preserve"> kaupia informaciją (požymį) apie pastatų energinio naudingumo klasę.</w:t>
      </w:r>
    </w:p>
    <w:p w14:paraId="6BBC1EDA" w14:textId="2AF87514" w:rsidR="005F5C3E" w:rsidRPr="00650EE4" w:rsidRDefault="005F5C3E" w:rsidP="00CC439B">
      <w:pPr>
        <w:spacing w:line="240" w:lineRule="auto"/>
        <w:jc w:val="both"/>
        <w:rPr>
          <w:rFonts w:ascii="Times New Roman" w:hAnsi="Times New Roman"/>
          <w:color w:val="000000" w:themeColor="text1"/>
          <w:szCs w:val="22"/>
        </w:rPr>
      </w:pPr>
    </w:p>
    <w:p w14:paraId="076C9640" w14:textId="76FD7C14" w:rsidR="00C27C4B" w:rsidRPr="00650EE4" w:rsidRDefault="00C27C4B" w:rsidP="00C27C4B">
      <w:pPr>
        <w:spacing w:after="6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duomenis galima pastebėti, kad:</w:t>
      </w:r>
    </w:p>
    <w:p w14:paraId="6BCCCEB8" w14:textId="0A162DF9" w:rsidR="00C27C4B" w:rsidRPr="00650EE4" w:rsidRDefault="00192576" w:rsidP="00BD4925">
      <w:pPr>
        <w:pStyle w:val="ListParagraph"/>
        <w:numPr>
          <w:ilvl w:val="0"/>
          <w:numId w:val="17"/>
        </w:numPr>
        <w:spacing w:after="60" w:line="240" w:lineRule="auto"/>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C27C4B" w:rsidRPr="00650EE4">
        <w:rPr>
          <w:rFonts w:ascii="Times New Roman" w:hAnsi="Times New Roman"/>
          <w:color w:val="000000" w:themeColor="text1"/>
          <w:szCs w:val="22"/>
          <w:lang w:val="lt-LT"/>
        </w:rPr>
        <w:t xml:space="preserve">auguma (83%) </w:t>
      </w:r>
      <w:r w:rsidR="007A52B6">
        <w:rPr>
          <w:rFonts w:ascii="Times New Roman" w:hAnsi="Times New Roman"/>
          <w:color w:val="000000" w:themeColor="text1"/>
          <w:szCs w:val="22"/>
          <w:lang w:val="lt-LT"/>
        </w:rPr>
        <w:t>p</w:t>
      </w:r>
      <w:r w:rsidR="00C27C4B" w:rsidRPr="00650EE4">
        <w:rPr>
          <w:rFonts w:ascii="Times New Roman" w:hAnsi="Times New Roman"/>
          <w:color w:val="000000" w:themeColor="text1"/>
          <w:szCs w:val="22"/>
          <w:lang w:val="lt-LT"/>
        </w:rPr>
        <w:t>astatų fondo pastatų NT</w:t>
      </w:r>
      <w:r>
        <w:rPr>
          <w:rFonts w:ascii="Times New Roman" w:hAnsi="Times New Roman"/>
          <w:color w:val="000000" w:themeColor="text1"/>
          <w:szCs w:val="22"/>
          <w:lang w:val="lt-LT"/>
        </w:rPr>
        <w:t>R</w:t>
      </w:r>
      <w:r w:rsidR="00C27C4B"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neturi priskirto ENK požymio;</w:t>
      </w:r>
    </w:p>
    <w:p w14:paraId="4168A80A" w14:textId="2DAC3718" w:rsidR="00CC439B" w:rsidRPr="00192576" w:rsidRDefault="00192576" w:rsidP="00BD4925">
      <w:pPr>
        <w:pStyle w:val="ListParagraph"/>
        <w:numPr>
          <w:ilvl w:val="0"/>
          <w:numId w:val="17"/>
        </w:numPr>
        <w:spacing w:after="60" w:line="240" w:lineRule="auto"/>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iš pastatų paskirčių išsiskiria administracinės ir g</w:t>
      </w:r>
      <w:r w:rsidR="00C27C4B" w:rsidRPr="00650EE4">
        <w:rPr>
          <w:rFonts w:ascii="Times New Roman" w:hAnsi="Times New Roman"/>
          <w:color w:val="000000" w:themeColor="text1"/>
          <w:szCs w:val="22"/>
          <w:lang w:val="lt-LT"/>
        </w:rPr>
        <w:t>ydymo paskirties pastatai, tarp kurių beveik pusė turi energinio naudingumo sertifikatus.</w:t>
      </w:r>
    </w:p>
    <w:p w14:paraId="65065161" w14:textId="77777777" w:rsidR="008F79D4" w:rsidRPr="00650EE4" w:rsidRDefault="008F79D4" w:rsidP="00CC439B">
      <w:pPr>
        <w:spacing w:line="240" w:lineRule="auto"/>
        <w:jc w:val="both"/>
        <w:rPr>
          <w:rFonts w:ascii="Times New Roman" w:hAnsi="Times New Roman"/>
          <w:color w:val="000000" w:themeColor="text1"/>
          <w:szCs w:val="22"/>
        </w:rPr>
      </w:pPr>
    </w:p>
    <w:p w14:paraId="0937BFB1" w14:textId="07B96E7F" w:rsidR="00CC439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8" w:name="_Toc67925195"/>
      <w:r w:rsidR="007744C1">
        <w:t>12</w:t>
      </w:r>
      <w:r w:rsidRPr="00650EE4">
        <w:rPr>
          <w:noProof w:val="0"/>
        </w:rPr>
        <w:fldChar w:fldCharType="end"/>
      </w:r>
      <w:r w:rsidR="00CC439B" w:rsidRPr="00650EE4">
        <w:rPr>
          <w:noProof w:val="0"/>
        </w:rPr>
        <w:t xml:space="preserve"> lentelė. Pastatai, turintys energinio naudingumo sertifikatą (vnt.)</w:t>
      </w:r>
      <w:bookmarkEnd w:id="38"/>
    </w:p>
    <w:tbl>
      <w:tblPr>
        <w:tblW w:w="5000" w:type="pct"/>
        <w:tblLook w:val="04A0" w:firstRow="1" w:lastRow="0" w:firstColumn="1" w:lastColumn="0" w:noHBand="0" w:noVBand="1"/>
      </w:tblPr>
      <w:tblGrid>
        <w:gridCol w:w="2134"/>
        <w:gridCol w:w="994"/>
        <w:gridCol w:w="1173"/>
        <w:gridCol w:w="1173"/>
        <w:gridCol w:w="1173"/>
        <w:gridCol w:w="1173"/>
        <w:gridCol w:w="1173"/>
        <w:gridCol w:w="1427"/>
      </w:tblGrid>
      <w:tr w:rsidR="00DC451C" w:rsidRPr="00650EE4" w14:paraId="30B03848" w14:textId="77777777" w:rsidTr="00E130BC">
        <w:trPr>
          <w:trHeight w:val="44"/>
        </w:trPr>
        <w:tc>
          <w:tcPr>
            <w:tcW w:w="2086" w:type="dxa"/>
            <w:vMerge w:val="restart"/>
            <w:tcBorders>
              <w:top w:val="single" w:sz="6" w:space="0" w:color="auto"/>
              <w:left w:val="single" w:sz="6" w:space="0" w:color="auto"/>
              <w:bottom w:val="single" w:sz="6" w:space="0" w:color="auto"/>
              <w:right w:val="single" w:sz="6" w:space="0" w:color="auto"/>
            </w:tcBorders>
            <w:shd w:val="clear" w:color="000000" w:fill="FFFFFF"/>
            <w:vAlign w:val="center"/>
            <w:hideMark/>
          </w:tcPr>
          <w:p w14:paraId="51632E51"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Grupė</w:t>
            </w:r>
          </w:p>
        </w:tc>
        <w:tc>
          <w:tcPr>
            <w:tcW w:w="972" w:type="dxa"/>
            <w:vMerge w:val="restart"/>
            <w:tcBorders>
              <w:top w:val="single" w:sz="6" w:space="0" w:color="auto"/>
              <w:left w:val="single" w:sz="6" w:space="0" w:color="auto"/>
              <w:bottom w:val="single" w:sz="6" w:space="0" w:color="auto"/>
              <w:right w:val="single" w:sz="6" w:space="0" w:color="auto"/>
            </w:tcBorders>
            <w:shd w:val="clear" w:color="000000" w:fill="FFFFFF"/>
            <w:vAlign w:val="center"/>
            <w:hideMark/>
          </w:tcPr>
          <w:p w14:paraId="64F4B1EA"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 pastatų</w:t>
            </w:r>
          </w:p>
        </w:tc>
        <w:tc>
          <w:tcPr>
            <w:tcW w:w="5735" w:type="dxa"/>
            <w:gridSpan w:val="5"/>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1A5A4BB5"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Sertifikuota</w:t>
            </w:r>
          </w:p>
        </w:tc>
        <w:tc>
          <w:tcPr>
            <w:tcW w:w="1395" w:type="dxa"/>
            <w:vMerge w:val="restart"/>
            <w:tcBorders>
              <w:top w:val="single" w:sz="6" w:space="0" w:color="auto"/>
              <w:left w:val="single" w:sz="6" w:space="0" w:color="auto"/>
              <w:bottom w:val="single" w:sz="6" w:space="0" w:color="auto"/>
              <w:right w:val="single" w:sz="6" w:space="0" w:color="auto"/>
            </w:tcBorders>
            <w:shd w:val="clear" w:color="000000" w:fill="FFFFFF"/>
            <w:vAlign w:val="center"/>
            <w:hideMark/>
          </w:tcPr>
          <w:p w14:paraId="15170F3C"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Sertifikuota, proc.</w:t>
            </w:r>
          </w:p>
        </w:tc>
      </w:tr>
      <w:tr w:rsidR="00DC451C" w:rsidRPr="00650EE4" w14:paraId="4969DDCA" w14:textId="77777777" w:rsidTr="006967B4">
        <w:tc>
          <w:tcPr>
            <w:tcW w:w="2086" w:type="dxa"/>
            <w:vMerge/>
            <w:tcBorders>
              <w:top w:val="single" w:sz="6" w:space="0" w:color="auto"/>
              <w:left w:val="single" w:sz="6" w:space="0" w:color="auto"/>
              <w:bottom w:val="single" w:sz="6" w:space="0" w:color="auto"/>
              <w:right w:val="single" w:sz="6" w:space="0" w:color="auto"/>
            </w:tcBorders>
            <w:vAlign w:val="center"/>
            <w:hideMark/>
          </w:tcPr>
          <w:p w14:paraId="736BE092" w14:textId="77777777" w:rsidR="00DC451C" w:rsidRPr="00650EE4" w:rsidRDefault="00DC451C" w:rsidP="00DC451C">
            <w:pPr>
              <w:spacing w:line="240" w:lineRule="auto"/>
              <w:rPr>
                <w:rFonts w:ascii="Times New Roman" w:eastAsia="Times New Roman" w:hAnsi="Times New Roman"/>
                <w:b/>
                <w:bCs/>
                <w:sz w:val="20"/>
                <w:szCs w:val="20"/>
                <w:lang w:eastAsia="lt-LT"/>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14:paraId="0C9326A5" w14:textId="77777777" w:rsidR="00DC451C" w:rsidRPr="00650EE4" w:rsidRDefault="00DC451C" w:rsidP="00DC451C">
            <w:pPr>
              <w:spacing w:line="240" w:lineRule="auto"/>
              <w:rPr>
                <w:rFonts w:ascii="Times New Roman" w:eastAsia="Times New Roman" w:hAnsi="Times New Roman"/>
                <w:b/>
                <w:bCs/>
                <w:sz w:val="20"/>
                <w:szCs w:val="20"/>
                <w:lang w:eastAsia="lt-LT"/>
              </w:rPr>
            </w:pPr>
          </w:p>
        </w:tc>
        <w:tc>
          <w:tcPr>
            <w:tcW w:w="1147" w:type="dxa"/>
            <w:tcBorders>
              <w:top w:val="single" w:sz="6" w:space="0" w:color="auto"/>
              <w:left w:val="single" w:sz="6" w:space="0" w:color="auto"/>
              <w:bottom w:val="single" w:sz="6" w:space="0" w:color="auto"/>
              <w:right w:val="nil"/>
            </w:tcBorders>
            <w:shd w:val="clear" w:color="000000" w:fill="FFFFFF"/>
            <w:vAlign w:val="center"/>
            <w:hideMark/>
          </w:tcPr>
          <w:p w14:paraId="043E471C"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w:t>
            </w:r>
          </w:p>
        </w:tc>
        <w:tc>
          <w:tcPr>
            <w:tcW w:w="1147" w:type="dxa"/>
            <w:tcBorders>
              <w:top w:val="single" w:sz="6" w:space="0" w:color="auto"/>
              <w:left w:val="nil"/>
              <w:bottom w:val="single" w:sz="6" w:space="0" w:color="auto"/>
              <w:right w:val="nil"/>
            </w:tcBorders>
            <w:shd w:val="clear" w:color="000000" w:fill="FFFFFF"/>
            <w:vAlign w:val="center"/>
            <w:hideMark/>
          </w:tcPr>
          <w:p w14:paraId="643AB55E"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C</w:t>
            </w:r>
          </w:p>
        </w:tc>
        <w:tc>
          <w:tcPr>
            <w:tcW w:w="1147" w:type="dxa"/>
            <w:tcBorders>
              <w:top w:val="single" w:sz="6" w:space="0" w:color="auto"/>
              <w:left w:val="nil"/>
              <w:bottom w:val="single" w:sz="6" w:space="0" w:color="auto"/>
              <w:right w:val="nil"/>
            </w:tcBorders>
            <w:shd w:val="clear" w:color="000000" w:fill="FFFFFF"/>
            <w:vAlign w:val="center"/>
            <w:hideMark/>
          </w:tcPr>
          <w:p w14:paraId="3B4CB9D4"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B</w:t>
            </w:r>
          </w:p>
        </w:tc>
        <w:tc>
          <w:tcPr>
            <w:tcW w:w="1147" w:type="dxa"/>
            <w:tcBorders>
              <w:top w:val="single" w:sz="6" w:space="0" w:color="auto"/>
              <w:left w:val="nil"/>
              <w:bottom w:val="single" w:sz="6" w:space="0" w:color="auto"/>
              <w:right w:val="single" w:sz="6" w:space="0" w:color="auto"/>
            </w:tcBorders>
            <w:shd w:val="clear" w:color="000000" w:fill="FFFFFF"/>
            <w:vAlign w:val="center"/>
            <w:hideMark/>
          </w:tcPr>
          <w:p w14:paraId="0981DC53"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147"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5EE1B9E"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1395" w:type="dxa"/>
            <w:vMerge/>
            <w:tcBorders>
              <w:top w:val="single" w:sz="6" w:space="0" w:color="auto"/>
              <w:left w:val="single" w:sz="6" w:space="0" w:color="auto"/>
              <w:bottom w:val="single" w:sz="6" w:space="0" w:color="auto"/>
              <w:right w:val="single" w:sz="6" w:space="0" w:color="auto"/>
            </w:tcBorders>
            <w:vAlign w:val="center"/>
            <w:hideMark/>
          </w:tcPr>
          <w:p w14:paraId="2AA65078" w14:textId="77777777" w:rsidR="00DC451C" w:rsidRPr="00650EE4" w:rsidRDefault="00DC451C" w:rsidP="00DC451C">
            <w:pPr>
              <w:spacing w:line="240" w:lineRule="auto"/>
              <w:rPr>
                <w:rFonts w:ascii="Times New Roman" w:eastAsia="Times New Roman" w:hAnsi="Times New Roman"/>
                <w:b/>
                <w:bCs/>
                <w:sz w:val="20"/>
                <w:szCs w:val="20"/>
                <w:lang w:eastAsia="lt-LT"/>
              </w:rPr>
            </w:pPr>
          </w:p>
        </w:tc>
      </w:tr>
      <w:tr w:rsidR="00DC451C" w:rsidRPr="00650EE4" w14:paraId="4BD545C7" w14:textId="77777777" w:rsidTr="006967B4">
        <w:tc>
          <w:tcPr>
            <w:tcW w:w="2086" w:type="dxa"/>
            <w:tcBorders>
              <w:top w:val="single" w:sz="6" w:space="0" w:color="auto"/>
              <w:left w:val="single" w:sz="6" w:space="0" w:color="auto"/>
              <w:bottom w:val="nil"/>
              <w:right w:val="single" w:sz="6" w:space="0" w:color="auto"/>
            </w:tcBorders>
            <w:shd w:val="clear" w:color="000000" w:fill="F2F2F2"/>
            <w:noWrap/>
            <w:vAlign w:val="center"/>
            <w:hideMark/>
          </w:tcPr>
          <w:p w14:paraId="7D6E722F" w14:textId="77777777" w:rsidR="00DC451C" w:rsidRPr="00650EE4" w:rsidRDefault="00DC451C" w:rsidP="00DC451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1.Gyvenamieji</w:t>
            </w:r>
          </w:p>
        </w:tc>
        <w:tc>
          <w:tcPr>
            <w:tcW w:w="972" w:type="dxa"/>
            <w:tcBorders>
              <w:top w:val="single" w:sz="6" w:space="0" w:color="auto"/>
              <w:left w:val="single" w:sz="6" w:space="0" w:color="auto"/>
              <w:bottom w:val="nil"/>
              <w:right w:val="single" w:sz="6" w:space="0" w:color="auto"/>
            </w:tcBorders>
            <w:shd w:val="clear" w:color="000000" w:fill="F2F2F2"/>
            <w:noWrap/>
            <w:vAlign w:val="center"/>
            <w:hideMark/>
          </w:tcPr>
          <w:p w14:paraId="111F732F"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570.513</w:t>
            </w:r>
          </w:p>
        </w:tc>
        <w:tc>
          <w:tcPr>
            <w:tcW w:w="1147" w:type="dxa"/>
            <w:tcBorders>
              <w:top w:val="single" w:sz="6" w:space="0" w:color="auto"/>
              <w:left w:val="single" w:sz="6" w:space="0" w:color="auto"/>
              <w:bottom w:val="nil"/>
              <w:right w:val="nil"/>
            </w:tcBorders>
            <w:shd w:val="clear" w:color="000000" w:fill="F2F2F2"/>
            <w:noWrap/>
            <w:vAlign w:val="center"/>
            <w:hideMark/>
          </w:tcPr>
          <w:p w14:paraId="7E927A2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51.177</w:t>
            </w:r>
          </w:p>
        </w:tc>
        <w:tc>
          <w:tcPr>
            <w:tcW w:w="1147" w:type="dxa"/>
            <w:tcBorders>
              <w:top w:val="single" w:sz="6" w:space="0" w:color="auto"/>
              <w:left w:val="nil"/>
              <w:bottom w:val="nil"/>
              <w:right w:val="nil"/>
            </w:tcBorders>
            <w:shd w:val="clear" w:color="000000" w:fill="F2F2F2"/>
            <w:noWrap/>
            <w:vAlign w:val="center"/>
            <w:hideMark/>
          </w:tcPr>
          <w:p w14:paraId="5465578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18.975</w:t>
            </w:r>
          </w:p>
        </w:tc>
        <w:tc>
          <w:tcPr>
            <w:tcW w:w="1147" w:type="dxa"/>
            <w:tcBorders>
              <w:top w:val="single" w:sz="6" w:space="0" w:color="auto"/>
              <w:left w:val="nil"/>
              <w:bottom w:val="nil"/>
              <w:right w:val="nil"/>
            </w:tcBorders>
            <w:shd w:val="clear" w:color="000000" w:fill="F2F2F2"/>
            <w:noWrap/>
            <w:vAlign w:val="center"/>
            <w:hideMark/>
          </w:tcPr>
          <w:p w14:paraId="4EDCA25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27.076</w:t>
            </w:r>
          </w:p>
        </w:tc>
        <w:tc>
          <w:tcPr>
            <w:tcW w:w="1147" w:type="dxa"/>
            <w:tcBorders>
              <w:top w:val="single" w:sz="6" w:space="0" w:color="auto"/>
              <w:left w:val="nil"/>
              <w:bottom w:val="nil"/>
              <w:right w:val="single" w:sz="6" w:space="0" w:color="auto"/>
            </w:tcBorders>
            <w:shd w:val="clear" w:color="000000" w:fill="F2F2F2"/>
            <w:noWrap/>
            <w:vAlign w:val="center"/>
            <w:hideMark/>
          </w:tcPr>
          <w:p w14:paraId="014D2047"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3.124</w:t>
            </w:r>
          </w:p>
        </w:tc>
        <w:tc>
          <w:tcPr>
            <w:tcW w:w="1147" w:type="dxa"/>
            <w:tcBorders>
              <w:top w:val="single" w:sz="6" w:space="0" w:color="auto"/>
              <w:left w:val="single" w:sz="6" w:space="0" w:color="auto"/>
              <w:bottom w:val="nil"/>
              <w:right w:val="single" w:sz="6" w:space="0" w:color="auto"/>
            </w:tcBorders>
            <w:shd w:val="clear" w:color="000000" w:fill="F2F2F2"/>
            <w:noWrap/>
            <w:vAlign w:val="center"/>
            <w:hideMark/>
          </w:tcPr>
          <w:p w14:paraId="06DC0582"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100.352</w:t>
            </w:r>
          </w:p>
        </w:tc>
        <w:tc>
          <w:tcPr>
            <w:tcW w:w="1395" w:type="dxa"/>
            <w:tcBorders>
              <w:top w:val="single" w:sz="6" w:space="0" w:color="auto"/>
              <w:left w:val="single" w:sz="6" w:space="0" w:color="auto"/>
              <w:bottom w:val="nil"/>
              <w:right w:val="single" w:sz="6" w:space="0" w:color="auto"/>
            </w:tcBorders>
            <w:shd w:val="clear" w:color="000000" w:fill="F2F2F2"/>
            <w:noWrap/>
            <w:vAlign w:val="center"/>
            <w:hideMark/>
          </w:tcPr>
          <w:p w14:paraId="41CC0B2B"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w:t>
            </w:r>
          </w:p>
        </w:tc>
      </w:tr>
      <w:tr w:rsidR="00DC451C" w:rsidRPr="00650EE4" w14:paraId="3610C77B"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4FE2BAA9"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1.1.Individualūs</w:t>
            </w:r>
          </w:p>
        </w:tc>
        <w:tc>
          <w:tcPr>
            <w:tcW w:w="972" w:type="dxa"/>
            <w:tcBorders>
              <w:top w:val="nil"/>
              <w:left w:val="single" w:sz="6" w:space="0" w:color="auto"/>
              <w:bottom w:val="nil"/>
              <w:right w:val="single" w:sz="6" w:space="0" w:color="auto"/>
            </w:tcBorders>
            <w:shd w:val="clear" w:color="000000" w:fill="FFFFFF"/>
            <w:noWrap/>
            <w:vAlign w:val="center"/>
            <w:hideMark/>
          </w:tcPr>
          <w:p w14:paraId="481FB74A"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529.492</w:t>
            </w:r>
          </w:p>
        </w:tc>
        <w:tc>
          <w:tcPr>
            <w:tcW w:w="1147" w:type="dxa"/>
            <w:tcBorders>
              <w:top w:val="nil"/>
              <w:left w:val="single" w:sz="6" w:space="0" w:color="auto"/>
              <w:bottom w:val="nil"/>
              <w:right w:val="nil"/>
            </w:tcBorders>
            <w:shd w:val="clear" w:color="000000" w:fill="FFFFFF"/>
            <w:noWrap/>
            <w:vAlign w:val="center"/>
            <w:hideMark/>
          </w:tcPr>
          <w:p w14:paraId="03C7802E"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44.515</w:t>
            </w:r>
          </w:p>
        </w:tc>
        <w:tc>
          <w:tcPr>
            <w:tcW w:w="1147" w:type="dxa"/>
            <w:tcBorders>
              <w:top w:val="nil"/>
              <w:left w:val="nil"/>
              <w:bottom w:val="nil"/>
              <w:right w:val="nil"/>
            </w:tcBorders>
            <w:shd w:val="clear" w:color="000000" w:fill="FFFFFF"/>
            <w:noWrap/>
            <w:vAlign w:val="center"/>
            <w:hideMark/>
          </w:tcPr>
          <w:p w14:paraId="178D269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16.642</w:t>
            </w:r>
          </w:p>
        </w:tc>
        <w:tc>
          <w:tcPr>
            <w:tcW w:w="1147" w:type="dxa"/>
            <w:tcBorders>
              <w:top w:val="nil"/>
              <w:left w:val="nil"/>
              <w:bottom w:val="nil"/>
              <w:right w:val="nil"/>
            </w:tcBorders>
            <w:shd w:val="clear" w:color="000000" w:fill="FFFFFF"/>
            <w:noWrap/>
            <w:vAlign w:val="center"/>
            <w:hideMark/>
          </w:tcPr>
          <w:p w14:paraId="1D0DA24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25.237</w:t>
            </w:r>
          </w:p>
        </w:tc>
        <w:tc>
          <w:tcPr>
            <w:tcW w:w="1147" w:type="dxa"/>
            <w:tcBorders>
              <w:top w:val="nil"/>
              <w:left w:val="nil"/>
              <w:bottom w:val="nil"/>
              <w:right w:val="single" w:sz="6" w:space="0" w:color="auto"/>
            </w:tcBorders>
            <w:shd w:val="clear" w:color="000000" w:fill="FFFFFF"/>
            <w:noWrap/>
            <w:vAlign w:val="center"/>
            <w:hideMark/>
          </w:tcPr>
          <w:p w14:paraId="2F17659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2.847</w:t>
            </w:r>
          </w:p>
        </w:tc>
        <w:tc>
          <w:tcPr>
            <w:tcW w:w="1147" w:type="dxa"/>
            <w:tcBorders>
              <w:top w:val="nil"/>
              <w:left w:val="single" w:sz="6" w:space="0" w:color="auto"/>
              <w:bottom w:val="nil"/>
              <w:right w:val="single" w:sz="6" w:space="0" w:color="auto"/>
            </w:tcBorders>
            <w:shd w:val="clear" w:color="000000" w:fill="FFFFFF"/>
            <w:noWrap/>
            <w:vAlign w:val="center"/>
            <w:hideMark/>
          </w:tcPr>
          <w:p w14:paraId="2FA05B7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89.241</w:t>
            </w:r>
          </w:p>
        </w:tc>
        <w:tc>
          <w:tcPr>
            <w:tcW w:w="1395" w:type="dxa"/>
            <w:tcBorders>
              <w:top w:val="nil"/>
              <w:left w:val="single" w:sz="6" w:space="0" w:color="auto"/>
              <w:bottom w:val="nil"/>
              <w:right w:val="single" w:sz="6" w:space="0" w:color="auto"/>
            </w:tcBorders>
            <w:shd w:val="clear" w:color="000000" w:fill="FFFFFF"/>
            <w:noWrap/>
            <w:vAlign w:val="center"/>
            <w:hideMark/>
          </w:tcPr>
          <w:p w14:paraId="35E1E4B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r>
      <w:tr w:rsidR="00DC451C" w:rsidRPr="00650EE4" w14:paraId="79D4BD63" w14:textId="77777777" w:rsidTr="006967B4">
        <w:tc>
          <w:tcPr>
            <w:tcW w:w="2086" w:type="dxa"/>
            <w:tcBorders>
              <w:top w:val="nil"/>
              <w:left w:val="single" w:sz="6" w:space="0" w:color="auto"/>
              <w:bottom w:val="single" w:sz="6" w:space="0" w:color="auto"/>
              <w:right w:val="single" w:sz="6" w:space="0" w:color="auto"/>
            </w:tcBorders>
            <w:shd w:val="clear" w:color="000000" w:fill="FFFFFF"/>
            <w:noWrap/>
            <w:vAlign w:val="center"/>
            <w:hideMark/>
          </w:tcPr>
          <w:p w14:paraId="3CC18297"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1.2.Daugiabučiai</w:t>
            </w:r>
          </w:p>
        </w:tc>
        <w:tc>
          <w:tcPr>
            <w:tcW w:w="972" w:type="dxa"/>
            <w:tcBorders>
              <w:top w:val="nil"/>
              <w:left w:val="single" w:sz="6" w:space="0" w:color="auto"/>
              <w:bottom w:val="single" w:sz="6" w:space="0" w:color="auto"/>
              <w:right w:val="single" w:sz="6" w:space="0" w:color="auto"/>
            </w:tcBorders>
            <w:shd w:val="clear" w:color="000000" w:fill="FFFFFF"/>
            <w:noWrap/>
            <w:vAlign w:val="center"/>
            <w:hideMark/>
          </w:tcPr>
          <w:p w14:paraId="66BBAA94"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41.021</w:t>
            </w:r>
          </w:p>
        </w:tc>
        <w:tc>
          <w:tcPr>
            <w:tcW w:w="1147" w:type="dxa"/>
            <w:tcBorders>
              <w:top w:val="nil"/>
              <w:left w:val="single" w:sz="6" w:space="0" w:color="auto"/>
              <w:bottom w:val="single" w:sz="6" w:space="0" w:color="auto"/>
              <w:right w:val="nil"/>
            </w:tcBorders>
            <w:shd w:val="clear" w:color="000000" w:fill="FFFFFF"/>
            <w:noWrap/>
            <w:vAlign w:val="center"/>
            <w:hideMark/>
          </w:tcPr>
          <w:p w14:paraId="488BD3CB"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6.662</w:t>
            </w:r>
          </w:p>
        </w:tc>
        <w:tc>
          <w:tcPr>
            <w:tcW w:w="1147" w:type="dxa"/>
            <w:tcBorders>
              <w:top w:val="nil"/>
              <w:left w:val="nil"/>
              <w:bottom w:val="single" w:sz="6" w:space="0" w:color="auto"/>
              <w:right w:val="nil"/>
            </w:tcBorders>
            <w:shd w:val="clear" w:color="000000" w:fill="FFFFFF"/>
            <w:noWrap/>
            <w:vAlign w:val="center"/>
            <w:hideMark/>
          </w:tcPr>
          <w:p w14:paraId="3748FF65"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2.333</w:t>
            </w:r>
          </w:p>
        </w:tc>
        <w:tc>
          <w:tcPr>
            <w:tcW w:w="1147" w:type="dxa"/>
            <w:tcBorders>
              <w:top w:val="nil"/>
              <w:left w:val="nil"/>
              <w:bottom w:val="single" w:sz="6" w:space="0" w:color="auto"/>
              <w:right w:val="nil"/>
            </w:tcBorders>
            <w:shd w:val="clear" w:color="000000" w:fill="FFFFFF"/>
            <w:noWrap/>
            <w:vAlign w:val="center"/>
            <w:hideMark/>
          </w:tcPr>
          <w:p w14:paraId="067A87B5"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1.839</w:t>
            </w:r>
          </w:p>
        </w:tc>
        <w:tc>
          <w:tcPr>
            <w:tcW w:w="1147" w:type="dxa"/>
            <w:tcBorders>
              <w:top w:val="nil"/>
              <w:left w:val="nil"/>
              <w:bottom w:val="single" w:sz="6" w:space="0" w:color="auto"/>
              <w:right w:val="single" w:sz="6" w:space="0" w:color="auto"/>
            </w:tcBorders>
            <w:shd w:val="clear" w:color="000000" w:fill="FFFFFF"/>
            <w:noWrap/>
            <w:vAlign w:val="center"/>
            <w:hideMark/>
          </w:tcPr>
          <w:p w14:paraId="25B4DF35"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277</w:t>
            </w:r>
          </w:p>
        </w:tc>
        <w:tc>
          <w:tcPr>
            <w:tcW w:w="1147" w:type="dxa"/>
            <w:tcBorders>
              <w:top w:val="nil"/>
              <w:left w:val="single" w:sz="6" w:space="0" w:color="auto"/>
              <w:bottom w:val="single" w:sz="6" w:space="0" w:color="auto"/>
              <w:right w:val="single" w:sz="6" w:space="0" w:color="auto"/>
            </w:tcBorders>
            <w:shd w:val="clear" w:color="000000" w:fill="FFFFFF"/>
            <w:noWrap/>
            <w:vAlign w:val="center"/>
            <w:hideMark/>
          </w:tcPr>
          <w:p w14:paraId="26E3AD6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11.111</w:t>
            </w:r>
          </w:p>
        </w:tc>
        <w:tc>
          <w:tcPr>
            <w:tcW w:w="1395" w:type="dxa"/>
            <w:tcBorders>
              <w:top w:val="nil"/>
              <w:left w:val="single" w:sz="6" w:space="0" w:color="auto"/>
              <w:bottom w:val="single" w:sz="6" w:space="0" w:color="auto"/>
              <w:right w:val="single" w:sz="6" w:space="0" w:color="auto"/>
            </w:tcBorders>
            <w:shd w:val="clear" w:color="000000" w:fill="FFFFFF"/>
            <w:noWrap/>
            <w:vAlign w:val="center"/>
            <w:hideMark/>
          </w:tcPr>
          <w:p w14:paraId="0780F8C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r>
      <w:tr w:rsidR="00DC451C" w:rsidRPr="00650EE4" w14:paraId="783B26A4" w14:textId="77777777" w:rsidTr="006967B4">
        <w:tc>
          <w:tcPr>
            <w:tcW w:w="2086" w:type="dxa"/>
            <w:tcBorders>
              <w:top w:val="single" w:sz="6" w:space="0" w:color="auto"/>
              <w:left w:val="single" w:sz="6" w:space="0" w:color="auto"/>
              <w:bottom w:val="nil"/>
              <w:right w:val="single" w:sz="6" w:space="0" w:color="auto"/>
            </w:tcBorders>
            <w:shd w:val="clear" w:color="000000" w:fill="F2F2F2"/>
            <w:noWrap/>
            <w:vAlign w:val="center"/>
            <w:hideMark/>
          </w:tcPr>
          <w:p w14:paraId="717269A9" w14:textId="77777777" w:rsidR="00DC451C" w:rsidRPr="00650EE4" w:rsidRDefault="00DC451C" w:rsidP="00DC451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2.Negyvenamieji</w:t>
            </w:r>
          </w:p>
        </w:tc>
        <w:tc>
          <w:tcPr>
            <w:tcW w:w="972" w:type="dxa"/>
            <w:tcBorders>
              <w:top w:val="single" w:sz="6" w:space="0" w:color="auto"/>
              <w:left w:val="single" w:sz="6" w:space="0" w:color="auto"/>
              <w:bottom w:val="nil"/>
              <w:right w:val="single" w:sz="6" w:space="0" w:color="auto"/>
            </w:tcBorders>
            <w:shd w:val="clear" w:color="000000" w:fill="F2F2F2"/>
            <w:noWrap/>
            <w:vAlign w:val="center"/>
            <w:hideMark/>
          </w:tcPr>
          <w:p w14:paraId="4D4C6B6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90.770</w:t>
            </w:r>
          </w:p>
        </w:tc>
        <w:tc>
          <w:tcPr>
            <w:tcW w:w="1147" w:type="dxa"/>
            <w:tcBorders>
              <w:top w:val="single" w:sz="6" w:space="0" w:color="auto"/>
              <w:left w:val="single" w:sz="6" w:space="0" w:color="auto"/>
              <w:bottom w:val="nil"/>
              <w:right w:val="nil"/>
            </w:tcBorders>
            <w:shd w:val="clear" w:color="000000" w:fill="F2F2F2"/>
            <w:noWrap/>
            <w:vAlign w:val="center"/>
            <w:hideMark/>
          </w:tcPr>
          <w:p w14:paraId="07C16E1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8.214</w:t>
            </w:r>
          </w:p>
        </w:tc>
        <w:tc>
          <w:tcPr>
            <w:tcW w:w="1147" w:type="dxa"/>
            <w:tcBorders>
              <w:top w:val="single" w:sz="6" w:space="0" w:color="auto"/>
              <w:left w:val="nil"/>
              <w:bottom w:val="nil"/>
              <w:right w:val="nil"/>
            </w:tcBorders>
            <w:shd w:val="clear" w:color="000000" w:fill="F2F2F2"/>
            <w:noWrap/>
            <w:vAlign w:val="center"/>
            <w:hideMark/>
          </w:tcPr>
          <w:p w14:paraId="22A9451E"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2.792</w:t>
            </w:r>
          </w:p>
        </w:tc>
        <w:tc>
          <w:tcPr>
            <w:tcW w:w="1147" w:type="dxa"/>
            <w:tcBorders>
              <w:top w:val="single" w:sz="6" w:space="0" w:color="auto"/>
              <w:left w:val="nil"/>
              <w:bottom w:val="nil"/>
              <w:right w:val="nil"/>
            </w:tcBorders>
            <w:shd w:val="clear" w:color="000000" w:fill="F2F2F2"/>
            <w:noWrap/>
            <w:vAlign w:val="center"/>
            <w:hideMark/>
          </w:tcPr>
          <w:p w14:paraId="52CD64CB"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3.044</w:t>
            </w:r>
          </w:p>
        </w:tc>
        <w:tc>
          <w:tcPr>
            <w:tcW w:w="1147" w:type="dxa"/>
            <w:tcBorders>
              <w:top w:val="single" w:sz="6" w:space="0" w:color="auto"/>
              <w:left w:val="nil"/>
              <w:bottom w:val="nil"/>
              <w:right w:val="single" w:sz="6" w:space="0" w:color="auto"/>
            </w:tcBorders>
            <w:shd w:val="clear" w:color="000000" w:fill="F2F2F2"/>
            <w:noWrap/>
            <w:vAlign w:val="center"/>
            <w:hideMark/>
          </w:tcPr>
          <w:p w14:paraId="2CA091DE"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425</w:t>
            </w:r>
          </w:p>
        </w:tc>
        <w:tc>
          <w:tcPr>
            <w:tcW w:w="1147" w:type="dxa"/>
            <w:tcBorders>
              <w:top w:val="single" w:sz="6" w:space="0" w:color="auto"/>
              <w:left w:val="single" w:sz="6" w:space="0" w:color="auto"/>
              <w:bottom w:val="nil"/>
              <w:right w:val="single" w:sz="6" w:space="0" w:color="auto"/>
            </w:tcBorders>
            <w:shd w:val="clear" w:color="000000" w:fill="F2F2F2"/>
            <w:noWrap/>
            <w:vAlign w:val="center"/>
            <w:hideMark/>
          </w:tcPr>
          <w:p w14:paraId="2708CE7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14.475</w:t>
            </w:r>
          </w:p>
        </w:tc>
        <w:tc>
          <w:tcPr>
            <w:tcW w:w="1395" w:type="dxa"/>
            <w:tcBorders>
              <w:top w:val="single" w:sz="6" w:space="0" w:color="auto"/>
              <w:left w:val="single" w:sz="6" w:space="0" w:color="auto"/>
              <w:bottom w:val="nil"/>
              <w:right w:val="single" w:sz="6" w:space="0" w:color="auto"/>
            </w:tcBorders>
            <w:shd w:val="clear" w:color="000000" w:fill="F2F2F2"/>
            <w:noWrap/>
            <w:vAlign w:val="center"/>
            <w:hideMark/>
          </w:tcPr>
          <w:p w14:paraId="17E646E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16%</w:t>
            </w:r>
          </w:p>
        </w:tc>
      </w:tr>
      <w:tr w:rsidR="00DC451C" w:rsidRPr="00650EE4" w14:paraId="1C77EDEC"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10466528"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2.1.Pramonės</w:t>
            </w:r>
          </w:p>
        </w:tc>
        <w:tc>
          <w:tcPr>
            <w:tcW w:w="972" w:type="dxa"/>
            <w:tcBorders>
              <w:top w:val="nil"/>
              <w:left w:val="single" w:sz="6" w:space="0" w:color="auto"/>
              <w:bottom w:val="nil"/>
              <w:right w:val="single" w:sz="6" w:space="0" w:color="auto"/>
            </w:tcBorders>
            <w:shd w:val="clear" w:color="000000" w:fill="FFFFFF"/>
            <w:noWrap/>
            <w:vAlign w:val="center"/>
            <w:hideMark/>
          </w:tcPr>
          <w:p w14:paraId="77A36181"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48.775</w:t>
            </w:r>
          </w:p>
        </w:tc>
        <w:tc>
          <w:tcPr>
            <w:tcW w:w="1147" w:type="dxa"/>
            <w:tcBorders>
              <w:top w:val="nil"/>
              <w:left w:val="single" w:sz="6" w:space="0" w:color="auto"/>
              <w:bottom w:val="nil"/>
              <w:right w:val="nil"/>
            </w:tcBorders>
            <w:shd w:val="clear" w:color="000000" w:fill="FFFFFF"/>
            <w:noWrap/>
            <w:vAlign w:val="center"/>
            <w:hideMark/>
          </w:tcPr>
          <w:p w14:paraId="51E097F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1.487</w:t>
            </w:r>
          </w:p>
        </w:tc>
        <w:tc>
          <w:tcPr>
            <w:tcW w:w="1147" w:type="dxa"/>
            <w:tcBorders>
              <w:top w:val="nil"/>
              <w:left w:val="nil"/>
              <w:bottom w:val="nil"/>
              <w:right w:val="nil"/>
            </w:tcBorders>
            <w:shd w:val="clear" w:color="000000" w:fill="FFFFFF"/>
            <w:noWrap/>
            <w:vAlign w:val="center"/>
            <w:hideMark/>
          </w:tcPr>
          <w:p w14:paraId="30337DC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462</w:t>
            </w:r>
          </w:p>
        </w:tc>
        <w:tc>
          <w:tcPr>
            <w:tcW w:w="1147" w:type="dxa"/>
            <w:tcBorders>
              <w:top w:val="nil"/>
              <w:left w:val="nil"/>
              <w:bottom w:val="nil"/>
              <w:right w:val="nil"/>
            </w:tcBorders>
            <w:shd w:val="clear" w:color="000000" w:fill="FFFFFF"/>
            <w:noWrap/>
            <w:vAlign w:val="center"/>
            <w:hideMark/>
          </w:tcPr>
          <w:p w14:paraId="426D365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815</w:t>
            </w:r>
          </w:p>
        </w:tc>
        <w:tc>
          <w:tcPr>
            <w:tcW w:w="1147" w:type="dxa"/>
            <w:tcBorders>
              <w:top w:val="nil"/>
              <w:left w:val="nil"/>
              <w:bottom w:val="nil"/>
              <w:right w:val="single" w:sz="6" w:space="0" w:color="auto"/>
            </w:tcBorders>
            <w:shd w:val="clear" w:color="000000" w:fill="FFFFFF"/>
            <w:noWrap/>
            <w:vAlign w:val="center"/>
            <w:hideMark/>
          </w:tcPr>
          <w:p w14:paraId="72C9F1BB"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147" w:type="dxa"/>
            <w:tcBorders>
              <w:top w:val="nil"/>
              <w:left w:val="single" w:sz="6" w:space="0" w:color="auto"/>
              <w:bottom w:val="nil"/>
              <w:right w:val="single" w:sz="6" w:space="0" w:color="auto"/>
            </w:tcBorders>
            <w:shd w:val="clear" w:color="000000" w:fill="FFFFFF"/>
            <w:noWrap/>
            <w:vAlign w:val="center"/>
            <w:hideMark/>
          </w:tcPr>
          <w:p w14:paraId="484B7C2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2.878</w:t>
            </w:r>
          </w:p>
        </w:tc>
        <w:tc>
          <w:tcPr>
            <w:tcW w:w="1395" w:type="dxa"/>
            <w:tcBorders>
              <w:top w:val="nil"/>
              <w:left w:val="single" w:sz="6" w:space="0" w:color="auto"/>
              <w:bottom w:val="nil"/>
              <w:right w:val="single" w:sz="6" w:space="0" w:color="auto"/>
            </w:tcBorders>
            <w:shd w:val="clear" w:color="000000" w:fill="FFFFFF"/>
            <w:noWrap/>
            <w:vAlign w:val="center"/>
            <w:hideMark/>
          </w:tcPr>
          <w:p w14:paraId="12E5FF1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r>
      <w:tr w:rsidR="00DC451C" w:rsidRPr="00650EE4" w14:paraId="37C13C02"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3FEF4509"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2.2.Administraciniai</w:t>
            </w:r>
          </w:p>
        </w:tc>
        <w:tc>
          <w:tcPr>
            <w:tcW w:w="972" w:type="dxa"/>
            <w:tcBorders>
              <w:top w:val="nil"/>
              <w:left w:val="single" w:sz="6" w:space="0" w:color="auto"/>
              <w:bottom w:val="nil"/>
              <w:right w:val="single" w:sz="6" w:space="0" w:color="auto"/>
            </w:tcBorders>
            <w:shd w:val="clear" w:color="000000" w:fill="FFFFFF"/>
            <w:noWrap/>
            <w:vAlign w:val="center"/>
            <w:hideMark/>
          </w:tcPr>
          <w:p w14:paraId="59383CF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10.377</w:t>
            </w:r>
          </w:p>
        </w:tc>
        <w:tc>
          <w:tcPr>
            <w:tcW w:w="1147" w:type="dxa"/>
            <w:tcBorders>
              <w:top w:val="nil"/>
              <w:left w:val="single" w:sz="6" w:space="0" w:color="auto"/>
              <w:bottom w:val="nil"/>
              <w:right w:val="nil"/>
            </w:tcBorders>
            <w:shd w:val="clear" w:color="000000" w:fill="FFFFFF"/>
            <w:noWrap/>
            <w:vAlign w:val="center"/>
            <w:hideMark/>
          </w:tcPr>
          <w:p w14:paraId="5D88A42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3.643</w:t>
            </w:r>
          </w:p>
        </w:tc>
        <w:tc>
          <w:tcPr>
            <w:tcW w:w="1147" w:type="dxa"/>
            <w:tcBorders>
              <w:top w:val="nil"/>
              <w:left w:val="nil"/>
              <w:bottom w:val="nil"/>
              <w:right w:val="nil"/>
            </w:tcBorders>
            <w:shd w:val="clear" w:color="000000" w:fill="FFFFFF"/>
            <w:noWrap/>
            <w:vAlign w:val="center"/>
            <w:hideMark/>
          </w:tcPr>
          <w:p w14:paraId="5E0D673E"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671</w:t>
            </w:r>
          </w:p>
        </w:tc>
        <w:tc>
          <w:tcPr>
            <w:tcW w:w="1147" w:type="dxa"/>
            <w:tcBorders>
              <w:top w:val="nil"/>
              <w:left w:val="nil"/>
              <w:bottom w:val="nil"/>
              <w:right w:val="nil"/>
            </w:tcBorders>
            <w:shd w:val="clear" w:color="000000" w:fill="FFFFFF"/>
            <w:noWrap/>
            <w:vAlign w:val="center"/>
            <w:hideMark/>
          </w:tcPr>
          <w:p w14:paraId="433EACE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610</w:t>
            </w:r>
          </w:p>
        </w:tc>
        <w:tc>
          <w:tcPr>
            <w:tcW w:w="1147" w:type="dxa"/>
            <w:tcBorders>
              <w:top w:val="nil"/>
              <w:left w:val="nil"/>
              <w:bottom w:val="nil"/>
              <w:right w:val="single" w:sz="6" w:space="0" w:color="auto"/>
            </w:tcBorders>
            <w:shd w:val="clear" w:color="000000" w:fill="FFFFFF"/>
            <w:noWrap/>
            <w:vAlign w:val="center"/>
            <w:hideMark/>
          </w:tcPr>
          <w:p w14:paraId="567B418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81</w:t>
            </w:r>
          </w:p>
        </w:tc>
        <w:tc>
          <w:tcPr>
            <w:tcW w:w="1147" w:type="dxa"/>
            <w:tcBorders>
              <w:top w:val="nil"/>
              <w:left w:val="single" w:sz="6" w:space="0" w:color="auto"/>
              <w:bottom w:val="nil"/>
              <w:right w:val="single" w:sz="6" w:space="0" w:color="auto"/>
            </w:tcBorders>
            <w:shd w:val="clear" w:color="000000" w:fill="FFFFFF"/>
            <w:noWrap/>
            <w:vAlign w:val="center"/>
            <w:hideMark/>
          </w:tcPr>
          <w:p w14:paraId="518CBED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5.005</w:t>
            </w:r>
          </w:p>
        </w:tc>
        <w:tc>
          <w:tcPr>
            <w:tcW w:w="1395" w:type="dxa"/>
            <w:tcBorders>
              <w:top w:val="nil"/>
              <w:left w:val="single" w:sz="6" w:space="0" w:color="auto"/>
              <w:bottom w:val="nil"/>
              <w:right w:val="single" w:sz="6" w:space="0" w:color="auto"/>
            </w:tcBorders>
            <w:shd w:val="clear" w:color="000000" w:fill="FFFFFF"/>
            <w:noWrap/>
            <w:vAlign w:val="center"/>
            <w:hideMark/>
          </w:tcPr>
          <w:p w14:paraId="1F81204F"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r>
      <w:tr w:rsidR="00DC451C" w:rsidRPr="00650EE4" w14:paraId="6581BDCB"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0B27F33E"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2.3.Mokslo</w:t>
            </w:r>
          </w:p>
        </w:tc>
        <w:tc>
          <w:tcPr>
            <w:tcW w:w="972" w:type="dxa"/>
            <w:tcBorders>
              <w:top w:val="nil"/>
              <w:left w:val="single" w:sz="6" w:space="0" w:color="auto"/>
              <w:bottom w:val="nil"/>
              <w:right w:val="single" w:sz="6" w:space="0" w:color="auto"/>
            </w:tcBorders>
            <w:shd w:val="clear" w:color="000000" w:fill="FFFFFF"/>
            <w:noWrap/>
            <w:vAlign w:val="center"/>
            <w:hideMark/>
          </w:tcPr>
          <w:p w14:paraId="16AB5530"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4.715</w:t>
            </w:r>
          </w:p>
        </w:tc>
        <w:tc>
          <w:tcPr>
            <w:tcW w:w="1147" w:type="dxa"/>
            <w:tcBorders>
              <w:top w:val="nil"/>
              <w:left w:val="single" w:sz="6" w:space="0" w:color="auto"/>
              <w:bottom w:val="nil"/>
              <w:right w:val="nil"/>
            </w:tcBorders>
            <w:shd w:val="clear" w:color="000000" w:fill="FFFFFF"/>
            <w:noWrap/>
            <w:vAlign w:val="center"/>
            <w:hideMark/>
          </w:tcPr>
          <w:p w14:paraId="45EFC6B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648</w:t>
            </w:r>
          </w:p>
        </w:tc>
        <w:tc>
          <w:tcPr>
            <w:tcW w:w="1147" w:type="dxa"/>
            <w:tcBorders>
              <w:top w:val="nil"/>
              <w:left w:val="nil"/>
              <w:bottom w:val="nil"/>
              <w:right w:val="nil"/>
            </w:tcBorders>
            <w:shd w:val="clear" w:color="000000" w:fill="FFFFFF"/>
            <w:noWrap/>
            <w:vAlign w:val="center"/>
            <w:hideMark/>
          </w:tcPr>
          <w:p w14:paraId="1AA8124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549</w:t>
            </w:r>
          </w:p>
        </w:tc>
        <w:tc>
          <w:tcPr>
            <w:tcW w:w="1147" w:type="dxa"/>
            <w:tcBorders>
              <w:top w:val="nil"/>
              <w:left w:val="nil"/>
              <w:bottom w:val="nil"/>
              <w:right w:val="nil"/>
            </w:tcBorders>
            <w:shd w:val="clear" w:color="000000" w:fill="FFFFFF"/>
            <w:noWrap/>
            <w:vAlign w:val="center"/>
            <w:hideMark/>
          </w:tcPr>
          <w:p w14:paraId="3CD1406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275</w:t>
            </w:r>
          </w:p>
        </w:tc>
        <w:tc>
          <w:tcPr>
            <w:tcW w:w="1147" w:type="dxa"/>
            <w:tcBorders>
              <w:top w:val="nil"/>
              <w:left w:val="nil"/>
              <w:bottom w:val="nil"/>
              <w:right w:val="single" w:sz="6" w:space="0" w:color="auto"/>
            </w:tcBorders>
            <w:shd w:val="clear" w:color="000000" w:fill="FFFFFF"/>
            <w:noWrap/>
            <w:vAlign w:val="center"/>
            <w:hideMark/>
          </w:tcPr>
          <w:p w14:paraId="42A05B6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147" w:type="dxa"/>
            <w:tcBorders>
              <w:top w:val="nil"/>
              <w:left w:val="single" w:sz="6" w:space="0" w:color="auto"/>
              <w:bottom w:val="nil"/>
              <w:right w:val="single" w:sz="6" w:space="0" w:color="auto"/>
            </w:tcBorders>
            <w:shd w:val="clear" w:color="000000" w:fill="FFFFFF"/>
            <w:noWrap/>
            <w:vAlign w:val="center"/>
            <w:hideMark/>
          </w:tcPr>
          <w:p w14:paraId="1CDF49C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1.494</w:t>
            </w:r>
          </w:p>
        </w:tc>
        <w:tc>
          <w:tcPr>
            <w:tcW w:w="1395" w:type="dxa"/>
            <w:tcBorders>
              <w:top w:val="nil"/>
              <w:left w:val="single" w:sz="6" w:space="0" w:color="auto"/>
              <w:bottom w:val="nil"/>
              <w:right w:val="single" w:sz="6" w:space="0" w:color="auto"/>
            </w:tcBorders>
            <w:shd w:val="clear" w:color="000000" w:fill="FFFFFF"/>
            <w:noWrap/>
            <w:vAlign w:val="center"/>
            <w:hideMark/>
          </w:tcPr>
          <w:p w14:paraId="3D1EE69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r>
      <w:tr w:rsidR="00DC451C" w:rsidRPr="00650EE4" w14:paraId="70A4CCA8"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3D5B0DC1"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2.4.Prekybos</w:t>
            </w:r>
          </w:p>
        </w:tc>
        <w:tc>
          <w:tcPr>
            <w:tcW w:w="972" w:type="dxa"/>
            <w:tcBorders>
              <w:top w:val="nil"/>
              <w:left w:val="single" w:sz="6" w:space="0" w:color="auto"/>
              <w:bottom w:val="nil"/>
              <w:right w:val="single" w:sz="6" w:space="0" w:color="auto"/>
            </w:tcBorders>
            <w:shd w:val="clear" w:color="000000" w:fill="FFFFFF"/>
            <w:noWrap/>
            <w:vAlign w:val="center"/>
            <w:hideMark/>
          </w:tcPr>
          <w:p w14:paraId="692B8C5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8.760</w:t>
            </w:r>
          </w:p>
        </w:tc>
        <w:tc>
          <w:tcPr>
            <w:tcW w:w="1147" w:type="dxa"/>
            <w:tcBorders>
              <w:top w:val="nil"/>
              <w:left w:val="single" w:sz="6" w:space="0" w:color="auto"/>
              <w:bottom w:val="nil"/>
              <w:right w:val="nil"/>
            </w:tcBorders>
            <w:shd w:val="clear" w:color="000000" w:fill="FFFFFF"/>
            <w:noWrap/>
            <w:vAlign w:val="center"/>
            <w:hideMark/>
          </w:tcPr>
          <w:p w14:paraId="46B4B12A"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829</w:t>
            </w:r>
          </w:p>
        </w:tc>
        <w:tc>
          <w:tcPr>
            <w:tcW w:w="1147" w:type="dxa"/>
            <w:tcBorders>
              <w:top w:val="nil"/>
              <w:left w:val="nil"/>
              <w:bottom w:val="nil"/>
              <w:right w:val="nil"/>
            </w:tcBorders>
            <w:shd w:val="clear" w:color="000000" w:fill="FFFFFF"/>
            <w:noWrap/>
            <w:vAlign w:val="center"/>
            <w:hideMark/>
          </w:tcPr>
          <w:p w14:paraId="1CFD68E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271</w:t>
            </w:r>
          </w:p>
        </w:tc>
        <w:tc>
          <w:tcPr>
            <w:tcW w:w="1147" w:type="dxa"/>
            <w:tcBorders>
              <w:top w:val="nil"/>
              <w:left w:val="nil"/>
              <w:bottom w:val="nil"/>
              <w:right w:val="nil"/>
            </w:tcBorders>
            <w:shd w:val="clear" w:color="000000" w:fill="FFFFFF"/>
            <w:noWrap/>
            <w:vAlign w:val="center"/>
            <w:hideMark/>
          </w:tcPr>
          <w:p w14:paraId="40AD6AA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481</w:t>
            </w:r>
          </w:p>
        </w:tc>
        <w:tc>
          <w:tcPr>
            <w:tcW w:w="1147" w:type="dxa"/>
            <w:tcBorders>
              <w:top w:val="nil"/>
              <w:left w:val="nil"/>
              <w:bottom w:val="nil"/>
              <w:right w:val="single" w:sz="6" w:space="0" w:color="auto"/>
            </w:tcBorders>
            <w:shd w:val="clear" w:color="000000" w:fill="FFFFFF"/>
            <w:noWrap/>
            <w:vAlign w:val="center"/>
            <w:hideMark/>
          </w:tcPr>
          <w:p w14:paraId="57E1B6F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147" w:type="dxa"/>
            <w:tcBorders>
              <w:top w:val="nil"/>
              <w:left w:val="single" w:sz="6" w:space="0" w:color="auto"/>
              <w:bottom w:val="nil"/>
              <w:right w:val="single" w:sz="6" w:space="0" w:color="auto"/>
            </w:tcBorders>
            <w:shd w:val="clear" w:color="000000" w:fill="FFFFFF"/>
            <w:noWrap/>
            <w:vAlign w:val="center"/>
            <w:hideMark/>
          </w:tcPr>
          <w:p w14:paraId="0934752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1.676</w:t>
            </w:r>
          </w:p>
        </w:tc>
        <w:tc>
          <w:tcPr>
            <w:tcW w:w="1395" w:type="dxa"/>
            <w:tcBorders>
              <w:top w:val="nil"/>
              <w:left w:val="single" w:sz="6" w:space="0" w:color="auto"/>
              <w:bottom w:val="nil"/>
              <w:right w:val="single" w:sz="6" w:space="0" w:color="auto"/>
            </w:tcBorders>
            <w:shd w:val="clear" w:color="000000" w:fill="FFFFFF"/>
            <w:noWrap/>
            <w:vAlign w:val="center"/>
            <w:hideMark/>
          </w:tcPr>
          <w:p w14:paraId="3C7F09B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r>
      <w:tr w:rsidR="00DC451C" w:rsidRPr="00650EE4" w14:paraId="256D0EC1"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7D4C29AF"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2.5.Gydymo</w:t>
            </w:r>
          </w:p>
        </w:tc>
        <w:tc>
          <w:tcPr>
            <w:tcW w:w="972" w:type="dxa"/>
            <w:tcBorders>
              <w:top w:val="nil"/>
              <w:left w:val="single" w:sz="6" w:space="0" w:color="auto"/>
              <w:bottom w:val="nil"/>
              <w:right w:val="single" w:sz="6" w:space="0" w:color="auto"/>
            </w:tcBorders>
            <w:shd w:val="clear" w:color="000000" w:fill="FFFFFF"/>
            <w:noWrap/>
            <w:vAlign w:val="center"/>
            <w:hideMark/>
          </w:tcPr>
          <w:p w14:paraId="6DE82B10"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1.839</w:t>
            </w:r>
          </w:p>
        </w:tc>
        <w:tc>
          <w:tcPr>
            <w:tcW w:w="1147" w:type="dxa"/>
            <w:tcBorders>
              <w:top w:val="nil"/>
              <w:left w:val="single" w:sz="6" w:space="0" w:color="auto"/>
              <w:bottom w:val="nil"/>
              <w:right w:val="nil"/>
            </w:tcBorders>
            <w:shd w:val="clear" w:color="000000" w:fill="FFFFFF"/>
            <w:noWrap/>
            <w:vAlign w:val="center"/>
            <w:hideMark/>
          </w:tcPr>
          <w:p w14:paraId="7EC8F4D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440</w:t>
            </w:r>
          </w:p>
        </w:tc>
        <w:tc>
          <w:tcPr>
            <w:tcW w:w="1147" w:type="dxa"/>
            <w:tcBorders>
              <w:top w:val="nil"/>
              <w:left w:val="nil"/>
              <w:bottom w:val="nil"/>
              <w:right w:val="nil"/>
            </w:tcBorders>
            <w:shd w:val="clear" w:color="000000" w:fill="FFFFFF"/>
            <w:noWrap/>
            <w:vAlign w:val="center"/>
            <w:hideMark/>
          </w:tcPr>
          <w:p w14:paraId="7E65582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204</w:t>
            </w:r>
          </w:p>
        </w:tc>
        <w:tc>
          <w:tcPr>
            <w:tcW w:w="1147" w:type="dxa"/>
            <w:tcBorders>
              <w:top w:val="nil"/>
              <w:left w:val="nil"/>
              <w:bottom w:val="nil"/>
              <w:right w:val="nil"/>
            </w:tcBorders>
            <w:shd w:val="clear" w:color="000000" w:fill="FFFFFF"/>
            <w:noWrap/>
            <w:vAlign w:val="center"/>
            <w:hideMark/>
          </w:tcPr>
          <w:p w14:paraId="10F2F89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234</w:t>
            </w:r>
          </w:p>
        </w:tc>
        <w:tc>
          <w:tcPr>
            <w:tcW w:w="1147" w:type="dxa"/>
            <w:tcBorders>
              <w:top w:val="nil"/>
              <w:left w:val="nil"/>
              <w:bottom w:val="nil"/>
              <w:right w:val="single" w:sz="6" w:space="0" w:color="auto"/>
            </w:tcBorders>
            <w:shd w:val="clear" w:color="000000" w:fill="FFFFFF"/>
            <w:noWrap/>
            <w:vAlign w:val="center"/>
            <w:hideMark/>
          </w:tcPr>
          <w:p w14:paraId="543712B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147" w:type="dxa"/>
            <w:tcBorders>
              <w:top w:val="nil"/>
              <w:left w:val="single" w:sz="6" w:space="0" w:color="auto"/>
              <w:bottom w:val="nil"/>
              <w:right w:val="single" w:sz="6" w:space="0" w:color="auto"/>
            </w:tcBorders>
            <w:shd w:val="clear" w:color="000000" w:fill="FFFFFF"/>
            <w:noWrap/>
            <w:vAlign w:val="center"/>
            <w:hideMark/>
          </w:tcPr>
          <w:p w14:paraId="5FD5E53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886</w:t>
            </w:r>
          </w:p>
        </w:tc>
        <w:tc>
          <w:tcPr>
            <w:tcW w:w="1395" w:type="dxa"/>
            <w:tcBorders>
              <w:top w:val="nil"/>
              <w:left w:val="single" w:sz="6" w:space="0" w:color="auto"/>
              <w:bottom w:val="nil"/>
              <w:right w:val="single" w:sz="6" w:space="0" w:color="auto"/>
            </w:tcBorders>
            <w:shd w:val="clear" w:color="000000" w:fill="FFFFFF"/>
            <w:noWrap/>
            <w:vAlign w:val="center"/>
            <w:hideMark/>
          </w:tcPr>
          <w:p w14:paraId="2BC7A76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r>
      <w:tr w:rsidR="00DC451C" w:rsidRPr="00650EE4" w14:paraId="155E23C0"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63DBC5C6"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2.6.Kultūros</w:t>
            </w:r>
          </w:p>
        </w:tc>
        <w:tc>
          <w:tcPr>
            <w:tcW w:w="972" w:type="dxa"/>
            <w:tcBorders>
              <w:top w:val="nil"/>
              <w:left w:val="single" w:sz="6" w:space="0" w:color="auto"/>
              <w:bottom w:val="nil"/>
              <w:right w:val="single" w:sz="6" w:space="0" w:color="auto"/>
            </w:tcBorders>
            <w:shd w:val="clear" w:color="000000" w:fill="FFFFFF"/>
            <w:noWrap/>
            <w:vAlign w:val="center"/>
            <w:hideMark/>
          </w:tcPr>
          <w:p w14:paraId="013F179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6.900</w:t>
            </w:r>
          </w:p>
        </w:tc>
        <w:tc>
          <w:tcPr>
            <w:tcW w:w="1147" w:type="dxa"/>
            <w:tcBorders>
              <w:top w:val="nil"/>
              <w:left w:val="single" w:sz="6" w:space="0" w:color="auto"/>
              <w:bottom w:val="nil"/>
              <w:right w:val="nil"/>
            </w:tcBorders>
            <w:shd w:val="clear" w:color="000000" w:fill="FFFFFF"/>
            <w:noWrap/>
            <w:vAlign w:val="center"/>
            <w:hideMark/>
          </w:tcPr>
          <w:p w14:paraId="6C78F3D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205</w:t>
            </w:r>
          </w:p>
        </w:tc>
        <w:tc>
          <w:tcPr>
            <w:tcW w:w="1147" w:type="dxa"/>
            <w:tcBorders>
              <w:top w:val="nil"/>
              <w:left w:val="nil"/>
              <w:bottom w:val="nil"/>
              <w:right w:val="nil"/>
            </w:tcBorders>
            <w:shd w:val="clear" w:color="000000" w:fill="FFFFFF"/>
            <w:noWrap/>
            <w:vAlign w:val="center"/>
            <w:hideMark/>
          </w:tcPr>
          <w:p w14:paraId="772E6B5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147" w:type="dxa"/>
            <w:tcBorders>
              <w:top w:val="nil"/>
              <w:left w:val="nil"/>
              <w:bottom w:val="nil"/>
              <w:right w:val="nil"/>
            </w:tcBorders>
            <w:shd w:val="clear" w:color="000000" w:fill="FFFFFF"/>
            <w:noWrap/>
            <w:vAlign w:val="center"/>
            <w:hideMark/>
          </w:tcPr>
          <w:p w14:paraId="4AD9133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94</w:t>
            </w:r>
          </w:p>
        </w:tc>
        <w:tc>
          <w:tcPr>
            <w:tcW w:w="1147" w:type="dxa"/>
            <w:tcBorders>
              <w:top w:val="nil"/>
              <w:left w:val="nil"/>
              <w:bottom w:val="nil"/>
              <w:right w:val="single" w:sz="6" w:space="0" w:color="auto"/>
            </w:tcBorders>
            <w:shd w:val="clear" w:color="000000" w:fill="FFFFFF"/>
            <w:noWrap/>
            <w:vAlign w:val="center"/>
            <w:hideMark/>
          </w:tcPr>
          <w:p w14:paraId="04C315C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147" w:type="dxa"/>
            <w:tcBorders>
              <w:top w:val="nil"/>
              <w:left w:val="single" w:sz="6" w:space="0" w:color="auto"/>
              <w:bottom w:val="nil"/>
              <w:right w:val="single" w:sz="6" w:space="0" w:color="auto"/>
            </w:tcBorders>
            <w:shd w:val="clear" w:color="000000" w:fill="FFFFFF"/>
            <w:noWrap/>
            <w:vAlign w:val="center"/>
            <w:hideMark/>
          </w:tcPr>
          <w:p w14:paraId="4B26286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398</w:t>
            </w:r>
          </w:p>
        </w:tc>
        <w:tc>
          <w:tcPr>
            <w:tcW w:w="1395" w:type="dxa"/>
            <w:tcBorders>
              <w:top w:val="nil"/>
              <w:left w:val="single" w:sz="6" w:space="0" w:color="auto"/>
              <w:bottom w:val="nil"/>
              <w:right w:val="single" w:sz="6" w:space="0" w:color="auto"/>
            </w:tcBorders>
            <w:shd w:val="clear" w:color="000000" w:fill="FFFFFF"/>
            <w:noWrap/>
            <w:vAlign w:val="center"/>
            <w:hideMark/>
          </w:tcPr>
          <w:p w14:paraId="11E83C4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r>
      <w:tr w:rsidR="00DC451C" w:rsidRPr="00650EE4" w14:paraId="4378234E"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578E450E"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2.7.Apgyvendinimo</w:t>
            </w:r>
          </w:p>
        </w:tc>
        <w:tc>
          <w:tcPr>
            <w:tcW w:w="972" w:type="dxa"/>
            <w:tcBorders>
              <w:top w:val="nil"/>
              <w:left w:val="single" w:sz="6" w:space="0" w:color="auto"/>
              <w:bottom w:val="nil"/>
              <w:right w:val="single" w:sz="6" w:space="0" w:color="auto"/>
            </w:tcBorders>
            <w:shd w:val="clear" w:color="000000" w:fill="FFFFFF"/>
            <w:noWrap/>
            <w:vAlign w:val="center"/>
            <w:hideMark/>
          </w:tcPr>
          <w:p w14:paraId="07FC0ECB"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2.341</w:t>
            </w:r>
          </w:p>
        </w:tc>
        <w:tc>
          <w:tcPr>
            <w:tcW w:w="1147" w:type="dxa"/>
            <w:tcBorders>
              <w:top w:val="nil"/>
              <w:left w:val="single" w:sz="6" w:space="0" w:color="auto"/>
              <w:bottom w:val="nil"/>
              <w:right w:val="nil"/>
            </w:tcBorders>
            <w:shd w:val="clear" w:color="000000" w:fill="FFFFFF"/>
            <w:noWrap/>
            <w:vAlign w:val="center"/>
            <w:hideMark/>
          </w:tcPr>
          <w:p w14:paraId="6BD03A0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306</w:t>
            </w:r>
          </w:p>
        </w:tc>
        <w:tc>
          <w:tcPr>
            <w:tcW w:w="1147" w:type="dxa"/>
            <w:tcBorders>
              <w:top w:val="nil"/>
              <w:left w:val="nil"/>
              <w:bottom w:val="nil"/>
              <w:right w:val="nil"/>
            </w:tcBorders>
            <w:shd w:val="clear" w:color="000000" w:fill="FFFFFF"/>
            <w:noWrap/>
            <w:vAlign w:val="center"/>
            <w:hideMark/>
          </w:tcPr>
          <w:p w14:paraId="2E4E951A"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297</w:t>
            </w:r>
          </w:p>
        </w:tc>
        <w:tc>
          <w:tcPr>
            <w:tcW w:w="1147" w:type="dxa"/>
            <w:tcBorders>
              <w:top w:val="nil"/>
              <w:left w:val="nil"/>
              <w:bottom w:val="nil"/>
              <w:right w:val="nil"/>
            </w:tcBorders>
            <w:shd w:val="clear" w:color="000000" w:fill="FFFFFF"/>
            <w:noWrap/>
            <w:vAlign w:val="center"/>
            <w:hideMark/>
          </w:tcPr>
          <w:p w14:paraId="17BAE4C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292</w:t>
            </w:r>
          </w:p>
        </w:tc>
        <w:tc>
          <w:tcPr>
            <w:tcW w:w="1147" w:type="dxa"/>
            <w:tcBorders>
              <w:top w:val="nil"/>
              <w:left w:val="nil"/>
              <w:bottom w:val="nil"/>
              <w:right w:val="single" w:sz="6" w:space="0" w:color="auto"/>
            </w:tcBorders>
            <w:shd w:val="clear" w:color="000000" w:fill="FFFFFF"/>
            <w:noWrap/>
            <w:vAlign w:val="center"/>
            <w:hideMark/>
          </w:tcPr>
          <w:p w14:paraId="77E79A6E"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1147" w:type="dxa"/>
            <w:tcBorders>
              <w:top w:val="nil"/>
              <w:left w:val="single" w:sz="6" w:space="0" w:color="auto"/>
              <w:bottom w:val="nil"/>
              <w:right w:val="single" w:sz="6" w:space="0" w:color="auto"/>
            </w:tcBorders>
            <w:shd w:val="clear" w:color="000000" w:fill="FFFFFF"/>
            <w:noWrap/>
            <w:vAlign w:val="center"/>
            <w:hideMark/>
          </w:tcPr>
          <w:p w14:paraId="0B1C5CA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936</w:t>
            </w:r>
          </w:p>
        </w:tc>
        <w:tc>
          <w:tcPr>
            <w:tcW w:w="1395" w:type="dxa"/>
            <w:tcBorders>
              <w:top w:val="nil"/>
              <w:left w:val="single" w:sz="6" w:space="0" w:color="auto"/>
              <w:bottom w:val="nil"/>
              <w:right w:val="single" w:sz="6" w:space="0" w:color="auto"/>
            </w:tcBorders>
            <w:shd w:val="clear" w:color="000000" w:fill="FFFFFF"/>
            <w:noWrap/>
            <w:vAlign w:val="center"/>
            <w:hideMark/>
          </w:tcPr>
          <w:p w14:paraId="5A1A714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w:t>
            </w:r>
          </w:p>
        </w:tc>
      </w:tr>
      <w:tr w:rsidR="00DC451C" w:rsidRPr="00650EE4" w14:paraId="0D2CF13D"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72EF4CDC"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2.8.Paslaugų</w:t>
            </w:r>
          </w:p>
        </w:tc>
        <w:tc>
          <w:tcPr>
            <w:tcW w:w="972" w:type="dxa"/>
            <w:tcBorders>
              <w:top w:val="nil"/>
              <w:left w:val="single" w:sz="6" w:space="0" w:color="auto"/>
              <w:bottom w:val="nil"/>
              <w:right w:val="single" w:sz="6" w:space="0" w:color="auto"/>
            </w:tcBorders>
            <w:shd w:val="clear" w:color="000000" w:fill="FFFFFF"/>
            <w:noWrap/>
            <w:vAlign w:val="center"/>
            <w:hideMark/>
          </w:tcPr>
          <w:p w14:paraId="616498D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5.059</w:t>
            </w:r>
          </w:p>
        </w:tc>
        <w:tc>
          <w:tcPr>
            <w:tcW w:w="1147" w:type="dxa"/>
            <w:tcBorders>
              <w:top w:val="nil"/>
              <w:left w:val="single" w:sz="6" w:space="0" w:color="auto"/>
              <w:bottom w:val="nil"/>
              <w:right w:val="nil"/>
            </w:tcBorders>
            <w:shd w:val="clear" w:color="000000" w:fill="FFFFFF"/>
            <w:noWrap/>
            <w:vAlign w:val="center"/>
            <w:hideMark/>
          </w:tcPr>
          <w:p w14:paraId="6B48794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453</w:t>
            </w:r>
          </w:p>
        </w:tc>
        <w:tc>
          <w:tcPr>
            <w:tcW w:w="1147" w:type="dxa"/>
            <w:tcBorders>
              <w:top w:val="nil"/>
              <w:left w:val="nil"/>
              <w:bottom w:val="nil"/>
              <w:right w:val="nil"/>
            </w:tcBorders>
            <w:shd w:val="clear" w:color="000000" w:fill="FFFFFF"/>
            <w:noWrap/>
            <w:vAlign w:val="center"/>
            <w:hideMark/>
          </w:tcPr>
          <w:p w14:paraId="566248DA"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129</w:t>
            </w:r>
          </w:p>
        </w:tc>
        <w:tc>
          <w:tcPr>
            <w:tcW w:w="1147" w:type="dxa"/>
            <w:tcBorders>
              <w:top w:val="nil"/>
              <w:left w:val="nil"/>
              <w:bottom w:val="nil"/>
              <w:right w:val="nil"/>
            </w:tcBorders>
            <w:shd w:val="clear" w:color="000000" w:fill="FFFFFF"/>
            <w:noWrap/>
            <w:vAlign w:val="center"/>
            <w:hideMark/>
          </w:tcPr>
          <w:p w14:paraId="1391B0EF"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130</w:t>
            </w:r>
          </w:p>
        </w:tc>
        <w:tc>
          <w:tcPr>
            <w:tcW w:w="1147" w:type="dxa"/>
            <w:tcBorders>
              <w:top w:val="nil"/>
              <w:left w:val="nil"/>
              <w:bottom w:val="nil"/>
              <w:right w:val="single" w:sz="6" w:space="0" w:color="auto"/>
            </w:tcBorders>
            <w:shd w:val="clear" w:color="000000" w:fill="FFFFFF"/>
            <w:noWrap/>
            <w:vAlign w:val="center"/>
            <w:hideMark/>
          </w:tcPr>
          <w:p w14:paraId="573D7D3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1147" w:type="dxa"/>
            <w:tcBorders>
              <w:top w:val="nil"/>
              <w:left w:val="single" w:sz="6" w:space="0" w:color="auto"/>
              <w:bottom w:val="nil"/>
              <w:right w:val="single" w:sz="6" w:space="0" w:color="auto"/>
            </w:tcBorders>
            <w:shd w:val="clear" w:color="000000" w:fill="FFFFFF"/>
            <w:noWrap/>
            <w:vAlign w:val="center"/>
            <w:hideMark/>
          </w:tcPr>
          <w:p w14:paraId="6CF9904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753</w:t>
            </w:r>
          </w:p>
        </w:tc>
        <w:tc>
          <w:tcPr>
            <w:tcW w:w="1395" w:type="dxa"/>
            <w:tcBorders>
              <w:top w:val="nil"/>
              <w:left w:val="single" w:sz="6" w:space="0" w:color="auto"/>
              <w:bottom w:val="nil"/>
              <w:right w:val="single" w:sz="6" w:space="0" w:color="auto"/>
            </w:tcBorders>
            <w:shd w:val="clear" w:color="000000" w:fill="FFFFFF"/>
            <w:noWrap/>
            <w:vAlign w:val="center"/>
            <w:hideMark/>
          </w:tcPr>
          <w:p w14:paraId="3D1FEF5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r>
      <w:tr w:rsidR="00DC451C" w:rsidRPr="00650EE4" w14:paraId="245BD710" w14:textId="77777777" w:rsidTr="006967B4">
        <w:tc>
          <w:tcPr>
            <w:tcW w:w="2086" w:type="dxa"/>
            <w:tcBorders>
              <w:top w:val="nil"/>
              <w:left w:val="single" w:sz="6" w:space="0" w:color="auto"/>
              <w:bottom w:val="single" w:sz="6" w:space="0" w:color="auto"/>
              <w:right w:val="single" w:sz="6" w:space="0" w:color="auto"/>
            </w:tcBorders>
            <w:shd w:val="clear" w:color="000000" w:fill="FFFFFF"/>
            <w:noWrap/>
            <w:vAlign w:val="center"/>
            <w:hideMark/>
          </w:tcPr>
          <w:p w14:paraId="102F597A"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2.9.Kita</w:t>
            </w:r>
          </w:p>
        </w:tc>
        <w:tc>
          <w:tcPr>
            <w:tcW w:w="972" w:type="dxa"/>
            <w:tcBorders>
              <w:top w:val="nil"/>
              <w:left w:val="single" w:sz="6" w:space="0" w:color="auto"/>
              <w:bottom w:val="single" w:sz="6" w:space="0" w:color="auto"/>
              <w:right w:val="single" w:sz="6" w:space="0" w:color="auto"/>
            </w:tcBorders>
            <w:shd w:val="clear" w:color="000000" w:fill="FFFFFF"/>
            <w:noWrap/>
            <w:vAlign w:val="center"/>
            <w:hideMark/>
          </w:tcPr>
          <w:p w14:paraId="0388462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2.004</w:t>
            </w:r>
          </w:p>
        </w:tc>
        <w:tc>
          <w:tcPr>
            <w:tcW w:w="1147" w:type="dxa"/>
            <w:tcBorders>
              <w:top w:val="nil"/>
              <w:left w:val="single" w:sz="6" w:space="0" w:color="auto"/>
              <w:bottom w:val="single" w:sz="6" w:space="0" w:color="auto"/>
              <w:right w:val="nil"/>
            </w:tcBorders>
            <w:shd w:val="clear" w:color="000000" w:fill="FFFFFF"/>
            <w:noWrap/>
            <w:vAlign w:val="center"/>
            <w:hideMark/>
          </w:tcPr>
          <w:p w14:paraId="1DF8462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203</w:t>
            </w:r>
          </w:p>
        </w:tc>
        <w:tc>
          <w:tcPr>
            <w:tcW w:w="1147" w:type="dxa"/>
            <w:tcBorders>
              <w:top w:val="nil"/>
              <w:left w:val="nil"/>
              <w:bottom w:val="single" w:sz="6" w:space="0" w:color="auto"/>
              <w:right w:val="nil"/>
            </w:tcBorders>
            <w:shd w:val="clear" w:color="000000" w:fill="FFFFFF"/>
            <w:noWrap/>
            <w:vAlign w:val="center"/>
            <w:hideMark/>
          </w:tcPr>
          <w:p w14:paraId="58A7DC9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147" w:type="dxa"/>
            <w:tcBorders>
              <w:top w:val="nil"/>
              <w:left w:val="nil"/>
              <w:bottom w:val="single" w:sz="6" w:space="0" w:color="auto"/>
              <w:right w:val="nil"/>
            </w:tcBorders>
            <w:shd w:val="clear" w:color="000000" w:fill="FFFFFF"/>
            <w:noWrap/>
            <w:vAlign w:val="center"/>
            <w:hideMark/>
          </w:tcPr>
          <w:p w14:paraId="3AC5B2CB"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113</w:t>
            </w:r>
          </w:p>
        </w:tc>
        <w:tc>
          <w:tcPr>
            <w:tcW w:w="1147" w:type="dxa"/>
            <w:tcBorders>
              <w:top w:val="nil"/>
              <w:left w:val="nil"/>
              <w:bottom w:val="single" w:sz="6" w:space="0" w:color="auto"/>
              <w:right w:val="single" w:sz="6" w:space="0" w:color="auto"/>
            </w:tcBorders>
            <w:shd w:val="clear" w:color="000000" w:fill="FFFFFF"/>
            <w:noWrap/>
            <w:vAlign w:val="center"/>
            <w:hideMark/>
          </w:tcPr>
          <w:p w14:paraId="4D68E2D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147" w:type="dxa"/>
            <w:tcBorders>
              <w:top w:val="nil"/>
              <w:left w:val="single" w:sz="6" w:space="0" w:color="auto"/>
              <w:bottom w:val="single" w:sz="6" w:space="0" w:color="auto"/>
              <w:right w:val="single" w:sz="6" w:space="0" w:color="auto"/>
            </w:tcBorders>
            <w:shd w:val="clear" w:color="000000" w:fill="FFFFFF"/>
            <w:noWrap/>
            <w:vAlign w:val="center"/>
            <w:hideMark/>
          </w:tcPr>
          <w:p w14:paraId="4BD3752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449</w:t>
            </w:r>
          </w:p>
        </w:tc>
        <w:tc>
          <w:tcPr>
            <w:tcW w:w="1395" w:type="dxa"/>
            <w:tcBorders>
              <w:top w:val="nil"/>
              <w:left w:val="single" w:sz="6" w:space="0" w:color="auto"/>
              <w:bottom w:val="single" w:sz="6" w:space="0" w:color="auto"/>
              <w:right w:val="single" w:sz="6" w:space="0" w:color="auto"/>
            </w:tcBorders>
            <w:shd w:val="clear" w:color="000000" w:fill="FFFFFF"/>
            <w:noWrap/>
            <w:vAlign w:val="center"/>
            <w:hideMark/>
          </w:tcPr>
          <w:p w14:paraId="0A42163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r>
      <w:tr w:rsidR="00DC451C" w:rsidRPr="00650EE4" w14:paraId="090C4719" w14:textId="77777777" w:rsidTr="006967B4">
        <w:tc>
          <w:tcPr>
            <w:tcW w:w="2086"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2563D6D" w14:textId="2642EAA0" w:rsidR="00DC451C" w:rsidRPr="00650EE4" w:rsidRDefault="00DC451C" w:rsidP="00DC451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r w:rsidR="006967B4" w:rsidRPr="00650EE4">
              <w:rPr>
                <w:rFonts w:ascii="Times New Roman" w:eastAsia="Times New Roman" w:hAnsi="Times New Roman"/>
                <w:b/>
                <w:bCs/>
                <w:sz w:val="20"/>
                <w:szCs w:val="20"/>
                <w:lang w:eastAsia="lt-LT"/>
              </w:rPr>
              <w:t xml:space="preserve"> SPSC</w:t>
            </w:r>
          </w:p>
        </w:tc>
        <w:tc>
          <w:tcPr>
            <w:tcW w:w="97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17F7CC6"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661.283</w:t>
            </w:r>
          </w:p>
        </w:tc>
        <w:tc>
          <w:tcPr>
            <w:tcW w:w="1147" w:type="dxa"/>
            <w:tcBorders>
              <w:top w:val="single" w:sz="6" w:space="0" w:color="auto"/>
              <w:left w:val="single" w:sz="6" w:space="0" w:color="auto"/>
              <w:bottom w:val="single" w:sz="6" w:space="0" w:color="auto"/>
              <w:right w:val="nil"/>
            </w:tcBorders>
            <w:shd w:val="clear" w:color="000000" w:fill="FFFFFF"/>
            <w:noWrap/>
            <w:vAlign w:val="center"/>
            <w:hideMark/>
          </w:tcPr>
          <w:p w14:paraId="42E2B3A3"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59.391</w:t>
            </w:r>
          </w:p>
        </w:tc>
        <w:tc>
          <w:tcPr>
            <w:tcW w:w="1147" w:type="dxa"/>
            <w:tcBorders>
              <w:top w:val="single" w:sz="6" w:space="0" w:color="auto"/>
              <w:left w:val="nil"/>
              <w:bottom w:val="single" w:sz="6" w:space="0" w:color="auto"/>
              <w:right w:val="nil"/>
            </w:tcBorders>
            <w:shd w:val="clear" w:color="000000" w:fill="FFFFFF"/>
            <w:noWrap/>
            <w:vAlign w:val="center"/>
            <w:hideMark/>
          </w:tcPr>
          <w:p w14:paraId="0E1249DC"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21.767</w:t>
            </w:r>
          </w:p>
        </w:tc>
        <w:tc>
          <w:tcPr>
            <w:tcW w:w="1147" w:type="dxa"/>
            <w:tcBorders>
              <w:top w:val="single" w:sz="6" w:space="0" w:color="auto"/>
              <w:left w:val="nil"/>
              <w:bottom w:val="single" w:sz="6" w:space="0" w:color="auto"/>
              <w:right w:val="nil"/>
            </w:tcBorders>
            <w:shd w:val="clear" w:color="000000" w:fill="FFFFFF"/>
            <w:noWrap/>
            <w:vAlign w:val="center"/>
            <w:hideMark/>
          </w:tcPr>
          <w:p w14:paraId="6EA847FF"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30.120</w:t>
            </w:r>
          </w:p>
        </w:tc>
        <w:tc>
          <w:tcPr>
            <w:tcW w:w="1147" w:type="dxa"/>
            <w:tcBorders>
              <w:top w:val="single" w:sz="6" w:space="0" w:color="auto"/>
              <w:left w:val="nil"/>
              <w:bottom w:val="single" w:sz="6" w:space="0" w:color="auto"/>
              <w:right w:val="single" w:sz="6" w:space="0" w:color="auto"/>
            </w:tcBorders>
            <w:shd w:val="clear" w:color="000000" w:fill="FFFFFF"/>
            <w:noWrap/>
            <w:vAlign w:val="center"/>
            <w:hideMark/>
          </w:tcPr>
          <w:p w14:paraId="48DF01F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3.549</w:t>
            </w:r>
          </w:p>
        </w:tc>
        <w:tc>
          <w:tcPr>
            <w:tcW w:w="114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E5C269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114.827</w:t>
            </w:r>
          </w:p>
        </w:tc>
        <w:tc>
          <w:tcPr>
            <w:tcW w:w="1395"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0416D5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r>
      <w:tr w:rsidR="006967B4" w:rsidRPr="00650EE4" w14:paraId="2A996B3A" w14:textId="77777777" w:rsidTr="006967B4">
        <w:tc>
          <w:tcPr>
            <w:tcW w:w="2086"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661F6CD0" w14:textId="56CCFA27" w:rsidR="006967B4" w:rsidRPr="00650EE4" w:rsidRDefault="006967B4" w:rsidP="006967B4">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 NT registras</w:t>
            </w:r>
          </w:p>
        </w:tc>
        <w:tc>
          <w:tcPr>
            <w:tcW w:w="972"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5E9E4931" w14:textId="36C79641"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661.283</w:t>
            </w:r>
          </w:p>
        </w:tc>
        <w:tc>
          <w:tcPr>
            <w:tcW w:w="1147" w:type="dxa"/>
            <w:tcBorders>
              <w:top w:val="single" w:sz="6" w:space="0" w:color="auto"/>
              <w:left w:val="single" w:sz="6" w:space="0" w:color="auto"/>
              <w:bottom w:val="single" w:sz="6" w:space="0" w:color="auto"/>
              <w:right w:val="nil"/>
            </w:tcBorders>
            <w:shd w:val="clear" w:color="000000" w:fill="FFFFFF"/>
            <w:noWrap/>
          </w:tcPr>
          <w:p w14:paraId="796AD0A3" w14:textId="7BEBE151"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52.855</w:t>
            </w:r>
          </w:p>
        </w:tc>
        <w:tc>
          <w:tcPr>
            <w:tcW w:w="1147" w:type="dxa"/>
            <w:tcBorders>
              <w:top w:val="single" w:sz="6" w:space="0" w:color="auto"/>
              <w:left w:val="nil"/>
              <w:bottom w:val="single" w:sz="6" w:space="0" w:color="auto"/>
              <w:right w:val="nil"/>
            </w:tcBorders>
            <w:shd w:val="clear" w:color="000000" w:fill="FFFFFF"/>
            <w:noWrap/>
          </w:tcPr>
          <w:p w14:paraId="11D2F661" w14:textId="232FEA85"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21.086</w:t>
            </w:r>
          </w:p>
        </w:tc>
        <w:tc>
          <w:tcPr>
            <w:tcW w:w="1147" w:type="dxa"/>
            <w:tcBorders>
              <w:top w:val="single" w:sz="6" w:space="0" w:color="auto"/>
              <w:left w:val="nil"/>
              <w:bottom w:val="single" w:sz="6" w:space="0" w:color="auto"/>
              <w:right w:val="nil"/>
            </w:tcBorders>
            <w:shd w:val="clear" w:color="000000" w:fill="FFFFFF"/>
            <w:noWrap/>
          </w:tcPr>
          <w:p w14:paraId="65428FC6" w14:textId="0044C12B"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28.858</w:t>
            </w:r>
          </w:p>
        </w:tc>
        <w:tc>
          <w:tcPr>
            <w:tcW w:w="1147" w:type="dxa"/>
            <w:tcBorders>
              <w:top w:val="single" w:sz="6" w:space="0" w:color="auto"/>
              <w:left w:val="nil"/>
              <w:bottom w:val="single" w:sz="6" w:space="0" w:color="auto"/>
              <w:right w:val="single" w:sz="6" w:space="0" w:color="auto"/>
            </w:tcBorders>
            <w:shd w:val="clear" w:color="000000" w:fill="FFFFFF"/>
            <w:noWrap/>
          </w:tcPr>
          <w:p w14:paraId="45928309" w14:textId="68B341B8"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3.254</w:t>
            </w:r>
          </w:p>
        </w:tc>
        <w:tc>
          <w:tcPr>
            <w:tcW w:w="1147"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20B9BD86" w14:textId="5AA9EE3F"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106.053</w:t>
            </w:r>
          </w:p>
        </w:tc>
        <w:tc>
          <w:tcPr>
            <w:tcW w:w="1395"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10A87B93" w14:textId="4CC50407" w:rsidR="006967B4" w:rsidRPr="00650EE4" w:rsidRDefault="006967B4" w:rsidP="006967B4">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r>
    </w:tbl>
    <w:p w14:paraId="621D0B37" w14:textId="6B0D964A" w:rsidR="00CC439B" w:rsidRPr="00650EE4" w:rsidRDefault="00CC439B" w:rsidP="00CC439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SPSC registras</w:t>
      </w:r>
      <w:r w:rsidR="00E727BD" w:rsidRPr="00650EE4">
        <w:rPr>
          <w:rFonts w:ascii="Times New Roman" w:eastAsia="Times New Roman" w:hAnsi="Times New Roman"/>
          <w:i/>
          <w:color w:val="000000" w:themeColor="text1"/>
          <w:sz w:val="20"/>
          <w:szCs w:val="20"/>
        </w:rPr>
        <w:t>, NT</w:t>
      </w:r>
      <w:r w:rsidR="00192576">
        <w:rPr>
          <w:rFonts w:ascii="Times New Roman" w:eastAsia="Times New Roman" w:hAnsi="Times New Roman"/>
          <w:i/>
          <w:color w:val="000000" w:themeColor="text1"/>
          <w:sz w:val="20"/>
          <w:szCs w:val="20"/>
        </w:rPr>
        <w:t>R</w:t>
      </w:r>
      <w:r w:rsidR="0059294B" w:rsidRPr="00650EE4">
        <w:rPr>
          <w:rFonts w:ascii="Times New Roman" w:eastAsia="Times New Roman" w:hAnsi="Times New Roman"/>
          <w:i/>
          <w:color w:val="000000" w:themeColor="text1"/>
          <w:sz w:val="20"/>
          <w:szCs w:val="20"/>
        </w:rPr>
        <w:t>.</w:t>
      </w:r>
    </w:p>
    <w:p w14:paraId="44B972D1" w14:textId="77185F32" w:rsidR="00CC439B" w:rsidRPr="00650EE4" w:rsidRDefault="00CC439B" w:rsidP="00CA07B0">
      <w:pPr>
        <w:pStyle w:val="BodyText"/>
        <w:jc w:val="both"/>
        <w:rPr>
          <w:rFonts w:ascii="Times New Roman" w:hAnsi="Times New Roman"/>
          <w:color w:val="000000" w:themeColor="text1"/>
          <w:szCs w:val="22"/>
          <w:lang w:val="lt-LT"/>
        </w:rPr>
      </w:pPr>
    </w:p>
    <w:p w14:paraId="621A4F22" w14:textId="77777777" w:rsidR="000B1FD9" w:rsidRDefault="000B1FD9" w:rsidP="00CA07B0">
      <w:pPr>
        <w:pStyle w:val="BodyText"/>
        <w:jc w:val="both"/>
        <w:rPr>
          <w:rFonts w:ascii="Times New Roman" w:hAnsi="Times New Roman"/>
          <w:color w:val="000000" w:themeColor="text1"/>
          <w:szCs w:val="22"/>
          <w:lang w:val="lt-LT"/>
        </w:rPr>
      </w:pPr>
    </w:p>
    <w:p w14:paraId="05F3BB1F" w14:textId="77777777" w:rsidR="00192576" w:rsidRPr="00650EE4" w:rsidRDefault="00192576" w:rsidP="00CA07B0">
      <w:pPr>
        <w:pStyle w:val="BodyText"/>
        <w:jc w:val="both"/>
        <w:rPr>
          <w:rFonts w:ascii="Times New Roman" w:hAnsi="Times New Roman"/>
          <w:color w:val="000000" w:themeColor="text1"/>
          <w:szCs w:val="22"/>
          <w:lang w:val="lt-LT"/>
        </w:rPr>
      </w:pPr>
    </w:p>
    <w:p w14:paraId="092C5CA7" w14:textId="25E9F332" w:rsidR="005C56B6" w:rsidRPr="00650EE4" w:rsidRDefault="00C954B8" w:rsidP="00F95123">
      <w:pPr>
        <w:spacing w:after="120"/>
        <w:rPr>
          <w:rFonts w:ascii="Times New Roman" w:hAnsi="Times New Roman"/>
          <w:b/>
          <w:szCs w:val="22"/>
        </w:rPr>
      </w:pPr>
      <w:r w:rsidRPr="00650EE4">
        <w:rPr>
          <w:rFonts w:ascii="Times New Roman" w:hAnsi="Times New Roman"/>
          <w:b/>
          <w:szCs w:val="22"/>
        </w:rPr>
        <w:lastRenderedPageBreak/>
        <w:t>Energinio naudingumo požymio priskyrimas</w:t>
      </w:r>
    </w:p>
    <w:p w14:paraId="7C221EE9" w14:textId="2CDDB1D6" w:rsidR="00E7417D" w:rsidRPr="00D92B70" w:rsidRDefault="00E12F54" w:rsidP="00D92B70">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Energinio naudingumo klasės</w:t>
      </w:r>
      <w:r w:rsidR="00E170FD" w:rsidRPr="00650EE4">
        <w:rPr>
          <w:rFonts w:ascii="Times New Roman" w:hAnsi="Times New Roman"/>
          <w:color w:val="000000" w:themeColor="text1"/>
          <w:szCs w:val="22"/>
          <w:lang w:val="lt-LT"/>
        </w:rPr>
        <w:t xml:space="preserve"> požymis yra būtinas skaičiuotinam pirminės </w:t>
      </w:r>
      <w:r w:rsidR="008B6B3B" w:rsidRPr="00650EE4">
        <w:rPr>
          <w:rFonts w:ascii="Times New Roman" w:hAnsi="Times New Roman"/>
          <w:color w:val="000000" w:themeColor="text1"/>
          <w:szCs w:val="22"/>
          <w:lang w:val="lt-LT"/>
        </w:rPr>
        <w:t xml:space="preserve">energijos vartojimui nustatyti, todėl, pastatams neturintiems </w:t>
      </w:r>
      <w:r w:rsidRPr="00650EE4">
        <w:rPr>
          <w:rFonts w:ascii="Times New Roman" w:hAnsi="Times New Roman"/>
          <w:color w:val="000000" w:themeColor="text1"/>
          <w:szCs w:val="22"/>
          <w:lang w:val="lt-LT"/>
        </w:rPr>
        <w:t>šio</w:t>
      </w:r>
      <w:r w:rsidR="008B6B3B" w:rsidRPr="00650EE4">
        <w:rPr>
          <w:rFonts w:ascii="Times New Roman" w:hAnsi="Times New Roman"/>
          <w:color w:val="000000" w:themeColor="text1"/>
          <w:szCs w:val="22"/>
          <w:lang w:val="lt-LT"/>
        </w:rPr>
        <w:t xml:space="preserve"> požymio, </w:t>
      </w:r>
      <w:r w:rsidR="00E7417D" w:rsidRPr="00650EE4">
        <w:rPr>
          <w:rFonts w:ascii="Times New Roman" w:hAnsi="Times New Roman"/>
          <w:color w:val="000000" w:themeColor="text1"/>
          <w:szCs w:val="22"/>
          <w:lang w:val="lt-LT"/>
        </w:rPr>
        <w:t>jis buvo p</w:t>
      </w:r>
      <w:r w:rsidR="00D92B70">
        <w:rPr>
          <w:rFonts w:ascii="Times New Roman" w:hAnsi="Times New Roman"/>
          <w:color w:val="000000" w:themeColor="text1"/>
          <w:szCs w:val="22"/>
          <w:lang w:val="lt-LT"/>
        </w:rPr>
        <w:t>riskirtas a</w:t>
      </w:r>
      <w:r w:rsidR="003B6B27" w:rsidRPr="00D92B70">
        <w:rPr>
          <w:rFonts w:ascii="Times New Roman" w:hAnsi="Times New Roman"/>
          <w:color w:val="000000" w:themeColor="text1"/>
          <w:szCs w:val="22"/>
          <w:lang w:val="lt-LT"/>
        </w:rPr>
        <w:t>tsižvelgiant į k</w:t>
      </w:r>
      <w:r w:rsidR="00E170FD" w:rsidRPr="00D92B70">
        <w:rPr>
          <w:rFonts w:ascii="Times New Roman" w:hAnsi="Times New Roman"/>
          <w:color w:val="000000" w:themeColor="text1"/>
          <w:szCs w:val="22"/>
          <w:lang w:val="lt-LT"/>
        </w:rPr>
        <w:t>onkretaus pastato</w:t>
      </w:r>
      <w:r w:rsidR="00E025CB" w:rsidRPr="00D92B70">
        <w:rPr>
          <w:rFonts w:ascii="Times New Roman" w:hAnsi="Times New Roman"/>
          <w:color w:val="000000" w:themeColor="text1"/>
          <w:szCs w:val="22"/>
          <w:lang w:val="lt-LT"/>
        </w:rPr>
        <w:t xml:space="preserve"> statybos me</w:t>
      </w:r>
      <w:r w:rsidR="00E170FD" w:rsidRPr="00D92B70">
        <w:rPr>
          <w:rFonts w:ascii="Times New Roman" w:hAnsi="Times New Roman"/>
          <w:color w:val="000000" w:themeColor="text1"/>
          <w:szCs w:val="22"/>
          <w:lang w:val="lt-LT"/>
        </w:rPr>
        <w:t>tus</w:t>
      </w:r>
      <w:r w:rsidR="00D92B70">
        <w:rPr>
          <w:rFonts w:ascii="Times New Roman" w:hAnsi="Times New Roman"/>
          <w:color w:val="000000" w:themeColor="text1"/>
          <w:szCs w:val="22"/>
          <w:lang w:val="lt-LT"/>
        </w:rPr>
        <w:t>, priskiriant</w:t>
      </w:r>
      <w:r w:rsidR="00966E90" w:rsidRPr="00D92B70">
        <w:rPr>
          <w:rFonts w:ascii="Times New Roman" w:hAnsi="Times New Roman"/>
          <w:color w:val="000000" w:themeColor="text1"/>
          <w:szCs w:val="22"/>
          <w:lang w:val="lt-LT"/>
        </w:rPr>
        <w:t xml:space="preserve"> </w:t>
      </w:r>
      <w:r w:rsidR="00701D2B" w:rsidRPr="00D92B70">
        <w:rPr>
          <w:rFonts w:ascii="Times New Roman" w:hAnsi="Times New Roman"/>
          <w:color w:val="000000" w:themeColor="text1"/>
          <w:szCs w:val="22"/>
          <w:lang w:val="lt-LT"/>
        </w:rPr>
        <w:t xml:space="preserve">tų statybos metų </w:t>
      </w:r>
      <w:r w:rsidR="00966E90" w:rsidRPr="00D92B70">
        <w:rPr>
          <w:rFonts w:ascii="Times New Roman" w:hAnsi="Times New Roman"/>
          <w:color w:val="000000" w:themeColor="text1"/>
          <w:szCs w:val="22"/>
          <w:lang w:val="lt-LT"/>
        </w:rPr>
        <w:t xml:space="preserve">sertifikuotų </w:t>
      </w:r>
      <w:r w:rsidR="00701D2B" w:rsidRPr="00D92B70">
        <w:rPr>
          <w:rFonts w:ascii="Times New Roman" w:hAnsi="Times New Roman"/>
          <w:color w:val="000000" w:themeColor="text1"/>
          <w:szCs w:val="22"/>
          <w:lang w:val="lt-LT"/>
        </w:rPr>
        <w:t>pastat</w:t>
      </w:r>
      <w:r w:rsidR="00966E90" w:rsidRPr="00D92B70">
        <w:rPr>
          <w:rFonts w:ascii="Times New Roman" w:hAnsi="Times New Roman"/>
          <w:color w:val="000000" w:themeColor="text1"/>
          <w:szCs w:val="22"/>
          <w:lang w:val="lt-LT"/>
        </w:rPr>
        <w:t>ų daugumos ENK</w:t>
      </w:r>
      <w:r w:rsidR="0096651B" w:rsidRPr="00D92B70">
        <w:rPr>
          <w:rFonts w:ascii="Times New Roman" w:hAnsi="Times New Roman"/>
          <w:color w:val="000000" w:themeColor="text1"/>
          <w:szCs w:val="22"/>
          <w:lang w:val="lt-LT"/>
        </w:rPr>
        <w:t xml:space="preserve"> (žr. lentelę</w:t>
      </w:r>
      <w:r w:rsidRPr="00D92B70">
        <w:rPr>
          <w:rFonts w:ascii="Times New Roman" w:hAnsi="Times New Roman"/>
          <w:color w:val="000000" w:themeColor="text1"/>
          <w:szCs w:val="22"/>
          <w:lang w:val="lt-LT"/>
        </w:rPr>
        <w:t xml:space="preserve"> žemiau</w:t>
      </w:r>
      <w:r w:rsidR="0096651B" w:rsidRPr="00D92B70">
        <w:rPr>
          <w:rFonts w:ascii="Times New Roman" w:hAnsi="Times New Roman"/>
          <w:color w:val="000000" w:themeColor="text1"/>
          <w:szCs w:val="22"/>
          <w:lang w:val="lt-LT"/>
        </w:rPr>
        <w:t>)</w:t>
      </w:r>
      <w:r w:rsidR="00E7417D" w:rsidRPr="00D92B70">
        <w:rPr>
          <w:rFonts w:ascii="Times New Roman" w:hAnsi="Times New Roman"/>
          <w:color w:val="000000" w:themeColor="text1"/>
          <w:szCs w:val="22"/>
          <w:lang w:val="lt-LT"/>
        </w:rPr>
        <w:t>:</w:t>
      </w:r>
    </w:p>
    <w:p w14:paraId="70DF46CD" w14:textId="09CCE30E" w:rsidR="00E7417D" w:rsidRPr="00650EE4" w:rsidRDefault="00E7417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9" w:name="_Toc67925196"/>
      <w:r w:rsidR="007744C1">
        <w:t>13</w:t>
      </w:r>
      <w:r w:rsidRPr="00650EE4">
        <w:rPr>
          <w:noProof w:val="0"/>
        </w:rPr>
        <w:fldChar w:fldCharType="end"/>
      </w:r>
      <w:r w:rsidRPr="00650EE4">
        <w:rPr>
          <w:noProof w:val="0"/>
        </w:rPr>
        <w:t xml:space="preserve"> lentelė. Energinio naudingumo klasės priskyrimas pagal statybos metus</w:t>
      </w:r>
      <w:bookmarkEnd w:id="39"/>
    </w:p>
    <w:tbl>
      <w:tblPr>
        <w:tblStyle w:val="TableGrid"/>
        <w:tblW w:w="0" w:type="auto"/>
        <w:tblLook w:val="04A0" w:firstRow="1" w:lastRow="0" w:firstColumn="1" w:lastColumn="0" w:noHBand="0" w:noVBand="1"/>
      </w:tblPr>
      <w:tblGrid>
        <w:gridCol w:w="846"/>
        <w:gridCol w:w="4536"/>
        <w:gridCol w:w="4812"/>
      </w:tblGrid>
      <w:tr w:rsidR="00E7417D" w:rsidRPr="00650EE4" w14:paraId="57497CFD" w14:textId="77777777" w:rsidTr="00064053">
        <w:tc>
          <w:tcPr>
            <w:tcW w:w="846" w:type="dxa"/>
            <w:vAlign w:val="center"/>
          </w:tcPr>
          <w:p w14:paraId="40AC143E" w14:textId="77777777" w:rsidR="00E7417D" w:rsidRPr="00650EE4" w:rsidRDefault="00E7417D" w:rsidP="00631BA6">
            <w:pPr>
              <w:pStyle w:val="TESlentelspavadinimas"/>
              <w:rPr>
                <w:noProof w:val="0"/>
              </w:rPr>
            </w:pPr>
            <w:r w:rsidRPr="00650EE4">
              <w:rPr>
                <w:noProof w:val="0"/>
                <w:lang w:eastAsia="lt-LT"/>
              </w:rPr>
              <w:t>Nr.</w:t>
            </w:r>
          </w:p>
        </w:tc>
        <w:tc>
          <w:tcPr>
            <w:tcW w:w="4536" w:type="dxa"/>
            <w:vAlign w:val="center"/>
          </w:tcPr>
          <w:p w14:paraId="24916C69" w14:textId="77777777" w:rsidR="00E7417D" w:rsidRPr="00650EE4" w:rsidRDefault="00E7417D" w:rsidP="00631BA6">
            <w:pPr>
              <w:pStyle w:val="TESlentelspavadinimas"/>
              <w:rPr>
                <w:noProof w:val="0"/>
              </w:rPr>
            </w:pPr>
            <w:r w:rsidRPr="00650EE4">
              <w:rPr>
                <w:noProof w:val="0"/>
                <w:lang w:eastAsia="lt-LT"/>
              </w:rPr>
              <w:t>Statybos metai</w:t>
            </w:r>
          </w:p>
        </w:tc>
        <w:tc>
          <w:tcPr>
            <w:tcW w:w="4812" w:type="dxa"/>
            <w:vAlign w:val="center"/>
          </w:tcPr>
          <w:p w14:paraId="79F8C278" w14:textId="77777777" w:rsidR="00E7417D" w:rsidRPr="00650EE4" w:rsidRDefault="00E7417D" w:rsidP="00631BA6">
            <w:pPr>
              <w:pStyle w:val="TESlentelspavadinimas"/>
              <w:rPr>
                <w:noProof w:val="0"/>
              </w:rPr>
            </w:pPr>
            <w:r w:rsidRPr="00650EE4">
              <w:rPr>
                <w:noProof w:val="0"/>
                <w:lang w:eastAsia="lt-LT"/>
              </w:rPr>
              <w:t>Priskiriama energinio naudingumo klasė</w:t>
            </w:r>
          </w:p>
        </w:tc>
      </w:tr>
      <w:tr w:rsidR="00E7417D" w:rsidRPr="00650EE4" w14:paraId="30CFA1DF" w14:textId="77777777" w:rsidTr="00064053">
        <w:tc>
          <w:tcPr>
            <w:tcW w:w="846" w:type="dxa"/>
          </w:tcPr>
          <w:p w14:paraId="394CD871" w14:textId="77777777" w:rsidR="00E7417D" w:rsidRPr="00650EE4" w:rsidRDefault="00E7417D" w:rsidP="00631BA6">
            <w:pPr>
              <w:pStyle w:val="TESlentelspavadinimas"/>
              <w:rPr>
                <w:noProof w:val="0"/>
              </w:rPr>
            </w:pPr>
            <w:r w:rsidRPr="00650EE4">
              <w:rPr>
                <w:noProof w:val="0"/>
              </w:rPr>
              <w:t>1.</w:t>
            </w:r>
          </w:p>
        </w:tc>
        <w:tc>
          <w:tcPr>
            <w:tcW w:w="4536" w:type="dxa"/>
          </w:tcPr>
          <w:p w14:paraId="54183B6B" w14:textId="77777777" w:rsidR="00E7417D" w:rsidRPr="00650EE4" w:rsidRDefault="00E7417D" w:rsidP="00631BA6">
            <w:pPr>
              <w:pStyle w:val="TESlentelspavadinimas"/>
              <w:rPr>
                <w:noProof w:val="0"/>
              </w:rPr>
            </w:pPr>
            <w:r w:rsidRPr="00650EE4">
              <w:rPr>
                <w:noProof w:val="0"/>
              </w:rPr>
              <w:t>iki 1900</w:t>
            </w:r>
          </w:p>
        </w:tc>
        <w:tc>
          <w:tcPr>
            <w:tcW w:w="4812" w:type="dxa"/>
          </w:tcPr>
          <w:p w14:paraId="40AC65F1"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6473D33C" w14:textId="77777777" w:rsidTr="00064053">
        <w:tc>
          <w:tcPr>
            <w:tcW w:w="846" w:type="dxa"/>
          </w:tcPr>
          <w:p w14:paraId="2881C141" w14:textId="77777777" w:rsidR="00E7417D" w:rsidRPr="00650EE4" w:rsidRDefault="00E7417D" w:rsidP="00631BA6">
            <w:pPr>
              <w:pStyle w:val="TESlentelspavadinimas"/>
              <w:rPr>
                <w:noProof w:val="0"/>
              </w:rPr>
            </w:pPr>
            <w:r w:rsidRPr="00650EE4">
              <w:rPr>
                <w:noProof w:val="0"/>
              </w:rPr>
              <w:t>2.</w:t>
            </w:r>
          </w:p>
        </w:tc>
        <w:tc>
          <w:tcPr>
            <w:tcW w:w="4536" w:type="dxa"/>
          </w:tcPr>
          <w:p w14:paraId="14DF9AE8" w14:textId="77777777" w:rsidR="00E7417D" w:rsidRPr="00650EE4" w:rsidRDefault="00E7417D" w:rsidP="00631BA6">
            <w:pPr>
              <w:pStyle w:val="TESlentelspavadinimas"/>
              <w:rPr>
                <w:noProof w:val="0"/>
              </w:rPr>
            </w:pPr>
            <w:r w:rsidRPr="00650EE4">
              <w:rPr>
                <w:noProof w:val="0"/>
              </w:rPr>
              <w:t>1901-1960</w:t>
            </w:r>
          </w:p>
        </w:tc>
        <w:tc>
          <w:tcPr>
            <w:tcW w:w="4812" w:type="dxa"/>
          </w:tcPr>
          <w:p w14:paraId="614663E9"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35E9F2E8" w14:textId="77777777" w:rsidTr="00064053">
        <w:tc>
          <w:tcPr>
            <w:tcW w:w="846" w:type="dxa"/>
          </w:tcPr>
          <w:p w14:paraId="4A7B8CB9" w14:textId="77777777" w:rsidR="00E7417D" w:rsidRPr="00650EE4" w:rsidRDefault="00E7417D" w:rsidP="00631BA6">
            <w:pPr>
              <w:pStyle w:val="TESlentelspavadinimas"/>
              <w:rPr>
                <w:noProof w:val="0"/>
              </w:rPr>
            </w:pPr>
            <w:r w:rsidRPr="00650EE4">
              <w:rPr>
                <w:noProof w:val="0"/>
                <w:lang w:eastAsia="lt-LT"/>
              </w:rPr>
              <w:t>3.</w:t>
            </w:r>
          </w:p>
        </w:tc>
        <w:tc>
          <w:tcPr>
            <w:tcW w:w="4536" w:type="dxa"/>
          </w:tcPr>
          <w:p w14:paraId="00D26C94" w14:textId="77777777" w:rsidR="00E7417D" w:rsidRPr="00650EE4" w:rsidRDefault="00E7417D" w:rsidP="00631BA6">
            <w:pPr>
              <w:pStyle w:val="TESlentelspavadinimas"/>
              <w:rPr>
                <w:noProof w:val="0"/>
              </w:rPr>
            </w:pPr>
            <w:r w:rsidRPr="00650EE4">
              <w:rPr>
                <w:noProof w:val="0"/>
              </w:rPr>
              <w:t>1961-1992</w:t>
            </w:r>
          </w:p>
        </w:tc>
        <w:tc>
          <w:tcPr>
            <w:tcW w:w="4812" w:type="dxa"/>
          </w:tcPr>
          <w:p w14:paraId="239C154D"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0F93E723" w14:textId="77777777" w:rsidTr="00064053">
        <w:tc>
          <w:tcPr>
            <w:tcW w:w="846" w:type="dxa"/>
          </w:tcPr>
          <w:p w14:paraId="6B187BA4" w14:textId="77777777" w:rsidR="00E7417D" w:rsidRPr="00650EE4" w:rsidRDefault="00E7417D" w:rsidP="00631BA6">
            <w:pPr>
              <w:pStyle w:val="TESlentelspavadinimas"/>
              <w:rPr>
                <w:noProof w:val="0"/>
              </w:rPr>
            </w:pPr>
            <w:r w:rsidRPr="00650EE4">
              <w:rPr>
                <w:noProof w:val="0"/>
                <w:lang w:eastAsia="lt-LT"/>
              </w:rPr>
              <w:t>4.</w:t>
            </w:r>
          </w:p>
        </w:tc>
        <w:tc>
          <w:tcPr>
            <w:tcW w:w="4536" w:type="dxa"/>
          </w:tcPr>
          <w:p w14:paraId="254C4481" w14:textId="77777777" w:rsidR="00E7417D" w:rsidRPr="00650EE4" w:rsidRDefault="00E7417D" w:rsidP="00631BA6">
            <w:pPr>
              <w:pStyle w:val="TESlentelspavadinimas"/>
              <w:rPr>
                <w:noProof w:val="0"/>
              </w:rPr>
            </w:pPr>
            <w:r w:rsidRPr="00650EE4">
              <w:rPr>
                <w:noProof w:val="0"/>
              </w:rPr>
              <w:t>1993-2005</w:t>
            </w:r>
          </w:p>
        </w:tc>
        <w:tc>
          <w:tcPr>
            <w:tcW w:w="4812" w:type="dxa"/>
          </w:tcPr>
          <w:p w14:paraId="79ECE180"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7EB2778B" w14:textId="77777777" w:rsidTr="00064053">
        <w:tc>
          <w:tcPr>
            <w:tcW w:w="846" w:type="dxa"/>
          </w:tcPr>
          <w:p w14:paraId="3816D21A" w14:textId="77777777" w:rsidR="00E7417D" w:rsidRPr="00650EE4" w:rsidRDefault="00E7417D" w:rsidP="00631BA6">
            <w:pPr>
              <w:pStyle w:val="TESlentelspavadinimas"/>
              <w:rPr>
                <w:noProof w:val="0"/>
              </w:rPr>
            </w:pPr>
            <w:r w:rsidRPr="00650EE4">
              <w:rPr>
                <w:noProof w:val="0"/>
              </w:rPr>
              <w:t>5.</w:t>
            </w:r>
          </w:p>
        </w:tc>
        <w:tc>
          <w:tcPr>
            <w:tcW w:w="4536" w:type="dxa"/>
          </w:tcPr>
          <w:p w14:paraId="5E87059C" w14:textId="77777777" w:rsidR="00E7417D" w:rsidRPr="00650EE4" w:rsidRDefault="00E7417D" w:rsidP="00631BA6">
            <w:pPr>
              <w:pStyle w:val="TESlentelspavadinimas"/>
              <w:rPr>
                <w:noProof w:val="0"/>
              </w:rPr>
            </w:pPr>
            <w:r w:rsidRPr="00650EE4">
              <w:rPr>
                <w:noProof w:val="0"/>
              </w:rPr>
              <w:t>2006-2013</w:t>
            </w:r>
          </w:p>
        </w:tc>
        <w:tc>
          <w:tcPr>
            <w:tcW w:w="4812" w:type="dxa"/>
            <w:vAlign w:val="bottom"/>
          </w:tcPr>
          <w:p w14:paraId="7CEF2D86" w14:textId="77777777" w:rsidR="00E7417D" w:rsidRPr="00650EE4" w:rsidRDefault="00E7417D" w:rsidP="00631BA6">
            <w:pPr>
              <w:pStyle w:val="TESlentelspavadinimas"/>
              <w:rPr>
                <w:noProof w:val="0"/>
              </w:rPr>
            </w:pPr>
            <w:r w:rsidRPr="00650EE4">
              <w:rPr>
                <w:noProof w:val="0"/>
              </w:rPr>
              <w:t>C</w:t>
            </w:r>
          </w:p>
        </w:tc>
      </w:tr>
      <w:tr w:rsidR="00E7417D" w:rsidRPr="00650EE4" w14:paraId="7CC8E2B2" w14:textId="77777777" w:rsidTr="00064053">
        <w:tc>
          <w:tcPr>
            <w:tcW w:w="846" w:type="dxa"/>
          </w:tcPr>
          <w:p w14:paraId="1FA11818" w14:textId="77777777" w:rsidR="00E7417D" w:rsidRPr="00650EE4" w:rsidRDefault="00E7417D" w:rsidP="00631BA6">
            <w:pPr>
              <w:pStyle w:val="TESlentelspavadinimas"/>
              <w:rPr>
                <w:noProof w:val="0"/>
              </w:rPr>
            </w:pPr>
            <w:r w:rsidRPr="00650EE4">
              <w:rPr>
                <w:noProof w:val="0"/>
                <w:lang w:eastAsia="lt-LT"/>
              </w:rPr>
              <w:t>6.</w:t>
            </w:r>
          </w:p>
        </w:tc>
        <w:tc>
          <w:tcPr>
            <w:tcW w:w="4536" w:type="dxa"/>
          </w:tcPr>
          <w:p w14:paraId="0226094B" w14:textId="77777777" w:rsidR="00E7417D" w:rsidRPr="00650EE4" w:rsidRDefault="00E7417D" w:rsidP="00631BA6">
            <w:pPr>
              <w:pStyle w:val="TESlentelspavadinimas"/>
              <w:rPr>
                <w:noProof w:val="0"/>
              </w:rPr>
            </w:pPr>
            <w:r w:rsidRPr="00650EE4">
              <w:rPr>
                <w:noProof w:val="0"/>
              </w:rPr>
              <w:t>2014-2016</w:t>
            </w:r>
          </w:p>
        </w:tc>
        <w:tc>
          <w:tcPr>
            <w:tcW w:w="4812" w:type="dxa"/>
            <w:vAlign w:val="bottom"/>
          </w:tcPr>
          <w:p w14:paraId="083F3B0C" w14:textId="77777777" w:rsidR="00E7417D" w:rsidRPr="00650EE4" w:rsidRDefault="00E7417D" w:rsidP="00631BA6">
            <w:pPr>
              <w:pStyle w:val="TESlentelspavadinimas"/>
              <w:rPr>
                <w:noProof w:val="0"/>
              </w:rPr>
            </w:pPr>
            <w:r w:rsidRPr="00650EE4">
              <w:rPr>
                <w:noProof w:val="0"/>
              </w:rPr>
              <w:t>B</w:t>
            </w:r>
          </w:p>
        </w:tc>
      </w:tr>
      <w:tr w:rsidR="00E7417D" w:rsidRPr="00650EE4" w14:paraId="6575C209" w14:textId="77777777" w:rsidTr="00064053">
        <w:tc>
          <w:tcPr>
            <w:tcW w:w="846" w:type="dxa"/>
          </w:tcPr>
          <w:p w14:paraId="41ADC55C" w14:textId="77777777" w:rsidR="00E7417D" w:rsidRPr="00650EE4" w:rsidRDefault="00E7417D" w:rsidP="00631BA6">
            <w:pPr>
              <w:pStyle w:val="TESlentelspavadinimas"/>
              <w:rPr>
                <w:noProof w:val="0"/>
              </w:rPr>
            </w:pPr>
            <w:r w:rsidRPr="00650EE4">
              <w:rPr>
                <w:noProof w:val="0"/>
                <w:lang w:eastAsia="lt-LT"/>
              </w:rPr>
              <w:t>7.</w:t>
            </w:r>
          </w:p>
        </w:tc>
        <w:tc>
          <w:tcPr>
            <w:tcW w:w="4536" w:type="dxa"/>
            <w:vAlign w:val="bottom"/>
          </w:tcPr>
          <w:p w14:paraId="42792AF8" w14:textId="77777777" w:rsidR="00E7417D" w:rsidRPr="00650EE4" w:rsidRDefault="00E7417D" w:rsidP="00631BA6">
            <w:pPr>
              <w:pStyle w:val="TESlentelspavadinimas"/>
              <w:rPr>
                <w:noProof w:val="0"/>
              </w:rPr>
            </w:pPr>
            <w:r w:rsidRPr="00650EE4">
              <w:rPr>
                <w:noProof w:val="0"/>
              </w:rPr>
              <w:t>2017-2018</w:t>
            </w:r>
          </w:p>
        </w:tc>
        <w:tc>
          <w:tcPr>
            <w:tcW w:w="4812" w:type="dxa"/>
            <w:vAlign w:val="bottom"/>
          </w:tcPr>
          <w:p w14:paraId="3D72500C" w14:textId="77777777" w:rsidR="00E7417D" w:rsidRPr="00650EE4" w:rsidRDefault="00E7417D" w:rsidP="00631BA6">
            <w:pPr>
              <w:pStyle w:val="TESlentelspavadinimas"/>
              <w:rPr>
                <w:noProof w:val="0"/>
              </w:rPr>
            </w:pPr>
            <w:r w:rsidRPr="00650EE4">
              <w:rPr>
                <w:noProof w:val="0"/>
              </w:rPr>
              <w:t>B</w:t>
            </w:r>
          </w:p>
        </w:tc>
      </w:tr>
      <w:tr w:rsidR="00E7417D" w:rsidRPr="00650EE4" w14:paraId="10E45F82" w14:textId="77777777" w:rsidTr="00064053">
        <w:tc>
          <w:tcPr>
            <w:tcW w:w="846" w:type="dxa"/>
          </w:tcPr>
          <w:p w14:paraId="71A1BFC3" w14:textId="77777777" w:rsidR="00E7417D" w:rsidRPr="00650EE4" w:rsidRDefault="00E7417D" w:rsidP="00631BA6">
            <w:pPr>
              <w:pStyle w:val="TESlentelspavadinimas"/>
              <w:rPr>
                <w:noProof w:val="0"/>
                <w:lang w:eastAsia="lt-LT"/>
              </w:rPr>
            </w:pPr>
            <w:r w:rsidRPr="00650EE4">
              <w:rPr>
                <w:noProof w:val="0"/>
                <w:lang w:eastAsia="lt-LT"/>
              </w:rPr>
              <w:t>8.</w:t>
            </w:r>
          </w:p>
        </w:tc>
        <w:tc>
          <w:tcPr>
            <w:tcW w:w="4536" w:type="dxa"/>
            <w:vAlign w:val="bottom"/>
          </w:tcPr>
          <w:p w14:paraId="65469CA4" w14:textId="77777777" w:rsidR="00E7417D" w:rsidRPr="00650EE4" w:rsidRDefault="00E7417D" w:rsidP="00631BA6">
            <w:pPr>
              <w:pStyle w:val="TESlentelspavadinimas"/>
              <w:rPr>
                <w:noProof w:val="0"/>
              </w:rPr>
            </w:pPr>
            <w:r w:rsidRPr="00650EE4">
              <w:rPr>
                <w:noProof w:val="0"/>
              </w:rPr>
              <w:t>2019</w:t>
            </w:r>
          </w:p>
        </w:tc>
        <w:tc>
          <w:tcPr>
            <w:tcW w:w="4812" w:type="dxa"/>
            <w:vAlign w:val="bottom"/>
          </w:tcPr>
          <w:p w14:paraId="60F422B5" w14:textId="77777777" w:rsidR="00E7417D" w:rsidRPr="00650EE4" w:rsidRDefault="00E7417D" w:rsidP="00631BA6">
            <w:pPr>
              <w:pStyle w:val="TESlentelspavadinimas"/>
              <w:rPr>
                <w:noProof w:val="0"/>
              </w:rPr>
            </w:pPr>
            <w:r w:rsidRPr="00650EE4">
              <w:rPr>
                <w:noProof w:val="0"/>
              </w:rPr>
              <w:t>A</w:t>
            </w:r>
          </w:p>
        </w:tc>
      </w:tr>
    </w:tbl>
    <w:p w14:paraId="2430CB54" w14:textId="6946D6C2" w:rsidR="00E7417D" w:rsidRPr="00650EE4" w:rsidRDefault="00E7417D" w:rsidP="000F7625">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501B06">
        <w:rPr>
          <w:rFonts w:ascii="Times New Roman" w:eastAsia="Times New Roman" w:hAnsi="Times New Roman"/>
          <w:i/>
          <w:color w:val="000000" w:themeColor="text1"/>
          <w:sz w:val="20"/>
          <w:szCs w:val="20"/>
        </w:rPr>
        <w:t xml:space="preserve"> </w:t>
      </w:r>
      <w:r w:rsidR="00501B06">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040B9A5C" w14:textId="77777777" w:rsidR="00E7417D" w:rsidRPr="00650EE4" w:rsidRDefault="00E7417D" w:rsidP="00E36BA0">
      <w:pPr>
        <w:spacing w:line="240" w:lineRule="auto"/>
        <w:jc w:val="both"/>
        <w:rPr>
          <w:rFonts w:ascii="Times New Roman" w:hAnsi="Times New Roman"/>
          <w:color w:val="000000" w:themeColor="text1"/>
          <w:szCs w:val="22"/>
        </w:rPr>
      </w:pPr>
    </w:p>
    <w:p w14:paraId="795C08B2" w14:textId="6E81C76D" w:rsidR="00CA07B0" w:rsidRPr="00650EE4" w:rsidRDefault="00CA07B0" w:rsidP="008640CF">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Lentelė</w:t>
      </w:r>
      <w:r w:rsidR="00231172"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e žemiau pateikiam</w:t>
      </w:r>
      <w:r w:rsidR="00093731">
        <w:rPr>
          <w:rFonts w:ascii="Times New Roman" w:hAnsi="Times New Roman"/>
          <w:color w:val="000000" w:themeColor="text1"/>
          <w:szCs w:val="22"/>
          <w:lang w:val="lt-LT"/>
        </w:rPr>
        <w:t>i p</w:t>
      </w:r>
      <w:r w:rsidR="00231172" w:rsidRPr="00650EE4">
        <w:rPr>
          <w:rFonts w:ascii="Times New Roman" w:hAnsi="Times New Roman"/>
          <w:color w:val="000000" w:themeColor="text1"/>
          <w:szCs w:val="22"/>
          <w:lang w:val="lt-LT"/>
        </w:rPr>
        <w:t xml:space="preserve">astatų fondo duomenys </w:t>
      </w:r>
      <w:r w:rsidRPr="00650EE4">
        <w:rPr>
          <w:rFonts w:ascii="Times New Roman" w:hAnsi="Times New Roman"/>
          <w:color w:val="000000" w:themeColor="text1"/>
          <w:szCs w:val="22"/>
          <w:lang w:val="lt-LT"/>
        </w:rPr>
        <w:t>pagal energ</w:t>
      </w:r>
      <w:r w:rsidR="00350EBE" w:rsidRPr="00650EE4">
        <w:rPr>
          <w:rFonts w:ascii="Times New Roman" w:hAnsi="Times New Roman"/>
          <w:color w:val="000000" w:themeColor="text1"/>
          <w:szCs w:val="22"/>
          <w:lang w:val="lt-LT"/>
        </w:rPr>
        <w:t>inio naudingumo</w:t>
      </w:r>
      <w:r w:rsidRPr="00650EE4">
        <w:rPr>
          <w:rFonts w:ascii="Times New Roman" w:hAnsi="Times New Roman"/>
          <w:color w:val="000000" w:themeColor="text1"/>
          <w:szCs w:val="22"/>
          <w:lang w:val="lt-LT"/>
        </w:rPr>
        <w:t xml:space="preserve"> klasę. </w:t>
      </w:r>
    </w:p>
    <w:p w14:paraId="0F247C28" w14:textId="478F5F86" w:rsidR="00CA07B0"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40" w:name="_Toc67925197"/>
      <w:r w:rsidR="007744C1">
        <w:t>14</w:t>
      </w:r>
      <w:r w:rsidRPr="00650EE4">
        <w:rPr>
          <w:noProof w:val="0"/>
        </w:rPr>
        <w:fldChar w:fldCharType="end"/>
      </w:r>
      <w:r w:rsidR="0070585A" w:rsidRPr="00650EE4">
        <w:rPr>
          <w:noProof w:val="0"/>
        </w:rPr>
        <w:t xml:space="preserve"> lentelė</w:t>
      </w:r>
      <w:r w:rsidR="00CA07B0" w:rsidRPr="00650EE4">
        <w:rPr>
          <w:noProof w:val="0"/>
        </w:rPr>
        <w:t xml:space="preserve">. Pastatų fondas pagal </w:t>
      </w:r>
      <w:r w:rsidR="0012644B" w:rsidRPr="00650EE4">
        <w:rPr>
          <w:noProof w:val="0"/>
        </w:rPr>
        <w:t>energinio naudingumo</w:t>
      </w:r>
      <w:r w:rsidR="00CA07B0" w:rsidRPr="00650EE4">
        <w:rPr>
          <w:noProof w:val="0"/>
        </w:rPr>
        <w:t xml:space="preserve"> klasę (</w:t>
      </w:r>
      <w:r w:rsidR="004748E0" w:rsidRPr="00650EE4">
        <w:rPr>
          <w:noProof w:val="0"/>
        </w:rPr>
        <w:t>vnt.</w:t>
      </w:r>
      <w:r w:rsidR="00CA07B0" w:rsidRPr="00650EE4">
        <w:rPr>
          <w:noProof w:val="0"/>
        </w:rPr>
        <w:t>)</w:t>
      </w:r>
      <w:bookmarkEnd w:id="40"/>
    </w:p>
    <w:tbl>
      <w:tblPr>
        <w:tblW w:w="5000" w:type="pct"/>
        <w:tblLook w:val="04A0" w:firstRow="1" w:lastRow="0" w:firstColumn="1" w:lastColumn="0" w:noHBand="0" w:noVBand="1"/>
      </w:tblPr>
      <w:tblGrid>
        <w:gridCol w:w="2050"/>
        <w:gridCol w:w="1056"/>
        <w:gridCol w:w="1059"/>
        <w:gridCol w:w="1059"/>
        <w:gridCol w:w="1059"/>
        <w:gridCol w:w="1059"/>
        <w:gridCol w:w="1065"/>
        <w:gridCol w:w="1019"/>
        <w:gridCol w:w="994"/>
      </w:tblGrid>
      <w:tr w:rsidR="00EE24E1" w:rsidRPr="00650EE4" w14:paraId="5FEDD249" w14:textId="77777777" w:rsidTr="004B0384">
        <w:tc>
          <w:tcPr>
            <w:tcW w:w="984"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1C63F201"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5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147C21E" w14:textId="01C6DFDE"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w:t>
            </w:r>
            <w:r w:rsidR="00D90413" w:rsidRPr="00650EE4">
              <w:rPr>
                <w:rFonts w:ascii="Times New Roman" w:eastAsia="Times New Roman" w:hAnsi="Times New Roman"/>
                <w:b/>
                <w:bCs/>
                <w:sz w:val="20"/>
                <w:szCs w:val="20"/>
              </w:rPr>
              <w:t>inio naudingumo</w:t>
            </w:r>
            <w:r w:rsidRPr="00650EE4">
              <w:rPr>
                <w:rFonts w:ascii="Times New Roman" w:eastAsia="Times New Roman" w:hAnsi="Times New Roman"/>
                <w:b/>
                <w:bCs/>
                <w:sz w:val="20"/>
                <w:szCs w:val="20"/>
              </w:rPr>
              <w:t xml:space="preserve"> klasė</w:t>
            </w:r>
          </w:p>
        </w:tc>
        <w:tc>
          <w:tcPr>
            <w:tcW w:w="489" w:type="pct"/>
            <w:vMerge w:val="restart"/>
            <w:tcBorders>
              <w:top w:val="single" w:sz="4" w:space="0" w:color="auto"/>
              <w:left w:val="nil"/>
              <w:bottom w:val="single" w:sz="4" w:space="0" w:color="000000"/>
              <w:right w:val="nil"/>
            </w:tcBorders>
            <w:shd w:val="clear" w:color="000000" w:fill="FFFFFF"/>
            <w:vAlign w:val="center"/>
            <w:hideMark/>
          </w:tcPr>
          <w:p w14:paraId="78EEC3C0"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D88832"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EE24E1" w:rsidRPr="00650EE4" w14:paraId="1ACCA039" w14:textId="77777777" w:rsidTr="00A5641B">
        <w:trPr>
          <w:trHeight w:val="49"/>
        </w:trPr>
        <w:tc>
          <w:tcPr>
            <w:tcW w:w="984" w:type="pct"/>
            <w:vMerge/>
            <w:tcBorders>
              <w:top w:val="single" w:sz="4" w:space="0" w:color="auto"/>
              <w:left w:val="single" w:sz="4" w:space="0" w:color="auto"/>
              <w:bottom w:val="single" w:sz="4" w:space="0" w:color="000000"/>
              <w:right w:val="nil"/>
            </w:tcBorders>
            <w:vAlign w:val="center"/>
            <w:hideMark/>
          </w:tcPr>
          <w:p w14:paraId="41A9188E" w14:textId="77777777" w:rsidR="00EE24E1" w:rsidRPr="00650EE4" w:rsidRDefault="00EE24E1" w:rsidP="00EE24E1">
            <w:pPr>
              <w:spacing w:line="240" w:lineRule="auto"/>
              <w:rPr>
                <w:rFonts w:ascii="Times New Roman" w:eastAsia="Times New Roman" w:hAnsi="Times New Roman"/>
                <w:b/>
                <w:bCs/>
                <w:sz w:val="20"/>
                <w:szCs w:val="20"/>
              </w:rPr>
            </w:pPr>
          </w:p>
        </w:tc>
        <w:tc>
          <w:tcPr>
            <w:tcW w:w="507" w:type="pct"/>
            <w:tcBorders>
              <w:top w:val="nil"/>
              <w:left w:val="single" w:sz="4" w:space="0" w:color="auto"/>
              <w:bottom w:val="single" w:sz="4" w:space="0" w:color="auto"/>
              <w:right w:val="nil"/>
            </w:tcBorders>
            <w:shd w:val="clear" w:color="000000" w:fill="FFFFFF"/>
            <w:vAlign w:val="center"/>
            <w:hideMark/>
          </w:tcPr>
          <w:p w14:paraId="0F1FD7DB" w14:textId="368A0112" w:rsidR="00EE24E1" w:rsidRPr="00650EE4" w:rsidRDefault="009C5269"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8" w:type="pct"/>
            <w:tcBorders>
              <w:top w:val="nil"/>
              <w:left w:val="nil"/>
              <w:bottom w:val="single" w:sz="4" w:space="0" w:color="auto"/>
              <w:right w:val="nil"/>
            </w:tcBorders>
            <w:shd w:val="clear" w:color="000000" w:fill="FFFFFF"/>
            <w:vAlign w:val="center"/>
            <w:hideMark/>
          </w:tcPr>
          <w:p w14:paraId="53A89EFC"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8" w:type="pct"/>
            <w:tcBorders>
              <w:top w:val="nil"/>
              <w:left w:val="nil"/>
              <w:bottom w:val="single" w:sz="4" w:space="0" w:color="auto"/>
              <w:right w:val="nil"/>
            </w:tcBorders>
            <w:shd w:val="clear" w:color="000000" w:fill="FFFFFF"/>
            <w:vAlign w:val="center"/>
            <w:hideMark/>
          </w:tcPr>
          <w:p w14:paraId="06E80CC1"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8" w:type="pct"/>
            <w:tcBorders>
              <w:top w:val="nil"/>
              <w:left w:val="nil"/>
              <w:bottom w:val="single" w:sz="4" w:space="0" w:color="auto"/>
              <w:right w:val="nil"/>
            </w:tcBorders>
            <w:shd w:val="clear" w:color="000000" w:fill="FFFFFF"/>
            <w:vAlign w:val="center"/>
            <w:hideMark/>
          </w:tcPr>
          <w:p w14:paraId="0F3E0E79"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8" w:type="pct"/>
            <w:tcBorders>
              <w:top w:val="nil"/>
              <w:left w:val="nil"/>
              <w:bottom w:val="single" w:sz="4" w:space="0" w:color="auto"/>
              <w:right w:val="nil"/>
            </w:tcBorders>
            <w:shd w:val="clear" w:color="000000" w:fill="FFFFFF"/>
            <w:vAlign w:val="center"/>
            <w:hideMark/>
          </w:tcPr>
          <w:p w14:paraId="5ABE00F0"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1" w:type="pct"/>
            <w:tcBorders>
              <w:top w:val="nil"/>
              <w:left w:val="nil"/>
              <w:bottom w:val="single" w:sz="4" w:space="0" w:color="auto"/>
              <w:right w:val="single" w:sz="4" w:space="0" w:color="auto"/>
            </w:tcBorders>
            <w:shd w:val="clear" w:color="000000" w:fill="FFFFFF"/>
            <w:vAlign w:val="center"/>
            <w:hideMark/>
          </w:tcPr>
          <w:p w14:paraId="4636CDE1"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9" w:type="pct"/>
            <w:vMerge/>
            <w:tcBorders>
              <w:top w:val="single" w:sz="4" w:space="0" w:color="auto"/>
              <w:left w:val="nil"/>
              <w:bottom w:val="single" w:sz="4" w:space="0" w:color="000000"/>
              <w:right w:val="nil"/>
            </w:tcBorders>
            <w:vAlign w:val="center"/>
            <w:hideMark/>
          </w:tcPr>
          <w:p w14:paraId="3F8510A6" w14:textId="77777777" w:rsidR="00EE24E1" w:rsidRPr="00650EE4" w:rsidRDefault="00EE24E1" w:rsidP="00EE24E1">
            <w:pPr>
              <w:spacing w:line="240" w:lineRule="auto"/>
              <w:rPr>
                <w:rFonts w:ascii="Times New Roman" w:eastAsia="Times New Roman" w:hAnsi="Times New Roman"/>
                <w:b/>
                <w:bCs/>
                <w:sz w:val="20"/>
                <w:szCs w:val="20"/>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14:paraId="6EDC76F6" w14:textId="77777777" w:rsidR="00EE24E1" w:rsidRPr="00650EE4" w:rsidRDefault="00EE24E1" w:rsidP="00EE24E1">
            <w:pPr>
              <w:spacing w:line="240" w:lineRule="auto"/>
              <w:rPr>
                <w:rFonts w:ascii="Times New Roman" w:eastAsia="Times New Roman" w:hAnsi="Times New Roman"/>
                <w:b/>
                <w:bCs/>
                <w:sz w:val="20"/>
                <w:szCs w:val="20"/>
              </w:rPr>
            </w:pPr>
          </w:p>
        </w:tc>
      </w:tr>
      <w:tr w:rsidR="00EE24E1" w:rsidRPr="00650EE4" w14:paraId="52914DA4" w14:textId="77777777" w:rsidTr="004B0384">
        <w:tc>
          <w:tcPr>
            <w:tcW w:w="984" w:type="pct"/>
            <w:tcBorders>
              <w:top w:val="nil"/>
              <w:left w:val="single" w:sz="4" w:space="0" w:color="auto"/>
              <w:bottom w:val="single" w:sz="4" w:space="0" w:color="auto"/>
              <w:right w:val="nil"/>
            </w:tcBorders>
            <w:shd w:val="clear" w:color="000000" w:fill="F2F2F2"/>
            <w:noWrap/>
            <w:vAlign w:val="center"/>
            <w:hideMark/>
          </w:tcPr>
          <w:p w14:paraId="372B7111" w14:textId="77777777" w:rsidR="00EE24E1" w:rsidRPr="00650EE4" w:rsidRDefault="00EE24E1" w:rsidP="00EE24E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7" w:type="pct"/>
            <w:tcBorders>
              <w:top w:val="nil"/>
              <w:left w:val="single" w:sz="4" w:space="0" w:color="auto"/>
              <w:bottom w:val="single" w:sz="4" w:space="0" w:color="auto"/>
              <w:right w:val="nil"/>
            </w:tcBorders>
            <w:shd w:val="clear" w:color="000000" w:fill="F2F2F2"/>
            <w:noWrap/>
            <w:vAlign w:val="center"/>
            <w:hideMark/>
          </w:tcPr>
          <w:p w14:paraId="189D6229"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342.160</w:t>
            </w:r>
          </w:p>
        </w:tc>
        <w:tc>
          <w:tcPr>
            <w:tcW w:w="508" w:type="pct"/>
            <w:tcBorders>
              <w:top w:val="nil"/>
              <w:left w:val="nil"/>
              <w:bottom w:val="single" w:sz="4" w:space="0" w:color="auto"/>
              <w:right w:val="nil"/>
            </w:tcBorders>
            <w:shd w:val="clear" w:color="000000" w:fill="F2F2F2"/>
            <w:noWrap/>
            <w:vAlign w:val="center"/>
            <w:hideMark/>
          </w:tcPr>
          <w:p w14:paraId="68CB6F39"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176.116</w:t>
            </w:r>
          </w:p>
        </w:tc>
        <w:tc>
          <w:tcPr>
            <w:tcW w:w="508" w:type="pct"/>
            <w:tcBorders>
              <w:top w:val="nil"/>
              <w:left w:val="nil"/>
              <w:bottom w:val="single" w:sz="4" w:space="0" w:color="auto"/>
              <w:right w:val="nil"/>
            </w:tcBorders>
            <w:shd w:val="clear" w:color="000000" w:fill="F2F2F2"/>
            <w:noWrap/>
            <w:vAlign w:val="center"/>
            <w:hideMark/>
          </w:tcPr>
          <w:p w14:paraId="5F76BD9D"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43.305</w:t>
            </w:r>
          </w:p>
        </w:tc>
        <w:tc>
          <w:tcPr>
            <w:tcW w:w="508" w:type="pct"/>
            <w:tcBorders>
              <w:top w:val="nil"/>
              <w:left w:val="nil"/>
              <w:bottom w:val="single" w:sz="4" w:space="0" w:color="auto"/>
              <w:right w:val="nil"/>
            </w:tcBorders>
            <w:shd w:val="clear" w:color="000000" w:fill="F2F2F2"/>
            <w:noWrap/>
            <w:vAlign w:val="center"/>
            <w:hideMark/>
          </w:tcPr>
          <w:p w14:paraId="69551D0E"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8.077</w:t>
            </w:r>
          </w:p>
        </w:tc>
        <w:tc>
          <w:tcPr>
            <w:tcW w:w="508" w:type="pct"/>
            <w:tcBorders>
              <w:top w:val="nil"/>
              <w:left w:val="nil"/>
              <w:bottom w:val="single" w:sz="4" w:space="0" w:color="auto"/>
              <w:right w:val="nil"/>
            </w:tcBorders>
            <w:shd w:val="clear" w:color="000000" w:fill="F2F2F2"/>
            <w:noWrap/>
            <w:vAlign w:val="center"/>
            <w:hideMark/>
          </w:tcPr>
          <w:p w14:paraId="014886F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837</w:t>
            </w:r>
          </w:p>
        </w:tc>
        <w:tc>
          <w:tcPr>
            <w:tcW w:w="511" w:type="pct"/>
            <w:tcBorders>
              <w:top w:val="nil"/>
              <w:left w:val="nil"/>
              <w:bottom w:val="single" w:sz="4" w:space="0" w:color="auto"/>
              <w:right w:val="single" w:sz="4" w:space="0" w:color="auto"/>
            </w:tcBorders>
            <w:shd w:val="clear" w:color="000000" w:fill="F2F2F2"/>
            <w:noWrap/>
            <w:vAlign w:val="center"/>
            <w:hideMark/>
          </w:tcPr>
          <w:p w14:paraId="566D91C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w:t>
            </w:r>
          </w:p>
        </w:tc>
        <w:tc>
          <w:tcPr>
            <w:tcW w:w="489" w:type="pct"/>
            <w:tcBorders>
              <w:top w:val="nil"/>
              <w:left w:val="nil"/>
              <w:bottom w:val="single" w:sz="4" w:space="0" w:color="auto"/>
              <w:right w:val="nil"/>
            </w:tcBorders>
            <w:shd w:val="clear" w:color="000000" w:fill="F2F2F2"/>
            <w:noWrap/>
            <w:vAlign w:val="center"/>
            <w:hideMark/>
          </w:tcPr>
          <w:p w14:paraId="447DA0E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570.513</w:t>
            </w:r>
          </w:p>
        </w:tc>
        <w:tc>
          <w:tcPr>
            <w:tcW w:w="477" w:type="pct"/>
            <w:tcBorders>
              <w:top w:val="nil"/>
              <w:left w:val="single" w:sz="4" w:space="0" w:color="auto"/>
              <w:bottom w:val="single" w:sz="4" w:space="0" w:color="auto"/>
              <w:right w:val="single" w:sz="4" w:space="0" w:color="auto"/>
            </w:tcBorders>
            <w:shd w:val="clear" w:color="000000" w:fill="F2F2F2"/>
            <w:noWrap/>
            <w:vAlign w:val="center"/>
            <w:hideMark/>
          </w:tcPr>
          <w:p w14:paraId="2291E880"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86%</w:t>
            </w:r>
          </w:p>
        </w:tc>
      </w:tr>
      <w:tr w:rsidR="00EE24E1" w:rsidRPr="00650EE4" w14:paraId="1830FE0A" w14:textId="77777777" w:rsidTr="004B0384">
        <w:tc>
          <w:tcPr>
            <w:tcW w:w="984" w:type="pct"/>
            <w:tcBorders>
              <w:top w:val="nil"/>
              <w:left w:val="single" w:sz="4" w:space="0" w:color="auto"/>
              <w:bottom w:val="nil"/>
              <w:right w:val="nil"/>
            </w:tcBorders>
            <w:shd w:val="clear" w:color="000000" w:fill="FFFFFF"/>
            <w:noWrap/>
            <w:vAlign w:val="center"/>
            <w:hideMark/>
          </w:tcPr>
          <w:p w14:paraId="2B5C6FEF"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7" w:type="pct"/>
            <w:tcBorders>
              <w:top w:val="nil"/>
              <w:left w:val="single" w:sz="4" w:space="0" w:color="auto"/>
              <w:bottom w:val="nil"/>
              <w:right w:val="nil"/>
            </w:tcBorders>
            <w:shd w:val="clear" w:color="000000" w:fill="FFFFFF"/>
            <w:noWrap/>
            <w:vAlign w:val="center"/>
            <w:hideMark/>
          </w:tcPr>
          <w:p w14:paraId="143EF81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311.020</w:t>
            </w:r>
          </w:p>
        </w:tc>
        <w:tc>
          <w:tcPr>
            <w:tcW w:w="508" w:type="pct"/>
            <w:tcBorders>
              <w:top w:val="nil"/>
              <w:left w:val="nil"/>
              <w:bottom w:val="nil"/>
              <w:right w:val="nil"/>
            </w:tcBorders>
            <w:shd w:val="clear" w:color="000000" w:fill="FFFFFF"/>
            <w:noWrap/>
            <w:vAlign w:val="center"/>
            <w:hideMark/>
          </w:tcPr>
          <w:p w14:paraId="4EC17E0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170.969</w:t>
            </w:r>
          </w:p>
        </w:tc>
        <w:tc>
          <w:tcPr>
            <w:tcW w:w="508" w:type="pct"/>
            <w:tcBorders>
              <w:top w:val="nil"/>
              <w:left w:val="nil"/>
              <w:bottom w:val="nil"/>
              <w:right w:val="nil"/>
            </w:tcBorders>
            <w:shd w:val="clear" w:color="000000" w:fill="FFFFFF"/>
            <w:noWrap/>
            <w:vAlign w:val="center"/>
            <w:hideMark/>
          </w:tcPr>
          <w:p w14:paraId="700B9D7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38.912</w:t>
            </w:r>
          </w:p>
        </w:tc>
        <w:tc>
          <w:tcPr>
            <w:tcW w:w="508" w:type="pct"/>
            <w:tcBorders>
              <w:top w:val="nil"/>
              <w:left w:val="nil"/>
              <w:bottom w:val="nil"/>
              <w:right w:val="nil"/>
            </w:tcBorders>
            <w:shd w:val="clear" w:color="000000" w:fill="FFFFFF"/>
            <w:noWrap/>
            <w:vAlign w:val="center"/>
            <w:hideMark/>
          </w:tcPr>
          <w:p w14:paraId="08A3D0E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7.814</w:t>
            </w:r>
          </w:p>
        </w:tc>
        <w:tc>
          <w:tcPr>
            <w:tcW w:w="508" w:type="pct"/>
            <w:tcBorders>
              <w:top w:val="nil"/>
              <w:left w:val="nil"/>
              <w:bottom w:val="nil"/>
              <w:right w:val="nil"/>
            </w:tcBorders>
            <w:shd w:val="clear" w:color="000000" w:fill="FFFFFF"/>
            <w:noWrap/>
            <w:vAlign w:val="center"/>
            <w:hideMark/>
          </w:tcPr>
          <w:p w14:paraId="0F928B5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765</w:t>
            </w:r>
          </w:p>
        </w:tc>
        <w:tc>
          <w:tcPr>
            <w:tcW w:w="511" w:type="pct"/>
            <w:tcBorders>
              <w:top w:val="nil"/>
              <w:left w:val="nil"/>
              <w:bottom w:val="nil"/>
              <w:right w:val="single" w:sz="4" w:space="0" w:color="auto"/>
            </w:tcBorders>
            <w:shd w:val="clear" w:color="000000" w:fill="FFFFFF"/>
            <w:noWrap/>
            <w:vAlign w:val="center"/>
            <w:hideMark/>
          </w:tcPr>
          <w:p w14:paraId="03F80C0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89" w:type="pct"/>
            <w:tcBorders>
              <w:top w:val="nil"/>
              <w:left w:val="nil"/>
              <w:bottom w:val="nil"/>
              <w:right w:val="nil"/>
            </w:tcBorders>
            <w:shd w:val="clear" w:color="000000" w:fill="FFFFFF"/>
            <w:noWrap/>
            <w:vAlign w:val="center"/>
            <w:hideMark/>
          </w:tcPr>
          <w:p w14:paraId="5DF33632"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477" w:type="pct"/>
            <w:tcBorders>
              <w:top w:val="nil"/>
              <w:left w:val="single" w:sz="4" w:space="0" w:color="auto"/>
              <w:bottom w:val="nil"/>
              <w:right w:val="single" w:sz="4" w:space="0" w:color="auto"/>
            </w:tcBorders>
            <w:shd w:val="clear" w:color="000000" w:fill="FFFFFF"/>
            <w:noWrap/>
            <w:vAlign w:val="center"/>
            <w:hideMark/>
          </w:tcPr>
          <w:p w14:paraId="5673167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EE24E1" w:rsidRPr="00650EE4" w14:paraId="5C6F2EDF" w14:textId="77777777" w:rsidTr="004B0384">
        <w:tc>
          <w:tcPr>
            <w:tcW w:w="984" w:type="pct"/>
            <w:tcBorders>
              <w:top w:val="nil"/>
              <w:left w:val="single" w:sz="4" w:space="0" w:color="auto"/>
              <w:bottom w:val="nil"/>
              <w:right w:val="nil"/>
            </w:tcBorders>
            <w:shd w:val="clear" w:color="000000" w:fill="FFFFFF"/>
            <w:noWrap/>
            <w:vAlign w:val="center"/>
            <w:hideMark/>
          </w:tcPr>
          <w:p w14:paraId="2A8E8B51"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7" w:type="pct"/>
            <w:tcBorders>
              <w:top w:val="nil"/>
              <w:left w:val="single" w:sz="4" w:space="0" w:color="auto"/>
              <w:bottom w:val="nil"/>
              <w:right w:val="nil"/>
            </w:tcBorders>
            <w:shd w:val="clear" w:color="000000" w:fill="FFFFFF"/>
            <w:noWrap/>
            <w:vAlign w:val="center"/>
            <w:hideMark/>
          </w:tcPr>
          <w:p w14:paraId="3983796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31.140</w:t>
            </w:r>
          </w:p>
        </w:tc>
        <w:tc>
          <w:tcPr>
            <w:tcW w:w="508" w:type="pct"/>
            <w:tcBorders>
              <w:top w:val="nil"/>
              <w:left w:val="nil"/>
              <w:bottom w:val="nil"/>
              <w:right w:val="nil"/>
            </w:tcBorders>
            <w:shd w:val="clear" w:color="000000" w:fill="FFFFFF"/>
            <w:noWrap/>
            <w:vAlign w:val="center"/>
            <w:hideMark/>
          </w:tcPr>
          <w:p w14:paraId="03D5D34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5.146</w:t>
            </w:r>
          </w:p>
        </w:tc>
        <w:tc>
          <w:tcPr>
            <w:tcW w:w="508" w:type="pct"/>
            <w:tcBorders>
              <w:top w:val="nil"/>
              <w:left w:val="nil"/>
              <w:bottom w:val="nil"/>
              <w:right w:val="nil"/>
            </w:tcBorders>
            <w:shd w:val="clear" w:color="000000" w:fill="FFFFFF"/>
            <w:noWrap/>
            <w:vAlign w:val="center"/>
            <w:hideMark/>
          </w:tcPr>
          <w:p w14:paraId="3D179A6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4.393</w:t>
            </w:r>
          </w:p>
        </w:tc>
        <w:tc>
          <w:tcPr>
            <w:tcW w:w="508" w:type="pct"/>
            <w:tcBorders>
              <w:top w:val="nil"/>
              <w:left w:val="nil"/>
              <w:bottom w:val="nil"/>
              <w:right w:val="nil"/>
            </w:tcBorders>
            <w:shd w:val="clear" w:color="000000" w:fill="FFFFFF"/>
            <w:noWrap/>
            <w:vAlign w:val="center"/>
            <w:hideMark/>
          </w:tcPr>
          <w:p w14:paraId="4D8BE13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508" w:type="pct"/>
            <w:tcBorders>
              <w:top w:val="nil"/>
              <w:left w:val="nil"/>
              <w:bottom w:val="nil"/>
              <w:right w:val="nil"/>
            </w:tcBorders>
            <w:shd w:val="clear" w:color="000000" w:fill="FFFFFF"/>
            <w:noWrap/>
            <w:vAlign w:val="center"/>
            <w:hideMark/>
          </w:tcPr>
          <w:p w14:paraId="0A4C263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w:t>
            </w:r>
          </w:p>
        </w:tc>
        <w:tc>
          <w:tcPr>
            <w:tcW w:w="511" w:type="pct"/>
            <w:tcBorders>
              <w:top w:val="nil"/>
              <w:left w:val="nil"/>
              <w:bottom w:val="nil"/>
              <w:right w:val="single" w:sz="4" w:space="0" w:color="auto"/>
            </w:tcBorders>
            <w:shd w:val="clear" w:color="000000" w:fill="FFFFFF"/>
            <w:noWrap/>
            <w:vAlign w:val="center"/>
            <w:hideMark/>
          </w:tcPr>
          <w:p w14:paraId="2662018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89" w:type="pct"/>
            <w:tcBorders>
              <w:top w:val="nil"/>
              <w:left w:val="nil"/>
              <w:bottom w:val="nil"/>
              <w:right w:val="nil"/>
            </w:tcBorders>
            <w:shd w:val="clear" w:color="000000" w:fill="FFFFFF"/>
            <w:noWrap/>
            <w:vAlign w:val="center"/>
            <w:hideMark/>
          </w:tcPr>
          <w:p w14:paraId="18E0E505"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477" w:type="pct"/>
            <w:tcBorders>
              <w:top w:val="nil"/>
              <w:left w:val="single" w:sz="4" w:space="0" w:color="auto"/>
              <w:bottom w:val="nil"/>
              <w:right w:val="single" w:sz="4" w:space="0" w:color="auto"/>
            </w:tcBorders>
            <w:shd w:val="clear" w:color="000000" w:fill="FFFFFF"/>
            <w:noWrap/>
            <w:vAlign w:val="center"/>
            <w:hideMark/>
          </w:tcPr>
          <w:p w14:paraId="06BEAFE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EE24E1" w:rsidRPr="00650EE4" w14:paraId="0D454F3E" w14:textId="77777777" w:rsidTr="004B0384">
        <w:tc>
          <w:tcPr>
            <w:tcW w:w="984" w:type="pct"/>
            <w:tcBorders>
              <w:top w:val="single" w:sz="4" w:space="0" w:color="auto"/>
              <w:left w:val="single" w:sz="4" w:space="0" w:color="auto"/>
              <w:bottom w:val="single" w:sz="4" w:space="0" w:color="auto"/>
              <w:right w:val="nil"/>
            </w:tcBorders>
            <w:shd w:val="clear" w:color="000000" w:fill="F2F2F2"/>
            <w:noWrap/>
            <w:vAlign w:val="center"/>
            <w:hideMark/>
          </w:tcPr>
          <w:p w14:paraId="306607D1" w14:textId="77777777" w:rsidR="00EE24E1" w:rsidRPr="00650EE4" w:rsidRDefault="00EE24E1" w:rsidP="00EE24E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7" w:type="pct"/>
            <w:tcBorders>
              <w:top w:val="single" w:sz="4" w:space="0" w:color="auto"/>
              <w:left w:val="single" w:sz="4" w:space="0" w:color="auto"/>
              <w:bottom w:val="single" w:sz="4" w:space="0" w:color="auto"/>
              <w:right w:val="nil"/>
            </w:tcBorders>
            <w:shd w:val="clear" w:color="000000" w:fill="F2F2F2"/>
            <w:noWrap/>
            <w:vAlign w:val="center"/>
            <w:hideMark/>
          </w:tcPr>
          <w:p w14:paraId="5546987E"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78.175</w:t>
            </w:r>
          </w:p>
        </w:tc>
        <w:tc>
          <w:tcPr>
            <w:tcW w:w="508" w:type="pct"/>
            <w:tcBorders>
              <w:top w:val="single" w:sz="4" w:space="0" w:color="auto"/>
              <w:left w:val="nil"/>
              <w:bottom w:val="single" w:sz="4" w:space="0" w:color="auto"/>
              <w:right w:val="nil"/>
            </w:tcBorders>
            <w:shd w:val="clear" w:color="000000" w:fill="F2F2F2"/>
            <w:noWrap/>
            <w:vAlign w:val="center"/>
            <w:hideMark/>
          </w:tcPr>
          <w:p w14:paraId="10550320"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6.059</w:t>
            </w:r>
          </w:p>
        </w:tc>
        <w:tc>
          <w:tcPr>
            <w:tcW w:w="508" w:type="pct"/>
            <w:tcBorders>
              <w:top w:val="single" w:sz="4" w:space="0" w:color="auto"/>
              <w:left w:val="nil"/>
              <w:bottom w:val="single" w:sz="4" w:space="0" w:color="auto"/>
              <w:right w:val="nil"/>
            </w:tcBorders>
            <w:shd w:val="clear" w:color="000000" w:fill="F2F2F2"/>
            <w:noWrap/>
            <w:vAlign w:val="center"/>
            <w:hideMark/>
          </w:tcPr>
          <w:p w14:paraId="2865A4F0"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5.689</w:t>
            </w:r>
          </w:p>
        </w:tc>
        <w:tc>
          <w:tcPr>
            <w:tcW w:w="508" w:type="pct"/>
            <w:tcBorders>
              <w:top w:val="single" w:sz="4" w:space="0" w:color="auto"/>
              <w:left w:val="nil"/>
              <w:bottom w:val="single" w:sz="4" w:space="0" w:color="auto"/>
              <w:right w:val="nil"/>
            </w:tcBorders>
            <w:shd w:val="clear" w:color="000000" w:fill="F2F2F2"/>
            <w:noWrap/>
            <w:vAlign w:val="center"/>
            <w:hideMark/>
          </w:tcPr>
          <w:p w14:paraId="5E755B8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713</w:t>
            </w:r>
          </w:p>
        </w:tc>
        <w:tc>
          <w:tcPr>
            <w:tcW w:w="508" w:type="pct"/>
            <w:tcBorders>
              <w:top w:val="single" w:sz="4" w:space="0" w:color="auto"/>
              <w:left w:val="nil"/>
              <w:bottom w:val="single" w:sz="4" w:space="0" w:color="auto"/>
              <w:right w:val="nil"/>
            </w:tcBorders>
            <w:shd w:val="clear" w:color="000000" w:fill="F2F2F2"/>
            <w:noWrap/>
            <w:vAlign w:val="center"/>
            <w:hideMark/>
          </w:tcPr>
          <w:p w14:paraId="57447FA3"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125</w:t>
            </w:r>
          </w:p>
        </w:tc>
        <w:tc>
          <w:tcPr>
            <w:tcW w:w="511" w:type="pct"/>
            <w:tcBorders>
              <w:top w:val="single" w:sz="4" w:space="0" w:color="auto"/>
              <w:left w:val="nil"/>
              <w:bottom w:val="single" w:sz="4" w:space="0" w:color="auto"/>
              <w:right w:val="single" w:sz="4" w:space="0" w:color="auto"/>
            </w:tcBorders>
            <w:shd w:val="clear" w:color="000000" w:fill="F2F2F2"/>
            <w:noWrap/>
            <w:vAlign w:val="center"/>
            <w:hideMark/>
          </w:tcPr>
          <w:p w14:paraId="79E18241"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w:t>
            </w:r>
          </w:p>
        </w:tc>
        <w:tc>
          <w:tcPr>
            <w:tcW w:w="489" w:type="pct"/>
            <w:tcBorders>
              <w:top w:val="single" w:sz="4" w:space="0" w:color="auto"/>
              <w:left w:val="nil"/>
              <w:bottom w:val="single" w:sz="4" w:space="0" w:color="auto"/>
              <w:right w:val="nil"/>
            </w:tcBorders>
            <w:shd w:val="clear" w:color="000000" w:fill="F2F2F2"/>
            <w:noWrap/>
            <w:vAlign w:val="center"/>
            <w:hideMark/>
          </w:tcPr>
          <w:p w14:paraId="5B4EE2FC"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90.770</w:t>
            </w:r>
          </w:p>
        </w:tc>
        <w:tc>
          <w:tcPr>
            <w:tcW w:w="47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66C29F"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14%</w:t>
            </w:r>
          </w:p>
        </w:tc>
      </w:tr>
      <w:tr w:rsidR="00EE24E1" w:rsidRPr="00650EE4" w14:paraId="0D22A341" w14:textId="77777777" w:rsidTr="004B0384">
        <w:tc>
          <w:tcPr>
            <w:tcW w:w="984" w:type="pct"/>
            <w:tcBorders>
              <w:top w:val="nil"/>
              <w:left w:val="single" w:sz="4" w:space="0" w:color="auto"/>
              <w:bottom w:val="nil"/>
              <w:right w:val="nil"/>
            </w:tcBorders>
            <w:shd w:val="clear" w:color="000000" w:fill="FFFFFF"/>
            <w:noWrap/>
            <w:vAlign w:val="center"/>
            <w:hideMark/>
          </w:tcPr>
          <w:p w14:paraId="36FDAC34"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7" w:type="pct"/>
            <w:tcBorders>
              <w:top w:val="nil"/>
              <w:left w:val="single" w:sz="4" w:space="0" w:color="auto"/>
              <w:bottom w:val="nil"/>
              <w:right w:val="nil"/>
            </w:tcBorders>
            <w:shd w:val="clear" w:color="000000" w:fill="FFFFFF"/>
            <w:noWrap/>
            <w:vAlign w:val="center"/>
            <w:hideMark/>
          </w:tcPr>
          <w:p w14:paraId="3CC426F3"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44.552</w:t>
            </w:r>
          </w:p>
        </w:tc>
        <w:tc>
          <w:tcPr>
            <w:tcW w:w="508" w:type="pct"/>
            <w:tcBorders>
              <w:top w:val="nil"/>
              <w:left w:val="nil"/>
              <w:bottom w:val="nil"/>
              <w:right w:val="nil"/>
            </w:tcBorders>
            <w:shd w:val="clear" w:color="000000" w:fill="FFFFFF"/>
            <w:noWrap/>
            <w:vAlign w:val="center"/>
            <w:hideMark/>
          </w:tcPr>
          <w:p w14:paraId="4C170CD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2.091</w:t>
            </w:r>
          </w:p>
        </w:tc>
        <w:tc>
          <w:tcPr>
            <w:tcW w:w="508" w:type="pct"/>
            <w:tcBorders>
              <w:top w:val="nil"/>
              <w:left w:val="nil"/>
              <w:bottom w:val="nil"/>
              <w:right w:val="nil"/>
            </w:tcBorders>
            <w:shd w:val="clear" w:color="000000" w:fill="FFFFFF"/>
            <w:noWrap/>
            <w:vAlign w:val="center"/>
            <w:hideMark/>
          </w:tcPr>
          <w:p w14:paraId="2B55A3A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1.920</w:t>
            </w:r>
          </w:p>
        </w:tc>
        <w:tc>
          <w:tcPr>
            <w:tcW w:w="508" w:type="pct"/>
            <w:tcBorders>
              <w:top w:val="nil"/>
              <w:left w:val="nil"/>
              <w:bottom w:val="nil"/>
              <w:right w:val="nil"/>
            </w:tcBorders>
            <w:shd w:val="clear" w:color="000000" w:fill="FFFFFF"/>
            <w:noWrap/>
            <w:vAlign w:val="center"/>
            <w:hideMark/>
          </w:tcPr>
          <w:p w14:paraId="0F72F81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508" w:type="pct"/>
            <w:tcBorders>
              <w:top w:val="nil"/>
              <w:left w:val="nil"/>
              <w:bottom w:val="nil"/>
              <w:right w:val="nil"/>
            </w:tcBorders>
            <w:shd w:val="clear" w:color="000000" w:fill="FFFFFF"/>
            <w:noWrap/>
            <w:vAlign w:val="center"/>
            <w:hideMark/>
          </w:tcPr>
          <w:p w14:paraId="48A417F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c>
          <w:tcPr>
            <w:tcW w:w="511" w:type="pct"/>
            <w:tcBorders>
              <w:top w:val="nil"/>
              <w:left w:val="nil"/>
              <w:bottom w:val="nil"/>
              <w:right w:val="single" w:sz="4" w:space="0" w:color="auto"/>
            </w:tcBorders>
            <w:shd w:val="clear" w:color="000000" w:fill="FFFFFF"/>
            <w:noWrap/>
            <w:vAlign w:val="center"/>
            <w:hideMark/>
          </w:tcPr>
          <w:p w14:paraId="5A39475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89" w:type="pct"/>
            <w:tcBorders>
              <w:top w:val="nil"/>
              <w:left w:val="nil"/>
              <w:bottom w:val="nil"/>
              <w:right w:val="nil"/>
            </w:tcBorders>
            <w:shd w:val="clear" w:color="000000" w:fill="FFFFFF"/>
            <w:noWrap/>
            <w:vAlign w:val="center"/>
            <w:hideMark/>
          </w:tcPr>
          <w:p w14:paraId="62737753"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477" w:type="pct"/>
            <w:tcBorders>
              <w:top w:val="nil"/>
              <w:left w:val="single" w:sz="4" w:space="0" w:color="auto"/>
              <w:bottom w:val="nil"/>
              <w:right w:val="single" w:sz="4" w:space="0" w:color="auto"/>
            </w:tcBorders>
            <w:shd w:val="clear" w:color="000000" w:fill="FFFFFF"/>
            <w:noWrap/>
            <w:vAlign w:val="center"/>
            <w:hideMark/>
          </w:tcPr>
          <w:p w14:paraId="02B5A25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EE24E1" w:rsidRPr="00650EE4" w14:paraId="47E719A9" w14:textId="77777777" w:rsidTr="00A5641B">
        <w:trPr>
          <w:trHeight w:val="59"/>
        </w:trPr>
        <w:tc>
          <w:tcPr>
            <w:tcW w:w="984" w:type="pct"/>
            <w:tcBorders>
              <w:top w:val="nil"/>
              <w:left w:val="single" w:sz="4" w:space="0" w:color="auto"/>
              <w:bottom w:val="nil"/>
              <w:right w:val="nil"/>
            </w:tcBorders>
            <w:shd w:val="clear" w:color="000000" w:fill="FFFFFF"/>
            <w:noWrap/>
            <w:vAlign w:val="center"/>
            <w:hideMark/>
          </w:tcPr>
          <w:p w14:paraId="04DDA373"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7" w:type="pct"/>
            <w:tcBorders>
              <w:top w:val="nil"/>
              <w:left w:val="single" w:sz="4" w:space="0" w:color="auto"/>
              <w:bottom w:val="nil"/>
              <w:right w:val="nil"/>
            </w:tcBorders>
            <w:shd w:val="clear" w:color="000000" w:fill="FFFFFF"/>
            <w:noWrap/>
            <w:vAlign w:val="center"/>
            <w:hideMark/>
          </w:tcPr>
          <w:p w14:paraId="45D42B0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9.085</w:t>
            </w:r>
          </w:p>
        </w:tc>
        <w:tc>
          <w:tcPr>
            <w:tcW w:w="508" w:type="pct"/>
            <w:tcBorders>
              <w:top w:val="nil"/>
              <w:left w:val="nil"/>
              <w:bottom w:val="nil"/>
              <w:right w:val="nil"/>
            </w:tcBorders>
            <w:shd w:val="clear" w:color="000000" w:fill="FFFFFF"/>
            <w:noWrap/>
            <w:vAlign w:val="center"/>
            <w:hideMark/>
          </w:tcPr>
          <w:p w14:paraId="7783F905"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689</w:t>
            </w:r>
          </w:p>
        </w:tc>
        <w:tc>
          <w:tcPr>
            <w:tcW w:w="508" w:type="pct"/>
            <w:tcBorders>
              <w:top w:val="nil"/>
              <w:left w:val="nil"/>
              <w:bottom w:val="nil"/>
              <w:right w:val="nil"/>
            </w:tcBorders>
            <w:shd w:val="clear" w:color="000000" w:fill="FFFFFF"/>
            <w:noWrap/>
            <w:vAlign w:val="center"/>
            <w:hideMark/>
          </w:tcPr>
          <w:p w14:paraId="1CF53EB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505</w:t>
            </w:r>
          </w:p>
        </w:tc>
        <w:tc>
          <w:tcPr>
            <w:tcW w:w="508" w:type="pct"/>
            <w:tcBorders>
              <w:top w:val="nil"/>
              <w:left w:val="nil"/>
              <w:bottom w:val="nil"/>
              <w:right w:val="nil"/>
            </w:tcBorders>
            <w:shd w:val="clear" w:color="000000" w:fill="FFFFFF"/>
            <w:noWrap/>
            <w:vAlign w:val="center"/>
            <w:hideMark/>
          </w:tcPr>
          <w:p w14:paraId="0772A1C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08" w:type="pct"/>
            <w:tcBorders>
              <w:top w:val="nil"/>
              <w:left w:val="nil"/>
              <w:bottom w:val="nil"/>
              <w:right w:val="nil"/>
            </w:tcBorders>
            <w:shd w:val="clear" w:color="000000" w:fill="FFFFFF"/>
            <w:noWrap/>
            <w:vAlign w:val="center"/>
            <w:hideMark/>
          </w:tcPr>
          <w:p w14:paraId="53B63AB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11" w:type="pct"/>
            <w:tcBorders>
              <w:top w:val="nil"/>
              <w:left w:val="nil"/>
              <w:bottom w:val="nil"/>
              <w:right w:val="single" w:sz="4" w:space="0" w:color="auto"/>
            </w:tcBorders>
            <w:shd w:val="clear" w:color="000000" w:fill="FFFFFF"/>
            <w:noWrap/>
            <w:vAlign w:val="center"/>
            <w:hideMark/>
          </w:tcPr>
          <w:p w14:paraId="10F696D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5F06216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477" w:type="pct"/>
            <w:tcBorders>
              <w:top w:val="nil"/>
              <w:left w:val="single" w:sz="4" w:space="0" w:color="auto"/>
              <w:bottom w:val="nil"/>
              <w:right w:val="single" w:sz="4" w:space="0" w:color="auto"/>
            </w:tcBorders>
            <w:shd w:val="clear" w:color="000000" w:fill="FFFFFF"/>
            <w:noWrap/>
            <w:vAlign w:val="center"/>
            <w:hideMark/>
          </w:tcPr>
          <w:p w14:paraId="093B6D9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EE24E1" w:rsidRPr="00650EE4" w14:paraId="0728893E" w14:textId="77777777" w:rsidTr="004B0384">
        <w:tc>
          <w:tcPr>
            <w:tcW w:w="984" w:type="pct"/>
            <w:tcBorders>
              <w:top w:val="nil"/>
              <w:left w:val="single" w:sz="4" w:space="0" w:color="auto"/>
              <w:bottom w:val="nil"/>
              <w:right w:val="nil"/>
            </w:tcBorders>
            <w:shd w:val="clear" w:color="000000" w:fill="FFFFFF"/>
            <w:noWrap/>
            <w:vAlign w:val="center"/>
            <w:hideMark/>
          </w:tcPr>
          <w:p w14:paraId="07D034E6"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7" w:type="pct"/>
            <w:tcBorders>
              <w:top w:val="nil"/>
              <w:left w:val="single" w:sz="4" w:space="0" w:color="auto"/>
              <w:bottom w:val="nil"/>
              <w:right w:val="nil"/>
            </w:tcBorders>
            <w:shd w:val="clear" w:color="000000" w:fill="FFFFFF"/>
            <w:noWrap/>
            <w:vAlign w:val="center"/>
            <w:hideMark/>
          </w:tcPr>
          <w:p w14:paraId="598A207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3.743</w:t>
            </w:r>
          </w:p>
        </w:tc>
        <w:tc>
          <w:tcPr>
            <w:tcW w:w="508" w:type="pct"/>
            <w:tcBorders>
              <w:top w:val="nil"/>
              <w:left w:val="nil"/>
              <w:bottom w:val="nil"/>
              <w:right w:val="nil"/>
            </w:tcBorders>
            <w:shd w:val="clear" w:color="000000" w:fill="FFFFFF"/>
            <w:noWrap/>
            <w:vAlign w:val="center"/>
            <w:hideMark/>
          </w:tcPr>
          <w:p w14:paraId="230D397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634</w:t>
            </w:r>
          </w:p>
        </w:tc>
        <w:tc>
          <w:tcPr>
            <w:tcW w:w="508" w:type="pct"/>
            <w:tcBorders>
              <w:top w:val="nil"/>
              <w:left w:val="nil"/>
              <w:bottom w:val="nil"/>
              <w:right w:val="nil"/>
            </w:tcBorders>
            <w:shd w:val="clear" w:color="000000" w:fill="FFFFFF"/>
            <w:noWrap/>
            <w:vAlign w:val="center"/>
            <w:hideMark/>
          </w:tcPr>
          <w:p w14:paraId="4D61A2A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322</w:t>
            </w:r>
          </w:p>
        </w:tc>
        <w:tc>
          <w:tcPr>
            <w:tcW w:w="508" w:type="pct"/>
            <w:tcBorders>
              <w:top w:val="nil"/>
              <w:left w:val="nil"/>
              <w:bottom w:val="nil"/>
              <w:right w:val="nil"/>
            </w:tcBorders>
            <w:shd w:val="clear" w:color="000000" w:fill="FFFFFF"/>
            <w:noWrap/>
            <w:vAlign w:val="center"/>
            <w:hideMark/>
          </w:tcPr>
          <w:p w14:paraId="35AAC60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08" w:type="pct"/>
            <w:tcBorders>
              <w:top w:val="nil"/>
              <w:left w:val="nil"/>
              <w:bottom w:val="nil"/>
              <w:right w:val="nil"/>
            </w:tcBorders>
            <w:shd w:val="clear" w:color="000000" w:fill="FFFFFF"/>
            <w:noWrap/>
            <w:vAlign w:val="center"/>
            <w:hideMark/>
          </w:tcPr>
          <w:p w14:paraId="737AD13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11" w:type="pct"/>
            <w:tcBorders>
              <w:top w:val="nil"/>
              <w:left w:val="nil"/>
              <w:bottom w:val="nil"/>
              <w:right w:val="single" w:sz="4" w:space="0" w:color="auto"/>
            </w:tcBorders>
            <w:shd w:val="clear" w:color="000000" w:fill="FFFFFF"/>
            <w:noWrap/>
            <w:vAlign w:val="center"/>
            <w:hideMark/>
          </w:tcPr>
          <w:p w14:paraId="49B8A49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4B8FE417"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477" w:type="pct"/>
            <w:tcBorders>
              <w:top w:val="nil"/>
              <w:left w:val="single" w:sz="4" w:space="0" w:color="auto"/>
              <w:bottom w:val="nil"/>
              <w:right w:val="single" w:sz="4" w:space="0" w:color="auto"/>
            </w:tcBorders>
            <w:shd w:val="clear" w:color="000000" w:fill="FFFFFF"/>
            <w:noWrap/>
            <w:vAlign w:val="center"/>
            <w:hideMark/>
          </w:tcPr>
          <w:p w14:paraId="6A2E2403"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w:t>
            </w:r>
          </w:p>
        </w:tc>
      </w:tr>
      <w:tr w:rsidR="00EE24E1" w:rsidRPr="00650EE4" w14:paraId="46F1AF0A" w14:textId="77777777" w:rsidTr="004B0384">
        <w:tc>
          <w:tcPr>
            <w:tcW w:w="984" w:type="pct"/>
            <w:tcBorders>
              <w:top w:val="nil"/>
              <w:left w:val="single" w:sz="4" w:space="0" w:color="auto"/>
              <w:bottom w:val="nil"/>
              <w:right w:val="nil"/>
            </w:tcBorders>
            <w:shd w:val="clear" w:color="000000" w:fill="FFFFFF"/>
            <w:noWrap/>
            <w:vAlign w:val="center"/>
            <w:hideMark/>
          </w:tcPr>
          <w:p w14:paraId="3925D68E"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7" w:type="pct"/>
            <w:tcBorders>
              <w:top w:val="nil"/>
              <w:left w:val="single" w:sz="4" w:space="0" w:color="auto"/>
              <w:bottom w:val="nil"/>
              <w:right w:val="nil"/>
            </w:tcBorders>
            <w:shd w:val="clear" w:color="000000" w:fill="FFFFFF"/>
            <w:noWrap/>
            <w:vAlign w:val="center"/>
            <w:hideMark/>
          </w:tcPr>
          <w:p w14:paraId="7BA4E6E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7.129</w:t>
            </w:r>
          </w:p>
        </w:tc>
        <w:tc>
          <w:tcPr>
            <w:tcW w:w="508" w:type="pct"/>
            <w:tcBorders>
              <w:top w:val="nil"/>
              <w:left w:val="nil"/>
              <w:bottom w:val="nil"/>
              <w:right w:val="nil"/>
            </w:tcBorders>
            <w:shd w:val="clear" w:color="000000" w:fill="FFFFFF"/>
            <w:noWrap/>
            <w:vAlign w:val="center"/>
            <w:hideMark/>
          </w:tcPr>
          <w:p w14:paraId="003B9D5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626</w:t>
            </w:r>
          </w:p>
        </w:tc>
        <w:tc>
          <w:tcPr>
            <w:tcW w:w="508" w:type="pct"/>
            <w:tcBorders>
              <w:top w:val="nil"/>
              <w:left w:val="nil"/>
              <w:bottom w:val="nil"/>
              <w:right w:val="nil"/>
            </w:tcBorders>
            <w:shd w:val="clear" w:color="000000" w:fill="FFFFFF"/>
            <w:noWrap/>
            <w:vAlign w:val="center"/>
            <w:hideMark/>
          </w:tcPr>
          <w:p w14:paraId="0A0FCFA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865</w:t>
            </w:r>
          </w:p>
        </w:tc>
        <w:tc>
          <w:tcPr>
            <w:tcW w:w="508" w:type="pct"/>
            <w:tcBorders>
              <w:top w:val="nil"/>
              <w:left w:val="nil"/>
              <w:bottom w:val="nil"/>
              <w:right w:val="nil"/>
            </w:tcBorders>
            <w:shd w:val="clear" w:color="000000" w:fill="FFFFFF"/>
            <w:noWrap/>
            <w:vAlign w:val="center"/>
            <w:hideMark/>
          </w:tcPr>
          <w:p w14:paraId="1B9ED4C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508" w:type="pct"/>
            <w:tcBorders>
              <w:top w:val="nil"/>
              <w:left w:val="nil"/>
              <w:bottom w:val="nil"/>
              <w:right w:val="nil"/>
            </w:tcBorders>
            <w:shd w:val="clear" w:color="000000" w:fill="FFFFFF"/>
            <w:noWrap/>
            <w:vAlign w:val="center"/>
            <w:hideMark/>
          </w:tcPr>
          <w:p w14:paraId="375494B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c>
          <w:tcPr>
            <w:tcW w:w="511" w:type="pct"/>
            <w:tcBorders>
              <w:top w:val="nil"/>
              <w:left w:val="nil"/>
              <w:bottom w:val="nil"/>
              <w:right w:val="single" w:sz="4" w:space="0" w:color="auto"/>
            </w:tcBorders>
            <w:shd w:val="clear" w:color="000000" w:fill="FFFFFF"/>
            <w:noWrap/>
            <w:vAlign w:val="center"/>
            <w:hideMark/>
          </w:tcPr>
          <w:p w14:paraId="42DB272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9" w:type="pct"/>
            <w:tcBorders>
              <w:top w:val="nil"/>
              <w:left w:val="nil"/>
              <w:bottom w:val="nil"/>
              <w:right w:val="nil"/>
            </w:tcBorders>
            <w:shd w:val="clear" w:color="000000" w:fill="FFFFFF"/>
            <w:noWrap/>
            <w:vAlign w:val="center"/>
            <w:hideMark/>
          </w:tcPr>
          <w:p w14:paraId="6C7A21DD"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477" w:type="pct"/>
            <w:tcBorders>
              <w:top w:val="nil"/>
              <w:left w:val="single" w:sz="4" w:space="0" w:color="auto"/>
              <w:bottom w:val="nil"/>
              <w:right w:val="single" w:sz="4" w:space="0" w:color="auto"/>
            </w:tcBorders>
            <w:shd w:val="clear" w:color="000000" w:fill="FFFFFF"/>
            <w:noWrap/>
            <w:vAlign w:val="center"/>
            <w:hideMark/>
          </w:tcPr>
          <w:p w14:paraId="2472108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EE24E1" w:rsidRPr="00650EE4" w14:paraId="6CB868E6" w14:textId="77777777" w:rsidTr="004B0384">
        <w:tc>
          <w:tcPr>
            <w:tcW w:w="984" w:type="pct"/>
            <w:tcBorders>
              <w:top w:val="nil"/>
              <w:left w:val="single" w:sz="4" w:space="0" w:color="auto"/>
              <w:bottom w:val="nil"/>
              <w:right w:val="nil"/>
            </w:tcBorders>
            <w:shd w:val="clear" w:color="000000" w:fill="FFFFFF"/>
            <w:noWrap/>
            <w:vAlign w:val="center"/>
            <w:hideMark/>
          </w:tcPr>
          <w:p w14:paraId="40D4E6DA"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7" w:type="pct"/>
            <w:tcBorders>
              <w:top w:val="nil"/>
              <w:left w:val="single" w:sz="4" w:space="0" w:color="auto"/>
              <w:bottom w:val="nil"/>
              <w:right w:val="nil"/>
            </w:tcBorders>
            <w:shd w:val="clear" w:color="000000" w:fill="FFFFFF"/>
            <w:noWrap/>
            <w:vAlign w:val="center"/>
            <w:hideMark/>
          </w:tcPr>
          <w:p w14:paraId="42A9195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1.422</w:t>
            </w:r>
          </w:p>
        </w:tc>
        <w:tc>
          <w:tcPr>
            <w:tcW w:w="508" w:type="pct"/>
            <w:tcBorders>
              <w:top w:val="nil"/>
              <w:left w:val="nil"/>
              <w:bottom w:val="nil"/>
              <w:right w:val="nil"/>
            </w:tcBorders>
            <w:shd w:val="clear" w:color="000000" w:fill="FFFFFF"/>
            <w:noWrap/>
            <w:vAlign w:val="center"/>
            <w:hideMark/>
          </w:tcPr>
          <w:p w14:paraId="6C3D8713"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189</w:t>
            </w:r>
          </w:p>
        </w:tc>
        <w:tc>
          <w:tcPr>
            <w:tcW w:w="508" w:type="pct"/>
            <w:tcBorders>
              <w:top w:val="nil"/>
              <w:left w:val="nil"/>
              <w:bottom w:val="nil"/>
              <w:right w:val="nil"/>
            </w:tcBorders>
            <w:shd w:val="clear" w:color="000000" w:fill="FFFFFF"/>
            <w:noWrap/>
            <w:vAlign w:val="center"/>
            <w:hideMark/>
          </w:tcPr>
          <w:p w14:paraId="0F73E2C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221</w:t>
            </w:r>
          </w:p>
        </w:tc>
        <w:tc>
          <w:tcPr>
            <w:tcW w:w="508" w:type="pct"/>
            <w:tcBorders>
              <w:top w:val="nil"/>
              <w:left w:val="nil"/>
              <w:bottom w:val="nil"/>
              <w:right w:val="nil"/>
            </w:tcBorders>
            <w:shd w:val="clear" w:color="000000" w:fill="FFFFFF"/>
            <w:noWrap/>
            <w:vAlign w:val="center"/>
            <w:hideMark/>
          </w:tcPr>
          <w:p w14:paraId="6BCEF3E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08" w:type="pct"/>
            <w:tcBorders>
              <w:top w:val="nil"/>
              <w:left w:val="nil"/>
              <w:bottom w:val="nil"/>
              <w:right w:val="nil"/>
            </w:tcBorders>
            <w:shd w:val="clear" w:color="000000" w:fill="FFFFFF"/>
            <w:noWrap/>
            <w:vAlign w:val="center"/>
            <w:hideMark/>
          </w:tcPr>
          <w:p w14:paraId="7D6F02E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26CF8E5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9" w:type="pct"/>
            <w:tcBorders>
              <w:top w:val="nil"/>
              <w:left w:val="nil"/>
              <w:bottom w:val="nil"/>
              <w:right w:val="nil"/>
            </w:tcBorders>
            <w:shd w:val="clear" w:color="000000" w:fill="FFFFFF"/>
            <w:noWrap/>
            <w:vAlign w:val="center"/>
            <w:hideMark/>
          </w:tcPr>
          <w:p w14:paraId="0395916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477" w:type="pct"/>
            <w:tcBorders>
              <w:top w:val="nil"/>
              <w:left w:val="single" w:sz="4" w:space="0" w:color="auto"/>
              <w:bottom w:val="nil"/>
              <w:right w:val="single" w:sz="4" w:space="0" w:color="auto"/>
            </w:tcBorders>
            <w:shd w:val="clear" w:color="000000" w:fill="FFFFFF"/>
            <w:noWrap/>
            <w:vAlign w:val="center"/>
            <w:hideMark/>
          </w:tcPr>
          <w:p w14:paraId="1BF6F8E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EE24E1" w:rsidRPr="00650EE4" w14:paraId="48E7A821" w14:textId="77777777" w:rsidTr="004B0384">
        <w:tc>
          <w:tcPr>
            <w:tcW w:w="984" w:type="pct"/>
            <w:tcBorders>
              <w:top w:val="nil"/>
              <w:left w:val="single" w:sz="4" w:space="0" w:color="auto"/>
              <w:bottom w:val="nil"/>
              <w:right w:val="nil"/>
            </w:tcBorders>
            <w:shd w:val="clear" w:color="000000" w:fill="FFFFFF"/>
            <w:noWrap/>
            <w:vAlign w:val="center"/>
            <w:hideMark/>
          </w:tcPr>
          <w:p w14:paraId="799D205C"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7" w:type="pct"/>
            <w:tcBorders>
              <w:top w:val="nil"/>
              <w:left w:val="single" w:sz="4" w:space="0" w:color="auto"/>
              <w:bottom w:val="nil"/>
              <w:right w:val="nil"/>
            </w:tcBorders>
            <w:shd w:val="clear" w:color="000000" w:fill="FFFFFF"/>
            <w:noWrap/>
            <w:vAlign w:val="center"/>
            <w:hideMark/>
          </w:tcPr>
          <w:p w14:paraId="1BEF5D5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4.474</w:t>
            </w:r>
          </w:p>
        </w:tc>
        <w:tc>
          <w:tcPr>
            <w:tcW w:w="508" w:type="pct"/>
            <w:tcBorders>
              <w:top w:val="nil"/>
              <w:left w:val="nil"/>
              <w:bottom w:val="nil"/>
              <w:right w:val="nil"/>
            </w:tcBorders>
            <w:shd w:val="clear" w:color="000000" w:fill="FFFFFF"/>
            <w:noWrap/>
            <w:vAlign w:val="center"/>
            <w:hideMark/>
          </w:tcPr>
          <w:p w14:paraId="48DC8615"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1.066</w:t>
            </w:r>
          </w:p>
        </w:tc>
        <w:tc>
          <w:tcPr>
            <w:tcW w:w="508" w:type="pct"/>
            <w:tcBorders>
              <w:top w:val="nil"/>
              <w:left w:val="nil"/>
              <w:bottom w:val="nil"/>
              <w:right w:val="nil"/>
            </w:tcBorders>
            <w:shd w:val="clear" w:color="000000" w:fill="FFFFFF"/>
            <w:noWrap/>
            <w:vAlign w:val="center"/>
            <w:hideMark/>
          </w:tcPr>
          <w:p w14:paraId="4F10A54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1.095</w:t>
            </w:r>
          </w:p>
        </w:tc>
        <w:tc>
          <w:tcPr>
            <w:tcW w:w="508" w:type="pct"/>
            <w:tcBorders>
              <w:top w:val="nil"/>
              <w:left w:val="nil"/>
              <w:bottom w:val="nil"/>
              <w:right w:val="nil"/>
            </w:tcBorders>
            <w:shd w:val="clear" w:color="000000" w:fill="FFFFFF"/>
            <w:noWrap/>
            <w:vAlign w:val="center"/>
            <w:hideMark/>
          </w:tcPr>
          <w:p w14:paraId="4CA2545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246</w:t>
            </w:r>
          </w:p>
        </w:tc>
        <w:tc>
          <w:tcPr>
            <w:tcW w:w="508" w:type="pct"/>
            <w:tcBorders>
              <w:top w:val="nil"/>
              <w:left w:val="nil"/>
              <w:bottom w:val="nil"/>
              <w:right w:val="nil"/>
            </w:tcBorders>
            <w:shd w:val="clear" w:color="000000" w:fill="FFFFFF"/>
            <w:noWrap/>
            <w:vAlign w:val="center"/>
            <w:hideMark/>
          </w:tcPr>
          <w:p w14:paraId="0A8B420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511" w:type="pct"/>
            <w:tcBorders>
              <w:top w:val="nil"/>
              <w:left w:val="nil"/>
              <w:bottom w:val="nil"/>
              <w:right w:val="single" w:sz="4" w:space="0" w:color="auto"/>
            </w:tcBorders>
            <w:shd w:val="clear" w:color="000000" w:fill="FFFFFF"/>
            <w:noWrap/>
            <w:vAlign w:val="center"/>
            <w:hideMark/>
          </w:tcPr>
          <w:p w14:paraId="1B7038D8"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9" w:type="pct"/>
            <w:tcBorders>
              <w:top w:val="nil"/>
              <w:left w:val="nil"/>
              <w:bottom w:val="nil"/>
              <w:right w:val="nil"/>
            </w:tcBorders>
            <w:shd w:val="clear" w:color="000000" w:fill="FFFFFF"/>
            <w:noWrap/>
            <w:vAlign w:val="center"/>
            <w:hideMark/>
          </w:tcPr>
          <w:p w14:paraId="3B418272"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477" w:type="pct"/>
            <w:tcBorders>
              <w:top w:val="nil"/>
              <w:left w:val="single" w:sz="4" w:space="0" w:color="auto"/>
              <w:bottom w:val="nil"/>
              <w:right w:val="single" w:sz="4" w:space="0" w:color="auto"/>
            </w:tcBorders>
            <w:shd w:val="clear" w:color="000000" w:fill="FFFFFF"/>
            <w:noWrap/>
            <w:vAlign w:val="center"/>
            <w:hideMark/>
          </w:tcPr>
          <w:p w14:paraId="5B36304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EE24E1" w:rsidRPr="00650EE4" w14:paraId="1577426B" w14:textId="77777777" w:rsidTr="004B0384">
        <w:tc>
          <w:tcPr>
            <w:tcW w:w="984" w:type="pct"/>
            <w:tcBorders>
              <w:top w:val="nil"/>
              <w:left w:val="single" w:sz="4" w:space="0" w:color="auto"/>
              <w:bottom w:val="nil"/>
              <w:right w:val="nil"/>
            </w:tcBorders>
            <w:shd w:val="clear" w:color="000000" w:fill="FFFFFF"/>
            <w:noWrap/>
            <w:vAlign w:val="center"/>
            <w:hideMark/>
          </w:tcPr>
          <w:p w14:paraId="7A29CFA1"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7" w:type="pct"/>
            <w:tcBorders>
              <w:top w:val="nil"/>
              <w:left w:val="single" w:sz="4" w:space="0" w:color="auto"/>
              <w:bottom w:val="nil"/>
              <w:right w:val="nil"/>
            </w:tcBorders>
            <w:shd w:val="clear" w:color="000000" w:fill="FFFFFF"/>
            <w:noWrap/>
            <w:vAlign w:val="center"/>
            <w:hideMark/>
          </w:tcPr>
          <w:p w14:paraId="310F44E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2.029</w:t>
            </w:r>
          </w:p>
        </w:tc>
        <w:tc>
          <w:tcPr>
            <w:tcW w:w="508" w:type="pct"/>
            <w:tcBorders>
              <w:top w:val="nil"/>
              <w:left w:val="nil"/>
              <w:bottom w:val="nil"/>
              <w:right w:val="nil"/>
            </w:tcBorders>
            <w:shd w:val="clear" w:color="000000" w:fill="FFFFFF"/>
            <w:noWrap/>
            <w:vAlign w:val="center"/>
            <w:hideMark/>
          </w:tcPr>
          <w:p w14:paraId="31D4389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155</w:t>
            </w:r>
          </w:p>
        </w:tc>
        <w:tc>
          <w:tcPr>
            <w:tcW w:w="508" w:type="pct"/>
            <w:tcBorders>
              <w:top w:val="nil"/>
              <w:left w:val="nil"/>
              <w:bottom w:val="nil"/>
              <w:right w:val="nil"/>
            </w:tcBorders>
            <w:shd w:val="clear" w:color="000000" w:fill="FFFFFF"/>
            <w:noWrap/>
            <w:vAlign w:val="center"/>
            <w:hideMark/>
          </w:tcPr>
          <w:p w14:paraId="358C332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w:t>
            </w:r>
          </w:p>
        </w:tc>
        <w:tc>
          <w:tcPr>
            <w:tcW w:w="508" w:type="pct"/>
            <w:tcBorders>
              <w:top w:val="nil"/>
              <w:left w:val="nil"/>
              <w:bottom w:val="nil"/>
              <w:right w:val="nil"/>
            </w:tcBorders>
            <w:shd w:val="clear" w:color="000000" w:fill="FFFFFF"/>
            <w:noWrap/>
            <w:vAlign w:val="center"/>
            <w:hideMark/>
          </w:tcPr>
          <w:p w14:paraId="5E9241E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08" w:type="pct"/>
            <w:tcBorders>
              <w:top w:val="nil"/>
              <w:left w:val="nil"/>
              <w:bottom w:val="nil"/>
              <w:right w:val="nil"/>
            </w:tcBorders>
            <w:shd w:val="clear" w:color="000000" w:fill="FFFFFF"/>
            <w:noWrap/>
            <w:vAlign w:val="center"/>
            <w:hideMark/>
          </w:tcPr>
          <w:p w14:paraId="2BF6BDE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11" w:type="pct"/>
            <w:tcBorders>
              <w:top w:val="nil"/>
              <w:left w:val="nil"/>
              <w:bottom w:val="nil"/>
              <w:right w:val="single" w:sz="4" w:space="0" w:color="auto"/>
            </w:tcBorders>
            <w:shd w:val="clear" w:color="000000" w:fill="FFFFFF"/>
            <w:noWrap/>
            <w:vAlign w:val="center"/>
            <w:hideMark/>
          </w:tcPr>
          <w:p w14:paraId="33E09E0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4B1BABEA"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477" w:type="pct"/>
            <w:tcBorders>
              <w:top w:val="nil"/>
              <w:left w:val="single" w:sz="4" w:space="0" w:color="auto"/>
              <w:bottom w:val="nil"/>
              <w:right w:val="single" w:sz="4" w:space="0" w:color="auto"/>
            </w:tcBorders>
            <w:shd w:val="clear" w:color="000000" w:fill="FFFFFF"/>
            <w:noWrap/>
            <w:vAlign w:val="center"/>
            <w:hideMark/>
          </w:tcPr>
          <w:p w14:paraId="7F9F186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r>
      <w:tr w:rsidR="00EE24E1" w:rsidRPr="00650EE4" w14:paraId="608C956A" w14:textId="77777777" w:rsidTr="004B0384">
        <w:tc>
          <w:tcPr>
            <w:tcW w:w="984" w:type="pct"/>
            <w:tcBorders>
              <w:top w:val="nil"/>
              <w:left w:val="single" w:sz="4" w:space="0" w:color="auto"/>
              <w:bottom w:val="nil"/>
              <w:right w:val="nil"/>
            </w:tcBorders>
            <w:shd w:val="clear" w:color="000000" w:fill="FFFFFF"/>
            <w:noWrap/>
            <w:vAlign w:val="center"/>
            <w:hideMark/>
          </w:tcPr>
          <w:p w14:paraId="1B3BBC0B"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7" w:type="pct"/>
            <w:tcBorders>
              <w:top w:val="nil"/>
              <w:left w:val="single" w:sz="4" w:space="0" w:color="auto"/>
              <w:bottom w:val="nil"/>
              <w:right w:val="nil"/>
            </w:tcBorders>
            <w:shd w:val="clear" w:color="000000" w:fill="FFFFFF"/>
            <w:noWrap/>
            <w:vAlign w:val="center"/>
            <w:hideMark/>
          </w:tcPr>
          <w:p w14:paraId="5DA9BC2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4.121</w:t>
            </w:r>
          </w:p>
        </w:tc>
        <w:tc>
          <w:tcPr>
            <w:tcW w:w="508" w:type="pct"/>
            <w:tcBorders>
              <w:top w:val="nil"/>
              <w:left w:val="nil"/>
              <w:bottom w:val="nil"/>
              <w:right w:val="nil"/>
            </w:tcBorders>
            <w:shd w:val="clear" w:color="000000" w:fill="FFFFFF"/>
            <w:noWrap/>
            <w:vAlign w:val="center"/>
            <w:hideMark/>
          </w:tcPr>
          <w:p w14:paraId="53A4DD7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411</w:t>
            </w:r>
          </w:p>
        </w:tc>
        <w:tc>
          <w:tcPr>
            <w:tcW w:w="508" w:type="pct"/>
            <w:tcBorders>
              <w:top w:val="nil"/>
              <w:left w:val="nil"/>
              <w:bottom w:val="nil"/>
              <w:right w:val="nil"/>
            </w:tcBorders>
            <w:shd w:val="clear" w:color="000000" w:fill="FFFFFF"/>
            <w:noWrap/>
            <w:vAlign w:val="center"/>
            <w:hideMark/>
          </w:tcPr>
          <w:p w14:paraId="76D022B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438</w:t>
            </w:r>
          </w:p>
        </w:tc>
        <w:tc>
          <w:tcPr>
            <w:tcW w:w="508" w:type="pct"/>
            <w:tcBorders>
              <w:top w:val="nil"/>
              <w:left w:val="nil"/>
              <w:bottom w:val="nil"/>
              <w:right w:val="nil"/>
            </w:tcBorders>
            <w:shd w:val="clear" w:color="000000" w:fill="FFFFFF"/>
            <w:noWrap/>
            <w:vAlign w:val="center"/>
            <w:hideMark/>
          </w:tcPr>
          <w:p w14:paraId="29D1EC6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w:t>
            </w:r>
          </w:p>
        </w:tc>
        <w:tc>
          <w:tcPr>
            <w:tcW w:w="508" w:type="pct"/>
            <w:tcBorders>
              <w:top w:val="nil"/>
              <w:left w:val="nil"/>
              <w:bottom w:val="nil"/>
              <w:right w:val="nil"/>
            </w:tcBorders>
            <w:shd w:val="clear" w:color="000000" w:fill="FFFFFF"/>
            <w:noWrap/>
            <w:vAlign w:val="center"/>
            <w:hideMark/>
          </w:tcPr>
          <w:p w14:paraId="7566FE5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11" w:type="pct"/>
            <w:tcBorders>
              <w:top w:val="nil"/>
              <w:left w:val="nil"/>
              <w:bottom w:val="nil"/>
              <w:right w:val="single" w:sz="4" w:space="0" w:color="auto"/>
            </w:tcBorders>
            <w:shd w:val="clear" w:color="000000" w:fill="FFFFFF"/>
            <w:noWrap/>
            <w:vAlign w:val="center"/>
            <w:hideMark/>
          </w:tcPr>
          <w:p w14:paraId="0B39128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278959E8"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477" w:type="pct"/>
            <w:tcBorders>
              <w:top w:val="nil"/>
              <w:left w:val="single" w:sz="4" w:space="0" w:color="auto"/>
              <w:bottom w:val="nil"/>
              <w:right w:val="single" w:sz="4" w:space="0" w:color="auto"/>
            </w:tcBorders>
            <w:shd w:val="clear" w:color="000000" w:fill="FFFFFF"/>
            <w:noWrap/>
            <w:vAlign w:val="center"/>
            <w:hideMark/>
          </w:tcPr>
          <w:p w14:paraId="5B4AD2F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EE24E1" w:rsidRPr="00650EE4" w14:paraId="4E944F08" w14:textId="77777777" w:rsidTr="004B0384">
        <w:tc>
          <w:tcPr>
            <w:tcW w:w="984" w:type="pct"/>
            <w:tcBorders>
              <w:top w:val="nil"/>
              <w:left w:val="single" w:sz="4" w:space="0" w:color="auto"/>
              <w:bottom w:val="nil"/>
              <w:right w:val="nil"/>
            </w:tcBorders>
            <w:shd w:val="clear" w:color="000000" w:fill="FFFFFF"/>
            <w:noWrap/>
            <w:vAlign w:val="center"/>
            <w:hideMark/>
          </w:tcPr>
          <w:p w14:paraId="0C4CE01F"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7" w:type="pct"/>
            <w:tcBorders>
              <w:top w:val="nil"/>
              <w:left w:val="single" w:sz="4" w:space="0" w:color="auto"/>
              <w:bottom w:val="single" w:sz="4" w:space="0" w:color="auto"/>
              <w:right w:val="nil"/>
            </w:tcBorders>
            <w:shd w:val="clear" w:color="000000" w:fill="FFFFFF"/>
            <w:noWrap/>
            <w:vAlign w:val="center"/>
            <w:hideMark/>
          </w:tcPr>
          <w:p w14:paraId="7C3ECC3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1.620</w:t>
            </w:r>
          </w:p>
        </w:tc>
        <w:tc>
          <w:tcPr>
            <w:tcW w:w="508" w:type="pct"/>
            <w:tcBorders>
              <w:top w:val="nil"/>
              <w:left w:val="nil"/>
              <w:bottom w:val="single" w:sz="4" w:space="0" w:color="auto"/>
              <w:right w:val="nil"/>
            </w:tcBorders>
            <w:shd w:val="clear" w:color="000000" w:fill="FFFFFF"/>
            <w:noWrap/>
            <w:vAlign w:val="center"/>
            <w:hideMark/>
          </w:tcPr>
          <w:p w14:paraId="102D5AB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198</w:t>
            </w:r>
          </w:p>
        </w:tc>
        <w:tc>
          <w:tcPr>
            <w:tcW w:w="508" w:type="pct"/>
            <w:tcBorders>
              <w:top w:val="nil"/>
              <w:left w:val="nil"/>
              <w:bottom w:val="single" w:sz="4" w:space="0" w:color="auto"/>
              <w:right w:val="nil"/>
            </w:tcBorders>
            <w:shd w:val="clear" w:color="000000" w:fill="FFFFFF"/>
            <w:noWrap/>
            <w:vAlign w:val="center"/>
            <w:hideMark/>
          </w:tcPr>
          <w:p w14:paraId="36FDADF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176</w:t>
            </w:r>
          </w:p>
        </w:tc>
        <w:tc>
          <w:tcPr>
            <w:tcW w:w="508" w:type="pct"/>
            <w:tcBorders>
              <w:top w:val="nil"/>
              <w:left w:val="nil"/>
              <w:bottom w:val="single" w:sz="4" w:space="0" w:color="auto"/>
              <w:right w:val="nil"/>
            </w:tcBorders>
            <w:shd w:val="clear" w:color="000000" w:fill="FFFFFF"/>
            <w:noWrap/>
            <w:vAlign w:val="center"/>
            <w:hideMark/>
          </w:tcPr>
          <w:p w14:paraId="3D08B3C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08" w:type="pct"/>
            <w:tcBorders>
              <w:top w:val="nil"/>
              <w:left w:val="nil"/>
              <w:bottom w:val="single" w:sz="4" w:space="0" w:color="auto"/>
              <w:right w:val="nil"/>
            </w:tcBorders>
            <w:shd w:val="clear" w:color="000000" w:fill="FFFFFF"/>
            <w:noWrap/>
            <w:vAlign w:val="center"/>
            <w:hideMark/>
          </w:tcPr>
          <w:p w14:paraId="11E4BBB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11" w:type="pct"/>
            <w:tcBorders>
              <w:top w:val="nil"/>
              <w:left w:val="nil"/>
              <w:bottom w:val="single" w:sz="4" w:space="0" w:color="auto"/>
              <w:right w:val="single" w:sz="4" w:space="0" w:color="auto"/>
            </w:tcBorders>
            <w:shd w:val="clear" w:color="000000" w:fill="FFFFFF"/>
            <w:noWrap/>
            <w:vAlign w:val="center"/>
            <w:hideMark/>
          </w:tcPr>
          <w:p w14:paraId="0F025C1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single" w:sz="4" w:space="0" w:color="auto"/>
              <w:right w:val="nil"/>
            </w:tcBorders>
            <w:shd w:val="clear" w:color="000000" w:fill="FFFFFF"/>
            <w:noWrap/>
            <w:vAlign w:val="center"/>
            <w:hideMark/>
          </w:tcPr>
          <w:p w14:paraId="68927999"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477" w:type="pct"/>
            <w:tcBorders>
              <w:top w:val="nil"/>
              <w:left w:val="single" w:sz="4" w:space="0" w:color="auto"/>
              <w:bottom w:val="single" w:sz="4" w:space="0" w:color="auto"/>
              <w:right w:val="single" w:sz="4" w:space="0" w:color="auto"/>
            </w:tcBorders>
            <w:shd w:val="clear" w:color="000000" w:fill="FFFFFF"/>
            <w:noWrap/>
            <w:vAlign w:val="center"/>
            <w:hideMark/>
          </w:tcPr>
          <w:p w14:paraId="564FCDB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EE24E1" w:rsidRPr="00650EE4" w14:paraId="3F3C7340" w14:textId="77777777" w:rsidTr="004B0384">
        <w:tc>
          <w:tcPr>
            <w:tcW w:w="984" w:type="pct"/>
            <w:tcBorders>
              <w:top w:val="single" w:sz="4" w:space="0" w:color="auto"/>
              <w:left w:val="single" w:sz="4" w:space="0" w:color="auto"/>
              <w:bottom w:val="nil"/>
              <w:right w:val="single" w:sz="4" w:space="0" w:color="auto"/>
            </w:tcBorders>
            <w:shd w:val="clear" w:color="000000" w:fill="FFFFFF"/>
            <w:noWrap/>
            <w:vAlign w:val="center"/>
            <w:hideMark/>
          </w:tcPr>
          <w:p w14:paraId="2AA8C66A" w14:textId="77777777" w:rsidR="00EE24E1" w:rsidRPr="00650EE4" w:rsidRDefault="00EE24E1" w:rsidP="00EE24E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7" w:type="pct"/>
            <w:tcBorders>
              <w:top w:val="nil"/>
              <w:left w:val="nil"/>
              <w:bottom w:val="nil"/>
              <w:right w:val="nil"/>
            </w:tcBorders>
            <w:shd w:val="clear" w:color="000000" w:fill="FFFFFF"/>
            <w:noWrap/>
            <w:vAlign w:val="center"/>
            <w:hideMark/>
          </w:tcPr>
          <w:p w14:paraId="27D0A88D"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420.335</w:t>
            </w:r>
          </w:p>
        </w:tc>
        <w:tc>
          <w:tcPr>
            <w:tcW w:w="508" w:type="pct"/>
            <w:tcBorders>
              <w:top w:val="nil"/>
              <w:left w:val="nil"/>
              <w:bottom w:val="nil"/>
              <w:right w:val="nil"/>
            </w:tcBorders>
            <w:shd w:val="clear" w:color="000000" w:fill="FFFFFF"/>
            <w:noWrap/>
            <w:vAlign w:val="center"/>
            <w:hideMark/>
          </w:tcPr>
          <w:p w14:paraId="0ADEED1C"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182.175</w:t>
            </w:r>
          </w:p>
        </w:tc>
        <w:tc>
          <w:tcPr>
            <w:tcW w:w="508" w:type="pct"/>
            <w:tcBorders>
              <w:top w:val="nil"/>
              <w:left w:val="nil"/>
              <w:bottom w:val="nil"/>
              <w:right w:val="nil"/>
            </w:tcBorders>
            <w:shd w:val="clear" w:color="000000" w:fill="FFFFFF"/>
            <w:noWrap/>
            <w:vAlign w:val="center"/>
            <w:hideMark/>
          </w:tcPr>
          <w:p w14:paraId="253B146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48.994</w:t>
            </w:r>
          </w:p>
        </w:tc>
        <w:tc>
          <w:tcPr>
            <w:tcW w:w="508" w:type="pct"/>
            <w:tcBorders>
              <w:top w:val="nil"/>
              <w:left w:val="nil"/>
              <w:bottom w:val="nil"/>
              <w:right w:val="nil"/>
            </w:tcBorders>
            <w:shd w:val="clear" w:color="000000" w:fill="FFFFFF"/>
            <w:noWrap/>
            <w:vAlign w:val="center"/>
            <w:hideMark/>
          </w:tcPr>
          <w:p w14:paraId="66899278"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8.790</w:t>
            </w:r>
          </w:p>
        </w:tc>
        <w:tc>
          <w:tcPr>
            <w:tcW w:w="508" w:type="pct"/>
            <w:tcBorders>
              <w:top w:val="nil"/>
              <w:left w:val="nil"/>
              <w:bottom w:val="nil"/>
              <w:right w:val="nil"/>
            </w:tcBorders>
            <w:shd w:val="clear" w:color="000000" w:fill="FFFFFF"/>
            <w:noWrap/>
            <w:vAlign w:val="center"/>
            <w:hideMark/>
          </w:tcPr>
          <w:p w14:paraId="46C4FF8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962</w:t>
            </w:r>
          </w:p>
        </w:tc>
        <w:tc>
          <w:tcPr>
            <w:tcW w:w="511" w:type="pct"/>
            <w:tcBorders>
              <w:top w:val="nil"/>
              <w:left w:val="nil"/>
              <w:bottom w:val="nil"/>
              <w:right w:val="single" w:sz="4" w:space="0" w:color="auto"/>
            </w:tcBorders>
            <w:shd w:val="clear" w:color="000000" w:fill="FFFFFF"/>
            <w:noWrap/>
            <w:vAlign w:val="center"/>
            <w:hideMark/>
          </w:tcPr>
          <w:p w14:paraId="0E8ABFA6"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28</w:t>
            </w:r>
          </w:p>
        </w:tc>
        <w:tc>
          <w:tcPr>
            <w:tcW w:w="489" w:type="pct"/>
            <w:tcBorders>
              <w:top w:val="nil"/>
              <w:left w:val="nil"/>
              <w:bottom w:val="nil"/>
              <w:right w:val="nil"/>
            </w:tcBorders>
            <w:shd w:val="clear" w:color="000000" w:fill="FFFFFF"/>
            <w:noWrap/>
            <w:vAlign w:val="center"/>
            <w:hideMark/>
          </w:tcPr>
          <w:p w14:paraId="7BE6F73A"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477" w:type="pct"/>
            <w:tcBorders>
              <w:top w:val="nil"/>
              <w:left w:val="single" w:sz="4" w:space="0" w:color="auto"/>
              <w:bottom w:val="nil"/>
              <w:right w:val="single" w:sz="4" w:space="0" w:color="auto"/>
            </w:tcBorders>
            <w:shd w:val="clear" w:color="000000" w:fill="FFFFFF"/>
            <w:noWrap/>
            <w:vAlign w:val="center"/>
            <w:hideMark/>
          </w:tcPr>
          <w:p w14:paraId="66A7678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EE24E1" w:rsidRPr="00650EE4" w14:paraId="2163D8AF" w14:textId="77777777" w:rsidTr="004B0384">
        <w:tc>
          <w:tcPr>
            <w:tcW w:w="9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E2EBA"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7" w:type="pct"/>
            <w:tcBorders>
              <w:top w:val="single" w:sz="4" w:space="0" w:color="auto"/>
              <w:left w:val="nil"/>
              <w:bottom w:val="single" w:sz="4" w:space="0" w:color="auto"/>
              <w:right w:val="nil"/>
            </w:tcBorders>
            <w:shd w:val="clear" w:color="000000" w:fill="FFFFFF"/>
            <w:noWrap/>
            <w:vAlign w:val="center"/>
            <w:hideMark/>
          </w:tcPr>
          <w:p w14:paraId="59F34C3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508" w:type="pct"/>
            <w:tcBorders>
              <w:top w:val="single" w:sz="4" w:space="0" w:color="auto"/>
              <w:left w:val="nil"/>
              <w:bottom w:val="single" w:sz="4" w:space="0" w:color="auto"/>
              <w:right w:val="nil"/>
            </w:tcBorders>
            <w:shd w:val="clear" w:color="000000" w:fill="FFFFFF"/>
            <w:noWrap/>
            <w:vAlign w:val="center"/>
            <w:hideMark/>
          </w:tcPr>
          <w:p w14:paraId="65BEDD9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508" w:type="pct"/>
            <w:tcBorders>
              <w:top w:val="single" w:sz="4" w:space="0" w:color="auto"/>
              <w:left w:val="nil"/>
              <w:bottom w:val="single" w:sz="4" w:space="0" w:color="auto"/>
              <w:right w:val="nil"/>
            </w:tcBorders>
            <w:shd w:val="clear" w:color="000000" w:fill="FFFFFF"/>
            <w:noWrap/>
            <w:vAlign w:val="center"/>
            <w:hideMark/>
          </w:tcPr>
          <w:p w14:paraId="664822B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08" w:type="pct"/>
            <w:tcBorders>
              <w:top w:val="single" w:sz="4" w:space="0" w:color="auto"/>
              <w:left w:val="nil"/>
              <w:bottom w:val="single" w:sz="4" w:space="0" w:color="auto"/>
              <w:right w:val="nil"/>
            </w:tcBorders>
            <w:shd w:val="clear" w:color="000000" w:fill="FFFFFF"/>
            <w:noWrap/>
            <w:vAlign w:val="center"/>
            <w:hideMark/>
          </w:tcPr>
          <w:p w14:paraId="7868315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08" w:type="pct"/>
            <w:tcBorders>
              <w:top w:val="single" w:sz="4" w:space="0" w:color="auto"/>
              <w:left w:val="nil"/>
              <w:bottom w:val="single" w:sz="4" w:space="0" w:color="auto"/>
              <w:right w:val="nil"/>
            </w:tcBorders>
            <w:shd w:val="clear" w:color="000000" w:fill="FFFFFF"/>
            <w:noWrap/>
            <w:vAlign w:val="center"/>
            <w:hideMark/>
          </w:tcPr>
          <w:p w14:paraId="503A1AF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single" w:sz="4" w:space="0" w:color="auto"/>
              <w:left w:val="nil"/>
              <w:bottom w:val="single" w:sz="4" w:space="0" w:color="auto"/>
              <w:right w:val="single" w:sz="4" w:space="0" w:color="auto"/>
            </w:tcBorders>
            <w:shd w:val="clear" w:color="000000" w:fill="FFFFFF"/>
            <w:noWrap/>
            <w:vAlign w:val="center"/>
            <w:hideMark/>
          </w:tcPr>
          <w:p w14:paraId="602A5F4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single" w:sz="4" w:space="0" w:color="auto"/>
              <w:left w:val="nil"/>
              <w:bottom w:val="single" w:sz="4" w:space="0" w:color="auto"/>
              <w:right w:val="nil"/>
            </w:tcBorders>
            <w:shd w:val="clear" w:color="000000" w:fill="FFFFFF"/>
            <w:noWrap/>
            <w:vAlign w:val="center"/>
            <w:hideMark/>
          </w:tcPr>
          <w:p w14:paraId="549550C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48A80C"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4A4C91AF" w14:textId="5737B5E7" w:rsidR="00CA07B0" w:rsidRPr="00650EE4" w:rsidRDefault="00CA07B0" w:rsidP="001A209D">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7B0B57" w:rsidRPr="00650EE4">
        <w:rPr>
          <w:rFonts w:ascii="Times New Roman" w:eastAsia="Times New Roman" w:hAnsi="Times New Roman"/>
          <w:i/>
          <w:color w:val="000000" w:themeColor="text1"/>
          <w:sz w:val="20"/>
          <w:szCs w:val="20"/>
        </w:rPr>
        <w:t>Studijos autoriai</w:t>
      </w:r>
    </w:p>
    <w:p w14:paraId="767DB09A" w14:textId="77777777" w:rsidR="00CA07B0" w:rsidRPr="00650EE4" w:rsidRDefault="00CA07B0" w:rsidP="00CA07B0">
      <w:pPr>
        <w:pStyle w:val="BodyText"/>
        <w:jc w:val="both"/>
        <w:rPr>
          <w:rFonts w:ascii="Times New Roman" w:hAnsi="Times New Roman"/>
          <w:color w:val="000000" w:themeColor="text1"/>
          <w:sz w:val="20"/>
          <w:szCs w:val="20"/>
          <w:lang w:val="lt-LT"/>
        </w:rPr>
      </w:pPr>
    </w:p>
    <w:p w14:paraId="0FC22B66" w14:textId="4A83F6A1" w:rsidR="00CD4824"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41" w:name="_Toc67925198"/>
      <w:r w:rsidR="007744C1">
        <w:t>15</w:t>
      </w:r>
      <w:r w:rsidRPr="00650EE4">
        <w:rPr>
          <w:noProof w:val="0"/>
        </w:rPr>
        <w:fldChar w:fldCharType="end"/>
      </w:r>
      <w:r w:rsidR="0070585A" w:rsidRPr="00650EE4">
        <w:rPr>
          <w:noProof w:val="0"/>
        </w:rPr>
        <w:t xml:space="preserve"> lentelė</w:t>
      </w:r>
      <w:r w:rsidR="00CD4824" w:rsidRPr="00650EE4">
        <w:rPr>
          <w:noProof w:val="0"/>
        </w:rPr>
        <w:t xml:space="preserve">. Pastatų fondas pagal </w:t>
      </w:r>
      <w:r w:rsidR="00314B0A" w:rsidRPr="00650EE4">
        <w:rPr>
          <w:noProof w:val="0"/>
        </w:rPr>
        <w:t>energinio naudingumo</w:t>
      </w:r>
      <w:r w:rsidR="00CD4824" w:rsidRPr="00650EE4">
        <w:rPr>
          <w:noProof w:val="0"/>
        </w:rPr>
        <w:t xml:space="preserve"> klasę (</w:t>
      </w:r>
      <w:r w:rsidR="004748E0" w:rsidRPr="00650EE4">
        <w:rPr>
          <w:noProof w:val="0"/>
        </w:rPr>
        <w:t>tūkst. m</w:t>
      </w:r>
      <w:r w:rsidR="004748E0" w:rsidRPr="00650EE4">
        <w:rPr>
          <w:noProof w:val="0"/>
          <w:vertAlign w:val="superscript"/>
        </w:rPr>
        <w:t>2</w:t>
      </w:r>
      <w:r w:rsidR="004748E0" w:rsidRPr="00650EE4">
        <w:rPr>
          <w:noProof w:val="0"/>
        </w:rPr>
        <w:t>)</w:t>
      </w:r>
      <w:bookmarkEnd w:id="41"/>
    </w:p>
    <w:tbl>
      <w:tblPr>
        <w:tblW w:w="5000" w:type="pct"/>
        <w:tblLook w:val="04A0" w:firstRow="1" w:lastRow="0" w:firstColumn="1" w:lastColumn="0" w:noHBand="0" w:noVBand="1"/>
      </w:tblPr>
      <w:tblGrid>
        <w:gridCol w:w="2058"/>
        <w:gridCol w:w="1058"/>
        <w:gridCol w:w="1059"/>
        <w:gridCol w:w="1059"/>
        <w:gridCol w:w="1059"/>
        <w:gridCol w:w="1059"/>
        <w:gridCol w:w="1063"/>
        <w:gridCol w:w="1017"/>
        <w:gridCol w:w="988"/>
      </w:tblGrid>
      <w:tr w:rsidR="00FC7D65" w:rsidRPr="00650EE4" w14:paraId="66C329D8" w14:textId="77777777" w:rsidTr="004B0384">
        <w:tc>
          <w:tcPr>
            <w:tcW w:w="98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2D40C941"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4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9759689" w14:textId="11C1FDB4" w:rsidR="00FC7D65" w:rsidRPr="00650EE4" w:rsidRDefault="00D90413"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 xml:space="preserve">Energinio naudingumo </w:t>
            </w:r>
            <w:r w:rsidR="00FC7D65" w:rsidRPr="00650EE4">
              <w:rPr>
                <w:rFonts w:ascii="Times New Roman" w:eastAsia="Times New Roman" w:hAnsi="Times New Roman"/>
                <w:b/>
                <w:bCs/>
                <w:sz w:val="20"/>
                <w:szCs w:val="20"/>
              </w:rPr>
              <w:t>klasė</w:t>
            </w:r>
          </w:p>
        </w:tc>
        <w:tc>
          <w:tcPr>
            <w:tcW w:w="488" w:type="pct"/>
            <w:vMerge w:val="restart"/>
            <w:tcBorders>
              <w:top w:val="single" w:sz="4" w:space="0" w:color="auto"/>
              <w:left w:val="nil"/>
              <w:bottom w:val="single" w:sz="4" w:space="0" w:color="000000"/>
              <w:right w:val="nil"/>
            </w:tcBorders>
            <w:shd w:val="clear" w:color="000000" w:fill="FFFFFF"/>
            <w:vAlign w:val="center"/>
            <w:hideMark/>
          </w:tcPr>
          <w:p w14:paraId="1F1CCA08"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E7F5A97"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C7D65" w:rsidRPr="00650EE4" w14:paraId="3C2E5F9D" w14:textId="77777777" w:rsidTr="004B0384">
        <w:tc>
          <w:tcPr>
            <w:tcW w:w="988" w:type="pct"/>
            <w:vMerge/>
            <w:tcBorders>
              <w:top w:val="single" w:sz="4" w:space="0" w:color="auto"/>
              <w:left w:val="single" w:sz="4" w:space="0" w:color="auto"/>
              <w:bottom w:val="single" w:sz="4" w:space="0" w:color="000000"/>
              <w:right w:val="nil"/>
            </w:tcBorders>
            <w:vAlign w:val="center"/>
            <w:hideMark/>
          </w:tcPr>
          <w:p w14:paraId="68293F40" w14:textId="77777777" w:rsidR="00FC7D65" w:rsidRPr="00650EE4" w:rsidRDefault="00FC7D65" w:rsidP="00FC7D65">
            <w:pPr>
              <w:spacing w:line="240" w:lineRule="auto"/>
              <w:rPr>
                <w:rFonts w:ascii="Times New Roman" w:eastAsia="Times New Roman" w:hAnsi="Times New Roman"/>
                <w:b/>
                <w:bCs/>
                <w:sz w:val="20"/>
                <w:szCs w:val="20"/>
              </w:rPr>
            </w:pPr>
          </w:p>
        </w:tc>
        <w:tc>
          <w:tcPr>
            <w:tcW w:w="508" w:type="pct"/>
            <w:tcBorders>
              <w:top w:val="nil"/>
              <w:left w:val="single" w:sz="4" w:space="0" w:color="auto"/>
              <w:bottom w:val="single" w:sz="4" w:space="0" w:color="auto"/>
              <w:right w:val="nil"/>
            </w:tcBorders>
            <w:shd w:val="clear" w:color="000000" w:fill="FFFFFF"/>
            <w:vAlign w:val="center"/>
            <w:hideMark/>
          </w:tcPr>
          <w:p w14:paraId="116C56CA" w14:textId="2DE7138D" w:rsidR="00FC7D65" w:rsidRPr="00650EE4" w:rsidRDefault="009C5269"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8" w:type="pct"/>
            <w:tcBorders>
              <w:top w:val="nil"/>
              <w:left w:val="nil"/>
              <w:bottom w:val="single" w:sz="4" w:space="0" w:color="auto"/>
              <w:right w:val="nil"/>
            </w:tcBorders>
            <w:shd w:val="clear" w:color="000000" w:fill="FFFFFF"/>
            <w:vAlign w:val="center"/>
            <w:hideMark/>
          </w:tcPr>
          <w:p w14:paraId="044A4360"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8" w:type="pct"/>
            <w:tcBorders>
              <w:top w:val="nil"/>
              <w:left w:val="nil"/>
              <w:bottom w:val="single" w:sz="4" w:space="0" w:color="auto"/>
              <w:right w:val="nil"/>
            </w:tcBorders>
            <w:shd w:val="clear" w:color="000000" w:fill="FFFFFF"/>
            <w:vAlign w:val="center"/>
            <w:hideMark/>
          </w:tcPr>
          <w:p w14:paraId="300771FF"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8" w:type="pct"/>
            <w:tcBorders>
              <w:top w:val="nil"/>
              <w:left w:val="nil"/>
              <w:bottom w:val="single" w:sz="4" w:space="0" w:color="auto"/>
              <w:right w:val="nil"/>
            </w:tcBorders>
            <w:shd w:val="clear" w:color="000000" w:fill="FFFFFF"/>
            <w:vAlign w:val="center"/>
            <w:hideMark/>
          </w:tcPr>
          <w:p w14:paraId="28AD1F5A"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8" w:type="pct"/>
            <w:tcBorders>
              <w:top w:val="nil"/>
              <w:left w:val="nil"/>
              <w:bottom w:val="single" w:sz="4" w:space="0" w:color="auto"/>
              <w:right w:val="nil"/>
            </w:tcBorders>
            <w:shd w:val="clear" w:color="000000" w:fill="FFFFFF"/>
            <w:vAlign w:val="center"/>
            <w:hideMark/>
          </w:tcPr>
          <w:p w14:paraId="14987FC3"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0" w:type="pct"/>
            <w:tcBorders>
              <w:top w:val="nil"/>
              <w:left w:val="nil"/>
              <w:bottom w:val="single" w:sz="4" w:space="0" w:color="auto"/>
              <w:right w:val="single" w:sz="4" w:space="0" w:color="auto"/>
            </w:tcBorders>
            <w:shd w:val="clear" w:color="000000" w:fill="FFFFFF"/>
            <w:vAlign w:val="center"/>
            <w:hideMark/>
          </w:tcPr>
          <w:p w14:paraId="396A1AEE"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8" w:type="pct"/>
            <w:vMerge/>
            <w:tcBorders>
              <w:top w:val="single" w:sz="4" w:space="0" w:color="auto"/>
              <w:left w:val="nil"/>
              <w:bottom w:val="single" w:sz="4" w:space="0" w:color="000000"/>
              <w:right w:val="nil"/>
            </w:tcBorders>
            <w:vAlign w:val="center"/>
            <w:hideMark/>
          </w:tcPr>
          <w:p w14:paraId="3697F40E" w14:textId="77777777" w:rsidR="00FC7D65" w:rsidRPr="00650EE4" w:rsidRDefault="00FC7D65" w:rsidP="00FC7D65">
            <w:pPr>
              <w:spacing w:line="240" w:lineRule="auto"/>
              <w:rPr>
                <w:rFonts w:ascii="Times New Roman" w:eastAsia="Times New Roman" w:hAnsi="Times New Roman"/>
                <w:b/>
                <w:bCs/>
                <w:sz w:val="20"/>
                <w:szCs w:val="20"/>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14:paraId="7E7A7D85" w14:textId="77777777" w:rsidR="00FC7D65" w:rsidRPr="00650EE4" w:rsidRDefault="00FC7D65" w:rsidP="00FC7D65">
            <w:pPr>
              <w:spacing w:line="240" w:lineRule="auto"/>
              <w:rPr>
                <w:rFonts w:ascii="Times New Roman" w:eastAsia="Times New Roman" w:hAnsi="Times New Roman"/>
                <w:b/>
                <w:bCs/>
                <w:sz w:val="20"/>
                <w:szCs w:val="20"/>
              </w:rPr>
            </w:pPr>
          </w:p>
        </w:tc>
      </w:tr>
      <w:tr w:rsidR="00FC7D65" w:rsidRPr="00650EE4" w14:paraId="46CE6902" w14:textId="77777777" w:rsidTr="004B0384">
        <w:tc>
          <w:tcPr>
            <w:tcW w:w="988" w:type="pct"/>
            <w:tcBorders>
              <w:top w:val="nil"/>
              <w:left w:val="single" w:sz="4" w:space="0" w:color="auto"/>
              <w:bottom w:val="single" w:sz="4" w:space="0" w:color="auto"/>
              <w:right w:val="nil"/>
            </w:tcBorders>
            <w:shd w:val="clear" w:color="000000" w:fill="F2F2F2"/>
            <w:noWrap/>
            <w:vAlign w:val="center"/>
            <w:hideMark/>
          </w:tcPr>
          <w:p w14:paraId="5A16CD18" w14:textId="77777777" w:rsidR="00FC7D65" w:rsidRPr="00650EE4" w:rsidRDefault="00FC7D65" w:rsidP="00FC7D6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8" w:type="pct"/>
            <w:tcBorders>
              <w:top w:val="nil"/>
              <w:left w:val="single" w:sz="4" w:space="0" w:color="auto"/>
              <w:bottom w:val="single" w:sz="4" w:space="0" w:color="auto"/>
              <w:right w:val="nil"/>
            </w:tcBorders>
            <w:shd w:val="clear" w:color="000000" w:fill="F2F2F2"/>
            <w:noWrap/>
            <w:vAlign w:val="center"/>
            <w:hideMark/>
          </w:tcPr>
          <w:p w14:paraId="37C7015D"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79.926</w:t>
            </w:r>
          </w:p>
        </w:tc>
        <w:tc>
          <w:tcPr>
            <w:tcW w:w="508" w:type="pct"/>
            <w:tcBorders>
              <w:top w:val="nil"/>
              <w:left w:val="nil"/>
              <w:bottom w:val="single" w:sz="4" w:space="0" w:color="auto"/>
              <w:right w:val="nil"/>
            </w:tcBorders>
            <w:shd w:val="clear" w:color="000000" w:fill="F2F2F2"/>
            <w:noWrap/>
            <w:vAlign w:val="center"/>
            <w:hideMark/>
          </w:tcPr>
          <w:p w14:paraId="688C18FC"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31.571</w:t>
            </w:r>
          </w:p>
        </w:tc>
        <w:tc>
          <w:tcPr>
            <w:tcW w:w="508" w:type="pct"/>
            <w:tcBorders>
              <w:top w:val="nil"/>
              <w:left w:val="nil"/>
              <w:bottom w:val="single" w:sz="4" w:space="0" w:color="auto"/>
              <w:right w:val="nil"/>
            </w:tcBorders>
            <w:shd w:val="clear" w:color="000000" w:fill="F2F2F2"/>
            <w:noWrap/>
            <w:vAlign w:val="center"/>
            <w:hideMark/>
          </w:tcPr>
          <w:p w14:paraId="61A77155"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15.501</w:t>
            </w:r>
          </w:p>
        </w:tc>
        <w:tc>
          <w:tcPr>
            <w:tcW w:w="508" w:type="pct"/>
            <w:tcBorders>
              <w:top w:val="nil"/>
              <w:left w:val="nil"/>
              <w:bottom w:val="single" w:sz="4" w:space="0" w:color="auto"/>
              <w:right w:val="nil"/>
            </w:tcBorders>
            <w:shd w:val="clear" w:color="000000" w:fill="F2F2F2"/>
            <w:noWrap/>
            <w:vAlign w:val="center"/>
            <w:hideMark/>
          </w:tcPr>
          <w:p w14:paraId="6FB3B865"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1.698</w:t>
            </w:r>
          </w:p>
        </w:tc>
        <w:tc>
          <w:tcPr>
            <w:tcW w:w="508" w:type="pct"/>
            <w:tcBorders>
              <w:top w:val="nil"/>
              <w:left w:val="nil"/>
              <w:bottom w:val="single" w:sz="4" w:space="0" w:color="auto"/>
              <w:right w:val="nil"/>
            </w:tcBorders>
            <w:shd w:val="clear" w:color="000000" w:fill="F2F2F2"/>
            <w:noWrap/>
            <w:vAlign w:val="center"/>
            <w:hideMark/>
          </w:tcPr>
          <w:p w14:paraId="5CB5F7D2"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283</w:t>
            </w:r>
          </w:p>
        </w:tc>
        <w:tc>
          <w:tcPr>
            <w:tcW w:w="510" w:type="pct"/>
            <w:tcBorders>
              <w:top w:val="nil"/>
              <w:left w:val="nil"/>
              <w:bottom w:val="single" w:sz="4" w:space="0" w:color="auto"/>
              <w:right w:val="single" w:sz="4" w:space="0" w:color="auto"/>
            </w:tcBorders>
            <w:shd w:val="clear" w:color="000000" w:fill="F2F2F2"/>
            <w:noWrap/>
            <w:vAlign w:val="center"/>
            <w:hideMark/>
          </w:tcPr>
          <w:p w14:paraId="4BF11A51"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w:t>
            </w:r>
          </w:p>
        </w:tc>
        <w:tc>
          <w:tcPr>
            <w:tcW w:w="488" w:type="pct"/>
            <w:tcBorders>
              <w:top w:val="nil"/>
              <w:left w:val="nil"/>
              <w:bottom w:val="single" w:sz="4" w:space="0" w:color="auto"/>
              <w:right w:val="nil"/>
            </w:tcBorders>
            <w:shd w:val="clear" w:color="000000" w:fill="F2F2F2"/>
            <w:noWrap/>
            <w:vAlign w:val="center"/>
            <w:hideMark/>
          </w:tcPr>
          <w:p w14:paraId="7B8B65E5"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476" w:type="pct"/>
            <w:tcBorders>
              <w:top w:val="nil"/>
              <w:left w:val="single" w:sz="4" w:space="0" w:color="auto"/>
              <w:bottom w:val="single" w:sz="4" w:space="0" w:color="auto"/>
              <w:right w:val="single" w:sz="4" w:space="0" w:color="auto"/>
            </w:tcBorders>
            <w:shd w:val="clear" w:color="000000" w:fill="F2F2F2"/>
            <w:noWrap/>
            <w:vAlign w:val="center"/>
            <w:hideMark/>
          </w:tcPr>
          <w:p w14:paraId="2DD1058B"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64%</w:t>
            </w:r>
          </w:p>
        </w:tc>
      </w:tr>
      <w:tr w:rsidR="00FC7D65" w:rsidRPr="00650EE4" w14:paraId="2F31EF72" w14:textId="77777777" w:rsidTr="004B0384">
        <w:tc>
          <w:tcPr>
            <w:tcW w:w="988" w:type="pct"/>
            <w:tcBorders>
              <w:top w:val="nil"/>
              <w:left w:val="single" w:sz="4" w:space="0" w:color="auto"/>
              <w:bottom w:val="nil"/>
              <w:right w:val="nil"/>
            </w:tcBorders>
            <w:shd w:val="clear" w:color="000000" w:fill="FFFFFF"/>
            <w:noWrap/>
            <w:vAlign w:val="center"/>
            <w:hideMark/>
          </w:tcPr>
          <w:p w14:paraId="779F3E73"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8" w:type="pct"/>
            <w:tcBorders>
              <w:top w:val="nil"/>
              <w:left w:val="single" w:sz="4" w:space="0" w:color="auto"/>
              <w:bottom w:val="nil"/>
              <w:right w:val="nil"/>
            </w:tcBorders>
            <w:shd w:val="clear" w:color="000000" w:fill="FFFFFF"/>
            <w:noWrap/>
            <w:vAlign w:val="center"/>
            <w:hideMark/>
          </w:tcPr>
          <w:p w14:paraId="332BC1F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37.687</w:t>
            </w:r>
          </w:p>
        </w:tc>
        <w:tc>
          <w:tcPr>
            <w:tcW w:w="508" w:type="pct"/>
            <w:tcBorders>
              <w:top w:val="nil"/>
              <w:left w:val="nil"/>
              <w:bottom w:val="nil"/>
              <w:right w:val="nil"/>
            </w:tcBorders>
            <w:shd w:val="clear" w:color="000000" w:fill="FFFFFF"/>
            <w:noWrap/>
            <w:vAlign w:val="center"/>
            <w:hideMark/>
          </w:tcPr>
          <w:p w14:paraId="30BD8BE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23.728</w:t>
            </w:r>
          </w:p>
        </w:tc>
        <w:tc>
          <w:tcPr>
            <w:tcW w:w="508" w:type="pct"/>
            <w:tcBorders>
              <w:top w:val="nil"/>
              <w:left w:val="nil"/>
              <w:bottom w:val="nil"/>
              <w:right w:val="nil"/>
            </w:tcBorders>
            <w:shd w:val="clear" w:color="000000" w:fill="FFFFFF"/>
            <w:noWrap/>
            <w:vAlign w:val="center"/>
            <w:hideMark/>
          </w:tcPr>
          <w:p w14:paraId="72AE09D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6.866</w:t>
            </w:r>
          </w:p>
        </w:tc>
        <w:tc>
          <w:tcPr>
            <w:tcW w:w="508" w:type="pct"/>
            <w:tcBorders>
              <w:top w:val="nil"/>
              <w:left w:val="nil"/>
              <w:bottom w:val="nil"/>
              <w:right w:val="nil"/>
            </w:tcBorders>
            <w:shd w:val="clear" w:color="000000" w:fill="FFFFFF"/>
            <w:noWrap/>
            <w:vAlign w:val="center"/>
            <w:hideMark/>
          </w:tcPr>
          <w:p w14:paraId="19BB876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1.141</w:t>
            </w:r>
          </w:p>
        </w:tc>
        <w:tc>
          <w:tcPr>
            <w:tcW w:w="508" w:type="pct"/>
            <w:tcBorders>
              <w:top w:val="nil"/>
              <w:left w:val="nil"/>
              <w:bottom w:val="nil"/>
              <w:right w:val="nil"/>
            </w:tcBorders>
            <w:shd w:val="clear" w:color="000000" w:fill="FFFFFF"/>
            <w:noWrap/>
            <w:vAlign w:val="center"/>
            <w:hideMark/>
          </w:tcPr>
          <w:p w14:paraId="4A45F9E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115</w:t>
            </w:r>
          </w:p>
        </w:tc>
        <w:tc>
          <w:tcPr>
            <w:tcW w:w="510" w:type="pct"/>
            <w:tcBorders>
              <w:top w:val="nil"/>
              <w:left w:val="nil"/>
              <w:bottom w:val="nil"/>
              <w:right w:val="single" w:sz="4" w:space="0" w:color="auto"/>
            </w:tcBorders>
            <w:shd w:val="clear" w:color="000000" w:fill="FFFFFF"/>
            <w:noWrap/>
            <w:vAlign w:val="center"/>
            <w:hideMark/>
          </w:tcPr>
          <w:p w14:paraId="7990959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3AC8968E"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76" w:type="pct"/>
            <w:tcBorders>
              <w:top w:val="nil"/>
              <w:left w:val="single" w:sz="4" w:space="0" w:color="auto"/>
              <w:bottom w:val="nil"/>
              <w:right w:val="single" w:sz="4" w:space="0" w:color="auto"/>
            </w:tcBorders>
            <w:shd w:val="clear" w:color="000000" w:fill="FFFFFF"/>
            <w:noWrap/>
            <w:vAlign w:val="center"/>
            <w:hideMark/>
          </w:tcPr>
          <w:p w14:paraId="3C449C6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C7D65" w:rsidRPr="00650EE4" w14:paraId="486F707D" w14:textId="77777777" w:rsidTr="004B0384">
        <w:tc>
          <w:tcPr>
            <w:tcW w:w="988" w:type="pct"/>
            <w:tcBorders>
              <w:top w:val="nil"/>
              <w:left w:val="single" w:sz="4" w:space="0" w:color="auto"/>
              <w:bottom w:val="nil"/>
              <w:right w:val="nil"/>
            </w:tcBorders>
            <w:shd w:val="clear" w:color="000000" w:fill="FFFFFF"/>
            <w:noWrap/>
            <w:vAlign w:val="center"/>
            <w:hideMark/>
          </w:tcPr>
          <w:p w14:paraId="29BBA6D5"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8" w:type="pct"/>
            <w:tcBorders>
              <w:top w:val="nil"/>
              <w:left w:val="single" w:sz="4" w:space="0" w:color="auto"/>
              <w:bottom w:val="nil"/>
              <w:right w:val="nil"/>
            </w:tcBorders>
            <w:shd w:val="clear" w:color="000000" w:fill="FFFFFF"/>
            <w:noWrap/>
            <w:vAlign w:val="center"/>
            <w:hideMark/>
          </w:tcPr>
          <w:p w14:paraId="1EFBF89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42.239</w:t>
            </w:r>
          </w:p>
        </w:tc>
        <w:tc>
          <w:tcPr>
            <w:tcW w:w="508" w:type="pct"/>
            <w:tcBorders>
              <w:top w:val="nil"/>
              <w:left w:val="nil"/>
              <w:bottom w:val="nil"/>
              <w:right w:val="nil"/>
            </w:tcBorders>
            <w:shd w:val="clear" w:color="000000" w:fill="FFFFFF"/>
            <w:noWrap/>
            <w:vAlign w:val="center"/>
            <w:hideMark/>
          </w:tcPr>
          <w:p w14:paraId="437DAAE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7.843</w:t>
            </w:r>
          </w:p>
        </w:tc>
        <w:tc>
          <w:tcPr>
            <w:tcW w:w="508" w:type="pct"/>
            <w:tcBorders>
              <w:top w:val="nil"/>
              <w:left w:val="nil"/>
              <w:bottom w:val="nil"/>
              <w:right w:val="nil"/>
            </w:tcBorders>
            <w:shd w:val="clear" w:color="000000" w:fill="FFFFFF"/>
            <w:noWrap/>
            <w:vAlign w:val="center"/>
            <w:hideMark/>
          </w:tcPr>
          <w:p w14:paraId="471324A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8.634</w:t>
            </w:r>
          </w:p>
        </w:tc>
        <w:tc>
          <w:tcPr>
            <w:tcW w:w="508" w:type="pct"/>
            <w:tcBorders>
              <w:top w:val="nil"/>
              <w:left w:val="nil"/>
              <w:bottom w:val="nil"/>
              <w:right w:val="nil"/>
            </w:tcBorders>
            <w:shd w:val="clear" w:color="000000" w:fill="FFFFFF"/>
            <w:noWrap/>
            <w:vAlign w:val="center"/>
            <w:hideMark/>
          </w:tcPr>
          <w:p w14:paraId="447223B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557</w:t>
            </w:r>
          </w:p>
        </w:tc>
        <w:tc>
          <w:tcPr>
            <w:tcW w:w="508" w:type="pct"/>
            <w:tcBorders>
              <w:top w:val="nil"/>
              <w:left w:val="nil"/>
              <w:bottom w:val="nil"/>
              <w:right w:val="nil"/>
            </w:tcBorders>
            <w:shd w:val="clear" w:color="000000" w:fill="FFFFFF"/>
            <w:noWrap/>
            <w:vAlign w:val="center"/>
            <w:hideMark/>
          </w:tcPr>
          <w:p w14:paraId="69D0DF6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w:t>
            </w:r>
          </w:p>
        </w:tc>
        <w:tc>
          <w:tcPr>
            <w:tcW w:w="510" w:type="pct"/>
            <w:tcBorders>
              <w:top w:val="nil"/>
              <w:left w:val="nil"/>
              <w:bottom w:val="nil"/>
              <w:right w:val="single" w:sz="4" w:space="0" w:color="auto"/>
            </w:tcBorders>
            <w:shd w:val="clear" w:color="000000" w:fill="FFFFFF"/>
            <w:noWrap/>
            <w:vAlign w:val="center"/>
            <w:hideMark/>
          </w:tcPr>
          <w:p w14:paraId="0D18181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488" w:type="pct"/>
            <w:tcBorders>
              <w:top w:val="nil"/>
              <w:left w:val="nil"/>
              <w:bottom w:val="nil"/>
              <w:right w:val="nil"/>
            </w:tcBorders>
            <w:shd w:val="clear" w:color="000000" w:fill="FFFFFF"/>
            <w:noWrap/>
            <w:vAlign w:val="center"/>
            <w:hideMark/>
          </w:tcPr>
          <w:p w14:paraId="705FF1E1"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76" w:type="pct"/>
            <w:tcBorders>
              <w:top w:val="nil"/>
              <w:left w:val="single" w:sz="4" w:space="0" w:color="auto"/>
              <w:bottom w:val="nil"/>
              <w:right w:val="single" w:sz="4" w:space="0" w:color="auto"/>
            </w:tcBorders>
            <w:shd w:val="clear" w:color="000000" w:fill="FFFFFF"/>
            <w:noWrap/>
            <w:vAlign w:val="center"/>
            <w:hideMark/>
          </w:tcPr>
          <w:p w14:paraId="2BCF3D4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FC7D65" w:rsidRPr="00650EE4" w14:paraId="29CBBCC1" w14:textId="77777777" w:rsidTr="004B0384">
        <w:tc>
          <w:tcPr>
            <w:tcW w:w="98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63B4A1E" w14:textId="77777777" w:rsidR="00FC7D65" w:rsidRPr="00650EE4" w:rsidRDefault="00FC7D65" w:rsidP="00FC7D6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8" w:type="pct"/>
            <w:tcBorders>
              <w:top w:val="single" w:sz="4" w:space="0" w:color="auto"/>
              <w:left w:val="nil"/>
              <w:bottom w:val="single" w:sz="4" w:space="0" w:color="auto"/>
              <w:right w:val="nil"/>
            </w:tcBorders>
            <w:shd w:val="clear" w:color="000000" w:fill="F2F2F2"/>
            <w:noWrap/>
            <w:vAlign w:val="center"/>
            <w:hideMark/>
          </w:tcPr>
          <w:p w14:paraId="5B975184"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52.809</w:t>
            </w:r>
          </w:p>
        </w:tc>
        <w:tc>
          <w:tcPr>
            <w:tcW w:w="508" w:type="pct"/>
            <w:tcBorders>
              <w:top w:val="single" w:sz="4" w:space="0" w:color="auto"/>
              <w:left w:val="nil"/>
              <w:bottom w:val="single" w:sz="4" w:space="0" w:color="auto"/>
              <w:right w:val="nil"/>
            </w:tcBorders>
            <w:shd w:val="clear" w:color="000000" w:fill="F2F2F2"/>
            <w:noWrap/>
            <w:vAlign w:val="center"/>
            <w:hideMark/>
          </w:tcPr>
          <w:p w14:paraId="571F0F17"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7.895</w:t>
            </w:r>
          </w:p>
        </w:tc>
        <w:tc>
          <w:tcPr>
            <w:tcW w:w="508" w:type="pct"/>
            <w:tcBorders>
              <w:top w:val="single" w:sz="4" w:space="0" w:color="auto"/>
              <w:left w:val="nil"/>
              <w:bottom w:val="single" w:sz="4" w:space="0" w:color="auto"/>
              <w:right w:val="nil"/>
            </w:tcBorders>
            <w:shd w:val="clear" w:color="000000" w:fill="F2F2F2"/>
            <w:noWrap/>
            <w:vAlign w:val="center"/>
            <w:hideMark/>
          </w:tcPr>
          <w:p w14:paraId="5D92D2E6"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10.024</w:t>
            </w:r>
          </w:p>
        </w:tc>
        <w:tc>
          <w:tcPr>
            <w:tcW w:w="508" w:type="pct"/>
            <w:tcBorders>
              <w:top w:val="single" w:sz="4" w:space="0" w:color="auto"/>
              <w:left w:val="nil"/>
              <w:bottom w:val="single" w:sz="4" w:space="0" w:color="auto"/>
              <w:right w:val="nil"/>
            </w:tcBorders>
            <w:shd w:val="clear" w:color="000000" w:fill="F2F2F2"/>
            <w:noWrap/>
            <w:vAlign w:val="center"/>
            <w:hideMark/>
          </w:tcPr>
          <w:p w14:paraId="64B1B0D2"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1.345</w:t>
            </w:r>
          </w:p>
        </w:tc>
        <w:tc>
          <w:tcPr>
            <w:tcW w:w="508" w:type="pct"/>
            <w:tcBorders>
              <w:top w:val="single" w:sz="4" w:space="0" w:color="auto"/>
              <w:left w:val="nil"/>
              <w:bottom w:val="single" w:sz="4" w:space="0" w:color="auto"/>
              <w:right w:val="nil"/>
            </w:tcBorders>
            <w:shd w:val="clear" w:color="000000" w:fill="F2F2F2"/>
            <w:noWrap/>
            <w:vAlign w:val="center"/>
            <w:hideMark/>
          </w:tcPr>
          <w:p w14:paraId="0FD95E61"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501</w:t>
            </w:r>
          </w:p>
        </w:tc>
        <w:tc>
          <w:tcPr>
            <w:tcW w:w="510" w:type="pct"/>
            <w:tcBorders>
              <w:top w:val="single" w:sz="4" w:space="0" w:color="auto"/>
              <w:left w:val="nil"/>
              <w:bottom w:val="single" w:sz="4" w:space="0" w:color="auto"/>
              <w:right w:val="single" w:sz="4" w:space="0" w:color="auto"/>
            </w:tcBorders>
            <w:shd w:val="clear" w:color="000000" w:fill="F2F2F2"/>
            <w:noWrap/>
            <w:vAlign w:val="center"/>
            <w:hideMark/>
          </w:tcPr>
          <w:p w14:paraId="21066CE8"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96</w:t>
            </w:r>
          </w:p>
        </w:tc>
        <w:tc>
          <w:tcPr>
            <w:tcW w:w="488" w:type="pct"/>
            <w:tcBorders>
              <w:top w:val="single" w:sz="4" w:space="0" w:color="auto"/>
              <w:left w:val="nil"/>
              <w:bottom w:val="single" w:sz="4" w:space="0" w:color="auto"/>
              <w:right w:val="nil"/>
            </w:tcBorders>
            <w:shd w:val="clear" w:color="000000" w:fill="F2F2F2"/>
            <w:noWrap/>
            <w:vAlign w:val="center"/>
            <w:hideMark/>
          </w:tcPr>
          <w:p w14:paraId="0E8CC691"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4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AA6AB0"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w:t>
            </w:r>
          </w:p>
        </w:tc>
      </w:tr>
      <w:tr w:rsidR="00FC7D65" w:rsidRPr="00650EE4" w14:paraId="5FA5B5F8" w14:textId="77777777" w:rsidTr="004B0384">
        <w:tc>
          <w:tcPr>
            <w:tcW w:w="988" w:type="pct"/>
            <w:tcBorders>
              <w:top w:val="nil"/>
              <w:left w:val="single" w:sz="4" w:space="0" w:color="auto"/>
              <w:bottom w:val="nil"/>
              <w:right w:val="nil"/>
            </w:tcBorders>
            <w:shd w:val="clear" w:color="000000" w:fill="FFFFFF"/>
            <w:noWrap/>
            <w:vAlign w:val="center"/>
            <w:hideMark/>
          </w:tcPr>
          <w:p w14:paraId="0814F14A"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8" w:type="pct"/>
            <w:tcBorders>
              <w:top w:val="nil"/>
              <w:left w:val="single" w:sz="4" w:space="0" w:color="auto"/>
              <w:bottom w:val="nil"/>
              <w:right w:val="nil"/>
            </w:tcBorders>
            <w:shd w:val="clear" w:color="000000" w:fill="FFFFFF"/>
            <w:noWrap/>
            <w:vAlign w:val="center"/>
            <w:hideMark/>
          </w:tcPr>
          <w:p w14:paraId="267947B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29.135</w:t>
            </w:r>
          </w:p>
        </w:tc>
        <w:tc>
          <w:tcPr>
            <w:tcW w:w="508" w:type="pct"/>
            <w:tcBorders>
              <w:top w:val="nil"/>
              <w:left w:val="nil"/>
              <w:bottom w:val="nil"/>
              <w:right w:val="nil"/>
            </w:tcBorders>
            <w:shd w:val="clear" w:color="000000" w:fill="FFFFFF"/>
            <w:noWrap/>
            <w:vAlign w:val="center"/>
            <w:hideMark/>
          </w:tcPr>
          <w:p w14:paraId="15C0712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1.962</w:t>
            </w:r>
          </w:p>
        </w:tc>
        <w:tc>
          <w:tcPr>
            <w:tcW w:w="508" w:type="pct"/>
            <w:tcBorders>
              <w:top w:val="nil"/>
              <w:left w:val="nil"/>
              <w:bottom w:val="nil"/>
              <w:right w:val="nil"/>
            </w:tcBorders>
            <w:shd w:val="clear" w:color="000000" w:fill="FFFFFF"/>
            <w:noWrap/>
            <w:vAlign w:val="center"/>
            <w:hideMark/>
          </w:tcPr>
          <w:p w14:paraId="12C09CF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3.534</w:t>
            </w:r>
          </w:p>
        </w:tc>
        <w:tc>
          <w:tcPr>
            <w:tcW w:w="508" w:type="pct"/>
            <w:tcBorders>
              <w:top w:val="nil"/>
              <w:left w:val="nil"/>
              <w:bottom w:val="nil"/>
              <w:right w:val="nil"/>
            </w:tcBorders>
            <w:shd w:val="clear" w:color="000000" w:fill="FFFFFF"/>
            <w:noWrap/>
            <w:vAlign w:val="center"/>
            <w:hideMark/>
          </w:tcPr>
          <w:p w14:paraId="0252560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574</w:t>
            </w:r>
          </w:p>
        </w:tc>
        <w:tc>
          <w:tcPr>
            <w:tcW w:w="508" w:type="pct"/>
            <w:tcBorders>
              <w:top w:val="nil"/>
              <w:left w:val="nil"/>
              <w:bottom w:val="nil"/>
              <w:right w:val="nil"/>
            </w:tcBorders>
            <w:shd w:val="clear" w:color="000000" w:fill="FFFFFF"/>
            <w:noWrap/>
            <w:vAlign w:val="center"/>
            <w:hideMark/>
          </w:tcPr>
          <w:p w14:paraId="2BBAD0B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w:t>
            </w:r>
          </w:p>
        </w:tc>
        <w:tc>
          <w:tcPr>
            <w:tcW w:w="510" w:type="pct"/>
            <w:tcBorders>
              <w:top w:val="nil"/>
              <w:left w:val="nil"/>
              <w:bottom w:val="nil"/>
              <w:right w:val="single" w:sz="4" w:space="0" w:color="auto"/>
            </w:tcBorders>
            <w:shd w:val="clear" w:color="000000" w:fill="FFFFFF"/>
            <w:noWrap/>
            <w:vAlign w:val="center"/>
            <w:hideMark/>
          </w:tcPr>
          <w:p w14:paraId="38E4C5B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w:t>
            </w:r>
          </w:p>
        </w:tc>
        <w:tc>
          <w:tcPr>
            <w:tcW w:w="488" w:type="pct"/>
            <w:tcBorders>
              <w:top w:val="nil"/>
              <w:left w:val="nil"/>
              <w:bottom w:val="nil"/>
              <w:right w:val="nil"/>
            </w:tcBorders>
            <w:shd w:val="clear" w:color="000000" w:fill="FFFFFF"/>
            <w:noWrap/>
            <w:vAlign w:val="center"/>
            <w:hideMark/>
          </w:tcPr>
          <w:p w14:paraId="3B8286F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76" w:type="pct"/>
            <w:tcBorders>
              <w:top w:val="nil"/>
              <w:left w:val="single" w:sz="4" w:space="0" w:color="auto"/>
              <w:bottom w:val="nil"/>
              <w:right w:val="single" w:sz="4" w:space="0" w:color="auto"/>
            </w:tcBorders>
            <w:shd w:val="clear" w:color="000000" w:fill="FFFFFF"/>
            <w:noWrap/>
            <w:vAlign w:val="center"/>
            <w:hideMark/>
          </w:tcPr>
          <w:p w14:paraId="1980075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C7D65" w:rsidRPr="00650EE4" w14:paraId="6FAA7D65" w14:textId="77777777" w:rsidTr="004B0384">
        <w:tc>
          <w:tcPr>
            <w:tcW w:w="988" w:type="pct"/>
            <w:tcBorders>
              <w:top w:val="nil"/>
              <w:left w:val="single" w:sz="4" w:space="0" w:color="auto"/>
              <w:bottom w:val="nil"/>
              <w:right w:val="nil"/>
            </w:tcBorders>
            <w:shd w:val="clear" w:color="000000" w:fill="FFFFFF"/>
            <w:noWrap/>
            <w:vAlign w:val="center"/>
            <w:hideMark/>
          </w:tcPr>
          <w:p w14:paraId="7342DB7C"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8" w:type="pct"/>
            <w:tcBorders>
              <w:top w:val="nil"/>
              <w:left w:val="single" w:sz="4" w:space="0" w:color="auto"/>
              <w:bottom w:val="nil"/>
              <w:right w:val="nil"/>
            </w:tcBorders>
            <w:shd w:val="clear" w:color="000000" w:fill="FFFFFF"/>
            <w:noWrap/>
            <w:vAlign w:val="center"/>
            <w:hideMark/>
          </w:tcPr>
          <w:p w14:paraId="66EB0F9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7.438</w:t>
            </w:r>
          </w:p>
        </w:tc>
        <w:tc>
          <w:tcPr>
            <w:tcW w:w="508" w:type="pct"/>
            <w:tcBorders>
              <w:top w:val="nil"/>
              <w:left w:val="nil"/>
              <w:bottom w:val="nil"/>
              <w:right w:val="nil"/>
            </w:tcBorders>
            <w:shd w:val="clear" w:color="000000" w:fill="FFFFFF"/>
            <w:noWrap/>
            <w:vAlign w:val="center"/>
            <w:hideMark/>
          </w:tcPr>
          <w:p w14:paraId="62C120B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1.167</w:t>
            </w:r>
          </w:p>
        </w:tc>
        <w:tc>
          <w:tcPr>
            <w:tcW w:w="508" w:type="pct"/>
            <w:tcBorders>
              <w:top w:val="nil"/>
              <w:left w:val="nil"/>
              <w:bottom w:val="nil"/>
              <w:right w:val="nil"/>
            </w:tcBorders>
            <w:shd w:val="clear" w:color="000000" w:fill="FFFFFF"/>
            <w:noWrap/>
            <w:vAlign w:val="center"/>
            <w:hideMark/>
          </w:tcPr>
          <w:p w14:paraId="260FF92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900</w:t>
            </w:r>
          </w:p>
        </w:tc>
        <w:tc>
          <w:tcPr>
            <w:tcW w:w="508" w:type="pct"/>
            <w:tcBorders>
              <w:top w:val="nil"/>
              <w:left w:val="nil"/>
              <w:bottom w:val="nil"/>
              <w:right w:val="nil"/>
            </w:tcBorders>
            <w:shd w:val="clear" w:color="000000" w:fill="FFFFFF"/>
            <w:noWrap/>
            <w:vAlign w:val="center"/>
            <w:hideMark/>
          </w:tcPr>
          <w:p w14:paraId="4DD6E2C7"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482</w:t>
            </w:r>
          </w:p>
        </w:tc>
        <w:tc>
          <w:tcPr>
            <w:tcW w:w="508" w:type="pct"/>
            <w:tcBorders>
              <w:top w:val="nil"/>
              <w:left w:val="nil"/>
              <w:bottom w:val="nil"/>
              <w:right w:val="nil"/>
            </w:tcBorders>
            <w:shd w:val="clear" w:color="000000" w:fill="FFFFFF"/>
            <w:noWrap/>
            <w:vAlign w:val="center"/>
            <w:hideMark/>
          </w:tcPr>
          <w:p w14:paraId="47C6C54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w:t>
            </w:r>
          </w:p>
        </w:tc>
        <w:tc>
          <w:tcPr>
            <w:tcW w:w="510" w:type="pct"/>
            <w:tcBorders>
              <w:top w:val="nil"/>
              <w:left w:val="nil"/>
              <w:bottom w:val="nil"/>
              <w:right w:val="single" w:sz="4" w:space="0" w:color="auto"/>
            </w:tcBorders>
            <w:shd w:val="clear" w:color="000000" w:fill="FFFFFF"/>
            <w:noWrap/>
            <w:vAlign w:val="center"/>
            <w:hideMark/>
          </w:tcPr>
          <w:p w14:paraId="2F8C397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3184AAC6"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76" w:type="pct"/>
            <w:tcBorders>
              <w:top w:val="nil"/>
              <w:left w:val="single" w:sz="4" w:space="0" w:color="auto"/>
              <w:bottom w:val="nil"/>
              <w:right w:val="single" w:sz="4" w:space="0" w:color="auto"/>
            </w:tcBorders>
            <w:shd w:val="clear" w:color="000000" w:fill="FFFFFF"/>
            <w:noWrap/>
            <w:vAlign w:val="center"/>
            <w:hideMark/>
          </w:tcPr>
          <w:p w14:paraId="4998380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C7D65" w:rsidRPr="00650EE4" w14:paraId="010EA014" w14:textId="77777777" w:rsidTr="004B0384">
        <w:tc>
          <w:tcPr>
            <w:tcW w:w="988" w:type="pct"/>
            <w:tcBorders>
              <w:top w:val="nil"/>
              <w:left w:val="single" w:sz="4" w:space="0" w:color="auto"/>
              <w:bottom w:val="nil"/>
              <w:right w:val="nil"/>
            </w:tcBorders>
            <w:shd w:val="clear" w:color="000000" w:fill="FFFFFF"/>
            <w:noWrap/>
            <w:vAlign w:val="center"/>
            <w:hideMark/>
          </w:tcPr>
          <w:p w14:paraId="7A997A82"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8" w:type="pct"/>
            <w:tcBorders>
              <w:top w:val="nil"/>
              <w:left w:val="single" w:sz="4" w:space="0" w:color="auto"/>
              <w:bottom w:val="nil"/>
              <w:right w:val="nil"/>
            </w:tcBorders>
            <w:shd w:val="clear" w:color="000000" w:fill="FFFFFF"/>
            <w:noWrap/>
            <w:vAlign w:val="center"/>
            <w:hideMark/>
          </w:tcPr>
          <w:p w14:paraId="6CFDBFF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5.455</w:t>
            </w:r>
          </w:p>
        </w:tc>
        <w:tc>
          <w:tcPr>
            <w:tcW w:w="508" w:type="pct"/>
            <w:tcBorders>
              <w:top w:val="nil"/>
              <w:left w:val="nil"/>
              <w:bottom w:val="nil"/>
              <w:right w:val="nil"/>
            </w:tcBorders>
            <w:shd w:val="clear" w:color="000000" w:fill="FFFFFF"/>
            <w:noWrap/>
            <w:vAlign w:val="center"/>
            <w:hideMark/>
          </w:tcPr>
          <w:p w14:paraId="5DB95DF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1.938</w:t>
            </w:r>
          </w:p>
        </w:tc>
        <w:tc>
          <w:tcPr>
            <w:tcW w:w="508" w:type="pct"/>
            <w:tcBorders>
              <w:top w:val="nil"/>
              <w:left w:val="nil"/>
              <w:bottom w:val="nil"/>
              <w:right w:val="nil"/>
            </w:tcBorders>
            <w:shd w:val="clear" w:color="000000" w:fill="FFFFFF"/>
            <w:noWrap/>
            <w:vAlign w:val="center"/>
            <w:hideMark/>
          </w:tcPr>
          <w:p w14:paraId="2B5779D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1.081</w:t>
            </w:r>
          </w:p>
        </w:tc>
        <w:tc>
          <w:tcPr>
            <w:tcW w:w="508" w:type="pct"/>
            <w:tcBorders>
              <w:top w:val="nil"/>
              <w:left w:val="nil"/>
              <w:bottom w:val="nil"/>
              <w:right w:val="nil"/>
            </w:tcBorders>
            <w:shd w:val="clear" w:color="000000" w:fill="FFFFFF"/>
            <w:noWrap/>
            <w:vAlign w:val="center"/>
            <w:hideMark/>
          </w:tcPr>
          <w:p w14:paraId="55EB140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nil"/>
              <w:left w:val="nil"/>
              <w:bottom w:val="nil"/>
              <w:right w:val="nil"/>
            </w:tcBorders>
            <w:shd w:val="clear" w:color="000000" w:fill="FFFFFF"/>
            <w:noWrap/>
            <w:vAlign w:val="center"/>
            <w:hideMark/>
          </w:tcPr>
          <w:p w14:paraId="366B932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10" w:type="pct"/>
            <w:tcBorders>
              <w:top w:val="nil"/>
              <w:left w:val="nil"/>
              <w:bottom w:val="nil"/>
              <w:right w:val="single" w:sz="4" w:space="0" w:color="auto"/>
            </w:tcBorders>
            <w:shd w:val="clear" w:color="000000" w:fill="FFFFFF"/>
            <w:noWrap/>
            <w:vAlign w:val="center"/>
            <w:hideMark/>
          </w:tcPr>
          <w:p w14:paraId="57FA084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2E1B7676"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76" w:type="pct"/>
            <w:tcBorders>
              <w:top w:val="nil"/>
              <w:left w:val="single" w:sz="4" w:space="0" w:color="auto"/>
              <w:bottom w:val="nil"/>
              <w:right w:val="single" w:sz="4" w:space="0" w:color="auto"/>
            </w:tcBorders>
            <w:shd w:val="clear" w:color="000000" w:fill="FFFFFF"/>
            <w:noWrap/>
            <w:vAlign w:val="center"/>
            <w:hideMark/>
          </w:tcPr>
          <w:p w14:paraId="6E9C6654"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FC7D65" w:rsidRPr="00650EE4" w14:paraId="32BD278B" w14:textId="77777777" w:rsidTr="004B0384">
        <w:tc>
          <w:tcPr>
            <w:tcW w:w="988" w:type="pct"/>
            <w:tcBorders>
              <w:top w:val="nil"/>
              <w:left w:val="single" w:sz="4" w:space="0" w:color="auto"/>
              <w:bottom w:val="nil"/>
              <w:right w:val="nil"/>
            </w:tcBorders>
            <w:shd w:val="clear" w:color="000000" w:fill="FFFFFF"/>
            <w:noWrap/>
            <w:vAlign w:val="center"/>
            <w:hideMark/>
          </w:tcPr>
          <w:p w14:paraId="291FC09C"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8" w:type="pct"/>
            <w:tcBorders>
              <w:top w:val="nil"/>
              <w:left w:val="single" w:sz="4" w:space="0" w:color="auto"/>
              <w:bottom w:val="nil"/>
              <w:right w:val="nil"/>
            </w:tcBorders>
            <w:shd w:val="clear" w:color="000000" w:fill="FFFFFF"/>
            <w:noWrap/>
            <w:vAlign w:val="center"/>
            <w:hideMark/>
          </w:tcPr>
          <w:p w14:paraId="422CF3F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3.493</w:t>
            </w:r>
          </w:p>
        </w:tc>
        <w:tc>
          <w:tcPr>
            <w:tcW w:w="508" w:type="pct"/>
            <w:tcBorders>
              <w:top w:val="nil"/>
              <w:left w:val="nil"/>
              <w:bottom w:val="nil"/>
              <w:right w:val="nil"/>
            </w:tcBorders>
            <w:shd w:val="clear" w:color="000000" w:fill="FFFFFF"/>
            <w:noWrap/>
            <w:vAlign w:val="center"/>
            <w:hideMark/>
          </w:tcPr>
          <w:p w14:paraId="51993C04"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984</w:t>
            </w:r>
          </w:p>
        </w:tc>
        <w:tc>
          <w:tcPr>
            <w:tcW w:w="508" w:type="pct"/>
            <w:tcBorders>
              <w:top w:val="nil"/>
              <w:left w:val="nil"/>
              <w:bottom w:val="nil"/>
              <w:right w:val="nil"/>
            </w:tcBorders>
            <w:shd w:val="clear" w:color="000000" w:fill="FFFFFF"/>
            <w:noWrap/>
            <w:vAlign w:val="center"/>
            <w:hideMark/>
          </w:tcPr>
          <w:p w14:paraId="7EA0346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2.386</w:t>
            </w:r>
          </w:p>
        </w:tc>
        <w:tc>
          <w:tcPr>
            <w:tcW w:w="508" w:type="pct"/>
            <w:tcBorders>
              <w:top w:val="nil"/>
              <w:left w:val="nil"/>
              <w:bottom w:val="nil"/>
              <w:right w:val="nil"/>
            </w:tcBorders>
            <w:shd w:val="clear" w:color="000000" w:fill="FFFFFF"/>
            <w:noWrap/>
            <w:vAlign w:val="center"/>
            <w:hideMark/>
          </w:tcPr>
          <w:p w14:paraId="630824A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105</w:t>
            </w:r>
          </w:p>
        </w:tc>
        <w:tc>
          <w:tcPr>
            <w:tcW w:w="508" w:type="pct"/>
            <w:tcBorders>
              <w:top w:val="nil"/>
              <w:left w:val="nil"/>
              <w:bottom w:val="nil"/>
              <w:right w:val="nil"/>
            </w:tcBorders>
            <w:shd w:val="clear" w:color="000000" w:fill="FFFFFF"/>
            <w:noWrap/>
            <w:vAlign w:val="center"/>
            <w:hideMark/>
          </w:tcPr>
          <w:p w14:paraId="4A73A3B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10" w:type="pct"/>
            <w:tcBorders>
              <w:top w:val="nil"/>
              <w:left w:val="nil"/>
              <w:bottom w:val="nil"/>
              <w:right w:val="single" w:sz="4" w:space="0" w:color="auto"/>
            </w:tcBorders>
            <w:shd w:val="clear" w:color="000000" w:fill="FFFFFF"/>
            <w:noWrap/>
            <w:vAlign w:val="center"/>
            <w:hideMark/>
          </w:tcPr>
          <w:p w14:paraId="515B828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3EAB9551"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76" w:type="pct"/>
            <w:tcBorders>
              <w:top w:val="nil"/>
              <w:left w:val="single" w:sz="4" w:space="0" w:color="auto"/>
              <w:bottom w:val="nil"/>
              <w:right w:val="single" w:sz="4" w:space="0" w:color="auto"/>
            </w:tcBorders>
            <w:shd w:val="clear" w:color="000000" w:fill="FFFFFF"/>
            <w:noWrap/>
            <w:vAlign w:val="center"/>
            <w:hideMark/>
          </w:tcPr>
          <w:p w14:paraId="578C0C3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r>
      <w:tr w:rsidR="00FC7D65" w:rsidRPr="00650EE4" w14:paraId="01C831B9" w14:textId="77777777" w:rsidTr="004B0384">
        <w:tc>
          <w:tcPr>
            <w:tcW w:w="988" w:type="pct"/>
            <w:tcBorders>
              <w:top w:val="nil"/>
              <w:left w:val="single" w:sz="4" w:space="0" w:color="auto"/>
              <w:bottom w:val="nil"/>
              <w:right w:val="nil"/>
            </w:tcBorders>
            <w:shd w:val="clear" w:color="000000" w:fill="FFFFFF"/>
            <w:noWrap/>
            <w:vAlign w:val="center"/>
            <w:hideMark/>
          </w:tcPr>
          <w:p w14:paraId="1DA2D49E"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8" w:type="pct"/>
            <w:tcBorders>
              <w:top w:val="nil"/>
              <w:left w:val="single" w:sz="4" w:space="0" w:color="auto"/>
              <w:bottom w:val="nil"/>
              <w:right w:val="nil"/>
            </w:tcBorders>
            <w:shd w:val="clear" w:color="000000" w:fill="FFFFFF"/>
            <w:noWrap/>
            <w:vAlign w:val="center"/>
            <w:hideMark/>
          </w:tcPr>
          <w:p w14:paraId="0AC3721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1.655</w:t>
            </w:r>
          </w:p>
        </w:tc>
        <w:tc>
          <w:tcPr>
            <w:tcW w:w="508" w:type="pct"/>
            <w:tcBorders>
              <w:top w:val="nil"/>
              <w:left w:val="nil"/>
              <w:bottom w:val="nil"/>
              <w:right w:val="nil"/>
            </w:tcBorders>
            <w:shd w:val="clear" w:color="000000" w:fill="FFFFFF"/>
            <w:noWrap/>
            <w:vAlign w:val="center"/>
            <w:hideMark/>
          </w:tcPr>
          <w:p w14:paraId="06FBA04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619</w:t>
            </w:r>
          </w:p>
        </w:tc>
        <w:tc>
          <w:tcPr>
            <w:tcW w:w="508" w:type="pct"/>
            <w:tcBorders>
              <w:top w:val="nil"/>
              <w:left w:val="nil"/>
              <w:bottom w:val="nil"/>
              <w:right w:val="nil"/>
            </w:tcBorders>
            <w:shd w:val="clear" w:color="000000" w:fill="FFFFFF"/>
            <w:noWrap/>
            <w:vAlign w:val="center"/>
            <w:hideMark/>
          </w:tcPr>
          <w:p w14:paraId="7E40ED8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669</w:t>
            </w:r>
          </w:p>
        </w:tc>
        <w:tc>
          <w:tcPr>
            <w:tcW w:w="508" w:type="pct"/>
            <w:tcBorders>
              <w:top w:val="nil"/>
              <w:left w:val="nil"/>
              <w:bottom w:val="nil"/>
              <w:right w:val="nil"/>
            </w:tcBorders>
            <w:shd w:val="clear" w:color="000000" w:fill="FFFFFF"/>
            <w:noWrap/>
            <w:vAlign w:val="center"/>
            <w:hideMark/>
          </w:tcPr>
          <w:p w14:paraId="1BE457A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8" w:type="pct"/>
            <w:tcBorders>
              <w:top w:val="nil"/>
              <w:left w:val="nil"/>
              <w:bottom w:val="nil"/>
              <w:right w:val="nil"/>
            </w:tcBorders>
            <w:shd w:val="clear" w:color="000000" w:fill="FFFFFF"/>
            <w:noWrap/>
            <w:vAlign w:val="center"/>
            <w:hideMark/>
          </w:tcPr>
          <w:p w14:paraId="2203DA8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0" w:type="pct"/>
            <w:tcBorders>
              <w:top w:val="nil"/>
              <w:left w:val="nil"/>
              <w:bottom w:val="nil"/>
              <w:right w:val="single" w:sz="4" w:space="0" w:color="auto"/>
            </w:tcBorders>
            <w:shd w:val="clear" w:color="000000" w:fill="FFFFFF"/>
            <w:noWrap/>
            <w:vAlign w:val="center"/>
            <w:hideMark/>
          </w:tcPr>
          <w:p w14:paraId="08E2D7E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0181FD4F"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76" w:type="pct"/>
            <w:tcBorders>
              <w:top w:val="nil"/>
              <w:left w:val="single" w:sz="4" w:space="0" w:color="auto"/>
              <w:bottom w:val="nil"/>
              <w:right w:val="single" w:sz="4" w:space="0" w:color="auto"/>
            </w:tcBorders>
            <w:shd w:val="clear" w:color="000000" w:fill="FFFFFF"/>
            <w:noWrap/>
            <w:vAlign w:val="center"/>
            <w:hideMark/>
          </w:tcPr>
          <w:p w14:paraId="72DF763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FC7D65" w:rsidRPr="00650EE4" w14:paraId="1FD71FDF" w14:textId="77777777" w:rsidTr="004B0384">
        <w:tc>
          <w:tcPr>
            <w:tcW w:w="988" w:type="pct"/>
            <w:tcBorders>
              <w:top w:val="nil"/>
              <w:left w:val="single" w:sz="4" w:space="0" w:color="auto"/>
              <w:bottom w:val="nil"/>
              <w:right w:val="nil"/>
            </w:tcBorders>
            <w:shd w:val="clear" w:color="000000" w:fill="FFFFFF"/>
            <w:noWrap/>
            <w:vAlign w:val="center"/>
            <w:hideMark/>
          </w:tcPr>
          <w:p w14:paraId="78283555"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8" w:type="pct"/>
            <w:tcBorders>
              <w:top w:val="nil"/>
              <w:left w:val="single" w:sz="4" w:space="0" w:color="auto"/>
              <w:bottom w:val="nil"/>
              <w:right w:val="nil"/>
            </w:tcBorders>
            <w:shd w:val="clear" w:color="000000" w:fill="FFFFFF"/>
            <w:noWrap/>
            <w:vAlign w:val="center"/>
            <w:hideMark/>
          </w:tcPr>
          <w:p w14:paraId="399307C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1.262</w:t>
            </w:r>
          </w:p>
        </w:tc>
        <w:tc>
          <w:tcPr>
            <w:tcW w:w="508" w:type="pct"/>
            <w:tcBorders>
              <w:top w:val="nil"/>
              <w:left w:val="nil"/>
              <w:bottom w:val="nil"/>
              <w:right w:val="nil"/>
            </w:tcBorders>
            <w:shd w:val="clear" w:color="000000" w:fill="FFFFFF"/>
            <w:noWrap/>
            <w:vAlign w:val="center"/>
            <w:hideMark/>
          </w:tcPr>
          <w:p w14:paraId="589D23B2"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483</w:t>
            </w:r>
          </w:p>
        </w:tc>
        <w:tc>
          <w:tcPr>
            <w:tcW w:w="508" w:type="pct"/>
            <w:tcBorders>
              <w:top w:val="nil"/>
              <w:left w:val="nil"/>
              <w:bottom w:val="nil"/>
              <w:right w:val="nil"/>
            </w:tcBorders>
            <w:shd w:val="clear" w:color="000000" w:fill="FFFFFF"/>
            <w:noWrap/>
            <w:vAlign w:val="center"/>
            <w:hideMark/>
          </w:tcPr>
          <w:p w14:paraId="1F6F406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595</w:t>
            </w:r>
          </w:p>
        </w:tc>
        <w:tc>
          <w:tcPr>
            <w:tcW w:w="508" w:type="pct"/>
            <w:tcBorders>
              <w:top w:val="nil"/>
              <w:left w:val="nil"/>
              <w:bottom w:val="nil"/>
              <w:right w:val="nil"/>
            </w:tcBorders>
            <w:shd w:val="clear" w:color="000000" w:fill="FFFFFF"/>
            <w:noWrap/>
            <w:vAlign w:val="center"/>
            <w:hideMark/>
          </w:tcPr>
          <w:p w14:paraId="0A076A7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08" w:type="pct"/>
            <w:tcBorders>
              <w:top w:val="nil"/>
              <w:left w:val="nil"/>
              <w:bottom w:val="nil"/>
              <w:right w:val="nil"/>
            </w:tcBorders>
            <w:shd w:val="clear" w:color="000000" w:fill="FFFFFF"/>
            <w:noWrap/>
            <w:vAlign w:val="center"/>
            <w:hideMark/>
          </w:tcPr>
          <w:p w14:paraId="598D35E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w:t>
            </w:r>
          </w:p>
        </w:tc>
        <w:tc>
          <w:tcPr>
            <w:tcW w:w="510" w:type="pct"/>
            <w:tcBorders>
              <w:top w:val="nil"/>
              <w:left w:val="nil"/>
              <w:bottom w:val="nil"/>
              <w:right w:val="single" w:sz="4" w:space="0" w:color="auto"/>
            </w:tcBorders>
            <w:shd w:val="clear" w:color="000000" w:fill="FFFFFF"/>
            <w:noWrap/>
            <w:vAlign w:val="center"/>
            <w:hideMark/>
          </w:tcPr>
          <w:p w14:paraId="19596F0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17053B68"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76" w:type="pct"/>
            <w:tcBorders>
              <w:top w:val="nil"/>
              <w:left w:val="single" w:sz="4" w:space="0" w:color="auto"/>
              <w:bottom w:val="nil"/>
              <w:right w:val="single" w:sz="4" w:space="0" w:color="auto"/>
            </w:tcBorders>
            <w:shd w:val="clear" w:color="000000" w:fill="FFFFFF"/>
            <w:noWrap/>
            <w:vAlign w:val="center"/>
            <w:hideMark/>
          </w:tcPr>
          <w:p w14:paraId="3EC4D2C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FC7D65" w:rsidRPr="00650EE4" w14:paraId="34592D34" w14:textId="77777777" w:rsidTr="004B0384">
        <w:tc>
          <w:tcPr>
            <w:tcW w:w="988" w:type="pct"/>
            <w:tcBorders>
              <w:top w:val="nil"/>
              <w:left w:val="single" w:sz="4" w:space="0" w:color="auto"/>
              <w:bottom w:val="nil"/>
              <w:right w:val="nil"/>
            </w:tcBorders>
            <w:shd w:val="clear" w:color="000000" w:fill="FFFFFF"/>
            <w:noWrap/>
            <w:vAlign w:val="center"/>
            <w:hideMark/>
          </w:tcPr>
          <w:p w14:paraId="1AEE5FFE"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8" w:type="pct"/>
            <w:tcBorders>
              <w:top w:val="nil"/>
              <w:left w:val="single" w:sz="4" w:space="0" w:color="auto"/>
              <w:bottom w:val="nil"/>
              <w:right w:val="nil"/>
            </w:tcBorders>
            <w:shd w:val="clear" w:color="000000" w:fill="FFFFFF"/>
            <w:noWrap/>
            <w:vAlign w:val="center"/>
            <w:hideMark/>
          </w:tcPr>
          <w:p w14:paraId="45E54CA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1.819</w:t>
            </w:r>
          </w:p>
        </w:tc>
        <w:tc>
          <w:tcPr>
            <w:tcW w:w="508" w:type="pct"/>
            <w:tcBorders>
              <w:top w:val="nil"/>
              <w:left w:val="nil"/>
              <w:bottom w:val="nil"/>
              <w:right w:val="nil"/>
            </w:tcBorders>
            <w:shd w:val="clear" w:color="000000" w:fill="FFFFFF"/>
            <w:noWrap/>
            <w:vAlign w:val="center"/>
            <w:hideMark/>
          </w:tcPr>
          <w:p w14:paraId="08BB1B3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258</w:t>
            </w:r>
          </w:p>
        </w:tc>
        <w:tc>
          <w:tcPr>
            <w:tcW w:w="508" w:type="pct"/>
            <w:tcBorders>
              <w:top w:val="nil"/>
              <w:left w:val="nil"/>
              <w:bottom w:val="nil"/>
              <w:right w:val="nil"/>
            </w:tcBorders>
            <w:shd w:val="clear" w:color="000000" w:fill="FFFFFF"/>
            <w:noWrap/>
            <w:vAlign w:val="center"/>
            <w:hideMark/>
          </w:tcPr>
          <w:p w14:paraId="0D0F86F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w:t>
            </w:r>
          </w:p>
        </w:tc>
        <w:tc>
          <w:tcPr>
            <w:tcW w:w="508" w:type="pct"/>
            <w:tcBorders>
              <w:top w:val="nil"/>
              <w:left w:val="nil"/>
              <w:bottom w:val="nil"/>
              <w:right w:val="nil"/>
            </w:tcBorders>
            <w:shd w:val="clear" w:color="000000" w:fill="FFFFFF"/>
            <w:noWrap/>
            <w:vAlign w:val="center"/>
            <w:hideMark/>
          </w:tcPr>
          <w:p w14:paraId="27BA5D5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508" w:type="pct"/>
            <w:tcBorders>
              <w:top w:val="nil"/>
              <w:left w:val="nil"/>
              <w:bottom w:val="nil"/>
              <w:right w:val="nil"/>
            </w:tcBorders>
            <w:shd w:val="clear" w:color="000000" w:fill="FFFFFF"/>
            <w:noWrap/>
            <w:vAlign w:val="center"/>
            <w:hideMark/>
          </w:tcPr>
          <w:p w14:paraId="339CC79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10" w:type="pct"/>
            <w:tcBorders>
              <w:top w:val="nil"/>
              <w:left w:val="nil"/>
              <w:bottom w:val="nil"/>
              <w:right w:val="single" w:sz="4" w:space="0" w:color="auto"/>
            </w:tcBorders>
            <w:shd w:val="clear" w:color="000000" w:fill="FFFFFF"/>
            <w:noWrap/>
            <w:vAlign w:val="center"/>
            <w:hideMark/>
          </w:tcPr>
          <w:p w14:paraId="20A21A5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05DA3D3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76" w:type="pct"/>
            <w:tcBorders>
              <w:top w:val="nil"/>
              <w:left w:val="single" w:sz="4" w:space="0" w:color="auto"/>
              <w:bottom w:val="nil"/>
              <w:right w:val="single" w:sz="4" w:space="0" w:color="auto"/>
            </w:tcBorders>
            <w:shd w:val="clear" w:color="000000" w:fill="FFFFFF"/>
            <w:noWrap/>
            <w:vAlign w:val="center"/>
            <w:hideMark/>
          </w:tcPr>
          <w:p w14:paraId="206A981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C7D65" w:rsidRPr="00650EE4" w14:paraId="41AD10F5" w14:textId="77777777" w:rsidTr="004B0384">
        <w:tc>
          <w:tcPr>
            <w:tcW w:w="988" w:type="pct"/>
            <w:tcBorders>
              <w:top w:val="nil"/>
              <w:left w:val="single" w:sz="4" w:space="0" w:color="auto"/>
              <w:bottom w:val="nil"/>
              <w:right w:val="nil"/>
            </w:tcBorders>
            <w:shd w:val="clear" w:color="000000" w:fill="FFFFFF"/>
            <w:noWrap/>
            <w:vAlign w:val="center"/>
            <w:hideMark/>
          </w:tcPr>
          <w:p w14:paraId="5C27F9FB"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8" w:type="pct"/>
            <w:tcBorders>
              <w:top w:val="nil"/>
              <w:left w:val="single" w:sz="4" w:space="0" w:color="auto"/>
              <w:bottom w:val="nil"/>
              <w:right w:val="nil"/>
            </w:tcBorders>
            <w:shd w:val="clear" w:color="000000" w:fill="FFFFFF"/>
            <w:noWrap/>
            <w:vAlign w:val="center"/>
            <w:hideMark/>
          </w:tcPr>
          <w:p w14:paraId="04AE071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1.619</w:t>
            </w:r>
          </w:p>
        </w:tc>
        <w:tc>
          <w:tcPr>
            <w:tcW w:w="508" w:type="pct"/>
            <w:tcBorders>
              <w:top w:val="nil"/>
              <w:left w:val="nil"/>
              <w:bottom w:val="nil"/>
              <w:right w:val="nil"/>
            </w:tcBorders>
            <w:shd w:val="clear" w:color="000000" w:fill="FFFFFF"/>
            <w:noWrap/>
            <w:vAlign w:val="center"/>
            <w:hideMark/>
          </w:tcPr>
          <w:p w14:paraId="2352252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w:t>
            </w:r>
          </w:p>
        </w:tc>
        <w:tc>
          <w:tcPr>
            <w:tcW w:w="508" w:type="pct"/>
            <w:tcBorders>
              <w:top w:val="nil"/>
              <w:left w:val="nil"/>
              <w:bottom w:val="nil"/>
              <w:right w:val="nil"/>
            </w:tcBorders>
            <w:shd w:val="clear" w:color="000000" w:fill="FFFFFF"/>
            <w:noWrap/>
            <w:vAlign w:val="center"/>
            <w:hideMark/>
          </w:tcPr>
          <w:p w14:paraId="21689E1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08" w:type="pct"/>
            <w:tcBorders>
              <w:top w:val="nil"/>
              <w:left w:val="nil"/>
              <w:bottom w:val="nil"/>
              <w:right w:val="nil"/>
            </w:tcBorders>
            <w:shd w:val="clear" w:color="000000" w:fill="FFFFFF"/>
            <w:noWrap/>
            <w:vAlign w:val="center"/>
            <w:hideMark/>
          </w:tcPr>
          <w:p w14:paraId="4586A0E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c>
          <w:tcPr>
            <w:tcW w:w="508" w:type="pct"/>
            <w:tcBorders>
              <w:top w:val="nil"/>
              <w:left w:val="nil"/>
              <w:bottom w:val="nil"/>
              <w:right w:val="nil"/>
            </w:tcBorders>
            <w:shd w:val="clear" w:color="000000" w:fill="FFFFFF"/>
            <w:noWrap/>
            <w:vAlign w:val="center"/>
            <w:hideMark/>
          </w:tcPr>
          <w:p w14:paraId="58D81DC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510" w:type="pct"/>
            <w:tcBorders>
              <w:top w:val="nil"/>
              <w:left w:val="nil"/>
              <w:bottom w:val="nil"/>
              <w:right w:val="single" w:sz="4" w:space="0" w:color="auto"/>
            </w:tcBorders>
            <w:shd w:val="clear" w:color="000000" w:fill="FFFFFF"/>
            <w:noWrap/>
            <w:vAlign w:val="center"/>
            <w:hideMark/>
          </w:tcPr>
          <w:p w14:paraId="75FC37C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67F4EC97"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76" w:type="pct"/>
            <w:tcBorders>
              <w:top w:val="nil"/>
              <w:left w:val="single" w:sz="4" w:space="0" w:color="auto"/>
              <w:bottom w:val="nil"/>
              <w:right w:val="single" w:sz="4" w:space="0" w:color="auto"/>
            </w:tcBorders>
            <w:shd w:val="clear" w:color="000000" w:fill="FFFFFF"/>
            <w:noWrap/>
            <w:vAlign w:val="center"/>
            <w:hideMark/>
          </w:tcPr>
          <w:p w14:paraId="3A253D4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C7D65" w:rsidRPr="00650EE4" w14:paraId="366DC513" w14:textId="77777777" w:rsidTr="004B0384">
        <w:tc>
          <w:tcPr>
            <w:tcW w:w="988" w:type="pct"/>
            <w:tcBorders>
              <w:top w:val="nil"/>
              <w:left w:val="single" w:sz="4" w:space="0" w:color="auto"/>
              <w:bottom w:val="nil"/>
              <w:right w:val="nil"/>
            </w:tcBorders>
            <w:shd w:val="clear" w:color="000000" w:fill="FFFFFF"/>
            <w:noWrap/>
            <w:vAlign w:val="center"/>
            <w:hideMark/>
          </w:tcPr>
          <w:p w14:paraId="27704F03"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8" w:type="pct"/>
            <w:tcBorders>
              <w:top w:val="nil"/>
              <w:left w:val="single" w:sz="4" w:space="0" w:color="auto"/>
              <w:bottom w:val="single" w:sz="4" w:space="0" w:color="auto"/>
              <w:right w:val="nil"/>
            </w:tcBorders>
            <w:shd w:val="clear" w:color="000000" w:fill="FFFFFF"/>
            <w:noWrap/>
            <w:vAlign w:val="center"/>
            <w:hideMark/>
          </w:tcPr>
          <w:p w14:paraId="1A93EEE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932</w:t>
            </w:r>
          </w:p>
        </w:tc>
        <w:tc>
          <w:tcPr>
            <w:tcW w:w="508" w:type="pct"/>
            <w:tcBorders>
              <w:top w:val="nil"/>
              <w:left w:val="nil"/>
              <w:bottom w:val="single" w:sz="4" w:space="0" w:color="auto"/>
              <w:right w:val="nil"/>
            </w:tcBorders>
            <w:shd w:val="clear" w:color="000000" w:fill="FFFFFF"/>
            <w:noWrap/>
            <w:vAlign w:val="center"/>
            <w:hideMark/>
          </w:tcPr>
          <w:p w14:paraId="38419C7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264</w:t>
            </w:r>
          </w:p>
        </w:tc>
        <w:tc>
          <w:tcPr>
            <w:tcW w:w="508" w:type="pct"/>
            <w:tcBorders>
              <w:top w:val="nil"/>
              <w:left w:val="nil"/>
              <w:bottom w:val="single" w:sz="4" w:space="0" w:color="auto"/>
              <w:right w:val="nil"/>
            </w:tcBorders>
            <w:shd w:val="clear" w:color="000000" w:fill="FFFFFF"/>
            <w:noWrap/>
            <w:vAlign w:val="center"/>
            <w:hideMark/>
          </w:tcPr>
          <w:p w14:paraId="481D4F8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508" w:type="pct"/>
            <w:tcBorders>
              <w:top w:val="nil"/>
              <w:left w:val="nil"/>
              <w:bottom w:val="single" w:sz="4" w:space="0" w:color="auto"/>
              <w:right w:val="nil"/>
            </w:tcBorders>
            <w:shd w:val="clear" w:color="000000" w:fill="FFFFFF"/>
            <w:noWrap/>
            <w:vAlign w:val="center"/>
            <w:hideMark/>
          </w:tcPr>
          <w:p w14:paraId="27820D3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08" w:type="pct"/>
            <w:tcBorders>
              <w:top w:val="nil"/>
              <w:left w:val="nil"/>
              <w:bottom w:val="single" w:sz="4" w:space="0" w:color="auto"/>
              <w:right w:val="nil"/>
            </w:tcBorders>
            <w:shd w:val="clear" w:color="000000" w:fill="FFFFFF"/>
            <w:noWrap/>
            <w:vAlign w:val="center"/>
            <w:hideMark/>
          </w:tcPr>
          <w:p w14:paraId="4342093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510" w:type="pct"/>
            <w:tcBorders>
              <w:top w:val="nil"/>
              <w:left w:val="nil"/>
              <w:bottom w:val="single" w:sz="4" w:space="0" w:color="auto"/>
              <w:right w:val="single" w:sz="4" w:space="0" w:color="auto"/>
            </w:tcBorders>
            <w:shd w:val="clear" w:color="000000" w:fill="FFFFFF"/>
            <w:noWrap/>
            <w:vAlign w:val="center"/>
            <w:hideMark/>
          </w:tcPr>
          <w:p w14:paraId="57695894"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single" w:sz="4" w:space="0" w:color="auto"/>
              <w:right w:val="nil"/>
            </w:tcBorders>
            <w:shd w:val="clear" w:color="000000" w:fill="FFFFFF"/>
            <w:noWrap/>
            <w:vAlign w:val="center"/>
            <w:hideMark/>
          </w:tcPr>
          <w:p w14:paraId="7F78036C"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76" w:type="pct"/>
            <w:tcBorders>
              <w:top w:val="nil"/>
              <w:left w:val="single" w:sz="4" w:space="0" w:color="auto"/>
              <w:bottom w:val="single" w:sz="4" w:space="0" w:color="auto"/>
              <w:right w:val="single" w:sz="4" w:space="0" w:color="auto"/>
            </w:tcBorders>
            <w:shd w:val="clear" w:color="000000" w:fill="FFFFFF"/>
            <w:noWrap/>
            <w:vAlign w:val="center"/>
            <w:hideMark/>
          </w:tcPr>
          <w:p w14:paraId="3A28486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C7D65" w:rsidRPr="00650EE4" w14:paraId="1D714743" w14:textId="77777777" w:rsidTr="004B0384">
        <w:tc>
          <w:tcPr>
            <w:tcW w:w="988" w:type="pct"/>
            <w:tcBorders>
              <w:top w:val="single" w:sz="4" w:space="0" w:color="auto"/>
              <w:left w:val="single" w:sz="4" w:space="0" w:color="auto"/>
              <w:bottom w:val="nil"/>
              <w:right w:val="single" w:sz="4" w:space="0" w:color="auto"/>
            </w:tcBorders>
            <w:shd w:val="clear" w:color="000000" w:fill="FFFFFF"/>
            <w:noWrap/>
            <w:vAlign w:val="center"/>
            <w:hideMark/>
          </w:tcPr>
          <w:p w14:paraId="2C2E2BD7" w14:textId="77777777" w:rsidR="00FC7D65" w:rsidRPr="00650EE4" w:rsidRDefault="00FC7D65" w:rsidP="00FC7D6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8" w:type="pct"/>
            <w:tcBorders>
              <w:top w:val="nil"/>
              <w:left w:val="nil"/>
              <w:bottom w:val="nil"/>
              <w:right w:val="nil"/>
            </w:tcBorders>
            <w:shd w:val="clear" w:color="000000" w:fill="FFFFFF"/>
            <w:noWrap/>
            <w:vAlign w:val="center"/>
            <w:hideMark/>
          </w:tcPr>
          <w:p w14:paraId="0254AAF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132.735</w:t>
            </w:r>
          </w:p>
        </w:tc>
        <w:tc>
          <w:tcPr>
            <w:tcW w:w="508" w:type="pct"/>
            <w:tcBorders>
              <w:top w:val="nil"/>
              <w:left w:val="nil"/>
              <w:bottom w:val="nil"/>
              <w:right w:val="nil"/>
            </w:tcBorders>
            <w:shd w:val="clear" w:color="000000" w:fill="FFFFFF"/>
            <w:noWrap/>
            <w:vAlign w:val="center"/>
            <w:hideMark/>
          </w:tcPr>
          <w:p w14:paraId="052F0FF0"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39.466</w:t>
            </w:r>
          </w:p>
        </w:tc>
        <w:tc>
          <w:tcPr>
            <w:tcW w:w="508" w:type="pct"/>
            <w:tcBorders>
              <w:top w:val="nil"/>
              <w:left w:val="nil"/>
              <w:bottom w:val="nil"/>
              <w:right w:val="nil"/>
            </w:tcBorders>
            <w:shd w:val="clear" w:color="000000" w:fill="FFFFFF"/>
            <w:noWrap/>
            <w:vAlign w:val="center"/>
            <w:hideMark/>
          </w:tcPr>
          <w:p w14:paraId="79830DA1"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25.524</w:t>
            </w:r>
          </w:p>
        </w:tc>
        <w:tc>
          <w:tcPr>
            <w:tcW w:w="508" w:type="pct"/>
            <w:tcBorders>
              <w:top w:val="nil"/>
              <w:left w:val="nil"/>
              <w:bottom w:val="nil"/>
              <w:right w:val="nil"/>
            </w:tcBorders>
            <w:shd w:val="clear" w:color="000000" w:fill="FFFFFF"/>
            <w:noWrap/>
            <w:vAlign w:val="center"/>
            <w:hideMark/>
          </w:tcPr>
          <w:p w14:paraId="33AEC71A"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3.043</w:t>
            </w:r>
          </w:p>
        </w:tc>
        <w:tc>
          <w:tcPr>
            <w:tcW w:w="508" w:type="pct"/>
            <w:tcBorders>
              <w:top w:val="nil"/>
              <w:left w:val="nil"/>
              <w:bottom w:val="nil"/>
              <w:right w:val="nil"/>
            </w:tcBorders>
            <w:shd w:val="clear" w:color="000000" w:fill="FFFFFF"/>
            <w:noWrap/>
            <w:vAlign w:val="center"/>
            <w:hideMark/>
          </w:tcPr>
          <w:p w14:paraId="5318F11C"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784</w:t>
            </w:r>
          </w:p>
        </w:tc>
        <w:tc>
          <w:tcPr>
            <w:tcW w:w="510" w:type="pct"/>
            <w:tcBorders>
              <w:top w:val="nil"/>
              <w:left w:val="nil"/>
              <w:bottom w:val="nil"/>
              <w:right w:val="single" w:sz="4" w:space="0" w:color="auto"/>
            </w:tcBorders>
            <w:shd w:val="clear" w:color="000000" w:fill="FFFFFF"/>
            <w:noWrap/>
            <w:vAlign w:val="center"/>
            <w:hideMark/>
          </w:tcPr>
          <w:p w14:paraId="7EE68FA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120</w:t>
            </w:r>
          </w:p>
        </w:tc>
        <w:tc>
          <w:tcPr>
            <w:tcW w:w="488" w:type="pct"/>
            <w:tcBorders>
              <w:top w:val="nil"/>
              <w:left w:val="nil"/>
              <w:bottom w:val="nil"/>
              <w:right w:val="nil"/>
            </w:tcBorders>
            <w:shd w:val="clear" w:color="000000" w:fill="FFFFFF"/>
            <w:noWrap/>
            <w:vAlign w:val="center"/>
            <w:hideMark/>
          </w:tcPr>
          <w:p w14:paraId="6E2189ED"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76" w:type="pct"/>
            <w:tcBorders>
              <w:top w:val="nil"/>
              <w:left w:val="single" w:sz="4" w:space="0" w:color="auto"/>
              <w:bottom w:val="nil"/>
              <w:right w:val="single" w:sz="4" w:space="0" w:color="auto"/>
            </w:tcBorders>
            <w:shd w:val="clear" w:color="000000" w:fill="FFFFFF"/>
            <w:noWrap/>
            <w:vAlign w:val="center"/>
            <w:hideMark/>
          </w:tcPr>
          <w:p w14:paraId="17B532F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C7D65" w:rsidRPr="00650EE4" w14:paraId="3F5C82F1" w14:textId="77777777" w:rsidTr="004B0384">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78FC9"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8" w:type="pct"/>
            <w:tcBorders>
              <w:top w:val="single" w:sz="4" w:space="0" w:color="auto"/>
              <w:left w:val="nil"/>
              <w:bottom w:val="single" w:sz="4" w:space="0" w:color="auto"/>
              <w:right w:val="nil"/>
            </w:tcBorders>
            <w:shd w:val="clear" w:color="000000" w:fill="FFFFFF"/>
            <w:noWrap/>
            <w:vAlign w:val="center"/>
            <w:hideMark/>
          </w:tcPr>
          <w:p w14:paraId="0BE3DF9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508" w:type="pct"/>
            <w:tcBorders>
              <w:top w:val="single" w:sz="4" w:space="0" w:color="auto"/>
              <w:left w:val="nil"/>
              <w:bottom w:val="single" w:sz="4" w:space="0" w:color="auto"/>
              <w:right w:val="nil"/>
            </w:tcBorders>
            <w:shd w:val="clear" w:color="000000" w:fill="FFFFFF"/>
            <w:noWrap/>
            <w:vAlign w:val="center"/>
            <w:hideMark/>
          </w:tcPr>
          <w:p w14:paraId="4004BDC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08" w:type="pct"/>
            <w:tcBorders>
              <w:top w:val="single" w:sz="4" w:space="0" w:color="auto"/>
              <w:left w:val="nil"/>
              <w:bottom w:val="single" w:sz="4" w:space="0" w:color="auto"/>
              <w:right w:val="nil"/>
            </w:tcBorders>
            <w:shd w:val="clear" w:color="000000" w:fill="FFFFFF"/>
            <w:noWrap/>
            <w:vAlign w:val="center"/>
            <w:hideMark/>
          </w:tcPr>
          <w:p w14:paraId="10F2528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single" w:sz="4" w:space="0" w:color="auto"/>
              <w:left w:val="nil"/>
              <w:bottom w:val="single" w:sz="4" w:space="0" w:color="auto"/>
              <w:right w:val="nil"/>
            </w:tcBorders>
            <w:shd w:val="clear" w:color="000000" w:fill="FFFFFF"/>
            <w:noWrap/>
            <w:vAlign w:val="center"/>
            <w:hideMark/>
          </w:tcPr>
          <w:p w14:paraId="3B5555A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8" w:type="pct"/>
            <w:tcBorders>
              <w:top w:val="single" w:sz="4" w:space="0" w:color="auto"/>
              <w:left w:val="nil"/>
              <w:bottom w:val="single" w:sz="4" w:space="0" w:color="auto"/>
              <w:right w:val="nil"/>
            </w:tcBorders>
            <w:shd w:val="clear" w:color="000000" w:fill="FFFFFF"/>
            <w:noWrap/>
            <w:vAlign w:val="center"/>
            <w:hideMark/>
          </w:tcPr>
          <w:p w14:paraId="53C368C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0" w:type="pct"/>
            <w:tcBorders>
              <w:top w:val="single" w:sz="4" w:space="0" w:color="auto"/>
              <w:left w:val="nil"/>
              <w:bottom w:val="single" w:sz="4" w:space="0" w:color="auto"/>
              <w:right w:val="single" w:sz="4" w:space="0" w:color="auto"/>
            </w:tcBorders>
            <w:shd w:val="clear" w:color="000000" w:fill="FFFFFF"/>
            <w:noWrap/>
            <w:vAlign w:val="center"/>
            <w:hideMark/>
          </w:tcPr>
          <w:p w14:paraId="0A98030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single" w:sz="4" w:space="0" w:color="auto"/>
              <w:left w:val="nil"/>
              <w:bottom w:val="single" w:sz="4" w:space="0" w:color="auto"/>
              <w:right w:val="nil"/>
            </w:tcBorders>
            <w:shd w:val="clear" w:color="000000" w:fill="FFFFFF"/>
            <w:noWrap/>
            <w:vAlign w:val="center"/>
            <w:hideMark/>
          </w:tcPr>
          <w:p w14:paraId="04B8B767"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0A310"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746100D" w14:textId="382FAAA7" w:rsidR="00CD4824" w:rsidRPr="00650EE4" w:rsidRDefault="00632C0B" w:rsidP="001A209D">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7B0B57" w:rsidRPr="00650EE4">
        <w:rPr>
          <w:rFonts w:ascii="Times New Roman" w:eastAsia="Times New Roman" w:hAnsi="Times New Roman"/>
          <w:i/>
          <w:color w:val="000000" w:themeColor="text1"/>
          <w:sz w:val="20"/>
          <w:szCs w:val="20"/>
        </w:rPr>
        <w:t>Studijos autoriai</w:t>
      </w:r>
    </w:p>
    <w:p w14:paraId="40A831B8" w14:textId="77777777" w:rsidR="008F3EF7" w:rsidRPr="00650EE4" w:rsidRDefault="008F3EF7" w:rsidP="00A842F0">
      <w:pPr>
        <w:spacing w:line="240" w:lineRule="auto"/>
        <w:jc w:val="both"/>
        <w:rPr>
          <w:rFonts w:ascii="Times New Roman" w:hAnsi="Times New Roman"/>
          <w:color w:val="000000" w:themeColor="text1"/>
          <w:szCs w:val="22"/>
        </w:rPr>
      </w:pPr>
    </w:p>
    <w:p w14:paraId="166313C4" w14:textId="6F0D6554" w:rsidR="00A842F0" w:rsidRPr="00650EE4" w:rsidRDefault="00D92B70" w:rsidP="00A842F0">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Agreguoti p</w:t>
      </w:r>
      <w:r w:rsidR="00A842F0" w:rsidRPr="00650EE4">
        <w:rPr>
          <w:rFonts w:ascii="Times New Roman" w:hAnsi="Times New Roman"/>
          <w:color w:val="000000" w:themeColor="text1"/>
          <w:szCs w:val="22"/>
        </w:rPr>
        <w:t>astatų fondo duomenys pagal energinio naudingumo klasę pateikiami paveiksle žemiau.</w:t>
      </w:r>
    </w:p>
    <w:p w14:paraId="504C029F" w14:textId="071C78F1" w:rsidR="004B0F90"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42" w:name="_Toc67925253"/>
      <w:r w:rsidR="007744C1">
        <w:t>5</w:t>
      </w:r>
      <w:r w:rsidRPr="00650EE4">
        <w:rPr>
          <w:noProof w:val="0"/>
        </w:rPr>
        <w:fldChar w:fldCharType="end"/>
      </w:r>
      <w:r w:rsidR="00171B61" w:rsidRPr="00650EE4">
        <w:rPr>
          <w:noProof w:val="0"/>
        </w:rPr>
        <w:t xml:space="preserve"> paveikslas</w:t>
      </w:r>
      <w:r w:rsidR="004B0F90" w:rsidRPr="00650EE4">
        <w:rPr>
          <w:noProof w:val="0"/>
        </w:rPr>
        <w:t>. Pastatų fondas pagal energ</w:t>
      </w:r>
      <w:r w:rsidR="008E30A3" w:rsidRPr="00650EE4">
        <w:rPr>
          <w:noProof w:val="0"/>
        </w:rPr>
        <w:t>inio naudingumo</w:t>
      </w:r>
      <w:r w:rsidR="004B0F90" w:rsidRPr="00650EE4">
        <w:rPr>
          <w:noProof w:val="0"/>
        </w:rPr>
        <w:t xml:space="preserve"> klasę (agreguotas)</w:t>
      </w:r>
      <w:bookmarkEnd w:id="4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2039D8" w:rsidRPr="00650EE4" w14:paraId="178FDB1D" w14:textId="77777777" w:rsidTr="00234179">
        <w:trPr>
          <w:trHeight w:val="3628"/>
        </w:trPr>
        <w:tc>
          <w:tcPr>
            <w:tcW w:w="5000" w:type="pct"/>
          </w:tcPr>
          <w:p w14:paraId="33E5F25E" w14:textId="77CFE375" w:rsidR="008C5FA9" w:rsidRPr="00650EE4" w:rsidRDefault="004B71A9" w:rsidP="004B71A9">
            <w:pPr>
              <w:spacing w:before="60"/>
              <w:rPr>
                <w:rFonts w:ascii="Times New Roman" w:eastAsia="Times New Roman" w:hAnsi="Times New Roman"/>
                <w:i/>
                <w:color w:val="000000" w:themeColor="text1"/>
                <w:sz w:val="20"/>
                <w:szCs w:val="28"/>
              </w:rPr>
            </w:pPr>
            <w:r w:rsidRPr="00650EE4">
              <w:rPr>
                <w:rFonts w:ascii="Times New Roman" w:hAnsi="Times New Roman"/>
                <w:noProof/>
                <w:lang w:eastAsia="lt-LT"/>
              </w:rPr>
              <w:drawing>
                <wp:inline distT="0" distB="0" distL="0" distR="0" wp14:anchorId="001DDD54" wp14:editId="14C0970A">
                  <wp:extent cx="3014980" cy="2179955"/>
                  <wp:effectExtent l="0" t="0" r="13970" b="10795"/>
                  <wp:docPr id="23" name="Chart 23">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50EE4">
              <w:rPr>
                <w:rFonts w:ascii="Times New Roman" w:hAnsi="Times New Roman"/>
                <w:noProof/>
                <w:lang w:eastAsia="lt-LT"/>
              </w:rPr>
              <w:drawing>
                <wp:inline distT="0" distB="0" distL="0" distR="0" wp14:anchorId="7D55EFD2" wp14:editId="64DE46D8">
                  <wp:extent cx="3256280" cy="2186305"/>
                  <wp:effectExtent l="0" t="0" r="1270" b="4445"/>
                  <wp:docPr id="24" name="Chart 24">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039D8" w:rsidRPr="00650EE4">
              <w:rPr>
                <w:rFonts w:ascii="Times New Roman" w:eastAsia="Times New Roman" w:hAnsi="Times New Roman"/>
                <w:i/>
                <w:color w:val="000000" w:themeColor="text1"/>
                <w:sz w:val="20"/>
                <w:szCs w:val="28"/>
              </w:rPr>
              <w:t xml:space="preserve"> </w:t>
            </w:r>
          </w:p>
        </w:tc>
      </w:tr>
    </w:tbl>
    <w:p w14:paraId="473EB353" w14:textId="2CF20234" w:rsidR="008E30A3" w:rsidRPr="00650EE4" w:rsidRDefault="001A209D" w:rsidP="008E30A3">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NTR</w:t>
      </w:r>
      <w:r w:rsidR="008E30A3" w:rsidRPr="00650EE4">
        <w:rPr>
          <w:rFonts w:ascii="Times New Roman" w:eastAsia="Times New Roman" w:hAnsi="Times New Roman"/>
          <w:i/>
          <w:color w:val="000000" w:themeColor="text1"/>
          <w:sz w:val="20"/>
          <w:szCs w:val="28"/>
        </w:rPr>
        <w:t xml:space="preserve"> duomenys (2019.12.31)</w:t>
      </w:r>
    </w:p>
    <w:p w14:paraId="03CC824F" w14:textId="77777777" w:rsidR="00093731" w:rsidRDefault="00093731" w:rsidP="001A209D">
      <w:pPr>
        <w:spacing w:after="120"/>
        <w:rPr>
          <w:rFonts w:ascii="Times New Roman" w:hAnsi="Times New Roman"/>
          <w:color w:val="000000" w:themeColor="text1"/>
          <w:szCs w:val="22"/>
        </w:rPr>
      </w:pPr>
    </w:p>
    <w:p w14:paraId="4EECEF78" w14:textId="7313F968" w:rsidR="00CA07B0" w:rsidRPr="00650EE4" w:rsidRDefault="001A209D" w:rsidP="001A209D">
      <w:pPr>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Apibendrinant </w:t>
      </w:r>
      <w:r w:rsidR="00CA07B0" w:rsidRPr="00650EE4">
        <w:rPr>
          <w:rFonts w:ascii="Times New Roman" w:hAnsi="Times New Roman"/>
          <w:color w:val="000000" w:themeColor="text1"/>
          <w:szCs w:val="22"/>
        </w:rPr>
        <w:t>aukščiau pate</w:t>
      </w:r>
      <w:r w:rsidR="008E42DB" w:rsidRPr="00650EE4">
        <w:rPr>
          <w:rFonts w:ascii="Times New Roman" w:hAnsi="Times New Roman"/>
          <w:color w:val="000000" w:themeColor="text1"/>
          <w:szCs w:val="22"/>
        </w:rPr>
        <w:t>i</w:t>
      </w:r>
      <w:r w:rsidR="00CA07B0" w:rsidRPr="00650EE4">
        <w:rPr>
          <w:rFonts w:ascii="Times New Roman" w:hAnsi="Times New Roman"/>
          <w:color w:val="000000" w:themeColor="text1"/>
          <w:szCs w:val="22"/>
        </w:rPr>
        <w:t>ktus duomenis galima pastebėti, kad:</w:t>
      </w:r>
    </w:p>
    <w:p w14:paraId="3C6F92C2" w14:textId="2D0A0F68" w:rsidR="00CA07B0" w:rsidRPr="00650EE4" w:rsidRDefault="001A209D" w:rsidP="00AA4A63">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2/3 (</w:t>
      </w:r>
      <w:r w:rsidR="004748E0" w:rsidRPr="00650EE4">
        <w:rPr>
          <w:rFonts w:ascii="Times New Roman" w:hAnsi="Times New Roman"/>
          <w:color w:val="000000" w:themeColor="text1"/>
          <w:szCs w:val="22"/>
        </w:rPr>
        <w:t>6</w:t>
      </w:r>
      <w:r w:rsidR="00CA07B0" w:rsidRPr="00650EE4">
        <w:rPr>
          <w:rFonts w:ascii="Times New Roman" w:hAnsi="Times New Roman"/>
          <w:color w:val="000000" w:themeColor="text1"/>
          <w:szCs w:val="22"/>
        </w:rPr>
        <w:t>6 proc.</w:t>
      </w:r>
      <w:r w:rsidRPr="00650EE4">
        <w:rPr>
          <w:rFonts w:ascii="Times New Roman" w:hAnsi="Times New Roman"/>
          <w:color w:val="000000" w:themeColor="text1"/>
          <w:szCs w:val="22"/>
        </w:rPr>
        <w:t>)</w:t>
      </w:r>
      <w:r w:rsidR="00CA07B0" w:rsidRPr="00650EE4">
        <w:rPr>
          <w:rFonts w:ascii="Times New Roman" w:hAnsi="Times New Roman"/>
          <w:color w:val="000000" w:themeColor="text1"/>
          <w:szCs w:val="22"/>
        </w:rPr>
        <w:t xml:space="preserve"> </w:t>
      </w:r>
      <w:r w:rsidR="00D92B70">
        <w:rPr>
          <w:rFonts w:ascii="Times New Roman" w:hAnsi="Times New Roman"/>
          <w:color w:val="000000" w:themeColor="text1"/>
          <w:szCs w:val="22"/>
        </w:rPr>
        <w:t>p</w:t>
      </w:r>
      <w:r w:rsidR="002B685E" w:rsidRPr="00650EE4">
        <w:rPr>
          <w:rFonts w:ascii="Times New Roman" w:hAnsi="Times New Roman"/>
          <w:color w:val="000000" w:themeColor="text1"/>
          <w:szCs w:val="22"/>
        </w:rPr>
        <w:t xml:space="preserve">astatų fondo ploto sudaro </w:t>
      </w:r>
      <w:r w:rsidRPr="00650EE4">
        <w:rPr>
          <w:rFonts w:ascii="Times New Roman" w:hAnsi="Times New Roman"/>
          <w:color w:val="000000" w:themeColor="text1"/>
          <w:szCs w:val="22"/>
        </w:rPr>
        <w:t>žemesnės nei C energinio naudingumo klasės pastatai</w:t>
      </w:r>
      <w:r w:rsidR="008640CF" w:rsidRPr="00650EE4">
        <w:rPr>
          <w:rFonts w:ascii="Times New Roman" w:hAnsi="Times New Roman"/>
          <w:color w:val="000000" w:themeColor="text1"/>
          <w:szCs w:val="22"/>
        </w:rPr>
        <w:t xml:space="preserve">. </w:t>
      </w:r>
      <w:r w:rsidR="00412B94" w:rsidRPr="00650EE4">
        <w:rPr>
          <w:rFonts w:ascii="Times New Roman" w:hAnsi="Times New Roman"/>
          <w:color w:val="000000" w:themeColor="text1"/>
          <w:szCs w:val="22"/>
        </w:rPr>
        <w:t xml:space="preserve">Šis segmentas yra prioritetinis IRS kontekste. </w:t>
      </w:r>
    </w:p>
    <w:p w14:paraId="5ABD8702" w14:textId="259B9A14" w:rsidR="002B685E" w:rsidRPr="00650EE4" w:rsidRDefault="004748E0" w:rsidP="00AA4A63">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2</w:t>
      </w:r>
      <w:r w:rsidR="00412B94" w:rsidRPr="00650EE4">
        <w:rPr>
          <w:rFonts w:ascii="Times New Roman" w:hAnsi="Times New Roman"/>
          <w:color w:val="000000" w:themeColor="text1"/>
          <w:szCs w:val="22"/>
        </w:rPr>
        <w:t>0</w:t>
      </w:r>
      <w:r w:rsidR="002B685E" w:rsidRPr="00650EE4">
        <w:rPr>
          <w:rFonts w:ascii="Times New Roman" w:hAnsi="Times New Roman"/>
          <w:color w:val="000000" w:themeColor="text1"/>
          <w:szCs w:val="22"/>
        </w:rPr>
        <w:t xml:space="preserve"> </w:t>
      </w:r>
      <w:r w:rsidR="00CA07B0" w:rsidRPr="00650EE4">
        <w:rPr>
          <w:rFonts w:ascii="Times New Roman" w:hAnsi="Times New Roman"/>
          <w:color w:val="000000" w:themeColor="text1"/>
          <w:szCs w:val="22"/>
        </w:rPr>
        <w:t xml:space="preserve">proc. </w:t>
      </w:r>
      <w:r w:rsidR="00D92B70">
        <w:rPr>
          <w:rFonts w:ascii="Times New Roman" w:hAnsi="Times New Roman"/>
          <w:color w:val="000000" w:themeColor="text1"/>
          <w:szCs w:val="22"/>
        </w:rPr>
        <w:t>p</w:t>
      </w:r>
      <w:r w:rsidR="002B685E" w:rsidRPr="00650EE4">
        <w:rPr>
          <w:rFonts w:ascii="Times New Roman" w:hAnsi="Times New Roman"/>
          <w:color w:val="000000" w:themeColor="text1"/>
          <w:szCs w:val="22"/>
        </w:rPr>
        <w:t xml:space="preserve">astatų fondo ploto </w:t>
      </w:r>
      <w:r w:rsidR="00CA07B0" w:rsidRPr="00650EE4">
        <w:rPr>
          <w:rFonts w:ascii="Times New Roman" w:hAnsi="Times New Roman"/>
          <w:color w:val="000000" w:themeColor="text1"/>
          <w:szCs w:val="22"/>
        </w:rPr>
        <w:t xml:space="preserve">sudaro </w:t>
      </w:r>
      <w:r w:rsidR="00412B94" w:rsidRPr="00650EE4">
        <w:rPr>
          <w:rFonts w:ascii="Times New Roman" w:hAnsi="Times New Roman"/>
          <w:color w:val="000000" w:themeColor="text1"/>
          <w:szCs w:val="22"/>
        </w:rPr>
        <w:t>C energinio naudingumo klasės pastatai. Šis segmentas nėra prioritetinis trumpalaikėje perspektyvoje, tačiau yra pakankamai reikšmingas ir gali būti svarbus ilgalaikėje perspektyvoje</w:t>
      </w:r>
      <w:r w:rsidR="008B6B3B" w:rsidRPr="00650EE4">
        <w:rPr>
          <w:rFonts w:ascii="Times New Roman" w:hAnsi="Times New Roman"/>
          <w:color w:val="000000" w:themeColor="text1"/>
          <w:szCs w:val="22"/>
        </w:rPr>
        <w:t>.</w:t>
      </w:r>
    </w:p>
    <w:p w14:paraId="1F5DF26C" w14:textId="50BAFD7E" w:rsidR="00CA07B0" w:rsidRPr="00650EE4" w:rsidRDefault="002B685E" w:rsidP="00D95E92">
      <w:pPr>
        <w:pStyle w:val="Pagrindinispaprastastekstas"/>
        <w:numPr>
          <w:ilvl w:val="0"/>
          <w:numId w:val="10"/>
        </w:numPr>
        <w:ind w:left="714" w:hanging="357"/>
        <w:rPr>
          <w:rFonts w:ascii="Times New Roman" w:hAnsi="Times New Roman"/>
          <w:color w:val="000000" w:themeColor="text1"/>
          <w:szCs w:val="22"/>
        </w:rPr>
      </w:pPr>
      <w:r w:rsidRPr="00650EE4">
        <w:rPr>
          <w:rFonts w:ascii="Times New Roman" w:hAnsi="Times New Roman"/>
          <w:color w:val="000000" w:themeColor="text1"/>
          <w:szCs w:val="22"/>
        </w:rPr>
        <w:t>1</w:t>
      </w:r>
      <w:r w:rsidR="00412B94" w:rsidRPr="00650EE4">
        <w:rPr>
          <w:rFonts w:ascii="Times New Roman" w:hAnsi="Times New Roman"/>
          <w:color w:val="000000" w:themeColor="text1"/>
          <w:szCs w:val="22"/>
        </w:rPr>
        <w:t>4</w:t>
      </w:r>
      <w:r w:rsidR="00D92B70">
        <w:rPr>
          <w:rFonts w:ascii="Times New Roman" w:hAnsi="Times New Roman"/>
          <w:color w:val="000000" w:themeColor="text1"/>
          <w:szCs w:val="22"/>
        </w:rPr>
        <w:t xml:space="preserve"> proc. p</w:t>
      </w:r>
      <w:r w:rsidRPr="00650EE4">
        <w:rPr>
          <w:rFonts w:ascii="Times New Roman" w:hAnsi="Times New Roman"/>
          <w:color w:val="000000" w:themeColor="text1"/>
          <w:szCs w:val="22"/>
        </w:rPr>
        <w:t xml:space="preserve">astatų fondo ploto sudaro </w:t>
      </w:r>
      <w:r w:rsidR="008B6B3B" w:rsidRPr="00650EE4">
        <w:rPr>
          <w:rFonts w:ascii="Times New Roman" w:hAnsi="Times New Roman"/>
          <w:color w:val="000000" w:themeColor="text1"/>
          <w:szCs w:val="22"/>
        </w:rPr>
        <w:t>pastatai su B ar aukštesne ENK</w:t>
      </w:r>
      <w:r w:rsidR="00E87C05" w:rsidRPr="00650EE4">
        <w:rPr>
          <w:rFonts w:ascii="Times New Roman" w:hAnsi="Times New Roman"/>
          <w:color w:val="000000" w:themeColor="text1"/>
          <w:szCs w:val="22"/>
        </w:rPr>
        <w:t xml:space="preserve">. </w:t>
      </w:r>
    </w:p>
    <w:p w14:paraId="26C99B2D" w14:textId="1A8B616C" w:rsidR="00497971" w:rsidRPr="00650EE4" w:rsidRDefault="00497971" w:rsidP="00D95E92">
      <w:pPr>
        <w:pStyle w:val="BodyText"/>
        <w:jc w:val="both"/>
        <w:rPr>
          <w:rFonts w:ascii="Times New Roman" w:hAnsi="Times New Roman"/>
          <w:color w:val="000000" w:themeColor="text1"/>
          <w:szCs w:val="22"/>
          <w:lang w:val="lt-LT"/>
        </w:rPr>
      </w:pPr>
    </w:p>
    <w:p w14:paraId="694B5DAD" w14:textId="5D1D8B13" w:rsidR="00C050E2" w:rsidRPr="00650EE4" w:rsidRDefault="007D712B" w:rsidP="00C45739">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43" w:name="_Toc67925109"/>
      <w:r w:rsidRPr="00650EE4">
        <w:rPr>
          <w:rFonts w:ascii="Times New Roman" w:hAnsi="Times New Roman"/>
          <w:color w:val="auto"/>
          <w:sz w:val="24"/>
          <w:szCs w:val="24"/>
          <w:lang w:val="lt-LT"/>
        </w:rPr>
        <w:t>P</w:t>
      </w:r>
      <w:r w:rsidR="009F54BF" w:rsidRPr="00650EE4">
        <w:rPr>
          <w:rFonts w:ascii="Times New Roman" w:hAnsi="Times New Roman"/>
          <w:color w:val="auto"/>
          <w:sz w:val="24"/>
          <w:szCs w:val="24"/>
          <w:lang w:val="lt-LT"/>
        </w:rPr>
        <w:t>astatų fondo e</w:t>
      </w:r>
      <w:r w:rsidR="00D464D7" w:rsidRPr="00650EE4">
        <w:rPr>
          <w:rFonts w:ascii="Times New Roman" w:hAnsi="Times New Roman"/>
          <w:color w:val="auto"/>
          <w:sz w:val="24"/>
          <w:szCs w:val="24"/>
          <w:lang w:val="lt-LT"/>
        </w:rPr>
        <w:t xml:space="preserve">nergijos </w:t>
      </w:r>
      <w:r w:rsidR="009F54BF" w:rsidRPr="00650EE4">
        <w:rPr>
          <w:rFonts w:ascii="Times New Roman" w:hAnsi="Times New Roman"/>
          <w:color w:val="auto"/>
          <w:sz w:val="24"/>
          <w:szCs w:val="24"/>
          <w:lang w:val="lt-LT"/>
        </w:rPr>
        <w:t>vartojimas</w:t>
      </w:r>
      <w:bookmarkEnd w:id="43"/>
    </w:p>
    <w:p w14:paraId="7F5EAF72" w14:textId="74D9AE25" w:rsidR="006902B3" w:rsidRPr="00650EE4" w:rsidRDefault="007A52B6" w:rsidP="00412B94">
      <w:pPr>
        <w:jc w:val="both"/>
        <w:rPr>
          <w:rFonts w:ascii="Times New Roman" w:hAnsi="Times New Roman"/>
          <w:color w:val="000000" w:themeColor="text1"/>
          <w:szCs w:val="22"/>
        </w:rPr>
      </w:pPr>
      <w:r>
        <w:rPr>
          <w:rFonts w:ascii="Times New Roman" w:hAnsi="Times New Roman"/>
          <w:color w:val="000000" w:themeColor="text1"/>
          <w:szCs w:val="22"/>
        </w:rPr>
        <w:t>Šiame skyriuje pateikiama p</w:t>
      </w:r>
      <w:r w:rsidR="006902B3" w:rsidRPr="00650EE4">
        <w:rPr>
          <w:rFonts w:ascii="Times New Roman" w:hAnsi="Times New Roman"/>
          <w:color w:val="000000" w:themeColor="text1"/>
          <w:szCs w:val="22"/>
        </w:rPr>
        <w:t xml:space="preserve">astatų fondo </w:t>
      </w:r>
      <w:r w:rsidR="007E337B" w:rsidRPr="00650EE4">
        <w:rPr>
          <w:rFonts w:ascii="Times New Roman" w:hAnsi="Times New Roman"/>
          <w:color w:val="000000" w:themeColor="text1"/>
          <w:szCs w:val="22"/>
        </w:rPr>
        <w:t xml:space="preserve">galutinės ir </w:t>
      </w:r>
      <w:r w:rsidR="00F60E58" w:rsidRPr="00650EE4">
        <w:rPr>
          <w:rFonts w:ascii="Times New Roman" w:hAnsi="Times New Roman"/>
          <w:color w:val="000000" w:themeColor="text1"/>
          <w:szCs w:val="22"/>
        </w:rPr>
        <w:t xml:space="preserve">pirminės </w:t>
      </w:r>
      <w:r w:rsidR="006902B3" w:rsidRPr="00650EE4">
        <w:rPr>
          <w:rFonts w:ascii="Times New Roman" w:hAnsi="Times New Roman"/>
          <w:color w:val="000000" w:themeColor="text1"/>
          <w:szCs w:val="22"/>
        </w:rPr>
        <w:t xml:space="preserve">energijos vartojimo apžvalga. </w:t>
      </w:r>
      <w:r w:rsidR="0088190D" w:rsidRPr="00650EE4">
        <w:rPr>
          <w:rFonts w:ascii="Times New Roman" w:hAnsi="Times New Roman"/>
          <w:color w:val="000000" w:themeColor="text1"/>
          <w:szCs w:val="22"/>
        </w:rPr>
        <w:t>Remiantis PEND, pastatų energijos vartojimui išreikšti naudojama</w:t>
      </w:r>
      <w:r w:rsidR="000E6E95" w:rsidRPr="00650EE4">
        <w:rPr>
          <w:rFonts w:ascii="Times New Roman" w:hAnsi="Times New Roman"/>
          <w:color w:val="000000" w:themeColor="text1"/>
          <w:szCs w:val="22"/>
        </w:rPr>
        <w:t xml:space="preserve">s pastatų </w:t>
      </w:r>
      <w:r w:rsidR="0088190D" w:rsidRPr="00650EE4">
        <w:rPr>
          <w:rFonts w:ascii="Times New Roman" w:hAnsi="Times New Roman"/>
          <w:color w:val="000000" w:themeColor="text1"/>
          <w:szCs w:val="22"/>
        </w:rPr>
        <w:t>energinis naudingumas, kuris išreiškiamas „suvartojamos pirminės energijos skaitiniu rodikliu (kilovatvalandėmis (</w:t>
      </w:r>
      <w:proofErr w:type="spellStart"/>
      <w:r w:rsidR="0088190D" w:rsidRPr="00650EE4">
        <w:rPr>
          <w:rFonts w:ascii="Times New Roman" w:hAnsi="Times New Roman"/>
          <w:color w:val="000000" w:themeColor="text1"/>
          <w:szCs w:val="22"/>
        </w:rPr>
        <w:t>kWh</w:t>
      </w:r>
      <w:proofErr w:type="spellEnd"/>
      <w:r w:rsidR="0088190D" w:rsidRPr="00650EE4">
        <w:rPr>
          <w:rFonts w:ascii="Times New Roman" w:hAnsi="Times New Roman"/>
          <w:color w:val="000000" w:themeColor="text1"/>
          <w:szCs w:val="22"/>
        </w:rPr>
        <w:t>) vienam kvadratiniam metrui (m</w:t>
      </w:r>
      <w:r w:rsidR="0088190D" w:rsidRPr="00650EE4">
        <w:rPr>
          <w:rFonts w:ascii="Times New Roman" w:hAnsi="Times New Roman"/>
          <w:color w:val="000000" w:themeColor="text1"/>
          <w:szCs w:val="22"/>
          <w:vertAlign w:val="superscript"/>
        </w:rPr>
        <w:t>2</w:t>
      </w:r>
      <w:r w:rsidR="0088190D" w:rsidRPr="00650EE4">
        <w:rPr>
          <w:rFonts w:ascii="Times New Roman" w:hAnsi="Times New Roman"/>
          <w:color w:val="000000" w:themeColor="text1"/>
          <w:szCs w:val="22"/>
        </w:rPr>
        <w:t>) per metus)“</w:t>
      </w:r>
      <w:r w:rsidR="0088190D" w:rsidRPr="00650EE4">
        <w:rPr>
          <w:rStyle w:val="FootnoteReference"/>
          <w:rFonts w:ascii="Times New Roman" w:hAnsi="Times New Roman"/>
          <w:color w:val="000000" w:themeColor="text1"/>
          <w:szCs w:val="22"/>
        </w:rPr>
        <w:footnoteReference w:id="6"/>
      </w:r>
      <w:r w:rsidR="0088190D" w:rsidRPr="00650EE4">
        <w:rPr>
          <w:rFonts w:ascii="Times New Roman" w:hAnsi="Times New Roman"/>
          <w:color w:val="000000" w:themeColor="text1"/>
          <w:szCs w:val="22"/>
        </w:rPr>
        <w:t>.</w:t>
      </w:r>
    </w:p>
    <w:p w14:paraId="4B733ECB" w14:textId="77777777" w:rsidR="002A5C25" w:rsidRPr="00650EE4" w:rsidRDefault="002A5C25" w:rsidP="00412B94">
      <w:pPr>
        <w:jc w:val="both"/>
        <w:rPr>
          <w:rFonts w:ascii="Times New Roman" w:hAnsi="Times New Roman"/>
          <w:color w:val="000000" w:themeColor="text1"/>
          <w:szCs w:val="22"/>
        </w:rPr>
      </w:pPr>
    </w:p>
    <w:p w14:paraId="6EF39DD1" w14:textId="48706070" w:rsidR="007E337B" w:rsidRPr="00650EE4" w:rsidRDefault="00C80AF0" w:rsidP="00412B94">
      <w:pPr>
        <w:spacing w:line="240" w:lineRule="auto"/>
        <w:jc w:val="both"/>
        <w:rPr>
          <w:rFonts w:ascii="Times New Roman" w:hAnsi="Times New Roman"/>
          <w:color w:val="auto"/>
          <w:szCs w:val="22"/>
        </w:rPr>
      </w:pPr>
      <w:r w:rsidRPr="00650EE4">
        <w:rPr>
          <w:rFonts w:ascii="Times New Roman" w:hAnsi="Times New Roman"/>
          <w:color w:val="000000" w:themeColor="text1"/>
          <w:szCs w:val="22"/>
        </w:rPr>
        <w:t>Pastatų vartojamos energijos</w:t>
      </w:r>
      <w:r w:rsidR="00935EF6" w:rsidRPr="00650EE4">
        <w:rPr>
          <w:rFonts w:ascii="Times New Roman" w:hAnsi="Times New Roman"/>
          <w:color w:val="000000" w:themeColor="text1"/>
          <w:szCs w:val="22"/>
        </w:rPr>
        <w:t xml:space="preserve"> (energinio naudingumo)</w:t>
      </w:r>
      <w:r w:rsidRPr="00650EE4">
        <w:rPr>
          <w:rFonts w:ascii="Times New Roman" w:hAnsi="Times New Roman"/>
          <w:color w:val="000000" w:themeColor="text1"/>
          <w:szCs w:val="22"/>
        </w:rPr>
        <w:t xml:space="preserve"> apskaičiavimas yra</w:t>
      </w:r>
      <w:r w:rsidR="00A45646" w:rsidRPr="00650EE4">
        <w:rPr>
          <w:rFonts w:ascii="Times New Roman" w:hAnsi="Times New Roman"/>
          <w:color w:val="000000" w:themeColor="text1"/>
          <w:szCs w:val="22"/>
        </w:rPr>
        <w:t xml:space="preserve"> bazinis renovacijos modeliavimo </w:t>
      </w:r>
      <w:r w:rsidR="007E337B" w:rsidRPr="00650EE4">
        <w:rPr>
          <w:rFonts w:ascii="Times New Roman" w:hAnsi="Times New Roman"/>
          <w:color w:val="000000" w:themeColor="text1"/>
          <w:szCs w:val="22"/>
        </w:rPr>
        <w:t xml:space="preserve">ir strategijos rengimo </w:t>
      </w:r>
      <w:r w:rsidR="00A45646" w:rsidRPr="00650EE4">
        <w:rPr>
          <w:rFonts w:ascii="Times New Roman" w:hAnsi="Times New Roman"/>
          <w:color w:val="000000" w:themeColor="text1"/>
          <w:szCs w:val="22"/>
        </w:rPr>
        <w:t xml:space="preserve">etapas. </w:t>
      </w:r>
      <w:r w:rsidR="00A45646" w:rsidRPr="00650EE4">
        <w:rPr>
          <w:rFonts w:ascii="Times New Roman" w:hAnsi="Times New Roman"/>
          <w:color w:val="auto"/>
          <w:szCs w:val="22"/>
        </w:rPr>
        <w:t xml:space="preserve">Atsižvelgiant į </w:t>
      </w:r>
      <w:r w:rsidR="00E71C63" w:rsidRPr="00650EE4">
        <w:rPr>
          <w:rFonts w:ascii="Times New Roman" w:hAnsi="Times New Roman"/>
          <w:color w:val="auto"/>
          <w:szCs w:val="22"/>
        </w:rPr>
        <w:t>jo</w:t>
      </w:r>
      <w:r w:rsidR="00A45646" w:rsidRPr="00650EE4">
        <w:rPr>
          <w:rFonts w:ascii="Times New Roman" w:hAnsi="Times New Roman"/>
          <w:color w:val="auto"/>
          <w:szCs w:val="22"/>
        </w:rPr>
        <w:t xml:space="preserve"> rezultatus, vėle</w:t>
      </w:r>
      <w:r w:rsidR="00720169" w:rsidRPr="00650EE4">
        <w:rPr>
          <w:rFonts w:ascii="Times New Roman" w:hAnsi="Times New Roman"/>
          <w:color w:val="auto"/>
          <w:szCs w:val="22"/>
        </w:rPr>
        <w:t>s</w:t>
      </w:r>
      <w:r w:rsidR="00A45646" w:rsidRPr="00650EE4">
        <w:rPr>
          <w:rFonts w:ascii="Times New Roman" w:hAnsi="Times New Roman"/>
          <w:color w:val="auto"/>
          <w:szCs w:val="22"/>
        </w:rPr>
        <w:t xml:space="preserve">niuose etapuose </w:t>
      </w:r>
      <w:r w:rsidR="007E337B" w:rsidRPr="00650EE4">
        <w:rPr>
          <w:rFonts w:ascii="Times New Roman" w:hAnsi="Times New Roman"/>
          <w:color w:val="auto"/>
          <w:szCs w:val="22"/>
        </w:rPr>
        <w:t>vertinam</w:t>
      </w:r>
      <w:r w:rsidR="00E71C63" w:rsidRPr="00650EE4">
        <w:rPr>
          <w:rFonts w:ascii="Times New Roman" w:hAnsi="Times New Roman"/>
          <w:color w:val="auto"/>
          <w:szCs w:val="22"/>
        </w:rPr>
        <w:t>i</w:t>
      </w:r>
      <w:r w:rsidR="007E337B" w:rsidRPr="00650EE4">
        <w:rPr>
          <w:rFonts w:ascii="Times New Roman" w:hAnsi="Times New Roman"/>
          <w:color w:val="auto"/>
          <w:szCs w:val="22"/>
        </w:rPr>
        <w:t xml:space="preserve"> ekonomiškai efektyviausi renovacijos </w:t>
      </w:r>
      <w:r w:rsidR="00E71C63" w:rsidRPr="00650EE4">
        <w:rPr>
          <w:rFonts w:ascii="Times New Roman" w:hAnsi="Times New Roman"/>
          <w:color w:val="auto"/>
          <w:szCs w:val="22"/>
        </w:rPr>
        <w:t>būdai</w:t>
      </w:r>
      <w:r w:rsidR="007E337B" w:rsidRPr="00650EE4">
        <w:rPr>
          <w:rFonts w:ascii="Times New Roman" w:hAnsi="Times New Roman"/>
          <w:color w:val="auto"/>
          <w:szCs w:val="22"/>
        </w:rPr>
        <w:t xml:space="preserve"> (žr. </w:t>
      </w:r>
      <w:r w:rsidR="009C5BEC">
        <w:rPr>
          <w:rFonts w:ascii="Times New Roman" w:hAnsi="Times New Roman"/>
          <w:color w:val="auto"/>
          <w:szCs w:val="22"/>
        </w:rPr>
        <w:t>2</w:t>
      </w:r>
      <w:r w:rsidR="007E337B" w:rsidRPr="00650EE4">
        <w:rPr>
          <w:rFonts w:ascii="Times New Roman" w:hAnsi="Times New Roman"/>
          <w:color w:val="auto"/>
          <w:szCs w:val="22"/>
        </w:rPr>
        <w:t xml:space="preserve"> skyrių), nustatomi renovacijos </w:t>
      </w:r>
      <w:r w:rsidR="00805B88">
        <w:rPr>
          <w:rFonts w:ascii="Times New Roman" w:hAnsi="Times New Roman"/>
          <w:color w:val="auto"/>
          <w:szCs w:val="22"/>
        </w:rPr>
        <w:t>rodikliai</w:t>
      </w:r>
      <w:r w:rsidR="007E337B" w:rsidRPr="00650EE4">
        <w:rPr>
          <w:rFonts w:ascii="Times New Roman" w:hAnsi="Times New Roman"/>
          <w:color w:val="auto"/>
          <w:szCs w:val="22"/>
        </w:rPr>
        <w:t xml:space="preserve"> (žr. </w:t>
      </w:r>
      <w:r w:rsidR="00E14E05">
        <w:rPr>
          <w:rFonts w:ascii="Times New Roman" w:hAnsi="Times New Roman"/>
          <w:color w:val="auto"/>
          <w:szCs w:val="22"/>
        </w:rPr>
        <w:t>5</w:t>
      </w:r>
      <w:r w:rsidR="007E337B" w:rsidRPr="00650EE4">
        <w:rPr>
          <w:rFonts w:ascii="Times New Roman" w:hAnsi="Times New Roman"/>
          <w:color w:val="auto"/>
          <w:szCs w:val="22"/>
        </w:rPr>
        <w:t xml:space="preserve"> skyrių), </w:t>
      </w:r>
      <w:r w:rsidR="007E337B" w:rsidRPr="00650EE4">
        <w:rPr>
          <w:rFonts w:ascii="Times New Roman" w:hAnsi="Times New Roman"/>
          <w:color w:val="000000" w:themeColor="text1"/>
          <w:szCs w:val="22"/>
        </w:rPr>
        <w:t xml:space="preserve">siūlomos renovacijos strategijos įgyvendinimo priemonės (žr. </w:t>
      </w:r>
      <w:r w:rsidR="00E14E05">
        <w:rPr>
          <w:rFonts w:ascii="Times New Roman" w:hAnsi="Times New Roman"/>
          <w:color w:val="000000" w:themeColor="text1"/>
          <w:szCs w:val="22"/>
        </w:rPr>
        <w:t>6</w:t>
      </w:r>
      <w:r w:rsidR="007E337B" w:rsidRPr="00650EE4">
        <w:rPr>
          <w:rFonts w:ascii="Times New Roman" w:hAnsi="Times New Roman"/>
          <w:color w:val="000000" w:themeColor="text1"/>
          <w:szCs w:val="22"/>
        </w:rPr>
        <w:t xml:space="preserve"> skyrių).</w:t>
      </w:r>
    </w:p>
    <w:p w14:paraId="24BE49D4" w14:textId="036257FA" w:rsidR="007E337B" w:rsidRPr="00650EE4" w:rsidRDefault="007E337B" w:rsidP="00412B94">
      <w:pPr>
        <w:spacing w:line="240" w:lineRule="auto"/>
        <w:jc w:val="both"/>
        <w:rPr>
          <w:rFonts w:ascii="Times New Roman" w:hAnsi="Times New Roman"/>
          <w:color w:val="000000" w:themeColor="text1"/>
          <w:szCs w:val="22"/>
        </w:rPr>
      </w:pPr>
    </w:p>
    <w:p w14:paraId="627BCC98" w14:textId="41C4384F" w:rsidR="006902B3" w:rsidRPr="00650EE4" w:rsidRDefault="0088190D" w:rsidP="00412B94">
      <w:pPr>
        <w:spacing w:line="240" w:lineRule="auto"/>
        <w:jc w:val="both"/>
        <w:rPr>
          <w:rFonts w:ascii="Times New Roman" w:eastAsia="Times New Roman" w:hAnsi="Times New Roman"/>
          <w:color w:val="500050"/>
          <w:szCs w:val="22"/>
          <w:shd w:val="clear" w:color="auto" w:fill="FFFFFF"/>
        </w:rPr>
      </w:pPr>
      <w:r w:rsidRPr="00650EE4">
        <w:rPr>
          <w:rFonts w:ascii="Times New Roman" w:hAnsi="Times New Roman"/>
          <w:color w:val="000000" w:themeColor="text1"/>
          <w:szCs w:val="22"/>
        </w:rPr>
        <w:t xml:space="preserve">Remiantis PEND, įprastas pastatų energijos vartojimas apima energiją, vartojamą patalpų šildymo, patalpų vėsinimo, buitinio karšto vandens, vėdinimo, įmontuoto apšvietimo ir kitų techninių pastato sistemų reikmėms. </w:t>
      </w:r>
      <w:r w:rsidR="007C33E0" w:rsidRPr="00650EE4">
        <w:rPr>
          <w:rFonts w:ascii="Times New Roman" w:hAnsi="Times New Roman"/>
          <w:color w:val="000000" w:themeColor="text1"/>
          <w:szCs w:val="22"/>
        </w:rPr>
        <w:t>Pagal energijos pobūdį, p</w:t>
      </w:r>
      <w:r w:rsidR="006902B3" w:rsidRPr="00650EE4">
        <w:rPr>
          <w:rFonts w:ascii="Times New Roman" w:eastAsia="Times New Roman" w:hAnsi="Times New Roman"/>
          <w:szCs w:val="22"/>
          <w:shd w:val="clear" w:color="auto" w:fill="FFFFFF"/>
        </w:rPr>
        <w:t>astatų fondo energijos vartojimą</w:t>
      </w:r>
      <w:r w:rsidRPr="00650EE4">
        <w:rPr>
          <w:rFonts w:ascii="Times New Roman" w:eastAsia="Times New Roman" w:hAnsi="Times New Roman"/>
          <w:szCs w:val="22"/>
          <w:shd w:val="clear" w:color="auto" w:fill="FFFFFF"/>
        </w:rPr>
        <w:t xml:space="preserve"> </w:t>
      </w:r>
      <w:r w:rsidR="006902B3" w:rsidRPr="00650EE4">
        <w:rPr>
          <w:rFonts w:ascii="Times New Roman" w:eastAsia="Times New Roman" w:hAnsi="Times New Roman"/>
          <w:szCs w:val="22"/>
          <w:shd w:val="clear" w:color="auto" w:fill="FFFFFF"/>
        </w:rPr>
        <w:t>sudaro</w:t>
      </w:r>
      <w:r w:rsidR="00A45646" w:rsidRPr="00650EE4">
        <w:rPr>
          <w:rFonts w:ascii="Times New Roman" w:eastAsia="Times New Roman" w:hAnsi="Times New Roman"/>
          <w:szCs w:val="22"/>
          <w:shd w:val="clear" w:color="auto" w:fill="FFFFFF"/>
        </w:rPr>
        <w:t xml:space="preserve"> trys esminia</w:t>
      </w:r>
      <w:r w:rsidR="00E71C63" w:rsidRPr="00650EE4">
        <w:rPr>
          <w:rFonts w:ascii="Times New Roman" w:eastAsia="Times New Roman" w:hAnsi="Times New Roman"/>
          <w:szCs w:val="22"/>
          <w:shd w:val="clear" w:color="auto" w:fill="FFFFFF"/>
        </w:rPr>
        <w:t>i</w:t>
      </w:r>
      <w:r w:rsidR="00A45646" w:rsidRPr="00650EE4">
        <w:rPr>
          <w:rFonts w:ascii="Times New Roman" w:eastAsia="Times New Roman" w:hAnsi="Times New Roman"/>
          <w:szCs w:val="22"/>
          <w:shd w:val="clear" w:color="auto" w:fill="FFFFFF"/>
        </w:rPr>
        <w:t xml:space="preserve"> komponentai</w:t>
      </w:r>
      <w:r w:rsidR="006902B3" w:rsidRPr="00650EE4">
        <w:rPr>
          <w:rFonts w:ascii="Times New Roman" w:eastAsia="Times New Roman" w:hAnsi="Times New Roman"/>
          <w:szCs w:val="22"/>
          <w:shd w:val="clear" w:color="auto" w:fill="FFFFFF"/>
        </w:rPr>
        <w:t>:</w:t>
      </w:r>
    </w:p>
    <w:p w14:paraId="4264CC58" w14:textId="5CD7370C" w:rsidR="006902B3" w:rsidRPr="00650EE4" w:rsidRDefault="00D92B70" w:rsidP="005F63D6">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6902B3" w:rsidRPr="00650EE4">
        <w:rPr>
          <w:rFonts w:ascii="Times New Roman" w:hAnsi="Times New Roman"/>
          <w:color w:val="000000" w:themeColor="text1"/>
          <w:szCs w:val="22"/>
        </w:rPr>
        <w:t xml:space="preserve">iluminė energija </w:t>
      </w:r>
      <w:r w:rsidR="00D36EEC" w:rsidRPr="00650EE4">
        <w:rPr>
          <w:rFonts w:ascii="Times New Roman" w:hAnsi="Times New Roman"/>
          <w:color w:val="000000" w:themeColor="text1"/>
          <w:szCs w:val="22"/>
        </w:rPr>
        <w:t xml:space="preserve">pastatui </w:t>
      </w:r>
      <w:r w:rsidR="006902B3" w:rsidRPr="00650EE4">
        <w:rPr>
          <w:rFonts w:ascii="Times New Roman" w:hAnsi="Times New Roman"/>
          <w:color w:val="000000" w:themeColor="text1"/>
          <w:szCs w:val="22"/>
        </w:rPr>
        <w:t>šildy</w:t>
      </w:r>
      <w:r w:rsidR="00D36EEC" w:rsidRPr="00650EE4">
        <w:rPr>
          <w:rFonts w:ascii="Times New Roman" w:hAnsi="Times New Roman"/>
          <w:color w:val="000000" w:themeColor="text1"/>
          <w:szCs w:val="22"/>
        </w:rPr>
        <w:t>ti</w:t>
      </w:r>
      <w:r w:rsidR="006902B3" w:rsidRPr="00650EE4">
        <w:rPr>
          <w:rFonts w:ascii="Times New Roman" w:hAnsi="Times New Roman"/>
          <w:color w:val="000000" w:themeColor="text1"/>
          <w:szCs w:val="22"/>
        </w:rPr>
        <w:t>;</w:t>
      </w:r>
    </w:p>
    <w:p w14:paraId="30001FBD" w14:textId="6F941CB2" w:rsidR="006902B3" w:rsidRPr="00650EE4" w:rsidRDefault="00D92B70" w:rsidP="00F60E58">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6902B3" w:rsidRPr="00650EE4">
        <w:rPr>
          <w:rFonts w:ascii="Times New Roman" w:hAnsi="Times New Roman"/>
          <w:color w:val="000000" w:themeColor="text1"/>
          <w:szCs w:val="22"/>
        </w:rPr>
        <w:t>iluminė energija karštam vandeniui</w:t>
      </w:r>
      <w:r w:rsidR="00D36EEC" w:rsidRPr="00650EE4">
        <w:rPr>
          <w:rFonts w:ascii="Times New Roman" w:hAnsi="Times New Roman"/>
          <w:color w:val="000000" w:themeColor="text1"/>
          <w:szCs w:val="22"/>
        </w:rPr>
        <w:t xml:space="preserve"> ruošti</w:t>
      </w:r>
      <w:r w:rsidR="006902B3" w:rsidRPr="00650EE4">
        <w:rPr>
          <w:rFonts w:ascii="Times New Roman" w:hAnsi="Times New Roman"/>
          <w:color w:val="000000" w:themeColor="text1"/>
          <w:szCs w:val="22"/>
        </w:rPr>
        <w:t>;</w:t>
      </w:r>
    </w:p>
    <w:p w14:paraId="0FCE725A" w14:textId="300ABCF4" w:rsidR="006902B3" w:rsidRPr="00650EE4" w:rsidRDefault="00D92B70" w:rsidP="00332BCF">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e</w:t>
      </w:r>
      <w:r w:rsidR="006902B3" w:rsidRPr="00650EE4">
        <w:rPr>
          <w:rFonts w:ascii="Times New Roman" w:hAnsi="Times New Roman"/>
          <w:color w:val="000000" w:themeColor="text1"/>
          <w:szCs w:val="22"/>
        </w:rPr>
        <w:t>lektros energija.</w:t>
      </w:r>
    </w:p>
    <w:p w14:paraId="0875E5E2" w14:textId="77777777" w:rsidR="00412B94" w:rsidRPr="00650EE4" w:rsidRDefault="00412B94" w:rsidP="0088190D">
      <w:pPr>
        <w:pStyle w:val="Pagrindinispaprastastekstas"/>
        <w:rPr>
          <w:rFonts w:ascii="Times New Roman" w:hAnsi="Times New Roman"/>
          <w:color w:val="000000" w:themeColor="text1"/>
          <w:szCs w:val="22"/>
        </w:rPr>
      </w:pPr>
    </w:p>
    <w:p w14:paraId="507549EB" w14:textId="198BCBC0" w:rsidR="000666AF" w:rsidRPr="00650EE4" w:rsidRDefault="0088190D" w:rsidP="008143FF">
      <w:pPr>
        <w:jc w:val="both"/>
        <w:rPr>
          <w:rFonts w:ascii="Times New Roman" w:hAnsi="Times New Roman"/>
          <w:color w:val="000000" w:themeColor="text1"/>
          <w:szCs w:val="22"/>
        </w:rPr>
      </w:pPr>
      <w:r w:rsidRPr="00650EE4">
        <w:rPr>
          <w:rFonts w:ascii="Times New Roman" w:hAnsi="Times New Roman"/>
          <w:color w:val="000000" w:themeColor="text1"/>
          <w:szCs w:val="22"/>
        </w:rPr>
        <w:t>PEND</w:t>
      </w:r>
      <w:r w:rsidR="0018397D" w:rsidRPr="00650EE4">
        <w:rPr>
          <w:rFonts w:ascii="Times New Roman" w:hAnsi="Times New Roman"/>
          <w:color w:val="000000" w:themeColor="text1"/>
          <w:szCs w:val="22"/>
        </w:rPr>
        <w:t xml:space="preserve"> numato</w:t>
      </w:r>
      <w:r w:rsidRPr="00650EE4">
        <w:rPr>
          <w:rFonts w:ascii="Times New Roman" w:hAnsi="Times New Roman"/>
          <w:color w:val="000000" w:themeColor="text1"/>
          <w:szCs w:val="22"/>
        </w:rPr>
        <w:t xml:space="preserve">, </w:t>
      </w:r>
      <w:r w:rsidR="0018397D" w:rsidRPr="00650EE4">
        <w:rPr>
          <w:rFonts w:ascii="Times New Roman" w:hAnsi="Times New Roman"/>
          <w:color w:val="000000" w:themeColor="text1"/>
          <w:szCs w:val="22"/>
        </w:rPr>
        <w:t>kad IRS gali būti pateikiamas</w:t>
      </w:r>
      <w:r w:rsidRPr="00650EE4">
        <w:rPr>
          <w:rFonts w:ascii="Times New Roman" w:hAnsi="Times New Roman"/>
          <w:color w:val="000000" w:themeColor="text1"/>
          <w:szCs w:val="22"/>
        </w:rPr>
        <w:t xml:space="preserve"> </w:t>
      </w:r>
      <w:r w:rsidR="0018397D" w:rsidRPr="00650EE4">
        <w:rPr>
          <w:rFonts w:ascii="Times New Roman" w:hAnsi="Times New Roman"/>
          <w:color w:val="000000" w:themeColor="text1"/>
          <w:szCs w:val="22"/>
        </w:rPr>
        <w:t xml:space="preserve">faktinis arba skaičiuotinas </w:t>
      </w:r>
      <w:r w:rsidR="00A52AF9" w:rsidRPr="00650EE4">
        <w:rPr>
          <w:rFonts w:ascii="Times New Roman" w:hAnsi="Times New Roman"/>
          <w:color w:val="000000" w:themeColor="text1"/>
          <w:szCs w:val="22"/>
        </w:rPr>
        <w:t>pastatų fondo energijos vartojimas</w:t>
      </w:r>
      <w:r w:rsidR="0018397D" w:rsidRPr="00650EE4">
        <w:rPr>
          <w:rFonts w:ascii="Times New Roman" w:hAnsi="Times New Roman"/>
          <w:color w:val="000000" w:themeColor="text1"/>
          <w:szCs w:val="22"/>
        </w:rPr>
        <w:t xml:space="preserve"> (t.y. </w:t>
      </w:r>
      <w:r w:rsidRPr="00650EE4">
        <w:rPr>
          <w:rFonts w:ascii="Times New Roman" w:hAnsi="Times New Roman"/>
          <w:color w:val="000000" w:themeColor="text1"/>
          <w:szCs w:val="22"/>
        </w:rPr>
        <w:t>išmatuotas arba apskaičiuotas</w:t>
      </w:r>
      <w:r w:rsidR="0018397D" w:rsidRPr="00650EE4">
        <w:rPr>
          <w:rFonts w:ascii="Times New Roman" w:hAnsi="Times New Roman"/>
          <w:color w:val="000000" w:themeColor="text1"/>
          <w:szCs w:val="22"/>
        </w:rPr>
        <w:t>)</w:t>
      </w:r>
      <w:r w:rsidR="00A52AF9" w:rsidRPr="00650EE4">
        <w:rPr>
          <w:rFonts w:ascii="Times New Roman" w:hAnsi="Times New Roman"/>
          <w:color w:val="000000" w:themeColor="text1"/>
          <w:szCs w:val="22"/>
        </w:rPr>
        <w:t xml:space="preserve">. </w:t>
      </w:r>
      <w:r w:rsidR="006D65CB">
        <w:rPr>
          <w:rFonts w:ascii="Times New Roman" w:hAnsi="Times New Roman"/>
          <w:color w:val="000000" w:themeColor="text1"/>
          <w:szCs w:val="22"/>
        </w:rPr>
        <w:t>Strategijoje</w:t>
      </w:r>
      <w:r w:rsidR="00D92B70">
        <w:rPr>
          <w:rFonts w:ascii="Times New Roman" w:hAnsi="Times New Roman"/>
          <w:color w:val="000000" w:themeColor="text1"/>
          <w:szCs w:val="22"/>
        </w:rPr>
        <w:t xml:space="preserve"> buvo vertinamas skaičiuotinas p</w:t>
      </w:r>
      <w:r w:rsidR="000666AF" w:rsidRPr="00650EE4">
        <w:rPr>
          <w:rFonts w:ascii="Times New Roman" w:hAnsi="Times New Roman"/>
          <w:color w:val="000000" w:themeColor="text1"/>
          <w:szCs w:val="22"/>
        </w:rPr>
        <w:t>astatų fondo energijos vartojimas</w:t>
      </w:r>
      <w:r w:rsidR="00A52AF9" w:rsidRPr="00650EE4">
        <w:rPr>
          <w:rFonts w:ascii="Times New Roman" w:hAnsi="Times New Roman"/>
          <w:color w:val="000000" w:themeColor="text1"/>
          <w:szCs w:val="22"/>
        </w:rPr>
        <w:t xml:space="preserve">. </w:t>
      </w:r>
    </w:p>
    <w:p w14:paraId="0A3AAFC6" w14:textId="384D0571" w:rsidR="00A52AF9" w:rsidRPr="00650EE4" w:rsidRDefault="00A52AF9" w:rsidP="00412B94">
      <w:pPr>
        <w:jc w:val="both"/>
        <w:rPr>
          <w:rFonts w:ascii="Times New Roman" w:hAnsi="Times New Roman"/>
          <w:color w:val="000000" w:themeColor="text1"/>
          <w:szCs w:val="22"/>
        </w:rPr>
      </w:pPr>
    </w:p>
    <w:p w14:paraId="3A1F88D5" w14:textId="77777777" w:rsidR="00D92B70" w:rsidRDefault="00D92B70">
      <w:pPr>
        <w:spacing w:after="240"/>
        <w:rPr>
          <w:rFonts w:ascii="Times New Roman" w:eastAsiaTheme="minorHAnsi" w:hAnsi="Times New Roman"/>
          <w:bCs/>
          <w:i/>
          <w:color w:val="000000" w:themeColor="text1"/>
          <w:sz w:val="20"/>
          <w:szCs w:val="20"/>
        </w:rPr>
      </w:pPr>
      <w:r>
        <w:br w:type="page"/>
      </w:r>
    </w:p>
    <w:p w14:paraId="49537EC5" w14:textId="26FFB06A" w:rsidR="001566E1"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44" w:name="_Toc67925254"/>
      <w:r w:rsidR="007744C1">
        <w:t>6</w:t>
      </w:r>
      <w:r w:rsidRPr="00650EE4">
        <w:rPr>
          <w:noProof w:val="0"/>
        </w:rPr>
        <w:fldChar w:fldCharType="end"/>
      </w:r>
      <w:r w:rsidR="00171B61" w:rsidRPr="00650EE4">
        <w:rPr>
          <w:noProof w:val="0"/>
        </w:rPr>
        <w:t xml:space="preserve"> paveikslas</w:t>
      </w:r>
      <w:r w:rsidR="001566E1" w:rsidRPr="00650EE4">
        <w:rPr>
          <w:noProof w:val="0"/>
        </w:rPr>
        <w:t xml:space="preserve">. </w:t>
      </w:r>
      <w:r w:rsidR="00F60E58" w:rsidRPr="00650EE4">
        <w:rPr>
          <w:noProof w:val="0"/>
        </w:rPr>
        <w:t>Tipinio daugiabučio pirminės</w:t>
      </w:r>
      <w:r w:rsidR="001566E1" w:rsidRPr="00650EE4">
        <w:rPr>
          <w:noProof w:val="0"/>
        </w:rPr>
        <w:t xml:space="preserve"> energijos vartojimo </w:t>
      </w:r>
      <w:r w:rsidR="00F60E58" w:rsidRPr="00650EE4">
        <w:rPr>
          <w:noProof w:val="0"/>
        </w:rPr>
        <w:t>palyginimas</w:t>
      </w:r>
      <w:r w:rsidR="001566E1" w:rsidRPr="00650EE4">
        <w:rPr>
          <w:noProof w:val="0"/>
        </w:rPr>
        <w:t xml:space="preserve">, </w:t>
      </w:r>
      <w:proofErr w:type="spellStart"/>
      <w:r w:rsidR="001566E1" w:rsidRPr="00650EE4">
        <w:rPr>
          <w:noProof w:val="0"/>
        </w:rPr>
        <w:t>kWh</w:t>
      </w:r>
      <w:proofErr w:type="spellEnd"/>
      <w:r w:rsidR="001566E1" w:rsidRPr="00650EE4">
        <w:rPr>
          <w:noProof w:val="0"/>
        </w:rPr>
        <w:t>/m</w:t>
      </w:r>
      <w:r w:rsidR="001566E1" w:rsidRPr="00650EE4">
        <w:rPr>
          <w:noProof w:val="0"/>
          <w:vertAlign w:val="superscript"/>
        </w:rPr>
        <w:t>2</w:t>
      </w:r>
      <w:r w:rsidR="001566E1" w:rsidRPr="00650EE4">
        <w:rPr>
          <w:noProof w:val="0"/>
        </w:rPr>
        <w:t>/metus</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566E1" w:rsidRPr="00650EE4" w14:paraId="5640D9C4" w14:textId="77777777" w:rsidTr="00234179">
        <w:tc>
          <w:tcPr>
            <w:tcW w:w="5097" w:type="dxa"/>
          </w:tcPr>
          <w:p w14:paraId="15E4F290" w14:textId="4C6C5B41" w:rsidR="001566E1" w:rsidRPr="00650EE4" w:rsidRDefault="004B71A9" w:rsidP="004B71A9">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6B5BAA9F" wp14:editId="55467EA7">
                  <wp:extent cx="2999232" cy="1836115"/>
                  <wp:effectExtent l="0" t="0" r="10795" b="12065"/>
                  <wp:docPr id="69" name="Chart 69">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44CE6B-860A-49B4-AC7F-A5D1CB99D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097" w:type="dxa"/>
          </w:tcPr>
          <w:p w14:paraId="0B3A4A4B" w14:textId="73F5A21B" w:rsidR="001566E1" w:rsidRPr="00650EE4" w:rsidRDefault="004B71A9" w:rsidP="006902B3">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3158C951" wp14:editId="1F1DD571">
                  <wp:extent cx="2801721" cy="1806854"/>
                  <wp:effectExtent l="0" t="0" r="17780" b="22225"/>
                  <wp:docPr id="71" name="Chart 71">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D2D19D-D7C8-457F-975A-EBD230638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2E71C45" w14:textId="72CF71D2" w:rsidR="006902B3" w:rsidRPr="00650EE4" w:rsidRDefault="006902B3" w:rsidP="00234179">
      <w:pPr>
        <w:spacing w:line="240" w:lineRule="auto"/>
        <w:jc w:val="both"/>
        <w:rPr>
          <w:rFonts w:ascii="Times New Roman" w:eastAsia="Times New Roman" w:hAnsi="Times New Roman"/>
          <w:i/>
          <w:color w:val="000000" w:themeColor="text1"/>
          <w:sz w:val="20"/>
          <w:szCs w:val="28"/>
        </w:rPr>
      </w:pPr>
      <w:bookmarkStart w:id="45" w:name="_Hlk55970211"/>
      <w:r w:rsidRPr="00650EE4">
        <w:rPr>
          <w:rFonts w:ascii="Times New Roman" w:eastAsia="Times New Roman" w:hAnsi="Times New Roman"/>
          <w:i/>
          <w:color w:val="000000" w:themeColor="text1"/>
          <w:sz w:val="20"/>
          <w:szCs w:val="28"/>
        </w:rPr>
        <w:t>Šaltinis: Studijos</w:t>
      </w:r>
      <w:r w:rsidR="006D65CB">
        <w:rPr>
          <w:rFonts w:ascii="Times New Roman" w:eastAsia="Times New Roman" w:hAnsi="Times New Roman"/>
          <w:i/>
          <w:color w:val="000000" w:themeColor="text1"/>
          <w:sz w:val="20"/>
          <w:szCs w:val="28"/>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bookmarkEnd w:id="45"/>
    <w:p w14:paraId="07345677" w14:textId="5CB97E22" w:rsidR="006902B3" w:rsidRPr="00650EE4" w:rsidRDefault="006902B3" w:rsidP="006902B3">
      <w:pPr>
        <w:spacing w:line="240" w:lineRule="auto"/>
        <w:rPr>
          <w:rFonts w:ascii="Times New Roman" w:hAnsi="Times New Roman"/>
          <w:color w:val="000000" w:themeColor="text1"/>
          <w:szCs w:val="22"/>
        </w:rPr>
      </w:pPr>
    </w:p>
    <w:p w14:paraId="5C711E7F" w14:textId="79A71139" w:rsidR="007C7F99" w:rsidRDefault="007C7F99" w:rsidP="007C7F99">
      <w:pPr>
        <w:shd w:val="clear" w:color="auto" w:fill="FFFFFF"/>
        <w:spacing w:line="240" w:lineRule="auto"/>
        <w:jc w:val="both"/>
        <w:rPr>
          <w:rFonts w:ascii="Times New Roman" w:eastAsia="Times New Roman" w:hAnsi="Times New Roman"/>
          <w:color w:val="222222"/>
          <w:szCs w:val="22"/>
        </w:rPr>
      </w:pPr>
      <w:r w:rsidRPr="00650EE4">
        <w:rPr>
          <w:rFonts w:ascii="Times New Roman" w:hAnsi="Times New Roman"/>
          <w:color w:val="000000" w:themeColor="text1"/>
          <w:szCs w:val="22"/>
        </w:rPr>
        <w:t xml:space="preserve">Pastato pirminės energijos vartojimas reikšmingai priklauso nuo pastato energinio naudingumo klasės. </w:t>
      </w:r>
      <w:r w:rsidRPr="00650EE4">
        <w:rPr>
          <w:rFonts w:ascii="Times New Roman" w:eastAsia="Times New Roman" w:hAnsi="Times New Roman"/>
          <w:color w:val="222222"/>
          <w:szCs w:val="22"/>
        </w:rPr>
        <w:t>Paveiksle aukščiau pateikiamas tipinio daugiabučio (statybos metai: 1961-1992 m., vietovė: miestas, plotas: 1000-5000 m</w:t>
      </w:r>
      <w:r w:rsidRPr="00650EE4">
        <w:rPr>
          <w:rFonts w:ascii="Times New Roman" w:eastAsia="Times New Roman" w:hAnsi="Times New Roman"/>
          <w:color w:val="222222"/>
          <w:szCs w:val="22"/>
          <w:vertAlign w:val="superscript"/>
        </w:rPr>
        <w:t>2</w:t>
      </w:r>
      <w:r w:rsidRPr="00650EE4">
        <w:rPr>
          <w:rFonts w:ascii="Times New Roman" w:eastAsia="Times New Roman" w:hAnsi="Times New Roman"/>
          <w:color w:val="222222"/>
          <w:szCs w:val="22"/>
        </w:rPr>
        <w:t>, šilumos šaltinis pastatui šildyti ir karštam vandeniui ruošti – CŠT) žemiausios ir aukščiausios energinio naudingumo klasės palyginimas.</w:t>
      </w:r>
    </w:p>
    <w:p w14:paraId="130F99F7" w14:textId="77777777" w:rsidR="003E0C4E" w:rsidRPr="00650EE4" w:rsidRDefault="003E0C4E" w:rsidP="007C7F99">
      <w:pPr>
        <w:shd w:val="clear" w:color="auto" w:fill="FFFFFF"/>
        <w:spacing w:line="240" w:lineRule="auto"/>
        <w:jc w:val="both"/>
        <w:rPr>
          <w:rFonts w:ascii="Times New Roman" w:eastAsia="Times New Roman" w:hAnsi="Times New Roman"/>
          <w:color w:val="222222"/>
          <w:szCs w:val="22"/>
        </w:rPr>
      </w:pPr>
    </w:p>
    <w:p w14:paraId="5C334B16" w14:textId="7FCF5E5E" w:rsidR="00515036" w:rsidRPr="00650EE4" w:rsidRDefault="00A3293C" w:rsidP="006F1166">
      <w:pPr>
        <w:spacing w:after="120" w:line="240" w:lineRule="auto"/>
        <w:jc w:val="both"/>
        <w:rPr>
          <w:rFonts w:ascii="Times New Roman" w:hAnsi="Times New Roman"/>
          <w:color w:val="000000" w:themeColor="text1"/>
          <w:szCs w:val="22"/>
        </w:rPr>
      </w:pPr>
      <w:r w:rsidRPr="00650EE4">
        <w:rPr>
          <w:rFonts w:ascii="Times New Roman" w:hAnsi="Times New Roman"/>
          <w:color w:val="auto"/>
          <w:szCs w:val="22"/>
        </w:rPr>
        <w:t>G</w:t>
      </w:r>
      <w:r w:rsidR="006902B3" w:rsidRPr="00650EE4">
        <w:rPr>
          <w:rFonts w:ascii="Times New Roman" w:hAnsi="Times New Roman"/>
          <w:color w:val="auto"/>
          <w:szCs w:val="22"/>
        </w:rPr>
        <w:t>alima pastebėti, kad</w:t>
      </w:r>
      <w:r w:rsidR="00EC598D" w:rsidRPr="00650EE4">
        <w:rPr>
          <w:rFonts w:ascii="Times New Roman" w:hAnsi="Times New Roman"/>
          <w:color w:val="auto"/>
          <w:szCs w:val="22"/>
        </w:rPr>
        <w:t xml:space="preserve"> d</w:t>
      </w:r>
      <w:r w:rsidR="003D2C3A" w:rsidRPr="00650EE4">
        <w:rPr>
          <w:rFonts w:ascii="Times New Roman" w:hAnsi="Times New Roman"/>
          <w:color w:val="000000" w:themeColor="text1"/>
          <w:szCs w:val="22"/>
        </w:rPr>
        <w:t>idžiausias potencialas siekiant pirminės energijos suta</w:t>
      </w:r>
      <w:r w:rsidRPr="00650EE4">
        <w:rPr>
          <w:rFonts w:ascii="Times New Roman" w:hAnsi="Times New Roman"/>
          <w:color w:val="000000" w:themeColor="text1"/>
          <w:szCs w:val="22"/>
        </w:rPr>
        <w:t>u</w:t>
      </w:r>
      <w:r w:rsidR="003D2C3A" w:rsidRPr="00650EE4">
        <w:rPr>
          <w:rFonts w:ascii="Times New Roman" w:hAnsi="Times New Roman"/>
          <w:color w:val="000000" w:themeColor="text1"/>
          <w:szCs w:val="22"/>
        </w:rPr>
        <w:t>pymo</w:t>
      </w:r>
      <w:r w:rsidRPr="00650EE4">
        <w:rPr>
          <w:rFonts w:ascii="Times New Roman" w:hAnsi="Times New Roman"/>
          <w:color w:val="000000" w:themeColor="text1"/>
          <w:szCs w:val="22"/>
        </w:rPr>
        <w:t>, vertinant tiek santykiniu tiek absoliučiu dydžiais,</w:t>
      </w:r>
      <w:r w:rsidR="003D2C3A" w:rsidRPr="00650EE4">
        <w:rPr>
          <w:rFonts w:ascii="Times New Roman" w:hAnsi="Times New Roman"/>
          <w:color w:val="000000" w:themeColor="text1"/>
          <w:szCs w:val="22"/>
        </w:rPr>
        <w:t xml:space="preserve"> yra šildymo vartojim</w:t>
      </w:r>
      <w:r w:rsidR="00EC598D" w:rsidRPr="00650EE4">
        <w:rPr>
          <w:rFonts w:ascii="Times New Roman" w:hAnsi="Times New Roman"/>
          <w:color w:val="000000" w:themeColor="text1"/>
          <w:szCs w:val="22"/>
        </w:rPr>
        <w:t>e (</w:t>
      </w:r>
      <w:r w:rsidR="003D2C3A" w:rsidRPr="00650EE4">
        <w:rPr>
          <w:rFonts w:ascii="Times New Roman" w:hAnsi="Times New Roman"/>
          <w:color w:val="000000" w:themeColor="text1"/>
          <w:szCs w:val="22"/>
        </w:rPr>
        <w:t xml:space="preserve">vartojimo skirtumas tarp </w:t>
      </w:r>
      <w:r w:rsidR="003D2C3A" w:rsidRPr="00650EE4">
        <w:rPr>
          <w:rFonts w:ascii="Times New Roman" w:eastAsia="Times New Roman" w:hAnsi="Times New Roman"/>
          <w:color w:val="222222"/>
          <w:szCs w:val="22"/>
        </w:rPr>
        <w:t>žemiausios ir aukščiausios energinio naudingumo klasės</w:t>
      </w:r>
      <w:r w:rsidR="003D2C3A" w:rsidRPr="00650EE4">
        <w:rPr>
          <w:rFonts w:ascii="Times New Roman" w:hAnsi="Times New Roman"/>
          <w:color w:val="222222"/>
          <w:szCs w:val="22"/>
        </w:rPr>
        <w:t xml:space="preserve"> sudaro ~86 p</w:t>
      </w:r>
      <w:r w:rsidR="00EC598D" w:rsidRPr="00650EE4">
        <w:rPr>
          <w:rFonts w:ascii="Times New Roman" w:hAnsi="Times New Roman"/>
          <w:color w:val="222222"/>
          <w:szCs w:val="22"/>
        </w:rPr>
        <w:t>roc.) ir k</w:t>
      </w:r>
      <w:r w:rsidR="003D2C3A" w:rsidRPr="00650EE4">
        <w:rPr>
          <w:rFonts w:ascii="Times New Roman" w:hAnsi="Times New Roman"/>
          <w:color w:val="000000" w:themeColor="text1"/>
          <w:szCs w:val="22"/>
        </w:rPr>
        <w:t xml:space="preserve">aršto </w:t>
      </w:r>
      <w:r w:rsidR="00EC598D" w:rsidRPr="00650EE4">
        <w:rPr>
          <w:rFonts w:ascii="Times New Roman" w:hAnsi="Times New Roman"/>
          <w:color w:val="000000" w:themeColor="text1"/>
          <w:szCs w:val="22"/>
        </w:rPr>
        <w:t>vandens vartojime (</w:t>
      </w:r>
      <w:r w:rsidRPr="00650EE4">
        <w:rPr>
          <w:rFonts w:ascii="Times New Roman" w:hAnsi="Times New Roman"/>
          <w:color w:val="000000" w:themeColor="text1"/>
          <w:szCs w:val="22"/>
        </w:rPr>
        <w:t>~31 proc.).</w:t>
      </w:r>
    </w:p>
    <w:p w14:paraId="10DBE6A3" w14:textId="2C85DC97" w:rsidR="00515036" w:rsidRPr="00650EE4" w:rsidRDefault="00A3293C" w:rsidP="00507AC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PEND numato, kad vertinant</w:t>
      </w:r>
      <w:r w:rsidR="00515036"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energijos </w:t>
      </w:r>
      <w:r w:rsidR="00515036" w:rsidRPr="00650EE4">
        <w:rPr>
          <w:rFonts w:ascii="Times New Roman" w:hAnsi="Times New Roman"/>
          <w:color w:val="000000" w:themeColor="text1"/>
          <w:szCs w:val="22"/>
        </w:rPr>
        <w:t xml:space="preserve">vartojimo </w:t>
      </w:r>
      <w:r w:rsidRPr="00650EE4">
        <w:rPr>
          <w:rFonts w:ascii="Times New Roman" w:hAnsi="Times New Roman"/>
          <w:color w:val="000000" w:themeColor="text1"/>
          <w:szCs w:val="22"/>
        </w:rPr>
        <w:t>apimtis</w:t>
      </w:r>
      <w:r w:rsidR="00B762BC"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tiksli</w:t>
      </w:r>
      <w:r w:rsidR="00B762BC" w:rsidRPr="00650EE4">
        <w:rPr>
          <w:rFonts w:ascii="Times New Roman" w:hAnsi="Times New Roman"/>
          <w:color w:val="000000" w:themeColor="text1"/>
          <w:szCs w:val="22"/>
        </w:rPr>
        <w:t>nga</w:t>
      </w:r>
      <w:r w:rsidR="00515036" w:rsidRPr="00650EE4">
        <w:rPr>
          <w:rFonts w:ascii="Times New Roman" w:hAnsi="Times New Roman"/>
          <w:color w:val="000000" w:themeColor="text1"/>
          <w:szCs w:val="22"/>
        </w:rPr>
        <w:t xml:space="preserve"> atsižvelgti į šalies klimatines zonas </w:t>
      </w:r>
      <w:r w:rsidRPr="00650EE4">
        <w:rPr>
          <w:rFonts w:ascii="Times New Roman" w:hAnsi="Times New Roman"/>
          <w:color w:val="000000" w:themeColor="text1"/>
          <w:szCs w:val="22"/>
        </w:rPr>
        <w:t xml:space="preserve">ir jų įtaką energijos vartojimui (tiek kiek taikytina), žr. skyrių žemiau. </w:t>
      </w:r>
    </w:p>
    <w:p w14:paraId="5510A793" w14:textId="3755D736" w:rsidR="00A45646" w:rsidRPr="00650EE4" w:rsidRDefault="00A45646" w:rsidP="00370FCC">
      <w:pPr>
        <w:rPr>
          <w:rFonts w:ascii="Times New Roman" w:eastAsia="Times New Roman" w:hAnsi="Times New Roman"/>
          <w:b/>
          <w:bCs/>
          <w:color w:val="000000" w:themeColor="text1"/>
          <w:kern w:val="32"/>
          <w:szCs w:val="22"/>
        </w:rPr>
      </w:pPr>
    </w:p>
    <w:p w14:paraId="629300FB" w14:textId="77777777" w:rsidR="00A3293C" w:rsidRPr="00650EE4" w:rsidRDefault="00A3293C" w:rsidP="00370FCC">
      <w:pPr>
        <w:rPr>
          <w:rFonts w:ascii="Times New Roman" w:eastAsia="Times New Roman" w:hAnsi="Times New Roman"/>
          <w:b/>
          <w:bCs/>
          <w:color w:val="000000" w:themeColor="text1"/>
          <w:kern w:val="32"/>
          <w:szCs w:val="22"/>
        </w:rPr>
      </w:pPr>
    </w:p>
    <w:p w14:paraId="4E83CDD6" w14:textId="5D4EA424" w:rsidR="00D95A6C" w:rsidRPr="00650EE4" w:rsidRDefault="00D95A6C" w:rsidP="00023B00">
      <w:pPr>
        <w:pStyle w:val="Antrastes31"/>
        <w:numPr>
          <w:ilvl w:val="2"/>
          <w:numId w:val="4"/>
        </w:numPr>
        <w:spacing w:before="0"/>
        <w:ind w:left="720" w:hanging="720"/>
        <w:rPr>
          <w:rFonts w:ascii="Times New Roman" w:hAnsi="Times New Roman"/>
          <w:color w:val="000000" w:themeColor="text1"/>
          <w:sz w:val="24"/>
          <w:szCs w:val="24"/>
          <w:lang w:val="lt-LT"/>
        </w:rPr>
      </w:pPr>
      <w:bookmarkStart w:id="46" w:name="_Toc67925110"/>
      <w:r w:rsidRPr="00650EE4">
        <w:rPr>
          <w:rFonts w:ascii="Times New Roman" w:hAnsi="Times New Roman"/>
          <w:color w:val="000000" w:themeColor="text1"/>
          <w:sz w:val="24"/>
          <w:szCs w:val="24"/>
          <w:lang w:val="lt-LT"/>
        </w:rPr>
        <w:t>Klimat</w:t>
      </w:r>
      <w:r w:rsidR="000772EA" w:rsidRPr="00650EE4">
        <w:rPr>
          <w:rFonts w:ascii="Times New Roman" w:hAnsi="Times New Roman"/>
          <w:color w:val="000000" w:themeColor="text1"/>
          <w:sz w:val="24"/>
          <w:szCs w:val="24"/>
          <w:lang w:val="lt-LT"/>
        </w:rPr>
        <w:t>inės sąlygo</w:t>
      </w:r>
      <w:r w:rsidR="00507AC9" w:rsidRPr="00650EE4">
        <w:rPr>
          <w:rFonts w:ascii="Times New Roman" w:hAnsi="Times New Roman"/>
          <w:color w:val="000000" w:themeColor="text1"/>
          <w:sz w:val="24"/>
          <w:szCs w:val="24"/>
          <w:lang w:val="lt-LT"/>
        </w:rPr>
        <w:t>s</w:t>
      </w:r>
      <w:bookmarkEnd w:id="46"/>
    </w:p>
    <w:p w14:paraId="28DC3EE6" w14:textId="55D5F20B" w:rsidR="00370FCC" w:rsidRPr="00650EE4" w:rsidRDefault="00370FCC" w:rsidP="00507AC9">
      <w:pPr>
        <w:pStyle w:val="Pagrindinispaprastastekstas"/>
        <w:spacing w:after="120"/>
        <w:rPr>
          <w:rFonts w:ascii="Times New Roman" w:hAnsi="Times New Roman"/>
          <w:b/>
          <w:szCs w:val="22"/>
        </w:rPr>
      </w:pPr>
      <w:r w:rsidRPr="00650EE4">
        <w:rPr>
          <w:rFonts w:ascii="Times New Roman" w:hAnsi="Times New Roman"/>
          <w:b/>
          <w:szCs w:val="22"/>
        </w:rPr>
        <w:t xml:space="preserve">Esama situacija </w:t>
      </w:r>
    </w:p>
    <w:p w14:paraId="4A528692" w14:textId="1D73107D" w:rsidR="006864EF" w:rsidRPr="00650EE4" w:rsidRDefault="00D95A6C" w:rsidP="006864EF">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Lietuva yra vėsiojo vidutinio klimato zonoje su</w:t>
      </w:r>
      <w:r w:rsidR="00ED75C7" w:rsidRPr="00650EE4">
        <w:rPr>
          <w:rFonts w:ascii="Times New Roman" w:hAnsi="Times New Roman"/>
          <w:color w:val="000000" w:themeColor="text1"/>
          <w:szCs w:val="22"/>
        </w:rPr>
        <w:t xml:space="preserve"> vidutinio </w:t>
      </w:r>
      <w:proofErr w:type="spellStart"/>
      <w:r w:rsidR="00ED75C7" w:rsidRPr="00650EE4">
        <w:rPr>
          <w:rFonts w:ascii="Times New Roman" w:hAnsi="Times New Roman"/>
          <w:color w:val="000000" w:themeColor="text1"/>
          <w:szCs w:val="22"/>
        </w:rPr>
        <w:t>šiltumo</w:t>
      </w:r>
      <w:proofErr w:type="spellEnd"/>
      <w:r w:rsidR="00ED75C7" w:rsidRPr="00650EE4">
        <w:rPr>
          <w:rFonts w:ascii="Times New Roman" w:hAnsi="Times New Roman"/>
          <w:color w:val="000000" w:themeColor="text1"/>
          <w:szCs w:val="22"/>
        </w:rPr>
        <w:t xml:space="preserve"> vasaromis ir</w:t>
      </w:r>
      <w:r w:rsidRPr="00650EE4">
        <w:rPr>
          <w:rFonts w:ascii="Times New Roman" w:hAnsi="Times New Roman"/>
          <w:color w:val="000000" w:themeColor="text1"/>
          <w:szCs w:val="22"/>
        </w:rPr>
        <w:t xml:space="preserve"> vidutinio šaltumo žiemomis. Vidutinė liepos mėnesio temperatūra yra apie 17 ° šilumos, žiemą – apie 5 ° šalčio.</w:t>
      </w:r>
      <w:r w:rsidR="00EF58E5"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Skirtumas tarp temperatūrų vidurkio yra apie 20 °C. </w:t>
      </w:r>
      <w:r w:rsidR="006864EF" w:rsidRPr="00650EE4">
        <w:rPr>
          <w:rFonts w:ascii="Times New Roman" w:hAnsi="Times New Roman"/>
          <w:color w:val="000000" w:themeColor="text1"/>
          <w:szCs w:val="22"/>
        </w:rPr>
        <w:t>Nors v</w:t>
      </w:r>
      <w:r w:rsidR="00ED75C7" w:rsidRPr="00650EE4">
        <w:rPr>
          <w:rFonts w:ascii="Times New Roman" w:hAnsi="Times New Roman"/>
          <w:color w:val="000000" w:themeColor="text1"/>
          <w:szCs w:val="22"/>
        </w:rPr>
        <w:t xml:space="preserve">isa Lietuvos teritorija patenka į vėsiojo vidutinio klimato zoną, tačiau šalies vakarinė dalis yra veikiama Baltijos jūros, </w:t>
      </w:r>
      <w:r w:rsidR="006864EF" w:rsidRPr="00650EE4">
        <w:rPr>
          <w:rFonts w:ascii="Times New Roman" w:hAnsi="Times New Roman"/>
          <w:color w:val="000000" w:themeColor="text1"/>
          <w:szCs w:val="22"/>
        </w:rPr>
        <w:t>kur</w:t>
      </w:r>
      <w:r w:rsidR="00ED75C7" w:rsidRPr="00650EE4">
        <w:rPr>
          <w:rFonts w:ascii="Times New Roman" w:hAnsi="Times New Roman"/>
          <w:color w:val="000000" w:themeColor="text1"/>
          <w:szCs w:val="22"/>
        </w:rPr>
        <w:t xml:space="preserve"> fiksuojamas didesnis metinis kritulių kiekis ir vėjo greitis bei didesnė vidutinė metinė oro temperatūra nei likusioje šalies teritorijoje. </w:t>
      </w:r>
      <w:r w:rsidR="006864EF" w:rsidRPr="00650EE4">
        <w:rPr>
          <w:rFonts w:ascii="Times New Roman" w:hAnsi="Times New Roman"/>
          <w:color w:val="000000" w:themeColor="text1"/>
          <w:szCs w:val="22"/>
        </w:rPr>
        <w:t xml:space="preserve">Vakarinėje šalies dalyje esanti pastatų fondo dalis sudaro apie 11% viso pastatų fondo ploto (žr. lentelę žemiau). </w:t>
      </w:r>
    </w:p>
    <w:p w14:paraId="5B016189" w14:textId="77777777" w:rsidR="006864EF" w:rsidRPr="00650EE4" w:rsidRDefault="006864EF" w:rsidP="006864EF">
      <w:pPr>
        <w:rPr>
          <w:rFonts w:ascii="Times New Roman" w:eastAsiaTheme="minorHAnsi" w:hAnsi="Times New Roman"/>
          <w:b/>
          <w:bCs/>
          <w:color w:val="000000" w:themeColor="text1"/>
          <w:szCs w:val="22"/>
        </w:rPr>
      </w:pPr>
    </w:p>
    <w:p w14:paraId="5F079E15" w14:textId="2EA75CAB" w:rsidR="006864EF" w:rsidRPr="00650EE4" w:rsidRDefault="006864EF"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47" w:name="_Toc67925199"/>
      <w:r w:rsidR="007744C1">
        <w:t>16</w:t>
      </w:r>
      <w:r w:rsidRPr="00650EE4">
        <w:rPr>
          <w:noProof w:val="0"/>
        </w:rPr>
        <w:fldChar w:fldCharType="end"/>
      </w:r>
      <w:r w:rsidRPr="00650EE4">
        <w:rPr>
          <w:noProof w:val="0"/>
        </w:rPr>
        <w:t xml:space="preserve"> lentelė. Vakarų Lietuvos pastatų fondo dalis</w:t>
      </w:r>
      <w:bookmarkEnd w:id="47"/>
    </w:p>
    <w:tbl>
      <w:tblPr>
        <w:tblW w:w="5000" w:type="pct"/>
        <w:tblCellMar>
          <w:left w:w="0" w:type="dxa"/>
          <w:right w:w="0" w:type="dxa"/>
        </w:tblCellMar>
        <w:tblLook w:val="04A0" w:firstRow="1" w:lastRow="0" w:firstColumn="1" w:lastColumn="0" w:noHBand="0" w:noVBand="1"/>
      </w:tblPr>
      <w:tblGrid>
        <w:gridCol w:w="2210"/>
        <w:gridCol w:w="1230"/>
        <w:gridCol w:w="1250"/>
        <w:gridCol w:w="1792"/>
        <w:gridCol w:w="1343"/>
        <w:gridCol w:w="1686"/>
        <w:gridCol w:w="723"/>
      </w:tblGrid>
      <w:tr w:rsidR="006864EF" w:rsidRPr="00650EE4" w14:paraId="18BB033B" w14:textId="77777777" w:rsidTr="002770C4">
        <w:trPr>
          <w:cantSplit/>
          <w:tblHead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487940" w14:textId="77777777" w:rsidR="006864EF" w:rsidRPr="00650EE4" w:rsidRDefault="006864EF" w:rsidP="00FC50F8">
            <w:pPr>
              <w:jc w:val="center"/>
              <w:rPr>
                <w:rFonts w:ascii="Times New Roman" w:eastAsia="Times New Roman" w:hAnsi="Times New Roman"/>
                <w:b/>
                <w:bCs/>
                <w:sz w:val="20"/>
                <w:szCs w:val="20"/>
              </w:rPr>
            </w:pPr>
            <w:r w:rsidRPr="00650EE4">
              <w:rPr>
                <w:rFonts w:ascii="Times New Roman" w:hAnsi="Times New Roman"/>
                <w:b/>
                <w:bCs/>
                <w:sz w:val="20"/>
                <w:szCs w:val="20"/>
              </w:rPr>
              <w:t>Grupė</w:t>
            </w:r>
          </w:p>
        </w:tc>
        <w:tc>
          <w:tcPr>
            <w:tcW w:w="7984" w:type="dxa"/>
            <w:gridSpan w:val="6"/>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1605C1F"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Vakarų Lietuva</w:t>
            </w:r>
          </w:p>
        </w:tc>
      </w:tr>
      <w:tr w:rsidR="006864EF" w:rsidRPr="00650EE4" w14:paraId="0A81E802" w14:textId="77777777" w:rsidTr="002770C4">
        <w:trPr>
          <w:cantSplit/>
          <w:tblHeader/>
        </w:trPr>
        <w:tc>
          <w:tcPr>
            <w:tcW w:w="2200" w:type="dxa"/>
            <w:vMerge/>
            <w:tcBorders>
              <w:top w:val="single" w:sz="8" w:space="0" w:color="000000"/>
              <w:left w:val="single" w:sz="4" w:space="0" w:color="auto"/>
              <w:bottom w:val="single" w:sz="4" w:space="0" w:color="auto"/>
              <w:right w:val="single" w:sz="4" w:space="0" w:color="auto"/>
            </w:tcBorders>
            <w:vAlign w:val="center"/>
            <w:hideMark/>
          </w:tcPr>
          <w:p w14:paraId="5977AC8C" w14:textId="77777777" w:rsidR="006864EF" w:rsidRPr="00650EE4" w:rsidRDefault="006864EF" w:rsidP="00FC50F8">
            <w:pPr>
              <w:rPr>
                <w:rFonts w:ascii="Times New Roman" w:hAnsi="Times New Roman"/>
                <w:b/>
                <w:bCs/>
                <w:sz w:val="20"/>
                <w:szCs w:val="20"/>
              </w:rPr>
            </w:pPr>
          </w:p>
        </w:tc>
        <w:tc>
          <w:tcPr>
            <w:tcW w:w="1224"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5F2366F3"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Skaičius</w:t>
            </w:r>
          </w:p>
        </w:tc>
        <w:tc>
          <w:tcPr>
            <w:tcW w:w="1244"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316E49"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w:t>
            </w:r>
          </w:p>
        </w:tc>
        <w:tc>
          <w:tcPr>
            <w:tcW w:w="1783"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3F60E9F2"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Bendras plotas</w:t>
            </w:r>
          </w:p>
        </w:tc>
        <w:tc>
          <w:tcPr>
            <w:tcW w:w="133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FBB379"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w:t>
            </w:r>
          </w:p>
        </w:tc>
        <w:tc>
          <w:tcPr>
            <w:tcW w:w="1678"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20D22A"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Šildomas plotas</w:t>
            </w:r>
          </w:p>
        </w:tc>
        <w:tc>
          <w:tcPr>
            <w:tcW w:w="719"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82B91B8"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w:t>
            </w:r>
          </w:p>
        </w:tc>
      </w:tr>
      <w:tr w:rsidR="006864EF" w:rsidRPr="00650EE4" w14:paraId="55C86F99" w14:textId="77777777" w:rsidTr="002770C4">
        <w:trPr>
          <w:cantSplit/>
          <w:tblHeader/>
        </w:trPr>
        <w:tc>
          <w:tcPr>
            <w:tcW w:w="220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34AE55FD" w14:textId="77777777" w:rsidR="006864EF" w:rsidRPr="00650EE4" w:rsidRDefault="006864EF" w:rsidP="00FC50F8">
            <w:pPr>
              <w:rPr>
                <w:rFonts w:ascii="Times New Roman" w:hAnsi="Times New Roman"/>
                <w:b/>
                <w:bCs/>
                <w:color w:val="auto"/>
                <w:sz w:val="20"/>
                <w:szCs w:val="20"/>
              </w:rPr>
            </w:pPr>
            <w:r w:rsidRPr="00650EE4">
              <w:rPr>
                <w:rFonts w:ascii="Times New Roman" w:hAnsi="Times New Roman"/>
                <w:b/>
                <w:bCs/>
                <w:color w:val="auto"/>
                <w:sz w:val="20"/>
                <w:szCs w:val="20"/>
              </w:rPr>
              <w:t>1.Gyvenamieji</w:t>
            </w:r>
          </w:p>
        </w:tc>
        <w:tc>
          <w:tcPr>
            <w:tcW w:w="1224"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1F25ACC5"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49.800  </w:t>
            </w:r>
          </w:p>
        </w:tc>
        <w:tc>
          <w:tcPr>
            <w:tcW w:w="1244"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0361BD97" w14:textId="77777777" w:rsidR="006864EF" w:rsidRPr="00650EE4" w:rsidRDefault="006864EF" w:rsidP="00FC50F8">
            <w:pPr>
              <w:jc w:val="right"/>
              <w:rPr>
                <w:rFonts w:ascii="Times New Roman" w:hAnsi="Times New Roman"/>
                <w:b/>
                <w:bCs/>
                <w:color w:val="auto"/>
                <w:sz w:val="20"/>
                <w:szCs w:val="20"/>
              </w:rPr>
            </w:pPr>
          </w:p>
        </w:tc>
        <w:tc>
          <w:tcPr>
            <w:tcW w:w="1783"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57B2E9EC"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14.096</w:t>
            </w:r>
          </w:p>
        </w:tc>
        <w:tc>
          <w:tcPr>
            <w:tcW w:w="1336"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05C4F90D"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c>
          <w:tcPr>
            <w:tcW w:w="167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709313ED"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55.988 </w:t>
            </w:r>
          </w:p>
        </w:tc>
        <w:tc>
          <w:tcPr>
            <w:tcW w:w="71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557071BE"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r>
      <w:tr w:rsidR="006864EF" w:rsidRPr="00650EE4" w14:paraId="123CB6B3"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56E17CD"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1.1.Individualūs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B93D76E"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44.621</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1BC8D80"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98D28C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6.479</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761A2B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7AB690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5.229</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5E9B7CB"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r>
      <w:tr w:rsidR="006864EF" w:rsidRPr="00650EE4" w14:paraId="138AC962" w14:textId="77777777" w:rsidTr="002770C4">
        <w:trPr>
          <w:cantSplit/>
          <w:tblHeader/>
        </w:trPr>
        <w:tc>
          <w:tcPr>
            <w:tcW w:w="220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399D3C"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1.2.Daugiabučiai</w:t>
            </w:r>
          </w:p>
        </w:tc>
        <w:tc>
          <w:tcPr>
            <w:tcW w:w="1224"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4351E71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5.179</w:t>
            </w:r>
          </w:p>
        </w:tc>
        <w:tc>
          <w:tcPr>
            <w:tcW w:w="124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81AD3C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13%</w:t>
            </w:r>
          </w:p>
        </w:tc>
        <w:tc>
          <w:tcPr>
            <w:tcW w:w="1783"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783AD67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7.617</w:t>
            </w:r>
          </w:p>
        </w:tc>
        <w:tc>
          <w:tcPr>
            <w:tcW w:w="133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41E83A"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13%</w:t>
            </w:r>
          </w:p>
        </w:tc>
        <w:tc>
          <w:tcPr>
            <w:tcW w:w="1678"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76A2A7"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6.138</w:t>
            </w:r>
          </w:p>
        </w:tc>
        <w:tc>
          <w:tcPr>
            <w:tcW w:w="719"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4AD99A"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13%</w:t>
            </w:r>
          </w:p>
        </w:tc>
      </w:tr>
      <w:tr w:rsidR="006864EF" w:rsidRPr="00650EE4" w14:paraId="3B78DB0C" w14:textId="77777777" w:rsidTr="002770C4">
        <w:trPr>
          <w:cantSplit/>
          <w:tblHeader/>
        </w:trPr>
        <w:tc>
          <w:tcPr>
            <w:tcW w:w="220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4E5C5F4F" w14:textId="77777777" w:rsidR="006864EF" w:rsidRPr="00650EE4" w:rsidRDefault="006864EF" w:rsidP="00FC50F8">
            <w:pPr>
              <w:rPr>
                <w:rFonts w:ascii="Times New Roman" w:hAnsi="Times New Roman"/>
                <w:b/>
                <w:bCs/>
                <w:color w:val="auto"/>
                <w:sz w:val="20"/>
                <w:szCs w:val="20"/>
              </w:rPr>
            </w:pPr>
            <w:r w:rsidRPr="00650EE4">
              <w:rPr>
                <w:rFonts w:ascii="Times New Roman" w:hAnsi="Times New Roman"/>
                <w:b/>
                <w:bCs/>
                <w:color w:val="auto"/>
                <w:sz w:val="20"/>
                <w:szCs w:val="20"/>
              </w:rPr>
              <w:t>2.Negyvenamieji</w:t>
            </w:r>
          </w:p>
        </w:tc>
        <w:tc>
          <w:tcPr>
            <w:tcW w:w="1224"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48C14812"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12.406 </w:t>
            </w:r>
          </w:p>
        </w:tc>
        <w:tc>
          <w:tcPr>
            <w:tcW w:w="1244"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39F6A35F"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c>
          <w:tcPr>
            <w:tcW w:w="1783"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45E63C44"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8.421 </w:t>
            </w:r>
          </w:p>
        </w:tc>
        <w:tc>
          <w:tcPr>
            <w:tcW w:w="1336"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2CA2E4DB"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c>
          <w:tcPr>
            <w:tcW w:w="167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00326B79"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29.721 </w:t>
            </w:r>
          </w:p>
        </w:tc>
        <w:tc>
          <w:tcPr>
            <w:tcW w:w="71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2951A021"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r>
      <w:tr w:rsidR="006864EF" w:rsidRPr="00650EE4" w14:paraId="7F417324"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678210B"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2.1.Pramonės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99879F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5.757</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98CB45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5EED70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3.811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6BCF412"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9EC5B6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3.811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B7AC0C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r>
      <w:tr w:rsidR="006864EF" w:rsidRPr="00650EE4" w14:paraId="751953C6"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CEB33C7"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2.2.Administraciniai</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362E0AF9"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1.135</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F67B65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8CB172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993</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5244DE9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371BCDA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993</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0AE2DA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r>
      <w:tr w:rsidR="006864EF" w:rsidRPr="00650EE4" w14:paraId="27A86F0B"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67AFCE69"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2.3.Mokslo</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E8E792B"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476</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ACB5D7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6CD2E7E"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911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087D5B3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C20EC60"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911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618FCD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r>
      <w:tr w:rsidR="006864EF" w:rsidRPr="00650EE4" w14:paraId="48525C54"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3B8AF8C"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2.4.Prekybos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F334A5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988</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DB7426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A7AFA4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847</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AE04A9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99B342F"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847</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22DF66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r>
      <w:tr w:rsidR="006864EF" w:rsidRPr="00650EE4" w14:paraId="2035FF1B"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AACE1FA"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2.5.Gydymo</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7565F707"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217</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3C2C51F"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211209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363</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61BEAAB"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806633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363</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819C8B7"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r>
      <w:tr w:rsidR="006864EF" w:rsidRPr="00650EE4" w14:paraId="4AD8C8A7"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288747E"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2.6.Kultūros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7E9DCC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262</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1C7209F"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4%</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F3B504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201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18459F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D7C10D9"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201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B9F56F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w:t>
            </w:r>
          </w:p>
        </w:tc>
      </w:tr>
      <w:tr w:rsidR="006864EF" w:rsidRPr="00650EE4" w14:paraId="4039BF8B"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99696F7"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2.7.Apgyvendinimo</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12A7BF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2.581</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5E189EA"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110%</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874CD2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791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3EED71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35%</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CBE4E3E"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791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BCC85E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35%</w:t>
            </w:r>
          </w:p>
        </w:tc>
      </w:tr>
      <w:tr w:rsidR="006864EF" w:rsidRPr="00650EE4" w14:paraId="326F3715"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275FC0F"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2.8.Paslaugų</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35386A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754</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6612E7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15%</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93FDFB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306</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2756D6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14%</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DF2FC0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306</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DBBA329"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14%</w:t>
            </w:r>
          </w:p>
        </w:tc>
      </w:tr>
      <w:tr w:rsidR="006864EF" w:rsidRPr="00650EE4" w14:paraId="6C9CA663" w14:textId="77777777" w:rsidTr="002770C4">
        <w:trPr>
          <w:cantSplit/>
          <w:tblHeader/>
        </w:trPr>
        <w:tc>
          <w:tcPr>
            <w:tcW w:w="220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A0FCA3"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2.9.Kita</w:t>
            </w:r>
          </w:p>
        </w:tc>
        <w:tc>
          <w:tcPr>
            <w:tcW w:w="1224"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0E08FB8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236</w:t>
            </w:r>
          </w:p>
        </w:tc>
        <w:tc>
          <w:tcPr>
            <w:tcW w:w="124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A5CC00"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783"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388FD5B2"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196</w:t>
            </w:r>
          </w:p>
        </w:tc>
        <w:tc>
          <w:tcPr>
            <w:tcW w:w="133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05E24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678"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C5DA9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196</w:t>
            </w:r>
          </w:p>
        </w:tc>
        <w:tc>
          <w:tcPr>
            <w:tcW w:w="719"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5F99D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r>
      <w:tr w:rsidR="006864EF" w:rsidRPr="00650EE4" w14:paraId="2769A142" w14:textId="77777777" w:rsidTr="002770C4">
        <w:trPr>
          <w:cantSplit/>
          <w:tblHeader/>
        </w:trPr>
        <w:tc>
          <w:tcPr>
            <w:tcW w:w="2200"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50A81E66" w14:textId="77777777" w:rsidR="006864EF" w:rsidRPr="00650EE4" w:rsidRDefault="006864EF" w:rsidP="00FC50F8">
            <w:pPr>
              <w:rPr>
                <w:rFonts w:ascii="Times New Roman" w:hAnsi="Times New Roman"/>
                <w:b/>
                <w:bCs/>
                <w:sz w:val="20"/>
                <w:szCs w:val="20"/>
              </w:rPr>
            </w:pPr>
            <w:r w:rsidRPr="00650EE4">
              <w:rPr>
                <w:rFonts w:ascii="Times New Roman" w:hAnsi="Times New Roman"/>
                <w:b/>
                <w:bCs/>
                <w:sz w:val="20"/>
                <w:szCs w:val="20"/>
              </w:rPr>
              <w:t>Iš viso</w:t>
            </w:r>
          </w:p>
        </w:tc>
        <w:tc>
          <w:tcPr>
            <w:tcW w:w="1224" w:type="dxa"/>
            <w:tcBorders>
              <w:top w:val="single" w:sz="4" w:space="0" w:color="auto"/>
              <w:left w:val="single" w:sz="8" w:space="0" w:color="auto"/>
              <w:bottom w:val="single" w:sz="4" w:space="0" w:color="auto"/>
              <w:right w:val="nil"/>
            </w:tcBorders>
            <w:shd w:val="clear" w:color="000000" w:fill="FFFFFF"/>
            <w:noWrap/>
            <w:tcMar>
              <w:top w:w="15" w:type="dxa"/>
              <w:left w:w="15" w:type="dxa"/>
              <w:bottom w:w="0" w:type="dxa"/>
              <w:right w:w="15" w:type="dxa"/>
            </w:tcMar>
            <w:vAlign w:val="center"/>
            <w:hideMark/>
          </w:tcPr>
          <w:p w14:paraId="5CA30166"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62.206</w:t>
            </w:r>
          </w:p>
        </w:tc>
        <w:tc>
          <w:tcPr>
            <w:tcW w:w="1244"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47997CB"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9%</w:t>
            </w:r>
          </w:p>
        </w:tc>
        <w:tc>
          <w:tcPr>
            <w:tcW w:w="1783"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77C13C9B"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 xml:space="preserve">              22.517 </w:t>
            </w:r>
          </w:p>
        </w:tc>
        <w:tc>
          <w:tcPr>
            <w:tcW w:w="133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B3EFBDF"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11%</w:t>
            </w:r>
          </w:p>
        </w:tc>
        <w:tc>
          <w:tcPr>
            <w:tcW w:w="1678"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4A5173B3"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19.788</w:t>
            </w:r>
          </w:p>
        </w:tc>
        <w:tc>
          <w:tcPr>
            <w:tcW w:w="719"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1D08421"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11%</w:t>
            </w:r>
          </w:p>
        </w:tc>
      </w:tr>
    </w:tbl>
    <w:p w14:paraId="1A5C2E74" w14:textId="2A2B3526" w:rsidR="006864EF" w:rsidRPr="00650EE4" w:rsidRDefault="006864EF" w:rsidP="00332BCF">
      <w:pPr>
        <w:spacing w:line="240" w:lineRule="auto"/>
        <w:jc w:val="both"/>
        <w:rPr>
          <w:rFonts w:ascii="Times New Roman" w:eastAsia="Times New Roman" w:hAnsi="Times New Roman"/>
          <w:i/>
          <w:iCs/>
          <w:color w:val="000000" w:themeColor="text1"/>
          <w:sz w:val="20"/>
          <w:szCs w:val="20"/>
        </w:rPr>
      </w:pPr>
      <w:r w:rsidRPr="00650EE4">
        <w:rPr>
          <w:rFonts w:ascii="Times New Roman" w:hAnsi="Times New Roman"/>
          <w:i/>
          <w:iCs/>
          <w:color w:val="000000" w:themeColor="text1"/>
          <w:sz w:val="20"/>
          <w:szCs w:val="20"/>
        </w:rPr>
        <w:t xml:space="preserve">Šaltinis: </w:t>
      </w:r>
      <w:r w:rsidRPr="00650EE4">
        <w:rPr>
          <w:rFonts w:ascii="Times New Roman" w:eastAsia="Times New Roman" w:hAnsi="Times New Roman"/>
          <w:i/>
          <w:iCs/>
          <w:color w:val="000000" w:themeColor="text1"/>
          <w:sz w:val="20"/>
          <w:szCs w:val="20"/>
        </w:rPr>
        <w:t>Studijos</w:t>
      </w:r>
      <w:r w:rsidR="006D65CB">
        <w:rPr>
          <w:rFonts w:ascii="Times New Roman" w:eastAsia="Times New Roman" w:hAnsi="Times New Roman"/>
          <w:i/>
          <w:iCs/>
          <w:color w:val="000000" w:themeColor="text1"/>
          <w:sz w:val="20"/>
          <w:szCs w:val="20"/>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iCs/>
          <w:color w:val="000000" w:themeColor="text1"/>
          <w:sz w:val="20"/>
          <w:szCs w:val="20"/>
        </w:rPr>
        <w:t xml:space="preserve"> autoriai</w:t>
      </w:r>
    </w:p>
    <w:p w14:paraId="1A189FF8" w14:textId="77777777" w:rsidR="00CF687A" w:rsidRPr="00650EE4" w:rsidRDefault="00CF687A" w:rsidP="00FC50F8">
      <w:pPr>
        <w:spacing w:line="240" w:lineRule="auto"/>
        <w:jc w:val="both"/>
        <w:rPr>
          <w:rFonts w:ascii="Times New Roman" w:hAnsi="Times New Roman"/>
          <w:color w:val="000000" w:themeColor="text1"/>
          <w:szCs w:val="22"/>
        </w:rPr>
      </w:pPr>
    </w:p>
    <w:p w14:paraId="68596E5D" w14:textId="35538850" w:rsidR="00FC50F8" w:rsidRPr="00650EE4" w:rsidRDefault="00FC50F8" w:rsidP="00FC50F8">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Nors vakarinėje šalies dalyje juntama Baltijos jūros įtaka klimatui, pastatų energijos vartojimas nuo likusios šalies dalies skiriasi tik 2 proc. ribose</w:t>
      </w:r>
      <w:r w:rsidRPr="00650EE4">
        <w:rPr>
          <w:rStyle w:val="FootnoteReference"/>
          <w:rFonts w:ascii="Times New Roman" w:hAnsi="Times New Roman"/>
          <w:color w:val="000000" w:themeColor="text1"/>
          <w:szCs w:val="22"/>
        </w:rPr>
        <w:footnoteReference w:id="7"/>
      </w:r>
      <w:r w:rsidRPr="00650EE4">
        <w:rPr>
          <w:rFonts w:ascii="Times New Roman" w:hAnsi="Times New Roman"/>
          <w:color w:val="000000" w:themeColor="text1"/>
          <w:szCs w:val="22"/>
        </w:rPr>
        <w:t>. Kadangi skirtumai tarp vakarinės ir likusios šalies dalies energijos vartojimo nėra reikšmingi</w:t>
      </w:r>
      <w:r w:rsidR="00AB34ED" w:rsidRPr="00650EE4">
        <w:rPr>
          <w:rFonts w:ascii="Times New Roman" w:hAnsi="Times New Roman"/>
          <w:color w:val="000000" w:themeColor="text1"/>
          <w:szCs w:val="22"/>
        </w:rPr>
        <w:t xml:space="preserve">, o šiluminės energijos sąnaudos pastatui šildyti </w:t>
      </w:r>
      <w:r w:rsidR="004B71A9">
        <w:rPr>
          <w:rFonts w:ascii="Times New Roman" w:hAnsi="Times New Roman"/>
          <w:color w:val="000000" w:themeColor="text1"/>
          <w:szCs w:val="22"/>
        </w:rPr>
        <w:t>imamos</w:t>
      </w:r>
      <w:r w:rsidR="00AB34ED" w:rsidRPr="00650EE4">
        <w:rPr>
          <w:rFonts w:ascii="Times New Roman" w:hAnsi="Times New Roman"/>
          <w:color w:val="000000" w:themeColor="text1"/>
          <w:szCs w:val="22"/>
        </w:rPr>
        <w:t xml:space="preserve"> iš SPSC PEN sertifikatų registrų bazės, kurių skaičiavimo metodikoje naudojami vidutiniai Lietuvos klimato parametrai, </w:t>
      </w:r>
      <w:r w:rsidRPr="00650EE4">
        <w:rPr>
          <w:rFonts w:ascii="Times New Roman" w:hAnsi="Times New Roman"/>
          <w:color w:val="000000" w:themeColor="text1"/>
          <w:szCs w:val="22"/>
        </w:rPr>
        <w:t xml:space="preserve">visa Lietuvos teritorija ir IRS kontekste vertinama kaip viena klimatinė zona. </w:t>
      </w:r>
    </w:p>
    <w:p w14:paraId="1BDC2A8F" w14:textId="77777777" w:rsidR="00FC50F8" w:rsidRPr="00650EE4" w:rsidRDefault="00FC50F8" w:rsidP="00FC50F8">
      <w:pPr>
        <w:spacing w:line="240" w:lineRule="auto"/>
        <w:jc w:val="both"/>
        <w:rPr>
          <w:rFonts w:ascii="Times New Roman" w:eastAsia="Times New Roman" w:hAnsi="Times New Roman"/>
          <w:i/>
          <w:iCs/>
          <w:color w:val="000000" w:themeColor="text1"/>
          <w:sz w:val="20"/>
          <w:szCs w:val="20"/>
        </w:rPr>
      </w:pPr>
    </w:p>
    <w:p w14:paraId="548F908E" w14:textId="03DFBA72" w:rsidR="00D95A6C"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48" w:name="_Toc67925255"/>
      <w:r w:rsidR="007744C1">
        <w:t>7</w:t>
      </w:r>
      <w:r w:rsidRPr="00650EE4">
        <w:rPr>
          <w:noProof w:val="0"/>
        </w:rPr>
        <w:fldChar w:fldCharType="end"/>
      </w:r>
      <w:r w:rsidR="00192D95" w:rsidRPr="00650EE4">
        <w:rPr>
          <w:noProof w:val="0"/>
        </w:rPr>
        <w:t xml:space="preserve"> paveikslas</w:t>
      </w:r>
      <w:r w:rsidR="00D95A6C" w:rsidRPr="00650EE4">
        <w:rPr>
          <w:noProof w:val="0"/>
        </w:rPr>
        <w:t xml:space="preserve">. Šildymo ir vėsinimo </w:t>
      </w:r>
      <w:proofErr w:type="spellStart"/>
      <w:r w:rsidR="00D95A6C" w:rsidRPr="00650EE4">
        <w:rPr>
          <w:noProof w:val="0"/>
        </w:rPr>
        <w:t>dienolaipsnių</w:t>
      </w:r>
      <w:proofErr w:type="spellEnd"/>
      <w:r w:rsidR="00D95A6C" w:rsidRPr="00650EE4">
        <w:rPr>
          <w:noProof w:val="0"/>
        </w:rPr>
        <w:t xml:space="preserve"> stebėtos tendencijos EEE šalyse</w:t>
      </w:r>
      <w:bookmarkEnd w:id="48"/>
    </w:p>
    <w:p w14:paraId="22A98848" w14:textId="77777777" w:rsidR="00D95A6C" w:rsidRPr="00650EE4" w:rsidRDefault="00D95A6C" w:rsidP="00D95A6C">
      <w:pPr>
        <w:spacing w:line="240" w:lineRule="auto"/>
        <w:rPr>
          <w:rFonts w:ascii="Times New Roman" w:hAnsi="Times New Roman"/>
          <w:color w:val="000000" w:themeColor="text1"/>
          <w:sz w:val="24"/>
          <w:szCs w:val="24"/>
        </w:rPr>
      </w:pPr>
      <w:r w:rsidRPr="00650EE4">
        <w:rPr>
          <w:rFonts w:ascii="Times New Roman" w:hAnsi="Times New Roman"/>
          <w:noProof/>
          <w:lang w:eastAsia="lt-LT"/>
        </w:rPr>
        <w:drawing>
          <wp:inline distT="0" distB="0" distL="0" distR="0" wp14:anchorId="61B20539" wp14:editId="692B54AB">
            <wp:extent cx="5950429" cy="3864711"/>
            <wp:effectExtent l="19050" t="19050" r="12700" b="215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0429" cy="3864711"/>
                    </a:xfrm>
                    <a:prstGeom prst="rect">
                      <a:avLst/>
                    </a:prstGeom>
                    <a:noFill/>
                    <a:ln>
                      <a:solidFill>
                        <a:schemeClr val="tx1"/>
                      </a:solidFill>
                    </a:ln>
                  </pic:spPr>
                </pic:pic>
              </a:graphicData>
            </a:graphic>
          </wp:inline>
        </w:drawing>
      </w:r>
    </w:p>
    <w:p w14:paraId="5CDDECD3" w14:textId="3E8549E6" w:rsidR="00D95A6C" w:rsidRPr="00650EE4" w:rsidRDefault="00D95A6C" w:rsidP="00D95A6C">
      <w:pPr>
        <w:spacing w:line="240" w:lineRule="auto"/>
        <w:rPr>
          <w:rFonts w:ascii="Times New Roman" w:hAnsi="Times New Roman"/>
          <w:i/>
          <w:iCs/>
          <w:color w:val="0070C0"/>
          <w:sz w:val="20"/>
          <w:szCs w:val="20"/>
        </w:rPr>
      </w:pPr>
      <w:r w:rsidRPr="00650EE4">
        <w:rPr>
          <w:rFonts w:ascii="Times New Roman" w:hAnsi="Times New Roman"/>
          <w:i/>
          <w:iCs/>
          <w:color w:val="000000" w:themeColor="text1"/>
          <w:sz w:val="20"/>
          <w:szCs w:val="20"/>
        </w:rPr>
        <w:t>Šaltinis: Europos aplinkos agentūra,</w:t>
      </w:r>
      <w:r w:rsidR="003E0C4E" w:rsidRPr="003E0C4E">
        <w:t xml:space="preserve"> </w:t>
      </w:r>
      <w:hyperlink r:id="rId37" w:history="1">
        <w:r w:rsidR="003E0C4E" w:rsidRPr="00650EE4">
          <w:rPr>
            <w:rStyle w:val="Hyperlink"/>
            <w:rFonts w:ascii="Times New Roman" w:hAnsi="Times New Roman"/>
            <w:i/>
            <w:iCs/>
            <w:color w:val="0070C0"/>
            <w:sz w:val="20"/>
            <w:szCs w:val="20"/>
          </w:rPr>
          <w:t>https://www.eea.europa.eu/data-and-maps/figures/trend-in-heating-and-cooling-1</w:t>
        </w:r>
      </w:hyperlink>
      <w:r w:rsidR="003E0C4E">
        <w:rPr>
          <w:rFonts w:ascii="Times New Roman" w:hAnsi="Times New Roman"/>
          <w:i/>
          <w:iCs/>
          <w:color w:val="0070C0"/>
          <w:sz w:val="20"/>
          <w:szCs w:val="20"/>
        </w:rPr>
        <w:t xml:space="preserve"> </w:t>
      </w:r>
      <w:r w:rsidRPr="00650EE4">
        <w:rPr>
          <w:rFonts w:ascii="Times New Roman" w:hAnsi="Times New Roman"/>
          <w:i/>
          <w:iCs/>
          <w:color w:val="0070C0"/>
          <w:sz w:val="20"/>
          <w:szCs w:val="20"/>
        </w:rPr>
        <w:t xml:space="preserve"> </w:t>
      </w:r>
    </w:p>
    <w:p w14:paraId="48D33D1C" w14:textId="77777777" w:rsidR="00D95A6C" w:rsidRPr="00650EE4" w:rsidRDefault="00D95A6C" w:rsidP="00D95A6C">
      <w:pPr>
        <w:spacing w:line="240" w:lineRule="auto"/>
        <w:rPr>
          <w:rFonts w:ascii="Times New Roman" w:hAnsi="Times New Roman"/>
          <w:color w:val="000000" w:themeColor="text1"/>
          <w:szCs w:val="22"/>
        </w:rPr>
      </w:pPr>
    </w:p>
    <w:p w14:paraId="7DF27D94" w14:textId="7160CB5B" w:rsidR="00370FCC" w:rsidRPr="00650EE4" w:rsidRDefault="00370FCC" w:rsidP="00507AC9">
      <w:pPr>
        <w:pStyle w:val="Pagrindinispaprastastekstas"/>
        <w:spacing w:after="120"/>
        <w:rPr>
          <w:rFonts w:ascii="Times New Roman" w:hAnsi="Times New Roman"/>
          <w:b/>
          <w:szCs w:val="22"/>
        </w:rPr>
      </w:pPr>
      <w:r w:rsidRPr="00650EE4">
        <w:rPr>
          <w:rFonts w:ascii="Times New Roman" w:hAnsi="Times New Roman"/>
          <w:b/>
          <w:szCs w:val="22"/>
        </w:rPr>
        <w:t xml:space="preserve">Klimato kaitos prognozė </w:t>
      </w:r>
    </w:p>
    <w:p w14:paraId="7ADEA594" w14:textId="1FDAEB3C" w:rsidR="00AB34ED" w:rsidRPr="00650EE4" w:rsidRDefault="00AB34ED" w:rsidP="00370FCC">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Remiantis septintuoju Lietuvos Nacionaliniu pranešimu Jungtinių Tautų bendrosios klimato kaitos konvencijai prognozuojama, kad vidutinė maksimali ir minimali oro temperatūra XXI amžiuje Lietuvoje augs. Remiantis klimato prognozių studija, didžiausias vidutinės oro temperatūros kilimas numatomas šaltuoju metų laiku. </w:t>
      </w:r>
      <w:r w:rsidR="00C367FD" w:rsidRPr="00650EE4">
        <w:rPr>
          <w:rFonts w:ascii="Times New Roman" w:hAnsi="Times New Roman"/>
          <w:color w:val="000000" w:themeColor="text1"/>
          <w:szCs w:val="22"/>
          <w:lang w:val="lt-LT"/>
        </w:rPr>
        <w:t>Lietuvoje</w:t>
      </w:r>
      <w:r w:rsidRPr="00650EE4">
        <w:rPr>
          <w:rFonts w:ascii="Times New Roman" w:hAnsi="Times New Roman"/>
          <w:color w:val="000000" w:themeColor="text1"/>
          <w:szCs w:val="22"/>
          <w:lang w:val="lt-LT"/>
        </w:rPr>
        <w:t xml:space="preserve"> vidutinė oro temperatūra iki 2100 m. gali pakilti 1,5 – 5.1 °C, o atskirais mėnesiais šiaurės rytų Lietuvoje ir iki 7 °C. 2035 m. vidutinė oro temperatūra visoje </w:t>
      </w:r>
      <w:r w:rsidR="00C367FD" w:rsidRPr="00650EE4">
        <w:rPr>
          <w:rFonts w:ascii="Times New Roman" w:hAnsi="Times New Roman"/>
          <w:color w:val="000000" w:themeColor="text1"/>
          <w:szCs w:val="22"/>
          <w:lang w:val="lt-LT"/>
        </w:rPr>
        <w:t>Lietuvoje</w:t>
      </w:r>
      <w:r w:rsidRPr="00650EE4">
        <w:rPr>
          <w:rFonts w:ascii="Times New Roman" w:hAnsi="Times New Roman"/>
          <w:color w:val="000000" w:themeColor="text1"/>
          <w:szCs w:val="22"/>
          <w:lang w:val="lt-LT"/>
        </w:rPr>
        <w:t xml:space="preserve"> gali pakilti 1,1 – 1,4 °C.  Taip pat prognozuojama, kad šalti periodai (kai minimali oro temperatūra ≤ -20°C) pasitaikys tik sausio-vasario mėnesiais,</w:t>
      </w:r>
    </w:p>
    <w:p w14:paraId="21D232A8" w14:textId="77777777" w:rsidR="00AB34ED" w:rsidRPr="00650EE4" w:rsidRDefault="00AB34ED" w:rsidP="00370FCC">
      <w:pPr>
        <w:pStyle w:val="BodyText"/>
        <w:spacing w:line="240" w:lineRule="auto"/>
        <w:jc w:val="both"/>
        <w:rPr>
          <w:rFonts w:ascii="Times New Roman" w:hAnsi="Times New Roman"/>
          <w:color w:val="000000" w:themeColor="text1"/>
          <w:szCs w:val="22"/>
          <w:lang w:val="lt-LT"/>
        </w:rPr>
      </w:pPr>
    </w:p>
    <w:p w14:paraId="011FFEDB" w14:textId="7E165BFA" w:rsidR="00515036" w:rsidRPr="00650EE4" w:rsidRDefault="00AB34ED" w:rsidP="00751F8C">
      <w:pPr>
        <w:spacing w:after="24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Šylant klimatui, vidutinės oro temperatūros pokytis lems pirminės energijos pastatuose vartojimo sumažėjimą. Į šį faktorių atsižvelgta modeliuojant pirminės energijos vartojimo kitimo prognozę (žr. </w:t>
      </w:r>
      <w:r w:rsidR="006D65CB">
        <w:rPr>
          <w:rFonts w:ascii="Times New Roman" w:hAnsi="Times New Roman"/>
          <w:color w:val="000000" w:themeColor="text1"/>
          <w:szCs w:val="22"/>
        </w:rPr>
        <w:t>5</w:t>
      </w:r>
      <w:r w:rsidRPr="00650EE4">
        <w:rPr>
          <w:rFonts w:ascii="Times New Roman" w:hAnsi="Times New Roman"/>
          <w:color w:val="000000" w:themeColor="text1"/>
          <w:szCs w:val="22"/>
        </w:rPr>
        <w:t>.1.1 skyrių).</w:t>
      </w:r>
    </w:p>
    <w:p w14:paraId="63B8FE2B" w14:textId="656B6B80" w:rsidR="00540DBD" w:rsidRPr="00650EE4" w:rsidRDefault="00540DBD" w:rsidP="00023B00">
      <w:pPr>
        <w:pStyle w:val="Antrastes31"/>
        <w:numPr>
          <w:ilvl w:val="2"/>
          <w:numId w:val="4"/>
        </w:numPr>
        <w:spacing w:before="0"/>
        <w:ind w:left="720" w:hanging="720"/>
        <w:rPr>
          <w:rFonts w:ascii="Times New Roman" w:hAnsi="Times New Roman"/>
          <w:color w:val="000000" w:themeColor="text1"/>
          <w:sz w:val="24"/>
          <w:szCs w:val="24"/>
          <w:lang w:val="lt-LT"/>
        </w:rPr>
      </w:pPr>
      <w:bookmarkStart w:id="49" w:name="_Toc67925111"/>
      <w:r w:rsidRPr="00650EE4">
        <w:rPr>
          <w:rFonts w:ascii="Times New Roman" w:hAnsi="Times New Roman"/>
          <w:color w:val="000000" w:themeColor="text1"/>
          <w:sz w:val="24"/>
          <w:szCs w:val="24"/>
          <w:lang w:val="lt-LT"/>
        </w:rPr>
        <w:t>Šilum</w:t>
      </w:r>
      <w:r w:rsidR="00D83347" w:rsidRPr="00650EE4">
        <w:rPr>
          <w:rFonts w:ascii="Times New Roman" w:hAnsi="Times New Roman"/>
          <w:color w:val="000000" w:themeColor="text1"/>
          <w:sz w:val="24"/>
          <w:szCs w:val="24"/>
          <w:lang w:val="lt-LT"/>
        </w:rPr>
        <w:t>inė</w:t>
      </w:r>
      <w:r w:rsidRPr="00650EE4">
        <w:rPr>
          <w:rFonts w:ascii="Times New Roman" w:hAnsi="Times New Roman"/>
          <w:color w:val="000000" w:themeColor="text1"/>
          <w:sz w:val="24"/>
          <w:szCs w:val="24"/>
          <w:lang w:val="lt-LT"/>
        </w:rPr>
        <w:t>s energijos</w:t>
      </w:r>
      <w:r w:rsidR="00AD3A59" w:rsidRPr="00650EE4">
        <w:rPr>
          <w:rFonts w:ascii="Times New Roman" w:hAnsi="Times New Roman"/>
          <w:color w:val="000000" w:themeColor="text1"/>
          <w:sz w:val="24"/>
          <w:szCs w:val="24"/>
          <w:lang w:val="lt-LT"/>
        </w:rPr>
        <w:t xml:space="preserve"> </w:t>
      </w:r>
      <w:r w:rsidR="00171CE3" w:rsidRPr="00650EE4">
        <w:rPr>
          <w:rFonts w:ascii="Times New Roman" w:hAnsi="Times New Roman"/>
          <w:color w:val="000000" w:themeColor="text1"/>
          <w:sz w:val="24"/>
          <w:szCs w:val="24"/>
          <w:lang w:val="lt-LT"/>
        </w:rPr>
        <w:t xml:space="preserve">pastato </w:t>
      </w:r>
      <w:r w:rsidR="00AD3A59" w:rsidRPr="00650EE4">
        <w:rPr>
          <w:rFonts w:ascii="Times New Roman" w:hAnsi="Times New Roman"/>
          <w:color w:val="000000" w:themeColor="text1"/>
          <w:sz w:val="24"/>
          <w:szCs w:val="24"/>
          <w:lang w:val="lt-LT"/>
        </w:rPr>
        <w:t>šildymui</w:t>
      </w:r>
      <w:r w:rsidRPr="00650EE4">
        <w:rPr>
          <w:rFonts w:ascii="Times New Roman" w:hAnsi="Times New Roman"/>
          <w:color w:val="000000" w:themeColor="text1"/>
          <w:sz w:val="24"/>
          <w:szCs w:val="24"/>
          <w:lang w:val="lt-LT"/>
        </w:rPr>
        <w:t xml:space="preserve"> vartojimas</w:t>
      </w:r>
      <w:bookmarkEnd w:id="49"/>
      <w:r w:rsidR="00D62920" w:rsidRPr="00650EE4">
        <w:rPr>
          <w:rFonts w:ascii="Times New Roman" w:hAnsi="Times New Roman"/>
          <w:color w:val="000000" w:themeColor="text1"/>
          <w:sz w:val="24"/>
          <w:szCs w:val="24"/>
          <w:lang w:val="lt-LT"/>
        </w:rPr>
        <w:t xml:space="preserve"> </w:t>
      </w:r>
    </w:p>
    <w:p w14:paraId="100ED8AD" w14:textId="1FFC4D27" w:rsidR="00A45646" w:rsidRPr="00650EE4" w:rsidRDefault="00A45646" w:rsidP="00A45646">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Šiluminės energijos sąnaudos </w:t>
      </w:r>
      <w:r w:rsidR="009E0A0F" w:rsidRPr="00650EE4">
        <w:rPr>
          <w:rFonts w:ascii="Times New Roman" w:hAnsi="Times New Roman"/>
          <w:color w:val="000000" w:themeColor="text1"/>
          <w:szCs w:val="22"/>
          <w:lang w:val="lt-LT"/>
        </w:rPr>
        <w:t>pastatui šildyti</w:t>
      </w:r>
      <w:r w:rsidRPr="00650EE4">
        <w:rPr>
          <w:rFonts w:ascii="Times New Roman" w:hAnsi="Times New Roman"/>
          <w:color w:val="000000" w:themeColor="text1"/>
          <w:szCs w:val="22"/>
          <w:lang w:val="lt-LT"/>
        </w:rPr>
        <w:t xml:space="preserve"> apima:</w:t>
      </w:r>
    </w:p>
    <w:p w14:paraId="249B2C2E" w14:textId="7226634F"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iluminės energijos sąnaudas dėl pastato atitvarų nuostolių;</w:t>
      </w:r>
    </w:p>
    <w:p w14:paraId="6FFAB78D" w14:textId="73D2AF84" w:rsidR="00A45646" w:rsidRPr="00650EE4" w:rsidRDefault="006560B4" w:rsidP="00A45646">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 xml:space="preserve">iluminės energijos sąnaudas dėl pastato natūralaus ir mechaninio vėdinimo, dėl </w:t>
      </w:r>
      <w:proofErr w:type="spellStart"/>
      <w:r w:rsidR="00A45646" w:rsidRPr="00650EE4">
        <w:rPr>
          <w:rFonts w:ascii="Times New Roman" w:hAnsi="Times New Roman"/>
          <w:color w:val="000000" w:themeColor="text1"/>
          <w:szCs w:val="22"/>
        </w:rPr>
        <w:t>infiltracijos</w:t>
      </w:r>
      <w:proofErr w:type="spellEnd"/>
      <w:r w:rsidR="00A45646" w:rsidRPr="00650EE4">
        <w:rPr>
          <w:rFonts w:ascii="Times New Roman" w:hAnsi="Times New Roman"/>
          <w:color w:val="000000" w:themeColor="text1"/>
          <w:szCs w:val="22"/>
        </w:rPr>
        <w:t xml:space="preserve"> bei durų varstymo.</w:t>
      </w:r>
    </w:p>
    <w:p w14:paraId="78D1801D" w14:textId="77777777" w:rsidR="00A45646" w:rsidRPr="00650EE4" w:rsidRDefault="00A45646" w:rsidP="00A45646">
      <w:pPr>
        <w:pStyle w:val="Pagrindinispaprastastekstas"/>
        <w:rPr>
          <w:rFonts w:ascii="Times New Roman" w:hAnsi="Times New Roman"/>
          <w:color w:val="000000" w:themeColor="text1"/>
          <w:szCs w:val="22"/>
        </w:rPr>
      </w:pPr>
    </w:p>
    <w:p w14:paraId="2F6F88FE" w14:textId="77777777" w:rsidR="00A24B66" w:rsidRPr="00650EE4" w:rsidRDefault="00A24B66" w:rsidP="00D37763">
      <w:pPr>
        <w:pStyle w:val="BodyText"/>
        <w:spacing w:line="240" w:lineRule="auto"/>
        <w:jc w:val="both"/>
        <w:rPr>
          <w:rFonts w:ascii="Times New Roman" w:hAnsi="Times New Roman"/>
          <w:color w:val="000000" w:themeColor="text1"/>
          <w:szCs w:val="22"/>
          <w:lang w:val="lt-LT"/>
        </w:rPr>
      </w:pPr>
    </w:p>
    <w:p w14:paraId="497F3DF4" w14:textId="2643FD35" w:rsidR="00612397" w:rsidRPr="00650EE4" w:rsidRDefault="00612397" w:rsidP="00D37763">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 xml:space="preserve">Lentelėje žemiau pateikiamas </w:t>
      </w:r>
      <w:r w:rsidR="004962BD" w:rsidRPr="00650EE4">
        <w:rPr>
          <w:rFonts w:ascii="Times New Roman" w:hAnsi="Times New Roman"/>
          <w:color w:val="000000" w:themeColor="text1"/>
          <w:szCs w:val="22"/>
          <w:lang w:val="lt-LT"/>
        </w:rPr>
        <w:t xml:space="preserve">skaičiuotinas </w:t>
      </w:r>
      <w:r w:rsidR="006560B4">
        <w:rPr>
          <w:rFonts w:ascii="Times New Roman" w:hAnsi="Times New Roman"/>
          <w:color w:val="000000" w:themeColor="text1"/>
          <w:szCs w:val="22"/>
          <w:lang w:val="lt-LT"/>
        </w:rPr>
        <w:t>p</w:t>
      </w:r>
      <w:r w:rsidRPr="00650EE4">
        <w:rPr>
          <w:rFonts w:ascii="Times New Roman" w:hAnsi="Times New Roman"/>
          <w:color w:val="000000" w:themeColor="text1"/>
          <w:szCs w:val="22"/>
          <w:lang w:val="lt-LT"/>
        </w:rPr>
        <w:t>astatų fondo metini</w:t>
      </w:r>
      <w:r w:rsidR="00BF41F4"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šiluminės energijos </w:t>
      </w:r>
      <w:r w:rsidR="00954D06" w:rsidRPr="00650EE4">
        <w:rPr>
          <w:rFonts w:ascii="Times New Roman" w:hAnsi="Times New Roman"/>
          <w:color w:val="000000" w:themeColor="text1"/>
          <w:szCs w:val="22"/>
          <w:lang w:val="lt-LT"/>
        </w:rPr>
        <w:t xml:space="preserve">pastato </w:t>
      </w:r>
      <w:r w:rsidRPr="00650EE4">
        <w:rPr>
          <w:rFonts w:ascii="Times New Roman" w:hAnsi="Times New Roman"/>
          <w:color w:val="000000" w:themeColor="text1"/>
          <w:szCs w:val="22"/>
          <w:lang w:val="lt-LT"/>
        </w:rPr>
        <w:t>šildymui vartojimas pagal energ</w:t>
      </w:r>
      <w:r w:rsidR="00BF41F4" w:rsidRPr="00650EE4">
        <w:rPr>
          <w:rFonts w:ascii="Times New Roman" w:hAnsi="Times New Roman"/>
          <w:color w:val="000000" w:themeColor="text1"/>
          <w:szCs w:val="22"/>
          <w:lang w:val="lt-LT"/>
        </w:rPr>
        <w:t>inio naudingumo</w:t>
      </w:r>
      <w:r w:rsidRPr="00650EE4">
        <w:rPr>
          <w:rFonts w:ascii="Times New Roman" w:hAnsi="Times New Roman"/>
          <w:color w:val="000000" w:themeColor="text1"/>
          <w:szCs w:val="22"/>
          <w:lang w:val="lt-LT"/>
        </w:rPr>
        <w:t xml:space="preserve"> klasę, </w:t>
      </w:r>
      <w:proofErr w:type="spellStart"/>
      <w:r w:rsidRPr="00650EE4">
        <w:rPr>
          <w:rFonts w:ascii="Times New Roman" w:hAnsi="Times New Roman"/>
          <w:color w:val="000000" w:themeColor="text1"/>
          <w:szCs w:val="22"/>
          <w:lang w:val="lt-LT"/>
        </w:rPr>
        <w:t>GWh</w:t>
      </w:r>
      <w:proofErr w:type="spellEnd"/>
      <w:r w:rsidRPr="00650EE4">
        <w:rPr>
          <w:rFonts w:ascii="Times New Roman" w:hAnsi="Times New Roman"/>
          <w:color w:val="000000" w:themeColor="text1"/>
          <w:szCs w:val="22"/>
          <w:lang w:val="lt-LT"/>
        </w:rPr>
        <w:t xml:space="preserve">. </w:t>
      </w:r>
    </w:p>
    <w:p w14:paraId="0B06DC10" w14:textId="3178A5C3" w:rsidR="004D3013" w:rsidRPr="00650EE4" w:rsidRDefault="004D3013" w:rsidP="00D37763">
      <w:pPr>
        <w:spacing w:line="240" w:lineRule="auto"/>
        <w:jc w:val="both"/>
        <w:rPr>
          <w:rFonts w:ascii="Times New Roman" w:hAnsi="Times New Roman"/>
          <w:color w:val="000000" w:themeColor="text1"/>
          <w:szCs w:val="22"/>
        </w:rPr>
      </w:pPr>
    </w:p>
    <w:p w14:paraId="2134FAF3" w14:textId="47A3A1BC" w:rsidR="004D301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50" w:name="_Toc67925200"/>
      <w:r w:rsidR="007744C1">
        <w:t>17</w:t>
      </w:r>
      <w:r w:rsidRPr="00650EE4">
        <w:rPr>
          <w:noProof w:val="0"/>
        </w:rPr>
        <w:fldChar w:fldCharType="end"/>
      </w:r>
      <w:r w:rsidR="001E6DEB" w:rsidRPr="00650EE4">
        <w:rPr>
          <w:noProof w:val="0"/>
        </w:rPr>
        <w:t xml:space="preserve"> lentelė</w:t>
      </w:r>
      <w:r w:rsidR="004D3013" w:rsidRPr="00650EE4">
        <w:rPr>
          <w:noProof w:val="0"/>
        </w:rPr>
        <w:t>. Pastatų fondo šiluminės energijos</w:t>
      </w:r>
      <w:r w:rsidR="00D94126" w:rsidRPr="00650EE4">
        <w:rPr>
          <w:noProof w:val="0"/>
        </w:rPr>
        <w:t xml:space="preserve"> pastato</w:t>
      </w:r>
      <w:r w:rsidR="004D3013" w:rsidRPr="00650EE4">
        <w:rPr>
          <w:noProof w:val="0"/>
        </w:rPr>
        <w:t xml:space="preserve"> šildymui vartojimas pagal </w:t>
      </w:r>
      <w:r w:rsidR="009209CF" w:rsidRPr="00650EE4">
        <w:rPr>
          <w:noProof w:val="0"/>
        </w:rPr>
        <w:t>ENK</w:t>
      </w:r>
      <w:r w:rsidR="004D3013" w:rsidRPr="00650EE4">
        <w:rPr>
          <w:noProof w:val="0"/>
        </w:rPr>
        <w:t xml:space="preserve"> (</w:t>
      </w:r>
      <w:proofErr w:type="spellStart"/>
      <w:r w:rsidR="004D3013" w:rsidRPr="00650EE4">
        <w:rPr>
          <w:noProof w:val="0"/>
        </w:rPr>
        <w:t>GWh</w:t>
      </w:r>
      <w:proofErr w:type="spellEnd"/>
      <w:r w:rsidR="004D3013" w:rsidRPr="00650EE4">
        <w:rPr>
          <w:noProof w:val="0"/>
        </w:rPr>
        <w:t>)</w:t>
      </w:r>
      <w:bookmarkEnd w:id="50"/>
    </w:p>
    <w:tbl>
      <w:tblPr>
        <w:tblW w:w="5000" w:type="pct"/>
        <w:tblLook w:val="04A0" w:firstRow="1" w:lastRow="0" w:firstColumn="1" w:lastColumn="0" w:noHBand="0" w:noVBand="1"/>
      </w:tblPr>
      <w:tblGrid>
        <w:gridCol w:w="1910"/>
        <w:gridCol w:w="1097"/>
        <w:gridCol w:w="1098"/>
        <w:gridCol w:w="1098"/>
        <w:gridCol w:w="1098"/>
        <w:gridCol w:w="1098"/>
        <w:gridCol w:w="1100"/>
        <w:gridCol w:w="971"/>
        <w:gridCol w:w="950"/>
      </w:tblGrid>
      <w:tr w:rsidR="00A41E21" w:rsidRPr="00650EE4" w14:paraId="4FD9705E" w14:textId="77777777" w:rsidTr="00B95CC6">
        <w:tc>
          <w:tcPr>
            <w:tcW w:w="916"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6C1902A0"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161"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686AA71" w14:textId="60B8389B"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w:t>
            </w:r>
            <w:r w:rsidR="0058602A" w:rsidRPr="00650EE4">
              <w:rPr>
                <w:rFonts w:ascii="Times New Roman" w:eastAsia="Times New Roman" w:hAnsi="Times New Roman"/>
                <w:b/>
                <w:bCs/>
                <w:sz w:val="20"/>
                <w:szCs w:val="20"/>
              </w:rPr>
              <w:t>inio naudingumo</w:t>
            </w:r>
            <w:r w:rsidRPr="00650EE4">
              <w:rPr>
                <w:rFonts w:ascii="Times New Roman" w:eastAsia="Times New Roman" w:hAnsi="Times New Roman"/>
                <w:b/>
                <w:bCs/>
                <w:sz w:val="20"/>
                <w:szCs w:val="20"/>
              </w:rPr>
              <w:t xml:space="preserve"> klasė</w:t>
            </w:r>
          </w:p>
        </w:tc>
        <w:tc>
          <w:tcPr>
            <w:tcW w:w="466" w:type="pct"/>
            <w:vMerge w:val="restart"/>
            <w:tcBorders>
              <w:top w:val="single" w:sz="4" w:space="0" w:color="auto"/>
              <w:left w:val="nil"/>
              <w:bottom w:val="single" w:sz="4" w:space="0" w:color="000000"/>
              <w:right w:val="nil"/>
            </w:tcBorders>
            <w:shd w:val="clear" w:color="000000" w:fill="FFFFFF"/>
            <w:vAlign w:val="center"/>
            <w:hideMark/>
          </w:tcPr>
          <w:p w14:paraId="47455D55"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B1A6D21"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A41E21" w:rsidRPr="00650EE4" w14:paraId="52D35798" w14:textId="77777777" w:rsidTr="00B95CC6">
        <w:tc>
          <w:tcPr>
            <w:tcW w:w="916" w:type="pct"/>
            <w:vMerge/>
            <w:tcBorders>
              <w:top w:val="single" w:sz="4" w:space="0" w:color="auto"/>
              <w:left w:val="single" w:sz="4" w:space="0" w:color="auto"/>
              <w:bottom w:val="single" w:sz="4" w:space="0" w:color="000000"/>
              <w:right w:val="nil"/>
            </w:tcBorders>
            <w:vAlign w:val="center"/>
            <w:hideMark/>
          </w:tcPr>
          <w:p w14:paraId="63B896C5" w14:textId="77777777" w:rsidR="00A41E21" w:rsidRPr="00650EE4" w:rsidRDefault="00A41E21" w:rsidP="00A41E21">
            <w:pPr>
              <w:spacing w:line="240" w:lineRule="auto"/>
              <w:rPr>
                <w:rFonts w:ascii="Times New Roman" w:eastAsia="Times New Roman" w:hAnsi="Times New Roman"/>
                <w:b/>
                <w:bCs/>
                <w:sz w:val="20"/>
                <w:szCs w:val="20"/>
              </w:rPr>
            </w:pPr>
          </w:p>
        </w:tc>
        <w:tc>
          <w:tcPr>
            <w:tcW w:w="526" w:type="pct"/>
            <w:tcBorders>
              <w:top w:val="nil"/>
              <w:left w:val="single" w:sz="4" w:space="0" w:color="auto"/>
              <w:bottom w:val="single" w:sz="4" w:space="0" w:color="auto"/>
              <w:right w:val="nil"/>
            </w:tcBorders>
            <w:shd w:val="clear" w:color="000000" w:fill="FFFFFF"/>
            <w:vAlign w:val="center"/>
            <w:hideMark/>
          </w:tcPr>
          <w:p w14:paraId="3B7CEE7D" w14:textId="5B6DC1F7" w:rsidR="00A41E21" w:rsidRPr="00650EE4" w:rsidRDefault="006A724E"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27" w:type="pct"/>
            <w:tcBorders>
              <w:top w:val="nil"/>
              <w:left w:val="nil"/>
              <w:bottom w:val="single" w:sz="4" w:space="0" w:color="auto"/>
              <w:right w:val="nil"/>
            </w:tcBorders>
            <w:shd w:val="clear" w:color="000000" w:fill="FFFFFF"/>
            <w:vAlign w:val="center"/>
            <w:hideMark/>
          </w:tcPr>
          <w:p w14:paraId="42D612F8"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27" w:type="pct"/>
            <w:tcBorders>
              <w:top w:val="nil"/>
              <w:left w:val="nil"/>
              <w:bottom w:val="single" w:sz="4" w:space="0" w:color="auto"/>
              <w:right w:val="nil"/>
            </w:tcBorders>
            <w:shd w:val="clear" w:color="000000" w:fill="FFFFFF"/>
            <w:vAlign w:val="center"/>
            <w:hideMark/>
          </w:tcPr>
          <w:p w14:paraId="29A27A9A"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27" w:type="pct"/>
            <w:tcBorders>
              <w:top w:val="nil"/>
              <w:left w:val="nil"/>
              <w:bottom w:val="single" w:sz="4" w:space="0" w:color="auto"/>
              <w:right w:val="nil"/>
            </w:tcBorders>
            <w:shd w:val="clear" w:color="000000" w:fill="FFFFFF"/>
            <w:vAlign w:val="center"/>
            <w:hideMark/>
          </w:tcPr>
          <w:p w14:paraId="59463CDC"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27" w:type="pct"/>
            <w:tcBorders>
              <w:top w:val="nil"/>
              <w:left w:val="nil"/>
              <w:bottom w:val="single" w:sz="4" w:space="0" w:color="auto"/>
              <w:right w:val="nil"/>
            </w:tcBorders>
            <w:shd w:val="clear" w:color="000000" w:fill="FFFFFF"/>
            <w:vAlign w:val="center"/>
            <w:hideMark/>
          </w:tcPr>
          <w:p w14:paraId="7699B8BB"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28" w:type="pct"/>
            <w:tcBorders>
              <w:top w:val="nil"/>
              <w:left w:val="nil"/>
              <w:bottom w:val="single" w:sz="4" w:space="0" w:color="auto"/>
              <w:right w:val="single" w:sz="4" w:space="0" w:color="auto"/>
            </w:tcBorders>
            <w:shd w:val="clear" w:color="000000" w:fill="FFFFFF"/>
            <w:vAlign w:val="center"/>
            <w:hideMark/>
          </w:tcPr>
          <w:p w14:paraId="0250E4F5"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66" w:type="pct"/>
            <w:vMerge/>
            <w:tcBorders>
              <w:top w:val="single" w:sz="4" w:space="0" w:color="auto"/>
              <w:left w:val="nil"/>
              <w:bottom w:val="single" w:sz="4" w:space="0" w:color="000000"/>
              <w:right w:val="nil"/>
            </w:tcBorders>
            <w:vAlign w:val="center"/>
            <w:hideMark/>
          </w:tcPr>
          <w:p w14:paraId="746C4AC4" w14:textId="77777777" w:rsidR="00A41E21" w:rsidRPr="00650EE4" w:rsidRDefault="00A41E21" w:rsidP="00A41E21">
            <w:pPr>
              <w:spacing w:line="240" w:lineRule="auto"/>
              <w:rPr>
                <w:rFonts w:ascii="Times New Roman" w:eastAsia="Times New Roman" w:hAnsi="Times New Roman"/>
                <w:b/>
                <w:bCs/>
                <w:sz w:val="20"/>
                <w:szCs w:val="20"/>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797D3125" w14:textId="77777777" w:rsidR="00A41E21" w:rsidRPr="00650EE4" w:rsidRDefault="00A41E21" w:rsidP="00A41E21">
            <w:pPr>
              <w:spacing w:line="240" w:lineRule="auto"/>
              <w:rPr>
                <w:rFonts w:ascii="Times New Roman" w:eastAsia="Times New Roman" w:hAnsi="Times New Roman"/>
                <w:b/>
                <w:bCs/>
                <w:sz w:val="20"/>
                <w:szCs w:val="20"/>
              </w:rPr>
            </w:pPr>
          </w:p>
        </w:tc>
      </w:tr>
      <w:tr w:rsidR="00E02F48" w:rsidRPr="00650EE4" w14:paraId="0681F3A6" w14:textId="77777777" w:rsidTr="00B95CC6">
        <w:tc>
          <w:tcPr>
            <w:tcW w:w="916" w:type="pct"/>
            <w:tcBorders>
              <w:top w:val="nil"/>
              <w:left w:val="single" w:sz="4" w:space="0" w:color="auto"/>
              <w:bottom w:val="single" w:sz="4" w:space="0" w:color="auto"/>
              <w:right w:val="nil"/>
            </w:tcBorders>
            <w:shd w:val="clear" w:color="000000" w:fill="F2F2F2"/>
            <w:noWrap/>
            <w:vAlign w:val="center"/>
            <w:hideMark/>
          </w:tcPr>
          <w:p w14:paraId="10D44580"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26" w:type="pct"/>
            <w:tcBorders>
              <w:top w:val="nil"/>
              <w:left w:val="single" w:sz="4" w:space="0" w:color="auto"/>
              <w:bottom w:val="single" w:sz="4" w:space="0" w:color="auto"/>
              <w:right w:val="nil"/>
            </w:tcBorders>
            <w:shd w:val="clear" w:color="000000" w:fill="F2F2F2"/>
            <w:noWrap/>
            <w:vAlign w:val="center"/>
            <w:hideMark/>
          </w:tcPr>
          <w:p w14:paraId="3A7B0CD4"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10.517</w:t>
            </w:r>
          </w:p>
        </w:tc>
        <w:tc>
          <w:tcPr>
            <w:tcW w:w="527" w:type="pct"/>
            <w:tcBorders>
              <w:top w:val="nil"/>
              <w:left w:val="nil"/>
              <w:bottom w:val="single" w:sz="4" w:space="0" w:color="auto"/>
              <w:right w:val="nil"/>
            </w:tcBorders>
            <w:shd w:val="clear" w:color="000000" w:fill="F2F2F2"/>
            <w:noWrap/>
            <w:vAlign w:val="center"/>
            <w:hideMark/>
          </w:tcPr>
          <w:p w14:paraId="1DA7E5E1"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2.085</w:t>
            </w:r>
          </w:p>
        </w:tc>
        <w:tc>
          <w:tcPr>
            <w:tcW w:w="527" w:type="pct"/>
            <w:tcBorders>
              <w:top w:val="nil"/>
              <w:left w:val="nil"/>
              <w:bottom w:val="single" w:sz="4" w:space="0" w:color="auto"/>
              <w:right w:val="nil"/>
            </w:tcBorders>
            <w:shd w:val="clear" w:color="000000" w:fill="F2F2F2"/>
            <w:noWrap/>
            <w:vAlign w:val="center"/>
            <w:hideMark/>
          </w:tcPr>
          <w:p w14:paraId="4D2A9971"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799</w:t>
            </w:r>
          </w:p>
        </w:tc>
        <w:tc>
          <w:tcPr>
            <w:tcW w:w="527" w:type="pct"/>
            <w:tcBorders>
              <w:top w:val="nil"/>
              <w:left w:val="nil"/>
              <w:bottom w:val="single" w:sz="4" w:space="0" w:color="auto"/>
              <w:right w:val="nil"/>
            </w:tcBorders>
            <w:shd w:val="clear" w:color="000000" w:fill="F2F2F2"/>
            <w:noWrap/>
            <w:vAlign w:val="center"/>
            <w:hideMark/>
          </w:tcPr>
          <w:p w14:paraId="764D606F"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65</w:t>
            </w:r>
          </w:p>
        </w:tc>
        <w:tc>
          <w:tcPr>
            <w:tcW w:w="527" w:type="pct"/>
            <w:tcBorders>
              <w:top w:val="nil"/>
              <w:left w:val="nil"/>
              <w:bottom w:val="single" w:sz="4" w:space="0" w:color="auto"/>
              <w:right w:val="nil"/>
            </w:tcBorders>
            <w:shd w:val="clear" w:color="000000" w:fill="F2F2F2"/>
            <w:noWrap/>
            <w:vAlign w:val="center"/>
            <w:hideMark/>
          </w:tcPr>
          <w:p w14:paraId="1179811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w:t>
            </w:r>
          </w:p>
        </w:tc>
        <w:tc>
          <w:tcPr>
            <w:tcW w:w="528" w:type="pct"/>
            <w:tcBorders>
              <w:top w:val="nil"/>
              <w:left w:val="nil"/>
              <w:bottom w:val="single" w:sz="4" w:space="0" w:color="auto"/>
              <w:right w:val="single" w:sz="4" w:space="0" w:color="auto"/>
            </w:tcBorders>
            <w:shd w:val="clear" w:color="000000" w:fill="F2F2F2"/>
            <w:noWrap/>
            <w:vAlign w:val="center"/>
            <w:hideMark/>
          </w:tcPr>
          <w:p w14:paraId="7D5AA92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0</w:t>
            </w:r>
          </w:p>
        </w:tc>
        <w:tc>
          <w:tcPr>
            <w:tcW w:w="466" w:type="pct"/>
            <w:tcBorders>
              <w:top w:val="nil"/>
              <w:left w:val="nil"/>
              <w:bottom w:val="single" w:sz="4" w:space="0" w:color="auto"/>
              <w:right w:val="nil"/>
            </w:tcBorders>
            <w:shd w:val="clear" w:color="000000" w:fill="F2F2F2"/>
            <w:noWrap/>
            <w:vAlign w:val="center"/>
            <w:hideMark/>
          </w:tcPr>
          <w:p w14:paraId="1A18D7F3"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13.473</w:t>
            </w:r>
          </w:p>
        </w:tc>
        <w:tc>
          <w:tcPr>
            <w:tcW w:w="457" w:type="pct"/>
            <w:tcBorders>
              <w:top w:val="nil"/>
              <w:left w:val="single" w:sz="4" w:space="0" w:color="auto"/>
              <w:bottom w:val="single" w:sz="4" w:space="0" w:color="auto"/>
              <w:right w:val="single" w:sz="4" w:space="0" w:color="auto"/>
            </w:tcBorders>
            <w:shd w:val="clear" w:color="000000" w:fill="F2F2F2"/>
            <w:noWrap/>
            <w:vAlign w:val="center"/>
            <w:hideMark/>
          </w:tcPr>
          <w:p w14:paraId="46214C8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67%</w:t>
            </w:r>
          </w:p>
        </w:tc>
      </w:tr>
      <w:tr w:rsidR="00A41E21" w:rsidRPr="00650EE4" w14:paraId="2D42FD60" w14:textId="77777777" w:rsidTr="00B95CC6">
        <w:tc>
          <w:tcPr>
            <w:tcW w:w="916" w:type="pct"/>
            <w:tcBorders>
              <w:top w:val="nil"/>
              <w:left w:val="single" w:sz="4" w:space="0" w:color="auto"/>
              <w:bottom w:val="nil"/>
              <w:right w:val="nil"/>
            </w:tcBorders>
            <w:shd w:val="clear" w:color="000000" w:fill="FFFFFF"/>
            <w:noWrap/>
            <w:vAlign w:val="center"/>
            <w:hideMark/>
          </w:tcPr>
          <w:p w14:paraId="426CCC8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26" w:type="pct"/>
            <w:tcBorders>
              <w:top w:val="nil"/>
              <w:left w:val="single" w:sz="4" w:space="0" w:color="auto"/>
              <w:bottom w:val="nil"/>
              <w:right w:val="nil"/>
            </w:tcBorders>
            <w:shd w:val="clear" w:color="000000" w:fill="FFFFFF"/>
            <w:noWrap/>
            <w:vAlign w:val="center"/>
            <w:hideMark/>
          </w:tcPr>
          <w:p w14:paraId="62EFD4E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6.811</w:t>
            </w:r>
          </w:p>
        </w:tc>
        <w:tc>
          <w:tcPr>
            <w:tcW w:w="527" w:type="pct"/>
            <w:tcBorders>
              <w:top w:val="nil"/>
              <w:left w:val="nil"/>
              <w:bottom w:val="nil"/>
              <w:right w:val="nil"/>
            </w:tcBorders>
            <w:shd w:val="clear" w:color="000000" w:fill="FFFFFF"/>
            <w:noWrap/>
            <w:vAlign w:val="center"/>
            <w:hideMark/>
          </w:tcPr>
          <w:p w14:paraId="25C764A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1.743</w:t>
            </w:r>
          </w:p>
        </w:tc>
        <w:tc>
          <w:tcPr>
            <w:tcW w:w="527" w:type="pct"/>
            <w:tcBorders>
              <w:top w:val="nil"/>
              <w:left w:val="nil"/>
              <w:bottom w:val="nil"/>
              <w:right w:val="nil"/>
            </w:tcBorders>
            <w:shd w:val="clear" w:color="000000" w:fill="FFFFFF"/>
            <w:noWrap/>
            <w:vAlign w:val="center"/>
            <w:hideMark/>
          </w:tcPr>
          <w:p w14:paraId="6D6E3AF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474</w:t>
            </w:r>
          </w:p>
        </w:tc>
        <w:tc>
          <w:tcPr>
            <w:tcW w:w="527" w:type="pct"/>
            <w:tcBorders>
              <w:top w:val="nil"/>
              <w:left w:val="nil"/>
              <w:bottom w:val="nil"/>
              <w:right w:val="nil"/>
            </w:tcBorders>
            <w:shd w:val="clear" w:color="000000" w:fill="FFFFFF"/>
            <w:noWrap/>
            <w:vAlign w:val="center"/>
            <w:hideMark/>
          </w:tcPr>
          <w:p w14:paraId="38D98BD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56</w:t>
            </w:r>
          </w:p>
        </w:tc>
        <w:tc>
          <w:tcPr>
            <w:tcW w:w="527" w:type="pct"/>
            <w:tcBorders>
              <w:top w:val="nil"/>
              <w:left w:val="nil"/>
              <w:bottom w:val="nil"/>
              <w:right w:val="nil"/>
            </w:tcBorders>
            <w:shd w:val="clear" w:color="000000" w:fill="FFFFFF"/>
            <w:noWrap/>
            <w:vAlign w:val="center"/>
            <w:hideMark/>
          </w:tcPr>
          <w:p w14:paraId="0CD7B80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28" w:type="pct"/>
            <w:tcBorders>
              <w:top w:val="nil"/>
              <w:left w:val="nil"/>
              <w:bottom w:val="nil"/>
              <w:right w:val="single" w:sz="4" w:space="0" w:color="auto"/>
            </w:tcBorders>
            <w:shd w:val="clear" w:color="000000" w:fill="FFFFFF"/>
            <w:noWrap/>
            <w:vAlign w:val="center"/>
            <w:hideMark/>
          </w:tcPr>
          <w:p w14:paraId="4ABB284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0905EA5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9.089</w:t>
            </w:r>
          </w:p>
        </w:tc>
        <w:tc>
          <w:tcPr>
            <w:tcW w:w="457" w:type="pct"/>
            <w:tcBorders>
              <w:top w:val="nil"/>
              <w:left w:val="single" w:sz="4" w:space="0" w:color="auto"/>
              <w:bottom w:val="nil"/>
              <w:right w:val="single" w:sz="4" w:space="0" w:color="auto"/>
            </w:tcBorders>
            <w:shd w:val="clear" w:color="000000" w:fill="FFFFFF"/>
            <w:noWrap/>
            <w:vAlign w:val="center"/>
            <w:hideMark/>
          </w:tcPr>
          <w:p w14:paraId="42FADED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r>
      <w:tr w:rsidR="00A41E21" w:rsidRPr="00650EE4" w14:paraId="172A6360" w14:textId="77777777" w:rsidTr="00B95CC6">
        <w:tc>
          <w:tcPr>
            <w:tcW w:w="916" w:type="pct"/>
            <w:tcBorders>
              <w:top w:val="nil"/>
              <w:left w:val="single" w:sz="4" w:space="0" w:color="auto"/>
              <w:bottom w:val="nil"/>
              <w:right w:val="nil"/>
            </w:tcBorders>
            <w:shd w:val="clear" w:color="000000" w:fill="FFFFFF"/>
            <w:noWrap/>
            <w:vAlign w:val="center"/>
            <w:hideMark/>
          </w:tcPr>
          <w:p w14:paraId="7DFF129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26" w:type="pct"/>
            <w:tcBorders>
              <w:top w:val="nil"/>
              <w:left w:val="single" w:sz="4" w:space="0" w:color="auto"/>
              <w:bottom w:val="nil"/>
              <w:right w:val="nil"/>
            </w:tcBorders>
            <w:shd w:val="clear" w:color="000000" w:fill="FFFFFF"/>
            <w:noWrap/>
            <w:vAlign w:val="center"/>
            <w:hideMark/>
          </w:tcPr>
          <w:p w14:paraId="3D79B02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3.706</w:t>
            </w:r>
          </w:p>
        </w:tc>
        <w:tc>
          <w:tcPr>
            <w:tcW w:w="527" w:type="pct"/>
            <w:tcBorders>
              <w:top w:val="nil"/>
              <w:left w:val="nil"/>
              <w:bottom w:val="nil"/>
              <w:right w:val="nil"/>
            </w:tcBorders>
            <w:shd w:val="clear" w:color="000000" w:fill="FFFFFF"/>
            <w:noWrap/>
            <w:vAlign w:val="center"/>
            <w:hideMark/>
          </w:tcPr>
          <w:p w14:paraId="0066CA8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342</w:t>
            </w:r>
          </w:p>
        </w:tc>
        <w:tc>
          <w:tcPr>
            <w:tcW w:w="527" w:type="pct"/>
            <w:tcBorders>
              <w:top w:val="nil"/>
              <w:left w:val="nil"/>
              <w:bottom w:val="nil"/>
              <w:right w:val="nil"/>
            </w:tcBorders>
            <w:shd w:val="clear" w:color="000000" w:fill="FFFFFF"/>
            <w:noWrap/>
            <w:vAlign w:val="center"/>
            <w:hideMark/>
          </w:tcPr>
          <w:p w14:paraId="0273EC5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325</w:t>
            </w:r>
          </w:p>
        </w:tc>
        <w:tc>
          <w:tcPr>
            <w:tcW w:w="527" w:type="pct"/>
            <w:tcBorders>
              <w:top w:val="nil"/>
              <w:left w:val="nil"/>
              <w:bottom w:val="nil"/>
              <w:right w:val="nil"/>
            </w:tcBorders>
            <w:shd w:val="clear" w:color="000000" w:fill="FFFFFF"/>
            <w:noWrap/>
            <w:vAlign w:val="center"/>
            <w:hideMark/>
          </w:tcPr>
          <w:p w14:paraId="343E9CE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27" w:type="pct"/>
            <w:tcBorders>
              <w:top w:val="nil"/>
              <w:left w:val="nil"/>
              <w:bottom w:val="nil"/>
              <w:right w:val="nil"/>
            </w:tcBorders>
            <w:shd w:val="clear" w:color="000000" w:fill="FFFFFF"/>
            <w:noWrap/>
            <w:vAlign w:val="center"/>
            <w:hideMark/>
          </w:tcPr>
          <w:p w14:paraId="6115FCD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8" w:type="pct"/>
            <w:tcBorders>
              <w:top w:val="nil"/>
              <w:left w:val="nil"/>
              <w:bottom w:val="nil"/>
              <w:right w:val="single" w:sz="4" w:space="0" w:color="auto"/>
            </w:tcBorders>
            <w:shd w:val="clear" w:color="000000" w:fill="FFFFFF"/>
            <w:noWrap/>
            <w:vAlign w:val="center"/>
            <w:hideMark/>
          </w:tcPr>
          <w:p w14:paraId="23924B4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E5F436E"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4.384</w:t>
            </w:r>
          </w:p>
        </w:tc>
        <w:tc>
          <w:tcPr>
            <w:tcW w:w="457" w:type="pct"/>
            <w:tcBorders>
              <w:top w:val="nil"/>
              <w:left w:val="single" w:sz="4" w:space="0" w:color="auto"/>
              <w:bottom w:val="nil"/>
              <w:right w:val="single" w:sz="4" w:space="0" w:color="auto"/>
            </w:tcBorders>
            <w:shd w:val="clear" w:color="000000" w:fill="FFFFFF"/>
            <w:noWrap/>
            <w:vAlign w:val="center"/>
            <w:hideMark/>
          </w:tcPr>
          <w:p w14:paraId="67AA9BD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r>
      <w:tr w:rsidR="00E02F48" w:rsidRPr="00650EE4" w14:paraId="48FAF493" w14:textId="77777777" w:rsidTr="00B95CC6">
        <w:tc>
          <w:tcPr>
            <w:tcW w:w="916" w:type="pct"/>
            <w:tcBorders>
              <w:top w:val="single" w:sz="4" w:space="0" w:color="auto"/>
              <w:left w:val="single" w:sz="4" w:space="0" w:color="auto"/>
              <w:bottom w:val="single" w:sz="4" w:space="0" w:color="auto"/>
              <w:right w:val="nil"/>
            </w:tcBorders>
            <w:shd w:val="clear" w:color="000000" w:fill="F2F2F2"/>
            <w:noWrap/>
            <w:vAlign w:val="center"/>
            <w:hideMark/>
          </w:tcPr>
          <w:p w14:paraId="5033178A"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26" w:type="pct"/>
            <w:tcBorders>
              <w:top w:val="single" w:sz="4" w:space="0" w:color="auto"/>
              <w:left w:val="single" w:sz="4" w:space="0" w:color="auto"/>
              <w:bottom w:val="single" w:sz="4" w:space="0" w:color="auto"/>
              <w:right w:val="nil"/>
            </w:tcBorders>
            <w:shd w:val="clear" w:color="000000" w:fill="F2F2F2"/>
            <w:noWrap/>
            <w:vAlign w:val="center"/>
            <w:hideMark/>
          </w:tcPr>
          <w:p w14:paraId="531AF5C7"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5.728</w:t>
            </w:r>
          </w:p>
        </w:tc>
        <w:tc>
          <w:tcPr>
            <w:tcW w:w="527" w:type="pct"/>
            <w:tcBorders>
              <w:top w:val="single" w:sz="4" w:space="0" w:color="auto"/>
              <w:left w:val="nil"/>
              <w:bottom w:val="single" w:sz="4" w:space="0" w:color="auto"/>
              <w:right w:val="nil"/>
            </w:tcBorders>
            <w:shd w:val="clear" w:color="000000" w:fill="F2F2F2"/>
            <w:noWrap/>
            <w:vAlign w:val="center"/>
            <w:hideMark/>
          </w:tcPr>
          <w:p w14:paraId="4C53BBA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464</w:t>
            </w:r>
          </w:p>
        </w:tc>
        <w:tc>
          <w:tcPr>
            <w:tcW w:w="527" w:type="pct"/>
            <w:tcBorders>
              <w:top w:val="single" w:sz="4" w:space="0" w:color="auto"/>
              <w:left w:val="nil"/>
              <w:bottom w:val="single" w:sz="4" w:space="0" w:color="auto"/>
              <w:right w:val="nil"/>
            </w:tcBorders>
            <w:shd w:val="clear" w:color="000000" w:fill="F2F2F2"/>
            <w:noWrap/>
            <w:vAlign w:val="center"/>
            <w:hideMark/>
          </w:tcPr>
          <w:p w14:paraId="435369EF"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424</w:t>
            </w:r>
          </w:p>
        </w:tc>
        <w:tc>
          <w:tcPr>
            <w:tcW w:w="527" w:type="pct"/>
            <w:tcBorders>
              <w:top w:val="single" w:sz="4" w:space="0" w:color="auto"/>
              <w:left w:val="nil"/>
              <w:bottom w:val="single" w:sz="4" w:space="0" w:color="auto"/>
              <w:right w:val="nil"/>
            </w:tcBorders>
            <w:shd w:val="clear" w:color="000000" w:fill="F2F2F2"/>
            <w:noWrap/>
            <w:vAlign w:val="center"/>
            <w:hideMark/>
          </w:tcPr>
          <w:p w14:paraId="7213D55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38</w:t>
            </w:r>
          </w:p>
        </w:tc>
        <w:tc>
          <w:tcPr>
            <w:tcW w:w="527" w:type="pct"/>
            <w:tcBorders>
              <w:top w:val="single" w:sz="4" w:space="0" w:color="auto"/>
              <w:left w:val="nil"/>
              <w:bottom w:val="single" w:sz="4" w:space="0" w:color="auto"/>
              <w:right w:val="nil"/>
            </w:tcBorders>
            <w:shd w:val="clear" w:color="000000" w:fill="F2F2F2"/>
            <w:noWrap/>
            <w:vAlign w:val="center"/>
            <w:hideMark/>
          </w:tcPr>
          <w:p w14:paraId="7DECF49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w:t>
            </w:r>
          </w:p>
        </w:tc>
        <w:tc>
          <w:tcPr>
            <w:tcW w:w="528" w:type="pct"/>
            <w:tcBorders>
              <w:top w:val="single" w:sz="4" w:space="0" w:color="auto"/>
              <w:left w:val="nil"/>
              <w:bottom w:val="single" w:sz="4" w:space="0" w:color="auto"/>
              <w:right w:val="single" w:sz="4" w:space="0" w:color="auto"/>
            </w:tcBorders>
            <w:shd w:val="clear" w:color="000000" w:fill="F2F2F2"/>
            <w:noWrap/>
            <w:vAlign w:val="center"/>
            <w:hideMark/>
          </w:tcPr>
          <w:p w14:paraId="06708B32"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w:t>
            </w:r>
          </w:p>
        </w:tc>
        <w:tc>
          <w:tcPr>
            <w:tcW w:w="466" w:type="pct"/>
            <w:tcBorders>
              <w:top w:val="single" w:sz="4" w:space="0" w:color="auto"/>
              <w:left w:val="nil"/>
              <w:bottom w:val="single" w:sz="4" w:space="0" w:color="auto"/>
              <w:right w:val="nil"/>
            </w:tcBorders>
            <w:shd w:val="clear" w:color="000000" w:fill="F2F2F2"/>
            <w:noWrap/>
            <w:vAlign w:val="center"/>
            <w:hideMark/>
          </w:tcPr>
          <w:p w14:paraId="2698A926"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6.670</w:t>
            </w:r>
          </w:p>
        </w:tc>
        <w:tc>
          <w:tcPr>
            <w:tcW w:w="45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9DE22F"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33%</w:t>
            </w:r>
          </w:p>
        </w:tc>
      </w:tr>
      <w:tr w:rsidR="00A41E21" w:rsidRPr="00650EE4" w14:paraId="0ACFFBF8" w14:textId="77777777" w:rsidTr="00B95CC6">
        <w:tc>
          <w:tcPr>
            <w:tcW w:w="916" w:type="pct"/>
            <w:tcBorders>
              <w:top w:val="nil"/>
              <w:left w:val="single" w:sz="4" w:space="0" w:color="auto"/>
              <w:bottom w:val="nil"/>
              <w:right w:val="nil"/>
            </w:tcBorders>
            <w:shd w:val="clear" w:color="000000" w:fill="FFFFFF"/>
            <w:noWrap/>
            <w:vAlign w:val="center"/>
            <w:hideMark/>
          </w:tcPr>
          <w:p w14:paraId="5E857A86"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26" w:type="pct"/>
            <w:tcBorders>
              <w:top w:val="nil"/>
              <w:left w:val="single" w:sz="4" w:space="0" w:color="auto"/>
              <w:bottom w:val="nil"/>
              <w:right w:val="nil"/>
            </w:tcBorders>
            <w:shd w:val="clear" w:color="000000" w:fill="FFFFFF"/>
            <w:noWrap/>
            <w:vAlign w:val="center"/>
            <w:hideMark/>
          </w:tcPr>
          <w:p w14:paraId="41BA5FB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3.475</w:t>
            </w:r>
          </w:p>
        </w:tc>
        <w:tc>
          <w:tcPr>
            <w:tcW w:w="527" w:type="pct"/>
            <w:tcBorders>
              <w:top w:val="nil"/>
              <w:left w:val="nil"/>
              <w:bottom w:val="nil"/>
              <w:right w:val="nil"/>
            </w:tcBorders>
            <w:shd w:val="clear" w:color="000000" w:fill="FFFFFF"/>
            <w:noWrap/>
            <w:vAlign w:val="center"/>
            <w:hideMark/>
          </w:tcPr>
          <w:p w14:paraId="25F5CA3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120</w:t>
            </w:r>
          </w:p>
        </w:tc>
        <w:tc>
          <w:tcPr>
            <w:tcW w:w="527" w:type="pct"/>
            <w:tcBorders>
              <w:top w:val="nil"/>
              <w:left w:val="nil"/>
              <w:bottom w:val="nil"/>
              <w:right w:val="nil"/>
            </w:tcBorders>
            <w:shd w:val="clear" w:color="000000" w:fill="FFFFFF"/>
            <w:noWrap/>
            <w:vAlign w:val="center"/>
            <w:hideMark/>
          </w:tcPr>
          <w:p w14:paraId="615A78D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159</w:t>
            </w:r>
          </w:p>
        </w:tc>
        <w:tc>
          <w:tcPr>
            <w:tcW w:w="527" w:type="pct"/>
            <w:tcBorders>
              <w:top w:val="nil"/>
              <w:left w:val="nil"/>
              <w:bottom w:val="nil"/>
              <w:right w:val="nil"/>
            </w:tcBorders>
            <w:shd w:val="clear" w:color="000000" w:fill="FFFFFF"/>
            <w:noWrap/>
            <w:vAlign w:val="center"/>
            <w:hideMark/>
          </w:tcPr>
          <w:p w14:paraId="66D9BA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27" w:type="pct"/>
            <w:tcBorders>
              <w:top w:val="nil"/>
              <w:left w:val="nil"/>
              <w:bottom w:val="nil"/>
              <w:right w:val="nil"/>
            </w:tcBorders>
            <w:shd w:val="clear" w:color="000000" w:fill="FFFFFF"/>
            <w:noWrap/>
            <w:vAlign w:val="center"/>
            <w:hideMark/>
          </w:tcPr>
          <w:p w14:paraId="49D677C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28" w:type="pct"/>
            <w:tcBorders>
              <w:top w:val="nil"/>
              <w:left w:val="nil"/>
              <w:bottom w:val="nil"/>
              <w:right w:val="single" w:sz="4" w:space="0" w:color="auto"/>
            </w:tcBorders>
            <w:shd w:val="clear" w:color="000000" w:fill="FFFFFF"/>
            <w:noWrap/>
            <w:vAlign w:val="center"/>
            <w:hideMark/>
          </w:tcPr>
          <w:p w14:paraId="43BE153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66" w:type="pct"/>
            <w:tcBorders>
              <w:top w:val="nil"/>
              <w:left w:val="nil"/>
              <w:bottom w:val="nil"/>
              <w:right w:val="nil"/>
            </w:tcBorders>
            <w:shd w:val="clear" w:color="000000" w:fill="FFFFFF"/>
            <w:noWrap/>
            <w:vAlign w:val="center"/>
            <w:hideMark/>
          </w:tcPr>
          <w:p w14:paraId="6E40A57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3.784</w:t>
            </w:r>
          </w:p>
        </w:tc>
        <w:tc>
          <w:tcPr>
            <w:tcW w:w="457" w:type="pct"/>
            <w:tcBorders>
              <w:top w:val="nil"/>
              <w:left w:val="single" w:sz="4" w:space="0" w:color="auto"/>
              <w:bottom w:val="nil"/>
              <w:right w:val="single" w:sz="4" w:space="0" w:color="auto"/>
            </w:tcBorders>
            <w:shd w:val="clear" w:color="000000" w:fill="FFFFFF"/>
            <w:noWrap/>
            <w:vAlign w:val="center"/>
            <w:hideMark/>
          </w:tcPr>
          <w:p w14:paraId="4119835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r>
      <w:tr w:rsidR="00A41E21" w:rsidRPr="00650EE4" w14:paraId="3355366B" w14:textId="77777777" w:rsidTr="00B95CC6">
        <w:tc>
          <w:tcPr>
            <w:tcW w:w="916" w:type="pct"/>
            <w:tcBorders>
              <w:top w:val="nil"/>
              <w:left w:val="single" w:sz="4" w:space="0" w:color="auto"/>
              <w:bottom w:val="nil"/>
              <w:right w:val="nil"/>
            </w:tcBorders>
            <w:shd w:val="clear" w:color="000000" w:fill="FFFFFF"/>
            <w:noWrap/>
            <w:vAlign w:val="center"/>
            <w:hideMark/>
          </w:tcPr>
          <w:p w14:paraId="68021363"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26" w:type="pct"/>
            <w:tcBorders>
              <w:top w:val="nil"/>
              <w:left w:val="single" w:sz="4" w:space="0" w:color="auto"/>
              <w:bottom w:val="nil"/>
              <w:right w:val="nil"/>
            </w:tcBorders>
            <w:shd w:val="clear" w:color="000000" w:fill="FFFFFF"/>
            <w:noWrap/>
            <w:vAlign w:val="center"/>
            <w:hideMark/>
          </w:tcPr>
          <w:p w14:paraId="32AEA2F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710</w:t>
            </w:r>
          </w:p>
        </w:tc>
        <w:tc>
          <w:tcPr>
            <w:tcW w:w="527" w:type="pct"/>
            <w:tcBorders>
              <w:top w:val="nil"/>
              <w:left w:val="nil"/>
              <w:bottom w:val="nil"/>
              <w:right w:val="nil"/>
            </w:tcBorders>
            <w:shd w:val="clear" w:color="000000" w:fill="FFFFFF"/>
            <w:noWrap/>
            <w:vAlign w:val="center"/>
            <w:hideMark/>
          </w:tcPr>
          <w:p w14:paraId="70ADD98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w:t>
            </w:r>
          </w:p>
        </w:tc>
        <w:tc>
          <w:tcPr>
            <w:tcW w:w="527" w:type="pct"/>
            <w:tcBorders>
              <w:top w:val="nil"/>
              <w:left w:val="nil"/>
              <w:bottom w:val="nil"/>
              <w:right w:val="nil"/>
            </w:tcBorders>
            <w:shd w:val="clear" w:color="000000" w:fill="FFFFFF"/>
            <w:noWrap/>
            <w:vAlign w:val="center"/>
            <w:hideMark/>
          </w:tcPr>
          <w:p w14:paraId="58800CE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527" w:type="pct"/>
            <w:tcBorders>
              <w:top w:val="nil"/>
              <w:left w:val="nil"/>
              <w:bottom w:val="nil"/>
              <w:right w:val="nil"/>
            </w:tcBorders>
            <w:shd w:val="clear" w:color="000000" w:fill="FFFFFF"/>
            <w:noWrap/>
            <w:vAlign w:val="center"/>
            <w:hideMark/>
          </w:tcPr>
          <w:p w14:paraId="437BDE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27" w:type="pct"/>
            <w:tcBorders>
              <w:top w:val="nil"/>
              <w:left w:val="nil"/>
              <w:bottom w:val="nil"/>
              <w:right w:val="nil"/>
            </w:tcBorders>
            <w:shd w:val="clear" w:color="000000" w:fill="FFFFFF"/>
            <w:noWrap/>
            <w:vAlign w:val="center"/>
            <w:hideMark/>
          </w:tcPr>
          <w:p w14:paraId="0215788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8" w:type="pct"/>
            <w:tcBorders>
              <w:top w:val="nil"/>
              <w:left w:val="nil"/>
              <w:bottom w:val="nil"/>
              <w:right w:val="single" w:sz="4" w:space="0" w:color="auto"/>
            </w:tcBorders>
            <w:shd w:val="clear" w:color="000000" w:fill="FFFFFF"/>
            <w:noWrap/>
            <w:vAlign w:val="center"/>
            <w:hideMark/>
          </w:tcPr>
          <w:p w14:paraId="0CBD9A7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60DB0B97"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828</w:t>
            </w:r>
          </w:p>
        </w:tc>
        <w:tc>
          <w:tcPr>
            <w:tcW w:w="457" w:type="pct"/>
            <w:tcBorders>
              <w:top w:val="nil"/>
              <w:left w:val="single" w:sz="4" w:space="0" w:color="auto"/>
              <w:bottom w:val="nil"/>
              <w:right w:val="single" w:sz="4" w:space="0" w:color="auto"/>
            </w:tcBorders>
            <w:shd w:val="clear" w:color="000000" w:fill="FFFFFF"/>
            <w:noWrap/>
            <w:vAlign w:val="center"/>
            <w:hideMark/>
          </w:tcPr>
          <w:p w14:paraId="4E587A3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A41E21" w:rsidRPr="00650EE4" w14:paraId="653585C1" w14:textId="77777777" w:rsidTr="00B95CC6">
        <w:tc>
          <w:tcPr>
            <w:tcW w:w="916" w:type="pct"/>
            <w:tcBorders>
              <w:top w:val="nil"/>
              <w:left w:val="single" w:sz="4" w:space="0" w:color="auto"/>
              <w:bottom w:val="nil"/>
              <w:right w:val="nil"/>
            </w:tcBorders>
            <w:shd w:val="clear" w:color="000000" w:fill="FFFFFF"/>
            <w:noWrap/>
            <w:vAlign w:val="center"/>
            <w:hideMark/>
          </w:tcPr>
          <w:p w14:paraId="671587AD"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26" w:type="pct"/>
            <w:tcBorders>
              <w:top w:val="nil"/>
              <w:left w:val="single" w:sz="4" w:space="0" w:color="auto"/>
              <w:bottom w:val="nil"/>
              <w:right w:val="nil"/>
            </w:tcBorders>
            <w:shd w:val="clear" w:color="000000" w:fill="FFFFFF"/>
            <w:noWrap/>
            <w:vAlign w:val="center"/>
            <w:hideMark/>
          </w:tcPr>
          <w:p w14:paraId="4002EBC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517</w:t>
            </w:r>
          </w:p>
        </w:tc>
        <w:tc>
          <w:tcPr>
            <w:tcW w:w="527" w:type="pct"/>
            <w:tcBorders>
              <w:top w:val="nil"/>
              <w:left w:val="nil"/>
              <w:bottom w:val="nil"/>
              <w:right w:val="nil"/>
            </w:tcBorders>
            <w:shd w:val="clear" w:color="000000" w:fill="FFFFFF"/>
            <w:noWrap/>
            <w:vAlign w:val="center"/>
            <w:hideMark/>
          </w:tcPr>
          <w:p w14:paraId="4B1B719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112</w:t>
            </w:r>
          </w:p>
        </w:tc>
        <w:tc>
          <w:tcPr>
            <w:tcW w:w="527" w:type="pct"/>
            <w:tcBorders>
              <w:top w:val="nil"/>
              <w:left w:val="nil"/>
              <w:bottom w:val="nil"/>
              <w:right w:val="nil"/>
            </w:tcBorders>
            <w:shd w:val="clear" w:color="000000" w:fill="FFFFFF"/>
            <w:noWrap/>
            <w:vAlign w:val="center"/>
            <w:hideMark/>
          </w:tcPr>
          <w:p w14:paraId="76E2120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527" w:type="pct"/>
            <w:tcBorders>
              <w:top w:val="nil"/>
              <w:left w:val="nil"/>
              <w:bottom w:val="nil"/>
              <w:right w:val="nil"/>
            </w:tcBorders>
            <w:shd w:val="clear" w:color="000000" w:fill="FFFFFF"/>
            <w:noWrap/>
            <w:vAlign w:val="center"/>
            <w:hideMark/>
          </w:tcPr>
          <w:p w14:paraId="59D9DA9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nil"/>
              <w:right w:val="nil"/>
            </w:tcBorders>
            <w:shd w:val="clear" w:color="000000" w:fill="FFFFFF"/>
            <w:noWrap/>
            <w:vAlign w:val="center"/>
            <w:hideMark/>
          </w:tcPr>
          <w:p w14:paraId="15A413C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5298486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71DB82F"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674</w:t>
            </w:r>
          </w:p>
        </w:tc>
        <w:tc>
          <w:tcPr>
            <w:tcW w:w="457" w:type="pct"/>
            <w:tcBorders>
              <w:top w:val="nil"/>
              <w:left w:val="single" w:sz="4" w:space="0" w:color="auto"/>
              <w:bottom w:val="nil"/>
              <w:right w:val="single" w:sz="4" w:space="0" w:color="auto"/>
            </w:tcBorders>
            <w:shd w:val="clear" w:color="000000" w:fill="FFFFFF"/>
            <w:noWrap/>
            <w:vAlign w:val="center"/>
            <w:hideMark/>
          </w:tcPr>
          <w:p w14:paraId="0A2FC2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r>
      <w:tr w:rsidR="00A41E21" w:rsidRPr="00650EE4" w14:paraId="6E6A4CF7" w14:textId="77777777" w:rsidTr="00B95CC6">
        <w:tc>
          <w:tcPr>
            <w:tcW w:w="916" w:type="pct"/>
            <w:tcBorders>
              <w:top w:val="nil"/>
              <w:left w:val="single" w:sz="4" w:space="0" w:color="auto"/>
              <w:bottom w:val="nil"/>
              <w:right w:val="nil"/>
            </w:tcBorders>
            <w:shd w:val="clear" w:color="000000" w:fill="FFFFFF"/>
            <w:noWrap/>
            <w:vAlign w:val="center"/>
            <w:hideMark/>
          </w:tcPr>
          <w:p w14:paraId="51592D0E"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26" w:type="pct"/>
            <w:tcBorders>
              <w:top w:val="nil"/>
              <w:left w:val="single" w:sz="4" w:space="0" w:color="auto"/>
              <w:bottom w:val="nil"/>
              <w:right w:val="nil"/>
            </w:tcBorders>
            <w:shd w:val="clear" w:color="000000" w:fill="FFFFFF"/>
            <w:noWrap/>
            <w:vAlign w:val="center"/>
            <w:hideMark/>
          </w:tcPr>
          <w:p w14:paraId="65225A2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333</w:t>
            </w:r>
          </w:p>
        </w:tc>
        <w:tc>
          <w:tcPr>
            <w:tcW w:w="527" w:type="pct"/>
            <w:tcBorders>
              <w:top w:val="nil"/>
              <w:left w:val="nil"/>
              <w:bottom w:val="nil"/>
              <w:right w:val="nil"/>
            </w:tcBorders>
            <w:shd w:val="clear" w:color="000000" w:fill="FFFFFF"/>
            <w:noWrap/>
            <w:vAlign w:val="center"/>
            <w:hideMark/>
          </w:tcPr>
          <w:p w14:paraId="71E9BC3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527" w:type="pct"/>
            <w:tcBorders>
              <w:top w:val="nil"/>
              <w:left w:val="nil"/>
              <w:bottom w:val="nil"/>
              <w:right w:val="nil"/>
            </w:tcBorders>
            <w:shd w:val="clear" w:color="000000" w:fill="FFFFFF"/>
            <w:noWrap/>
            <w:vAlign w:val="center"/>
            <w:hideMark/>
          </w:tcPr>
          <w:p w14:paraId="2EE5BA2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527" w:type="pct"/>
            <w:tcBorders>
              <w:top w:val="nil"/>
              <w:left w:val="nil"/>
              <w:bottom w:val="nil"/>
              <w:right w:val="nil"/>
            </w:tcBorders>
            <w:shd w:val="clear" w:color="000000" w:fill="FFFFFF"/>
            <w:noWrap/>
            <w:vAlign w:val="center"/>
            <w:hideMark/>
          </w:tcPr>
          <w:p w14:paraId="3E2465D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7" w:type="pct"/>
            <w:tcBorders>
              <w:top w:val="nil"/>
              <w:left w:val="nil"/>
              <w:bottom w:val="nil"/>
              <w:right w:val="nil"/>
            </w:tcBorders>
            <w:shd w:val="clear" w:color="000000" w:fill="FFFFFF"/>
            <w:noWrap/>
            <w:vAlign w:val="center"/>
            <w:hideMark/>
          </w:tcPr>
          <w:p w14:paraId="15635E2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8" w:type="pct"/>
            <w:tcBorders>
              <w:top w:val="nil"/>
              <w:left w:val="nil"/>
              <w:bottom w:val="nil"/>
              <w:right w:val="single" w:sz="4" w:space="0" w:color="auto"/>
            </w:tcBorders>
            <w:shd w:val="clear" w:color="000000" w:fill="FFFFFF"/>
            <w:noWrap/>
            <w:vAlign w:val="center"/>
            <w:hideMark/>
          </w:tcPr>
          <w:p w14:paraId="20205D8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14B0EFF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493</w:t>
            </w:r>
          </w:p>
        </w:tc>
        <w:tc>
          <w:tcPr>
            <w:tcW w:w="457" w:type="pct"/>
            <w:tcBorders>
              <w:top w:val="nil"/>
              <w:left w:val="single" w:sz="4" w:space="0" w:color="auto"/>
              <w:bottom w:val="nil"/>
              <w:right w:val="single" w:sz="4" w:space="0" w:color="auto"/>
            </w:tcBorders>
            <w:shd w:val="clear" w:color="000000" w:fill="FFFFFF"/>
            <w:noWrap/>
            <w:vAlign w:val="center"/>
            <w:hideMark/>
          </w:tcPr>
          <w:p w14:paraId="62F1B99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r>
      <w:tr w:rsidR="00A41E21" w:rsidRPr="00650EE4" w14:paraId="54E1AB75" w14:textId="77777777" w:rsidTr="00B95CC6">
        <w:tc>
          <w:tcPr>
            <w:tcW w:w="916" w:type="pct"/>
            <w:tcBorders>
              <w:top w:val="nil"/>
              <w:left w:val="single" w:sz="4" w:space="0" w:color="auto"/>
              <w:bottom w:val="nil"/>
              <w:right w:val="nil"/>
            </w:tcBorders>
            <w:shd w:val="clear" w:color="000000" w:fill="FFFFFF"/>
            <w:noWrap/>
            <w:vAlign w:val="center"/>
            <w:hideMark/>
          </w:tcPr>
          <w:p w14:paraId="7F17A1E1"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26" w:type="pct"/>
            <w:tcBorders>
              <w:top w:val="nil"/>
              <w:left w:val="single" w:sz="4" w:space="0" w:color="auto"/>
              <w:bottom w:val="nil"/>
              <w:right w:val="nil"/>
            </w:tcBorders>
            <w:shd w:val="clear" w:color="000000" w:fill="FFFFFF"/>
            <w:noWrap/>
            <w:vAlign w:val="center"/>
            <w:hideMark/>
          </w:tcPr>
          <w:p w14:paraId="48AA223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158</w:t>
            </w:r>
          </w:p>
        </w:tc>
        <w:tc>
          <w:tcPr>
            <w:tcW w:w="527" w:type="pct"/>
            <w:tcBorders>
              <w:top w:val="nil"/>
              <w:left w:val="nil"/>
              <w:bottom w:val="nil"/>
              <w:right w:val="nil"/>
            </w:tcBorders>
            <w:shd w:val="clear" w:color="000000" w:fill="FFFFFF"/>
            <w:noWrap/>
            <w:vAlign w:val="center"/>
            <w:hideMark/>
          </w:tcPr>
          <w:p w14:paraId="41EF33A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527" w:type="pct"/>
            <w:tcBorders>
              <w:top w:val="nil"/>
              <w:left w:val="nil"/>
              <w:bottom w:val="nil"/>
              <w:right w:val="nil"/>
            </w:tcBorders>
            <w:shd w:val="clear" w:color="000000" w:fill="FFFFFF"/>
            <w:noWrap/>
            <w:vAlign w:val="center"/>
            <w:hideMark/>
          </w:tcPr>
          <w:p w14:paraId="109C824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527" w:type="pct"/>
            <w:tcBorders>
              <w:top w:val="nil"/>
              <w:left w:val="nil"/>
              <w:bottom w:val="nil"/>
              <w:right w:val="nil"/>
            </w:tcBorders>
            <w:shd w:val="clear" w:color="000000" w:fill="FFFFFF"/>
            <w:noWrap/>
            <w:vAlign w:val="center"/>
            <w:hideMark/>
          </w:tcPr>
          <w:p w14:paraId="5F3FA38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nil"/>
              <w:right w:val="nil"/>
            </w:tcBorders>
            <w:shd w:val="clear" w:color="000000" w:fill="FFFFFF"/>
            <w:noWrap/>
            <w:vAlign w:val="center"/>
            <w:hideMark/>
          </w:tcPr>
          <w:p w14:paraId="27707C6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216174E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2CDA013"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222</w:t>
            </w:r>
          </w:p>
        </w:tc>
        <w:tc>
          <w:tcPr>
            <w:tcW w:w="457" w:type="pct"/>
            <w:tcBorders>
              <w:top w:val="nil"/>
              <w:left w:val="single" w:sz="4" w:space="0" w:color="auto"/>
              <w:bottom w:val="nil"/>
              <w:right w:val="single" w:sz="4" w:space="0" w:color="auto"/>
            </w:tcBorders>
            <w:shd w:val="clear" w:color="000000" w:fill="FFFFFF"/>
            <w:noWrap/>
            <w:vAlign w:val="center"/>
            <w:hideMark/>
          </w:tcPr>
          <w:p w14:paraId="1582C58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A41E21" w:rsidRPr="00650EE4" w14:paraId="07A39AFA" w14:textId="77777777" w:rsidTr="00B95CC6">
        <w:tc>
          <w:tcPr>
            <w:tcW w:w="916" w:type="pct"/>
            <w:tcBorders>
              <w:top w:val="nil"/>
              <w:left w:val="single" w:sz="4" w:space="0" w:color="auto"/>
              <w:bottom w:val="nil"/>
              <w:right w:val="nil"/>
            </w:tcBorders>
            <w:shd w:val="clear" w:color="000000" w:fill="FFFFFF"/>
            <w:noWrap/>
            <w:vAlign w:val="center"/>
            <w:hideMark/>
          </w:tcPr>
          <w:p w14:paraId="707B7D4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26" w:type="pct"/>
            <w:tcBorders>
              <w:top w:val="nil"/>
              <w:left w:val="single" w:sz="4" w:space="0" w:color="auto"/>
              <w:bottom w:val="nil"/>
              <w:right w:val="nil"/>
            </w:tcBorders>
            <w:shd w:val="clear" w:color="000000" w:fill="FFFFFF"/>
            <w:noWrap/>
            <w:vAlign w:val="center"/>
            <w:hideMark/>
          </w:tcPr>
          <w:p w14:paraId="4C82A5A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120</w:t>
            </w:r>
          </w:p>
        </w:tc>
        <w:tc>
          <w:tcPr>
            <w:tcW w:w="527" w:type="pct"/>
            <w:tcBorders>
              <w:top w:val="nil"/>
              <w:left w:val="nil"/>
              <w:bottom w:val="nil"/>
              <w:right w:val="nil"/>
            </w:tcBorders>
            <w:shd w:val="clear" w:color="000000" w:fill="FFFFFF"/>
            <w:noWrap/>
            <w:vAlign w:val="center"/>
            <w:hideMark/>
          </w:tcPr>
          <w:p w14:paraId="4B18BCD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527" w:type="pct"/>
            <w:tcBorders>
              <w:top w:val="nil"/>
              <w:left w:val="nil"/>
              <w:bottom w:val="nil"/>
              <w:right w:val="nil"/>
            </w:tcBorders>
            <w:shd w:val="clear" w:color="000000" w:fill="FFFFFF"/>
            <w:noWrap/>
            <w:vAlign w:val="center"/>
            <w:hideMark/>
          </w:tcPr>
          <w:p w14:paraId="0F12975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527" w:type="pct"/>
            <w:tcBorders>
              <w:top w:val="nil"/>
              <w:left w:val="nil"/>
              <w:bottom w:val="nil"/>
              <w:right w:val="nil"/>
            </w:tcBorders>
            <w:shd w:val="clear" w:color="000000" w:fill="FFFFFF"/>
            <w:noWrap/>
            <w:vAlign w:val="center"/>
            <w:hideMark/>
          </w:tcPr>
          <w:p w14:paraId="5745E19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27" w:type="pct"/>
            <w:tcBorders>
              <w:top w:val="nil"/>
              <w:left w:val="nil"/>
              <w:bottom w:val="nil"/>
              <w:right w:val="nil"/>
            </w:tcBorders>
            <w:shd w:val="clear" w:color="000000" w:fill="FFFFFF"/>
            <w:noWrap/>
            <w:vAlign w:val="center"/>
            <w:hideMark/>
          </w:tcPr>
          <w:p w14:paraId="2EED368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8" w:type="pct"/>
            <w:tcBorders>
              <w:top w:val="nil"/>
              <w:left w:val="nil"/>
              <w:bottom w:val="nil"/>
              <w:right w:val="single" w:sz="4" w:space="0" w:color="auto"/>
            </w:tcBorders>
            <w:shd w:val="clear" w:color="000000" w:fill="FFFFFF"/>
            <w:noWrap/>
            <w:vAlign w:val="center"/>
            <w:hideMark/>
          </w:tcPr>
          <w:p w14:paraId="5D51A17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1FAD77C8"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175</w:t>
            </w:r>
          </w:p>
        </w:tc>
        <w:tc>
          <w:tcPr>
            <w:tcW w:w="457" w:type="pct"/>
            <w:tcBorders>
              <w:top w:val="nil"/>
              <w:left w:val="single" w:sz="4" w:space="0" w:color="auto"/>
              <w:bottom w:val="nil"/>
              <w:right w:val="single" w:sz="4" w:space="0" w:color="auto"/>
            </w:tcBorders>
            <w:shd w:val="clear" w:color="000000" w:fill="FFFFFF"/>
            <w:noWrap/>
            <w:vAlign w:val="center"/>
            <w:hideMark/>
          </w:tcPr>
          <w:p w14:paraId="5CD8E3A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A41E21" w:rsidRPr="00650EE4" w14:paraId="75A6CE6E" w14:textId="77777777" w:rsidTr="00B95CC6">
        <w:tc>
          <w:tcPr>
            <w:tcW w:w="916" w:type="pct"/>
            <w:tcBorders>
              <w:top w:val="nil"/>
              <w:left w:val="single" w:sz="4" w:space="0" w:color="auto"/>
              <w:bottom w:val="nil"/>
              <w:right w:val="nil"/>
            </w:tcBorders>
            <w:shd w:val="clear" w:color="000000" w:fill="FFFFFF"/>
            <w:noWrap/>
            <w:vAlign w:val="center"/>
            <w:hideMark/>
          </w:tcPr>
          <w:p w14:paraId="2A7D199A"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26" w:type="pct"/>
            <w:tcBorders>
              <w:top w:val="nil"/>
              <w:left w:val="single" w:sz="4" w:space="0" w:color="auto"/>
              <w:bottom w:val="nil"/>
              <w:right w:val="nil"/>
            </w:tcBorders>
            <w:shd w:val="clear" w:color="000000" w:fill="FFFFFF"/>
            <w:noWrap/>
            <w:vAlign w:val="center"/>
            <w:hideMark/>
          </w:tcPr>
          <w:p w14:paraId="1C4BE5F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172</w:t>
            </w:r>
          </w:p>
        </w:tc>
        <w:tc>
          <w:tcPr>
            <w:tcW w:w="527" w:type="pct"/>
            <w:tcBorders>
              <w:top w:val="nil"/>
              <w:left w:val="nil"/>
              <w:bottom w:val="nil"/>
              <w:right w:val="nil"/>
            </w:tcBorders>
            <w:shd w:val="clear" w:color="000000" w:fill="FFFFFF"/>
            <w:noWrap/>
            <w:vAlign w:val="center"/>
            <w:hideMark/>
          </w:tcPr>
          <w:p w14:paraId="26C0FC7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27" w:type="pct"/>
            <w:tcBorders>
              <w:top w:val="nil"/>
              <w:left w:val="nil"/>
              <w:bottom w:val="nil"/>
              <w:right w:val="nil"/>
            </w:tcBorders>
            <w:shd w:val="clear" w:color="000000" w:fill="FFFFFF"/>
            <w:noWrap/>
            <w:vAlign w:val="center"/>
            <w:hideMark/>
          </w:tcPr>
          <w:p w14:paraId="54A2E1C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27" w:type="pct"/>
            <w:tcBorders>
              <w:top w:val="nil"/>
              <w:left w:val="nil"/>
              <w:bottom w:val="nil"/>
              <w:right w:val="nil"/>
            </w:tcBorders>
            <w:shd w:val="clear" w:color="000000" w:fill="FFFFFF"/>
            <w:noWrap/>
            <w:vAlign w:val="center"/>
            <w:hideMark/>
          </w:tcPr>
          <w:p w14:paraId="07BCB37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nil"/>
              <w:right w:val="nil"/>
            </w:tcBorders>
            <w:shd w:val="clear" w:color="000000" w:fill="FFFFFF"/>
            <w:noWrap/>
            <w:vAlign w:val="center"/>
            <w:hideMark/>
          </w:tcPr>
          <w:p w14:paraId="6D3D8EB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6D99861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5BAA27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195</w:t>
            </w:r>
          </w:p>
        </w:tc>
        <w:tc>
          <w:tcPr>
            <w:tcW w:w="457" w:type="pct"/>
            <w:tcBorders>
              <w:top w:val="nil"/>
              <w:left w:val="single" w:sz="4" w:space="0" w:color="auto"/>
              <w:bottom w:val="nil"/>
              <w:right w:val="single" w:sz="4" w:space="0" w:color="auto"/>
            </w:tcBorders>
            <w:shd w:val="clear" w:color="000000" w:fill="FFFFFF"/>
            <w:noWrap/>
            <w:vAlign w:val="center"/>
            <w:hideMark/>
          </w:tcPr>
          <w:p w14:paraId="53F83F7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A41E21" w:rsidRPr="00650EE4" w14:paraId="0E5D64FC" w14:textId="77777777" w:rsidTr="00B95CC6">
        <w:tc>
          <w:tcPr>
            <w:tcW w:w="916" w:type="pct"/>
            <w:tcBorders>
              <w:top w:val="nil"/>
              <w:left w:val="single" w:sz="4" w:space="0" w:color="auto"/>
              <w:bottom w:val="nil"/>
              <w:right w:val="nil"/>
            </w:tcBorders>
            <w:shd w:val="clear" w:color="000000" w:fill="FFFFFF"/>
            <w:noWrap/>
            <w:vAlign w:val="center"/>
            <w:hideMark/>
          </w:tcPr>
          <w:p w14:paraId="1B4A3FE2"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26" w:type="pct"/>
            <w:tcBorders>
              <w:top w:val="nil"/>
              <w:left w:val="single" w:sz="4" w:space="0" w:color="auto"/>
              <w:bottom w:val="nil"/>
              <w:right w:val="nil"/>
            </w:tcBorders>
            <w:shd w:val="clear" w:color="000000" w:fill="FFFFFF"/>
            <w:noWrap/>
            <w:vAlign w:val="center"/>
            <w:hideMark/>
          </w:tcPr>
          <w:p w14:paraId="0A81869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154</w:t>
            </w:r>
          </w:p>
        </w:tc>
        <w:tc>
          <w:tcPr>
            <w:tcW w:w="527" w:type="pct"/>
            <w:tcBorders>
              <w:top w:val="nil"/>
              <w:left w:val="nil"/>
              <w:bottom w:val="nil"/>
              <w:right w:val="nil"/>
            </w:tcBorders>
            <w:shd w:val="clear" w:color="000000" w:fill="FFFFFF"/>
            <w:noWrap/>
            <w:vAlign w:val="center"/>
            <w:hideMark/>
          </w:tcPr>
          <w:p w14:paraId="2614046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7" w:type="pct"/>
            <w:tcBorders>
              <w:top w:val="nil"/>
              <w:left w:val="nil"/>
              <w:bottom w:val="nil"/>
              <w:right w:val="nil"/>
            </w:tcBorders>
            <w:shd w:val="clear" w:color="000000" w:fill="FFFFFF"/>
            <w:noWrap/>
            <w:vAlign w:val="center"/>
            <w:hideMark/>
          </w:tcPr>
          <w:p w14:paraId="68F99ED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527" w:type="pct"/>
            <w:tcBorders>
              <w:top w:val="nil"/>
              <w:left w:val="nil"/>
              <w:bottom w:val="nil"/>
              <w:right w:val="nil"/>
            </w:tcBorders>
            <w:shd w:val="clear" w:color="000000" w:fill="FFFFFF"/>
            <w:noWrap/>
            <w:vAlign w:val="center"/>
            <w:hideMark/>
          </w:tcPr>
          <w:p w14:paraId="4B4F532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7" w:type="pct"/>
            <w:tcBorders>
              <w:top w:val="nil"/>
              <w:left w:val="nil"/>
              <w:bottom w:val="nil"/>
              <w:right w:val="nil"/>
            </w:tcBorders>
            <w:shd w:val="clear" w:color="000000" w:fill="FFFFFF"/>
            <w:noWrap/>
            <w:vAlign w:val="center"/>
            <w:hideMark/>
          </w:tcPr>
          <w:p w14:paraId="3D35F0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59484B9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4587CFC5"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180</w:t>
            </w:r>
          </w:p>
        </w:tc>
        <w:tc>
          <w:tcPr>
            <w:tcW w:w="457" w:type="pct"/>
            <w:tcBorders>
              <w:top w:val="nil"/>
              <w:left w:val="single" w:sz="4" w:space="0" w:color="auto"/>
              <w:bottom w:val="nil"/>
              <w:right w:val="single" w:sz="4" w:space="0" w:color="auto"/>
            </w:tcBorders>
            <w:shd w:val="clear" w:color="000000" w:fill="FFFFFF"/>
            <w:noWrap/>
            <w:vAlign w:val="center"/>
            <w:hideMark/>
          </w:tcPr>
          <w:p w14:paraId="063A871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A41E21" w:rsidRPr="00650EE4" w14:paraId="0B487D7A" w14:textId="77777777" w:rsidTr="00B95CC6">
        <w:tc>
          <w:tcPr>
            <w:tcW w:w="916" w:type="pct"/>
            <w:tcBorders>
              <w:top w:val="nil"/>
              <w:left w:val="single" w:sz="4" w:space="0" w:color="auto"/>
              <w:bottom w:val="nil"/>
              <w:right w:val="nil"/>
            </w:tcBorders>
            <w:shd w:val="clear" w:color="000000" w:fill="FFFFFF"/>
            <w:noWrap/>
            <w:vAlign w:val="center"/>
            <w:hideMark/>
          </w:tcPr>
          <w:p w14:paraId="2FF7D30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26" w:type="pct"/>
            <w:tcBorders>
              <w:top w:val="nil"/>
              <w:left w:val="single" w:sz="4" w:space="0" w:color="auto"/>
              <w:bottom w:val="single" w:sz="4" w:space="0" w:color="auto"/>
              <w:right w:val="nil"/>
            </w:tcBorders>
            <w:shd w:val="clear" w:color="000000" w:fill="FFFFFF"/>
            <w:noWrap/>
            <w:vAlign w:val="center"/>
            <w:hideMark/>
          </w:tcPr>
          <w:p w14:paraId="5168090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88</w:t>
            </w:r>
          </w:p>
        </w:tc>
        <w:tc>
          <w:tcPr>
            <w:tcW w:w="527" w:type="pct"/>
            <w:tcBorders>
              <w:top w:val="nil"/>
              <w:left w:val="nil"/>
              <w:bottom w:val="single" w:sz="4" w:space="0" w:color="auto"/>
              <w:right w:val="nil"/>
            </w:tcBorders>
            <w:shd w:val="clear" w:color="000000" w:fill="FFFFFF"/>
            <w:noWrap/>
            <w:vAlign w:val="center"/>
            <w:hideMark/>
          </w:tcPr>
          <w:p w14:paraId="1F2EA4E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27" w:type="pct"/>
            <w:tcBorders>
              <w:top w:val="nil"/>
              <w:left w:val="nil"/>
              <w:bottom w:val="single" w:sz="4" w:space="0" w:color="auto"/>
              <w:right w:val="nil"/>
            </w:tcBorders>
            <w:shd w:val="clear" w:color="000000" w:fill="FFFFFF"/>
            <w:noWrap/>
            <w:vAlign w:val="center"/>
            <w:hideMark/>
          </w:tcPr>
          <w:p w14:paraId="5B78686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27" w:type="pct"/>
            <w:tcBorders>
              <w:top w:val="nil"/>
              <w:left w:val="nil"/>
              <w:bottom w:val="single" w:sz="4" w:space="0" w:color="auto"/>
              <w:right w:val="nil"/>
            </w:tcBorders>
            <w:shd w:val="clear" w:color="000000" w:fill="FFFFFF"/>
            <w:noWrap/>
            <w:vAlign w:val="center"/>
            <w:hideMark/>
          </w:tcPr>
          <w:p w14:paraId="354A7D1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single" w:sz="4" w:space="0" w:color="auto"/>
              <w:right w:val="nil"/>
            </w:tcBorders>
            <w:shd w:val="clear" w:color="000000" w:fill="FFFFFF"/>
            <w:noWrap/>
            <w:vAlign w:val="center"/>
            <w:hideMark/>
          </w:tcPr>
          <w:p w14:paraId="05AD488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single" w:sz="4" w:space="0" w:color="auto"/>
              <w:right w:val="single" w:sz="4" w:space="0" w:color="auto"/>
            </w:tcBorders>
            <w:shd w:val="clear" w:color="000000" w:fill="FFFFFF"/>
            <w:noWrap/>
            <w:vAlign w:val="center"/>
            <w:hideMark/>
          </w:tcPr>
          <w:p w14:paraId="63C50C5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single" w:sz="4" w:space="0" w:color="auto"/>
              <w:right w:val="nil"/>
            </w:tcBorders>
            <w:shd w:val="clear" w:color="000000" w:fill="FFFFFF"/>
            <w:noWrap/>
            <w:vAlign w:val="center"/>
            <w:hideMark/>
          </w:tcPr>
          <w:p w14:paraId="1977F5A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w:t>
            </w:r>
          </w:p>
        </w:tc>
        <w:tc>
          <w:tcPr>
            <w:tcW w:w="457" w:type="pct"/>
            <w:tcBorders>
              <w:top w:val="nil"/>
              <w:left w:val="single" w:sz="4" w:space="0" w:color="auto"/>
              <w:bottom w:val="single" w:sz="4" w:space="0" w:color="auto"/>
              <w:right w:val="single" w:sz="4" w:space="0" w:color="auto"/>
            </w:tcBorders>
            <w:shd w:val="clear" w:color="000000" w:fill="FFFFFF"/>
            <w:noWrap/>
            <w:vAlign w:val="center"/>
            <w:hideMark/>
          </w:tcPr>
          <w:p w14:paraId="2A188F9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0,6%</w:t>
            </w:r>
          </w:p>
        </w:tc>
      </w:tr>
      <w:tr w:rsidR="00A41E21" w:rsidRPr="00650EE4" w14:paraId="6E944213" w14:textId="77777777" w:rsidTr="00B95CC6">
        <w:tc>
          <w:tcPr>
            <w:tcW w:w="916" w:type="pct"/>
            <w:tcBorders>
              <w:top w:val="single" w:sz="4" w:space="0" w:color="auto"/>
              <w:left w:val="single" w:sz="4" w:space="0" w:color="auto"/>
              <w:bottom w:val="nil"/>
              <w:right w:val="single" w:sz="4" w:space="0" w:color="auto"/>
            </w:tcBorders>
            <w:shd w:val="clear" w:color="000000" w:fill="FFFFFF"/>
            <w:noWrap/>
            <w:vAlign w:val="center"/>
            <w:hideMark/>
          </w:tcPr>
          <w:p w14:paraId="770275F4" w14:textId="77777777" w:rsidR="00A41E21" w:rsidRPr="00650EE4" w:rsidRDefault="00A41E21" w:rsidP="00A41E2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6" w:type="pct"/>
            <w:tcBorders>
              <w:top w:val="nil"/>
              <w:left w:val="nil"/>
              <w:bottom w:val="nil"/>
              <w:right w:val="nil"/>
            </w:tcBorders>
            <w:shd w:val="clear" w:color="000000" w:fill="FFFFFF"/>
            <w:noWrap/>
            <w:vAlign w:val="center"/>
            <w:hideMark/>
          </w:tcPr>
          <w:p w14:paraId="3473FA2B"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16.245</w:t>
            </w:r>
          </w:p>
        </w:tc>
        <w:tc>
          <w:tcPr>
            <w:tcW w:w="527" w:type="pct"/>
            <w:tcBorders>
              <w:top w:val="nil"/>
              <w:left w:val="nil"/>
              <w:bottom w:val="nil"/>
              <w:right w:val="nil"/>
            </w:tcBorders>
            <w:shd w:val="clear" w:color="000000" w:fill="FFFFFF"/>
            <w:noWrap/>
            <w:vAlign w:val="center"/>
            <w:hideMark/>
          </w:tcPr>
          <w:p w14:paraId="60510615"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2.549</w:t>
            </w:r>
          </w:p>
        </w:tc>
        <w:tc>
          <w:tcPr>
            <w:tcW w:w="527" w:type="pct"/>
            <w:tcBorders>
              <w:top w:val="nil"/>
              <w:left w:val="nil"/>
              <w:bottom w:val="nil"/>
              <w:right w:val="nil"/>
            </w:tcBorders>
            <w:shd w:val="clear" w:color="000000" w:fill="FFFFFF"/>
            <w:noWrap/>
            <w:vAlign w:val="center"/>
            <w:hideMark/>
          </w:tcPr>
          <w:p w14:paraId="1F6331E4"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1.222</w:t>
            </w:r>
          </w:p>
        </w:tc>
        <w:tc>
          <w:tcPr>
            <w:tcW w:w="527" w:type="pct"/>
            <w:tcBorders>
              <w:top w:val="nil"/>
              <w:left w:val="nil"/>
              <w:bottom w:val="nil"/>
              <w:right w:val="nil"/>
            </w:tcBorders>
            <w:shd w:val="clear" w:color="000000" w:fill="FFFFFF"/>
            <w:noWrap/>
            <w:vAlign w:val="center"/>
            <w:hideMark/>
          </w:tcPr>
          <w:p w14:paraId="3B7DBEA3"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w:t>
            </w:r>
          </w:p>
        </w:tc>
        <w:tc>
          <w:tcPr>
            <w:tcW w:w="527" w:type="pct"/>
            <w:tcBorders>
              <w:top w:val="nil"/>
              <w:left w:val="nil"/>
              <w:bottom w:val="nil"/>
              <w:right w:val="nil"/>
            </w:tcBorders>
            <w:shd w:val="clear" w:color="000000" w:fill="FFFFFF"/>
            <w:noWrap/>
            <w:vAlign w:val="center"/>
            <w:hideMark/>
          </w:tcPr>
          <w:p w14:paraId="62073FA4"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19</w:t>
            </w:r>
          </w:p>
        </w:tc>
        <w:tc>
          <w:tcPr>
            <w:tcW w:w="528" w:type="pct"/>
            <w:tcBorders>
              <w:top w:val="nil"/>
              <w:left w:val="nil"/>
              <w:bottom w:val="nil"/>
              <w:right w:val="single" w:sz="4" w:space="0" w:color="auto"/>
            </w:tcBorders>
            <w:shd w:val="clear" w:color="000000" w:fill="FFFFFF"/>
            <w:noWrap/>
            <w:vAlign w:val="center"/>
            <w:hideMark/>
          </w:tcPr>
          <w:p w14:paraId="4B215AE8"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w:t>
            </w:r>
          </w:p>
        </w:tc>
        <w:tc>
          <w:tcPr>
            <w:tcW w:w="466" w:type="pct"/>
            <w:tcBorders>
              <w:top w:val="nil"/>
              <w:left w:val="nil"/>
              <w:bottom w:val="nil"/>
              <w:right w:val="nil"/>
            </w:tcBorders>
            <w:shd w:val="clear" w:color="000000" w:fill="FFFFFF"/>
            <w:noWrap/>
            <w:vAlign w:val="center"/>
            <w:hideMark/>
          </w:tcPr>
          <w:p w14:paraId="59A95870"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20.143</w:t>
            </w:r>
          </w:p>
        </w:tc>
        <w:tc>
          <w:tcPr>
            <w:tcW w:w="457" w:type="pct"/>
            <w:tcBorders>
              <w:top w:val="nil"/>
              <w:left w:val="single" w:sz="4" w:space="0" w:color="auto"/>
              <w:bottom w:val="nil"/>
              <w:right w:val="single" w:sz="4" w:space="0" w:color="auto"/>
            </w:tcBorders>
            <w:shd w:val="clear" w:color="000000" w:fill="FFFFFF"/>
            <w:noWrap/>
            <w:vAlign w:val="center"/>
            <w:hideMark/>
          </w:tcPr>
          <w:p w14:paraId="50B2989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A41E21" w:rsidRPr="00650EE4" w14:paraId="6F3B2451" w14:textId="77777777" w:rsidTr="00B95CC6">
        <w:tc>
          <w:tcPr>
            <w:tcW w:w="91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7CAB6"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26" w:type="pct"/>
            <w:tcBorders>
              <w:top w:val="single" w:sz="4" w:space="0" w:color="auto"/>
              <w:left w:val="nil"/>
              <w:bottom w:val="single" w:sz="4" w:space="0" w:color="auto"/>
              <w:right w:val="nil"/>
            </w:tcBorders>
            <w:shd w:val="clear" w:color="000000" w:fill="FFFFFF"/>
            <w:noWrap/>
            <w:vAlign w:val="center"/>
            <w:hideMark/>
          </w:tcPr>
          <w:p w14:paraId="4DE8930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27" w:type="pct"/>
            <w:tcBorders>
              <w:top w:val="single" w:sz="4" w:space="0" w:color="auto"/>
              <w:left w:val="nil"/>
              <w:bottom w:val="single" w:sz="4" w:space="0" w:color="auto"/>
              <w:right w:val="nil"/>
            </w:tcBorders>
            <w:shd w:val="clear" w:color="000000" w:fill="FFFFFF"/>
            <w:noWrap/>
            <w:vAlign w:val="center"/>
            <w:hideMark/>
          </w:tcPr>
          <w:p w14:paraId="6E5DC83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7" w:type="pct"/>
            <w:tcBorders>
              <w:top w:val="single" w:sz="4" w:space="0" w:color="auto"/>
              <w:left w:val="nil"/>
              <w:bottom w:val="single" w:sz="4" w:space="0" w:color="auto"/>
              <w:right w:val="nil"/>
            </w:tcBorders>
            <w:shd w:val="clear" w:color="000000" w:fill="FFFFFF"/>
            <w:noWrap/>
            <w:vAlign w:val="center"/>
            <w:hideMark/>
          </w:tcPr>
          <w:p w14:paraId="1ED5C65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27" w:type="pct"/>
            <w:tcBorders>
              <w:top w:val="single" w:sz="4" w:space="0" w:color="auto"/>
              <w:left w:val="nil"/>
              <w:bottom w:val="single" w:sz="4" w:space="0" w:color="auto"/>
              <w:right w:val="nil"/>
            </w:tcBorders>
            <w:shd w:val="clear" w:color="000000" w:fill="FFFFFF"/>
            <w:noWrap/>
            <w:vAlign w:val="center"/>
            <w:hideMark/>
          </w:tcPr>
          <w:p w14:paraId="0A259BB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7" w:type="pct"/>
            <w:tcBorders>
              <w:top w:val="single" w:sz="4" w:space="0" w:color="auto"/>
              <w:left w:val="nil"/>
              <w:bottom w:val="single" w:sz="4" w:space="0" w:color="auto"/>
              <w:right w:val="nil"/>
            </w:tcBorders>
            <w:shd w:val="clear" w:color="000000" w:fill="FFFFFF"/>
            <w:noWrap/>
            <w:vAlign w:val="center"/>
            <w:hideMark/>
          </w:tcPr>
          <w:p w14:paraId="5FD2AAB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single" w:sz="4" w:space="0" w:color="auto"/>
              <w:left w:val="nil"/>
              <w:bottom w:val="single" w:sz="4" w:space="0" w:color="auto"/>
              <w:right w:val="single" w:sz="4" w:space="0" w:color="auto"/>
            </w:tcBorders>
            <w:shd w:val="clear" w:color="000000" w:fill="FFFFFF"/>
            <w:noWrap/>
            <w:vAlign w:val="center"/>
            <w:hideMark/>
          </w:tcPr>
          <w:p w14:paraId="2FEC316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single" w:sz="4" w:space="0" w:color="auto"/>
              <w:left w:val="nil"/>
              <w:bottom w:val="single" w:sz="4" w:space="0" w:color="auto"/>
              <w:right w:val="nil"/>
            </w:tcBorders>
            <w:shd w:val="clear" w:color="000000" w:fill="FFFFFF"/>
            <w:noWrap/>
            <w:vAlign w:val="center"/>
            <w:hideMark/>
          </w:tcPr>
          <w:p w14:paraId="132F3C9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44B58"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3F2524D" w14:textId="25BA25AA" w:rsidR="00E02F48" w:rsidRPr="00650EE4" w:rsidRDefault="00E02F48" w:rsidP="00E02F48">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0C1FD1" w:rsidRPr="00650EE4">
        <w:rPr>
          <w:rFonts w:ascii="Times New Roman" w:eastAsia="Times New Roman" w:hAnsi="Times New Roman"/>
          <w:i/>
          <w:color w:val="000000" w:themeColor="text1"/>
          <w:sz w:val="20"/>
          <w:szCs w:val="20"/>
        </w:rPr>
        <w:t>S</w:t>
      </w:r>
      <w:r w:rsidRPr="00650EE4">
        <w:rPr>
          <w:rFonts w:ascii="Times New Roman" w:eastAsia="Times New Roman" w:hAnsi="Times New Roman"/>
          <w:i/>
          <w:color w:val="000000" w:themeColor="text1"/>
          <w:sz w:val="20"/>
          <w:szCs w:val="20"/>
        </w:rPr>
        <w:t>tudijos</w:t>
      </w:r>
      <w:r w:rsidR="006D65CB">
        <w:rPr>
          <w:rFonts w:ascii="Times New Roman" w:eastAsia="Times New Roman" w:hAnsi="Times New Roman"/>
          <w:i/>
          <w:color w:val="000000" w:themeColor="text1"/>
          <w:sz w:val="20"/>
          <w:szCs w:val="20"/>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687C6A7A" w14:textId="77777777" w:rsidR="004D3013" w:rsidRPr="00650EE4" w:rsidRDefault="004D3013" w:rsidP="00BC0EB4">
      <w:pPr>
        <w:pStyle w:val="Antrastes31"/>
        <w:numPr>
          <w:ilvl w:val="0"/>
          <w:numId w:val="0"/>
        </w:numPr>
        <w:tabs>
          <w:tab w:val="left" w:pos="851"/>
        </w:tabs>
        <w:spacing w:before="0" w:after="0"/>
        <w:jc w:val="left"/>
        <w:outlineLvl w:val="9"/>
        <w:rPr>
          <w:rFonts w:ascii="Times New Roman" w:hAnsi="Times New Roman"/>
          <w:color w:val="000000" w:themeColor="text1"/>
          <w:sz w:val="22"/>
          <w:szCs w:val="22"/>
          <w:lang w:val="lt-LT"/>
        </w:rPr>
      </w:pPr>
    </w:p>
    <w:p w14:paraId="080DC4E8" w14:textId="7697C10A" w:rsidR="004D3013" w:rsidRPr="00650EE4" w:rsidRDefault="00D45F5F" w:rsidP="00D547F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w:t>
      </w:r>
      <w:r w:rsidR="004D3013" w:rsidRPr="00650EE4">
        <w:rPr>
          <w:rFonts w:ascii="Times New Roman" w:hAnsi="Times New Roman"/>
          <w:color w:val="000000" w:themeColor="text1"/>
          <w:szCs w:val="22"/>
        </w:rPr>
        <w:t>pibendrinant aukščiau pateiktus duomenis galima pastebėti, kad:</w:t>
      </w:r>
    </w:p>
    <w:p w14:paraId="67819CFB" w14:textId="2C522232" w:rsidR="00B012A2" w:rsidRPr="00650EE4" w:rsidRDefault="00B012A2" w:rsidP="00D0316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Gyvenamieji pastatai vartoja 2/3 (67 proc.) visos </w:t>
      </w:r>
      <w:r w:rsidR="006560B4">
        <w:rPr>
          <w:rFonts w:ascii="Times New Roman" w:hAnsi="Times New Roman"/>
          <w:color w:val="000000" w:themeColor="text1"/>
          <w:szCs w:val="22"/>
        </w:rPr>
        <w:t>p</w:t>
      </w:r>
      <w:r w:rsidR="002F3825" w:rsidRPr="00650EE4">
        <w:rPr>
          <w:rFonts w:ascii="Times New Roman" w:hAnsi="Times New Roman"/>
          <w:color w:val="000000" w:themeColor="text1"/>
          <w:szCs w:val="22"/>
        </w:rPr>
        <w:t xml:space="preserve">astatų fondo </w:t>
      </w:r>
      <w:r w:rsidRPr="00650EE4">
        <w:rPr>
          <w:rFonts w:ascii="Times New Roman" w:hAnsi="Times New Roman"/>
          <w:color w:val="000000" w:themeColor="text1"/>
          <w:szCs w:val="22"/>
        </w:rPr>
        <w:t>šiluminės energijos</w:t>
      </w:r>
      <w:r w:rsidR="00AE74D8" w:rsidRPr="00650EE4">
        <w:rPr>
          <w:rFonts w:ascii="Times New Roman" w:hAnsi="Times New Roman"/>
          <w:color w:val="000000" w:themeColor="text1"/>
          <w:szCs w:val="22"/>
        </w:rPr>
        <w:t xml:space="preserve"> pastato</w:t>
      </w:r>
      <w:r w:rsidRPr="00650EE4">
        <w:rPr>
          <w:rFonts w:ascii="Times New Roman" w:hAnsi="Times New Roman"/>
          <w:color w:val="000000" w:themeColor="text1"/>
          <w:szCs w:val="22"/>
        </w:rPr>
        <w:t xml:space="preserve"> šildymui</w:t>
      </w:r>
      <w:r w:rsidR="002F3825" w:rsidRPr="00650EE4">
        <w:rPr>
          <w:rFonts w:ascii="Times New Roman" w:hAnsi="Times New Roman"/>
          <w:color w:val="000000" w:themeColor="text1"/>
          <w:szCs w:val="22"/>
        </w:rPr>
        <w:t>. 45 proc. vartoja individualūs gyvenamieji namai, 22 proc. vartoja daugiabučiai</w:t>
      </w:r>
      <w:r w:rsidRPr="00650EE4">
        <w:rPr>
          <w:rFonts w:ascii="Times New Roman" w:hAnsi="Times New Roman"/>
          <w:color w:val="000000" w:themeColor="text1"/>
          <w:szCs w:val="22"/>
        </w:rPr>
        <w:t>;</w:t>
      </w:r>
    </w:p>
    <w:p w14:paraId="06630BB8" w14:textId="2CF3F06A" w:rsidR="002F3825" w:rsidRPr="00650EE4" w:rsidRDefault="00565000" w:rsidP="00D0316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4/5 (</w:t>
      </w:r>
      <w:r w:rsidR="002F3825" w:rsidRPr="00650EE4">
        <w:rPr>
          <w:rFonts w:ascii="Times New Roman" w:hAnsi="Times New Roman"/>
          <w:color w:val="000000" w:themeColor="text1"/>
          <w:szCs w:val="22"/>
        </w:rPr>
        <w:t>81 proc.</w:t>
      </w:r>
      <w:r w:rsidRPr="00650EE4">
        <w:rPr>
          <w:rFonts w:ascii="Times New Roman" w:hAnsi="Times New Roman"/>
          <w:color w:val="000000" w:themeColor="text1"/>
          <w:szCs w:val="22"/>
        </w:rPr>
        <w:t>)</w:t>
      </w:r>
      <w:r w:rsidR="006560B4">
        <w:rPr>
          <w:rFonts w:ascii="Times New Roman" w:hAnsi="Times New Roman"/>
          <w:color w:val="000000" w:themeColor="text1"/>
          <w:szCs w:val="22"/>
        </w:rPr>
        <w:t xml:space="preserve"> visos p</w:t>
      </w:r>
      <w:r w:rsidR="002F3825" w:rsidRPr="00650EE4">
        <w:rPr>
          <w:rFonts w:ascii="Times New Roman" w:hAnsi="Times New Roman"/>
          <w:color w:val="000000" w:themeColor="text1"/>
          <w:szCs w:val="22"/>
        </w:rPr>
        <w:t>astatų fondo šiluminės energijos</w:t>
      </w:r>
      <w:r w:rsidR="00951FBE" w:rsidRPr="00650EE4">
        <w:rPr>
          <w:rFonts w:ascii="Times New Roman" w:hAnsi="Times New Roman"/>
          <w:color w:val="000000" w:themeColor="text1"/>
          <w:szCs w:val="22"/>
        </w:rPr>
        <w:t xml:space="preserve"> pastato</w:t>
      </w:r>
      <w:r w:rsidR="002F3825" w:rsidRPr="00650EE4">
        <w:rPr>
          <w:rFonts w:ascii="Times New Roman" w:hAnsi="Times New Roman"/>
          <w:color w:val="000000" w:themeColor="text1"/>
          <w:szCs w:val="22"/>
        </w:rPr>
        <w:t xml:space="preserve"> šildymui vartoja žemesnės nei C energinio naudingumo klasės pastatai. Reikšmingiausias vartojimas šiame segmente yra individualūs namai (34 proc</w:t>
      </w:r>
      <w:r w:rsidR="00DA30DF" w:rsidRPr="00650EE4">
        <w:rPr>
          <w:rFonts w:ascii="Times New Roman" w:hAnsi="Times New Roman"/>
          <w:color w:val="000000" w:themeColor="text1"/>
          <w:szCs w:val="22"/>
        </w:rPr>
        <w:t>.</w:t>
      </w:r>
      <w:r w:rsidR="002F3825" w:rsidRPr="00650EE4">
        <w:rPr>
          <w:rFonts w:ascii="Times New Roman" w:hAnsi="Times New Roman"/>
          <w:color w:val="000000" w:themeColor="text1"/>
          <w:szCs w:val="22"/>
        </w:rPr>
        <w:t xml:space="preserve">), daugiabučiai (18 proc.) ir pramonės pastatai (17 proc.); </w:t>
      </w:r>
    </w:p>
    <w:p w14:paraId="042A369D" w14:textId="2112D987" w:rsidR="002F3825" w:rsidRPr="00650EE4" w:rsidRDefault="00565000" w:rsidP="00D0316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Atitinkamai, žemesnės nei C energinio naudingumo klasės gyvenamieji pastatai vartojantys dau</w:t>
      </w:r>
      <w:r w:rsidR="006560B4">
        <w:rPr>
          <w:rFonts w:ascii="Times New Roman" w:hAnsi="Times New Roman"/>
          <w:color w:val="000000" w:themeColor="text1"/>
          <w:szCs w:val="22"/>
        </w:rPr>
        <w:t>giau nei pusę (52 proc.) visos p</w:t>
      </w:r>
      <w:r w:rsidRPr="00650EE4">
        <w:rPr>
          <w:rFonts w:ascii="Times New Roman" w:hAnsi="Times New Roman"/>
          <w:color w:val="000000" w:themeColor="text1"/>
          <w:szCs w:val="22"/>
        </w:rPr>
        <w:t>astatų fondo šiluminės energijos</w:t>
      </w:r>
      <w:r w:rsidR="00951FBE" w:rsidRPr="00650EE4">
        <w:rPr>
          <w:rFonts w:ascii="Times New Roman" w:hAnsi="Times New Roman"/>
          <w:color w:val="000000" w:themeColor="text1"/>
          <w:szCs w:val="22"/>
        </w:rPr>
        <w:t xml:space="preserve"> pastato</w:t>
      </w:r>
      <w:r w:rsidRPr="00650EE4">
        <w:rPr>
          <w:rFonts w:ascii="Times New Roman" w:hAnsi="Times New Roman"/>
          <w:color w:val="000000" w:themeColor="text1"/>
          <w:szCs w:val="22"/>
        </w:rPr>
        <w:t xml:space="preserve"> šildymui, vertinami kaip prioritetinis segmentas IRS kontekste. </w:t>
      </w:r>
    </w:p>
    <w:p w14:paraId="25B40C5E" w14:textId="77777777" w:rsidR="002C6987" w:rsidRPr="00650EE4" w:rsidRDefault="002C6987" w:rsidP="00F14548">
      <w:pPr>
        <w:pStyle w:val="Pagrindinispaprastastekstas"/>
        <w:spacing w:after="60"/>
        <w:rPr>
          <w:rFonts w:ascii="Times New Roman" w:hAnsi="Times New Roman"/>
          <w:b/>
          <w:bCs/>
          <w:color w:val="000000" w:themeColor="text1"/>
          <w:kern w:val="32"/>
          <w:szCs w:val="22"/>
        </w:rPr>
      </w:pPr>
    </w:p>
    <w:p w14:paraId="508AF26A" w14:textId="4B3D9A30" w:rsidR="00D95A6C" w:rsidRPr="00650EE4" w:rsidRDefault="00D95A6C" w:rsidP="00D95A6C">
      <w:pPr>
        <w:pStyle w:val="Antrastes31"/>
        <w:numPr>
          <w:ilvl w:val="2"/>
          <w:numId w:val="4"/>
        </w:numPr>
        <w:spacing w:before="120"/>
        <w:ind w:left="720" w:hanging="720"/>
        <w:rPr>
          <w:rFonts w:ascii="Times New Roman" w:hAnsi="Times New Roman"/>
          <w:color w:val="000000" w:themeColor="text1"/>
          <w:sz w:val="24"/>
          <w:szCs w:val="24"/>
          <w:lang w:val="lt-LT"/>
        </w:rPr>
      </w:pPr>
      <w:bookmarkStart w:id="51" w:name="_Toc67925112"/>
      <w:r w:rsidRPr="00650EE4">
        <w:rPr>
          <w:rFonts w:ascii="Times New Roman" w:hAnsi="Times New Roman"/>
          <w:color w:val="000000" w:themeColor="text1"/>
          <w:sz w:val="24"/>
          <w:szCs w:val="24"/>
          <w:lang w:val="lt-LT"/>
        </w:rPr>
        <w:t>Šilum</w:t>
      </w:r>
      <w:r w:rsidR="00C36898" w:rsidRPr="00650EE4">
        <w:rPr>
          <w:rFonts w:ascii="Times New Roman" w:hAnsi="Times New Roman"/>
          <w:color w:val="000000" w:themeColor="text1"/>
          <w:sz w:val="24"/>
          <w:szCs w:val="24"/>
          <w:lang w:val="lt-LT"/>
        </w:rPr>
        <w:t>inė</w:t>
      </w:r>
      <w:r w:rsidRPr="00650EE4">
        <w:rPr>
          <w:rFonts w:ascii="Times New Roman" w:hAnsi="Times New Roman"/>
          <w:color w:val="000000" w:themeColor="text1"/>
          <w:sz w:val="24"/>
          <w:szCs w:val="24"/>
          <w:lang w:val="lt-LT"/>
        </w:rPr>
        <w:t xml:space="preserve">s energijos </w:t>
      </w:r>
      <w:r w:rsidR="00AD3A59" w:rsidRPr="00650EE4">
        <w:rPr>
          <w:rFonts w:ascii="Times New Roman" w:hAnsi="Times New Roman"/>
          <w:color w:val="000000" w:themeColor="text1"/>
          <w:sz w:val="24"/>
          <w:szCs w:val="24"/>
          <w:lang w:val="lt-LT"/>
        </w:rPr>
        <w:t xml:space="preserve">karštam vandeniui ruošti </w:t>
      </w:r>
      <w:r w:rsidRPr="00650EE4">
        <w:rPr>
          <w:rFonts w:ascii="Times New Roman" w:hAnsi="Times New Roman"/>
          <w:color w:val="000000" w:themeColor="text1"/>
          <w:sz w:val="24"/>
          <w:szCs w:val="24"/>
          <w:lang w:val="lt-LT"/>
        </w:rPr>
        <w:t>vartojimas</w:t>
      </w:r>
      <w:bookmarkEnd w:id="51"/>
    </w:p>
    <w:p w14:paraId="0EE72C38" w14:textId="77777777" w:rsidR="00A45646" w:rsidRPr="00650EE4" w:rsidRDefault="00A45646" w:rsidP="00A45646">
      <w:pPr>
        <w:shd w:val="clear" w:color="auto" w:fill="FFFFFF"/>
        <w:spacing w:after="120" w:line="240" w:lineRule="auto"/>
        <w:rPr>
          <w:rFonts w:ascii="Times New Roman" w:eastAsia="Times New Roman" w:hAnsi="Times New Roman"/>
          <w:color w:val="222222"/>
          <w:szCs w:val="22"/>
        </w:rPr>
      </w:pPr>
      <w:r w:rsidRPr="00650EE4">
        <w:rPr>
          <w:rFonts w:ascii="Times New Roman" w:eastAsia="Times New Roman" w:hAnsi="Times New Roman"/>
          <w:color w:val="222222"/>
          <w:szCs w:val="22"/>
        </w:rPr>
        <w:t>Šiluminės </w:t>
      </w:r>
      <w:bookmarkStart w:id="52" w:name="OLE_LINK1"/>
      <w:r w:rsidRPr="00650EE4">
        <w:rPr>
          <w:rFonts w:ascii="Times New Roman" w:eastAsia="Times New Roman" w:hAnsi="Times New Roman"/>
          <w:color w:val="222222"/>
          <w:szCs w:val="22"/>
        </w:rPr>
        <w:t>energijos poreikis</w:t>
      </w:r>
      <w:bookmarkEnd w:id="52"/>
      <w:r w:rsidRPr="00650EE4">
        <w:rPr>
          <w:rFonts w:ascii="Times New Roman" w:eastAsia="Times New Roman" w:hAnsi="Times New Roman"/>
          <w:color w:val="222222"/>
          <w:szCs w:val="22"/>
        </w:rPr>
        <w:t xml:space="preserve"> karštam vandeniui apima:</w:t>
      </w:r>
    </w:p>
    <w:p w14:paraId="55980C8D" w14:textId="231BEF1A"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A45646" w:rsidRPr="00650EE4">
        <w:rPr>
          <w:rFonts w:ascii="Times New Roman" w:hAnsi="Times New Roman"/>
          <w:color w:val="000000" w:themeColor="text1"/>
          <w:szCs w:val="22"/>
        </w:rPr>
        <w:t>astato šilumos šaltinio šiluminės energijos sąnaud</w:t>
      </w:r>
      <w:r w:rsidR="00951FBE" w:rsidRPr="00650EE4">
        <w:rPr>
          <w:rFonts w:ascii="Times New Roman" w:hAnsi="Times New Roman"/>
          <w:color w:val="000000" w:themeColor="text1"/>
          <w:szCs w:val="22"/>
        </w:rPr>
        <w:t>a</w:t>
      </w:r>
      <w:r w:rsidR="00A45646" w:rsidRPr="00650EE4">
        <w:rPr>
          <w:rFonts w:ascii="Times New Roman" w:hAnsi="Times New Roman"/>
          <w:color w:val="000000" w:themeColor="text1"/>
          <w:szCs w:val="22"/>
        </w:rPr>
        <w:t xml:space="preserve">s karštam vandeniui </w:t>
      </w:r>
      <w:r w:rsidR="00951FBE" w:rsidRPr="00650EE4">
        <w:rPr>
          <w:rFonts w:ascii="Times New Roman" w:hAnsi="Times New Roman"/>
          <w:color w:val="000000" w:themeColor="text1"/>
          <w:szCs w:val="22"/>
        </w:rPr>
        <w:t>ruošti</w:t>
      </w:r>
      <w:r w:rsidR="00A45646" w:rsidRPr="00650EE4">
        <w:rPr>
          <w:rFonts w:ascii="Times New Roman" w:hAnsi="Times New Roman"/>
          <w:color w:val="000000" w:themeColor="text1"/>
          <w:szCs w:val="22"/>
        </w:rPr>
        <w:t>;</w:t>
      </w:r>
    </w:p>
    <w:p w14:paraId="45265D81" w14:textId="6AACF16F"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iluminės energijos sąnaud</w:t>
      </w:r>
      <w:r w:rsidR="00951FBE" w:rsidRPr="00650EE4">
        <w:rPr>
          <w:rFonts w:ascii="Times New Roman" w:hAnsi="Times New Roman"/>
          <w:color w:val="000000" w:themeColor="text1"/>
          <w:szCs w:val="22"/>
        </w:rPr>
        <w:t>a</w:t>
      </w:r>
      <w:r w:rsidR="00A45646" w:rsidRPr="00650EE4">
        <w:rPr>
          <w:rFonts w:ascii="Times New Roman" w:hAnsi="Times New Roman"/>
          <w:color w:val="000000" w:themeColor="text1"/>
          <w:szCs w:val="22"/>
        </w:rPr>
        <w:t>s šilumos nuostoli</w:t>
      </w:r>
      <w:r w:rsidR="00951FBE" w:rsidRPr="00650EE4">
        <w:rPr>
          <w:rFonts w:ascii="Times New Roman" w:hAnsi="Times New Roman"/>
          <w:color w:val="000000" w:themeColor="text1"/>
          <w:szCs w:val="22"/>
        </w:rPr>
        <w:t>ų</w:t>
      </w:r>
      <w:r w:rsidR="00A45646" w:rsidRPr="00650EE4">
        <w:rPr>
          <w:rFonts w:ascii="Times New Roman" w:hAnsi="Times New Roman"/>
          <w:color w:val="000000" w:themeColor="text1"/>
          <w:szCs w:val="22"/>
        </w:rPr>
        <w:t xml:space="preserve"> vamzdynuose tarp karšto vandens gamybos įrenginio ir paskirstymo stovų;</w:t>
      </w:r>
    </w:p>
    <w:p w14:paraId="6BDE075C" w14:textId="1939FBA3"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iluminės energijos sąnaud</w:t>
      </w:r>
      <w:r w:rsidR="003F03E5" w:rsidRPr="00650EE4">
        <w:rPr>
          <w:rFonts w:ascii="Times New Roman" w:hAnsi="Times New Roman"/>
          <w:color w:val="000000" w:themeColor="text1"/>
          <w:szCs w:val="22"/>
        </w:rPr>
        <w:t>a</w:t>
      </w:r>
      <w:r w:rsidR="00A45646" w:rsidRPr="00650EE4">
        <w:rPr>
          <w:rFonts w:ascii="Times New Roman" w:hAnsi="Times New Roman"/>
          <w:color w:val="000000" w:themeColor="text1"/>
          <w:szCs w:val="22"/>
        </w:rPr>
        <w:t>s šilumos</w:t>
      </w:r>
      <w:r w:rsidR="001342A5" w:rsidRPr="00650EE4">
        <w:rPr>
          <w:rFonts w:ascii="Times New Roman" w:hAnsi="Times New Roman"/>
          <w:color w:val="000000" w:themeColor="text1"/>
          <w:szCs w:val="22"/>
        </w:rPr>
        <w:t xml:space="preserve"> dėl</w:t>
      </w:r>
      <w:r w:rsidR="00A45646" w:rsidRPr="00650EE4">
        <w:rPr>
          <w:rFonts w:ascii="Times New Roman" w:hAnsi="Times New Roman"/>
          <w:color w:val="000000" w:themeColor="text1"/>
          <w:szCs w:val="22"/>
        </w:rPr>
        <w:t xml:space="preserve"> </w:t>
      </w:r>
      <w:r w:rsidR="001342A5" w:rsidRPr="00650EE4">
        <w:rPr>
          <w:rFonts w:ascii="Times New Roman" w:hAnsi="Times New Roman"/>
          <w:color w:val="000000" w:themeColor="text1"/>
          <w:szCs w:val="22"/>
        </w:rPr>
        <w:t xml:space="preserve">nuostolių </w:t>
      </w:r>
      <w:r w:rsidR="00A45646" w:rsidRPr="00650EE4">
        <w:rPr>
          <w:rFonts w:ascii="Times New Roman" w:hAnsi="Times New Roman"/>
          <w:color w:val="000000" w:themeColor="text1"/>
          <w:szCs w:val="22"/>
        </w:rPr>
        <w:t>karšto vandens paskirstymo stovų vamzdynuose;</w:t>
      </w:r>
    </w:p>
    <w:p w14:paraId="3FCD4B09" w14:textId="188405D5" w:rsidR="00A45646" w:rsidRPr="00650EE4" w:rsidRDefault="00A45646" w:rsidP="00A45646">
      <w:pPr>
        <w:pStyle w:val="Pagrindinispaprastastekstas"/>
        <w:numPr>
          <w:ilvl w:val="0"/>
          <w:numId w:val="10"/>
        </w:numPr>
        <w:ind w:left="714" w:hanging="357"/>
        <w:rPr>
          <w:rFonts w:ascii="Times New Roman" w:hAnsi="Times New Roman"/>
          <w:color w:val="000000" w:themeColor="text1"/>
          <w:szCs w:val="22"/>
        </w:rPr>
      </w:pPr>
      <w:r w:rsidRPr="00650EE4">
        <w:rPr>
          <w:rFonts w:ascii="Times New Roman" w:hAnsi="Times New Roman"/>
          <w:color w:val="000000" w:themeColor="text1"/>
          <w:szCs w:val="22"/>
        </w:rPr>
        <w:t>šiluminės energijos sąnaud</w:t>
      </w:r>
      <w:r w:rsidR="003F03E5" w:rsidRPr="00650EE4">
        <w:rPr>
          <w:rFonts w:ascii="Times New Roman" w:hAnsi="Times New Roman"/>
          <w:color w:val="000000" w:themeColor="text1"/>
          <w:szCs w:val="22"/>
        </w:rPr>
        <w:t>a</w:t>
      </w:r>
      <w:r w:rsidRPr="00650EE4">
        <w:rPr>
          <w:rFonts w:ascii="Times New Roman" w:hAnsi="Times New Roman"/>
          <w:color w:val="000000" w:themeColor="text1"/>
          <w:szCs w:val="22"/>
        </w:rPr>
        <w:t>s</w:t>
      </w:r>
      <w:r w:rsidR="003F03E5" w:rsidRPr="00650EE4">
        <w:rPr>
          <w:rFonts w:ascii="Times New Roman" w:hAnsi="Times New Roman"/>
          <w:color w:val="000000" w:themeColor="text1"/>
          <w:szCs w:val="22"/>
        </w:rPr>
        <w:t xml:space="preserve"> dėl</w:t>
      </w:r>
      <w:r w:rsidRPr="00650EE4">
        <w:rPr>
          <w:rFonts w:ascii="Times New Roman" w:hAnsi="Times New Roman"/>
          <w:color w:val="000000" w:themeColor="text1"/>
          <w:szCs w:val="22"/>
        </w:rPr>
        <w:t xml:space="preserve"> šilumos nuostoli</w:t>
      </w:r>
      <w:r w:rsidR="003F03E5" w:rsidRPr="00650EE4">
        <w:rPr>
          <w:rFonts w:ascii="Times New Roman" w:hAnsi="Times New Roman"/>
          <w:color w:val="000000" w:themeColor="text1"/>
          <w:szCs w:val="22"/>
        </w:rPr>
        <w:t>ų</w:t>
      </w:r>
      <w:r w:rsidRPr="00650EE4">
        <w:rPr>
          <w:rFonts w:ascii="Times New Roman" w:hAnsi="Times New Roman"/>
          <w:color w:val="000000" w:themeColor="text1"/>
          <w:szCs w:val="22"/>
        </w:rPr>
        <w:t xml:space="preserve"> karšto vandens patalpų skirstomuosiuose vamzdynuose.</w:t>
      </w:r>
    </w:p>
    <w:p w14:paraId="0BF52BA6" w14:textId="77777777" w:rsidR="00401563" w:rsidRPr="00650EE4" w:rsidRDefault="00401563" w:rsidP="005C7E0C">
      <w:pPr>
        <w:pStyle w:val="BodyText"/>
        <w:spacing w:line="240" w:lineRule="auto"/>
        <w:jc w:val="both"/>
        <w:rPr>
          <w:rFonts w:ascii="Times New Roman" w:hAnsi="Times New Roman"/>
          <w:color w:val="000000" w:themeColor="text1"/>
          <w:szCs w:val="22"/>
          <w:lang w:val="lt-LT"/>
        </w:rPr>
      </w:pPr>
    </w:p>
    <w:p w14:paraId="79641BA3" w14:textId="7503C9CB" w:rsidR="00963049" w:rsidRPr="00650EE4" w:rsidRDefault="00963049" w:rsidP="005C7E0C">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Lentelėje žemiau pateikiamas</w:t>
      </w:r>
      <w:r w:rsidR="00AA07E0" w:rsidRPr="00650EE4">
        <w:rPr>
          <w:rFonts w:ascii="Times New Roman" w:hAnsi="Times New Roman"/>
          <w:color w:val="000000" w:themeColor="text1"/>
          <w:szCs w:val="22"/>
          <w:lang w:val="lt-LT"/>
        </w:rPr>
        <w:t xml:space="preserve"> skaičiuotinas </w:t>
      </w:r>
      <w:r w:rsidR="007A52B6">
        <w:rPr>
          <w:rFonts w:ascii="Times New Roman" w:hAnsi="Times New Roman"/>
          <w:color w:val="000000" w:themeColor="text1"/>
          <w:szCs w:val="22"/>
          <w:lang w:val="lt-LT"/>
        </w:rPr>
        <w:t>p</w:t>
      </w:r>
      <w:r w:rsidRPr="00650EE4">
        <w:rPr>
          <w:rFonts w:ascii="Times New Roman" w:hAnsi="Times New Roman"/>
          <w:color w:val="000000" w:themeColor="text1"/>
          <w:szCs w:val="22"/>
          <w:lang w:val="lt-LT"/>
        </w:rPr>
        <w:t xml:space="preserve">astatų fondo metinis šiluminės energijos karštam vandeniui </w:t>
      </w:r>
      <w:r w:rsidR="0015420E" w:rsidRPr="00650EE4">
        <w:rPr>
          <w:rFonts w:ascii="Times New Roman" w:hAnsi="Times New Roman"/>
          <w:color w:val="000000" w:themeColor="text1"/>
          <w:szCs w:val="22"/>
          <w:lang w:val="lt-LT"/>
        </w:rPr>
        <w:t xml:space="preserve">ruošti </w:t>
      </w:r>
      <w:r w:rsidRPr="00650EE4">
        <w:rPr>
          <w:rFonts w:ascii="Times New Roman" w:hAnsi="Times New Roman"/>
          <w:color w:val="000000" w:themeColor="text1"/>
          <w:szCs w:val="22"/>
          <w:lang w:val="lt-LT"/>
        </w:rPr>
        <w:t xml:space="preserve">vartojimas pagal </w:t>
      </w:r>
      <w:r w:rsidR="00E02F48" w:rsidRPr="00650EE4">
        <w:rPr>
          <w:rFonts w:ascii="Times New Roman" w:hAnsi="Times New Roman"/>
          <w:color w:val="000000" w:themeColor="text1"/>
          <w:szCs w:val="22"/>
          <w:lang w:val="lt-LT"/>
        </w:rPr>
        <w:t>energinio naudingumo</w:t>
      </w:r>
      <w:r w:rsidRPr="00650EE4">
        <w:rPr>
          <w:rFonts w:ascii="Times New Roman" w:hAnsi="Times New Roman"/>
          <w:color w:val="000000" w:themeColor="text1"/>
          <w:szCs w:val="22"/>
          <w:lang w:val="lt-LT"/>
        </w:rPr>
        <w:t xml:space="preserve"> klasę, </w:t>
      </w:r>
      <w:proofErr w:type="spellStart"/>
      <w:r w:rsidRPr="00650EE4">
        <w:rPr>
          <w:rFonts w:ascii="Times New Roman" w:hAnsi="Times New Roman"/>
          <w:color w:val="000000" w:themeColor="text1"/>
          <w:szCs w:val="22"/>
          <w:lang w:val="lt-LT"/>
        </w:rPr>
        <w:t>GWh</w:t>
      </w:r>
      <w:proofErr w:type="spellEnd"/>
      <w:r w:rsidRPr="00650EE4">
        <w:rPr>
          <w:rFonts w:ascii="Times New Roman" w:hAnsi="Times New Roman"/>
          <w:color w:val="000000" w:themeColor="text1"/>
          <w:szCs w:val="22"/>
          <w:lang w:val="lt-LT"/>
        </w:rPr>
        <w:t xml:space="preserve">. </w:t>
      </w:r>
    </w:p>
    <w:p w14:paraId="36D5969E" w14:textId="77777777" w:rsidR="00AA07E0" w:rsidRPr="00650EE4" w:rsidRDefault="00AA07E0" w:rsidP="005C7E0C">
      <w:pPr>
        <w:pStyle w:val="BodyText"/>
        <w:spacing w:line="240" w:lineRule="auto"/>
        <w:jc w:val="both"/>
        <w:rPr>
          <w:rFonts w:ascii="Times New Roman" w:hAnsi="Times New Roman"/>
          <w:color w:val="000000" w:themeColor="text1"/>
          <w:szCs w:val="22"/>
          <w:lang w:val="lt-LT"/>
        </w:rPr>
      </w:pPr>
    </w:p>
    <w:p w14:paraId="143C1E41" w14:textId="77777777" w:rsidR="003E0C4E" w:rsidRDefault="003E0C4E">
      <w:pPr>
        <w:spacing w:after="240"/>
        <w:rPr>
          <w:rFonts w:ascii="Times New Roman" w:eastAsiaTheme="minorHAnsi" w:hAnsi="Times New Roman"/>
          <w:bCs/>
          <w:i/>
          <w:color w:val="000000" w:themeColor="text1"/>
          <w:sz w:val="20"/>
          <w:szCs w:val="20"/>
        </w:rPr>
      </w:pPr>
      <w:r>
        <w:br w:type="page"/>
      </w:r>
    </w:p>
    <w:p w14:paraId="14F210B2" w14:textId="74EF1D18" w:rsidR="00731DB0"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53" w:name="_Toc67925201"/>
      <w:r w:rsidR="007744C1">
        <w:t>18</w:t>
      </w:r>
      <w:r w:rsidRPr="00650EE4">
        <w:rPr>
          <w:noProof w:val="0"/>
        </w:rPr>
        <w:fldChar w:fldCharType="end"/>
      </w:r>
      <w:r w:rsidR="008316A2" w:rsidRPr="00650EE4">
        <w:rPr>
          <w:noProof w:val="0"/>
        </w:rPr>
        <w:t xml:space="preserve"> lentelė. Pastatų fondo šiluminės </w:t>
      </w:r>
      <w:r w:rsidR="00244F38" w:rsidRPr="00650EE4">
        <w:rPr>
          <w:noProof w:val="0"/>
        </w:rPr>
        <w:t>energijos vartojimas</w:t>
      </w:r>
      <w:r w:rsidR="008316A2" w:rsidRPr="00650EE4">
        <w:rPr>
          <w:noProof w:val="0"/>
        </w:rPr>
        <w:t xml:space="preserve"> karštam vande</w:t>
      </w:r>
      <w:r w:rsidR="00401563" w:rsidRPr="00650EE4">
        <w:rPr>
          <w:noProof w:val="0"/>
        </w:rPr>
        <w:t xml:space="preserve">niui </w:t>
      </w:r>
      <w:r w:rsidR="008B7B06" w:rsidRPr="00650EE4">
        <w:rPr>
          <w:noProof w:val="0"/>
        </w:rPr>
        <w:t>ruošti</w:t>
      </w:r>
      <w:r w:rsidR="00401563" w:rsidRPr="00650EE4">
        <w:rPr>
          <w:noProof w:val="0"/>
        </w:rPr>
        <w:t xml:space="preserve"> pagal </w:t>
      </w:r>
      <w:r w:rsidR="009209CF" w:rsidRPr="00650EE4">
        <w:rPr>
          <w:noProof w:val="0"/>
        </w:rPr>
        <w:t>ENK</w:t>
      </w:r>
      <w:r w:rsidR="008316A2" w:rsidRPr="00650EE4">
        <w:rPr>
          <w:noProof w:val="0"/>
        </w:rPr>
        <w:t xml:space="preserve"> (</w:t>
      </w:r>
      <w:proofErr w:type="spellStart"/>
      <w:r w:rsidR="008316A2" w:rsidRPr="00650EE4">
        <w:rPr>
          <w:noProof w:val="0"/>
        </w:rPr>
        <w:t>GWh</w:t>
      </w:r>
      <w:proofErr w:type="spellEnd"/>
      <w:r w:rsidR="008316A2" w:rsidRPr="00650EE4">
        <w:rPr>
          <w:noProof w:val="0"/>
        </w:rPr>
        <w:t>)</w:t>
      </w:r>
      <w:bookmarkEnd w:id="53"/>
    </w:p>
    <w:tbl>
      <w:tblPr>
        <w:tblW w:w="5000" w:type="pct"/>
        <w:tblLook w:val="04A0" w:firstRow="1" w:lastRow="0" w:firstColumn="1" w:lastColumn="0" w:noHBand="0" w:noVBand="1"/>
      </w:tblPr>
      <w:tblGrid>
        <w:gridCol w:w="2154"/>
        <w:gridCol w:w="1113"/>
        <w:gridCol w:w="1113"/>
        <w:gridCol w:w="1113"/>
        <w:gridCol w:w="1113"/>
        <w:gridCol w:w="1113"/>
        <w:gridCol w:w="969"/>
        <w:gridCol w:w="871"/>
        <w:gridCol w:w="861"/>
      </w:tblGrid>
      <w:tr w:rsidR="00A41E21" w:rsidRPr="00650EE4" w14:paraId="488206DC" w14:textId="77777777" w:rsidTr="00775C15">
        <w:tc>
          <w:tcPr>
            <w:tcW w:w="1034"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44047F65"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135"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9812DD" w14:textId="5FD1D149" w:rsidR="00A41E21" w:rsidRPr="00650EE4" w:rsidRDefault="00E02F48"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w:t>
            </w:r>
            <w:r w:rsidR="00A41E21" w:rsidRPr="00650EE4">
              <w:rPr>
                <w:rFonts w:ascii="Times New Roman" w:eastAsia="Times New Roman" w:hAnsi="Times New Roman"/>
                <w:b/>
                <w:bCs/>
                <w:sz w:val="20"/>
                <w:szCs w:val="20"/>
              </w:rPr>
              <w:t xml:space="preserve"> klasė</w:t>
            </w:r>
          </w:p>
        </w:tc>
        <w:tc>
          <w:tcPr>
            <w:tcW w:w="418" w:type="pct"/>
            <w:vMerge w:val="restart"/>
            <w:tcBorders>
              <w:top w:val="single" w:sz="4" w:space="0" w:color="auto"/>
              <w:left w:val="nil"/>
              <w:bottom w:val="single" w:sz="4" w:space="0" w:color="000000"/>
              <w:right w:val="nil"/>
            </w:tcBorders>
            <w:shd w:val="clear" w:color="000000" w:fill="FFFFFF"/>
            <w:vAlign w:val="center"/>
            <w:hideMark/>
          </w:tcPr>
          <w:p w14:paraId="1418ABF0"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88CF36"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A41E21" w:rsidRPr="00650EE4" w14:paraId="6EDCF865" w14:textId="77777777" w:rsidTr="00775C15">
        <w:tc>
          <w:tcPr>
            <w:tcW w:w="1034" w:type="pct"/>
            <w:vMerge/>
            <w:tcBorders>
              <w:top w:val="single" w:sz="4" w:space="0" w:color="auto"/>
              <w:left w:val="single" w:sz="4" w:space="0" w:color="auto"/>
              <w:bottom w:val="single" w:sz="4" w:space="0" w:color="000000"/>
              <w:right w:val="nil"/>
            </w:tcBorders>
            <w:vAlign w:val="center"/>
            <w:hideMark/>
          </w:tcPr>
          <w:p w14:paraId="3F4E0143" w14:textId="77777777" w:rsidR="00A41E21" w:rsidRPr="00650EE4" w:rsidRDefault="00A41E21" w:rsidP="00A41E21">
            <w:pPr>
              <w:spacing w:line="240" w:lineRule="auto"/>
              <w:rPr>
                <w:rFonts w:ascii="Times New Roman" w:eastAsia="Times New Roman" w:hAnsi="Times New Roman"/>
                <w:b/>
                <w:bCs/>
                <w:sz w:val="20"/>
                <w:szCs w:val="20"/>
              </w:rPr>
            </w:pPr>
          </w:p>
        </w:tc>
        <w:tc>
          <w:tcPr>
            <w:tcW w:w="534" w:type="pct"/>
            <w:tcBorders>
              <w:top w:val="nil"/>
              <w:left w:val="single" w:sz="4" w:space="0" w:color="auto"/>
              <w:bottom w:val="single" w:sz="4" w:space="0" w:color="auto"/>
              <w:right w:val="nil"/>
            </w:tcBorders>
            <w:shd w:val="clear" w:color="000000" w:fill="FFFFFF"/>
            <w:vAlign w:val="center"/>
            <w:hideMark/>
          </w:tcPr>
          <w:p w14:paraId="2E932AED" w14:textId="16CD682B" w:rsidR="00A41E21" w:rsidRPr="00650EE4" w:rsidRDefault="007F357E"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w:t>
            </w:r>
            <w:r w:rsidR="00A41E21" w:rsidRPr="00650EE4">
              <w:rPr>
                <w:rFonts w:ascii="Times New Roman" w:eastAsia="Times New Roman" w:hAnsi="Times New Roman"/>
                <w:b/>
                <w:bCs/>
                <w:sz w:val="20"/>
                <w:szCs w:val="20"/>
              </w:rPr>
              <w:t>D</w:t>
            </w:r>
          </w:p>
        </w:tc>
        <w:tc>
          <w:tcPr>
            <w:tcW w:w="534" w:type="pct"/>
            <w:tcBorders>
              <w:top w:val="nil"/>
              <w:left w:val="nil"/>
              <w:bottom w:val="single" w:sz="4" w:space="0" w:color="auto"/>
              <w:right w:val="nil"/>
            </w:tcBorders>
            <w:shd w:val="clear" w:color="000000" w:fill="FFFFFF"/>
            <w:vAlign w:val="center"/>
            <w:hideMark/>
          </w:tcPr>
          <w:p w14:paraId="5EE299CA"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34" w:type="pct"/>
            <w:tcBorders>
              <w:top w:val="nil"/>
              <w:left w:val="nil"/>
              <w:bottom w:val="single" w:sz="4" w:space="0" w:color="auto"/>
              <w:right w:val="nil"/>
            </w:tcBorders>
            <w:shd w:val="clear" w:color="000000" w:fill="FFFFFF"/>
            <w:vAlign w:val="center"/>
            <w:hideMark/>
          </w:tcPr>
          <w:p w14:paraId="3632D677"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34" w:type="pct"/>
            <w:tcBorders>
              <w:top w:val="nil"/>
              <w:left w:val="nil"/>
              <w:bottom w:val="single" w:sz="4" w:space="0" w:color="auto"/>
              <w:right w:val="nil"/>
            </w:tcBorders>
            <w:shd w:val="clear" w:color="000000" w:fill="FFFFFF"/>
            <w:vAlign w:val="center"/>
            <w:hideMark/>
          </w:tcPr>
          <w:p w14:paraId="575A6547"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34" w:type="pct"/>
            <w:tcBorders>
              <w:top w:val="nil"/>
              <w:left w:val="nil"/>
              <w:bottom w:val="single" w:sz="4" w:space="0" w:color="auto"/>
              <w:right w:val="nil"/>
            </w:tcBorders>
            <w:shd w:val="clear" w:color="000000" w:fill="FFFFFF"/>
            <w:vAlign w:val="center"/>
            <w:hideMark/>
          </w:tcPr>
          <w:p w14:paraId="41EC2AA9"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64" w:type="pct"/>
            <w:tcBorders>
              <w:top w:val="nil"/>
              <w:left w:val="nil"/>
              <w:bottom w:val="single" w:sz="4" w:space="0" w:color="auto"/>
              <w:right w:val="single" w:sz="4" w:space="0" w:color="auto"/>
            </w:tcBorders>
            <w:shd w:val="clear" w:color="000000" w:fill="FFFFFF"/>
            <w:vAlign w:val="center"/>
            <w:hideMark/>
          </w:tcPr>
          <w:p w14:paraId="1C2D7561"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18" w:type="pct"/>
            <w:vMerge/>
            <w:tcBorders>
              <w:top w:val="single" w:sz="4" w:space="0" w:color="auto"/>
              <w:left w:val="nil"/>
              <w:bottom w:val="single" w:sz="4" w:space="0" w:color="000000"/>
              <w:right w:val="nil"/>
            </w:tcBorders>
            <w:vAlign w:val="center"/>
            <w:hideMark/>
          </w:tcPr>
          <w:p w14:paraId="16FCD7DE" w14:textId="77777777" w:rsidR="00A41E21" w:rsidRPr="00650EE4" w:rsidRDefault="00A41E21" w:rsidP="00A41E21">
            <w:pPr>
              <w:spacing w:line="240" w:lineRule="auto"/>
              <w:rPr>
                <w:rFonts w:ascii="Times New Roman" w:eastAsia="Times New Roman" w:hAnsi="Times New Roman"/>
                <w:b/>
                <w:bCs/>
                <w:sz w:val="20"/>
                <w:szCs w:val="20"/>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14:paraId="7CF21A04" w14:textId="77777777" w:rsidR="00A41E21" w:rsidRPr="00650EE4" w:rsidRDefault="00A41E21" w:rsidP="00A41E21">
            <w:pPr>
              <w:spacing w:line="240" w:lineRule="auto"/>
              <w:rPr>
                <w:rFonts w:ascii="Times New Roman" w:eastAsia="Times New Roman" w:hAnsi="Times New Roman"/>
                <w:b/>
                <w:bCs/>
                <w:sz w:val="20"/>
                <w:szCs w:val="20"/>
              </w:rPr>
            </w:pPr>
          </w:p>
        </w:tc>
      </w:tr>
      <w:tr w:rsidR="00A41E21" w:rsidRPr="00650EE4" w14:paraId="30A5AEEA" w14:textId="77777777" w:rsidTr="00775C15">
        <w:tc>
          <w:tcPr>
            <w:tcW w:w="1034" w:type="pct"/>
            <w:tcBorders>
              <w:top w:val="nil"/>
              <w:left w:val="single" w:sz="4" w:space="0" w:color="auto"/>
              <w:bottom w:val="single" w:sz="4" w:space="0" w:color="auto"/>
              <w:right w:val="single" w:sz="4" w:space="0" w:color="auto"/>
            </w:tcBorders>
            <w:shd w:val="clear" w:color="000000" w:fill="F2F2F2"/>
            <w:noWrap/>
            <w:vAlign w:val="center"/>
            <w:hideMark/>
          </w:tcPr>
          <w:p w14:paraId="2E323F17"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34" w:type="pct"/>
            <w:tcBorders>
              <w:top w:val="nil"/>
              <w:left w:val="nil"/>
              <w:bottom w:val="single" w:sz="4" w:space="0" w:color="auto"/>
              <w:right w:val="nil"/>
            </w:tcBorders>
            <w:shd w:val="clear" w:color="000000" w:fill="F2F2F2"/>
            <w:noWrap/>
            <w:vAlign w:val="center"/>
            <w:hideMark/>
          </w:tcPr>
          <w:p w14:paraId="58AB2DB2"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2.885</w:t>
            </w:r>
          </w:p>
        </w:tc>
        <w:tc>
          <w:tcPr>
            <w:tcW w:w="534" w:type="pct"/>
            <w:tcBorders>
              <w:top w:val="nil"/>
              <w:left w:val="nil"/>
              <w:bottom w:val="single" w:sz="4" w:space="0" w:color="auto"/>
              <w:right w:val="nil"/>
            </w:tcBorders>
            <w:shd w:val="clear" w:color="000000" w:fill="F2F2F2"/>
            <w:noWrap/>
            <w:vAlign w:val="center"/>
            <w:hideMark/>
          </w:tcPr>
          <w:p w14:paraId="3A04E56C"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608</w:t>
            </w:r>
          </w:p>
        </w:tc>
        <w:tc>
          <w:tcPr>
            <w:tcW w:w="534" w:type="pct"/>
            <w:tcBorders>
              <w:top w:val="nil"/>
              <w:left w:val="nil"/>
              <w:bottom w:val="single" w:sz="4" w:space="0" w:color="auto"/>
              <w:right w:val="nil"/>
            </w:tcBorders>
            <w:shd w:val="clear" w:color="000000" w:fill="F2F2F2"/>
            <w:noWrap/>
            <w:vAlign w:val="center"/>
            <w:hideMark/>
          </w:tcPr>
          <w:p w14:paraId="68E23F51"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442</w:t>
            </w:r>
          </w:p>
        </w:tc>
        <w:tc>
          <w:tcPr>
            <w:tcW w:w="534" w:type="pct"/>
            <w:tcBorders>
              <w:top w:val="nil"/>
              <w:left w:val="nil"/>
              <w:bottom w:val="single" w:sz="4" w:space="0" w:color="auto"/>
              <w:right w:val="nil"/>
            </w:tcBorders>
            <w:shd w:val="clear" w:color="000000" w:fill="F2F2F2"/>
            <w:noWrap/>
            <w:vAlign w:val="center"/>
            <w:hideMark/>
          </w:tcPr>
          <w:p w14:paraId="4AA3F385"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40</w:t>
            </w:r>
          </w:p>
        </w:tc>
        <w:tc>
          <w:tcPr>
            <w:tcW w:w="534" w:type="pct"/>
            <w:tcBorders>
              <w:top w:val="nil"/>
              <w:left w:val="nil"/>
              <w:bottom w:val="single" w:sz="4" w:space="0" w:color="auto"/>
              <w:right w:val="nil"/>
            </w:tcBorders>
            <w:shd w:val="clear" w:color="000000" w:fill="F2F2F2"/>
            <w:noWrap/>
            <w:vAlign w:val="center"/>
            <w:hideMark/>
          </w:tcPr>
          <w:p w14:paraId="0EC22124"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w:t>
            </w:r>
          </w:p>
        </w:tc>
        <w:tc>
          <w:tcPr>
            <w:tcW w:w="464" w:type="pct"/>
            <w:tcBorders>
              <w:top w:val="nil"/>
              <w:left w:val="nil"/>
              <w:bottom w:val="single" w:sz="4" w:space="0" w:color="auto"/>
              <w:right w:val="single" w:sz="4" w:space="0" w:color="auto"/>
            </w:tcBorders>
            <w:shd w:val="clear" w:color="000000" w:fill="F2F2F2"/>
            <w:noWrap/>
            <w:vAlign w:val="center"/>
            <w:hideMark/>
          </w:tcPr>
          <w:p w14:paraId="487E242A"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w:t>
            </w:r>
          </w:p>
        </w:tc>
        <w:tc>
          <w:tcPr>
            <w:tcW w:w="418" w:type="pct"/>
            <w:tcBorders>
              <w:top w:val="nil"/>
              <w:left w:val="nil"/>
              <w:bottom w:val="single" w:sz="4" w:space="0" w:color="auto"/>
              <w:right w:val="nil"/>
            </w:tcBorders>
            <w:shd w:val="clear" w:color="000000" w:fill="F2F2F2"/>
            <w:noWrap/>
            <w:vAlign w:val="center"/>
            <w:hideMark/>
          </w:tcPr>
          <w:p w14:paraId="2A3E410A"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3.984</w:t>
            </w:r>
          </w:p>
        </w:tc>
        <w:tc>
          <w:tcPr>
            <w:tcW w:w="413" w:type="pct"/>
            <w:tcBorders>
              <w:top w:val="nil"/>
              <w:left w:val="single" w:sz="4" w:space="0" w:color="auto"/>
              <w:bottom w:val="single" w:sz="4" w:space="0" w:color="auto"/>
              <w:right w:val="single" w:sz="4" w:space="0" w:color="auto"/>
            </w:tcBorders>
            <w:shd w:val="clear" w:color="000000" w:fill="F2F2F2"/>
            <w:noWrap/>
            <w:vAlign w:val="center"/>
            <w:hideMark/>
          </w:tcPr>
          <w:p w14:paraId="3151F80C"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47%</w:t>
            </w:r>
          </w:p>
        </w:tc>
      </w:tr>
      <w:tr w:rsidR="00A41E21" w:rsidRPr="00650EE4" w14:paraId="4A88A95F" w14:textId="77777777" w:rsidTr="00775C15">
        <w:tc>
          <w:tcPr>
            <w:tcW w:w="1034" w:type="pct"/>
            <w:tcBorders>
              <w:top w:val="nil"/>
              <w:left w:val="single" w:sz="4" w:space="0" w:color="auto"/>
              <w:bottom w:val="nil"/>
              <w:right w:val="nil"/>
            </w:tcBorders>
            <w:shd w:val="clear" w:color="000000" w:fill="FFFFFF"/>
            <w:noWrap/>
            <w:vAlign w:val="center"/>
            <w:hideMark/>
          </w:tcPr>
          <w:p w14:paraId="5F341695"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34" w:type="pct"/>
            <w:tcBorders>
              <w:top w:val="nil"/>
              <w:left w:val="single" w:sz="4" w:space="0" w:color="auto"/>
              <w:bottom w:val="nil"/>
              <w:right w:val="nil"/>
            </w:tcBorders>
            <w:shd w:val="clear" w:color="000000" w:fill="FFFFFF"/>
            <w:noWrap/>
            <w:vAlign w:val="center"/>
            <w:hideMark/>
          </w:tcPr>
          <w:p w14:paraId="6C53283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472</w:t>
            </w:r>
          </w:p>
        </w:tc>
        <w:tc>
          <w:tcPr>
            <w:tcW w:w="534" w:type="pct"/>
            <w:tcBorders>
              <w:top w:val="nil"/>
              <w:left w:val="nil"/>
              <w:bottom w:val="nil"/>
              <w:right w:val="nil"/>
            </w:tcBorders>
            <w:shd w:val="clear" w:color="000000" w:fill="FFFFFF"/>
            <w:noWrap/>
            <w:vAlign w:val="center"/>
            <w:hideMark/>
          </w:tcPr>
          <w:p w14:paraId="4D3AE13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310</w:t>
            </w:r>
          </w:p>
        </w:tc>
        <w:tc>
          <w:tcPr>
            <w:tcW w:w="534" w:type="pct"/>
            <w:tcBorders>
              <w:top w:val="nil"/>
              <w:left w:val="nil"/>
              <w:bottom w:val="nil"/>
              <w:right w:val="nil"/>
            </w:tcBorders>
            <w:shd w:val="clear" w:color="000000" w:fill="FFFFFF"/>
            <w:noWrap/>
            <w:vAlign w:val="center"/>
            <w:hideMark/>
          </w:tcPr>
          <w:p w14:paraId="66DF7C0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w:t>
            </w:r>
          </w:p>
        </w:tc>
        <w:tc>
          <w:tcPr>
            <w:tcW w:w="534" w:type="pct"/>
            <w:tcBorders>
              <w:top w:val="nil"/>
              <w:left w:val="nil"/>
              <w:bottom w:val="nil"/>
              <w:right w:val="nil"/>
            </w:tcBorders>
            <w:shd w:val="clear" w:color="000000" w:fill="FFFFFF"/>
            <w:noWrap/>
            <w:vAlign w:val="center"/>
            <w:hideMark/>
          </w:tcPr>
          <w:p w14:paraId="26A72D4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534" w:type="pct"/>
            <w:tcBorders>
              <w:top w:val="nil"/>
              <w:left w:val="nil"/>
              <w:bottom w:val="nil"/>
              <w:right w:val="nil"/>
            </w:tcBorders>
            <w:shd w:val="clear" w:color="000000" w:fill="FFFFFF"/>
            <w:noWrap/>
            <w:vAlign w:val="center"/>
            <w:hideMark/>
          </w:tcPr>
          <w:p w14:paraId="7681EBB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64" w:type="pct"/>
            <w:tcBorders>
              <w:top w:val="nil"/>
              <w:left w:val="nil"/>
              <w:bottom w:val="nil"/>
              <w:right w:val="single" w:sz="4" w:space="0" w:color="auto"/>
            </w:tcBorders>
            <w:shd w:val="clear" w:color="000000" w:fill="FFFFFF"/>
            <w:noWrap/>
            <w:vAlign w:val="center"/>
            <w:hideMark/>
          </w:tcPr>
          <w:p w14:paraId="713CB84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1764BBE"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908</w:t>
            </w:r>
          </w:p>
        </w:tc>
        <w:tc>
          <w:tcPr>
            <w:tcW w:w="413" w:type="pct"/>
            <w:tcBorders>
              <w:top w:val="nil"/>
              <w:left w:val="single" w:sz="4" w:space="0" w:color="auto"/>
              <w:bottom w:val="nil"/>
              <w:right w:val="single" w:sz="4" w:space="0" w:color="auto"/>
            </w:tcBorders>
            <w:shd w:val="clear" w:color="000000" w:fill="FFFFFF"/>
            <w:noWrap/>
            <w:vAlign w:val="center"/>
            <w:hideMark/>
          </w:tcPr>
          <w:p w14:paraId="72448AA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A41E21" w:rsidRPr="00650EE4" w14:paraId="5098CACA" w14:textId="77777777" w:rsidTr="00AF03E9">
        <w:trPr>
          <w:trHeight w:val="121"/>
        </w:trPr>
        <w:tc>
          <w:tcPr>
            <w:tcW w:w="1034" w:type="pct"/>
            <w:tcBorders>
              <w:top w:val="nil"/>
              <w:left w:val="single" w:sz="4" w:space="0" w:color="auto"/>
              <w:bottom w:val="nil"/>
              <w:right w:val="nil"/>
            </w:tcBorders>
            <w:shd w:val="clear" w:color="000000" w:fill="FFFFFF"/>
            <w:noWrap/>
            <w:vAlign w:val="center"/>
            <w:hideMark/>
          </w:tcPr>
          <w:p w14:paraId="77D68709"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34" w:type="pct"/>
            <w:tcBorders>
              <w:top w:val="nil"/>
              <w:left w:val="single" w:sz="4" w:space="0" w:color="auto"/>
              <w:bottom w:val="nil"/>
              <w:right w:val="nil"/>
            </w:tcBorders>
            <w:shd w:val="clear" w:color="000000" w:fill="FFFFFF"/>
            <w:noWrap/>
            <w:vAlign w:val="center"/>
            <w:hideMark/>
          </w:tcPr>
          <w:p w14:paraId="7C07693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2.414</w:t>
            </w:r>
          </w:p>
        </w:tc>
        <w:tc>
          <w:tcPr>
            <w:tcW w:w="534" w:type="pct"/>
            <w:tcBorders>
              <w:top w:val="nil"/>
              <w:left w:val="nil"/>
              <w:bottom w:val="nil"/>
              <w:right w:val="nil"/>
            </w:tcBorders>
            <w:shd w:val="clear" w:color="000000" w:fill="FFFFFF"/>
            <w:noWrap/>
            <w:vAlign w:val="center"/>
            <w:hideMark/>
          </w:tcPr>
          <w:p w14:paraId="435B5FA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298</w:t>
            </w:r>
          </w:p>
        </w:tc>
        <w:tc>
          <w:tcPr>
            <w:tcW w:w="534" w:type="pct"/>
            <w:tcBorders>
              <w:top w:val="nil"/>
              <w:left w:val="nil"/>
              <w:bottom w:val="nil"/>
              <w:right w:val="nil"/>
            </w:tcBorders>
            <w:shd w:val="clear" w:color="000000" w:fill="FFFFFF"/>
            <w:noWrap/>
            <w:vAlign w:val="center"/>
            <w:hideMark/>
          </w:tcPr>
          <w:p w14:paraId="237093C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336</w:t>
            </w:r>
          </w:p>
        </w:tc>
        <w:tc>
          <w:tcPr>
            <w:tcW w:w="534" w:type="pct"/>
            <w:tcBorders>
              <w:top w:val="nil"/>
              <w:left w:val="nil"/>
              <w:bottom w:val="nil"/>
              <w:right w:val="nil"/>
            </w:tcBorders>
            <w:shd w:val="clear" w:color="000000" w:fill="FFFFFF"/>
            <w:noWrap/>
            <w:vAlign w:val="center"/>
            <w:hideMark/>
          </w:tcPr>
          <w:p w14:paraId="30E32A6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c>
          <w:tcPr>
            <w:tcW w:w="534" w:type="pct"/>
            <w:tcBorders>
              <w:top w:val="nil"/>
              <w:left w:val="nil"/>
              <w:bottom w:val="nil"/>
              <w:right w:val="nil"/>
            </w:tcBorders>
            <w:shd w:val="clear" w:color="000000" w:fill="FFFFFF"/>
            <w:noWrap/>
            <w:vAlign w:val="center"/>
            <w:hideMark/>
          </w:tcPr>
          <w:p w14:paraId="15DE0F0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64" w:type="pct"/>
            <w:tcBorders>
              <w:top w:val="nil"/>
              <w:left w:val="nil"/>
              <w:bottom w:val="nil"/>
              <w:right w:val="single" w:sz="4" w:space="0" w:color="auto"/>
            </w:tcBorders>
            <w:shd w:val="clear" w:color="000000" w:fill="FFFFFF"/>
            <w:noWrap/>
            <w:vAlign w:val="center"/>
            <w:hideMark/>
          </w:tcPr>
          <w:p w14:paraId="02F34B1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18" w:type="pct"/>
            <w:tcBorders>
              <w:top w:val="nil"/>
              <w:left w:val="nil"/>
              <w:bottom w:val="nil"/>
              <w:right w:val="nil"/>
            </w:tcBorders>
            <w:shd w:val="clear" w:color="000000" w:fill="FFFFFF"/>
            <w:noWrap/>
            <w:vAlign w:val="center"/>
            <w:hideMark/>
          </w:tcPr>
          <w:p w14:paraId="4A93CEF9"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3.076</w:t>
            </w:r>
          </w:p>
        </w:tc>
        <w:tc>
          <w:tcPr>
            <w:tcW w:w="413" w:type="pct"/>
            <w:tcBorders>
              <w:top w:val="nil"/>
              <w:left w:val="single" w:sz="4" w:space="0" w:color="auto"/>
              <w:bottom w:val="nil"/>
              <w:right w:val="single" w:sz="4" w:space="0" w:color="auto"/>
            </w:tcBorders>
            <w:shd w:val="clear" w:color="000000" w:fill="FFFFFF"/>
            <w:noWrap/>
            <w:vAlign w:val="center"/>
            <w:hideMark/>
          </w:tcPr>
          <w:p w14:paraId="237813B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r>
      <w:tr w:rsidR="00A41E21" w:rsidRPr="00650EE4" w14:paraId="7B698464" w14:textId="77777777" w:rsidTr="00775C15">
        <w:tc>
          <w:tcPr>
            <w:tcW w:w="1034" w:type="pct"/>
            <w:tcBorders>
              <w:top w:val="single" w:sz="4" w:space="0" w:color="auto"/>
              <w:left w:val="single" w:sz="4" w:space="0" w:color="auto"/>
              <w:bottom w:val="single" w:sz="4" w:space="0" w:color="auto"/>
              <w:right w:val="nil"/>
            </w:tcBorders>
            <w:shd w:val="clear" w:color="000000" w:fill="F2F2F2"/>
            <w:noWrap/>
            <w:vAlign w:val="center"/>
            <w:hideMark/>
          </w:tcPr>
          <w:p w14:paraId="10A87E87"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34" w:type="pct"/>
            <w:tcBorders>
              <w:top w:val="single" w:sz="4" w:space="0" w:color="auto"/>
              <w:left w:val="single" w:sz="4" w:space="0" w:color="auto"/>
              <w:bottom w:val="single" w:sz="4" w:space="0" w:color="auto"/>
              <w:right w:val="nil"/>
            </w:tcBorders>
            <w:shd w:val="clear" w:color="000000" w:fill="F2F2F2"/>
            <w:noWrap/>
            <w:vAlign w:val="center"/>
            <w:hideMark/>
          </w:tcPr>
          <w:p w14:paraId="2B0ABE0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3.666</w:t>
            </w:r>
          </w:p>
        </w:tc>
        <w:tc>
          <w:tcPr>
            <w:tcW w:w="534" w:type="pct"/>
            <w:tcBorders>
              <w:top w:val="single" w:sz="4" w:space="0" w:color="auto"/>
              <w:left w:val="nil"/>
              <w:bottom w:val="single" w:sz="4" w:space="0" w:color="auto"/>
              <w:right w:val="nil"/>
            </w:tcBorders>
            <w:shd w:val="clear" w:color="000000" w:fill="F2F2F2"/>
            <w:noWrap/>
            <w:vAlign w:val="center"/>
            <w:hideMark/>
          </w:tcPr>
          <w:p w14:paraId="56293390"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353</w:t>
            </w:r>
          </w:p>
        </w:tc>
        <w:tc>
          <w:tcPr>
            <w:tcW w:w="534" w:type="pct"/>
            <w:tcBorders>
              <w:top w:val="single" w:sz="4" w:space="0" w:color="auto"/>
              <w:left w:val="nil"/>
              <w:bottom w:val="single" w:sz="4" w:space="0" w:color="auto"/>
              <w:right w:val="nil"/>
            </w:tcBorders>
            <w:shd w:val="clear" w:color="000000" w:fill="F2F2F2"/>
            <w:noWrap/>
            <w:vAlign w:val="center"/>
            <w:hideMark/>
          </w:tcPr>
          <w:p w14:paraId="05AC026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417</w:t>
            </w:r>
          </w:p>
        </w:tc>
        <w:tc>
          <w:tcPr>
            <w:tcW w:w="534" w:type="pct"/>
            <w:tcBorders>
              <w:top w:val="single" w:sz="4" w:space="0" w:color="auto"/>
              <w:left w:val="nil"/>
              <w:bottom w:val="single" w:sz="4" w:space="0" w:color="auto"/>
              <w:right w:val="nil"/>
            </w:tcBorders>
            <w:shd w:val="clear" w:color="000000" w:fill="F2F2F2"/>
            <w:noWrap/>
            <w:vAlign w:val="center"/>
            <w:hideMark/>
          </w:tcPr>
          <w:p w14:paraId="32E573F3"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49</w:t>
            </w:r>
          </w:p>
        </w:tc>
        <w:tc>
          <w:tcPr>
            <w:tcW w:w="534" w:type="pct"/>
            <w:tcBorders>
              <w:top w:val="single" w:sz="4" w:space="0" w:color="auto"/>
              <w:left w:val="nil"/>
              <w:bottom w:val="single" w:sz="4" w:space="0" w:color="auto"/>
              <w:right w:val="nil"/>
            </w:tcBorders>
            <w:shd w:val="clear" w:color="000000" w:fill="F2F2F2"/>
            <w:noWrap/>
            <w:vAlign w:val="center"/>
            <w:hideMark/>
          </w:tcPr>
          <w:p w14:paraId="279E0A25"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w:t>
            </w:r>
          </w:p>
        </w:tc>
        <w:tc>
          <w:tcPr>
            <w:tcW w:w="464" w:type="pct"/>
            <w:tcBorders>
              <w:top w:val="single" w:sz="4" w:space="0" w:color="auto"/>
              <w:left w:val="nil"/>
              <w:bottom w:val="single" w:sz="4" w:space="0" w:color="auto"/>
              <w:right w:val="single" w:sz="4" w:space="0" w:color="auto"/>
            </w:tcBorders>
            <w:shd w:val="clear" w:color="000000" w:fill="F2F2F2"/>
            <w:noWrap/>
            <w:vAlign w:val="center"/>
            <w:hideMark/>
          </w:tcPr>
          <w:p w14:paraId="74F7F140"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w:t>
            </w:r>
          </w:p>
        </w:tc>
        <w:tc>
          <w:tcPr>
            <w:tcW w:w="418" w:type="pct"/>
            <w:tcBorders>
              <w:top w:val="single" w:sz="4" w:space="0" w:color="auto"/>
              <w:left w:val="nil"/>
              <w:bottom w:val="single" w:sz="4" w:space="0" w:color="auto"/>
              <w:right w:val="nil"/>
            </w:tcBorders>
            <w:shd w:val="clear" w:color="000000" w:fill="F2F2F2"/>
            <w:noWrap/>
            <w:vAlign w:val="center"/>
            <w:hideMark/>
          </w:tcPr>
          <w:p w14:paraId="66EF0CD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4.508</w:t>
            </w:r>
          </w:p>
        </w:tc>
        <w:tc>
          <w:tcPr>
            <w:tcW w:w="4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BCCD08C"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53%</w:t>
            </w:r>
          </w:p>
        </w:tc>
      </w:tr>
      <w:tr w:rsidR="00A41E21" w:rsidRPr="00650EE4" w14:paraId="6AA81199" w14:textId="77777777" w:rsidTr="00775C15">
        <w:tc>
          <w:tcPr>
            <w:tcW w:w="1034" w:type="pct"/>
            <w:tcBorders>
              <w:top w:val="nil"/>
              <w:left w:val="single" w:sz="4" w:space="0" w:color="auto"/>
              <w:bottom w:val="nil"/>
              <w:right w:val="nil"/>
            </w:tcBorders>
            <w:shd w:val="clear" w:color="000000" w:fill="FFFFFF"/>
            <w:noWrap/>
            <w:vAlign w:val="center"/>
            <w:hideMark/>
          </w:tcPr>
          <w:p w14:paraId="1A08E226"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34" w:type="pct"/>
            <w:tcBorders>
              <w:top w:val="nil"/>
              <w:left w:val="single" w:sz="4" w:space="0" w:color="auto"/>
              <w:bottom w:val="nil"/>
              <w:right w:val="nil"/>
            </w:tcBorders>
            <w:shd w:val="clear" w:color="000000" w:fill="FFFFFF"/>
            <w:noWrap/>
            <w:vAlign w:val="center"/>
            <w:hideMark/>
          </w:tcPr>
          <w:p w14:paraId="61D87BF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1.504</w:t>
            </w:r>
          </w:p>
        </w:tc>
        <w:tc>
          <w:tcPr>
            <w:tcW w:w="534" w:type="pct"/>
            <w:tcBorders>
              <w:top w:val="nil"/>
              <w:left w:val="nil"/>
              <w:bottom w:val="nil"/>
              <w:right w:val="nil"/>
            </w:tcBorders>
            <w:shd w:val="clear" w:color="000000" w:fill="FFFFFF"/>
            <w:noWrap/>
            <w:vAlign w:val="center"/>
            <w:hideMark/>
          </w:tcPr>
          <w:p w14:paraId="4919448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w:t>
            </w:r>
          </w:p>
        </w:tc>
        <w:tc>
          <w:tcPr>
            <w:tcW w:w="534" w:type="pct"/>
            <w:tcBorders>
              <w:top w:val="nil"/>
              <w:left w:val="nil"/>
              <w:bottom w:val="nil"/>
              <w:right w:val="nil"/>
            </w:tcBorders>
            <w:shd w:val="clear" w:color="000000" w:fill="FFFFFF"/>
            <w:noWrap/>
            <w:vAlign w:val="center"/>
            <w:hideMark/>
          </w:tcPr>
          <w:p w14:paraId="6966713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w:t>
            </w:r>
          </w:p>
        </w:tc>
        <w:tc>
          <w:tcPr>
            <w:tcW w:w="534" w:type="pct"/>
            <w:tcBorders>
              <w:top w:val="nil"/>
              <w:left w:val="nil"/>
              <w:bottom w:val="nil"/>
              <w:right w:val="nil"/>
            </w:tcBorders>
            <w:shd w:val="clear" w:color="000000" w:fill="FFFFFF"/>
            <w:noWrap/>
            <w:vAlign w:val="center"/>
            <w:hideMark/>
          </w:tcPr>
          <w:p w14:paraId="1A122F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534" w:type="pct"/>
            <w:tcBorders>
              <w:top w:val="nil"/>
              <w:left w:val="nil"/>
              <w:bottom w:val="nil"/>
              <w:right w:val="nil"/>
            </w:tcBorders>
            <w:shd w:val="clear" w:color="000000" w:fill="FFFFFF"/>
            <w:noWrap/>
            <w:vAlign w:val="center"/>
            <w:hideMark/>
          </w:tcPr>
          <w:p w14:paraId="46A52C3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64" w:type="pct"/>
            <w:tcBorders>
              <w:top w:val="nil"/>
              <w:left w:val="nil"/>
              <w:bottom w:val="nil"/>
              <w:right w:val="single" w:sz="4" w:space="0" w:color="auto"/>
            </w:tcBorders>
            <w:shd w:val="clear" w:color="000000" w:fill="FFFFFF"/>
            <w:noWrap/>
            <w:vAlign w:val="center"/>
            <w:hideMark/>
          </w:tcPr>
          <w:p w14:paraId="499F2AC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18" w:type="pct"/>
            <w:tcBorders>
              <w:top w:val="nil"/>
              <w:left w:val="nil"/>
              <w:bottom w:val="nil"/>
              <w:right w:val="nil"/>
            </w:tcBorders>
            <w:shd w:val="clear" w:color="000000" w:fill="FFFFFF"/>
            <w:noWrap/>
            <w:vAlign w:val="center"/>
            <w:hideMark/>
          </w:tcPr>
          <w:p w14:paraId="7A38EF7A"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1.645</w:t>
            </w:r>
          </w:p>
        </w:tc>
        <w:tc>
          <w:tcPr>
            <w:tcW w:w="413" w:type="pct"/>
            <w:tcBorders>
              <w:top w:val="nil"/>
              <w:left w:val="single" w:sz="4" w:space="0" w:color="auto"/>
              <w:bottom w:val="nil"/>
              <w:right w:val="single" w:sz="4" w:space="0" w:color="auto"/>
            </w:tcBorders>
            <w:shd w:val="clear" w:color="000000" w:fill="FFFFFF"/>
            <w:noWrap/>
            <w:vAlign w:val="center"/>
            <w:hideMark/>
          </w:tcPr>
          <w:p w14:paraId="75481DB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r>
      <w:tr w:rsidR="00A41E21" w:rsidRPr="00650EE4" w14:paraId="7B5AA264" w14:textId="77777777" w:rsidTr="00775C15">
        <w:tc>
          <w:tcPr>
            <w:tcW w:w="1034" w:type="pct"/>
            <w:tcBorders>
              <w:top w:val="nil"/>
              <w:left w:val="single" w:sz="4" w:space="0" w:color="auto"/>
              <w:bottom w:val="nil"/>
              <w:right w:val="nil"/>
            </w:tcBorders>
            <w:shd w:val="clear" w:color="000000" w:fill="FFFFFF"/>
            <w:noWrap/>
            <w:vAlign w:val="center"/>
            <w:hideMark/>
          </w:tcPr>
          <w:p w14:paraId="4CB815FD"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34" w:type="pct"/>
            <w:tcBorders>
              <w:top w:val="nil"/>
              <w:left w:val="single" w:sz="4" w:space="0" w:color="auto"/>
              <w:bottom w:val="nil"/>
              <w:right w:val="nil"/>
            </w:tcBorders>
            <w:shd w:val="clear" w:color="000000" w:fill="FFFFFF"/>
            <w:noWrap/>
            <w:vAlign w:val="center"/>
            <w:hideMark/>
          </w:tcPr>
          <w:p w14:paraId="4D306AF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647</w:t>
            </w:r>
          </w:p>
        </w:tc>
        <w:tc>
          <w:tcPr>
            <w:tcW w:w="534" w:type="pct"/>
            <w:tcBorders>
              <w:top w:val="nil"/>
              <w:left w:val="nil"/>
              <w:bottom w:val="nil"/>
              <w:right w:val="nil"/>
            </w:tcBorders>
            <w:shd w:val="clear" w:color="000000" w:fill="FFFFFF"/>
            <w:noWrap/>
            <w:vAlign w:val="center"/>
            <w:hideMark/>
          </w:tcPr>
          <w:p w14:paraId="558480B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534" w:type="pct"/>
            <w:tcBorders>
              <w:top w:val="nil"/>
              <w:left w:val="nil"/>
              <w:bottom w:val="nil"/>
              <w:right w:val="nil"/>
            </w:tcBorders>
            <w:shd w:val="clear" w:color="000000" w:fill="FFFFFF"/>
            <w:noWrap/>
            <w:vAlign w:val="center"/>
            <w:hideMark/>
          </w:tcPr>
          <w:p w14:paraId="5749BC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534" w:type="pct"/>
            <w:tcBorders>
              <w:top w:val="nil"/>
              <w:left w:val="nil"/>
              <w:bottom w:val="nil"/>
              <w:right w:val="nil"/>
            </w:tcBorders>
            <w:shd w:val="clear" w:color="000000" w:fill="FFFFFF"/>
            <w:noWrap/>
            <w:vAlign w:val="center"/>
            <w:hideMark/>
          </w:tcPr>
          <w:p w14:paraId="42D3342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c>
          <w:tcPr>
            <w:tcW w:w="534" w:type="pct"/>
            <w:tcBorders>
              <w:top w:val="nil"/>
              <w:left w:val="nil"/>
              <w:bottom w:val="nil"/>
              <w:right w:val="nil"/>
            </w:tcBorders>
            <w:shd w:val="clear" w:color="000000" w:fill="FFFFFF"/>
            <w:noWrap/>
            <w:vAlign w:val="center"/>
            <w:hideMark/>
          </w:tcPr>
          <w:p w14:paraId="3B85A31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64" w:type="pct"/>
            <w:tcBorders>
              <w:top w:val="nil"/>
              <w:left w:val="nil"/>
              <w:bottom w:val="nil"/>
              <w:right w:val="single" w:sz="4" w:space="0" w:color="auto"/>
            </w:tcBorders>
            <w:shd w:val="clear" w:color="000000" w:fill="FFFFFF"/>
            <w:noWrap/>
            <w:vAlign w:val="center"/>
            <w:hideMark/>
          </w:tcPr>
          <w:p w14:paraId="10CDEBF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6E32BD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765</w:t>
            </w:r>
          </w:p>
        </w:tc>
        <w:tc>
          <w:tcPr>
            <w:tcW w:w="413" w:type="pct"/>
            <w:tcBorders>
              <w:top w:val="nil"/>
              <w:left w:val="single" w:sz="4" w:space="0" w:color="auto"/>
              <w:bottom w:val="nil"/>
              <w:right w:val="single" w:sz="4" w:space="0" w:color="auto"/>
            </w:tcBorders>
            <w:shd w:val="clear" w:color="000000" w:fill="FFFFFF"/>
            <w:noWrap/>
            <w:vAlign w:val="center"/>
            <w:hideMark/>
          </w:tcPr>
          <w:p w14:paraId="1414C1C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r>
      <w:tr w:rsidR="00A41E21" w:rsidRPr="00650EE4" w14:paraId="49A5358E" w14:textId="77777777" w:rsidTr="00775C15">
        <w:tc>
          <w:tcPr>
            <w:tcW w:w="1034" w:type="pct"/>
            <w:tcBorders>
              <w:top w:val="nil"/>
              <w:left w:val="single" w:sz="4" w:space="0" w:color="auto"/>
              <w:bottom w:val="nil"/>
              <w:right w:val="nil"/>
            </w:tcBorders>
            <w:shd w:val="clear" w:color="000000" w:fill="FFFFFF"/>
            <w:noWrap/>
            <w:vAlign w:val="center"/>
            <w:hideMark/>
          </w:tcPr>
          <w:p w14:paraId="5F14D1E2"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34" w:type="pct"/>
            <w:tcBorders>
              <w:top w:val="nil"/>
              <w:left w:val="single" w:sz="4" w:space="0" w:color="auto"/>
              <w:bottom w:val="nil"/>
              <w:right w:val="nil"/>
            </w:tcBorders>
            <w:shd w:val="clear" w:color="000000" w:fill="FFFFFF"/>
            <w:noWrap/>
            <w:vAlign w:val="center"/>
            <w:hideMark/>
          </w:tcPr>
          <w:p w14:paraId="3CC4B92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462</w:t>
            </w:r>
          </w:p>
        </w:tc>
        <w:tc>
          <w:tcPr>
            <w:tcW w:w="534" w:type="pct"/>
            <w:tcBorders>
              <w:top w:val="nil"/>
              <w:left w:val="nil"/>
              <w:bottom w:val="nil"/>
              <w:right w:val="nil"/>
            </w:tcBorders>
            <w:shd w:val="clear" w:color="000000" w:fill="FFFFFF"/>
            <w:noWrap/>
            <w:vAlign w:val="center"/>
            <w:hideMark/>
          </w:tcPr>
          <w:p w14:paraId="6200A04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34" w:type="pct"/>
            <w:tcBorders>
              <w:top w:val="nil"/>
              <w:left w:val="nil"/>
              <w:bottom w:val="nil"/>
              <w:right w:val="nil"/>
            </w:tcBorders>
            <w:shd w:val="clear" w:color="000000" w:fill="FFFFFF"/>
            <w:noWrap/>
            <w:vAlign w:val="center"/>
            <w:hideMark/>
          </w:tcPr>
          <w:p w14:paraId="4D12A99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w:t>
            </w:r>
          </w:p>
        </w:tc>
        <w:tc>
          <w:tcPr>
            <w:tcW w:w="534" w:type="pct"/>
            <w:tcBorders>
              <w:top w:val="nil"/>
              <w:left w:val="nil"/>
              <w:bottom w:val="nil"/>
              <w:right w:val="nil"/>
            </w:tcBorders>
            <w:shd w:val="clear" w:color="000000" w:fill="FFFFFF"/>
            <w:noWrap/>
            <w:vAlign w:val="center"/>
            <w:hideMark/>
          </w:tcPr>
          <w:p w14:paraId="6000530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nil"/>
              <w:left w:val="nil"/>
              <w:bottom w:val="nil"/>
              <w:right w:val="nil"/>
            </w:tcBorders>
            <w:shd w:val="clear" w:color="000000" w:fill="FFFFFF"/>
            <w:noWrap/>
            <w:vAlign w:val="center"/>
            <w:hideMark/>
          </w:tcPr>
          <w:p w14:paraId="077F14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64" w:type="pct"/>
            <w:tcBorders>
              <w:top w:val="nil"/>
              <w:left w:val="nil"/>
              <w:bottom w:val="nil"/>
              <w:right w:val="single" w:sz="4" w:space="0" w:color="auto"/>
            </w:tcBorders>
            <w:shd w:val="clear" w:color="000000" w:fill="FFFFFF"/>
            <w:noWrap/>
            <w:vAlign w:val="center"/>
            <w:hideMark/>
          </w:tcPr>
          <w:p w14:paraId="313234D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6E229D7B"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590</w:t>
            </w:r>
          </w:p>
        </w:tc>
        <w:tc>
          <w:tcPr>
            <w:tcW w:w="413" w:type="pct"/>
            <w:tcBorders>
              <w:top w:val="nil"/>
              <w:left w:val="single" w:sz="4" w:space="0" w:color="auto"/>
              <w:bottom w:val="nil"/>
              <w:right w:val="single" w:sz="4" w:space="0" w:color="auto"/>
            </w:tcBorders>
            <w:shd w:val="clear" w:color="000000" w:fill="FFFFFF"/>
            <w:noWrap/>
            <w:vAlign w:val="center"/>
            <w:hideMark/>
          </w:tcPr>
          <w:p w14:paraId="4100756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w:t>
            </w:r>
          </w:p>
        </w:tc>
      </w:tr>
      <w:tr w:rsidR="00A41E21" w:rsidRPr="00650EE4" w14:paraId="09A0C6B5" w14:textId="77777777" w:rsidTr="00775C15">
        <w:tc>
          <w:tcPr>
            <w:tcW w:w="1034" w:type="pct"/>
            <w:tcBorders>
              <w:top w:val="nil"/>
              <w:left w:val="single" w:sz="4" w:space="0" w:color="auto"/>
              <w:bottom w:val="nil"/>
              <w:right w:val="nil"/>
            </w:tcBorders>
            <w:shd w:val="clear" w:color="000000" w:fill="FFFFFF"/>
            <w:noWrap/>
            <w:vAlign w:val="center"/>
            <w:hideMark/>
          </w:tcPr>
          <w:p w14:paraId="62045E74"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34" w:type="pct"/>
            <w:tcBorders>
              <w:top w:val="nil"/>
              <w:left w:val="single" w:sz="4" w:space="0" w:color="auto"/>
              <w:bottom w:val="nil"/>
              <w:right w:val="nil"/>
            </w:tcBorders>
            <w:shd w:val="clear" w:color="000000" w:fill="FFFFFF"/>
            <w:noWrap/>
            <w:vAlign w:val="center"/>
            <w:hideMark/>
          </w:tcPr>
          <w:p w14:paraId="5CA8681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303</w:t>
            </w:r>
          </w:p>
        </w:tc>
        <w:tc>
          <w:tcPr>
            <w:tcW w:w="534" w:type="pct"/>
            <w:tcBorders>
              <w:top w:val="nil"/>
              <w:left w:val="nil"/>
              <w:bottom w:val="nil"/>
              <w:right w:val="nil"/>
            </w:tcBorders>
            <w:shd w:val="clear" w:color="000000" w:fill="FFFFFF"/>
            <w:noWrap/>
            <w:vAlign w:val="center"/>
            <w:hideMark/>
          </w:tcPr>
          <w:p w14:paraId="43AF614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534" w:type="pct"/>
            <w:tcBorders>
              <w:top w:val="nil"/>
              <w:left w:val="nil"/>
              <w:bottom w:val="nil"/>
              <w:right w:val="nil"/>
            </w:tcBorders>
            <w:shd w:val="clear" w:color="000000" w:fill="FFFFFF"/>
            <w:noWrap/>
            <w:vAlign w:val="center"/>
            <w:hideMark/>
          </w:tcPr>
          <w:p w14:paraId="3A32B4F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w:t>
            </w:r>
          </w:p>
        </w:tc>
        <w:tc>
          <w:tcPr>
            <w:tcW w:w="534" w:type="pct"/>
            <w:tcBorders>
              <w:top w:val="nil"/>
              <w:left w:val="nil"/>
              <w:bottom w:val="nil"/>
              <w:right w:val="nil"/>
            </w:tcBorders>
            <w:shd w:val="clear" w:color="000000" w:fill="FFFFFF"/>
            <w:noWrap/>
            <w:vAlign w:val="center"/>
            <w:hideMark/>
          </w:tcPr>
          <w:p w14:paraId="4655EE2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34" w:type="pct"/>
            <w:tcBorders>
              <w:top w:val="nil"/>
              <w:left w:val="nil"/>
              <w:bottom w:val="nil"/>
              <w:right w:val="nil"/>
            </w:tcBorders>
            <w:shd w:val="clear" w:color="000000" w:fill="FFFFFF"/>
            <w:noWrap/>
            <w:vAlign w:val="center"/>
            <w:hideMark/>
          </w:tcPr>
          <w:p w14:paraId="699D45D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64" w:type="pct"/>
            <w:tcBorders>
              <w:top w:val="nil"/>
              <w:left w:val="nil"/>
              <w:bottom w:val="nil"/>
              <w:right w:val="single" w:sz="4" w:space="0" w:color="auto"/>
            </w:tcBorders>
            <w:shd w:val="clear" w:color="000000" w:fill="FFFFFF"/>
            <w:noWrap/>
            <w:vAlign w:val="center"/>
            <w:hideMark/>
          </w:tcPr>
          <w:p w14:paraId="518E6CB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5FED166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462</w:t>
            </w:r>
          </w:p>
        </w:tc>
        <w:tc>
          <w:tcPr>
            <w:tcW w:w="413" w:type="pct"/>
            <w:tcBorders>
              <w:top w:val="nil"/>
              <w:left w:val="single" w:sz="4" w:space="0" w:color="auto"/>
              <w:bottom w:val="nil"/>
              <w:right w:val="single" w:sz="4" w:space="0" w:color="auto"/>
            </w:tcBorders>
            <w:shd w:val="clear" w:color="000000" w:fill="FFFFFF"/>
            <w:noWrap/>
            <w:vAlign w:val="center"/>
            <w:hideMark/>
          </w:tcPr>
          <w:p w14:paraId="25820FB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w:t>
            </w:r>
          </w:p>
        </w:tc>
      </w:tr>
      <w:tr w:rsidR="00A41E21" w:rsidRPr="00650EE4" w14:paraId="712EC652" w14:textId="77777777" w:rsidTr="00775C15">
        <w:tc>
          <w:tcPr>
            <w:tcW w:w="1034" w:type="pct"/>
            <w:tcBorders>
              <w:top w:val="nil"/>
              <w:left w:val="single" w:sz="4" w:space="0" w:color="auto"/>
              <w:bottom w:val="nil"/>
              <w:right w:val="nil"/>
            </w:tcBorders>
            <w:shd w:val="clear" w:color="000000" w:fill="FFFFFF"/>
            <w:noWrap/>
            <w:vAlign w:val="center"/>
            <w:hideMark/>
          </w:tcPr>
          <w:p w14:paraId="77F3B337"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34" w:type="pct"/>
            <w:tcBorders>
              <w:top w:val="nil"/>
              <w:left w:val="single" w:sz="4" w:space="0" w:color="auto"/>
              <w:bottom w:val="nil"/>
              <w:right w:val="nil"/>
            </w:tcBorders>
            <w:shd w:val="clear" w:color="000000" w:fill="FFFFFF"/>
            <w:noWrap/>
            <w:vAlign w:val="center"/>
            <w:hideMark/>
          </w:tcPr>
          <w:p w14:paraId="5B2F3E4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173</w:t>
            </w:r>
          </w:p>
        </w:tc>
        <w:tc>
          <w:tcPr>
            <w:tcW w:w="534" w:type="pct"/>
            <w:tcBorders>
              <w:top w:val="nil"/>
              <w:left w:val="nil"/>
              <w:bottom w:val="nil"/>
              <w:right w:val="nil"/>
            </w:tcBorders>
            <w:shd w:val="clear" w:color="000000" w:fill="FFFFFF"/>
            <w:noWrap/>
            <w:vAlign w:val="center"/>
            <w:hideMark/>
          </w:tcPr>
          <w:p w14:paraId="3E7579B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534" w:type="pct"/>
            <w:tcBorders>
              <w:top w:val="nil"/>
              <w:left w:val="nil"/>
              <w:bottom w:val="nil"/>
              <w:right w:val="nil"/>
            </w:tcBorders>
            <w:shd w:val="clear" w:color="000000" w:fill="FFFFFF"/>
            <w:noWrap/>
            <w:vAlign w:val="center"/>
            <w:hideMark/>
          </w:tcPr>
          <w:p w14:paraId="3BCB63B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534" w:type="pct"/>
            <w:tcBorders>
              <w:top w:val="nil"/>
              <w:left w:val="nil"/>
              <w:bottom w:val="nil"/>
              <w:right w:val="nil"/>
            </w:tcBorders>
            <w:shd w:val="clear" w:color="000000" w:fill="FFFFFF"/>
            <w:noWrap/>
            <w:vAlign w:val="center"/>
            <w:hideMark/>
          </w:tcPr>
          <w:p w14:paraId="04BCE4C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nil"/>
              <w:left w:val="nil"/>
              <w:bottom w:val="nil"/>
              <w:right w:val="nil"/>
            </w:tcBorders>
            <w:shd w:val="clear" w:color="000000" w:fill="FFFFFF"/>
            <w:noWrap/>
            <w:vAlign w:val="center"/>
            <w:hideMark/>
          </w:tcPr>
          <w:p w14:paraId="5DA09D5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4" w:type="pct"/>
            <w:tcBorders>
              <w:top w:val="nil"/>
              <w:left w:val="nil"/>
              <w:bottom w:val="nil"/>
              <w:right w:val="single" w:sz="4" w:space="0" w:color="auto"/>
            </w:tcBorders>
            <w:shd w:val="clear" w:color="000000" w:fill="FFFFFF"/>
            <w:noWrap/>
            <w:vAlign w:val="center"/>
            <w:hideMark/>
          </w:tcPr>
          <w:p w14:paraId="75C0517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6E032E88"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252</w:t>
            </w:r>
          </w:p>
        </w:tc>
        <w:tc>
          <w:tcPr>
            <w:tcW w:w="413" w:type="pct"/>
            <w:tcBorders>
              <w:top w:val="nil"/>
              <w:left w:val="single" w:sz="4" w:space="0" w:color="auto"/>
              <w:bottom w:val="nil"/>
              <w:right w:val="single" w:sz="4" w:space="0" w:color="auto"/>
            </w:tcBorders>
            <w:shd w:val="clear" w:color="000000" w:fill="FFFFFF"/>
            <w:noWrap/>
            <w:vAlign w:val="center"/>
            <w:hideMark/>
          </w:tcPr>
          <w:p w14:paraId="0B1CF6A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r>
      <w:tr w:rsidR="00A41E21" w:rsidRPr="00650EE4" w14:paraId="3F8971E7" w14:textId="77777777" w:rsidTr="00775C15">
        <w:tc>
          <w:tcPr>
            <w:tcW w:w="1034" w:type="pct"/>
            <w:tcBorders>
              <w:top w:val="nil"/>
              <w:left w:val="single" w:sz="4" w:space="0" w:color="auto"/>
              <w:bottom w:val="nil"/>
              <w:right w:val="nil"/>
            </w:tcBorders>
            <w:shd w:val="clear" w:color="000000" w:fill="FFFFFF"/>
            <w:noWrap/>
            <w:vAlign w:val="center"/>
            <w:hideMark/>
          </w:tcPr>
          <w:p w14:paraId="2A7B2257"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34" w:type="pct"/>
            <w:tcBorders>
              <w:top w:val="nil"/>
              <w:left w:val="single" w:sz="4" w:space="0" w:color="auto"/>
              <w:bottom w:val="nil"/>
              <w:right w:val="nil"/>
            </w:tcBorders>
            <w:shd w:val="clear" w:color="000000" w:fill="FFFFFF"/>
            <w:noWrap/>
            <w:vAlign w:val="center"/>
            <w:hideMark/>
          </w:tcPr>
          <w:p w14:paraId="50E1227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138</w:t>
            </w:r>
          </w:p>
        </w:tc>
        <w:tc>
          <w:tcPr>
            <w:tcW w:w="534" w:type="pct"/>
            <w:tcBorders>
              <w:top w:val="nil"/>
              <w:left w:val="nil"/>
              <w:bottom w:val="nil"/>
              <w:right w:val="nil"/>
            </w:tcBorders>
            <w:shd w:val="clear" w:color="000000" w:fill="FFFFFF"/>
            <w:noWrap/>
            <w:vAlign w:val="center"/>
            <w:hideMark/>
          </w:tcPr>
          <w:p w14:paraId="67F43EA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534" w:type="pct"/>
            <w:tcBorders>
              <w:top w:val="nil"/>
              <w:left w:val="nil"/>
              <w:bottom w:val="nil"/>
              <w:right w:val="nil"/>
            </w:tcBorders>
            <w:shd w:val="clear" w:color="000000" w:fill="FFFFFF"/>
            <w:noWrap/>
            <w:vAlign w:val="center"/>
            <w:hideMark/>
          </w:tcPr>
          <w:p w14:paraId="20140CB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w:t>
            </w:r>
          </w:p>
        </w:tc>
        <w:tc>
          <w:tcPr>
            <w:tcW w:w="534" w:type="pct"/>
            <w:tcBorders>
              <w:top w:val="nil"/>
              <w:left w:val="nil"/>
              <w:bottom w:val="nil"/>
              <w:right w:val="nil"/>
            </w:tcBorders>
            <w:shd w:val="clear" w:color="000000" w:fill="FFFFFF"/>
            <w:noWrap/>
            <w:vAlign w:val="center"/>
            <w:hideMark/>
          </w:tcPr>
          <w:p w14:paraId="3C39B5D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34" w:type="pct"/>
            <w:tcBorders>
              <w:top w:val="nil"/>
              <w:left w:val="nil"/>
              <w:bottom w:val="nil"/>
              <w:right w:val="nil"/>
            </w:tcBorders>
            <w:shd w:val="clear" w:color="000000" w:fill="FFFFFF"/>
            <w:noWrap/>
            <w:vAlign w:val="center"/>
            <w:hideMark/>
          </w:tcPr>
          <w:p w14:paraId="0D0179E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64" w:type="pct"/>
            <w:tcBorders>
              <w:top w:val="nil"/>
              <w:left w:val="nil"/>
              <w:bottom w:val="nil"/>
              <w:right w:val="single" w:sz="4" w:space="0" w:color="auto"/>
            </w:tcBorders>
            <w:shd w:val="clear" w:color="000000" w:fill="FFFFFF"/>
            <w:noWrap/>
            <w:vAlign w:val="center"/>
            <w:hideMark/>
          </w:tcPr>
          <w:p w14:paraId="0CAF793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2CA70C6"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243</w:t>
            </w:r>
          </w:p>
        </w:tc>
        <w:tc>
          <w:tcPr>
            <w:tcW w:w="413" w:type="pct"/>
            <w:tcBorders>
              <w:top w:val="nil"/>
              <w:left w:val="single" w:sz="4" w:space="0" w:color="auto"/>
              <w:bottom w:val="nil"/>
              <w:right w:val="single" w:sz="4" w:space="0" w:color="auto"/>
            </w:tcBorders>
            <w:shd w:val="clear" w:color="000000" w:fill="FFFFFF"/>
            <w:noWrap/>
            <w:vAlign w:val="center"/>
            <w:hideMark/>
          </w:tcPr>
          <w:p w14:paraId="6B55397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A41E21" w:rsidRPr="00650EE4" w14:paraId="4DAB84D8" w14:textId="77777777" w:rsidTr="00775C15">
        <w:tc>
          <w:tcPr>
            <w:tcW w:w="1034" w:type="pct"/>
            <w:tcBorders>
              <w:top w:val="nil"/>
              <w:left w:val="single" w:sz="4" w:space="0" w:color="auto"/>
              <w:bottom w:val="nil"/>
              <w:right w:val="nil"/>
            </w:tcBorders>
            <w:shd w:val="clear" w:color="000000" w:fill="FFFFFF"/>
            <w:noWrap/>
            <w:vAlign w:val="center"/>
            <w:hideMark/>
          </w:tcPr>
          <w:p w14:paraId="16E37A45"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34" w:type="pct"/>
            <w:tcBorders>
              <w:top w:val="nil"/>
              <w:left w:val="single" w:sz="4" w:space="0" w:color="auto"/>
              <w:bottom w:val="nil"/>
              <w:right w:val="nil"/>
            </w:tcBorders>
            <w:shd w:val="clear" w:color="000000" w:fill="FFFFFF"/>
            <w:noWrap/>
            <w:vAlign w:val="center"/>
            <w:hideMark/>
          </w:tcPr>
          <w:p w14:paraId="2FD66A4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157</w:t>
            </w:r>
          </w:p>
        </w:tc>
        <w:tc>
          <w:tcPr>
            <w:tcW w:w="534" w:type="pct"/>
            <w:tcBorders>
              <w:top w:val="nil"/>
              <w:left w:val="nil"/>
              <w:bottom w:val="nil"/>
              <w:right w:val="nil"/>
            </w:tcBorders>
            <w:shd w:val="clear" w:color="000000" w:fill="FFFFFF"/>
            <w:noWrap/>
            <w:vAlign w:val="center"/>
            <w:hideMark/>
          </w:tcPr>
          <w:p w14:paraId="4FB71A8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4" w:type="pct"/>
            <w:tcBorders>
              <w:top w:val="nil"/>
              <w:left w:val="nil"/>
              <w:bottom w:val="nil"/>
              <w:right w:val="nil"/>
            </w:tcBorders>
            <w:shd w:val="clear" w:color="000000" w:fill="FFFFFF"/>
            <w:noWrap/>
            <w:vAlign w:val="center"/>
            <w:hideMark/>
          </w:tcPr>
          <w:p w14:paraId="3E80870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34" w:type="pct"/>
            <w:tcBorders>
              <w:top w:val="nil"/>
              <w:left w:val="nil"/>
              <w:bottom w:val="nil"/>
              <w:right w:val="nil"/>
            </w:tcBorders>
            <w:shd w:val="clear" w:color="000000" w:fill="FFFFFF"/>
            <w:noWrap/>
            <w:vAlign w:val="center"/>
            <w:hideMark/>
          </w:tcPr>
          <w:p w14:paraId="63C7F76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34" w:type="pct"/>
            <w:tcBorders>
              <w:top w:val="nil"/>
              <w:left w:val="nil"/>
              <w:bottom w:val="nil"/>
              <w:right w:val="nil"/>
            </w:tcBorders>
            <w:shd w:val="clear" w:color="000000" w:fill="FFFFFF"/>
            <w:noWrap/>
            <w:vAlign w:val="center"/>
            <w:hideMark/>
          </w:tcPr>
          <w:p w14:paraId="096BBDB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4" w:type="pct"/>
            <w:tcBorders>
              <w:top w:val="nil"/>
              <w:left w:val="nil"/>
              <w:bottom w:val="nil"/>
              <w:right w:val="single" w:sz="4" w:space="0" w:color="auto"/>
            </w:tcBorders>
            <w:shd w:val="clear" w:color="000000" w:fill="FFFFFF"/>
            <w:noWrap/>
            <w:vAlign w:val="center"/>
            <w:hideMark/>
          </w:tcPr>
          <w:p w14:paraId="0559899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56FF5E16"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177</w:t>
            </w:r>
          </w:p>
        </w:tc>
        <w:tc>
          <w:tcPr>
            <w:tcW w:w="413" w:type="pct"/>
            <w:tcBorders>
              <w:top w:val="nil"/>
              <w:left w:val="single" w:sz="4" w:space="0" w:color="auto"/>
              <w:bottom w:val="nil"/>
              <w:right w:val="single" w:sz="4" w:space="0" w:color="auto"/>
            </w:tcBorders>
            <w:shd w:val="clear" w:color="000000" w:fill="FFFFFF"/>
            <w:noWrap/>
            <w:vAlign w:val="center"/>
            <w:hideMark/>
          </w:tcPr>
          <w:p w14:paraId="1DC946B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r>
      <w:tr w:rsidR="00A41E21" w:rsidRPr="00650EE4" w14:paraId="186EEAC0" w14:textId="77777777" w:rsidTr="00775C15">
        <w:tc>
          <w:tcPr>
            <w:tcW w:w="1034" w:type="pct"/>
            <w:tcBorders>
              <w:top w:val="nil"/>
              <w:left w:val="single" w:sz="4" w:space="0" w:color="auto"/>
              <w:bottom w:val="nil"/>
              <w:right w:val="nil"/>
            </w:tcBorders>
            <w:shd w:val="clear" w:color="000000" w:fill="FFFFFF"/>
            <w:noWrap/>
            <w:vAlign w:val="center"/>
            <w:hideMark/>
          </w:tcPr>
          <w:p w14:paraId="4814378C"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34" w:type="pct"/>
            <w:tcBorders>
              <w:top w:val="nil"/>
              <w:left w:val="single" w:sz="4" w:space="0" w:color="auto"/>
              <w:bottom w:val="nil"/>
              <w:right w:val="nil"/>
            </w:tcBorders>
            <w:shd w:val="clear" w:color="000000" w:fill="FFFFFF"/>
            <w:noWrap/>
            <w:vAlign w:val="center"/>
            <w:hideMark/>
          </w:tcPr>
          <w:p w14:paraId="4AA3D0F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w:t>
            </w:r>
          </w:p>
        </w:tc>
        <w:tc>
          <w:tcPr>
            <w:tcW w:w="534" w:type="pct"/>
            <w:tcBorders>
              <w:top w:val="nil"/>
              <w:left w:val="nil"/>
              <w:bottom w:val="nil"/>
              <w:right w:val="nil"/>
            </w:tcBorders>
            <w:shd w:val="clear" w:color="000000" w:fill="FFFFFF"/>
            <w:noWrap/>
            <w:vAlign w:val="center"/>
            <w:hideMark/>
          </w:tcPr>
          <w:p w14:paraId="0994B58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534" w:type="pct"/>
            <w:tcBorders>
              <w:top w:val="nil"/>
              <w:left w:val="nil"/>
              <w:bottom w:val="nil"/>
              <w:right w:val="nil"/>
            </w:tcBorders>
            <w:shd w:val="clear" w:color="000000" w:fill="FFFFFF"/>
            <w:noWrap/>
            <w:vAlign w:val="center"/>
            <w:hideMark/>
          </w:tcPr>
          <w:p w14:paraId="2903CF8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34" w:type="pct"/>
            <w:tcBorders>
              <w:top w:val="nil"/>
              <w:left w:val="nil"/>
              <w:bottom w:val="nil"/>
              <w:right w:val="nil"/>
            </w:tcBorders>
            <w:shd w:val="clear" w:color="000000" w:fill="FFFFFF"/>
            <w:noWrap/>
            <w:vAlign w:val="center"/>
            <w:hideMark/>
          </w:tcPr>
          <w:p w14:paraId="123E75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34" w:type="pct"/>
            <w:tcBorders>
              <w:top w:val="nil"/>
              <w:left w:val="nil"/>
              <w:bottom w:val="nil"/>
              <w:right w:val="nil"/>
            </w:tcBorders>
            <w:shd w:val="clear" w:color="000000" w:fill="FFFFFF"/>
            <w:noWrap/>
            <w:vAlign w:val="center"/>
            <w:hideMark/>
          </w:tcPr>
          <w:p w14:paraId="0130321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64" w:type="pct"/>
            <w:tcBorders>
              <w:top w:val="nil"/>
              <w:left w:val="nil"/>
              <w:bottom w:val="nil"/>
              <w:right w:val="single" w:sz="4" w:space="0" w:color="auto"/>
            </w:tcBorders>
            <w:shd w:val="clear" w:color="000000" w:fill="FFFFFF"/>
            <w:noWrap/>
            <w:vAlign w:val="center"/>
            <w:hideMark/>
          </w:tcPr>
          <w:p w14:paraId="30FF232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6F3835A"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w:t>
            </w:r>
          </w:p>
        </w:tc>
        <w:tc>
          <w:tcPr>
            <w:tcW w:w="413" w:type="pct"/>
            <w:tcBorders>
              <w:top w:val="nil"/>
              <w:left w:val="single" w:sz="4" w:space="0" w:color="auto"/>
              <w:bottom w:val="nil"/>
              <w:right w:val="single" w:sz="4" w:space="0" w:color="auto"/>
            </w:tcBorders>
            <w:shd w:val="clear" w:color="000000" w:fill="FFFFFF"/>
            <w:noWrap/>
            <w:vAlign w:val="center"/>
            <w:hideMark/>
          </w:tcPr>
          <w:p w14:paraId="0702FB4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r>
      <w:tr w:rsidR="00A41E21" w:rsidRPr="00650EE4" w14:paraId="457C7338" w14:textId="77777777" w:rsidTr="00775C15">
        <w:tc>
          <w:tcPr>
            <w:tcW w:w="1034" w:type="pct"/>
            <w:tcBorders>
              <w:top w:val="nil"/>
              <w:left w:val="single" w:sz="4" w:space="0" w:color="auto"/>
              <w:bottom w:val="nil"/>
              <w:right w:val="nil"/>
            </w:tcBorders>
            <w:shd w:val="clear" w:color="000000" w:fill="FFFFFF"/>
            <w:noWrap/>
            <w:vAlign w:val="center"/>
            <w:hideMark/>
          </w:tcPr>
          <w:p w14:paraId="7230894F"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34" w:type="pct"/>
            <w:tcBorders>
              <w:top w:val="nil"/>
              <w:left w:val="single" w:sz="4" w:space="0" w:color="auto"/>
              <w:bottom w:val="single" w:sz="4" w:space="0" w:color="auto"/>
              <w:right w:val="nil"/>
            </w:tcBorders>
            <w:shd w:val="clear" w:color="000000" w:fill="FFFFFF"/>
            <w:noWrap/>
            <w:vAlign w:val="center"/>
            <w:hideMark/>
          </w:tcPr>
          <w:p w14:paraId="4B10996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34" w:type="pct"/>
            <w:tcBorders>
              <w:top w:val="nil"/>
              <w:left w:val="nil"/>
              <w:bottom w:val="single" w:sz="4" w:space="0" w:color="auto"/>
              <w:right w:val="nil"/>
            </w:tcBorders>
            <w:shd w:val="clear" w:color="000000" w:fill="FFFFFF"/>
            <w:noWrap/>
            <w:vAlign w:val="center"/>
            <w:hideMark/>
          </w:tcPr>
          <w:p w14:paraId="56DAE30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534" w:type="pct"/>
            <w:tcBorders>
              <w:top w:val="nil"/>
              <w:left w:val="nil"/>
              <w:bottom w:val="single" w:sz="4" w:space="0" w:color="auto"/>
              <w:right w:val="nil"/>
            </w:tcBorders>
            <w:shd w:val="clear" w:color="000000" w:fill="FFFFFF"/>
            <w:noWrap/>
            <w:vAlign w:val="center"/>
            <w:hideMark/>
          </w:tcPr>
          <w:p w14:paraId="2643999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c>
          <w:tcPr>
            <w:tcW w:w="534" w:type="pct"/>
            <w:tcBorders>
              <w:top w:val="nil"/>
              <w:left w:val="nil"/>
              <w:bottom w:val="single" w:sz="4" w:space="0" w:color="auto"/>
              <w:right w:val="nil"/>
            </w:tcBorders>
            <w:shd w:val="clear" w:color="000000" w:fill="FFFFFF"/>
            <w:noWrap/>
            <w:vAlign w:val="center"/>
            <w:hideMark/>
          </w:tcPr>
          <w:p w14:paraId="0A683C3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nil"/>
              <w:left w:val="nil"/>
              <w:bottom w:val="single" w:sz="4" w:space="0" w:color="auto"/>
              <w:right w:val="nil"/>
            </w:tcBorders>
            <w:shd w:val="clear" w:color="000000" w:fill="FFFFFF"/>
            <w:noWrap/>
            <w:vAlign w:val="center"/>
            <w:hideMark/>
          </w:tcPr>
          <w:p w14:paraId="5BDA648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64" w:type="pct"/>
            <w:tcBorders>
              <w:top w:val="nil"/>
              <w:left w:val="nil"/>
              <w:bottom w:val="single" w:sz="4" w:space="0" w:color="auto"/>
              <w:right w:val="single" w:sz="4" w:space="0" w:color="auto"/>
            </w:tcBorders>
            <w:shd w:val="clear" w:color="000000" w:fill="FFFFFF"/>
            <w:noWrap/>
            <w:vAlign w:val="center"/>
            <w:hideMark/>
          </w:tcPr>
          <w:p w14:paraId="644EFCA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single" w:sz="4" w:space="0" w:color="auto"/>
              <w:right w:val="nil"/>
            </w:tcBorders>
            <w:shd w:val="clear" w:color="000000" w:fill="FFFFFF"/>
            <w:noWrap/>
            <w:vAlign w:val="center"/>
            <w:hideMark/>
          </w:tcPr>
          <w:p w14:paraId="4540B285"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154</w:t>
            </w:r>
          </w:p>
        </w:tc>
        <w:tc>
          <w:tcPr>
            <w:tcW w:w="413" w:type="pct"/>
            <w:tcBorders>
              <w:top w:val="nil"/>
              <w:left w:val="single" w:sz="4" w:space="0" w:color="auto"/>
              <w:bottom w:val="single" w:sz="4" w:space="0" w:color="auto"/>
              <w:right w:val="single" w:sz="4" w:space="0" w:color="auto"/>
            </w:tcBorders>
            <w:shd w:val="clear" w:color="000000" w:fill="FFFFFF"/>
            <w:noWrap/>
            <w:vAlign w:val="center"/>
            <w:hideMark/>
          </w:tcPr>
          <w:p w14:paraId="5E0D763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A41E21" w:rsidRPr="00650EE4" w14:paraId="2CE812AC" w14:textId="77777777" w:rsidTr="00775C15">
        <w:tc>
          <w:tcPr>
            <w:tcW w:w="1034" w:type="pct"/>
            <w:tcBorders>
              <w:top w:val="single" w:sz="4" w:space="0" w:color="auto"/>
              <w:left w:val="single" w:sz="4" w:space="0" w:color="auto"/>
              <w:bottom w:val="nil"/>
              <w:right w:val="single" w:sz="4" w:space="0" w:color="auto"/>
            </w:tcBorders>
            <w:shd w:val="clear" w:color="000000" w:fill="FFFFFF"/>
            <w:noWrap/>
            <w:vAlign w:val="center"/>
            <w:hideMark/>
          </w:tcPr>
          <w:p w14:paraId="525D0C60" w14:textId="77777777" w:rsidR="00A41E21" w:rsidRPr="00650EE4" w:rsidRDefault="00A41E21" w:rsidP="00A41E2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34" w:type="pct"/>
            <w:tcBorders>
              <w:top w:val="nil"/>
              <w:left w:val="nil"/>
              <w:bottom w:val="nil"/>
              <w:right w:val="nil"/>
            </w:tcBorders>
            <w:shd w:val="clear" w:color="000000" w:fill="FFFFFF"/>
            <w:noWrap/>
            <w:vAlign w:val="center"/>
            <w:hideMark/>
          </w:tcPr>
          <w:p w14:paraId="56B0A154"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6.552</w:t>
            </w:r>
          </w:p>
        </w:tc>
        <w:tc>
          <w:tcPr>
            <w:tcW w:w="534" w:type="pct"/>
            <w:tcBorders>
              <w:top w:val="nil"/>
              <w:left w:val="nil"/>
              <w:bottom w:val="nil"/>
              <w:right w:val="nil"/>
            </w:tcBorders>
            <w:shd w:val="clear" w:color="000000" w:fill="FFFFFF"/>
            <w:noWrap/>
            <w:vAlign w:val="center"/>
            <w:hideMark/>
          </w:tcPr>
          <w:p w14:paraId="512A0747"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961</w:t>
            </w:r>
          </w:p>
        </w:tc>
        <w:tc>
          <w:tcPr>
            <w:tcW w:w="534" w:type="pct"/>
            <w:tcBorders>
              <w:top w:val="nil"/>
              <w:left w:val="nil"/>
              <w:bottom w:val="nil"/>
              <w:right w:val="nil"/>
            </w:tcBorders>
            <w:shd w:val="clear" w:color="000000" w:fill="FFFFFF"/>
            <w:noWrap/>
            <w:vAlign w:val="center"/>
            <w:hideMark/>
          </w:tcPr>
          <w:p w14:paraId="546620F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860</w:t>
            </w:r>
          </w:p>
        </w:tc>
        <w:tc>
          <w:tcPr>
            <w:tcW w:w="534" w:type="pct"/>
            <w:tcBorders>
              <w:top w:val="nil"/>
              <w:left w:val="nil"/>
              <w:bottom w:val="nil"/>
              <w:right w:val="nil"/>
            </w:tcBorders>
            <w:shd w:val="clear" w:color="000000" w:fill="FFFFFF"/>
            <w:noWrap/>
            <w:vAlign w:val="center"/>
            <w:hideMark/>
          </w:tcPr>
          <w:p w14:paraId="6D0C367D"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89</w:t>
            </w:r>
          </w:p>
        </w:tc>
        <w:tc>
          <w:tcPr>
            <w:tcW w:w="534" w:type="pct"/>
            <w:tcBorders>
              <w:top w:val="nil"/>
              <w:left w:val="nil"/>
              <w:bottom w:val="nil"/>
              <w:right w:val="nil"/>
            </w:tcBorders>
            <w:shd w:val="clear" w:color="000000" w:fill="FFFFFF"/>
            <w:noWrap/>
            <w:vAlign w:val="center"/>
            <w:hideMark/>
          </w:tcPr>
          <w:p w14:paraId="08935C8A"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26</w:t>
            </w:r>
          </w:p>
        </w:tc>
        <w:tc>
          <w:tcPr>
            <w:tcW w:w="464" w:type="pct"/>
            <w:tcBorders>
              <w:top w:val="nil"/>
              <w:left w:val="nil"/>
              <w:bottom w:val="nil"/>
              <w:right w:val="single" w:sz="4" w:space="0" w:color="auto"/>
            </w:tcBorders>
            <w:shd w:val="clear" w:color="000000" w:fill="FFFFFF"/>
            <w:noWrap/>
            <w:vAlign w:val="center"/>
            <w:hideMark/>
          </w:tcPr>
          <w:p w14:paraId="1851C8D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w:t>
            </w:r>
          </w:p>
        </w:tc>
        <w:tc>
          <w:tcPr>
            <w:tcW w:w="418" w:type="pct"/>
            <w:tcBorders>
              <w:top w:val="nil"/>
              <w:left w:val="nil"/>
              <w:bottom w:val="nil"/>
              <w:right w:val="nil"/>
            </w:tcBorders>
            <w:shd w:val="clear" w:color="000000" w:fill="FFFFFF"/>
            <w:noWrap/>
            <w:vAlign w:val="center"/>
            <w:hideMark/>
          </w:tcPr>
          <w:p w14:paraId="1491B3A0"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8.492</w:t>
            </w:r>
          </w:p>
        </w:tc>
        <w:tc>
          <w:tcPr>
            <w:tcW w:w="413" w:type="pct"/>
            <w:tcBorders>
              <w:top w:val="nil"/>
              <w:left w:val="single" w:sz="4" w:space="0" w:color="auto"/>
              <w:bottom w:val="nil"/>
              <w:right w:val="single" w:sz="4" w:space="0" w:color="auto"/>
            </w:tcBorders>
            <w:shd w:val="clear" w:color="000000" w:fill="FFFFFF"/>
            <w:noWrap/>
            <w:vAlign w:val="center"/>
            <w:hideMark/>
          </w:tcPr>
          <w:p w14:paraId="34A4AF5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A41E21" w:rsidRPr="00650EE4" w14:paraId="022B694B" w14:textId="77777777" w:rsidTr="00775C15">
        <w:tc>
          <w:tcPr>
            <w:tcW w:w="10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11771"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34" w:type="pct"/>
            <w:tcBorders>
              <w:top w:val="single" w:sz="4" w:space="0" w:color="auto"/>
              <w:left w:val="nil"/>
              <w:bottom w:val="single" w:sz="4" w:space="0" w:color="auto"/>
              <w:right w:val="nil"/>
            </w:tcBorders>
            <w:shd w:val="clear" w:color="000000" w:fill="FFFFFF"/>
            <w:noWrap/>
            <w:vAlign w:val="center"/>
            <w:hideMark/>
          </w:tcPr>
          <w:p w14:paraId="368D246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534" w:type="pct"/>
            <w:tcBorders>
              <w:top w:val="single" w:sz="4" w:space="0" w:color="auto"/>
              <w:left w:val="nil"/>
              <w:bottom w:val="single" w:sz="4" w:space="0" w:color="auto"/>
              <w:right w:val="nil"/>
            </w:tcBorders>
            <w:shd w:val="clear" w:color="000000" w:fill="FFFFFF"/>
            <w:noWrap/>
            <w:vAlign w:val="center"/>
            <w:hideMark/>
          </w:tcPr>
          <w:p w14:paraId="5FBAD29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4" w:type="pct"/>
            <w:tcBorders>
              <w:top w:val="single" w:sz="4" w:space="0" w:color="auto"/>
              <w:left w:val="nil"/>
              <w:bottom w:val="single" w:sz="4" w:space="0" w:color="auto"/>
              <w:right w:val="nil"/>
            </w:tcBorders>
            <w:shd w:val="clear" w:color="000000" w:fill="FFFFFF"/>
            <w:noWrap/>
            <w:vAlign w:val="center"/>
            <w:hideMark/>
          </w:tcPr>
          <w:p w14:paraId="1D2DF42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534" w:type="pct"/>
            <w:tcBorders>
              <w:top w:val="single" w:sz="4" w:space="0" w:color="auto"/>
              <w:left w:val="nil"/>
              <w:bottom w:val="single" w:sz="4" w:space="0" w:color="auto"/>
              <w:right w:val="nil"/>
            </w:tcBorders>
            <w:shd w:val="clear" w:color="000000" w:fill="FFFFFF"/>
            <w:noWrap/>
            <w:vAlign w:val="center"/>
            <w:hideMark/>
          </w:tcPr>
          <w:p w14:paraId="06FB407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single" w:sz="4" w:space="0" w:color="auto"/>
              <w:left w:val="nil"/>
              <w:bottom w:val="single" w:sz="4" w:space="0" w:color="auto"/>
              <w:right w:val="nil"/>
            </w:tcBorders>
            <w:shd w:val="clear" w:color="000000" w:fill="FFFFFF"/>
            <w:noWrap/>
            <w:vAlign w:val="center"/>
            <w:hideMark/>
          </w:tcPr>
          <w:p w14:paraId="6FE53B6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4" w:type="pct"/>
            <w:tcBorders>
              <w:top w:val="single" w:sz="4" w:space="0" w:color="auto"/>
              <w:left w:val="nil"/>
              <w:bottom w:val="single" w:sz="4" w:space="0" w:color="auto"/>
              <w:right w:val="single" w:sz="4" w:space="0" w:color="auto"/>
            </w:tcBorders>
            <w:shd w:val="clear" w:color="000000" w:fill="FFFFFF"/>
            <w:noWrap/>
            <w:vAlign w:val="center"/>
            <w:hideMark/>
          </w:tcPr>
          <w:p w14:paraId="4825736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single" w:sz="4" w:space="0" w:color="auto"/>
              <w:left w:val="nil"/>
              <w:bottom w:val="single" w:sz="4" w:space="0" w:color="auto"/>
              <w:right w:val="nil"/>
            </w:tcBorders>
            <w:shd w:val="clear" w:color="000000" w:fill="FFFFFF"/>
            <w:noWrap/>
            <w:vAlign w:val="center"/>
            <w:hideMark/>
          </w:tcPr>
          <w:p w14:paraId="5FCA0AA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81570"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0A7A2862" w14:textId="6E916D80" w:rsidR="005B14CD" w:rsidRPr="00650EE4" w:rsidRDefault="00731DB0" w:rsidP="00731DB0">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682B9E" w:rsidRPr="00650EE4">
        <w:rPr>
          <w:rFonts w:ascii="Times New Roman" w:eastAsia="Times New Roman" w:hAnsi="Times New Roman"/>
          <w:i/>
          <w:color w:val="000000" w:themeColor="text1"/>
          <w:sz w:val="20"/>
          <w:szCs w:val="20"/>
        </w:rPr>
        <w:t>S</w:t>
      </w:r>
      <w:r w:rsidR="003E0FC5" w:rsidRPr="00650EE4">
        <w:rPr>
          <w:rFonts w:ascii="Times New Roman" w:eastAsia="Times New Roman" w:hAnsi="Times New Roman"/>
          <w:i/>
          <w:color w:val="000000" w:themeColor="text1"/>
          <w:sz w:val="20"/>
          <w:szCs w:val="20"/>
        </w:rPr>
        <w:t>tudijos</w:t>
      </w:r>
      <w:r w:rsidR="006D65CB">
        <w:rPr>
          <w:rFonts w:ascii="Times New Roman" w:eastAsia="Times New Roman" w:hAnsi="Times New Roman"/>
          <w:i/>
          <w:color w:val="000000" w:themeColor="text1"/>
          <w:sz w:val="20"/>
          <w:szCs w:val="20"/>
        </w:rPr>
        <w:t xml:space="preserve"> </w:t>
      </w:r>
      <w:r w:rsidR="006D65CB">
        <w:rPr>
          <w:rFonts w:ascii="Times New Roman" w:hAnsi="Times New Roman"/>
          <w:i/>
          <w:iCs/>
          <w:color w:val="auto"/>
          <w:sz w:val="20"/>
          <w:szCs w:val="20"/>
        </w:rPr>
        <w:t>Lietuvos ilgalaikei renovacijos strategijai parengti</w:t>
      </w:r>
      <w:r w:rsidR="003E0FC5" w:rsidRPr="00650EE4">
        <w:rPr>
          <w:rFonts w:ascii="Times New Roman" w:eastAsia="Times New Roman" w:hAnsi="Times New Roman"/>
          <w:i/>
          <w:color w:val="000000" w:themeColor="text1"/>
          <w:sz w:val="20"/>
          <w:szCs w:val="20"/>
        </w:rPr>
        <w:t xml:space="preserve"> autoriai</w:t>
      </w:r>
    </w:p>
    <w:p w14:paraId="3613DE63" w14:textId="77777777" w:rsidR="00AF03E9" w:rsidRPr="00650EE4" w:rsidRDefault="00AF03E9" w:rsidP="005C7021">
      <w:pPr>
        <w:spacing w:line="240" w:lineRule="auto"/>
        <w:jc w:val="both"/>
        <w:rPr>
          <w:rFonts w:ascii="Times New Roman" w:hAnsi="Times New Roman"/>
          <w:color w:val="000000" w:themeColor="text1"/>
          <w:szCs w:val="22"/>
        </w:rPr>
      </w:pPr>
    </w:p>
    <w:p w14:paraId="5D4F3913" w14:textId="5C7C8FA1" w:rsidR="005C7021" w:rsidRDefault="002278FB" w:rsidP="005C7021">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Paveiks</w:t>
      </w:r>
      <w:r w:rsidR="006560B4">
        <w:rPr>
          <w:rFonts w:ascii="Times New Roman" w:hAnsi="Times New Roman"/>
          <w:color w:val="000000" w:themeColor="text1"/>
          <w:szCs w:val="22"/>
        </w:rPr>
        <w:t>le žemiau pateikiami agreguoti p</w:t>
      </w:r>
      <w:r w:rsidRPr="00650EE4">
        <w:rPr>
          <w:rFonts w:ascii="Times New Roman" w:hAnsi="Times New Roman"/>
          <w:color w:val="000000" w:themeColor="text1"/>
          <w:szCs w:val="22"/>
        </w:rPr>
        <w:t>astatų fondo duomenys pagal šiluminės energijos vartojimą.</w:t>
      </w:r>
    </w:p>
    <w:p w14:paraId="3A2CDAD0" w14:textId="77777777" w:rsidR="006560B4" w:rsidRPr="00650EE4" w:rsidRDefault="006560B4" w:rsidP="005C7021">
      <w:pPr>
        <w:spacing w:line="240" w:lineRule="auto"/>
        <w:jc w:val="both"/>
        <w:rPr>
          <w:rFonts w:ascii="Times New Roman" w:eastAsiaTheme="minorHAnsi" w:hAnsi="Times New Roman"/>
          <w:bCs/>
          <w:i/>
          <w:color w:val="000000" w:themeColor="text1"/>
          <w:sz w:val="20"/>
          <w:szCs w:val="20"/>
        </w:rPr>
      </w:pPr>
    </w:p>
    <w:p w14:paraId="3681EAA8" w14:textId="2F6FB3F8" w:rsidR="004B3933"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54" w:name="_Toc67925256"/>
      <w:r w:rsidR="007744C1">
        <w:t>8</w:t>
      </w:r>
      <w:r w:rsidRPr="00650EE4">
        <w:rPr>
          <w:noProof w:val="0"/>
        </w:rPr>
        <w:fldChar w:fldCharType="end"/>
      </w:r>
      <w:r w:rsidR="004B3933" w:rsidRPr="00650EE4">
        <w:rPr>
          <w:noProof w:val="0"/>
        </w:rPr>
        <w:t xml:space="preserve"> paveikslas. Pastatų fondo šiluminės energijos vartojimas (agreguotas) (</w:t>
      </w:r>
      <w:proofErr w:type="spellStart"/>
      <w:r w:rsidR="004B3933" w:rsidRPr="00650EE4">
        <w:rPr>
          <w:noProof w:val="0"/>
        </w:rPr>
        <w:t>GWh</w:t>
      </w:r>
      <w:proofErr w:type="spellEnd"/>
      <w:r w:rsidR="004B3933" w:rsidRPr="00650EE4">
        <w:rPr>
          <w:noProof w:val="0"/>
        </w:rPr>
        <w:t>/metus)</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36"/>
      </w:tblGrid>
      <w:tr w:rsidR="00FB5BEB" w:rsidRPr="00650EE4" w14:paraId="3E09B24D" w14:textId="77777777" w:rsidTr="00FB5BEB">
        <w:tc>
          <w:tcPr>
            <w:tcW w:w="5068" w:type="dxa"/>
          </w:tcPr>
          <w:p w14:paraId="255B00C4" w14:textId="1B313D63" w:rsidR="002278FB" w:rsidRPr="00650EE4" w:rsidRDefault="00DA63F0" w:rsidP="00C421FC">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4B0CBB35" wp14:editId="4276BB97">
                  <wp:extent cx="3132162" cy="1929130"/>
                  <wp:effectExtent l="0" t="0" r="11430" b="13970"/>
                  <wp:docPr id="17" name="Chart 17">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24802F-BE7E-43D0-B5FC-C811419A6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36" w:type="dxa"/>
          </w:tcPr>
          <w:p w14:paraId="2F39233D" w14:textId="5BD7E531" w:rsidR="002278FB" w:rsidRPr="00650EE4" w:rsidRDefault="00DA63F0" w:rsidP="00C421FC">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0480718E" wp14:editId="4E910583">
                  <wp:extent cx="3118514" cy="1929130"/>
                  <wp:effectExtent l="0" t="0" r="5715" b="13970"/>
                  <wp:docPr id="13" name="Chart 13">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59CA1-09B0-406B-A1F7-05583DF67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603C62B" w14:textId="3CF25A89" w:rsidR="00AD6967" w:rsidRPr="00650EE4" w:rsidRDefault="00AD6967" w:rsidP="00AD6967">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6D65CB">
        <w:rPr>
          <w:rFonts w:ascii="Times New Roman" w:eastAsia="Times New Roman" w:hAnsi="Times New Roman"/>
          <w:i/>
          <w:color w:val="000000" w:themeColor="text1"/>
          <w:sz w:val="20"/>
          <w:szCs w:val="28"/>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61E18FEA" w14:textId="77777777" w:rsidR="002278FB" w:rsidRPr="00650EE4" w:rsidRDefault="002278FB" w:rsidP="002278FB">
      <w:pPr>
        <w:spacing w:line="240" w:lineRule="auto"/>
        <w:jc w:val="both"/>
        <w:rPr>
          <w:rFonts w:ascii="Times New Roman" w:hAnsi="Times New Roman"/>
          <w:color w:val="000000" w:themeColor="text1"/>
          <w:szCs w:val="22"/>
        </w:rPr>
      </w:pPr>
    </w:p>
    <w:p w14:paraId="40502BAF" w14:textId="3CED9B9C" w:rsidR="00401563" w:rsidRPr="00650EE4" w:rsidRDefault="00401563" w:rsidP="00401563">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6EF3AB3A" w14:textId="22DCB23F" w:rsidR="004D6F9E" w:rsidRPr="00650EE4" w:rsidRDefault="006560B4" w:rsidP="004D6F9E">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3/4 (77 proc.) visos p</w:t>
      </w:r>
      <w:r w:rsidR="004D6F9E" w:rsidRPr="00650EE4">
        <w:rPr>
          <w:rFonts w:ascii="Times New Roman" w:hAnsi="Times New Roman"/>
          <w:color w:val="000000" w:themeColor="text1"/>
          <w:szCs w:val="22"/>
        </w:rPr>
        <w:t>astatų fondo šiluminės energijos karštam vandeniui ruošti vartoja žemesnės nei C energinio naudingumo klasės pastatai. Reikšmingiausias vartojimas šiame segmente yra daugiabučiai (28</w:t>
      </w:r>
      <w:r w:rsidR="00AF03E9" w:rsidRPr="00650EE4">
        <w:rPr>
          <w:rFonts w:ascii="Times New Roman" w:hAnsi="Times New Roman"/>
          <w:color w:val="000000" w:themeColor="text1"/>
          <w:szCs w:val="22"/>
        </w:rPr>
        <w:t> </w:t>
      </w:r>
      <w:r w:rsidR="004D6F9E" w:rsidRPr="00650EE4">
        <w:rPr>
          <w:rFonts w:ascii="Times New Roman" w:hAnsi="Times New Roman"/>
          <w:color w:val="000000" w:themeColor="text1"/>
          <w:szCs w:val="22"/>
        </w:rPr>
        <w:t xml:space="preserve">proc.) ir kitos negyvenamosios paskirties pastatai (25 proc.); </w:t>
      </w:r>
    </w:p>
    <w:p w14:paraId="415E42F3" w14:textId="62C81997" w:rsidR="00A24DF1" w:rsidRPr="00650EE4" w:rsidRDefault="006560B4" w:rsidP="00A24DF1">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s</w:t>
      </w:r>
      <w:r w:rsidR="00A24DF1" w:rsidRPr="00650EE4">
        <w:rPr>
          <w:rFonts w:ascii="Times New Roman" w:hAnsi="Times New Roman"/>
          <w:color w:val="000000" w:themeColor="text1"/>
          <w:szCs w:val="22"/>
        </w:rPr>
        <w:t>uminės šiluminės energijos karštam vandeniui ruošti vartojimas sudaro</w:t>
      </w:r>
      <w:r w:rsidR="00195100" w:rsidRPr="00650EE4">
        <w:rPr>
          <w:rFonts w:ascii="Times New Roman" w:hAnsi="Times New Roman"/>
          <w:color w:val="000000" w:themeColor="text1"/>
          <w:szCs w:val="22"/>
        </w:rPr>
        <w:t xml:space="preserve"> 30% viso šiluminės energijos vartojimo, tačiau reikšmingai skiriasi tarp pastatų paskirčių</w:t>
      </w:r>
      <w:r>
        <w:rPr>
          <w:rFonts w:ascii="Times New Roman" w:hAnsi="Times New Roman"/>
          <w:color w:val="000000" w:themeColor="text1"/>
          <w:szCs w:val="22"/>
        </w:rPr>
        <w:t>;</w:t>
      </w:r>
    </w:p>
    <w:p w14:paraId="482171C4" w14:textId="2E5AF2F2" w:rsidR="00A24DF1" w:rsidRPr="00650EE4" w:rsidRDefault="006560B4" w:rsidP="00A24DF1">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A24DF1" w:rsidRPr="00650EE4">
        <w:rPr>
          <w:rFonts w:ascii="Times New Roman" w:hAnsi="Times New Roman"/>
          <w:color w:val="000000" w:themeColor="text1"/>
          <w:szCs w:val="22"/>
        </w:rPr>
        <w:t xml:space="preserve">ndividualūs pastatai </w:t>
      </w:r>
      <w:r w:rsidR="00195100" w:rsidRPr="00650EE4">
        <w:rPr>
          <w:rFonts w:ascii="Times New Roman" w:hAnsi="Times New Roman"/>
          <w:color w:val="000000" w:themeColor="text1"/>
          <w:szCs w:val="22"/>
        </w:rPr>
        <w:t xml:space="preserve">karštam vandeniui ruošti </w:t>
      </w:r>
      <w:r w:rsidR="00A24DF1" w:rsidRPr="00650EE4">
        <w:rPr>
          <w:rFonts w:ascii="Times New Roman" w:hAnsi="Times New Roman"/>
          <w:color w:val="000000" w:themeColor="text1"/>
          <w:szCs w:val="22"/>
        </w:rPr>
        <w:t xml:space="preserve">vartoja </w:t>
      </w:r>
      <w:r w:rsidR="00195100" w:rsidRPr="00650EE4">
        <w:rPr>
          <w:rFonts w:ascii="Times New Roman" w:hAnsi="Times New Roman"/>
          <w:color w:val="000000" w:themeColor="text1"/>
          <w:szCs w:val="22"/>
        </w:rPr>
        <w:t xml:space="preserve">tik 1/10 (9 proc.) dalį šiluminės energijos. Tuo tarpu </w:t>
      </w:r>
      <w:r w:rsidR="004D6F9E" w:rsidRPr="00650EE4">
        <w:rPr>
          <w:rFonts w:ascii="Times New Roman" w:hAnsi="Times New Roman"/>
          <w:color w:val="000000" w:themeColor="text1"/>
          <w:szCs w:val="22"/>
        </w:rPr>
        <w:t xml:space="preserve">pramonės pastatai – 30%, daugiabučiai – </w:t>
      </w:r>
      <w:r w:rsidR="00BC322C" w:rsidRPr="00650EE4">
        <w:rPr>
          <w:rFonts w:ascii="Times New Roman" w:hAnsi="Times New Roman"/>
          <w:color w:val="000000" w:themeColor="text1"/>
          <w:szCs w:val="22"/>
        </w:rPr>
        <w:t>41%, kiti negyvenamieji – 50%.</w:t>
      </w:r>
    </w:p>
    <w:p w14:paraId="0068C792" w14:textId="77777777" w:rsidR="00401563" w:rsidRPr="00650EE4" w:rsidRDefault="00401563" w:rsidP="00D547F0">
      <w:pPr>
        <w:pStyle w:val="Pagrindinispaprastastekstas"/>
        <w:rPr>
          <w:rFonts w:ascii="Times New Roman" w:hAnsi="Times New Roman"/>
          <w:color w:val="000000" w:themeColor="text1"/>
          <w:szCs w:val="22"/>
        </w:rPr>
      </w:pPr>
    </w:p>
    <w:p w14:paraId="5732B973" w14:textId="1C0FD8CA" w:rsidR="007E53CA" w:rsidRPr="00650EE4" w:rsidRDefault="007E53CA" w:rsidP="007E53CA">
      <w:pPr>
        <w:pStyle w:val="Antrastes31"/>
        <w:numPr>
          <w:ilvl w:val="2"/>
          <w:numId w:val="4"/>
        </w:numPr>
        <w:spacing w:before="120"/>
        <w:ind w:left="720" w:hanging="720"/>
        <w:rPr>
          <w:rFonts w:ascii="Times New Roman" w:hAnsi="Times New Roman"/>
          <w:color w:val="000000" w:themeColor="text1"/>
          <w:sz w:val="24"/>
          <w:szCs w:val="24"/>
          <w:lang w:val="lt-LT"/>
        </w:rPr>
      </w:pPr>
      <w:bookmarkStart w:id="55" w:name="_Toc67925113"/>
      <w:r w:rsidRPr="00650EE4">
        <w:rPr>
          <w:rFonts w:ascii="Times New Roman" w:hAnsi="Times New Roman"/>
          <w:color w:val="000000" w:themeColor="text1"/>
          <w:sz w:val="24"/>
          <w:szCs w:val="24"/>
          <w:lang w:val="lt-LT"/>
        </w:rPr>
        <w:t>Elektros energijos vartojimas</w:t>
      </w:r>
      <w:bookmarkEnd w:id="55"/>
    </w:p>
    <w:p w14:paraId="66EF4B44" w14:textId="73F6EFE9" w:rsidR="00A45646" w:rsidRPr="00650EE4" w:rsidRDefault="00A45646" w:rsidP="00A45646">
      <w:pPr>
        <w:shd w:val="clear" w:color="auto" w:fill="FFFFFF"/>
        <w:spacing w:after="120" w:line="240" w:lineRule="auto"/>
        <w:rPr>
          <w:rFonts w:ascii="Times New Roman" w:eastAsia="Times New Roman" w:hAnsi="Times New Roman"/>
          <w:color w:val="222222"/>
          <w:szCs w:val="22"/>
        </w:rPr>
      </w:pPr>
      <w:r w:rsidRPr="00650EE4">
        <w:rPr>
          <w:rFonts w:ascii="Times New Roman" w:eastAsia="Times New Roman" w:hAnsi="Times New Roman"/>
          <w:color w:val="222222"/>
          <w:szCs w:val="22"/>
        </w:rPr>
        <w:t>Elektros energijos sąnaudos apima:</w:t>
      </w:r>
    </w:p>
    <w:p w14:paraId="05274ECB" w14:textId="5CE8B9BA"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energijos sąnaudos apšvietimui;</w:t>
      </w:r>
    </w:p>
    <w:p w14:paraId="5006621D" w14:textId="4F07FFAD"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energijos sąnaudos prietaisams pastate;</w:t>
      </w:r>
    </w:p>
    <w:p w14:paraId="1FEEDE5C" w14:textId="7255F223"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energijos sąnaudos ne pastate (su pastato naudojimu susijusioms reikmėms);</w:t>
      </w:r>
    </w:p>
    <w:p w14:paraId="29D53183" w14:textId="6B6930AE"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v</w:t>
      </w:r>
      <w:r w:rsidR="00A45646" w:rsidRPr="00650EE4">
        <w:rPr>
          <w:rFonts w:ascii="Times New Roman" w:hAnsi="Times New Roman"/>
          <w:color w:val="000000" w:themeColor="text1"/>
          <w:szCs w:val="22"/>
        </w:rPr>
        <w:t>ėdinimo įrenginių elektros energijos sąnaudos (jei yra vėdinimas);</w:t>
      </w:r>
    </w:p>
    <w:p w14:paraId="72D92A01" w14:textId="107E09D5"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sąnaudos vėsinimui;</w:t>
      </w:r>
    </w:p>
    <w:p w14:paraId="102D6A24" w14:textId="53035C9D"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lastRenderedPageBreak/>
        <w:t>s</w:t>
      </w:r>
      <w:r w:rsidR="00A45646" w:rsidRPr="00650EE4">
        <w:rPr>
          <w:rFonts w:ascii="Times New Roman" w:hAnsi="Times New Roman"/>
          <w:color w:val="000000" w:themeColor="text1"/>
          <w:szCs w:val="22"/>
        </w:rPr>
        <w:t>uminės pastate suvartotas elektros energijos sąnaudos;</w:t>
      </w:r>
    </w:p>
    <w:p w14:paraId="394DB1A2" w14:textId="2C708550" w:rsidR="00A45646" w:rsidRPr="00650EE4" w:rsidRDefault="006560B4" w:rsidP="00A45646">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s</w:t>
      </w:r>
      <w:r w:rsidR="00A45646" w:rsidRPr="00650EE4">
        <w:rPr>
          <w:rFonts w:ascii="Times New Roman" w:hAnsi="Times New Roman"/>
          <w:color w:val="000000" w:themeColor="text1"/>
          <w:szCs w:val="22"/>
        </w:rPr>
        <w:t>uminės pastate suvartotas elektros energijos sąnaudos (be vėdinimo).</w:t>
      </w:r>
    </w:p>
    <w:p w14:paraId="39C21D6A" w14:textId="77777777" w:rsidR="00A45646" w:rsidRPr="00650EE4" w:rsidRDefault="00A45646" w:rsidP="0072798C">
      <w:pPr>
        <w:pStyle w:val="BodyText"/>
        <w:spacing w:line="240" w:lineRule="auto"/>
        <w:jc w:val="both"/>
        <w:rPr>
          <w:rFonts w:ascii="Times New Roman" w:hAnsi="Times New Roman"/>
          <w:color w:val="000000" w:themeColor="text1"/>
          <w:szCs w:val="22"/>
          <w:lang w:val="lt-LT"/>
        </w:rPr>
      </w:pPr>
    </w:p>
    <w:p w14:paraId="3C478C09" w14:textId="2DF01410" w:rsidR="0072798C" w:rsidRPr="00650EE4" w:rsidRDefault="00401563" w:rsidP="0072798C">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fondo metinis elektros</w:t>
      </w:r>
      <w:r w:rsidR="0072798C" w:rsidRPr="00650EE4">
        <w:rPr>
          <w:rFonts w:ascii="Times New Roman" w:hAnsi="Times New Roman"/>
          <w:color w:val="000000" w:themeColor="text1"/>
          <w:szCs w:val="22"/>
          <w:lang w:val="lt-LT"/>
        </w:rPr>
        <w:t xml:space="preserve"> energijos vartojimas</w:t>
      </w:r>
      <w:r w:rsidR="00B51159" w:rsidRPr="00650EE4">
        <w:rPr>
          <w:rFonts w:ascii="Times New Roman" w:hAnsi="Times New Roman"/>
          <w:color w:val="000000" w:themeColor="text1"/>
          <w:szCs w:val="22"/>
          <w:lang w:val="lt-LT"/>
        </w:rPr>
        <w:t>,</w:t>
      </w:r>
      <w:r w:rsidR="0072798C" w:rsidRPr="00650EE4">
        <w:rPr>
          <w:rFonts w:ascii="Times New Roman" w:hAnsi="Times New Roman"/>
          <w:color w:val="000000" w:themeColor="text1"/>
          <w:szCs w:val="22"/>
          <w:lang w:val="lt-LT"/>
        </w:rPr>
        <w:t xml:space="preserve"> pagal e</w:t>
      </w:r>
      <w:r w:rsidR="00B51159" w:rsidRPr="00650EE4">
        <w:rPr>
          <w:rFonts w:ascii="Times New Roman" w:hAnsi="Times New Roman"/>
          <w:color w:val="000000" w:themeColor="text1"/>
          <w:szCs w:val="22"/>
          <w:lang w:val="lt-LT"/>
        </w:rPr>
        <w:t>nerginio naudingumo klasę, pateikiamas lentelėje žemiau.</w:t>
      </w:r>
    </w:p>
    <w:p w14:paraId="52070FCA" w14:textId="77777777" w:rsidR="00B51159" w:rsidRPr="00650EE4" w:rsidRDefault="00B51159" w:rsidP="0072798C">
      <w:pPr>
        <w:pStyle w:val="BodyText"/>
        <w:spacing w:line="240" w:lineRule="auto"/>
        <w:jc w:val="both"/>
        <w:rPr>
          <w:rFonts w:ascii="Times New Roman" w:hAnsi="Times New Roman"/>
          <w:color w:val="000000" w:themeColor="text1"/>
          <w:szCs w:val="22"/>
          <w:lang w:val="lt-LT"/>
        </w:rPr>
      </w:pPr>
    </w:p>
    <w:p w14:paraId="2F875952" w14:textId="44F565D1" w:rsidR="005750CC"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56" w:name="_Toc67925202"/>
      <w:r w:rsidR="007744C1">
        <w:t>19</w:t>
      </w:r>
      <w:r w:rsidRPr="00650EE4">
        <w:rPr>
          <w:noProof w:val="0"/>
        </w:rPr>
        <w:fldChar w:fldCharType="end"/>
      </w:r>
      <w:r w:rsidR="005750CC" w:rsidRPr="00650EE4">
        <w:rPr>
          <w:noProof w:val="0"/>
        </w:rPr>
        <w:t xml:space="preserve"> lentelė. Pastatų fondo elektros ener</w:t>
      </w:r>
      <w:r w:rsidR="00401563" w:rsidRPr="00650EE4">
        <w:rPr>
          <w:noProof w:val="0"/>
        </w:rPr>
        <w:t xml:space="preserve">gijos vartojimas pagal </w:t>
      </w:r>
      <w:r w:rsidR="009209CF" w:rsidRPr="00650EE4">
        <w:rPr>
          <w:noProof w:val="0"/>
        </w:rPr>
        <w:t>ENK</w:t>
      </w:r>
      <w:r w:rsidR="005750CC" w:rsidRPr="00650EE4">
        <w:rPr>
          <w:noProof w:val="0"/>
        </w:rPr>
        <w:t xml:space="preserve"> (</w:t>
      </w:r>
      <w:proofErr w:type="spellStart"/>
      <w:r w:rsidR="005750CC" w:rsidRPr="00650EE4">
        <w:rPr>
          <w:noProof w:val="0"/>
        </w:rPr>
        <w:t>GWh</w:t>
      </w:r>
      <w:proofErr w:type="spellEnd"/>
      <w:r w:rsidR="005750CC" w:rsidRPr="00650EE4">
        <w:rPr>
          <w:noProof w:val="0"/>
        </w:rPr>
        <w:t>)</w:t>
      </w:r>
      <w:bookmarkEnd w:id="56"/>
    </w:p>
    <w:tbl>
      <w:tblPr>
        <w:tblW w:w="5000" w:type="pct"/>
        <w:tblLook w:val="04A0" w:firstRow="1" w:lastRow="0" w:firstColumn="1" w:lastColumn="0" w:noHBand="0" w:noVBand="1"/>
      </w:tblPr>
      <w:tblGrid>
        <w:gridCol w:w="2118"/>
        <w:gridCol w:w="1038"/>
        <w:gridCol w:w="1038"/>
        <w:gridCol w:w="1038"/>
        <w:gridCol w:w="1038"/>
        <w:gridCol w:w="1038"/>
        <w:gridCol w:w="1040"/>
        <w:gridCol w:w="1038"/>
        <w:gridCol w:w="1034"/>
      </w:tblGrid>
      <w:tr w:rsidR="00732FB5" w:rsidRPr="00650EE4" w14:paraId="6A5D7EDA" w14:textId="77777777" w:rsidTr="00271F93">
        <w:tc>
          <w:tcPr>
            <w:tcW w:w="1017"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2D0BA3A9"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989"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9245F7" w14:textId="32F51429" w:rsidR="00732FB5" w:rsidRPr="00650EE4" w:rsidRDefault="00E02F48"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 xml:space="preserve">Energinio naudingumo </w:t>
            </w:r>
            <w:r w:rsidR="00732FB5" w:rsidRPr="00650EE4">
              <w:rPr>
                <w:rFonts w:ascii="Times New Roman" w:eastAsia="Times New Roman" w:hAnsi="Times New Roman"/>
                <w:b/>
                <w:bCs/>
                <w:sz w:val="20"/>
                <w:szCs w:val="20"/>
              </w:rPr>
              <w:t>klasė</w:t>
            </w:r>
          </w:p>
        </w:tc>
        <w:tc>
          <w:tcPr>
            <w:tcW w:w="498" w:type="pct"/>
            <w:vMerge w:val="restart"/>
            <w:tcBorders>
              <w:top w:val="single" w:sz="4" w:space="0" w:color="auto"/>
              <w:left w:val="nil"/>
              <w:bottom w:val="single" w:sz="4" w:space="0" w:color="000000"/>
              <w:right w:val="nil"/>
            </w:tcBorders>
            <w:shd w:val="clear" w:color="000000" w:fill="FFFFFF"/>
            <w:vAlign w:val="center"/>
            <w:hideMark/>
          </w:tcPr>
          <w:p w14:paraId="3092D7B8"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6A7029"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732FB5" w:rsidRPr="00650EE4" w14:paraId="3E4E6698" w14:textId="77777777" w:rsidTr="00271F93">
        <w:tc>
          <w:tcPr>
            <w:tcW w:w="1017" w:type="pct"/>
            <w:vMerge/>
            <w:tcBorders>
              <w:top w:val="single" w:sz="4" w:space="0" w:color="auto"/>
              <w:left w:val="single" w:sz="4" w:space="0" w:color="auto"/>
              <w:bottom w:val="single" w:sz="4" w:space="0" w:color="000000"/>
              <w:right w:val="nil"/>
            </w:tcBorders>
            <w:vAlign w:val="center"/>
            <w:hideMark/>
          </w:tcPr>
          <w:p w14:paraId="1FD8669C" w14:textId="77777777" w:rsidR="00732FB5" w:rsidRPr="00650EE4" w:rsidRDefault="00732FB5" w:rsidP="00732FB5">
            <w:pPr>
              <w:spacing w:line="240" w:lineRule="auto"/>
              <w:rPr>
                <w:rFonts w:ascii="Times New Roman" w:eastAsia="Times New Roman" w:hAnsi="Times New Roman"/>
                <w:b/>
                <w:bCs/>
                <w:sz w:val="20"/>
                <w:szCs w:val="20"/>
              </w:rPr>
            </w:pPr>
          </w:p>
        </w:tc>
        <w:tc>
          <w:tcPr>
            <w:tcW w:w="498" w:type="pct"/>
            <w:tcBorders>
              <w:top w:val="nil"/>
              <w:left w:val="single" w:sz="4" w:space="0" w:color="auto"/>
              <w:bottom w:val="single" w:sz="4" w:space="0" w:color="auto"/>
              <w:right w:val="nil"/>
            </w:tcBorders>
            <w:shd w:val="clear" w:color="000000" w:fill="FFFFFF"/>
            <w:vAlign w:val="center"/>
            <w:hideMark/>
          </w:tcPr>
          <w:p w14:paraId="4BE53A59" w14:textId="5B1ACCE7" w:rsidR="00732FB5" w:rsidRPr="00650EE4" w:rsidRDefault="007F357E"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498" w:type="pct"/>
            <w:tcBorders>
              <w:top w:val="nil"/>
              <w:left w:val="nil"/>
              <w:bottom w:val="single" w:sz="4" w:space="0" w:color="auto"/>
              <w:right w:val="nil"/>
            </w:tcBorders>
            <w:shd w:val="clear" w:color="000000" w:fill="FFFFFF"/>
            <w:vAlign w:val="center"/>
            <w:hideMark/>
          </w:tcPr>
          <w:p w14:paraId="33FC53B5"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498" w:type="pct"/>
            <w:tcBorders>
              <w:top w:val="nil"/>
              <w:left w:val="nil"/>
              <w:bottom w:val="single" w:sz="4" w:space="0" w:color="auto"/>
              <w:right w:val="nil"/>
            </w:tcBorders>
            <w:shd w:val="clear" w:color="000000" w:fill="FFFFFF"/>
            <w:vAlign w:val="center"/>
            <w:hideMark/>
          </w:tcPr>
          <w:p w14:paraId="72240564"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498" w:type="pct"/>
            <w:tcBorders>
              <w:top w:val="nil"/>
              <w:left w:val="nil"/>
              <w:bottom w:val="single" w:sz="4" w:space="0" w:color="auto"/>
              <w:right w:val="nil"/>
            </w:tcBorders>
            <w:shd w:val="clear" w:color="000000" w:fill="FFFFFF"/>
            <w:vAlign w:val="center"/>
            <w:hideMark/>
          </w:tcPr>
          <w:p w14:paraId="6AEFC7D5"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98" w:type="pct"/>
            <w:tcBorders>
              <w:top w:val="nil"/>
              <w:left w:val="nil"/>
              <w:bottom w:val="single" w:sz="4" w:space="0" w:color="auto"/>
              <w:right w:val="nil"/>
            </w:tcBorders>
            <w:shd w:val="clear" w:color="000000" w:fill="FFFFFF"/>
            <w:vAlign w:val="center"/>
            <w:hideMark/>
          </w:tcPr>
          <w:p w14:paraId="0BD235FC"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99" w:type="pct"/>
            <w:tcBorders>
              <w:top w:val="nil"/>
              <w:left w:val="nil"/>
              <w:bottom w:val="single" w:sz="4" w:space="0" w:color="auto"/>
              <w:right w:val="single" w:sz="4" w:space="0" w:color="auto"/>
            </w:tcBorders>
            <w:shd w:val="clear" w:color="000000" w:fill="FFFFFF"/>
            <w:vAlign w:val="center"/>
            <w:hideMark/>
          </w:tcPr>
          <w:p w14:paraId="1A6DC4EA"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98" w:type="pct"/>
            <w:vMerge/>
            <w:tcBorders>
              <w:top w:val="single" w:sz="4" w:space="0" w:color="auto"/>
              <w:left w:val="nil"/>
              <w:bottom w:val="single" w:sz="4" w:space="0" w:color="000000"/>
              <w:right w:val="nil"/>
            </w:tcBorders>
            <w:vAlign w:val="center"/>
            <w:hideMark/>
          </w:tcPr>
          <w:p w14:paraId="0027F99D" w14:textId="77777777" w:rsidR="00732FB5" w:rsidRPr="00650EE4" w:rsidRDefault="00732FB5" w:rsidP="00732FB5">
            <w:pPr>
              <w:spacing w:line="240" w:lineRule="auto"/>
              <w:rPr>
                <w:rFonts w:ascii="Times New Roman" w:eastAsia="Times New Roman" w:hAnsi="Times New Roman"/>
                <w:b/>
                <w:bCs/>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189F9CC8" w14:textId="77777777" w:rsidR="00732FB5" w:rsidRPr="00650EE4" w:rsidRDefault="00732FB5" w:rsidP="00732FB5">
            <w:pPr>
              <w:spacing w:line="240" w:lineRule="auto"/>
              <w:rPr>
                <w:rFonts w:ascii="Times New Roman" w:eastAsia="Times New Roman" w:hAnsi="Times New Roman"/>
                <w:b/>
                <w:bCs/>
                <w:sz w:val="20"/>
                <w:szCs w:val="20"/>
              </w:rPr>
            </w:pPr>
          </w:p>
        </w:tc>
      </w:tr>
      <w:tr w:rsidR="004C3307" w:rsidRPr="00650EE4" w14:paraId="3A4D7294" w14:textId="77777777" w:rsidTr="00271F93">
        <w:tc>
          <w:tcPr>
            <w:tcW w:w="1017" w:type="pct"/>
            <w:tcBorders>
              <w:top w:val="nil"/>
              <w:left w:val="single" w:sz="4" w:space="0" w:color="auto"/>
              <w:bottom w:val="single" w:sz="4" w:space="0" w:color="auto"/>
              <w:right w:val="single" w:sz="4" w:space="0" w:color="auto"/>
            </w:tcBorders>
            <w:shd w:val="clear" w:color="000000" w:fill="F2F2F2"/>
            <w:noWrap/>
            <w:vAlign w:val="center"/>
            <w:hideMark/>
          </w:tcPr>
          <w:p w14:paraId="60C2B76E"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498" w:type="pct"/>
            <w:tcBorders>
              <w:top w:val="nil"/>
              <w:left w:val="nil"/>
              <w:bottom w:val="single" w:sz="4" w:space="0" w:color="auto"/>
              <w:right w:val="nil"/>
            </w:tcBorders>
            <w:shd w:val="clear" w:color="000000" w:fill="F2F2F2"/>
            <w:noWrap/>
            <w:vAlign w:val="center"/>
            <w:hideMark/>
          </w:tcPr>
          <w:p w14:paraId="2903DDB0"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1.057</w:t>
            </w:r>
          </w:p>
        </w:tc>
        <w:tc>
          <w:tcPr>
            <w:tcW w:w="498" w:type="pct"/>
            <w:tcBorders>
              <w:top w:val="nil"/>
              <w:left w:val="nil"/>
              <w:bottom w:val="single" w:sz="4" w:space="0" w:color="auto"/>
              <w:right w:val="nil"/>
            </w:tcBorders>
            <w:shd w:val="clear" w:color="000000" w:fill="F2F2F2"/>
            <w:noWrap/>
            <w:vAlign w:val="center"/>
            <w:hideMark/>
          </w:tcPr>
          <w:p w14:paraId="145C83E7"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362</w:t>
            </w:r>
          </w:p>
        </w:tc>
        <w:tc>
          <w:tcPr>
            <w:tcW w:w="498" w:type="pct"/>
            <w:tcBorders>
              <w:top w:val="nil"/>
              <w:left w:val="nil"/>
              <w:bottom w:val="single" w:sz="4" w:space="0" w:color="auto"/>
              <w:right w:val="nil"/>
            </w:tcBorders>
            <w:shd w:val="clear" w:color="000000" w:fill="F2F2F2"/>
            <w:noWrap/>
            <w:vAlign w:val="center"/>
            <w:hideMark/>
          </w:tcPr>
          <w:p w14:paraId="3C3CFC07"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227</w:t>
            </w:r>
          </w:p>
        </w:tc>
        <w:tc>
          <w:tcPr>
            <w:tcW w:w="498" w:type="pct"/>
            <w:tcBorders>
              <w:top w:val="nil"/>
              <w:left w:val="nil"/>
              <w:bottom w:val="single" w:sz="4" w:space="0" w:color="auto"/>
              <w:right w:val="nil"/>
            </w:tcBorders>
            <w:shd w:val="clear" w:color="000000" w:fill="F2F2F2"/>
            <w:noWrap/>
            <w:vAlign w:val="center"/>
            <w:hideMark/>
          </w:tcPr>
          <w:p w14:paraId="0A9D5A7C"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23</w:t>
            </w:r>
          </w:p>
        </w:tc>
        <w:tc>
          <w:tcPr>
            <w:tcW w:w="498" w:type="pct"/>
            <w:tcBorders>
              <w:top w:val="nil"/>
              <w:left w:val="nil"/>
              <w:bottom w:val="single" w:sz="4" w:space="0" w:color="auto"/>
              <w:right w:val="nil"/>
            </w:tcBorders>
            <w:shd w:val="clear" w:color="000000" w:fill="F2F2F2"/>
            <w:noWrap/>
            <w:vAlign w:val="center"/>
            <w:hideMark/>
          </w:tcPr>
          <w:p w14:paraId="51A4F487"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w:t>
            </w:r>
          </w:p>
        </w:tc>
        <w:tc>
          <w:tcPr>
            <w:tcW w:w="499" w:type="pct"/>
            <w:tcBorders>
              <w:top w:val="nil"/>
              <w:left w:val="nil"/>
              <w:bottom w:val="single" w:sz="4" w:space="0" w:color="auto"/>
              <w:right w:val="single" w:sz="4" w:space="0" w:color="auto"/>
            </w:tcBorders>
            <w:shd w:val="clear" w:color="000000" w:fill="F2F2F2"/>
            <w:noWrap/>
            <w:vAlign w:val="center"/>
            <w:hideMark/>
          </w:tcPr>
          <w:p w14:paraId="4045C2B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0</w:t>
            </w:r>
          </w:p>
        </w:tc>
        <w:tc>
          <w:tcPr>
            <w:tcW w:w="498" w:type="pct"/>
            <w:tcBorders>
              <w:top w:val="nil"/>
              <w:left w:val="nil"/>
              <w:bottom w:val="single" w:sz="4" w:space="0" w:color="auto"/>
              <w:right w:val="nil"/>
            </w:tcBorders>
            <w:shd w:val="clear" w:color="000000" w:fill="F2F2F2"/>
            <w:noWrap/>
            <w:vAlign w:val="center"/>
            <w:hideMark/>
          </w:tcPr>
          <w:p w14:paraId="4F4B16D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1.675</w:t>
            </w:r>
          </w:p>
        </w:tc>
        <w:tc>
          <w:tcPr>
            <w:tcW w:w="496" w:type="pct"/>
            <w:tcBorders>
              <w:top w:val="nil"/>
              <w:left w:val="single" w:sz="4" w:space="0" w:color="auto"/>
              <w:bottom w:val="single" w:sz="4" w:space="0" w:color="auto"/>
              <w:right w:val="single" w:sz="4" w:space="0" w:color="auto"/>
            </w:tcBorders>
            <w:shd w:val="clear" w:color="000000" w:fill="F2F2F2"/>
            <w:noWrap/>
            <w:vAlign w:val="center"/>
            <w:hideMark/>
          </w:tcPr>
          <w:p w14:paraId="0EB7C000"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66%</w:t>
            </w:r>
          </w:p>
        </w:tc>
      </w:tr>
      <w:tr w:rsidR="00732FB5" w:rsidRPr="00650EE4" w14:paraId="3B0C49CD" w14:textId="77777777" w:rsidTr="00271F93">
        <w:tc>
          <w:tcPr>
            <w:tcW w:w="1017" w:type="pct"/>
            <w:tcBorders>
              <w:top w:val="nil"/>
              <w:left w:val="single" w:sz="4" w:space="0" w:color="auto"/>
              <w:bottom w:val="nil"/>
              <w:right w:val="nil"/>
            </w:tcBorders>
            <w:shd w:val="clear" w:color="000000" w:fill="FFFFFF"/>
            <w:noWrap/>
            <w:vAlign w:val="center"/>
            <w:hideMark/>
          </w:tcPr>
          <w:p w14:paraId="4831628B"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98" w:type="pct"/>
            <w:tcBorders>
              <w:top w:val="nil"/>
              <w:left w:val="single" w:sz="4" w:space="0" w:color="auto"/>
              <w:bottom w:val="nil"/>
              <w:right w:val="nil"/>
            </w:tcBorders>
            <w:shd w:val="clear" w:color="000000" w:fill="FFFFFF"/>
            <w:noWrap/>
            <w:vAlign w:val="center"/>
            <w:hideMark/>
          </w:tcPr>
          <w:p w14:paraId="299E52F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355</w:t>
            </w:r>
          </w:p>
        </w:tc>
        <w:tc>
          <w:tcPr>
            <w:tcW w:w="498" w:type="pct"/>
            <w:tcBorders>
              <w:top w:val="nil"/>
              <w:left w:val="nil"/>
              <w:bottom w:val="nil"/>
              <w:right w:val="nil"/>
            </w:tcBorders>
            <w:shd w:val="clear" w:color="000000" w:fill="FFFFFF"/>
            <w:noWrap/>
            <w:vAlign w:val="center"/>
            <w:hideMark/>
          </w:tcPr>
          <w:p w14:paraId="39E20A8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233</w:t>
            </w:r>
          </w:p>
        </w:tc>
        <w:tc>
          <w:tcPr>
            <w:tcW w:w="498" w:type="pct"/>
            <w:tcBorders>
              <w:top w:val="nil"/>
              <w:left w:val="nil"/>
              <w:bottom w:val="nil"/>
              <w:right w:val="nil"/>
            </w:tcBorders>
            <w:shd w:val="clear" w:color="000000" w:fill="FFFFFF"/>
            <w:noWrap/>
            <w:vAlign w:val="center"/>
            <w:hideMark/>
          </w:tcPr>
          <w:p w14:paraId="2FBB92D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c>
          <w:tcPr>
            <w:tcW w:w="498" w:type="pct"/>
            <w:tcBorders>
              <w:top w:val="nil"/>
              <w:left w:val="nil"/>
              <w:bottom w:val="nil"/>
              <w:right w:val="nil"/>
            </w:tcBorders>
            <w:shd w:val="clear" w:color="000000" w:fill="FFFFFF"/>
            <w:noWrap/>
            <w:vAlign w:val="center"/>
            <w:hideMark/>
          </w:tcPr>
          <w:p w14:paraId="49FE521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98" w:type="pct"/>
            <w:tcBorders>
              <w:top w:val="nil"/>
              <w:left w:val="nil"/>
              <w:bottom w:val="nil"/>
              <w:right w:val="nil"/>
            </w:tcBorders>
            <w:shd w:val="clear" w:color="000000" w:fill="FFFFFF"/>
            <w:noWrap/>
            <w:vAlign w:val="center"/>
            <w:hideMark/>
          </w:tcPr>
          <w:p w14:paraId="3C9F6D4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9" w:type="pct"/>
            <w:tcBorders>
              <w:top w:val="nil"/>
              <w:left w:val="nil"/>
              <w:bottom w:val="nil"/>
              <w:right w:val="single" w:sz="4" w:space="0" w:color="auto"/>
            </w:tcBorders>
            <w:shd w:val="clear" w:color="000000" w:fill="FFFFFF"/>
            <w:noWrap/>
            <w:vAlign w:val="center"/>
            <w:hideMark/>
          </w:tcPr>
          <w:p w14:paraId="4B31315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393E8E94"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684</w:t>
            </w:r>
          </w:p>
        </w:tc>
        <w:tc>
          <w:tcPr>
            <w:tcW w:w="496" w:type="pct"/>
            <w:tcBorders>
              <w:top w:val="nil"/>
              <w:left w:val="single" w:sz="4" w:space="0" w:color="auto"/>
              <w:bottom w:val="nil"/>
              <w:right w:val="single" w:sz="4" w:space="0" w:color="auto"/>
            </w:tcBorders>
            <w:shd w:val="clear" w:color="000000" w:fill="FFFFFF"/>
            <w:noWrap/>
            <w:vAlign w:val="center"/>
            <w:hideMark/>
          </w:tcPr>
          <w:p w14:paraId="2FF0918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r>
      <w:tr w:rsidR="00732FB5" w:rsidRPr="00650EE4" w14:paraId="6634B478" w14:textId="77777777" w:rsidTr="00271F93">
        <w:tc>
          <w:tcPr>
            <w:tcW w:w="1017" w:type="pct"/>
            <w:tcBorders>
              <w:top w:val="nil"/>
              <w:left w:val="single" w:sz="4" w:space="0" w:color="auto"/>
              <w:bottom w:val="nil"/>
              <w:right w:val="nil"/>
            </w:tcBorders>
            <w:shd w:val="clear" w:color="000000" w:fill="FFFFFF"/>
            <w:noWrap/>
            <w:vAlign w:val="center"/>
            <w:hideMark/>
          </w:tcPr>
          <w:p w14:paraId="6178222D"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98" w:type="pct"/>
            <w:tcBorders>
              <w:top w:val="nil"/>
              <w:left w:val="single" w:sz="4" w:space="0" w:color="auto"/>
              <w:bottom w:val="nil"/>
              <w:right w:val="nil"/>
            </w:tcBorders>
            <w:shd w:val="clear" w:color="000000" w:fill="FFFFFF"/>
            <w:noWrap/>
            <w:vAlign w:val="center"/>
            <w:hideMark/>
          </w:tcPr>
          <w:p w14:paraId="58C3F6F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702</w:t>
            </w:r>
          </w:p>
        </w:tc>
        <w:tc>
          <w:tcPr>
            <w:tcW w:w="498" w:type="pct"/>
            <w:tcBorders>
              <w:top w:val="nil"/>
              <w:left w:val="nil"/>
              <w:bottom w:val="nil"/>
              <w:right w:val="nil"/>
            </w:tcBorders>
            <w:shd w:val="clear" w:color="000000" w:fill="FFFFFF"/>
            <w:noWrap/>
            <w:vAlign w:val="center"/>
            <w:hideMark/>
          </w:tcPr>
          <w:p w14:paraId="70E6E4D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129</w:t>
            </w:r>
          </w:p>
        </w:tc>
        <w:tc>
          <w:tcPr>
            <w:tcW w:w="498" w:type="pct"/>
            <w:tcBorders>
              <w:top w:val="nil"/>
              <w:left w:val="nil"/>
              <w:bottom w:val="nil"/>
              <w:right w:val="nil"/>
            </w:tcBorders>
            <w:shd w:val="clear" w:color="000000" w:fill="FFFFFF"/>
            <w:noWrap/>
            <w:vAlign w:val="center"/>
            <w:hideMark/>
          </w:tcPr>
          <w:p w14:paraId="64E59D9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w:t>
            </w:r>
          </w:p>
        </w:tc>
        <w:tc>
          <w:tcPr>
            <w:tcW w:w="498" w:type="pct"/>
            <w:tcBorders>
              <w:top w:val="nil"/>
              <w:left w:val="nil"/>
              <w:bottom w:val="nil"/>
              <w:right w:val="nil"/>
            </w:tcBorders>
            <w:shd w:val="clear" w:color="000000" w:fill="FFFFFF"/>
            <w:noWrap/>
            <w:vAlign w:val="center"/>
            <w:hideMark/>
          </w:tcPr>
          <w:p w14:paraId="57DA839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8" w:type="pct"/>
            <w:tcBorders>
              <w:top w:val="nil"/>
              <w:left w:val="nil"/>
              <w:bottom w:val="nil"/>
              <w:right w:val="nil"/>
            </w:tcBorders>
            <w:shd w:val="clear" w:color="000000" w:fill="FFFFFF"/>
            <w:noWrap/>
            <w:vAlign w:val="center"/>
            <w:hideMark/>
          </w:tcPr>
          <w:p w14:paraId="74F70F5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9" w:type="pct"/>
            <w:tcBorders>
              <w:top w:val="nil"/>
              <w:left w:val="nil"/>
              <w:bottom w:val="nil"/>
              <w:right w:val="single" w:sz="4" w:space="0" w:color="auto"/>
            </w:tcBorders>
            <w:shd w:val="clear" w:color="000000" w:fill="FFFFFF"/>
            <w:noWrap/>
            <w:vAlign w:val="center"/>
            <w:hideMark/>
          </w:tcPr>
          <w:p w14:paraId="45158F5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67290918"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991</w:t>
            </w:r>
          </w:p>
        </w:tc>
        <w:tc>
          <w:tcPr>
            <w:tcW w:w="496" w:type="pct"/>
            <w:tcBorders>
              <w:top w:val="nil"/>
              <w:left w:val="single" w:sz="4" w:space="0" w:color="auto"/>
              <w:bottom w:val="nil"/>
              <w:right w:val="single" w:sz="4" w:space="0" w:color="auto"/>
            </w:tcBorders>
            <w:shd w:val="clear" w:color="000000" w:fill="FFFFFF"/>
            <w:noWrap/>
            <w:vAlign w:val="center"/>
            <w:hideMark/>
          </w:tcPr>
          <w:p w14:paraId="2C4ECDA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r>
      <w:tr w:rsidR="004C3307" w:rsidRPr="00650EE4" w14:paraId="67EEDCCA" w14:textId="77777777" w:rsidTr="00271F93">
        <w:tc>
          <w:tcPr>
            <w:tcW w:w="10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FC44E6"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498" w:type="pct"/>
            <w:tcBorders>
              <w:top w:val="single" w:sz="4" w:space="0" w:color="auto"/>
              <w:left w:val="nil"/>
              <w:bottom w:val="single" w:sz="4" w:space="0" w:color="auto"/>
              <w:right w:val="nil"/>
            </w:tcBorders>
            <w:shd w:val="clear" w:color="000000" w:fill="F2F2F2"/>
            <w:noWrap/>
            <w:vAlign w:val="center"/>
            <w:hideMark/>
          </w:tcPr>
          <w:p w14:paraId="7EEBF53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622</w:t>
            </w:r>
          </w:p>
        </w:tc>
        <w:tc>
          <w:tcPr>
            <w:tcW w:w="498" w:type="pct"/>
            <w:tcBorders>
              <w:top w:val="single" w:sz="4" w:space="0" w:color="auto"/>
              <w:left w:val="nil"/>
              <w:bottom w:val="single" w:sz="4" w:space="0" w:color="auto"/>
              <w:right w:val="nil"/>
            </w:tcBorders>
            <w:shd w:val="clear" w:color="000000" w:fill="F2F2F2"/>
            <w:noWrap/>
            <w:vAlign w:val="center"/>
            <w:hideMark/>
          </w:tcPr>
          <w:p w14:paraId="3D2AE14C"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95</w:t>
            </w:r>
          </w:p>
        </w:tc>
        <w:tc>
          <w:tcPr>
            <w:tcW w:w="498" w:type="pct"/>
            <w:tcBorders>
              <w:top w:val="single" w:sz="4" w:space="0" w:color="auto"/>
              <w:left w:val="nil"/>
              <w:bottom w:val="single" w:sz="4" w:space="0" w:color="auto"/>
              <w:right w:val="nil"/>
            </w:tcBorders>
            <w:shd w:val="clear" w:color="000000" w:fill="F2F2F2"/>
            <w:noWrap/>
            <w:vAlign w:val="center"/>
            <w:hideMark/>
          </w:tcPr>
          <w:p w14:paraId="311201F1"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w:t>
            </w:r>
          </w:p>
        </w:tc>
        <w:tc>
          <w:tcPr>
            <w:tcW w:w="498" w:type="pct"/>
            <w:tcBorders>
              <w:top w:val="single" w:sz="4" w:space="0" w:color="auto"/>
              <w:left w:val="nil"/>
              <w:bottom w:val="single" w:sz="4" w:space="0" w:color="auto"/>
              <w:right w:val="nil"/>
            </w:tcBorders>
            <w:shd w:val="clear" w:color="000000" w:fill="F2F2F2"/>
            <w:noWrap/>
            <w:vAlign w:val="center"/>
            <w:hideMark/>
          </w:tcPr>
          <w:p w14:paraId="1AE1528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w:t>
            </w:r>
          </w:p>
        </w:tc>
        <w:tc>
          <w:tcPr>
            <w:tcW w:w="498" w:type="pct"/>
            <w:tcBorders>
              <w:top w:val="single" w:sz="4" w:space="0" w:color="auto"/>
              <w:left w:val="nil"/>
              <w:bottom w:val="single" w:sz="4" w:space="0" w:color="auto"/>
              <w:right w:val="nil"/>
            </w:tcBorders>
            <w:shd w:val="clear" w:color="000000" w:fill="F2F2F2"/>
            <w:noWrap/>
            <w:vAlign w:val="center"/>
            <w:hideMark/>
          </w:tcPr>
          <w:p w14:paraId="5127753B"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w:t>
            </w:r>
          </w:p>
        </w:tc>
        <w:tc>
          <w:tcPr>
            <w:tcW w:w="499" w:type="pct"/>
            <w:tcBorders>
              <w:top w:val="single" w:sz="4" w:space="0" w:color="auto"/>
              <w:left w:val="nil"/>
              <w:bottom w:val="single" w:sz="4" w:space="0" w:color="auto"/>
              <w:right w:val="single" w:sz="4" w:space="0" w:color="auto"/>
            </w:tcBorders>
            <w:shd w:val="clear" w:color="000000" w:fill="F2F2F2"/>
            <w:noWrap/>
            <w:vAlign w:val="center"/>
            <w:hideMark/>
          </w:tcPr>
          <w:p w14:paraId="71C94C1F"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98" w:type="pct"/>
            <w:tcBorders>
              <w:top w:val="single" w:sz="4" w:space="0" w:color="auto"/>
              <w:left w:val="nil"/>
              <w:bottom w:val="single" w:sz="4" w:space="0" w:color="auto"/>
              <w:right w:val="nil"/>
            </w:tcBorders>
            <w:shd w:val="clear" w:color="000000" w:fill="F2F2F2"/>
            <w:noWrap/>
            <w:vAlign w:val="center"/>
            <w:hideMark/>
          </w:tcPr>
          <w:p w14:paraId="527A2C7C"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873</w:t>
            </w:r>
          </w:p>
        </w:tc>
        <w:tc>
          <w:tcPr>
            <w:tcW w:w="4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096831"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34%</w:t>
            </w:r>
          </w:p>
        </w:tc>
      </w:tr>
      <w:tr w:rsidR="00732FB5" w:rsidRPr="00650EE4" w14:paraId="50DA400B" w14:textId="77777777" w:rsidTr="00271F93">
        <w:tc>
          <w:tcPr>
            <w:tcW w:w="1017" w:type="pct"/>
            <w:tcBorders>
              <w:top w:val="nil"/>
              <w:left w:val="single" w:sz="4" w:space="0" w:color="auto"/>
              <w:bottom w:val="nil"/>
              <w:right w:val="nil"/>
            </w:tcBorders>
            <w:shd w:val="clear" w:color="000000" w:fill="FFFFFF"/>
            <w:noWrap/>
            <w:vAlign w:val="center"/>
            <w:hideMark/>
          </w:tcPr>
          <w:p w14:paraId="51992C0A"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98" w:type="pct"/>
            <w:tcBorders>
              <w:top w:val="nil"/>
              <w:left w:val="single" w:sz="4" w:space="0" w:color="auto"/>
              <w:bottom w:val="nil"/>
              <w:right w:val="nil"/>
            </w:tcBorders>
            <w:shd w:val="clear" w:color="000000" w:fill="FFFFFF"/>
            <w:noWrap/>
            <w:vAlign w:val="center"/>
            <w:hideMark/>
          </w:tcPr>
          <w:p w14:paraId="7C3B62B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334</w:t>
            </w:r>
          </w:p>
        </w:tc>
        <w:tc>
          <w:tcPr>
            <w:tcW w:w="498" w:type="pct"/>
            <w:tcBorders>
              <w:top w:val="nil"/>
              <w:left w:val="nil"/>
              <w:bottom w:val="nil"/>
              <w:right w:val="nil"/>
            </w:tcBorders>
            <w:shd w:val="clear" w:color="000000" w:fill="FFFFFF"/>
            <w:noWrap/>
            <w:vAlign w:val="center"/>
            <w:hideMark/>
          </w:tcPr>
          <w:p w14:paraId="0D479DB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498" w:type="pct"/>
            <w:tcBorders>
              <w:top w:val="nil"/>
              <w:left w:val="nil"/>
              <w:bottom w:val="nil"/>
              <w:right w:val="nil"/>
            </w:tcBorders>
            <w:shd w:val="clear" w:color="000000" w:fill="FFFFFF"/>
            <w:noWrap/>
            <w:vAlign w:val="center"/>
            <w:hideMark/>
          </w:tcPr>
          <w:p w14:paraId="0F7B349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498" w:type="pct"/>
            <w:tcBorders>
              <w:top w:val="nil"/>
              <w:left w:val="nil"/>
              <w:bottom w:val="nil"/>
              <w:right w:val="nil"/>
            </w:tcBorders>
            <w:shd w:val="clear" w:color="000000" w:fill="FFFFFF"/>
            <w:noWrap/>
            <w:vAlign w:val="center"/>
            <w:hideMark/>
          </w:tcPr>
          <w:p w14:paraId="049DC2B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98" w:type="pct"/>
            <w:tcBorders>
              <w:top w:val="nil"/>
              <w:left w:val="nil"/>
              <w:bottom w:val="nil"/>
              <w:right w:val="nil"/>
            </w:tcBorders>
            <w:shd w:val="clear" w:color="000000" w:fill="FFFFFF"/>
            <w:noWrap/>
            <w:vAlign w:val="center"/>
            <w:hideMark/>
          </w:tcPr>
          <w:p w14:paraId="334417B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9" w:type="pct"/>
            <w:tcBorders>
              <w:top w:val="nil"/>
              <w:left w:val="nil"/>
              <w:bottom w:val="nil"/>
              <w:right w:val="single" w:sz="4" w:space="0" w:color="auto"/>
            </w:tcBorders>
            <w:shd w:val="clear" w:color="000000" w:fill="FFFFFF"/>
            <w:noWrap/>
            <w:vAlign w:val="center"/>
            <w:hideMark/>
          </w:tcPr>
          <w:p w14:paraId="564D84A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8" w:type="pct"/>
            <w:tcBorders>
              <w:top w:val="nil"/>
              <w:left w:val="nil"/>
              <w:bottom w:val="nil"/>
              <w:right w:val="nil"/>
            </w:tcBorders>
            <w:shd w:val="clear" w:color="000000" w:fill="FFFFFF"/>
            <w:noWrap/>
            <w:vAlign w:val="center"/>
            <w:hideMark/>
          </w:tcPr>
          <w:p w14:paraId="76E763C4"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413</w:t>
            </w:r>
          </w:p>
        </w:tc>
        <w:tc>
          <w:tcPr>
            <w:tcW w:w="496" w:type="pct"/>
            <w:tcBorders>
              <w:top w:val="nil"/>
              <w:left w:val="single" w:sz="4" w:space="0" w:color="auto"/>
              <w:bottom w:val="nil"/>
              <w:right w:val="single" w:sz="4" w:space="0" w:color="auto"/>
            </w:tcBorders>
            <w:shd w:val="clear" w:color="000000" w:fill="FFFFFF"/>
            <w:noWrap/>
            <w:vAlign w:val="center"/>
            <w:hideMark/>
          </w:tcPr>
          <w:p w14:paraId="25EB59A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732FB5" w:rsidRPr="00650EE4" w14:paraId="286FA30A" w14:textId="77777777" w:rsidTr="00271F93">
        <w:tc>
          <w:tcPr>
            <w:tcW w:w="1017" w:type="pct"/>
            <w:tcBorders>
              <w:top w:val="nil"/>
              <w:left w:val="single" w:sz="4" w:space="0" w:color="auto"/>
              <w:bottom w:val="nil"/>
              <w:right w:val="nil"/>
            </w:tcBorders>
            <w:shd w:val="clear" w:color="000000" w:fill="FFFFFF"/>
            <w:noWrap/>
            <w:vAlign w:val="center"/>
            <w:hideMark/>
          </w:tcPr>
          <w:p w14:paraId="5FD7B591"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98" w:type="pct"/>
            <w:tcBorders>
              <w:top w:val="nil"/>
              <w:left w:val="single" w:sz="4" w:space="0" w:color="auto"/>
              <w:bottom w:val="nil"/>
              <w:right w:val="nil"/>
            </w:tcBorders>
            <w:shd w:val="clear" w:color="000000" w:fill="FFFFFF"/>
            <w:noWrap/>
            <w:vAlign w:val="center"/>
            <w:hideMark/>
          </w:tcPr>
          <w:p w14:paraId="715D782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101</w:t>
            </w:r>
          </w:p>
        </w:tc>
        <w:tc>
          <w:tcPr>
            <w:tcW w:w="498" w:type="pct"/>
            <w:tcBorders>
              <w:top w:val="nil"/>
              <w:left w:val="nil"/>
              <w:bottom w:val="nil"/>
              <w:right w:val="nil"/>
            </w:tcBorders>
            <w:shd w:val="clear" w:color="000000" w:fill="FFFFFF"/>
            <w:noWrap/>
            <w:vAlign w:val="center"/>
            <w:hideMark/>
          </w:tcPr>
          <w:p w14:paraId="29D67EE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98" w:type="pct"/>
            <w:tcBorders>
              <w:top w:val="nil"/>
              <w:left w:val="nil"/>
              <w:bottom w:val="nil"/>
              <w:right w:val="nil"/>
            </w:tcBorders>
            <w:shd w:val="clear" w:color="000000" w:fill="FFFFFF"/>
            <w:noWrap/>
            <w:vAlign w:val="center"/>
            <w:hideMark/>
          </w:tcPr>
          <w:p w14:paraId="24CE3F0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98" w:type="pct"/>
            <w:tcBorders>
              <w:top w:val="nil"/>
              <w:left w:val="nil"/>
              <w:bottom w:val="nil"/>
              <w:right w:val="nil"/>
            </w:tcBorders>
            <w:shd w:val="clear" w:color="000000" w:fill="FFFFFF"/>
            <w:noWrap/>
            <w:vAlign w:val="center"/>
            <w:hideMark/>
          </w:tcPr>
          <w:p w14:paraId="1753C4D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98" w:type="pct"/>
            <w:tcBorders>
              <w:top w:val="nil"/>
              <w:left w:val="nil"/>
              <w:bottom w:val="nil"/>
              <w:right w:val="nil"/>
            </w:tcBorders>
            <w:shd w:val="clear" w:color="000000" w:fill="FFFFFF"/>
            <w:noWrap/>
            <w:vAlign w:val="center"/>
            <w:hideMark/>
          </w:tcPr>
          <w:p w14:paraId="03B3E7F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9" w:type="pct"/>
            <w:tcBorders>
              <w:top w:val="nil"/>
              <w:left w:val="nil"/>
              <w:bottom w:val="nil"/>
              <w:right w:val="single" w:sz="4" w:space="0" w:color="auto"/>
            </w:tcBorders>
            <w:shd w:val="clear" w:color="000000" w:fill="FFFFFF"/>
            <w:noWrap/>
            <w:vAlign w:val="center"/>
            <w:hideMark/>
          </w:tcPr>
          <w:p w14:paraId="27D5CEF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5072697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139</w:t>
            </w:r>
          </w:p>
        </w:tc>
        <w:tc>
          <w:tcPr>
            <w:tcW w:w="496" w:type="pct"/>
            <w:tcBorders>
              <w:top w:val="nil"/>
              <w:left w:val="single" w:sz="4" w:space="0" w:color="auto"/>
              <w:bottom w:val="nil"/>
              <w:right w:val="single" w:sz="4" w:space="0" w:color="auto"/>
            </w:tcBorders>
            <w:shd w:val="clear" w:color="000000" w:fill="FFFFFF"/>
            <w:noWrap/>
            <w:vAlign w:val="center"/>
            <w:hideMark/>
          </w:tcPr>
          <w:p w14:paraId="5045FFB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732FB5" w:rsidRPr="00650EE4" w14:paraId="31919395" w14:textId="77777777" w:rsidTr="00271F93">
        <w:tc>
          <w:tcPr>
            <w:tcW w:w="1017" w:type="pct"/>
            <w:tcBorders>
              <w:top w:val="nil"/>
              <w:left w:val="single" w:sz="4" w:space="0" w:color="auto"/>
              <w:bottom w:val="nil"/>
              <w:right w:val="nil"/>
            </w:tcBorders>
            <w:shd w:val="clear" w:color="000000" w:fill="FFFFFF"/>
            <w:noWrap/>
            <w:vAlign w:val="center"/>
            <w:hideMark/>
          </w:tcPr>
          <w:p w14:paraId="5DCE79C4"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98" w:type="pct"/>
            <w:tcBorders>
              <w:top w:val="nil"/>
              <w:left w:val="single" w:sz="4" w:space="0" w:color="auto"/>
              <w:bottom w:val="nil"/>
              <w:right w:val="nil"/>
            </w:tcBorders>
            <w:shd w:val="clear" w:color="000000" w:fill="FFFFFF"/>
            <w:noWrap/>
            <w:vAlign w:val="center"/>
            <w:hideMark/>
          </w:tcPr>
          <w:p w14:paraId="55224AD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498" w:type="pct"/>
            <w:tcBorders>
              <w:top w:val="nil"/>
              <w:left w:val="nil"/>
              <w:bottom w:val="nil"/>
              <w:right w:val="nil"/>
            </w:tcBorders>
            <w:shd w:val="clear" w:color="000000" w:fill="FFFFFF"/>
            <w:noWrap/>
            <w:vAlign w:val="center"/>
            <w:hideMark/>
          </w:tcPr>
          <w:p w14:paraId="1F9CFC0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98" w:type="pct"/>
            <w:tcBorders>
              <w:top w:val="nil"/>
              <w:left w:val="nil"/>
              <w:bottom w:val="nil"/>
              <w:right w:val="nil"/>
            </w:tcBorders>
            <w:shd w:val="clear" w:color="000000" w:fill="FFFFFF"/>
            <w:noWrap/>
            <w:vAlign w:val="center"/>
            <w:hideMark/>
          </w:tcPr>
          <w:p w14:paraId="647CA88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498" w:type="pct"/>
            <w:tcBorders>
              <w:top w:val="nil"/>
              <w:left w:val="nil"/>
              <w:bottom w:val="nil"/>
              <w:right w:val="nil"/>
            </w:tcBorders>
            <w:shd w:val="clear" w:color="000000" w:fill="FFFFFF"/>
            <w:noWrap/>
            <w:vAlign w:val="center"/>
            <w:hideMark/>
          </w:tcPr>
          <w:p w14:paraId="1D5A07A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21E5606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77AF054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1069B2A2"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w:t>
            </w:r>
          </w:p>
        </w:tc>
        <w:tc>
          <w:tcPr>
            <w:tcW w:w="496" w:type="pct"/>
            <w:tcBorders>
              <w:top w:val="nil"/>
              <w:left w:val="single" w:sz="4" w:space="0" w:color="auto"/>
              <w:bottom w:val="nil"/>
              <w:right w:val="single" w:sz="4" w:space="0" w:color="auto"/>
            </w:tcBorders>
            <w:shd w:val="clear" w:color="000000" w:fill="FFFFFF"/>
            <w:noWrap/>
            <w:vAlign w:val="center"/>
            <w:hideMark/>
          </w:tcPr>
          <w:p w14:paraId="41F6BBD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r>
      <w:tr w:rsidR="00732FB5" w:rsidRPr="00650EE4" w14:paraId="0E39CD1E" w14:textId="77777777" w:rsidTr="00271F93">
        <w:tc>
          <w:tcPr>
            <w:tcW w:w="1017" w:type="pct"/>
            <w:tcBorders>
              <w:top w:val="nil"/>
              <w:left w:val="single" w:sz="4" w:space="0" w:color="auto"/>
              <w:bottom w:val="nil"/>
              <w:right w:val="nil"/>
            </w:tcBorders>
            <w:shd w:val="clear" w:color="000000" w:fill="FFFFFF"/>
            <w:noWrap/>
            <w:vAlign w:val="center"/>
            <w:hideMark/>
          </w:tcPr>
          <w:p w14:paraId="38D7787F"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98" w:type="pct"/>
            <w:tcBorders>
              <w:top w:val="nil"/>
              <w:left w:val="single" w:sz="4" w:space="0" w:color="auto"/>
              <w:bottom w:val="nil"/>
              <w:right w:val="nil"/>
            </w:tcBorders>
            <w:shd w:val="clear" w:color="000000" w:fill="FFFFFF"/>
            <w:noWrap/>
            <w:vAlign w:val="center"/>
            <w:hideMark/>
          </w:tcPr>
          <w:p w14:paraId="3D3670E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w:t>
            </w:r>
          </w:p>
        </w:tc>
        <w:tc>
          <w:tcPr>
            <w:tcW w:w="498" w:type="pct"/>
            <w:tcBorders>
              <w:top w:val="nil"/>
              <w:left w:val="nil"/>
              <w:bottom w:val="nil"/>
              <w:right w:val="nil"/>
            </w:tcBorders>
            <w:shd w:val="clear" w:color="000000" w:fill="FFFFFF"/>
            <w:noWrap/>
            <w:vAlign w:val="center"/>
            <w:hideMark/>
          </w:tcPr>
          <w:p w14:paraId="6C966D2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498" w:type="pct"/>
            <w:tcBorders>
              <w:top w:val="nil"/>
              <w:left w:val="nil"/>
              <w:bottom w:val="nil"/>
              <w:right w:val="nil"/>
            </w:tcBorders>
            <w:shd w:val="clear" w:color="000000" w:fill="FFFFFF"/>
            <w:noWrap/>
            <w:vAlign w:val="center"/>
            <w:hideMark/>
          </w:tcPr>
          <w:p w14:paraId="61E5D76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498" w:type="pct"/>
            <w:tcBorders>
              <w:top w:val="nil"/>
              <w:left w:val="nil"/>
              <w:bottom w:val="nil"/>
              <w:right w:val="nil"/>
            </w:tcBorders>
            <w:shd w:val="clear" w:color="000000" w:fill="FFFFFF"/>
            <w:noWrap/>
            <w:vAlign w:val="center"/>
            <w:hideMark/>
          </w:tcPr>
          <w:p w14:paraId="498504F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8" w:type="pct"/>
            <w:tcBorders>
              <w:top w:val="nil"/>
              <w:left w:val="nil"/>
              <w:bottom w:val="nil"/>
              <w:right w:val="nil"/>
            </w:tcBorders>
            <w:shd w:val="clear" w:color="000000" w:fill="FFFFFF"/>
            <w:noWrap/>
            <w:vAlign w:val="center"/>
            <w:hideMark/>
          </w:tcPr>
          <w:p w14:paraId="0F1BAE2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9" w:type="pct"/>
            <w:tcBorders>
              <w:top w:val="nil"/>
              <w:left w:val="nil"/>
              <w:bottom w:val="nil"/>
              <w:right w:val="single" w:sz="4" w:space="0" w:color="auto"/>
            </w:tcBorders>
            <w:shd w:val="clear" w:color="000000" w:fill="FFFFFF"/>
            <w:noWrap/>
            <w:vAlign w:val="center"/>
            <w:hideMark/>
          </w:tcPr>
          <w:p w14:paraId="33F4D9C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53533EF8"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104</w:t>
            </w:r>
          </w:p>
        </w:tc>
        <w:tc>
          <w:tcPr>
            <w:tcW w:w="496" w:type="pct"/>
            <w:tcBorders>
              <w:top w:val="nil"/>
              <w:left w:val="single" w:sz="4" w:space="0" w:color="auto"/>
              <w:bottom w:val="nil"/>
              <w:right w:val="single" w:sz="4" w:space="0" w:color="auto"/>
            </w:tcBorders>
            <w:shd w:val="clear" w:color="000000" w:fill="FFFFFF"/>
            <w:noWrap/>
            <w:vAlign w:val="center"/>
            <w:hideMark/>
          </w:tcPr>
          <w:p w14:paraId="3BA3993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r>
      <w:tr w:rsidR="00732FB5" w:rsidRPr="00650EE4" w14:paraId="1E5BA2E7" w14:textId="77777777" w:rsidTr="00271F93">
        <w:tc>
          <w:tcPr>
            <w:tcW w:w="1017" w:type="pct"/>
            <w:tcBorders>
              <w:top w:val="nil"/>
              <w:left w:val="single" w:sz="4" w:space="0" w:color="auto"/>
              <w:bottom w:val="nil"/>
              <w:right w:val="nil"/>
            </w:tcBorders>
            <w:shd w:val="clear" w:color="000000" w:fill="FFFFFF"/>
            <w:noWrap/>
            <w:vAlign w:val="center"/>
            <w:hideMark/>
          </w:tcPr>
          <w:p w14:paraId="5A7EAE38"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98" w:type="pct"/>
            <w:tcBorders>
              <w:top w:val="nil"/>
              <w:left w:val="single" w:sz="4" w:space="0" w:color="auto"/>
              <w:bottom w:val="nil"/>
              <w:right w:val="nil"/>
            </w:tcBorders>
            <w:shd w:val="clear" w:color="000000" w:fill="FFFFFF"/>
            <w:noWrap/>
            <w:vAlign w:val="center"/>
            <w:hideMark/>
          </w:tcPr>
          <w:p w14:paraId="48EE8EA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498" w:type="pct"/>
            <w:tcBorders>
              <w:top w:val="nil"/>
              <w:left w:val="nil"/>
              <w:bottom w:val="nil"/>
              <w:right w:val="nil"/>
            </w:tcBorders>
            <w:shd w:val="clear" w:color="000000" w:fill="FFFFFF"/>
            <w:noWrap/>
            <w:vAlign w:val="center"/>
            <w:hideMark/>
          </w:tcPr>
          <w:p w14:paraId="02E2B31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8" w:type="pct"/>
            <w:tcBorders>
              <w:top w:val="nil"/>
              <w:left w:val="nil"/>
              <w:bottom w:val="nil"/>
              <w:right w:val="nil"/>
            </w:tcBorders>
            <w:shd w:val="clear" w:color="000000" w:fill="FFFFFF"/>
            <w:noWrap/>
            <w:vAlign w:val="center"/>
            <w:hideMark/>
          </w:tcPr>
          <w:p w14:paraId="4DFD7C2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498" w:type="pct"/>
            <w:tcBorders>
              <w:top w:val="nil"/>
              <w:left w:val="nil"/>
              <w:bottom w:val="nil"/>
              <w:right w:val="nil"/>
            </w:tcBorders>
            <w:shd w:val="clear" w:color="000000" w:fill="FFFFFF"/>
            <w:noWrap/>
            <w:vAlign w:val="center"/>
            <w:hideMark/>
          </w:tcPr>
          <w:p w14:paraId="1091D01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44E9225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3ED6C2C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4FFB83CB"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43</w:t>
            </w:r>
          </w:p>
        </w:tc>
        <w:tc>
          <w:tcPr>
            <w:tcW w:w="496" w:type="pct"/>
            <w:tcBorders>
              <w:top w:val="nil"/>
              <w:left w:val="single" w:sz="4" w:space="0" w:color="auto"/>
              <w:bottom w:val="nil"/>
              <w:right w:val="single" w:sz="4" w:space="0" w:color="auto"/>
            </w:tcBorders>
            <w:shd w:val="clear" w:color="000000" w:fill="FFFFFF"/>
            <w:noWrap/>
            <w:vAlign w:val="center"/>
            <w:hideMark/>
          </w:tcPr>
          <w:p w14:paraId="7EFBD65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r>
      <w:tr w:rsidR="00732FB5" w:rsidRPr="00650EE4" w14:paraId="03B64DC0" w14:textId="77777777" w:rsidTr="00271F93">
        <w:tc>
          <w:tcPr>
            <w:tcW w:w="1017" w:type="pct"/>
            <w:tcBorders>
              <w:top w:val="nil"/>
              <w:left w:val="single" w:sz="4" w:space="0" w:color="auto"/>
              <w:bottom w:val="nil"/>
              <w:right w:val="nil"/>
            </w:tcBorders>
            <w:shd w:val="clear" w:color="000000" w:fill="FFFFFF"/>
            <w:noWrap/>
            <w:vAlign w:val="center"/>
            <w:hideMark/>
          </w:tcPr>
          <w:p w14:paraId="3C8527C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98" w:type="pct"/>
            <w:tcBorders>
              <w:top w:val="nil"/>
              <w:left w:val="single" w:sz="4" w:space="0" w:color="auto"/>
              <w:bottom w:val="nil"/>
              <w:right w:val="nil"/>
            </w:tcBorders>
            <w:shd w:val="clear" w:color="000000" w:fill="FFFFFF"/>
            <w:noWrap/>
            <w:vAlign w:val="center"/>
            <w:hideMark/>
          </w:tcPr>
          <w:p w14:paraId="5B54999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98" w:type="pct"/>
            <w:tcBorders>
              <w:top w:val="nil"/>
              <w:left w:val="nil"/>
              <w:bottom w:val="nil"/>
              <w:right w:val="nil"/>
            </w:tcBorders>
            <w:shd w:val="clear" w:color="000000" w:fill="FFFFFF"/>
            <w:noWrap/>
            <w:vAlign w:val="center"/>
            <w:hideMark/>
          </w:tcPr>
          <w:p w14:paraId="5794556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98" w:type="pct"/>
            <w:tcBorders>
              <w:top w:val="nil"/>
              <w:left w:val="nil"/>
              <w:bottom w:val="nil"/>
              <w:right w:val="nil"/>
            </w:tcBorders>
            <w:shd w:val="clear" w:color="000000" w:fill="FFFFFF"/>
            <w:noWrap/>
            <w:vAlign w:val="center"/>
            <w:hideMark/>
          </w:tcPr>
          <w:p w14:paraId="709DF2D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498" w:type="pct"/>
            <w:tcBorders>
              <w:top w:val="nil"/>
              <w:left w:val="nil"/>
              <w:bottom w:val="nil"/>
              <w:right w:val="nil"/>
            </w:tcBorders>
            <w:shd w:val="clear" w:color="000000" w:fill="FFFFFF"/>
            <w:noWrap/>
            <w:vAlign w:val="center"/>
            <w:hideMark/>
          </w:tcPr>
          <w:p w14:paraId="7679FD7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8" w:type="pct"/>
            <w:tcBorders>
              <w:top w:val="nil"/>
              <w:left w:val="nil"/>
              <w:bottom w:val="nil"/>
              <w:right w:val="nil"/>
            </w:tcBorders>
            <w:shd w:val="clear" w:color="000000" w:fill="FFFFFF"/>
            <w:noWrap/>
            <w:vAlign w:val="center"/>
            <w:hideMark/>
          </w:tcPr>
          <w:p w14:paraId="40FCC21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9" w:type="pct"/>
            <w:tcBorders>
              <w:top w:val="nil"/>
              <w:left w:val="nil"/>
              <w:bottom w:val="nil"/>
              <w:right w:val="single" w:sz="4" w:space="0" w:color="auto"/>
            </w:tcBorders>
            <w:shd w:val="clear" w:color="000000" w:fill="FFFFFF"/>
            <w:noWrap/>
            <w:vAlign w:val="center"/>
            <w:hideMark/>
          </w:tcPr>
          <w:p w14:paraId="3BAE2DA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2419C525"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33</w:t>
            </w:r>
          </w:p>
        </w:tc>
        <w:tc>
          <w:tcPr>
            <w:tcW w:w="496" w:type="pct"/>
            <w:tcBorders>
              <w:top w:val="nil"/>
              <w:left w:val="single" w:sz="4" w:space="0" w:color="auto"/>
              <w:bottom w:val="nil"/>
              <w:right w:val="single" w:sz="4" w:space="0" w:color="auto"/>
            </w:tcBorders>
            <w:shd w:val="clear" w:color="000000" w:fill="FFFFFF"/>
            <w:noWrap/>
            <w:vAlign w:val="center"/>
            <w:hideMark/>
          </w:tcPr>
          <w:p w14:paraId="0BACEAB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732FB5" w:rsidRPr="00650EE4" w14:paraId="4723D8E6" w14:textId="77777777" w:rsidTr="00271F93">
        <w:tc>
          <w:tcPr>
            <w:tcW w:w="1017" w:type="pct"/>
            <w:tcBorders>
              <w:top w:val="nil"/>
              <w:left w:val="single" w:sz="4" w:space="0" w:color="auto"/>
              <w:bottom w:val="nil"/>
              <w:right w:val="nil"/>
            </w:tcBorders>
            <w:shd w:val="clear" w:color="000000" w:fill="FFFFFF"/>
            <w:noWrap/>
            <w:vAlign w:val="center"/>
            <w:hideMark/>
          </w:tcPr>
          <w:p w14:paraId="03D1603F"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98" w:type="pct"/>
            <w:tcBorders>
              <w:top w:val="nil"/>
              <w:left w:val="single" w:sz="4" w:space="0" w:color="auto"/>
              <w:bottom w:val="nil"/>
              <w:right w:val="nil"/>
            </w:tcBorders>
            <w:shd w:val="clear" w:color="000000" w:fill="FFFFFF"/>
            <w:noWrap/>
            <w:vAlign w:val="center"/>
            <w:hideMark/>
          </w:tcPr>
          <w:p w14:paraId="12660BC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498" w:type="pct"/>
            <w:tcBorders>
              <w:top w:val="nil"/>
              <w:left w:val="nil"/>
              <w:bottom w:val="nil"/>
              <w:right w:val="nil"/>
            </w:tcBorders>
            <w:shd w:val="clear" w:color="000000" w:fill="FFFFFF"/>
            <w:noWrap/>
            <w:vAlign w:val="center"/>
            <w:hideMark/>
          </w:tcPr>
          <w:p w14:paraId="6FDEC8A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8" w:type="pct"/>
            <w:tcBorders>
              <w:top w:val="nil"/>
              <w:left w:val="nil"/>
              <w:bottom w:val="nil"/>
              <w:right w:val="nil"/>
            </w:tcBorders>
            <w:shd w:val="clear" w:color="000000" w:fill="FFFFFF"/>
            <w:noWrap/>
            <w:vAlign w:val="center"/>
            <w:hideMark/>
          </w:tcPr>
          <w:p w14:paraId="50C4961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8" w:type="pct"/>
            <w:tcBorders>
              <w:top w:val="nil"/>
              <w:left w:val="nil"/>
              <w:bottom w:val="nil"/>
              <w:right w:val="nil"/>
            </w:tcBorders>
            <w:shd w:val="clear" w:color="000000" w:fill="FFFFFF"/>
            <w:noWrap/>
            <w:vAlign w:val="center"/>
            <w:hideMark/>
          </w:tcPr>
          <w:p w14:paraId="20BDFD7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33B2932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64C42AD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54AC549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w:t>
            </w:r>
          </w:p>
        </w:tc>
        <w:tc>
          <w:tcPr>
            <w:tcW w:w="496" w:type="pct"/>
            <w:tcBorders>
              <w:top w:val="nil"/>
              <w:left w:val="single" w:sz="4" w:space="0" w:color="auto"/>
              <w:bottom w:val="nil"/>
              <w:right w:val="single" w:sz="4" w:space="0" w:color="auto"/>
            </w:tcBorders>
            <w:shd w:val="clear" w:color="000000" w:fill="FFFFFF"/>
            <w:noWrap/>
            <w:vAlign w:val="center"/>
            <w:hideMark/>
          </w:tcPr>
          <w:p w14:paraId="72371B6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732FB5" w:rsidRPr="00650EE4" w14:paraId="3F46F3BC" w14:textId="77777777" w:rsidTr="00271F93">
        <w:tc>
          <w:tcPr>
            <w:tcW w:w="1017" w:type="pct"/>
            <w:tcBorders>
              <w:top w:val="nil"/>
              <w:left w:val="single" w:sz="4" w:space="0" w:color="auto"/>
              <w:bottom w:val="nil"/>
              <w:right w:val="nil"/>
            </w:tcBorders>
            <w:shd w:val="clear" w:color="000000" w:fill="FFFFFF"/>
            <w:noWrap/>
            <w:vAlign w:val="center"/>
            <w:hideMark/>
          </w:tcPr>
          <w:p w14:paraId="4544C14D"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98" w:type="pct"/>
            <w:tcBorders>
              <w:top w:val="nil"/>
              <w:left w:val="single" w:sz="4" w:space="0" w:color="auto"/>
              <w:bottom w:val="nil"/>
              <w:right w:val="nil"/>
            </w:tcBorders>
            <w:shd w:val="clear" w:color="000000" w:fill="FFFFFF"/>
            <w:noWrap/>
            <w:vAlign w:val="center"/>
            <w:hideMark/>
          </w:tcPr>
          <w:p w14:paraId="79B8875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498" w:type="pct"/>
            <w:tcBorders>
              <w:top w:val="nil"/>
              <w:left w:val="nil"/>
              <w:bottom w:val="nil"/>
              <w:right w:val="nil"/>
            </w:tcBorders>
            <w:shd w:val="clear" w:color="000000" w:fill="FFFFFF"/>
            <w:noWrap/>
            <w:vAlign w:val="center"/>
            <w:hideMark/>
          </w:tcPr>
          <w:p w14:paraId="372C91F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8" w:type="pct"/>
            <w:tcBorders>
              <w:top w:val="nil"/>
              <w:left w:val="nil"/>
              <w:bottom w:val="nil"/>
              <w:right w:val="nil"/>
            </w:tcBorders>
            <w:shd w:val="clear" w:color="000000" w:fill="FFFFFF"/>
            <w:noWrap/>
            <w:vAlign w:val="center"/>
            <w:hideMark/>
          </w:tcPr>
          <w:p w14:paraId="43E93CC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8" w:type="pct"/>
            <w:tcBorders>
              <w:top w:val="nil"/>
              <w:left w:val="nil"/>
              <w:bottom w:val="nil"/>
              <w:right w:val="nil"/>
            </w:tcBorders>
            <w:shd w:val="clear" w:color="000000" w:fill="FFFFFF"/>
            <w:noWrap/>
            <w:vAlign w:val="center"/>
            <w:hideMark/>
          </w:tcPr>
          <w:p w14:paraId="65CC612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6CB8C38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073102A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7E3EC183"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w:t>
            </w:r>
          </w:p>
        </w:tc>
        <w:tc>
          <w:tcPr>
            <w:tcW w:w="496" w:type="pct"/>
            <w:tcBorders>
              <w:top w:val="nil"/>
              <w:left w:val="single" w:sz="4" w:space="0" w:color="auto"/>
              <w:bottom w:val="nil"/>
              <w:right w:val="single" w:sz="4" w:space="0" w:color="auto"/>
            </w:tcBorders>
            <w:shd w:val="clear" w:color="000000" w:fill="FFFFFF"/>
            <w:noWrap/>
            <w:vAlign w:val="center"/>
            <w:hideMark/>
          </w:tcPr>
          <w:p w14:paraId="4892B56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732FB5" w:rsidRPr="00650EE4" w14:paraId="7EAFC806" w14:textId="77777777" w:rsidTr="00271F93">
        <w:tc>
          <w:tcPr>
            <w:tcW w:w="1017" w:type="pct"/>
            <w:tcBorders>
              <w:top w:val="nil"/>
              <w:left w:val="single" w:sz="4" w:space="0" w:color="auto"/>
              <w:bottom w:val="nil"/>
              <w:right w:val="nil"/>
            </w:tcBorders>
            <w:shd w:val="clear" w:color="000000" w:fill="FFFFFF"/>
            <w:noWrap/>
            <w:vAlign w:val="center"/>
            <w:hideMark/>
          </w:tcPr>
          <w:p w14:paraId="200144A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98" w:type="pct"/>
            <w:tcBorders>
              <w:top w:val="nil"/>
              <w:left w:val="single" w:sz="4" w:space="0" w:color="auto"/>
              <w:bottom w:val="single" w:sz="4" w:space="0" w:color="auto"/>
              <w:right w:val="nil"/>
            </w:tcBorders>
            <w:shd w:val="clear" w:color="000000" w:fill="FFFFFF"/>
            <w:noWrap/>
            <w:vAlign w:val="center"/>
            <w:hideMark/>
          </w:tcPr>
          <w:p w14:paraId="6BB4380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98" w:type="pct"/>
            <w:tcBorders>
              <w:top w:val="nil"/>
              <w:left w:val="nil"/>
              <w:bottom w:val="single" w:sz="4" w:space="0" w:color="auto"/>
              <w:right w:val="nil"/>
            </w:tcBorders>
            <w:shd w:val="clear" w:color="000000" w:fill="FFFFFF"/>
            <w:noWrap/>
            <w:vAlign w:val="center"/>
            <w:hideMark/>
          </w:tcPr>
          <w:p w14:paraId="7BD536B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8" w:type="pct"/>
            <w:tcBorders>
              <w:top w:val="nil"/>
              <w:left w:val="nil"/>
              <w:bottom w:val="single" w:sz="4" w:space="0" w:color="auto"/>
              <w:right w:val="nil"/>
            </w:tcBorders>
            <w:shd w:val="clear" w:color="000000" w:fill="FFFFFF"/>
            <w:noWrap/>
            <w:vAlign w:val="center"/>
            <w:hideMark/>
          </w:tcPr>
          <w:p w14:paraId="3DA0AE5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98" w:type="pct"/>
            <w:tcBorders>
              <w:top w:val="nil"/>
              <w:left w:val="nil"/>
              <w:bottom w:val="single" w:sz="4" w:space="0" w:color="auto"/>
              <w:right w:val="nil"/>
            </w:tcBorders>
            <w:shd w:val="clear" w:color="000000" w:fill="FFFFFF"/>
            <w:noWrap/>
            <w:vAlign w:val="center"/>
            <w:hideMark/>
          </w:tcPr>
          <w:p w14:paraId="584E4CA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single" w:sz="4" w:space="0" w:color="auto"/>
              <w:right w:val="nil"/>
            </w:tcBorders>
            <w:shd w:val="clear" w:color="000000" w:fill="FFFFFF"/>
            <w:noWrap/>
            <w:vAlign w:val="center"/>
            <w:hideMark/>
          </w:tcPr>
          <w:p w14:paraId="4EDF69D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single" w:sz="4" w:space="0" w:color="auto"/>
              <w:right w:val="single" w:sz="4" w:space="0" w:color="auto"/>
            </w:tcBorders>
            <w:shd w:val="clear" w:color="000000" w:fill="FFFFFF"/>
            <w:noWrap/>
            <w:vAlign w:val="center"/>
            <w:hideMark/>
          </w:tcPr>
          <w:p w14:paraId="6BEC991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single" w:sz="4" w:space="0" w:color="auto"/>
              <w:right w:val="nil"/>
            </w:tcBorders>
            <w:shd w:val="clear" w:color="000000" w:fill="FFFFFF"/>
            <w:noWrap/>
            <w:vAlign w:val="center"/>
            <w:hideMark/>
          </w:tcPr>
          <w:p w14:paraId="6EBA4A2B"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w:t>
            </w:r>
          </w:p>
        </w:tc>
        <w:tc>
          <w:tcPr>
            <w:tcW w:w="496" w:type="pct"/>
            <w:tcBorders>
              <w:top w:val="nil"/>
              <w:left w:val="single" w:sz="4" w:space="0" w:color="auto"/>
              <w:bottom w:val="single" w:sz="4" w:space="0" w:color="auto"/>
              <w:right w:val="single" w:sz="4" w:space="0" w:color="auto"/>
            </w:tcBorders>
            <w:shd w:val="clear" w:color="000000" w:fill="FFFFFF"/>
            <w:noWrap/>
            <w:vAlign w:val="center"/>
            <w:hideMark/>
          </w:tcPr>
          <w:p w14:paraId="7BBC37A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732FB5" w:rsidRPr="00650EE4" w14:paraId="23FD8294" w14:textId="77777777" w:rsidTr="00271F93">
        <w:tc>
          <w:tcPr>
            <w:tcW w:w="1017" w:type="pct"/>
            <w:tcBorders>
              <w:top w:val="single" w:sz="4" w:space="0" w:color="auto"/>
              <w:left w:val="single" w:sz="4" w:space="0" w:color="auto"/>
              <w:bottom w:val="nil"/>
              <w:right w:val="single" w:sz="4" w:space="0" w:color="auto"/>
            </w:tcBorders>
            <w:shd w:val="clear" w:color="000000" w:fill="FFFFFF"/>
            <w:noWrap/>
            <w:vAlign w:val="center"/>
            <w:hideMark/>
          </w:tcPr>
          <w:p w14:paraId="38997D99" w14:textId="77777777" w:rsidR="00732FB5" w:rsidRPr="00650EE4" w:rsidRDefault="00732FB5" w:rsidP="00732FB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8" w:type="pct"/>
            <w:tcBorders>
              <w:top w:val="nil"/>
              <w:left w:val="nil"/>
              <w:bottom w:val="nil"/>
              <w:right w:val="nil"/>
            </w:tcBorders>
            <w:shd w:val="clear" w:color="000000" w:fill="FFFFFF"/>
            <w:noWrap/>
            <w:vAlign w:val="center"/>
            <w:hideMark/>
          </w:tcPr>
          <w:p w14:paraId="7374345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1.679</w:t>
            </w:r>
          </w:p>
        </w:tc>
        <w:tc>
          <w:tcPr>
            <w:tcW w:w="498" w:type="pct"/>
            <w:tcBorders>
              <w:top w:val="nil"/>
              <w:left w:val="nil"/>
              <w:bottom w:val="nil"/>
              <w:right w:val="nil"/>
            </w:tcBorders>
            <w:shd w:val="clear" w:color="000000" w:fill="FFFFFF"/>
            <w:noWrap/>
            <w:vAlign w:val="center"/>
            <w:hideMark/>
          </w:tcPr>
          <w:p w14:paraId="4C07EA2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457</w:t>
            </w:r>
          </w:p>
        </w:tc>
        <w:tc>
          <w:tcPr>
            <w:tcW w:w="498" w:type="pct"/>
            <w:tcBorders>
              <w:top w:val="nil"/>
              <w:left w:val="nil"/>
              <w:bottom w:val="nil"/>
              <w:right w:val="nil"/>
            </w:tcBorders>
            <w:shd w:val="clear" w:color="000000" w:fill="FFFFFF"/>
            <w:noWrap/>
            <w:vAlign w:val="center"/>
            <w:hideMark/>
          </w:tcPr>
          <w:p w14:paraId="66AFD022"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356</w:t>
            </w:r>
          </w:p>
        </w:tc>
        <w:tc>
          <w:tcPr>
            <w:tcW w:w="498" w:type="pct"/>
            <w:tcBorders>
              <w:top w:val="nil"/>
              <w:left w:val="nil"/>
              <w:bottom w:val="nil"/>
              <w:right w:val="nil"/>
            </w:tcBorders>
            <w:shd w:val="clear" w:color="000000" w:fill="FFFFFF"/>
            <w:noWrap/>
            <w:vAlign w:val="center"/>
            <w:hideMark/>
          </w:tcPr>
          <w:p w14:paraId="01D09800"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42</w:t>
            </w:r>
          </w:p>
        </w:tc>
        <w:tc>
          <w:tcPr>
            <w:tcW w:w="498" w:type="pct"/>
            <w:tcBorders>
              <w:top w:val="nil"/>
              <w:left w:val="nil"/>
              <w:bottom w:val="nil"/>
              <w:right w:val="nil"/>
            </w:tcBorders>
            <w:shd w:val="clear" w:color="000000" w:fill="FFFFFF"/>
            <w:noWrap/>
            <w:vAlign w:val="center"/>
            <w:hideMark/>
          </w:tcPr>
          <w:p w14:paraId="3A63DDD7"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w:t>
            </w:r>
          </w:p>
        </w:tc>
        <w:tc>
          <w:tcPr>
            <w:tcW w:w="499" w:type="pct"/>
            <w:tcBorders>
              <w:top w:val="nil"/>
              <w:left w:val="nil"/>
              <w:bottom w:val="nil"/>
              <w:right w:val="single" w:sz="4" w:space="0" w:color="auto"/>
            </w:tcBorders>
            <w:shd w:val="clear" w:color="000000" w:fill="FFFFFF"/>
            <w:noWrap/>
            <w:vAlign w:val="center"/>
            <w:hideMark/>
          </w:tcPr>
          <w:p w14:paraId="2442508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w:t>
            </w:r>
          </w:p>
        </w:tc>
        <w:tc>
          <w:tcPr>
            <w:tcW w:w="498" w:type="pct"/>
            <w:tcBorders>
              <w:top w:val="nil"/>
              <w:left w:val="nil"/>
              <w:bottom w:val="nil"/>
              <w:right w:val="nil"/>
            </w:tcBorders>
            <w:shd w:val="clear" w:color="000000" w:fill="FFFFFF"/>
            <w:noWrap/>
            <w:vAlign w:val="center"/>
            <w:hideMark/>
          </w:tcPr>
          <w:p w14:paraId="1F18509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2.547</w:t>
            </w:r>
          </w:p>
        </w:tc>
        <w:tc>
          <w:tcPr>
            <w:tcW w:w="496" w:type="pct"/>
            <w:tcBorders>
              <w:top w:val="nil"/>
              <w:left w:val="single" w:sz="4" w:space="0" w:color="auto"/>
              <w:bottom w:val="nil"/>
              <w:right w:val="single" w:sz="4" w:space="0" w:color="auto"/>
            </w:tcBorders>
            <w:shd w:val="clear" w:color="000000" w:fill="FFFFFF"/>
            <w:noWrap/>
            <w:vAlign w:val="center"/>
            <w:hideMark/>
          </w:tcPr>
          <w:p w14:paraId="02D7986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732FB5" w:rsidRPr="00650EE4" w14:paraId="5E8CC4F7" w14:textId="77777777" w:rsidTr="00271F93">
        <w:tc>
          <w:tcPr>
            <w:tcW w:w="10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72A3B"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98" w:type="pct"/>
            <w:tcBorders>
              <w:top w:val="single" w:sz="4" w:space="0" w:color="auto"/>
              <w:left w:val="nil"/>
              <w:bottom w:val="single" w:sz="4" w:space="0" w:color="auto"/>
              <w:right w:val="nil"/>
            </w:tcBorders>
            <w:shd w:val="clear" w:color="000000" w:fill="FFFFFF"/>
            <w:noWrap/>
            <w:vAlign w:val="center"/>
            <w:hideMark/>
          </w:tcPr>
          <w:p w14:paraId="0F6BE85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498" w:type="pct"/>
            <w:tcBorders>
              <w:top w:val="single" w:sz="4" w:space="0" w:color="auto"/>
              <w:left w:val="nil"/>
              <w:bottom w:val="single" w:sz="4" w:space="0" w:color="auto"/>
              <w:right w:val="nil"/>
            </w:tcBorders>
            <w:shd w:val="clear" w:color="000000" w:fill="FFFFFF"/>
            <w:noWrap/>
            <w:vAlign w:val="center"/>
            <w:hideMark/>
          </w:tcPr>
          <w:p w14:paraId="39BCE8F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98" w:type="pct"/>
            <w:tcBorders>
              <w:top w:val="single" w:sz="4" w:space="0" w:color="auto"/>
              <w:left w:val="nil"/>
              <w:bottom w:val="single" w:sz="4" w:space="0" w:color="auto"/>
              <w:right w:val="nil"/>
            </w:tcBorders>
            <w:shd w:val="clear" w:color="000000" w:fill="FFFFFF"/>
            <w:noWrap/>
            <w:vAlign w:val="center"/>
            <w:hideMark/>
          </w:tcPr>
          <w:p w14:paraId="1F42D8C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98" w:type="pct"/>
            <w:tcBorders>
              <w:top w:val="single" w:sz="4" w:space="0" w:color="auto"/>
              <w:left w:val="nil"/>
              <w:bottom w:val="single" w:sz="4" w:space="0" w:color="auto"/>
              <w:right w:val="nil"/>
            </w:tcBorders>
            <w:shd w:val="clear" w:color="000000" w:fill="FFFFFF"/>
            <w:noWrap/>
            <w:vAlign w:val="center"/>
            <w:hideMark/>
          </w:tcPr>
          <w:p w14:paraId="6283EE5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8" w:type="pct"/>
            <w:tcBorders>
              <w:top w:val="single" w:sz="4" w:space="0" w:color="auto"/>
              <w:left w:val="nil"/>
              <w:bottom w:val="single" w:sz="4" w:space="0" w:color="auto"/>
              <w:right w:val="nil"/>
            </w:tcBorders>
            <w:shd w:val="clear" w:color="000000" w:fill="FFFFFF"/>
            <w:noWrap/>
            <w:vAlign w:val="center"/>
            <w:hideMark/>
          </w:tcPr>
          <w:p w14:paraId="7A5C40F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single" w:sz="4" w:space="0" w:color="auto"/>
              <w:left w:val="nil"/>
              <w:bottom w:val="single" w:sz="4" w:space="0" w:color="auto"/>
              <w:right w:val="single" w:sz="4" w:space="0" w:color="auto"/>
            </w:tcBorders>
            <w:shd w:val="clear" w:color="000000" w:fill="FFFFFF"/>
            <w:noWrap/>
            <w:vAlign w:val="center"/>
            <w:hideMark/>
          </w:tcPr>
          <w:p w14:paraId="40356C7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single" w:sz="4" w:space="0" w:color="auto"/>
              <w:left w:val="nil"/>
              <w:bottom w:val="single" w:sz="4" w:space="0" w:color="auto"/>
              <w:right w:val="nil"/>
            </w:tcBorders>
            <w:shd w:val="clear" w:color="000000" w:fill="FFFFFF"/>
            <w:noWrap/>
            <w:vAlign w:val="center"/>
            <w:hideMark/>
          </w:tcPr>
          <w:p w14:paraId="5C8F138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D1D5F"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787C21E" w14:textId="529CC1D5" w:rsidR="004C3307" w:rsidRPr="00650EE4" w:rsidRDefault="00C53D30" w:rsidP="00C53D30">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w:t>
      </w:r>
      <w:r w:rsidR="004C3307" w:rsidRPr="00650EE4">
        <w:rPr>
          <w:rFonts w:ascii="Times New Roman" w:eastAsia="Times New Roman" w:hAnsi="Times New Roman"/>
          <w:i/>
          <w:color w:val="000000" w:themeColor="text1"/>
          <w:sz w:val="20"/>
          <w:szCs w:val="20"/>
        </w:rPr>
        <w:t xml:space="preserve">tudijos </w:t>
      </w:r>
      <w:r w:rsidR="006D65CB">
        <w:rPr>
          <w:rFonts w:ascii="Times New Roman" w:hAnsi="Times New Roman"/>
          <w:i/>
          <w:iCs/>
          <w:color w:val="auto"/>
          <w:sz w:val="20"/>
          <w:szCs w:val="20"/>
        </w:rPr>
        <w:t>Lietuvos ilgalaikei renovacijos strategijai parengti</w:t>
      </w:r>
      <w:r w:rsidR="006D65CB" w:rsidRPr="00650EE4">
        <w:rPr>
          <w:rFonts w:ascii="Times New Roman" w:eastAsia="Times New Roman" w:hAnsi="Times New Roman"/>
          <w:i/>
          <w:color w:val="000000" w:themeColor="text1"/>
          <w:sz w:val="20"/>
          <w:szCs w:val="20"/>
        </w:rPr>
        <w:t xml:space="preserve"> </w:t>
      </w:r>
      <w:r w:rsidR="004C3307" w:rsidRPr="00650EE4">
        <w:rPr>
          <w:rFonts w:ascii="Times New Roman" w:eastAsia="Times New Roman" w:hAnsi="Times New Roman"/>
          <w:i/>
          <w:color w:val="000000" w:themeColor="text1"/>
          <w:sz w:val="20"/>
          <w:szCs w:val="20"/>
        </w:rPr>
        <w:t>autoriai</w:t>
      </w:r>
    </w:p>
    <w:p w14:paraId="124D0621" w14:textId="050AB351" w:rsidR="00F86E9E" w:rsidRPr="00650EE4" w:rsidRDefault="00F86E9E">
      <w:pPr>
        <w:spacing w:line="240" w:lineRule="auto"/>
        <w:jc w:val="both"/>
        <w:rPr>
          <w:rFonts w:ascii="Times New Roman" w:hAnsi="Times New Roman"/>
          <w:color w:val="000000" w:themeColor="text1"/>
          <w:szCs w:val="22"/>
        </w:rPr>
      </w:pPr>
    </w:p>
    <w:p w14:paraId="005A13E0" w14:textId="77777777" w:rsidR="008B41F1" w:rsidRPr="00650EE4" w:rsidRDefault="008B41F1" w:rsidP="008B41F1">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AB930B9" w14:textId="21172499" w:rsidR="008B41F1" w:rsidRPr="00650EE4" w:rsidRDefault="003E0C4E" w:rsidP="008B41F1">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8B41F1" w:rsidRPr="00650EE4">
        <w:rPr>
          <w:rFonts w:ascii="Times New Roman" w:hAnsi="Times New Roman"/>
          <w:color w:val="000000" w:themeColor="text1"/>
          <w:szCs w:val="22"/>
        </w:rPr>
        <w:t>astatų fondo elektros energijos vartojimas yra 11 kartų mažesnis u</w:t>
      </w:r>
      <w:r>
        <w:rPr>
          <w:rFonts w:ascii="Times New Roman" w:hAnsi="Times New Roman"/>
          <w:color w:val="000000" w:themeColor="text1"/>
          <w:szCs w:val="22"/>
        </w:rPr>
        <w:t>ž šiluminės energijos vartojimą;</w:t>
      </w:r>
      <w:r w:rsidR="008B41F1" w:rsidRPr="00650EE4">
        <w:rPr>
          <w:rFonts w:ascii="Times New Roman" w:hAnsi="Times New Roman"/>
          <w:color w:val="000000" w:themeColor="text1"/>
          <w:szCs w:val="22"/>
        </w:rPr>
        <w:t xml:space="preserve"> </w:t>
      </w:r>
    </w:p>
    <w:p w14:paraId="2296E0D1" w14:textId="3196C4BB" w:rsidR="008B41F1" w:rsidRPr="00650EE4" w:rsidRDefault="003E0C4E" w:rsidP="00DE1BBF">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t</w:t>
      </w:r>
      <w:r w:rsidR="008B41F1" w:rsidRPr="00650EE4">
        <w:rPr>
          <w:rFonts w:ascii="Times New Roman" w:hAnsi="Times New Roman"/>
          <w:color w:val="000000" w:themeColor="text1"/>
          <w:szCs w:val="22"/>
        </w:rPr>
        <w:t xml:space="preserve">radicinės renovacijos priemonės </w:t>
      </w:r>
      <w:r w:rsidR="00462BD8" w:rsidRPr="00650EE4">
        <w:rPr>
          <w:rFonts w:ascii="Times New Roman" w:hAnsi="Times New Roman"/>
          <w:color w:val="000000" w:themeColor="text1"/>
          <w:szCs w:val="22"/>
        </w:rPr>
        <w:t>reikšmingiausiai lemia šiluminės energijos vartojimo mažėjimą</w:t>
      </w:r>
      <w:r w:rsidR="00724D08" w:rsidRPr="00650EE4">
        <w:rPr>
          <w:rFonts w:ascii="Times New Roman" w:hAnsi="Times New Roman"/>
          <w:color w:val="000000" w:themeColor="text1"/>
          <w:szCs w:val="22"/>
        </w:rPr>
        <w:t>.</w:t>
      </w:r>
    </w:p>
    <w:p w14:paraId="3079DD66" w14:textId="77777777" w:rsidR="008B41F1" w:rsidRPr="00650EE4" w:rsidRDefault="008B41F1">
      <w:pPr>
        <w:spacing w:line="240" w:lineRule="auto"/>
        <w:jc w:val="both"/>
        <w:rPr>
          <w:rFonts w:ascii="Times New Roman" w:hAnsi="Times New Roman"/>
          <w:color w:val="000000" w:themeColor="text1"/>
          <w:szCs w:val="22"/>
        </w:rPr>
      </w:pPr>
    </w:p>
    <w:p w14:paraId="46CDAE9B" w14:textId="1F8ABB26" w:rsidR="008B41F1" w:rsidRPr="00650EE4" w:rsidRDefault="008B41F1" w:rsidP="008B41F1">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Paveiks</w:t>
      </w:r>
      <w:r w:rsidR="007A52B6">
        <w:rPr>
          <w:rFonts w:ascii="Times New Roman" w:hAnsi="Times New Roman"/>
          <w:color w:val="000000" w:themeColor="text1"/>
          <w:szCs w:val="22"/>
        </w:rPr>
        <w:t>le žemiau pateikiami agreguoti p</w:t>
      </w:r>
      <w:r w:rsidRPr="00650EE4">
        <w:rPr>
          <w:rFonts w:ascii="Times New Roman" w:hAnsi="Times New Roman"/>
          <w:color w:val="000000" w:themeColor="text1"/>
          <w:szCs w:val="22"/>
        </w:rPr>
        <w:t>astatų fondo duomenys pagal patiektos energijos vartojimą.</w:t>
      </w:r>
    </w:p>
    <w:p w14:paraId="489F8017" w14:textId="006FF275" w:rsidR="00586DBA" w:rsidRPr="00650EE4" w:rsidRDefault="00586DBA" w:rsidP="0099057C">
      <w:pPr>
        <w:rPr>
          <w:rFonts w:ascii="Times New Roman" w:eastAsiaTheme="minorHAnsi" w:hAnsi="Times New Roman"/>
          <w:bCs/>
          <w:i/>
          <w:color w:val="000000" w:themeColor="text1"/>
          <w:sz w:val="20"/>
          <w:szCs w:val="20"/>
        </w:rPr>
      </w:pPr>
    </w:p>
    <w:p w14:paraId="14CBC8F9" w14:textId="6FD478DD" w:rsidR="008B41F1"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57" w:name="_Toc67925257"/>
      <w:r w:rsidR="007744C1">
        <w:t>9</w:t>
      </w:r>
      <w:r w:rsidRPr="00650EE4">
        <w:rPr>
          <w:noProof w:val="0"/>
        </w:rPr>
        <w:fldChar w:fldCharType="end"/>
      </w:r>
      <w:r w:rsidR="008B41F1" w:rsidRPr="00650EE4">
        <w:rPr>
          <w:noProof w:val="0"/>
        </w:rPr>
        <w:t xml:space="preserve"> paveikslas. Pastatų fondo šiluminės energijos vartojimas (agreguotas) (</w:t>
      </w:r>
      <w:proofErr w:type="spellStart"/>
      <w:r w:rsidR="008B41F1" w:rsidRPr="00650EE4">
        <w:rPr>
          <w:noProof w:val="0"/>
        </w:rPr>
        <w:t>GWh</w:t>
      </w:r>
      <w:proofErr w:type="spellEnd"/>
      <w:r w:rsidR="008B41F1" w:rsidRPr="00650EE4">
        <w:rPr>
          <w:noProof w:val="0"/>
        </w:rPr>
        <w:t>/metus)</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316"/>
      </w:tblGrid>
      <w:tr w:rsidR="008B41F1" w:rsidRPr="00650EE4" w14:paraId="1DDF6AC3" w14:textId="77777777" w:rsidTr="008B41F1">
        <w:tc>
          <w:tcPr>
            <w:tcW w:w="5068" w:type="dxa"/>
          </w:tcPr>
          <w:p w14:paraId="68E9A7A9" w14:textId="4AA299EA" w:rsidR="008B41F1" w:rsidRPr="00650EE4" w:rsidRDefault="008B41F1" w:rsidP="00DE1BBF">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5AF788C3" wp14:editId="4DFBAC53">
                  <wp:extent cx="3057099" cy="1929130"/>
                  <wp:effectExtent l="0" t="0" r="10160" b="13970"/>
                  <wp:docPr id="21" name="Chart 2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D58C31F-4E41-457D-9B1B-BA06304C4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36" w:type="dxa"/>
          </w:tcPr>
          <w:p w14:paraId="66D1E8DE" w14:textId="608C4897" w:rsidR="008B41F1" w:rsidRPr="00650EE4" w:rsidRDefault="00DA63F0" w:rsidP="00DE1BBF">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00C9C384" wp14:editId="65C8BB5D">
                  <wp:extent cx="3233319" cy="1929130"/>
                  <wp:effectExtent l="0" t="0" r="5715" b="13970"/>
                  <wp:docPr id="36" name="Chart 36">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569896-8E01-40B3-BA6A-915289F27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F0F73B6" w14:textId="36CE0884" w:rsidR="008B41F1" w:rsidRPr="00650EE4" w:rsidRDefault="008B41F1" w:rsidP="008B41F1">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6D65CB">
        <w:rPr>
          <w:rFonts w:ascii="Times New Roman" w:eastAsia="Times New Roman" w:hAnsi="Times New Roman"/>
          <w:i/>
          <w:color w:val="000000" w:themeColor="text1"/>
          <w:sz w:val="20"/>
          <w:szCs w:val="28"/>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6ECC0FE1" w14:textId="77777777" w:rsidR="008B41F1" w:rsidRPr="00650EE4" w:rsidRDefault="008B41F1" w:rsidP="00885C16">
      <w:pPr>
        <w:jc w:val="both"/>
        <w:rPr>
          <w:rFonts w:ascii="Times New Roman" w:eastAsia="Times New Roman" w:hAnsi="Times New Roman"/>
          <w:b/>
          <w:bCs/>
          <w:color w:val="000000" w:themeColor="text1"/>
          <w:kern w:val="32"/>
          <w:szCs w:val="22"/>
        </w:rPr>
      </w:pPr>
    </w:p>
    <w:p w14:paraId="3CE29C78" w14:textId="77777777" w:rsidR="001447D2" w:rsidRPr="00650EE4" w:rsidRDefault="001447D2" w:rsidP="00885C16">
      <w:pPr>
        <w:jc w:val="both"/>
        <w:rPr>
          <w:rFonts w:ascii="Times New Roman" w:eastAsia="Times New Roman" w:hAnsi="Times New Roman"/>
          <w:b/>
          <w:bCs/>
          <w:color w:val="000000" w:themeColor="text1"/>
          <w:kern w:val="32"/>
          <w:szCs w:val="22"/>
        </w:rPr>
      </w:pPr>
    </w:p>
    <w:p w14:paraId="7F15106C" w14:textId="6198551C" w:rsidR="00F86E9E" w:rsidRPr="00650EE4" w:rsidRDefault="00F86E9E" w:rsidP="00885C16">
      <w:pPr>
        <w:pStyle w:val="Antrastes31"/>
        <w:numPr>
          <w:ilvl w:val="2"/>
          <w:numId w:val="4"/>
        </w:numPr>
        <w:spacing w:before="0"/>
        <w:ind w:left="720" w:hanging="720"/>
        <w:rPr>
          <w:rFonts w:ascii="Times New Roman" w:hAnsi="Times New Roman"/>
          <w:color w:val="000000" w:themeColor="text1"/>
          <w:sz w:val="24"/>
          <w:szCs w:val="24"/>
          <w:lang w:val="lt-LT"/>
        </w:rPr>
      </w:pPr>
      <w:bookmarkStart w:id="58" w:name="_Toc67925114"/>
      <w:r w:rsidRPr="00650EE4">
        <w:rPr>
          <w:rFonts w:ascii="Times New Roman" w:hAnsi="Times New Roman"/>
          <w:color w:val="000000" w:themeColor="text1"/>
          <w:sz w:val="24"/>
          <w:szCs w:val="24"/>
          <w:lang w:val="lt-LT"/>
        </w:rPr>
        <w:t>Pirminės energijos vartojimas</w:t>
      </w:r>
      <w:bookmarkEnd w:id="58"/>
    </w:p>
    <w:p w14:paraId="26D7E810" w14:textId="4B6AEB52" w:rsidR="008E5F7F" w:rsidRPr="00650EE4" w:rsidRDefault="00BB7886" w:rsidP="00711B91">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fo</w:t>
      </w:r>
      <w:r w:rsidR="008E5F7F" w:rsidRPr="00650EE4">
        <w:rPr>
          <w:rFonts w:ascii="Times New Roman" w:hAnsi="Times New Roman"/>
          <w:color w:val="000000" w:themeColor="text1"/>
          <w:szCs w:val="22"/>
          <w:lang w:val="lt-LT"/>
        </w:rPr>
        <w:t xml:space="preserve">ndo pirminės energijos vartojimo </w:t>
      </w:r>
      <w:r w:rsidR="007A14CE" w:rsidRPr="00650EE4">
        <w:rPr>
          <w:rFonts w:ascii="Times New Roman" w:hAnsi="Times New Roman"/>
          <w:color w:val="000000" w:themeColor="text1"/>
          <w:szCs w:val="22"/>
          <w:lang w:val="lt-LT"/>
        </w:rPr>
        <w:t>duomenys buvo apskaičiuoti kiekvienam pastatų etalonui, naudojant duomenis apie</w:t>
      </w:r>
      <w:r w:rsidR="008E5F7F" w:rsidRPr="00650EE4">
        <w:rPr>
          <w:rFonts w:ascii="Times New Roman" w:hAnsi="Times New Roman"/>
          <w:color w:val="000000" w:themeColor="text1"/>
          <w:szCs w:val="22"/>
          <w:lang w:val="lt-LT"/>
        </w:rPr>
        <w:t>:</w:t>
      </w:r>
    </w:p>
    <w:p w14:paraId="170C2C97" w14:textId="04763912" w:rsidR="008B4642" w:rsidRPr="00650EE4" w:rsidRDefault="003E0C4E" w:rsidP="008B4642">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DF56FF" w:rsidRPr="00650EE4">
        <w:rPr>
          <w:rFonts w:ascii="Times New Roman" w:hAnsi="Times New Roman"/>
          <w:color w:val="000000" w:themeColor="text1"/>
          <w:szCs w:val="22"/>
        </w:rPr>
        <w:t xml:space="preserve">iluminės ir elektros </w:t>
      </w:r>
      <w:r w:rsidR="0070685C" w:rsidRPr="00650EE4">
        <w:rPr>
          <w:rFonts w:ascii="Times New Roman" w:hAnsi="Times New Roman"/>
          <w:color w:val="000000" w:themeColor="text1"/>
          <w:szCs w:val="22"/>
        </w:rPr>
        <w:t>e</w:t>
      </w:r>
      <w:r w:rsidR="008B4642" w:rsidRPr="00650EE4">
        <w:rPr>
          <w:rFonts w:ascii="Times New Roman" w:hAnsi="Times New Roman"/>
          <w:color w:val="000000" w:themeColor="text1"/>
          <w:szCs w:val="22"/>
        </w:rPr>
        <w:t xml:space="preserve">nergijos vartojimą (žr. </w:t>
      </w:r>
      <w:r w:rsidR="006D65CB">
        <w:rPr>
          <w:rFonts w:ascii="Times New Roman" w:hAnsi="Times New Roman"/>
          <w:color w:val="000000" w:themeColor="text1"/>
          <w:szCs w:val="22"/>
        </w:rPr>
        <w:t>1</w:t>
      </w:r>
      <w:r w:rsidR="008B4642" w:rsidRPr="00650EE4">
        <w:rPr>
          <w:rFonts w:ascii="Times New Roman" w:hAnsi="Times New Roman"/>
          <w:color w:val="000000" w:themeColor="text1"/>
          <w:szCs w:val="22"/>
        </w:rPr>
        <w:t>.2.2.-</w:t>
      </w:r>
      <w:r w:rsidR="006D65CB">
        <w:rPr>
          <w:rFonts w:ascii="Times New Roman" w:hAnsi="Times New Roman"/>
          <w:color w:val="000000" w:themeColor="text1"/>
          <w:szCs w:val="22"/>
        </w:rPr>
        <w:t>1</w:t>
      </w:r>
      <w:r>
        <w:rPr>
          <w:rFonts w:ascii="Times New Roman" w:hAnsi="Times New Roman"/>
          <w:color w:val="000000" w:themeColor="text1"/>
          <w:szCs w:val="22"/>
        </w:rPr>
        <w:t>.2.4. skyrius);</w:t>
      </w:r>
    </w:p>
    <w:p w14:paraId="4ABBA3C6" w14:textId="0E89CBF9" w:rsidR="008E5F7F" w:rsidRPr="00650EE4" w:rsidRDefault="003E0C4E" w:rsidP="008E5F7F">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BB7886" w:rsidRPr="00650EE4">
        <w:rPr>
          <w:rFonts w:ascii="Times New Roman" w:hAnsi="Times New Roman"/>
          <w:color w:val="000000" w:themeColor="text1"/>
          <w:szCs w:val="22"/>
        </w:rPr>
        <w:t xml:space="preserve">irminį </w:t>
      </w:r>
      <w:r w:rsidR="008E5F7F" w:rsidRPr="00650EE4">
        <w:rPr>
          <w:rFonts w:ascii="Times New Roman" w:hAnsi="Times New Roman"/>
          <w:color w:val="000000" w:themeColor="text1"/>
          <w:szCs w:val="22"/>
        </w:rPr>
        <w:t xml:space="preserve">energijos šaltinį (kuro rūšį) t.y. </w:t>
      </w:r>
      <w:r w:rsidR="007A52B6">
        <w:rPr>
          <w:rFonts w:ascii="Times New Roman" w:hAnsi="Times New Roman"/>
          <w:color w:val="000000" w:themeColor="text1"/>
          <w:szCs w:val="22"/>
        </w:rPr>
        <w:t>p</w:t>
      </w:r>
      <w:r w:rsidR="00BB7886" w:rsidRPr="00650EE4">
        <w:rPr>
          <w:rFonts w:ascii="Times New Roman" w:hAnsi="Times New Roman"/>
          <w:color w:val="000000" w:themeColor="text1"/>
          <w:szCs w:val="22"/>
        </w:rPr>
        <w:t>astatų fondo energijos gamybos struktūrą</w:t>
      </w:r>
      <w:r w:rsidR="007A14CE" w:rsidRPr="00650EE4">
        <w:rPr>
          <w:rFonts w:ascii="Times New Roman" w:hAnsi="Times New Roman"/>
          <w:color w:val="000000" w:themeColor="text1"/>
          <w:szCs w:val="22"/>
        </w:rPr>
        <w:t xml:space="preserve"> (žr. žemiau)</w:t>
      </w:r>
      <w:r>
        <w:rPr>
          <w:rFonts w:ascii="Times New Roman" w:hAnsi="Times New Roman"/>
          <w:color w:val="000000" w:themeColor="text1"/>
          <w:szCs w:val="22"/>
        </w:rPr>
        <w:t>;</w:t>
      </w:r>
    </w:p>
    <w:p w14:paraId="635EAC03" w14:textId="025EA231" w:rsidR="008817DF" w:rsidRPr="00650EE4" w:rsidRDefault="003E0C4E" w:rsidP="008817DF">
      <w:pPr>
        <w:pStyle w:val="Pagrindinispaprastastekstas"/>
        <w:numPr>
          <w:ilvl w:val="0"/>
          <w:numId w:val="10"/>
        </w:numPr>
        <w:spacing w:before="120" w:after="60"/>
        <w:rPr>
          <w:rFonts w:ascii="Times New Roman" w:hAnsi="Times New Roman"/>
          <w:color w:val="000000" w:themeColor="text1"/>
          <w:szCs w:val="22"/>
        </w:rPr>
      </w:pPr>
      <w:r>
        <w:rPr>
          <w:rFonts w:ascii="Times New Roman" w:hAnsi="Times New Roman"/>
          <w:color w:val="000000" w:themeColor="text1"/>
          <w:szCs w:val="22"/>
        </w:rPr>
        <w:lastRenderedPageBreak/>
        <w:t>e</w:t>
      </w:r>
      <w:r w:rsidR="008817DF" w:rsidRPr="00650EE4">
        <w:rPr>
          <w:rFonts w:ascii="Times New Roman" w:hAnsi="Times New Roman"/>
          <w:color w:val="000000" w:themeColor="text1"/>
          <w:szCs w:val="22"/>
        </w:rPr>
        <w:t xml:space="preserve">nergijos gamybai naudojamų energijos šaltinių </w:t>
      </w:r>
      <w:r w:rsidR="00C367FD" w:rsidRPr="00650EE4">
        <w:rPr>
          <w:rFonts w:ascii="Times New Roman" w:hAnsi="Times New Roman"/>
          <w:color w:val="000000" w:themeColor="text1"/>
          <w:szCs w:val="22"/>
        </w:rPr>
        <w:t>neatsinaujinančios</w:t>
      </w:r>
      <w:r w:rsidR="008817DF" w:rsidRPr="00650EE4">
        <w:rPr>
          <w:rFonts w:ascii="Times New Roman" w:hAnsi="Times New Roman"/>
          <w:color w:val="000000" w:themeColor="text1"/>
          <w:szCs w:val="22"/>
        </w:rPr>
        <w:t xml:space="preserve"> pirminės energijos, atsinaujinančios pirminės energijos ir CO</w:t>
      </w:r>
      <w:r w:rsidR="008817DF" w:rsidRPr="00170D53">
        <w:rPr>
          <w:rFonts w:ascii="Times New Roman" w:hAnsi="Times New Roman"/>
          <w:color w:val="000000" w:themeColor="text1"/>
          <w:szCs w:val="22"/>
          <w:vertAlign w:val="subscript"/>
        </w:rPr>
        <w:t>2</w:t>
      </w:r>
      <w:r w:rsidR="008817DF" w:rsidRPr="00650EE4">
        <w:rPr>
          <w:rFonts w:ascii="Times New Roman" w:hAnsi="Times New Roman"/>
          <w:color w:val="000000" w:themeColor="text1"/>
          <w:szCs w:val="22"/>
        </w:rPr>
        <w:t xml:space="preserve"> emisijų faktorius</w:t>
      </w:r>
      <w:r w:rsidR="007A14CE" w:rsidRPr="00650EE4">
        <w:rPr>
          <w:rFonts w:ascii="Times New Roman" w:hAnsi="Times New Roman"/>
          <w:color w:val="000000" w:themeColor="text1"/>
          <w:szCs w:val="22"/>
        </w:rPr>
        <w:t xml:space="preserve"> (žr. žemiau)</w:t>
      </w:r>
      <w:r w:rsidR="008817DF" w:rsidRPr="00650EE4">
        <w:rPr>
          <w:rFonts w:ascii="Times New Roman" w:hAnsi="Times New Roman"/>
          <w:color w:val="000000" w:themeColor="text1"/>
          <w:szCs w:val="22"/>
        </w:rPr>
        <w:t>.</w:t>
      </w:r>
    </w:p>
    <w:p w14:paraId="5D452D2A" w14:textId="77777777" w:rsidR="00BB7886" w:rsidRPr="00650EE4" w:rsidRDefault="00BB7886" w:rsidP="0047724C">
      <w:pPr>
        <w:pStyle w:val="BodyText"/>
        <w:jc w:val="both"/>
        <w:rPr>
          <w:rFonts w:ascii="Times New Roman" w:hAnsi="Times New Roman"/>
          <w:color w:val="000000" w:themeColor="text1"/>
          <w:szCs w:val="22"/>
          <w:lang w:val="lt-LT"/>
        </w:rPr>
      </w:pPr>
    </w:p>
    <w:p w14:paraId="5C8DC40D" w14:textId="77CEEDDF" w:rsidR="00BB7886" w:rsidRPr="00650EE4" w:rsidRDefault="00BB7886" w:rsidP="001447D2">
      <w:pPr>
        <w:spacing w:after="120"/>
        <w:rPr>
          <w:rFonts w:ascii="Times New Roman" w:hAnsi="Times New Roman"/>
          <w:b/>
          <w:szCs w:val="22"/>
        </w:rPr>
      </w:pPr>
      <w:r w:rsidRPr="00650EE4">
        <w:rPr>
          <w:rFonts w:ascii="Times New Roman" w:hAnsi="Times New Roman"/>
          <w:b/>
          <w:szCs w:val="22"/>
        </w:rPr>
        <w:t>Pastatų fondo energijos gamybos struktūra</w:t>
      </w:r>
      <w:r w:rsidR="00E27E49" w:rsidRPr="00650EE4">
        <w:rPr>
          <w:rFonts w:ascii="Times New Roman" w:hAnsi="Times New Roman"/>
          <w:b/>
          <w:szCs w:val="22"/>
        </w:rPr>
        <w:t xml:space="preserve"> ir faktoriai</w:t>
      </w:r>
    </w:p>
    <w:p w14:paraId="03C440AE" w14:textId="73C8C3FA" w:rsidR="008E5F7F" w:rsidRPr="00650EE4" w:rsidRDefault="0007355D" w:rsidP="00711B91">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050ED5">
        <w:rPr>
          <w:rFonts w:ascii="Times New Roman" w:hAnsi="Times New Roman"/>
          <w:color w:val="000000" w:themeColor="text1"/>
          <w:szCs w:val="22"/>
          <w:lang w:val="lt-LT"/>
        </w:rPr>
        <w:t>ustatant p</w:t>
      </w:r>
      <w:r w:rsidR="00C53D30" w:rsidRPr="00650EE4">
        <w:rPr>
          <w:rFonts w:ascii="Times New Roman" w:hAnsi="Times New Roman"/>
          <w:color w:val="000000" w:themeColor="text1"/>
          <w:szCs w:val="22"/>
          <w:lang w:val="lt-LT"/>
        </w:rPr>
        <w:t xml:space="preserve">astatų fondo energijos </w:t>
      </w:r>
      <w:r w:rsidR="00522C53" w:rsidRPr="00650EE4">
        <w:rPr>
          <w:rFonts w:ascii="Times New Roman" w:hAnsi="Times New Roman"/>
          <w:color w:val="000000" w:themeColor="text1"/>
          <w:szCs w:val="22"/>
          <w:lang w:val="lt-LT"/>
        </w:rPr>
        <w:t>gamybos</w:t>
      </w:r>
      <w:r w:rsidR="00C53D30" w:rsidRPr="00650EE4">
        <w:rPr>
          <w:rFonts w:ascii="Times New Roman" w:hAnsi="Times New Roman"/>
          <w:color w:val="000000" w:themeColor="text1"/>
          <w:szCs w:val="22"/>
          <w:lang w:val="lt-LT"/>
        </w:rPr>
        <w:t xml:space="preserve"> struktūrą </w:t>
      </w:r>
      <w:r w:rsidR="008E5F7F" w:rsidRPr="00650EE4">
        <w:rPr>
          <w:rFonts w:ascii="Times New Roman" w:hAnsi="Times New Roman"/>
          <w:color w:val="000000" w:themeColor="text1"/>
          <w:szCs w:val="22"/>
          <w:lang w:val="lt-LT"/>
        </w:rPr>
        <w:t xml:space="preserve">buvo naudojami: </w:t>
      </w:r>
    </w:p>
    <w:p w14:paraId="484B366C" w14:textId="14271613" w:rsidR="004D3C06" w:rsidRPr="00650EE4" w:rsidRDefault="00050ED5" w:rsidP="008E5F7F">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4D3C06" w:rsidRPr="00650EE4">
        <w:rPr>
          <w:rFonts w:ascii="Times New Roman" w:hAnsi="Times New Roman"/>
          <w:color w:val="000000" w:themeColor="text1"/>
          <w:szCs w:val="22"/>
        </w:rPr>
        <w:t>augiabučių paskirties pastatams, prijungtiems prie CŠT – NT registro duomenys;</w:t>
      </w:r>
    </w:p>
    <w:p w14:paraId="4A33BBA3" w14:textId="66A3EE2A" w:rsidR="00711B91" w:rsidRPr="00650EE4" w:rsidRDefault="00050ED5" w:rsidP="008E5F7F">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statistikos departamento m</w:t>
      </w:r>
      <w:r w:rsidR="00711B91" w:rsidRPr="00650EE4">
        <w:rPr>
          <w:rFonts w:ascii="Times New Roman" w:hAnsi="Times New Roman"/>
          <w:color w:val="000000" w:themeColor="text1"/>
          <w:szCs w:val="22"/>
        </w:rPr>
        <w:t>etinio ene</w:t>
      </w:r>
      <w:r w:rsidR="008E5F7F" w:rsidRPr="00650EE4">
        <w:rPr>
          <w:rFonts w:ascii="Times New Roman" w:hAnsi="Times New Roman"/>
          <w:color w:val="000000" w:themeColor="text1"/>
          <w:szCs w:val="22"/>
        </w:rPr>
        <w:t>rgijos ir kuro balanso duomenys</w:t>
      </w:r>
      <w:r w:rsidR="004E61CB" w:rsidRPr="00650EE4">
        <w:rPr>
          <w:rFonts w:ascii="Times New Roman" w:hAnsi="Times New Roman"/>
          <w:color w:val="000000" w:themeColor="text1"/>
          <w:szCs w:val="22"/>
        </w:rPr>
        <w:t>.</w:t>
      </w:r>
    </w:p>
    <w:p w14:paraId="5389747D" w14:textId="77777777" w:rsidR="00C53D30" w:rsidRPr="00650EE4" w:rsidRDefault="00C53D30" w:rsidP="00462BD8">
      <w:pPr>
        <w:pStyle w:val="Pagrindinispaprastastekstas"/>
        <w:rPr>
          <w:rFonts w:ascii="Times New Roman" w:hAnsi="Times New Roman"/>
          <w:color w:val="000000" w:themeColor="text1"/>
          <w:szCs w:val="22"/>
        </w:rPr>
      </w:pPr>
    </w:p>
    <w:p w14:paraId="7E2C649D" w14:textId="2996568F" w:rsidR="00711B9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59" w:name="_Toc67925203"/>
      <w:r w:rsidR="007744C1">
        <w:t>20</w:t>
      </w:r>
      <w:r w:rsidRPr="00650EE4">
        <w:rPr>
          <w:noProof w:val="0"/>
        </w:rPr>
        <w:fldChar w:fldCharType="end"/>
      </w:r>
      <w:r w:rsidR="00711B91" w:rsidRPr="00650EE4">
        <w:rPr>
          <w:noProof w:val="0"/>
        </w:rPr>
        <w:t xml:space="preserve"> lentelė. </w:t>
      </w:r>
      <w:r w:rsidR="00C53D30" w:rsidRPr="00650EE4">
        <w:rPr>
          <w:noProof w:val="0"/>
        </w:rPr>
        <w:t>Pastatų fondo š</w:t>
      </w:r>
      <w:r w:rsidR="00711B91" w:rsidRPr="00650EE4">
        <w:rPr>
          <w:noProof w:val="0"/>
        </w:rPr>
        <w:t>iluminės energijos gamybos struktūra</w:t>
      </w:r>
      <w:bookmarkEnd w:id="59"/>
    </w:p>
    <w:tbl>
      <w:tblPr>
        <w:tblW w:w="5000" w:type="pct"/>
        <w:tblLook w:val="04A0" w:firstRow="1" w:lastRow="0" w:firstColumn="1" w:lastColumn="0" w:noHBand="0" w:noVBand="1"/>
      </w:tblPr>
      <w:tblGrid>
        <w:gridCol w:w="2024"/>
        <w:gridCol w:w="1159"/>
        <w:gridCol w:w="1014"/>
        <w:gridCol w:w="1159"/>
        <w:gridCol w:w="1594"/>
        <w:gridCol w:w="1015"/>
        <w:gridCol w:w="2455"/>
      </w:tblGrid>
      <w:tr w:rsidR="00711B91" w:rsidRPr="00650EE4" w14:paraId="21CE3B6F" w14:textId="77777777" w:rsidTr="00F45BD1">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B1C6A" w14:textId="77777777" w:rsidR="00711B91" w:rsidRPr="00650EE4" w:rsidRDefault="00711B91" w:rsidP="00711B91">
            <w:pPr>
              <w:spacing w:line="240" w:lineRule="auto"/>
              <w:jc w:val="center"/>
              <w:rPr>
                <w:rFonts w:ascii="Times New Roman" w:eastAsia="Times New Roman" w:hAnsi="Times New Roman"/>
                <w:b/>
                <w:bCs/>
                <w:sz w:val="20"/>
                <w:szCs w:val="20"/>
                <w:lang w:eastAsia="lt-LT"/>
              </w:rPr>
            </w:pPr>
            <w:bookmarkStart w:id="60" w:name="_Hlk51919915"/>
            <w:r w:rsidRPr="00650EE4">
              <w:rPr>
                <w:rFonts w:ascii="Times New Roman" w:eastAsia="Times New Roman" w:hAnsi="Times New Roman"/>
                <w:b/>
                <w:bCs/>
                <w:sz w:val="20"/>
                <w:szCs w:val="20"/>
                <w:lang w:eastAsia="lt-LT"/>
              </w:rPr>
              <w:t>Paskirtis</w:t>
            </w:r>
          </w:p>
        </w:tc>
        <w:tc>
          <w:tcPr>
            <w:tcW w:w="581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9ADDADC"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Šaltiniai</w:t>
            </w:r>
          </w:p>
        </w:tc>
        <w:tc>
          <w:tcPr>
            <w:tcW w:w="240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20749"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Komentaras</w:t>
            </w:r>
          </w:p>
        </w:tc>
      </w:tr>
      <w:tr w:rsidR="00711B91" w:rsidRPr="00650EE4" w14:paraId="74A7C037" w14:textId="77777777" w:rsidTr="00F45BD1">
        <w:tc>
          <w:tcPr>
            <w:tcW w:w="1980" w:type="dxa"/>
            <w:vMerge/>
            <w:tcBorders>
              <w:top w:val="single" w:sz="4" w:space="0" w:color="auto"/>
              <w:left w:val="single" w:sz="4" w:space="0" w:color="auto"/>
              <w:bottom w:val="single" w:sz="4" w:space="0" w:color="auto"/>
              <w:right w:val="single" w:sz="4" w:space="0" w:color="auto"/>
            </w:tcBorders>
            <w:vAlign w:val="center"/>
            <w:hideMark/>
          </w:tcPr>
          <w:p w14:paraId="7FCAE8D6" w14:textId="77777777" w:rsidR="00711B91" w:rsidRPr="00650EE4" w:rsidRDefault="00711B91" w:rsidP="00711B91">
            <w:pPr>
              <w:spacing w:line="240" w:lineRule="auto"/>
              <w:rPr>
                <w:rFonts w:ascii="Times New Roman" w:eastAsia="Times New Roman" w:hAnsi="Times New Roman"/>
                <w:b/>
                <w:bCs/>
                <w:sz w:val="20"/>
                <w:szCs w:val="20"/>
                <w:lang w:eastAsia="lt-LT"/>
              </w:rPr>
            </w:pPr>
          </w:p>
        </w:tc>
        <w:tc>
          <w:tcPr>
            <w:tcW w:w="1134" w:type="dxa"/>
            <w:tcBorders>
              <w:top w:val="nil"/>
              <w:left w:val="nil"/>
              <w:bottom w:val="single" w:sz="4" w:space="0" w:color="auto"/>
              <w:right w:val="single" w:sz="4" w:space="0" w:color="auto"/>
            </w:tcBorders>
            <w:shd w:val="clear" w:color="000000" w:fill="FFFFFF"/>
            <w:vAlign w:val="center"/>
            <w:hideMark/>
          </w:tcPr>
          <w:p w14:paraId="26535FF1"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CŠT</w:t>
            </w:r>
          </w:p>
        </w:tc>
        <w:tc>
          <w:tcPr>
            <w:tcW w:w="992" w:type="dxa"/>
            <w:tcBorders>
              <w:top w:val="nil"/>
              <w:left w:val="nil"/>
              <w:bottom w:val="single" w:sz="4" w:space="0" w:color="auto"/>
              <w:right w:val="single" w:sz="4" w:space="0" w:color="auto"/>
            </w:tcBorders>
            <w:shd w:val="clear" w:color="000000" w:fill="FFFFFF"/>
            <w:vAlign w:val="center"/>
            <w:hideMark/>
          </w:tcPr>
          <w:p w14:paraId="67946050"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Dujos</w:t>
            </w:r>
          </w:p>
        </w:tc>
        <w:tc>
          <w:tcPr>
            <w:tcW w:w="1134" w:type="dxa"/>
            <w:tcBorders>
              <w:top w:val="nil"/>
              <w:left w:val="nil"/>
              <w:bottom w:val="single" w:sz="4" w:space="0" w:color="auto"/>
              <w:right w:val="single" w:sz="4" w:space="0" w:color="auto"/>
            </w:tcBorders>
            <w:shd w:val="clear" w:color="000000" w:fill="FFFFFF"/>
            <w:vAlign w:val="center"/>
            <w:hideMark/>
          </w:tcPr>
          <w:p w14:paraId="423FCD01"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Biokuras</w:t>
            </w:r>
          </w:p>
        </w:tc>
        <w:tc>
          <w:tcPr>
            <w:tcW w:w="1559" w:type="dxa"/>
            <w:tcBorders>
              <w:top w:val="nil"/>
              <w:left w:val="nil"/>
              <w:bottom w:val="single" w:sz="4" w:space="0" w:color="auto"/>
              <w:right w:val="single" w:sz="4" w:space="0" w:color="auto"/>
            </w:tcBorders>
            <w:shd w:val="clear" w:color="000000" w:fill="FFFFFF"/>
            <w:vAlign w:val="center"/>
            <w:hideMark/>
          </w:tcPr>
          <w:p w14:paraId="24A88771"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Kita (ne AEI)</w:t>
            </w:r>
          </w:p>
        </w:tc>
        <w:tc>
          <w:tcPr>
            <w:tcW w:w="993" w:type="dxa"/>
            <w:tcBorders>
              <w:top w:val="nil"/>
              <w:left w:val="nil"/>
              <w:bottom w:val="single" w:sz="4" w:space="0" w:color="auto"/>
              <w:right w:val="single" w:sz="4" w:space="0" w:color="auto"/>
            </w:tcBorders>
            <w:shd w:val="clear" w:color="000000" w:fill="FFFFFF"/>
            <w:vAlign w:val="center"/>
            <w:hideMark/>
          </w:tcPr>
          <w:p w14:paraId="7060B8FD"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Elektra</w:t>
            </w:r>
          </w:p>
        </w:tc>
        <w:tc>
          <w:tcPr>
            <w:tcW w:w="2402" w:type="dxa"/>
            <w:vMerge/>
            <w:tcBorders>
              <w:top w:val="single" w:sz="4" w:space="0" w:color="auto"/>
              <w:left w:val="single" w:sz="4" w:space="0" w:color="auto"/>
              <w:bottom w:val="single" w:sz="4" w:space="0" w:color="auto"/>
              <w:right w:val="single" w:sz="4" w:space="0" w:color="auto"/>
            </w:tcBorders>
            <w:vAlign w:val="center"/>
            <w:hideMark/>
          </w:tcPr>
          <w:p w14:paraId="49A5B1ED" w14:textId="77777777" w:rsidR="00711B91" w:rsidRPr="00650EE4" w:rsidRDefault="00711B91" w:rsidP="00711B91">
            <w:pPr>
              <w:spacing w:line="240" w:lineRule="auto"/>
              <w:rPr>
                <w:rFonts w:ascii="Times New Roman" w:eastAsia="Times New Roman" w:hAnsi="Times New Roman"/>
                <w:b/>
                <w:bCs/>
                <w:color w:val="auto"/>
                <w:sz w:val="20"/>
                <w:szCs w:val="20"/>
                <w:lang w:eastAsia="lt-LT"/>
              </w:rPr>
            </w:pPr>
          </w:p>
        </w:tc>
      </w:tr>
      <w:tr w:rsidR="00711B91" w:rsidRPr="00650EE4" w14:paraId="3E631433"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6285E621"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Daugiabučiai</w:t>
            </w:r>
          </w:p>
        </w:tc>
        <w:tc>
          <w:tcPr>
            <w:tcW w:w="1134" w:type="dxa"/>
            <w:tcBorders>
              <w:top w:val="nil"/>
              <w:left w:val="nil"/>
              <w:bottom w:val="single" w:sz="4" w:space="0" w:color="auto"/>
              <w:right w:val="single" w:sz="4" w:space="0" w:color="auto"/>
            </w:tcBorders>
            <w:shd w:val="clear" w:color="000000" w:fill="FFFFFF"/>
            <w:noWrap/>
            <w:vAlign w:val="bottom"/>
            <w:hideMark/>
          </w:tcPr>
          <w:p w14:paraId="45DA6C6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992" w:type="dxa"/>
            <w:tcBorders>
              <w:top w:val="nil"/>
              <w:left w:val="nil"/>
              <w:bottom w:val="single" w:sz="4" w:space="0" w:color="auto"/>
              <w:right w:val="single" w:sz="4" w:space="0" w:color="auto"/>
            </w:tcBorders>
            <w:shd w:val="clear" w:color="000000" w:fill="FFFFFF"/>
            <w:noWrap/>
            <w:vAlign w:val="bottom"/>
            <w:hideMark/>
          </w:tcPr>
          <w:p w14:paraId="677DCB9D"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5FF92D3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42%</w:t>
            </w:r>
          </w:p>
        </w:tc>
        <w:tc>
          <w:tcPr>
            <w:tcW w:w="1559" w:type="dxa"/>
            <w:tcBorders>
              <w:top w:val="nil"/>
              <w:left w:val="nil"/>
              <w:bottom w:val="single" w:sz="4" w:space="0" w:color="auto"/>
              <w:right w:val="single" w:sz="4" w:space="0" w:color="auto"/>
            </w:tcBorders>
            <w:shd w:val="clear" w:color="000000" w:fill="FFFFFF"/>
            <w:noWrap/>
            <w:vAlign w:val="bottom"/>
            <w:hideMark/>
          </w:tcPr>
          <w:p w14:paraId="75484F0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21%</w:t>
            </w:r>
          </w:p>
        </w:tc>
        <w:tc>
          <w:tcPr>
            <w:tcW w:w="993" w:type="dxa"/>
            <w:tcBorders>
              <w:top w:val="nil"/>
              <w:left w:val="nil"/>
              <w:bottom w:val="single" w:sz="4" w:space="0" w:color="auto"/>
              <w:right w:val="single" w:sz="4" w:space="0" w:color="auto"/>
            </w:tcBorders>
            <w:shd w:val="clear" w:color="000000" w:fill="FFFFFF"/>
            <w:noWrap/>
            <w:vAlign w:val="bottom"/>
            <w:hideMark/>
          </w:tcPr>
          <w:p w14:paraId="720C944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67A19F24" w14:textId="454495CC" w:rsidR="00711B91" w:rsidRPr="00650EE4" w:rsidRDefault="00E27E49"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N</w:t>
            </w:r>
            <w:r w:rsidR="00711B91" w:rsidRPr="00650EE4">
              <w:rPr>
                <w:rFonts w:ascii="Times New Roman" w:eastAsia="Times New Roman" w:hAnsi="Times New Roman"/>
                <w:color w:val="auto"/>
                <w:sz w:val="20"/>
                <w:szCs w:val="20"/>
                <w:lang w:eastAsia="lt-LT"/>
              </w:rPr>
              <w:t>eprijungtiems prie CŠT</w:t>
            </w:r>
          </w:p>
        </w:tc>
      </w:tr>
      <w:tr w:rsidR="00711B91" w:rsidRPr="00650EE4" w14:paraId="42D7F4AF"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7A0AC67C"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Individualūs</w:t>
            </w:r>
          </w:p>
        </w:tc>
        <w:tc>
          <w:tcPr>
            <w:tcW w:w="1134" w:type="dxa"/>
            <w:tcBorders>
              <w:top w:val="nil"/>
              <w:left w:val="nil"/>
              <w:bottom w:val="single" w:sz="4" w:space="0" w:color="auto"/>
              <w:right w:val="single" w:sz="4" w:space="0" w:color="auto"/>
            </w:tcBorders>
            <w:shd w:val="clear" w:color="000000" w:fill="FFFFFF"/>
            <w:noWrap/>
            <w:vAlign w:val="bottom"/>
            <w:hideMark/>
          </w:tcPr>
          <w:p w14:paraId="0A6D7AB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992" w:type="dxa"/>
            <w:tcBorders>
              <w:top w:val="nil"/>
              <w:left w:val="nil"/>
              <w:bottom w:val="single" w:sz="4" w:space="0" w:color="auto"/>
              <w:right w:val="single" w:sz="4" w:space="0" w:color="auto"/>
            </w:tcBorders>
            <w:shd w:val="clear" w:color="000000" w:fill="FFFFFF"/>
            <w:noWrap/>
            <w:vAlign w:val="bottom"/>
            <w:hideMark/>
          </w:tcPr>
          <w:p w14:paraId="25094EBE"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711E9275"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42%</w:t>
            </w:r>
          </w:p>
        </w:tc>
        <w:tc>
          <w:tcPr>
            <w:tcW w:w="1559" w:type="dxa"/>
            <w:tcBorders>
              <w:top w:val="nil"/>
              <w:left w:val="nil"/>
              <w:bottom w:val="single" w:sz="4" w:space="0" w:color="auto"/>
              <w:right w:val="single" w:sz="4" w:space="0" w:color="auto"/>
            </w:tcBorders>
            <w:shd w:val="clear" w:color="000000" w:fill="FFFFFF"/>
            <w:noWrap/>
            <w:vAlign w:val="bottom"/>
            <w:hideMark/>
          </w:tcPr>
          <w:p w14:paraId="3CE57EA0"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21%</w:t>
            </w:r>
          </w:p>
        </w:tc>
        <w:tc>
          <w:tcPr>
            <w:tcW w:w="993" w:type="dxa"/>
            <w:tcBorders>
              <w:top w:val="nil"/>
              <w:left w:val="nil"/>
              <w:bottom w:val="single" w:sz="4" w:space="0" w:color="auto"/>
              <w:right w:val="single" w:sz="4" w:space="0" w:color="auto"/>
            </w:tcBorders>
            <w:shd w:val="clear" w:color="000000" w:fill="FFFFFF"/>
            <w:noWrap/>
            <w:vAlign w:val="bottom"/>
            <w:hideMark/>
          </w:tcPr>
          <w:p w14:paraId="4B379E2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2FBB6329" w14:textId="77777777" w:rsidR="00711B91" w:rsidRPr="00650EE4" w:rsidRDefault="00711B91"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 </w:t>
            </w:r>
          </w:p>
        </w:tc>
      </w:tr>
      <w:tr w:rsidR="00711B91" w:rsidRPr="00650EE4" w14:paraId="43270B49"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71D2C0C7"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Pramonės</w:t>
            </w:r>
          </w:p>
        </w:tc>
        <w:tc>
          <w:tcPr>
            <w:tcW w:w="1134" w:type="dxa"/>
            <w:tcBorders>
              <w:top w:val="nil"/>
              <w:left w:val="nil"/>
              <w:bottom w:val="single" w:sz="4" w:space="0" w:color="auto"/>
              <w:right w:val="single" w:sz="4" w:space="0" w:color="auto"/>
            </w:tcBorders>
            <w:shd w:val="clear" w:color="000000" w:fill="FFFFFF"/>
            <w:noWrap/>
            <w:vAlign w:val="bottom"/>
            <w:hideMark/>
          </w:tcPr>
          <w:p w14:paraId="3D3A7F04"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23%</w:t>
            </w:r>
          </w:p>
        </w:tc>
        <w:tc>
          <w:tcPr>
            <w:tcW w:w="992" w:type="dxa"/>
            <w:tcBorders>
              <w:top w:val="nil"/>
              <w:left w:val="nil"/>
              <w:bottom w:val="single" w:sz="4" w:space="0" w:color="auto"/>
              <w:right w:val="single" w:sz="4" w:space="0" w:color="auto"/>
            </w:tcBorders>
            <w:shd w:val="clear" w:color="000000" w:fill="FFFFFF"/>
            <w:noWrap/>
            <w:vAlign w:val="bottom"/>
            <w:hideMark/>
          </w:tcPr>
          <w:p w14:paraId="08278583"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w:t>
            </w:r>
          </w:p>
        </w:tc>
        <w:tc>
          <w:tcPr>
            <w:tcW w:w="1134" w:type="dxa"/>
            <w:tcBorders>
              <w:top w:val="nil"/>
              <w:left w:val="nil"/>
              <w:bottom w:val="single" w:sz="4" w:space="0" w:color="auto"/>
              <w:right w:val="single" w:sz="4" w:space="0" w:color="auto"/>
            </w:tcBorders>
            <w:shd w:val="clear" w:color="000000" w:fill="FFFFFF"/>
            <w:noWrap/>
            <w:vAlign w:val="bottom"/>
            <w:hideMark/>
          </w:tcPr>
          <w:p w14:paraId="6F39A9E2"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w:t>
            </w:r>
          </w:p>
        </w:tc>
        <w:tc>
          <w:tcPr>
            <w:tcW w:w="1559" w:type="dxa"/>
            <w:tcBorders>
              <w:top w:val="nil"/>
              <w:left w:val="nil"/>
              <w:bottom w:val="single" w:sz="4" w:space="0" w:color="auto"/>
              <w:right w:val="single" w:sz="4" w:space="0" w:color="auto"/>
            </w:tcBorders>
            <w:shd w:val="clear" w:color="000000" w:fill="FFFFFF"/>
            <w:noWrap/>
            <w:vAlign w:val="bottom"/>
            <w:hideMark/>
          </w:tcPr>
          <w:p w14:paraId="12374541"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17%</w:t>
            </w:r>
          </w:p>
        </w:tc>
        <w:tc>
          <w:tcPr>
            <w:tcW w:w="993" w:type="dxa"/>
            <w:tcBorders>
              <w:top w:val="nil"/>
              <w:left w:val="nil"/>
              <w:bottom w:val="single" w:sz="4" w:space="0" w:color="auto"/>
              <w:right w:val="single" w:sz="4" w:space="0" w:color="auto"/>
            </w:tcBorders>
            <w:shd w:val="clear" w:color="000000" w:fill="FFFFFF"/>
            <w:noWrap/>
            <w:vAlign w:val="bottom"/>
            <w:hideMark/>
          </w:tcPr>
          <w:p w14:paraId="6D6895B8"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60449C24" w14:textId="77777777" w:rsidR="00711B91" w:rsidRPr="00650EE4" w:rsidRDefault="00711B91"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 </w:t>
            </w:r>
          </w:p>
        </w:tc>
      </w:tr>
      <w:tr w:rsidR="00711B91" w:rsidRPr="00650EE4" w14:paraId="3D3192E1"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4BE8D32C"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134" w:type="dxa"/>
            <w:tcBorders>
              <w:top w:val="nil"/>
              <w:left w:val="nil"/>
              <w:bottom w:val="single" w:sz="4" w:space="0" w:color="auto"/>
              <w:right w:val="single" w:sz="4" w:space="0" w:color="auto"/>
            </w:tcBorders>
            <w:shd w:val="clear" w:color="000000" w:fill="FFFFFF"/>
            <w:noWrap/>
            <w:vAlign w:val="bottom"/>
            <w:hideMark/>
          </w:tcPr>
          <w:p w14:paraId="3DFA2F27"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23%</w:t>
            </w:r>
          </w:p>
        </w:tc>
        <w:tc>
          <w:tcPr>
            <w:tcW w:w="992" w:type="dxa"/>
            <w:tcBorders>
              <w:top w:val="nil"/>
              <w:left w:val="nil"/>
              <w:bottom w:val="single" w:sz="4" w:space="0" w:color="auto"/>
              <w:right w:val="single" w:sz="4" w:space="0" w:color="auto"/>
            </w:tcBorders>
            <w:shd w:val="clear" w:color="000000" w:fill="FFFFFF"/>
            <w:noWrap/>
            <w:vAlign w:val="bottom"/>
            <w:hideMark/>
          </w:tcPr>
          <w:p w14:paraId="41EFC1C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w:t>
            </w:r>
          </w:p>
        </w:tc>
        <w:tc>
          <w:tcPr>
            <w:tcW w:w="1134" w:type="dxa"/>
            <w:tcBorders>
              <w:top w:val="nil"/>
              <w:left w:val="nil"/>
              <w:bottom w:val="single" w:sz="4" w:space="0" w:color="auto"/>
              <w:right w:val="single" w:sz="4" w:space="0" w:color="auto"/>
            </w:tcBorders>
            <w:shd w:val="clear" w:color="000000" w:fill="FFFFFF"/>
            <w:noWrap/>
            <w:vAlign w:val="bottom"/>
            <w:hideMark/>
          </w:tcPr>
          <w:p w14:paraId="25EA14F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w:t>
            </w:r>
          </w:p>
        </w:tc>
        <w:tc>
          <w:tcPr>
            <w:tcW w:w="1559" w:type="dxa"/>
            <w:tcBorders>
              <w:top w:val="nil"/>
              <w:left w:val="nil"/>
              <w:bottom w:val="single" w:sz="4" w:space="0" w:color="auto"/>
              <w:right w:val="single" w:sz="4" w:space="0" w:color="auto"/>
            </w:tcBorders>
            <w:shd w:val="clear" w:color="000000" w:fill="FFFFFF"/>
            <w:noWrap/>
            <w:vAlign w:val="bottom"/>
            <w:hideMark/>
          </w:tcPr>
          <w:p w14:paraId="2032EC2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17%</w:t>
            </w:r>
          </w:p>
        </w:tc>
        <w:tc>
          <w:tcPr>
            <w:tcW w:w="993" w:type="dxa"/>
            <w:tcBorders>
              <w:top w:val="nil"/>
              <w:left w:val="nil"/>
              <w:bottom w:val="single" w:sz="4" w:space="0" w:color="auto"/>
              <w:right w:val="single" w:sz="4" w:space="0" w:color="auto"/>
            </w:tcBorders>
            <w:shd w:val="clear" w:color="000000" w:fill="FFFFFF"/>
            <w:noWrap/>
            <w:vAlign w:val="bottom"/>
            <w:hideMark/>
          </w:tcPr>
          <w:p w14:paraId="5C9A2BEB"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2193C677" w14:textId="77777777" w:rsidR="00711B91" w:rsidRPr="00650EE4" w:rsidRDefault="00711B91"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 </w:t>
            </w:r>
          </w:p>
        </w:tc>
      </w:tr>
    </w:tbl>
    <w:bookmarkEnd w:id="60"/>
    <w:p w14:paraId="23925B5A" w14:textId="2A95D01F" w:rsidR="005A62E5" w:rsidRPr="00650EE4" w:rsidRDefault="005A62E5" w:rsidP="005A62E5">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C53D30"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07355D">
        <w:rPr>
          <w:rFonts w:ascii="Times New Roman" w:hAnsi="Times New Roman"/>
          <w:i/>
          <w:iCs/>
          <w:color w:val="auto"/>
          <w:sz w:val="20"/>
          <w:szCs w:val="20"/>
        </w:rPr>
        <w:t>Lietuvos ilgalaikei renovacijos strategijai parengti</w:t>
      </w:r>
      <w:r w:rsidR="0007355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0D7D7AB5" w14:textId="77777777" w:rsidR="00462BD8" w:rsidRPr="00650EE4" w:rsidRDefault="00462BD8" w:rsidP="001100DA">
      <w:pPr>
        <w:pStyle w:val="Pagrindinispaprastastekstas"/>
        <w:rPr>
          <w:rFonts w:ascii="Times New Roman" w:hAnsi="Times New Roman"/>
          <w:color w:val="000000" w:themeColor="text1"/>
          <w:szCs w:val="22"/>
        </w:rPr>
      </w:pPr>
    </w:p>
    <w:p w14:paraId="1BE154E9" w14:textId="56476F16" w:rsidR="00BD47DB" w:rsidRPr="00650EE4" w:rsidRDefault="00BD47DB" w:rsidP="001100DA">
      <w:pPr>
        <w:pStyle w:val="Pagrindinispaprastastekstas"/>
        <w:rPr>
          <w:rFonts w:ascii="Times New Roman" w:hAnsi="Times New Roman"/>
          <w:color w:val="000000" w:themeColor="text1"/>
          <w:szCs w:val="22"/>
        </w:rPr>
      </w:pPr>
      <w:r w:rsidRPr="00650EE4">
        <w:rPr>
          <w:rFonts w:ascii="Times New Roman" w:hAnsi="Times New Roman"/>
          <w:color w:val="000000" w:themeColor="text1"/>
          <w:szCs w:val="22"/>
        </w:rPr>
        <w:t>Pirminei energijai apskaičiuoti pritaikyti STR 2.01.02:2016</w:t>
      </w:r>
      <w:r w:rsidRPr="00650EE4">
        <w:rPr>
          <w:rFonts w:ascii="Times New Roman" w:hAnsi="Times New Roman"/>
          <w:color w:val="000000" w:themeColor="text1"/>
          <w:szCs w:val="22"/>
          <w:vertAlign w:val="superscript"/>
        </w:rPr>
        <w:footnoteReference w:id="8"/>
      </w:r>
      <w:r w:rsidRPr="00650EE4">
        <w:rPr>
          <w:rFonts w:ascii="Times New Roman" w:hAnsi="Times New Roman"/>
          <w:color w:val="000000" w:themeColor="text1"/>
          <w:szCs w:val="22"/>
        </w:rPr>
        <w:t xml:space="preserve"> pateikiami pirminės energijos faktoriai.</w:t>
      </w:r>
    </w:p>
    <w:p w14:paraId="3FBC7995" w14:textId="77777777" w:rsidR="00BD47DB" w:rsidRPr="00650EE4" w:rsidRDefault="00BD47DB" w:rsidP="00CE3656">
      <w:pPr>
        <w:pStyle w:val="BodyText"/>
        <w:jc w:val="both"/>
        <w:rPr>
          <w:rFonts w:ascii="Times New Roman" w:hAnsi="Times New Roman"/>
          <w:color w:val="000000" w:themeColor="text1"/>
          <w:szCs w:val="22"/>
          <w:lang w:val="lt-LT"/>
        </w:rPr>
      </w:pPr>
    </w:p>
    <w:p w14:paraId="622C21B6" w14:textId="752AAB90" w:rsidR="006E204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61" w:name="_Toc67925204"/>
      <w:r w:rsidR="007744C1">
        <w:t>21</w:t>
      </w:r>
      <w:r w:rsidRPr="00650EE4">
        <w:rPr>
          <w:noProof w:val="0"/>
        </w:rPr>
        <w:fldChar w:fldCharType="end"/>
      </w:r>
      <w:r w:rsidR="006E2046" w:rsidRPr="00650EE4">
        <w:rPr>
          <w:noProof w:val="0"/>
        </w:rPr>
        <w:t xml:space="preserve"> lentelė. </w:t>
      </w:r>
      <w:r w:rsidR="00E507D6" w:rsidRPr="00650EE4">
        <w:rPr>
          <w:noProof w:val="0"/>
        </w:rPr>
        <w:t xml:space="preserve">Energijos gamybai naudojamų energijos šaltinių </w:t>
      </w:r>
      <w:r w:rsidR="00C367FD" w:rsidRPr="00650EE4">
        <w:rPr>
          <w:noProof w:val="0"/>
        </w:rPr>
        <w:t>neatsinaujinančios</w:t>
      </w:r>
      <w:r w:rsidR="00E507D6" w:rsidRPr="00650EE4">
        <w:rPr>
          <w:noProof w:val="0"/>
        </w:rPr>
        <w:t xml:space="preserve"> pirminės energijos, atsinaujinančios pirminės energijos ir CO</w:t>
      </w:r>
      <w:r w:rsidR="00E507D6" w:rsidRPr="00170D53">
        <w:rPr>
          <w:noProof w:val="0"/>
          <w:vertAlign w:val="subscript"/>
        </w:rPr>
        <w:t>2</w:t>
      </w:r>
      <w:r w:rsidR="00E507D6" w:rsidRPr="00650EE4">
        <w:rPr>
          <w:noProof w:val="0"/>
        </w:rPr>
        <w:t xml:space="preserve"> emisijų faktorių vertės</w:t>
      </w:r>
      <w:bookmarkEnd w:id="61"/>
    </w:p>
    <w:tbl>
      <w:tblPr>
        <w:tblW w:w="5000" w:type="pct"/>
        <w:tblLook w:val="04A0" w:firstRow="1" w:lastRow="0" w:firstColumn="1" w:lastColumn="0" w:noHBand="0" w:noVBand="1"/>
      </w:tblPr>
      <w:tblGrid>
        <w:gridCol w:w="2798"/>
        <w:gridCol w:w="1319"/>
        <w:gridCol w:w="1239"/>
        <w:gridCol w:w="1203"/>
        <w:gridCol w:w="1056"/>
        <w:gridCol w:w="1659"/>
        <w:gridCol w:w="1146"/>
      </w:tblGrid>
      <w:tr w:rsidR="00D25587" w:rsidRPr="00650EE4" w14:paraId="04E1FABA"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EA7FD" w14:textId="77777777"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bookmarkStart w:id="62" w:name="_Hlk51919943"/>
            <w:r w:rsidRPr="00650EE4">
              <w:rPr>
                <w:rFonts w:ascii="Times New Roman" w:eastAsia="Times New Roman" w:hAnsi="Times New Roman"/>
                <w:b/>
                <w:bCs/>
                <w:color w:val="000000" w:themeColor="text1"/>
                <w:sz w:val="20"/>
                <w:szCs w:val="20"/>
                <w:lang w:eastAsia="lt-LT"/>
              </w:rPr>
              <w:t>Rodiklis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BC27E8E" w14:textId="382D417F"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Mato vnt.</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F55F3" w14:textId="151BCC49"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CŠT</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1183B" w14:textId="42C63BA9"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Dujos</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B57D0" w14:textId="6EC71C1D"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Biokuras</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4B23C" w14:textId="5ECC97C2"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Kita (ne AEI)</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6824F" w14:textId="56005A05"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Elektra</w:t>
            </w:r>
          </w:p>
        </w:tc>
      </w:tr>
      <w:tr w:rsidR="00D25587" w:rsidRPr="00650EE4" w14:paraId="4ED46CAF"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FCD7B" w14:textId="0E82C116" w:rsidR="006E2046" w:rsidRPr="00650EE4" w:rsidRDefault="005C3EED" w:rsidP="005C3EED">
            <w:pPr>
              <w:spacing w:line="240" w:lineRule="auto"/>
              <w:rPr>
                <w:rFonts w:ascii="Times New Roman" w:eastAsia="Times New Roman" w:hAnsi="Times New Roman"/>
                <w:color w:val="000000" w:themeColor="text1"/>
                <w:sz w:val="20"/>
                <w:szCs w:val="20"/>
                <w:lang w:eastAsia="lt-LT"/>
              </w:rPr>
            </w:pPr>
            <w:r w:rsidRPr="00650EE4">
              <w:rPr>
                <w:rFonts w:ascii="Times New Roman" w:hAnsi="Times New Roman"/>
                <w:sz w:val="20"/>
                <w:szCs w:val="20"/>
              </w:rPr>
              <w:t>Neatsinaujinančios pirminės energijos faktorius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69F38B7C" w14:textId="3B366A39"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vnt.</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B622" w14:textId="76F1A0BF"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0,63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1703"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1,10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8DDB"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0,20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D424"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1,10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2ACB"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2,30</w:t>
            </w:r>
          </w:p>
        </w:tc>
      </w:tr>
      <w:tr w:rsidR="00D25587" w:rsidRPr="00650EE4" w14:paraId="78B39499"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40E7" w14:textId="042A7CA2" w:rsidR="006E2046" w:rsidRPr="00650EE4" w:rsidRDefault="005C3EED" w:rsidP="005C3EED">
            <w:pPr>
              <w:spacing w:line="240" w:lineRule="auto"/>
              <w:rPr>
                <w:rFonts w:ascii="Times New Roman" w:eastAsia="Times New Roman" w:hAnsi="Times New Roman"/>
                <w:color w:val="000000" w:themeColor="text1"/>
                <w:sz w:val="20"/>
                <w:szCs w:val="20"/>
                <w:lang w:eastAsia="lt-LT"/>
              </w:rPr>
            </w:pPr>
            <w:r w:rsidRPr="00650EE4">
              <w:rPr>
                <w:rFonts w:ascii="Times New Roman" w:hAnsi="Times New Roman"/>
                <w:sz w:val="20"/>
                <w:szCs w:val="20"/>
              </w:rPr>
              <w:t>Atsinaujinančios pirminės energijos faktorius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825D130" w14:textId="3195D251"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vnt.</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98BD" w14:textId="4E9E8AFF"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0,62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654B2"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0,00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BCF76"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1,00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AE71"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B22D1"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0,20</w:t>
            </w:r>
          </w:p>
        </w:tc>
      </w:tr>
      <w:tr w:rsidR="00D25587" w:rsidRPr="00650EE4" w14:paraId="077E4186"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noWrap/>
            <w:hideMark/>
          </w:tcPr>
          <w:p w14:paraId="103F0E11" w14:textId="63100675" w:rsidR="006E2046" w:rsidRPr="00650EE4" w:rsidRDefault="006E2046" w:rsidP="00286DC7">
            <w:pPr>
              <w:spacing w:line="240" w:lineRule="auto"/>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CO</w:t>
            </w:r>
            <w:r w:rsidRPr="00650EE4">
              <w:rPr>
                <w:rFonts w:ascii="Times New Roman" w:eastAsia="Times New Roman" w:hAnsi="Times New Roman"/>
                <w:color w:val="000000" w:themeColor="text1"/>
                <w:sz w:val="20"/>
                <w:szCs w:val="20"/>
                <w:vertAlign w:val="subscript"/>
                <w:lang w:eastAsia="lt-LT"/>
              </w:rPr>
              <w:t>2</w:t>
            </w:r>
            <w:r w:rsidR="005C3EED" w:rsidRPr="00650EE4">
              <w:rPr>
                <w:rFonts w:ascii="Times New Roman" w:eastAsia="Times New Roman" w:hAnsi="Times New Roman"/>
                <w:color w:val="000000" w:themeColor="text1"/>
                <w:sz w:val="20"/>
                <w:szCs w:val="20"/>
                <w:vertAlign w:val="subscript"/>
                <w:lang w:eastAsia="lt-LT"/>
              </w:rPr>
              <w:t xml:space="preserve"> </w:t>
            </w:r>
            <w:r w:rsidR="005C3EED" w:rsidRPr="00650EE4">
              <w:rPr>
                <w:rFonts w:ascii="Times New Roman" w:eastAsia="Times New Roman" w:hAnsi="Times New Roman"/>
                <w:color w:val="000000" w:themeColor="text1"/>
                <w:sz w:val="20"/>
                <w:szCs w:val="20"/>
                <w:lang w:eastAsia="lt-LT"/>
              </w:rPr>
              <w:t>emisijų faktorius</w:t>
            </w:r>
            <w:r w:rsidR="006003FE" w:rsidRPr="00650EE4">
              <w:rPr>
                <w:rFonts w:ascii="Times New Roman" w:eastAsia="Times New Roman" w:hAnsi="Times New Roman"/>
                <w:color w:val="000000" w:themeColor="text1"/>
                <w:sz w:val="20"/>
                <w:szCs w:val="20"/>
                <w:lang w:eastAsia="lt-LT"/>
              </w:rPr>
              <w:br/>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E104A28" w14:textId="5BB23D73"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kgCO</w:t>
            </w:r>
            <w:r w:rsidRPr="00170D53">
              <w:rPr>
                <w:rFonts w:ascii="Times New Roman" w:eastAsia="Times New Roman" w:hAnsi="Times New Roman"/>
                <w:color w:val="000000" w:themeColor="text1"/>
                <w:sz w:val="20"/>
                <w:szCs w:val="20"/>
                <w:vertAlign w:val="subscript"/>
                <w:lang w:eastAsia="lt-LT"/>
              </w:rPr>
              <w:t>2</w:t>
            </w:r>
            <w:r w:rsidRPr="00650EE4">
              <w:rPr>
                <w:rFonts w:ascii="Times New Roman" w:eastAsia="Times New Roman" w:hAnsi="Times New Roman"/>
                <w:color w:val="000000" w:themeColor="text1"/>
                <w:sz w:val="20"/>
                <w:szCs w:val="20"/>
                <w:lang w:eastAsia="lt-LT"/>
              </w:rPr>
              <w:t>/</w:t>
            </w:r>
            <w:proofErr w:type="spellStart"/>
            <w:r w:rsidRPr="00650EE4">
              <w:rPr>
                <w:rFonts w:ascii="Times New Roman" w:eastAsia="Times New Roman" w:hAnsi="Times New Roman"/>
                <w:color w:val="000000" w:themeColor="text1"/>
                <w:sz w:val="20"/>
                <w:szCs w:val="20"/>
                <w:lang w:eastAsia="lt-LT"/>
              </w:rPr>
              <w:t>kWh</w:t>
            </w:r>
            <w:proofErr w:type="spellEnd"/>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B4A56" w14:textId="4F7C0C11"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0,10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ACDE"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0,22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A282"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0,04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1166"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0,30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22410"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0,42</w:t>
            </w:r>
          </w:p>
        </w:tc>
      </w:tr>
    </w:tbl>
    <w:bookmarkEnd w:id="62"/>
    <w:p w14:paraId="1DE03E4E" w14:textId="0629C230" w:rsidR="001447D2" w:rsidRDefault="006E2046" w:rsidP="00EE0B94">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STR 2.01.02:2016</w:t>
      </w:r>
    </w:p>
    <w:p w14:paraId="0380DA57" w14:textId="77777777" w:rsidR="003E0C4E" w:rsidRDefault="003E0C4E" w:rsidP="003E0C4E">
      <w:pPr>
        <w:rPr>
          <w:rFonts w:ascii="Times New Roman" w:hAnsi="Times New Roman"/>
          <w:b/>
          <w:szCs w:val="22"/>
        </w:rPr>
      </w:pPr>
    </w:p>
    <w:p w14:paraId="3D0B040E" w14:textId="21D931D2" w:rsidR="00BB7886" w:rsidRPr="00650EE4" w:rsidRDefault="00BB7886" w:rsidP="00BB7886">
      <w:pPr>
        <w:spacing w:after="240"/>
        <w:rPr>
          <w:rFonts w:ascii="Times New Roman" w:hAnsi="Times New Roman"/>
          <w:b/>
          <w:szCs w:val="22"/>
        </w:rPr>
      </w:pPr>
      <w:r w:rsidRPr="00650EE4">
        <w:rPr>
          <w:rFonts w:ascii="Times New Roman" w:hAnsi="Times New Roman"/>
          <w:b/>
          <w:szCs w:val="22"/>
        </w:rPr>
        <w:t>Pastatų fondo pirminės energijos vartojimas</w:t>
      </w:r>
    </w:p>
    <w:p w14:paraId="10258531" w14:textId="57A8A5DF" w:rsidR="0047724C" w:rsidRPr="00650EE4" w:rsidRDefault="00C53D30" w:rsidP="0047724C">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pateikiami apskaičiuoti </w:t>
      </w:r>
      <w:r w:rsidR="007A52B6">
        <w:rPr>
          <w:rFonts w:ascii="Times New Roman" w:hAnsi="Times New Roman"/>
          <w:color w:val="000000" w:themeColor="text1"/>
          <w:szCs w:val="22"/>
          <w:lang w:val="lt-LT"/>
        </w:rPr>
        <w:t>p</w:t>
      </w:r>
      <w:r w:rsidR="0047724C" w:rsidRPr="00650EE4">
        <w:rPr>
          <w:rFonts w:ascii="Times New Roman" w:hAnsi="Times New Roman"/>
          <w:color w:val="000000" w:themeColor="text1"/>
          <w:szCs w:val="22"/>
          <w:lang w:val="lt-LT"/>
        </w:rPr>
        <w:t>astatų fon</w:t>
      </w:r>
      <w:r w:rsidRPr="00650EE4">
        <w:rPr>
          <w:rFonts w:ascii="Times New Roman" w:hAnsi="Times New Roman"/>
          <w:color w:val="000000" w:themeColor="text1"/>
          <w:szCs w:val="22"/>
          <w:lang w:val="lt-LT"/>
        </w:rPr>
        <w:t>do pirminės energijos vartojimo</w:t>
      </w:r>
      <w:r w:rsidR="0047724C" w:rsidRPr="00650EE4">
        <w:rPr>
          <w:rFonts w:ascii="Times New Roman" w:hAnsi="Times New Roman"/>
          <w:color w:val="000000" w:themeColor="text1"/>
          <w:szCs w:val="22"/>
          <w:lang w:val="lt-LT"/>
        </w:rPr>
        <w:t xml:space="preserve"> pagal </w:t>
      </w:r>
      <w:r w:rsidR="000F406A" w:rsidRPr="00650EE4">
        <w:rPr>
          <w:rFonts w:ascii="Times New Roman" w:hAnsi="Times New Roman"/>
          <w:color w:val="000000" w:themeColor="text1"/>
          <w:szCs w:val="22"/>
          <w:lang w:val="lt-LT"/>
        </w:rPr>
        <w:t>energinio naudingumo</w:t>
      </w:r>
      <w:r w:rsidR="0047724C" w:rsidRPr="00650EE4">
        <w:rPr>
          <w:rFonts w:ascii="Times New Roman" w:hAnsi="Times New Roman"/>
          <w:color w:val="000000" w:themeColor="text1"/>
          <w:szCs w:val="22"/>
          <w:lang w:val="lt-LT"/>
        </w:rPr>
        <w:t xml:space="preserve"> klasę</w:t>
      </w:r>
      <w:r w:rsidRPr="00650EE4">
        <w:rPr>
          <w:rFonts w:ascii="Times New Roman" w:hAnsi="Times New Roman"/>
          <w:color w:val="000000" w:themeColor="text1"/>
          <w:szCs w:val="22"/>
          <w:lang w:val="lt-LT"/>
        </w:rPr>
        <w:t xml:space="preserve"> duomenys</w:t>
      </w:r>
      <w:r w:rsidR="0047724C" w:rsidRPr="00650EE4">
        <w:rPr>
          <w:rFonts w:ascii="Times New Roman" w:hAnsi="Times New Roman"/>
          <w:color w:val="000000" w:themeColor="text1"/>
          <w:szCs w:val="22"/>
          <w:lang w:val="lt-LT"/>
        </w:rPr>
        <w:t xml:space="preserve">, </w:t>
      </w:r>
      <w:proofErr w:type="spellStart"/>
      <w:r w:rsidR="003F7952" w:rsidRPr="00650EE4">
        <w:rPr>
          <w:rFonts w:ascii="Times New Roman" w:hAnsi="Times New Roman"/>
          <w:color w:val="000000" w:themeColor="text1"/>
          <w:szCs w:val="22"/>
          <w:lang w:val="lt-LT"/>
        </w:rPr>
        <w:t>GWh</w:t>
      </w:r>
      <w:proofErr w:type="spellEnd"/>
      <w:r w:rsidR="0047724C" w:rsidRPr="00650EE4">
        <w:rPr>
          <w:rFonts w:ascii="Times New Roman" w:hAnsi="Times New Roman"/>
          <w:color w:val="000000" w:themeColor="text1"/>
          <w:szCs w:val="22"/>
          <w:lang w:val="lt-LT"/>
        </w:rPr>
        <w:t xml:space="preserve">. </w:t>
      </w:r>
    </w:p>
    <w:p w14:paraId="0A736918" w14:textId="77777777" w:rsidR="0047724C" w:rsidRPr="00650EE4" w:rsidRDefault="0047724C" w:rsidP="0047724C">
      <w:pPr>
        <w:jc w:val="both"/>
        <w:rPr>
          <w:rFonts w:ascii="Times New Roman" w:hAnsi="Times New Roman"/>
          <w:color w:val="000000" w:themeColor="text1"/>
          <w:szCs w:val="22"/>
        </w:rPr>
      </w:pPr>
    </w:p>
    <w:p w14:paraId="08936B5B" w14:textId="038CEEA6" w:rsidR="0047724C"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63" w:name="_Toc67925205"/>
      <w:r w:rsidR="007744C1">
        <w:t>22</w:t>
      </w:r>
      <w:r w:rsidRPr="00650EE4">
        <w:rPr>
          <w:noProof w:val="0"/>
        </w:rPr>
        <w:fldChar w:fldCharType="end"/>
      </w:r>
      <w:r w:rsidR="001E6DEB" w:rsidRPr="00650EE4">
        <w:rPr>
          <w:noProof w:val="0"/>
        </w:rPr>
        <w:t xml:space="preserve"> lentelė</w:t>
      </w:r>
      <w:r w:rsidR="0047724C" w:rsidRPr="00650EE4">
        <w:rPr>
          <w:noProof w:val="0"/>
        </w:rPr>
        <w:t xml:space="preserve">. Pastatų fondo pirminės energijos vartojimas pagal </w:t>
      </w:r>
      <w:r w:rsidR="009209CF" w:rsidRPr="00650EE4">
        <w:rPr>
          <w:noProof w:val="0"/>
        </w:rPr>
        <w:t>ENK</w:t>
      </w:r>
      <w:r w:rsidR="0047724C" w:rsidRPr="00650EE4">
        <w:rPr>
          <w:noProof w:val="0"/>
        </w:rPr>
        <w:t xml:space="preserve"> (</w:t>
      </w:r>
      <w:proofErr w:type="spellStart"/>
      <w:r w:rsidR="0047724C" w:rsidRPr="00650EE4">
        <w:rPr>
          <w:noProof w:val="0"/>
        </w:rPr>
        <w:t>GWh</w:t>
      </w:r>
      <w:proofErr w:type="spellEnd"/>
      <w:r w:rsidR="0047724C" w:rsidRPr="00650EE4">
        <w:rPr>
          <w:noProof w:val="0"/>
        </w:rPr>
        <w:t>/metus)</w:t>
      </w:r>
      <w:bookmarkEnd w:id="63"/>
    </w:p>
    <w:tbl>
      <w:tblPr>
        <w:tblW w:w="5000" w:type="pct"/>
        <w:tblLook w:val="04A0" w:firstRow="1" w:lastRow="0" w:firstColumn="1" w:lastColumn="0" w:noHBand="0" w:noVBand="1"/>
      </w:tblPr>
      <w:tblGrid>
        <w:gridCol w:w="2139"/>
        <w:gridCol w:w="1103"/>
        <w:gridCol w:w="1103"/>
        <w:gridCol w:w="1102"/>
        <w:gridCol w:w="1102"/>
        <w:gridCol w:w="1102"/>
        <w:gridCol w:w="1111"/>
        <w:gridCol w:w="879"/>
        <w:gridCol w:w="779"/>
      </w:tblGrid>
      <w:tr w:rsidR="00732FB5" w:rsidRPr="00650EE4" w14:paraId="4AEB807F" w14:textId="77777777" w:rsidTr="00F45BD1">
        <w:tc>
          <w:tcPr>
            <w:tcW w:w="1026"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066333C6"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17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6C5E835" w14:textId="32CF2D4C" w:rsidR="00732FB5" w:rsidRPr="00650EE4" w:rsidRDefault="004C3307"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 xml:space="preserve">Energinio naudingumo </w:t>
            </w:r>
            <w:r w:rsidR="00732FB5" w:rsidRPr="00650EE4">
              <w:rPr>
                <w:rFonts w:ascii="Times New Roman" w:eastAsia="Times New Roman" w:hAnsi="Times New Roman"/>
                <w:b/>
                <w:bCs/>
                <w:sz w:val="20"/>
                <w:szCs w:val="20"/>
              </w:rPr>
              <w:t>klasė</w:t>
            </w:r>
          </w:p>
        </w:tc>
        <w:tc>
          <w:tcPr>
            <w:tcW w:w="422" w:type="pct"/>
            <w:vMerge w:val="restart"/>
            <w:tcBorders>
              <w:top w:val="single" w:sz="4" w:space="0" w:color="auto"/>
              <w:left w:val="nil"/>
              <w:bottom w:val="single" w:sz="4" w:space="0" w:color="000000"/>
              <w:right w:val="nil"/>
            </w:tcBorders>
            <w:shd w:val="clear" w:color="000000" w:fill="FFFFFF"/>
            <w:vAlign w:val="center"/>
            <w:hideMark/>
          </w:tcPr>
          <w:p w14:paraId="1169F25A"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37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88329E8"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732FB5" w:rsidRPr="00650EE4" w14:paraId="52B90B93" w14:textId="77777777" w:rsidTr="00F45BD1">
        <w:tc>
          <w:tcPr>
            <w:tcW w:w="1026" w:type="pct"/>
            <w:vMerge/>
            <w:tcBorders>
              <w:top w:val="single" w:sz="4" w:space="0" w:color="auto"/>
              <w:left w:val="single" w:sz="4" w:space="0" w:color="auto"/>
              <w:bottom w:val="single" w:sz="4" w:space="0" w:color="000000"/>
              <w:right w:val="nil"/>
            </w:tcBorders>
            <w:vAlign w:val="center"/>
            <w:hideMark/>
          </w:tcPr>
          <w:p w14:paraId="47AD7276" w14:textId="77777777" w:rsidR="00732FB5" w:rsidRPr="00650EE4" w:rsidRDefault="00732FB5" w:rsidP="00732FB5">
            <w:pPr>
              <w:spacing w:line="240" w:lineRule="auto"/>
              <w:rPr>
                <w:rFonts w:ascii="Times New Roman" w:eastAsia="Times New Roman" w:hAnsi="Times New Roman"/>
                <w:b/>
                <w:bCs/>
                <w:sz w:val="20"/>
                <w:szCs w:val="20"/>
              </w:rPr>
            </w:pPr>
          </w:p>
        </w:tc>
        <w:tc>
          <w:tcPr>
            <w:tcW w:w="529" w:type="pct"/>
            <w:tcBorders>
              <w:top w:val="nil"/>
              <w:left w:val="single" w:sz="4" w:space="0" w:color="auto"/>
              <w:bottom w:val="single" w:sz="4" w:space="0" w:color="auto"/>
              <w:right w:val="nil"/>
            </w:tcBorders>
            <w:shd w:val="clear" w:color="000000" w:fill="FFFFFF"/>
            <w:vAlign w:val="center"/>
            <w:hideMark/>
          </w:tcPr>
          <w:p w14:paraId="640CE90A" w14:textId="10755493" w:rsidR="00732FB5" w:rsidRPr="00650EE4" w:rsidRDefault="007F357E"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29" w:type="pct"/>
            <w:tcBorders>
              <w:top w:val="nil"/>
              <w:left w:val="nil"/>
              <w:bottom w:val="single" w:sz="4" w:space="0" w:color="auto"/>
              <w:right w:val="nil"/>
            </w:tcBorders>
            <w:shd w:val="clear" w:color="000000" w:fill="FFFFFF"/>
            <w:vAlign w:val="center"/>
            <w:hideMark/>
          </w:tcPr>
          <w:p w14:paraId="5E550C1B"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29" w:type="pct"/>
            <w:tcBorders>
              <w:top w:val="nil"/>
              <w:left w:val="nil"/>
              <w:bottom w:val="single" w:sz="4" w:space="0" w:color="auto"/>
              <w:right w:val="nil"/>
            </w:tcBorders>
            <w:shd w:val="clear" w:color="000000" w:fill="FFFFFF"/>
            <w:vAlign w:val="center"/>
            <w:hideMark/>
          </w:tcPr>
          <w:p w14:paraId="7FBE6217"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29" w:type="pct"/>
            <w:tcBorders>
              <w:top w:val="nil"/>
              <w:left w:val="nil"/>
              <w:bottom w:val="single" w:sz="4" w:space="0" w:color="auto"/>
              <w:right w:val="nil"/>
            </w:tcBorders>
            <w:shd w:val="clear" w:color="000000" w:fill="FFFFFF"/>
            <w:vAlign w:val="center"/>
            <w:hideMark/>
          </w:tcPr>
          <w:p w14:paraId="45C5F6FA"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29" w:type="pct"/>
            <w:tcBorders>
              <w:top w:val="nil"/>
              <w:left w:val="nil"/>
              <w:bottom w:val="single" w:sz="4" w:space="0" w:color="auto"/>
              <w:right w:val="nil"/>
            </w:tcBorders>
            <w:shd w:val="clear" w:color="000000" w:fill="FFFFFF"/>
            <w:vAlign w:val="center"/>
            <w:hideMark/>
          </w:tcPr>
          <w:p w14:paraId="56A0C0F1"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33" w:type="pct"/>
            <w:tcBorders>
              <w:top w:val="nil"/>
              <w:left w:val="nil"/>
              <w:bottom w:val="single" w:sz="4" w:space="0" w:color="auto"/>
              <w:right w:val="single" w:sz="4" w:space="0" w:color="auto"/>
            </w:tcBorders>
            <w:shd w:val="clear" w:color="000000" w:fill="FFFFFF"/>
            <w:vAlign w:val="center"/>
            <w:hideMark/>
          </w:tcPr>
          <w:p w14:paraId="7016BB82"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22" w:type="pct"/>
            <w:vMerge/>
            <w:tcBorders>
              <w:top w:val="single" w:sz="4" w:space="0" w:color="auto"/>
              <w:left w:val="nil"/>
              <w:bottom w:val="single" w:sz="4" w:space="0" w:color="000000"/>
              <w:right w:val="nil"/>
            </w:tcBorders>
            <w:vAlign w:val="center"/>
            <w:hideMark/>
          </w:tcPr>
          <w:p w14:paraId="332461E3" w14:textId="77777777" w:rsidR="00732FB5" w:rsidRPr="00650EE4" w:rsidRDefault="00732FB5" w:rsidP="00732FB5">
            <w:pPr>
              <w:spacing w:line="240" w:lineRule="auto"/>
              <w:rPr>
                <w:rFonts w:ascii="Times New Roman" w:eastAsia="Times New Roman" w:hAnsi="Times New Roman"/>
                <w:b/>
                <w:bCs/>
                <w:sz w:val="20"/>
                <w:szCs w:val="20"/>
              </w:rPr>
            </w:pPr>
          </w:p>
        </w:tc>
        <w:tc>
          <w:tcPr>
            <w:tcW w:w="374" w:type="pct"/>
            <w:vMerge/>
            <w:tcBorders>
              <w:top w:val="single" w:sz="4" w:space="0" w:color="auto"/>
              <w:left w:val="single" w:sz="4" w:space="0" w:color="auto"/>
              <w:bottom w:val="single" w:sz="4" w:space="0" w:color="000000"/>
              <w:right w:val="single" w:sz="4" w:space="0" w:color="auto"/>
            </w:tcBorders>
            <w:vAlign w:val="center"/>
            <w:hideMark/>
          </w:tcPr>
          <w:p w14:paraId="15CC1E74" w14:textId="77777777" w:rsidR="00732FB5" w:rsidRPr="00650EE4" w:rsidRDefault="00732FB5" w:rsidP="00732FB5">
            <w:pPr>
              <w:spacing w:line="240" w:lineRule="auto"/>
              <w:rPr>
                <w:rFonts w:ascii="Times New Roman" w:eastAsia="Times New Roman" w:hAnsi="Times New Roman"/>
                <w:b/>
                <w:bCs/>
                <w:sz w:val="20"/>
                <w:szCs w:val="20"/>
              </w:rPr>
            </w:pPr>
          </w:p>
        </w:tc>
      </w:tr>
      <w:tr w:rsidR="004C3307" w:rsidRPr="00650EE4" w14:paraId="44D98D63" w14:textId="77777777" w:rsidTr="00F45BD1">
        <w:tc>
          <w:tcPr>
            <w:tcW w:w="1026" w:type="pct"/>
            <w:tcBorders>
              <w:top w:val="nil"/>
              <w:left w:val="single" w:sz="4" w:space="0" w:color="auto"/>
              <w:bottom w:val="single" w:sz="4" w:space="0" w:color="auto"/>
              <w:right w:val="single" w:sz="4" w:space="0" w:color="auto"/>
            </w:tcBorders>
            <w:shd w:val="clear" w:color="000000" w:fill="F2F2F2"/>
            <w:noWrap/>
            <w:vAlign w:val="center"/>
            <w:hideMark/>
          </w:tcPr>
          <w:p w14:paraId="1FFDF287"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29" w:type="pct"/>
            <w:tcBorders>
              <w:top w:val="nil"/>
              <w:left w:val="nil"/>
              <w:bottom w:val="single" w:sz="4" w:space="0" w:color="auto"/>
              <w:right w:val="nil"/>
            </w:tcBorders>
            <w:shd w:val="clear" w:color="000000" w:fill="F2F2F2"/>
            <w:noWrap/>
            <w:vAlign w:val="center"/>
            <w:hideMark/>
          </w:tcPr>
          <w:p w14:paraId="6C4DDCA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19.252</w:t>
            </w:r>
          </w:p>
        </w:tc>
        <w:tc>
          <w:tcPr>
            <w:tcW w:w="529" w:type="pct"/>
            <w:tcBorders>
              <w:top w:val="nil"/>
              <w:left w:val="nil"/>
              <w:bottom w:val="single" w:sz="4" w:space="0" w:color="auto"/>
              <w:right w:val="nil"/>
            </w:tcBorders>
            <w:shd w:val="clear" w:color="000000" w:fill="F2F2F2"/>
            <w:noWrap/>
            <w:vAlign w:val="center"/>
            <w:hideMark/>
          </w:tcPr>
          <w:p w14:paraId="021650E1"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4.203</w:t>
            </w:r>
          </w:p>
        </w:tc>
        <w:tc>
          <w:tcPr>
            <w:tcW w:w="529" w:type="pct"/>
            <w:tcBorders>
              <w:top w:val="nil"/>
              <w:left w:val="nil"/>
              <w:bottom w:val="single" w:sz="4" w:space="0" w:color="auto"/>
              <w:right w:val="nil"/>
            </w:tcBorders>
            <w:shd w:val="clear" w:color="000000" w:fill="F2F2F2"/>
            <w:noWrap/>
            <w:vAlign w:val="center"/>
            <w:hideMark/>
          </w:tcPr>
          <w:p w14:paraId="2D297E5D"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2.111</w:t>
            </w:r>
          </w:p>
        </w:tc>
        <w:tc>
          <w:tcPr>
            <w:tcW w:w="529" w:type="pct"/>
            <w:tcBorders>
              <w:top w:val="nil"/>
              <w:left w:val="nil"/>
              <w:bottom w:val="single" w:sz="4" w:space="0" w:color="auto"/>
              <w:right w:val="nil"/>
            </w:tcBorders>
            <w:shd w:val="clear" w:color="000000" w:fill="F2F2F2"/>
            <w:noWrap/>
            <w:vAlign w:val="center"/>
            <w:hideMark/>
          </w:tcPr>
          <w:p w14:paraId="2BE17939"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187</w:t>
            </w:r>
          </w:p>
        </w:tc>
        <w:tc>
          <w:tcPr>
            <w:tcW w:w="529" w:type="pct"/>
            <w:tcBorders>
              <w:top w:val="nil"/>
              <w:left w:val="nil"/>
              <w:bottom w:val="single" w:sz="4" w:space="0" w:color="auto"/>
              <w:right w:val="nil"/>
            </w:tcBorders>
            <w:shd w:val="clear" w:color="000000" w:fill="F2F2F2"/>
            <w:noWrap/>
            <w:vAlign w:val="center"/>
            <w:hideMark/>
          </w:tcPr>
          <w:p w14:paraId="03F45C79"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29</w:t>
            </w:r>
          </w:p>
        </w:tc>
        <w:tc>
          <w:tcPr>
            <w:tcW w:w="533" w:type="pct"/>
            <w:tcBorders>
              <w:top w:val="nil"/>
              <w:left w:val="nil"/>
              <w:bottom w:val="single" w:sz="4" w:space="0" w:color="auto"/>
              <w:right w:val="single" w:sz="4" w:space="0" w:color="auto"/>
            </w:tcBorders>
            <w:shd w:val="clear" w:color="000000" w:fill="F2F2F2"/>
            <w:noWrap/>
            <w:vAlign w:val="center"/>
            <w:hideMark/>
          </w:tcPr>
          <w:p w14:paraId="508C3C7D"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22" w:type="pct"/>
            <w:tcBorders>
              <w:top w:val="nil"/>
              <w:left w:val="nil"/>
              <w:bottom w:val="single" w:sz="4" w:space="0" w:color="auto"/>
              <w:right w:val="nil"/>
            </w:tcBorders>
            <w:shd w:val="clear" w:color="000000" w:fill="F2F2F2"/>
            <w:noWrap/>
            <w:vAlign w:val="center"/>
            <w:hideMark/>
          </w:tcPr>
          <w:p w14:paraId="2EF95988"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25.783</w:t>
            </w:r>
          </w:p>
        </w:tc>
        <w:tc>
          <w:tcPr>
            <w:tcW w:w="374" w:type="pct"/>
            <w:tcBorders>
              <w:top w:val="nil"/>
              <w:left w:val="single" w:sz="4" w:space="0" w:color="auto"/>
              <w:bottom w:val="single" w:sz="4" w:space="0" w:color="auto"/>
              <w:right w:val="single" w:sz="4" w:space="0" w:color="auto"/>
            </w:tcBorders>
            <w:shd w:val="clear" w:color="000000" w:fill="F2F2F2"/>
            <w:noWrap/>
            <w:vAlign w:val="center"/>
            <w:hideMark/>
          </w:tcPr>
          <w:p w14:paraId="2EEC933E"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63%</w:t>
            </w:r>
          </w:p>
        </w:tc>
      </w:tr>
      <w:tr w:rsidR="00732FB5" w:rsidRPr="00650EE4" w14:paraId="70DDDE4C" w14:textId="77777777" w:rsidTr="00F45BD1">
        <w:tc>
          <w:tcPr>
            <w:tcW w:w="1026" w:type="pct"/>
            <w:tcBorders>
              <w:top w:val="nil"/>
              <w:left w:val="single" w:sz="4" w:space="0" w:color="auto"/>
              <w:bottom w:val="nil"/>
              <w:right w:val="nil"/>
            </w:tcBorders>
            <w:shd w:val="clear" w:color="000000" w:fill="FFFFFF"/>
            <w:noWrap/>
            <w:vAlign w:val="center"/>
            <w:hideMark/>
          </w:tcPr>
          <w:p w14:paraId="6911DCF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29" w:type="pct"/>
            <w:tcBorders>
              <w:top w:val="nil"/>
              <w:left w:val="single" w:sz="4" w:space="0" w:color="auto"/>
              <w:bottom w:val="nil"/>
              <w:right w:val="nil"/>
            </w:tcBorders>
            <w:shd w:val="clear" w:color="000000" w:fill="FFFFFF"/>
            <w:noWrap/>
            <w:vAlign w:val="center"/>
            <w:hideMark/>
          </w:tcPr>
          <w:p w14:paraId="6D56CCF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9.704</w:t>
            </w:r>
          </w:p>
        </w:tc>
        <w:tc>
          <w:tcPr>
            <w:tcW w:w="529" w:type="pct"/>
            <w:tcBorders>
              <w:top w:val="nil"/>
              <w:left w:val="nil"/>
              <w:bottom w:val="nil"/>
              <w:right w:val="nil"/>
            </w:tcBorders>
            <w:shd w:val="clear" w:color="000000" w:fill="FFFFFF"/>
            <w:noWrap/>
            <w:vAlign w:val="center"/>
            <w:hideMark/>
          </w:tcPr>
          <w:p w14:paraId="360111E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3.068</w:t>
            </w:r>
          </w:p>
        </w:tc>
        <w:tc>
          <w:tcPr>
            <w:tcW w:w="529" w:type="pct"/>
            <w:tcBorders>
              <w:top w:val="nil"/>
              <w:left w:val="nil"/>
              <w:bottom w:val="nil"/>
              <w:right w:val="nil"/>
            </w:tcBorders>
            <w:shd w:val="clear" w:color="000000" w:fill="FFFFFF"/>
            <w:noWrap/>
            <w:vAlign w:val="center"/>
            <w:hideMark/>
          </w:tcPr>
          <w:p w14:paraId="621837A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897</w:t>
            </w:r>
          </w:p>
        </w:tc>
        <w:tc>
          <w:tcPr>
            <w:tcW w:w="529" w:type="pct"/>
            <w:tcBorders>
              <w:top w:val="nil"/>
              <w:left w:val="nil"/>
              <w:bottom w:val="nil"/>
              <w:right w:val="nil"/>
            </w:tcBorders>
            <w:shd w:val="clear" w:color="000000" w:fill="FFFFFF"/>
            <w:noWrap/>
            <w:vAlign w:val="center"/>
            <w:hideMark/>
          </w:tcPr>
          <w:p w14:paraId="561C347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529" w:type="pct"/>
            <w:tcBorders>
              <w:top w:val="nil"/>
              <w:left w:val="nil"/>
              <w:bottom w:val="nil"/>
              <w:right w:val="nil"/>
            </w:tcBorders>
            <w:shd w:val="clear" w:color="000000" w:fill="FFFFFF"/>
            <w:noWrap/>
            <w:vAlign w:val="center"/>
            <w:hideMark/>
          </w:tcPr>
          <w:p w14:paraId="1314E26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533" w:type="pct"/>
            <w:tcBorders>
              <w:top w:val="nil"/>
              <w:left w:val="nil"/>
              <w:bottom w:val="nil"/>
              <w:right w:val="single" w:sz="4" w:space="0" w:color="auto"/>
            </w:tcBorders>
            <w:shd w:val="clear" w:color="000000" w:fill="FFFFFF"/>
            <w:noWrap/>
            <w:vAlign w:val="center"/>
            <w:hideMark/>
          </w:tcPr>
          <w:p w14:paraId="233DDC2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1733F5D3"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13.806</w:t>
            </w:r>
          </w:p>
        </w:tc>
        <w:tc>
          <w:tcPr>
            <w:tcW w:w="374" w:type="pct"/>
            <w:tcBorders>
              <w:top w:val="nil"/>
              <w:left w:val="single" w:sz="4" w:space="0" w:color="auto"/>
              <w:bottom w:val="nil"/>
              <w:right w:val="single" w:sz="4" w:space="0" w:color="auto"/>
            </w:tcBorders>
            <w:shd w:val="clear" w:color="000000" w:fill="FFFFFF"/>
            <w:noWrap/>
            <w:vAlign w:val="center"/>
            <w:hideMark/>
          </w:tcPr>
          <w:p w14:paraId="3F6A6CD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732FB5" w:rsidRPr="00650EE4" w14:paraId="48A1EDF1" w14:textId="77777777" w:rsidTr="00F45BD1">
        <w:tc>
          <w:tcPr>
            <w:tcW w:w="1026" w:type="pct"/>
            <w:tcBorders>
              <w:top w:val="nil"/>
              <w:left w:val="single" w:sz="4" w:space="0" w:color="auto"/>
              <w:bottom w:val="nil"/>
              <w:right w:val="nil"/>
            </w:tcBorders>
            <w:shd w:val="clear" w:color="000000" w:fill="FFFFFF"/>
            <w:noWrap/>
            <w:vAlign w:val="center"/>
            <w:hideMark/>
          </w:tcPr>
          <w:p w14:paraId="0AA60F49"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29" w:type="pct"/>
            <w:tcBorders>
              <w:top w:val="nil"/>
              <w:left w:val="single" w:sz="4" w:space="0" w:color="auto"/>
              <w:bottom w:val="nil"/>
              <w:right w:val="nil"/>
            </w:tcBorders>
            <w:shd w:val="clear" w:color="000000" w:fill="FFFFFF"/>
            <w:noWrap/>
            <w:vAlign w:val="center"/>
            <w:hideMark/>
          </w:tcPr>
          <w:p w14:paraId="1FA518C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9.548</w:t>
            </w:r>
          </w:p>
        </w:tc>
        <w:tc>
          <w:tcPr>
            <w:tcW w:w="529" w:type="pct"/>
            <w:tcBorders>
              <w:top w:val="nil"/>
              <w:left w:val="nil"/>
              <w:bottom w:val="nil"/>
              <w:right w:val="nil"/>
            </w:tcBorders>
            <w:shd w:val="clear" w:color="000000" w:fill="FFFFFF"/>
            <w:noWrap/>
            <w:vAlign w:val="center"/>
            <w:hideMark/>
          </w:tcPr>
          <w:p w14:paraId="1BB5033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1.135</w:t>
            </w:r>
          </w:p>
        </w:tc>
        <w:tc>
          <w:tcPr>
            <w:tcW w:w="529" w:type="pct"/>
            <w:tcBorders>
              <w:top w:val="nil"/>
              <w:left w:val="nil"/>
              <w:bottom w:val="nil"/>
              <w:right w:val="nil"/>
            </w:tcBorders>
            <w:shd w:val="clear" w:color="000000" w:fill="FFFFFF"/>
            <w:noWrap/>
            <w:vAlign w:val="center"/>
            <w:hideMark/>
          </w:tcPr>
          <w:p w14:paraId="0A48CB7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1.213</w:t>
            </w:r>
          </w:p>
        </w:tc>
        <w:tc>
          <w:tcPr>
            <w:tcW w:w="529" w:type="pct"/>
            <w:tcBorders>
              <w:top w:val="nil"/>
              <w:left w:val="nil"/>
              <w:bottom w:val="nil"/>
              <w:right w:val="nil"/>
            </w:tcBorders>
            <w:shd w:val="clear" w:color="000000" w:fill="FFFFFF"/>
            <w:noWrap/>
            <w:vAlign w:val="center"/>
            <w:hideMark/>
          </w:tcPr>
          <w:p w14:paraId="25B26B7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w:t>
            </w:r>
          </w:p>
        </w:tc>
        <w:tc>
          <w:tcPr>
            <w:tcW w:w="529" w:type="pct"/>
            <w:tcBorders>
              <w:top w:val="nil"/>
              <w:left w:val="nil"/>
              <w:bottom w:val="nil"/>
              <w:right w:val="nil"/>
            </w:tcBorders>
            <w:shd w:val="clear" w:color="000000" w:fill="FFFFFF"/>
            <w:noWrap/>
            <w:vAlign w:val="center"/>
            <w:hideMark/>
          </w:tcPr>
          <w:p w14:paraId="48D0DEB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33" w:type="pct"/>
            <w:tcBorders>
              <w:top w:val="nil"/>
              <w:left w:val="nil"/>
              <w:bottom w:val="nil"/>
              <w:right w:val="single" w:sz="4" w:space="0" w:color="auto"/>
            </w:tcBorders>
            <w:shd w:val="clear" w:color="000000" w:fill="FFFFFF"/>
            <w:noWrap/>
            <w:vAlign w:val="center"/>
            <w:hideMark/>
          </w:tcPr>
          <w:p w14:paraId="0FFDC8D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22" w:type="pct"/>
            <w:tcBorders>
              <w:top w:val="nil"/>
              <w:left w:val="nil"/>
              <w:bottom w:val="nil"/>
              <w:right w:val="nil"/>
            </w:tcBorders>
            <w:shd w:val="clear" w:color="000000" w:fill="FFFFFF"/>
            <w:noWrap/>
            <w:vAlign w:val="center"/>
            <w:hideMark/>
          </w:tcPr>
          <w:p w14:paraId="160E7ADC"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11.977</w:t>
            </w:r>
          </w:p>
        </w:tc>
        <w:tc>
          <w:tcPr>
            <w:tcW w:w="374" w:type="pct"/>
            <w:tcBorders>
              <w:top w:val="nil"/>
              <w:left w:val="single" w:sz="4" w:space="0" w:color="auto"/>
              <w:bottom w:val="nil"/>
              <w:right w:val="single" w:sz="4" w:space="0" w:color="auto"/>
            </w:tcBorders>
            <w:shd w:val="clear" w:color="000000" w:fill="FFFFFF"/>
            <w:noWrap/>
            <w:vAlign w:val="center"/>
            <w:hideMark/>
          </w:tcPr>
          <w:p w14:paraId="448BF77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4C3307" w:rsidRPr="00650EE4" w14:paraId="457C7BC4" w14:textId="77777777" w:rsidTr="00F45BD1">
        <w:tc>
          <w:tcPr>
            <w:tcW w:w="102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32229A"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29" w:type="pct"/>
            <w:tcBorders>
              <w:top w:val="single" w:sz="4" w:space="0" w:color="auto"/>
              <w:left w:val="nil"/>
              <w:bottom w:val="single" w:sz="4" w:space="0" w:color="auto"/>
              <w:right w:val="nil"/>
            </w:tcBorders>
            <w:shd w:val="clear" w:color="000000" w:fill="F2F2F2"/>
            <w:noWrap/>
            <w:vAlign w:val="center"/>
            <w:hideMark/>
          </w:tcPr>
          <w:p w14:paraId="29661E9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12.339</w:t>
            </w:r>
          </w:p>
        </w:tc>
        <w:tc>
          <w:tcPr>
            <w:tcW w:w="529" w:type="pct"/>
            <w:tcBorders>
              <w:top w:val="single" w:sz="4" w:space="0" w:color="auto"/>
              <w:left w:val="nil"/>
              <w:bottom w:val="single" w:sz="4" w:space="0" w:color="auto"/>
              <w:right w:val="nil"/>
            </w:tcBorders>
            <w:shd w:val="clear" w:color="000000" w:fill="F2F2F2"/>
            <w:noWrap/>
            <w:vAlign w:val="center"/>
            <w:hideMark/>
          </w:tcPr>
          <w:p w14:paraId="4DAFC2D2"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1.176</w:t>
            </w:r>
          </w:p>
        </w:tc>
        <w:tc>
          <w:tcPr>
            <w:tcW w:w="529" w:type="pct"/>
            <w:tcBorders>
              <w:top w:val="single" w:sz="4" w:space="0" w:color="auto"/>
              <w:left w:val="nil"/>
              <w:bottom w:val="single" w:sz="4" w:space="0" w:color="auto"/>
              <w:right w:val="nil"/>
            </w:tcBorders>
            <w:shd w:val="clear" w:color="000000" w:fill="F2F2F2"/>
            <w:noWrap/>
            <w:vAlign w:val="center"/>
            <w:hideMark/>
          </w:tcPr>
          <w:p w14:paraId="6AD1CED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1.300</w:t>
            </w:r>
          </w:p>
        </w:tc>
        <w:tc>
          <w:tcPr>
            <w:tcW w:w="529" w:type="pct"/>
            <w:tcBorders>
              <w:top w:val="single" w:sz="4" w:space="0" w:color="auto"/>
              <w:left w:val="nil"/>
              <w:bottom w:val="single" w:sz="4" w:space="0" w:color="auto"/>
              <w:right w:val="nil"/>
            </w:tcBorders>
            <w:shd w:val="clear" w:color="000000" w:fill="F2F2F2"/>
            <w:noWrap/>
            <w:vAlign w:val="center"/>
            <w:hideMark/>
          </w:tcPr>
          <w:p w14:paraId="0DF85B02"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149</w:t>
            </w:r>
          </w:p>
        </w:tc>
        <w:tc>
          <w:tcPr>
            <w:tcW w:w="529" w:type="pct"/>
            <w:tcBorders>
              <w:top w:val="single" w:sz="4" w:space="0" w:color="auto"/>
              <w:left w:val="nil"/>
              <w:bottom w:val="single" w:sz="4" w:space="0" w:color="auto"/>
              <w:right w:val="nil"/>
            </w:tcBorders>
            <w:shd w:val="clear" w:color="000000" w:fill="F2F2F2"/>
            <w:noWrap/>
            <w:vAlign w:val="center"/>
            <w:hideMark/>
          </w:tcPr>
          <w:p w14:paraId="0BC81400"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55</w:t>
            </w:r>
          </w:p>
        </w:tc>
        <w:tc>
          <w:tcPr>
            <w:tcW w:w="533" w:type="pct"/>
            <w:tcBorders>
              <w:top w:val="single" w:sz="4" w:space="0" w:color="auto"/>
              <w:left w:val="nil"/>
              <w:bottom w:val="single" w:sz="4" w:space="0" w:color="auto"/>
              <w:right w:val="single" w:sz="4" w:space="0" w:color="auto"/>
            </w:tcBorders>
            <w:shd w:val="clear" w:color="000000" w:fill="F2F2F2"/>
            <w:noWrap/>
            <w:vAlign w:val="center"/>
            <w:hideMark/>
          </w:tcPr>
          <w:p w14:paraId="15B4074A"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w:t>
            </w:r>
          </w:p>
        </w:tc>
        <w:tc>
          <w:tcPr>
            <w:tcW w:w="422" w:type="pct"/>
            <w:tcBorders>
              <w:top w:val="single" w:sz="4" w:space="0" w:color="auto"/>
              <w:left w:val="nil"/>
              <w:bottom w:val="single" w:sz="4" w:space="0" w:color="auto"/>
              <w:right w:val="nil"/>
            </w:tcBorders>
            <w:shd w:val="clear" w:color="000000" w:fill="F2F2F2"/>
            <w:noWrap/>
            <w:vAlign w:val="center"/>
            <w:hideMark/>
          </w:tcPr>
          <w:p w14:paraId="368859B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15.031</w:t>
            </w:r>
          </w:p>
        </w:tc>
        <w:tc>
          <w:tcPr>
            <w:tcW w:w="37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E63498"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37%</w:t>
            </w:r>
          </w:p>
        </w:tc>
      </w:tr>
      <w:tr w:rsidR="00732FB5" w:rsidRPr="00650EE4" w14:paraId="4C0BFE60" w14:textId="77777777" w:rsidTr="00F45BD1">
        <w:tc>
          <w:tcPr>
            <w:tcW w:w="1026" w:type="pct"/>
            <w:tcBorders>
              <w:top w:val="nil"/>
              <w:left w:val="single" w:sz="4" w:space="0" w:color="auto"/>
              <w:bottom w:val="nil"/>
              <w:right w:val="nil"/>
            </w:tcBorders>
            <w:shd w:val="clear" w:color="000000" w:fill="FFFFFF"/>
            <w:noWrap/>
            <w:vAlign w:val="center"/>
            <w:hideMark/>
          </w:tcPr>
          <w:p w14:paraId="53A4F228"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29" w:type="pct"/>
            <w:tcBorders>
              <w:top w:val="nil"/>
              <w:left w:val="single" w:sz="4" w:space="0" w:color="auto"/>
              <w:bottom w:val="nil"/>
              <w:right w:val="nil"/>
            </w:tcBorders>
            <w:shd w:val="clear" w:color="000000" w:fill="FFFFFF"/>
            <w:noWrap/>
            <w:vAlign w:val="center"/>
            <w:hideMark/>
          </w:tcPr>
          <w:p w14:paraId="79EACE3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6.552</w:t>
            </w:r>
          </w:p>
        </w:tc>
        <w:tc>
          <w:tcPr>
            <w:tcW w:w="529" w:type="pct"/>
            <w:tcBorders>
              <w:top w:val="nil"/>
              <w:left w:val="nil"/>
              <w:bottom w:val="nil"/>
              <w:right w:val="nil"/>
            </w:tcBorders>
            <w:shd w:val="clear" w:color="000000" w:fill="FFFFFF"/>
            <w:noWrap/>
            <w:vAlign w:val="center"/>
            <w:hideMark/>
          </w:tcPr>
          <w:p w14:paraId="3FF5B3C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252</w:t>
            </w:r>
          </w:p>
        </w:tc>
        <w:tc>
          <w:tcPr>
            <w:tcW w:w="529" w:type="pct"/>
            <w:tcBorders>
              <w:top w:val="nil"/>
              <w:left w:val="nil"/>
              <w:bottom w:val="nil"/>
              <w:right w:val="nil"/>
            </w:tcBorders>
            <w:shd w:val="clear" w:color="000000" w:fill="FFFFFF"/>
            <w:noWrap/>
            <w:vAlign w:val="center"/>
            <w:hideMark/>
          </w:tcPr>
          <w:p w14:paraId="4FFDA73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379</w:t>
            </w:r>
          </w:p>
        </w:tc>
        <w:tc>
          <w:tcPr>
            <w:tcW w:w="529" w:type="pct"/>
            <w:tcBorders>
              <w:top w:val="nil"/>
              <w:left w:val="nil"/>
              <w:bottom w:val="nil"/>
              <w:right w:val="nil"/>
            </w:tcBorders>
            <w:shd w:val="clear" w:color="000000" w:fill="FFFFFF"/>
            <w:noWrap/>
            <w:vAlign w:val="center"/>
            <w:hideMark/>
          </w:tcPr>
          <w:p w14:paraId="5103BF7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529" w:type="pct"/>
            <w:tcBorders>
              <w:top w:val="nil"/>
              <w:left w:val="nil"/>
              <w:bottom w:val="nil"/>
              <w:right w:val="nil"/>
            </w:tcBorders>
            <w:shd w:val="clear" w:color="000000" w:fill="FFFFFF"/>
            <w:noWrap/>
            <w:vAlign w:val="center"/>
            <w:hideMark/>
          </w:tcPr>
          <w:p w14:paraId="17D6238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33" w:type="pct"/>
            <w:tcBorders>
              <w:top w:val="nil"/>
              <w:left w:val="nil"/>
              <w:bottom w:val="nil"/>
              <w:right w:val="single" w:sz="4" w:space="0" w:color="auto"/>
            </w:tcBorders>
            <w:shd w:val="clear" w:color="000000" w:fill="FFFFFF"/>
            <w:noWrap/>
            <w:vAlign w:val="center"/>
            <w:hideMark/>
          </w:tcPr>
          <w:p w14:paraId="0D1EF62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22" w:type="pct"/>
            <w:tcBorders>
              <w:top w:val="nil"/>
              <w:left w:val="nil"/>
              <w:bottom w:val="nil"/>
              <w:right w:val="nil"/>
            </w:tcBorders>
            <w:shd w:val="clear" w:color="000000" w:fill="FFFFFF"/>
            <w:noWrap/>
            <w:vAlign w:val="center"/>
            <w:hideMark/>
          </w:tcPr>
          <w:p w14:paraId="77D6CBED"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7.267</w:t>
            </w:r>
          </w:p>
        </w:tc>
        <w:tc>
          <w:tcPr>
            <w:tcW w:w="374" w:type="pct"/>
            <w:tcBorders>
              <w:top w:val="nil"/>
              <w:left w:val="single" w:sz="4" w:space="0" w:color="auto"/>
              <w:bottom w:val="nil"/>
              <w:right w:val="single" w:sz="4" w:space="0" w:color="auto"/>
            </w:tcBorders>
            <w:shd w:val="clear" w:color="000000" w:fill="FFFFFF"/>
            <w:noWrap/>
            <w:vAlign w:val="center"/>
            <w:hideMark/>
          </w:tcPr>
          <w:p w14:paraId="065A2A0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732FB5" w:rsidRPr="00650EE4" w14:paraId="59E8466C" w14:textId="77777777" w:rsidTr="00F45BD1">
        <w:tc>
          <w:tcPr>
            <w:tcW w:w="1026" w:type="pct"/>
            <w:tcBorders>
              <w:top w:val="nil"/>
              <w:left w:val="single" w:sz="4" w:space="0" w:color="auto"/>
              <w:bottom w:val="nil"/>
              <w:right w:val="nil"/>
            </w:tcBorders>
            <w:shd w:val="clear" w:color="000000" w:fill="FFFFFF"/>
            <w:noWrap/>
            <w:vAlign w:val="center"/>
            <w:hideMark/>
          </w:tcPr>
          <w:p w14:paraId="032A97E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29" w:type="pct"/>
            <w:tcBorders>
              <w:top w:val="nil"/>
              <w:left w:val="single" w:sz="4" w:space="0" w:color="auto"/>
              <w:bottom w:val="nil"/>
              <w:right w:val="nil"/>
            </w:tcBorders>
            <w:shd w:val="clear" w:color="000000" w:fill="FFFFFF"/>
            <w:noWrap/>
            <w:vAlign w:val="center"/>
            <w:hideMark/>
          </w:tcPr>
          <w:p w14:paraId="1412F38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1.810</w:t>
            </w:r>
          </w:p>
        </w:tc>
        <w:tc>
          <w:tcPr>
            <w:tcW w:w="529" w:type="pct"/>
            <w:tcBorders>
              <w:top w:val="nil"/>
              <w:left w:val="nil"/>
              <w:bottom w:val="nil"/>
              <w:right w:val="nil"/>
            </w:tcBorders>
            <w:shd w:val="clear" w:color="000000" w:fill="FFFFFF"/>
            <w:noWrap/>
            <w:vAlign w:val="center"/>
            <w:hideMark/>
          </w:tcPr>
          <w:p w14:paraId="3616589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529" w:type="pct"/>
            <w:tcBorders>
              <w:top w:val="nil"/>
              <w:left w:val="nil"/>
              <w:bottom w:val="nil"/>
              <w:right w:val="nil"/>
            </w:tcBorders>
            <w:shd w:val="clear" w:color="000000" w:fill="FFFFFF"/>
            <w:noWrap/>
            <w:vAlign w:val="center"/>
            <w:hideMark/>
          </w:tcPr>
          <w:p w14:paraId="1252819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529" w:type="pct"/>
            <w:tcBorders>
              <w:top w:val="nil"/>
              <w:left w:val="nil"/>
              <w:bottom w:val="nil"/>
              <w:right w:val="nil"/>
            </w:tcBorders>
            <w:shd w:val="clear" w:color="000000" w:fill="FFFFFF"/>
            <w:noWrap/>
            <w:vAlign w:val="center"/>
            <w:hideMark/>
          </w:tcPr>
          <w:p w14:paraId="024134D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529" w:type="pct"/>
            <w:tcBorders>
              <w:top w:val="nil"/>
              <w:left w:val="nil"/>
              <w:bottom w:val="nil"/>
              <w:right w:val="nil"/>
            </w:tcBorders>
            <w:shd w:val="clear" w:color="000000" w:fill="FFFFFF"/>
            <w:noWrap/>
            <w:vAlign w:val="center"/>
            <w:hideMark/>
          </w:tcPr>
          <w:p w14:paraId="1A944F6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33" w:type="pct"/>
            <w:tcBorders>
              <w:top w:val="nil"/>
              <w:left w:val="nil"/>
              <w:bottom w:val="nil"/>
              <w:right w:val="single" w:sz="4" w:space="0" w:color="auto"/>
            </w:tcBorders>
            <w:shd w:val="clear" w:color="000000" w:fill="FFFFFF"/>
            <w:noWrap/>
            <w:vAlign w:val="center"/>
            <w:hideMark/>
          </w:tcPr>
          <w:p w14:paraId="46B6161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5279E5F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2.179</w:t>
            </w:r>
          </w:p>
        </w:tc>
        <w:tc>
          <w:tcPr>
            <w:tcW w:w="374" w:type="pct"/>
            <w:tcBorders>
              <w:top w:val="nil"/>
              <w:left w:val="single" w:sz="4" w:space="0" w:color="auto"/>
              <w:bottom w:val="nil"/>
              <w:right w:val="single" w:sz="4" w:space="0" w:color="auto"/>
            </w:tcBorders>
            <w:shd w:val="clear" w:color="000000" w:fill="FFFFFF"/>
            <w:noWrap/>
            <w:vAlign w:val="center"/>
            <w:hideMark/>
          </w:tcPr>
          <w:p w14:paraId="29771EE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732FB5" w:rsidRPr="00650EE4" w14:paraId="3EC9BE83" w14:textId="77777777" w:rsidTr="00F45BD1">
        <w:tc>
          <w:tcPr>
            <w:tcW w:w="1026" w:type="pct"/>
            <w:tcBorders>
              <w:top w:val="nil"/>
              <w:left w:val="single" w:sz="4" w:space="0" w:color="auto"/>
              <w:bottom w:val="nil"/>
              <w:right w:val="nil"/>
            </w:tcBorders>
            <w:shd w:val="clear" w:color="000000" w:fill="FFFFFF"/>
            <w:noWrap/>
            <w:vAlign w:val="center"/>
            <w:hideMark/>
          </w:tcPr>
          <w:p w14:paraId="3EE28F4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29" w:type="pct"/>
            <w:tcBorders>
              <w:top w:val="nil"/>
              <w:left w:val="single" w:sz="4" w:space="0" w:color="auto"/>
              <w:bottom w:val="nil"/>
              <w:right w:val="nil"/>
            </w:tcBorders>
            <w:shd w:val="clear" w:color="000000" w:fill="FFFFFF"/>
            <w:noWrap/>
            <w:vAlign w:val="center"/>
            <w:hideMark/>
          </w:tcPr>
          <w:p w14:paraId="149F5BC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1.216</w:t>
            </w:r>
          </w:p>
        </w:tc>
        <w:tc>
          <w:tcPr>
            <w:tcW w:w="529" w:type="pct"/>
            <w:tcBorders>
              <w:top w:val="nil"/>
              <w:left w:val="nil"/>
              <w:bottom w:val="nil"/>
              <w:right w:val="nil"/>
            </w:tcBorders>
            <w:shd w:val="clear" w:color="000000" w:fill="FFFFFF"/>
            <w:noWrap/>
            <w:vAlign w:val="center"/>
            <w:hideMark/>
          </w:tcPr>
          <w:p w14:paraId="4091AC7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256</w:t>
            </w:r>
          </w:p>
        </w:tc>
        <w:tc>
          <w:tcPr>
            <w:tcW w:w="529" w:type="pct"/>
            <w:tcBorders>
              <w:top w:val="nil"/>
              <w:left w:val="nil"/>
              <w:bottom w:val="nil"/>
              <w:right w:val="nil"/>
            </w:tcBorders>
            <w:shd w:val="clear" w:color="000000" w:fill="FFFFFF"/>
            <w:noWrap/>
            <w:vAlign w:val="center"/>
            <w:hideMark/>
          </w:tcPr>
          <w:p w14:paraId="2F92987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w:t>
            </w:r>
          </w:p>
        </w:tc>
        <w:tc>
          <w:tcPr>
            <w:tcW w:w="529" w:type="pct"/>
            <w:tcBorders>
              <w:top w:val="nil"/>
              <w:left w:val="nil"/>
              <w:bottom w:val="nil"/>
              <w:right w:val="nil"/>
            </w:tcBorders>
            <w:shd w:val="clear" w:color="000000" w:fill="FFFFFF"/>
            <w:noWrap/>
            <w:vAlign w:val="center"/>
            <w:hideMark/>
          </w:tcPr>
          <w:p w14:paraId="25EFE66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9" w:type="pct"/>
            <w:tcBorders>
              <w:top w:val="nil"/>
              <w:left w:val="nil"/>
              <w:bottom w:val="nil"/>
              <w:right w:val="nil"/>
            </w:tcBorders>
            <w:shd w:val="clear" w:color="000000" w:fill="FFFFFF"/>
            <w:noWrap/>
            <w:vAlign w:val="center"/>
            <w:hideMark/>
          </w:tcPr>
          <w:p w14:paraId="7F66905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33" w:type="pct"/>
            <w:tcBorders>
              <w:top w:val="nil"/>
              <w:left w:val="nil"/>
              <w:bottom w:val="nil"/>
              <w:right w:val="single" w:sz="4" w:space="0" w:color="auto"/>
            </w:tcBorders>
            <w:shd w:val="clear" w:color="000000" w:fill="FFFFFF"/>
            <w:noWrap/>
            <w:vAlign w:val="center"/>
            <w:hideMark/>
          </w:tcPr>
          <w:p w14:paraId="1CBD8AF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2E89FD2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1.599</w:t>
            </w:r>
          </w:p>
        </w:tc>
        <w:tc>
          <w:tcPr>
            <w:tcW w:w="374" w:type="pct"/>
            <w:tcBorders>
              <w:top w:val="nil"/>
              <w:left w:val="single" w:sz="4" w:space="0" w:color="auto"/>
              <w:bottom w:val="nil"/>
              <w:right w:val="single" w:sz="4" w:space="0" w:color="auto"/>
            </w:tcBorders>
            <w:shd w:val="clear" w:color="000000" w:fill="FFFFFF"/>
            <w:noWrap/>
            <w:vAlign w:val="center"/>
            <w:hideMark/>
          </w:tcPr>
          <w:p w14:paraId="7EC0A01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r>
      <w:tr w:rsidR="00732FB5" w:rsidRPr="00650EE4" w14:paraId="6EF90195" w14:textId="77777777" w:rsidTr="00F45BD1">
        <w:tc>
          <w:tcPr>
            <w:tcW w:w="1026" w:type="pct"/>
            <w:tcBorders>
              <w:top w:val="nil"/>
              <w:left w:val="single" w:sz="4" w:space="0" w:color="auto"/>
              <w:bottom w:val="nil"/>
              <w:right w:val="nil"/>
            </w:tcBorders>
            <w:shd w:val="clear" w:color="000000" w:fill="FFFFFF"/>
            <w:noWrap/>
            <w:vAlign w:val="center"/>
            <w:hideMark/>
          </w:tcPr>
          <w:p w14:paraId="5C9E77B0"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29" w:type="pct"/>
            <w:tcBorders>
              <w:top w:val="nil"/>
              <w:left w:val="single" w:sz="4" w:space="0" w:color="auto"/>
              <w:bottom w:val="nil"/>
              <w:right w:val="nil"/>
            </w:tcBorders>
            <w:shd w:val="clear" w:color="000000" w:fill="FFFFFF"/>
            <w:noWrap/>
            <w:vAlign w:val="center"/>
            <w:hideMark/>
          </w:tcPr>
          <w:p w14:paraId="46627B7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858</w:t>
            </w:r>
          </w:p>
        </w:tc>
        <w:tc>
          <w:tcPr>
            <w:tcW w:w="529" w:type="pct"/>
            <w:tcBorders>
              <w:top w:val="nil"/>
              <w:left w:val="nil"/>
              <w:bottom w:val="nil"/>
              <w:right w:val="nil"/>
            </w:tcBorders>
            <w:shd w:val="clear" w:color="000000" w:fill="FFFFFF"/>
            <w:noWrap/>
            <w:vAlign w:val="center"/>
            <w:hideMark/>
          </w:tcPr>
          <w:p w14:paraId="4B269C7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529" w:type="pct"/>
            <w:tcBorders>
              <w:top w:val="nil"/>
              <w:left w:val="nil"/>
              <w:bottom w:val="nil"/>
              <w:right w:val="nil"/>
            </w:tcBorders>
            <w:shd w:val="clear" w:color="000000" w:fill="FFFFFF"/>
            <w:noWrap/>
            <w:vAlign w:val="center"/>
            <w:hideMark/>
          </w:tcPr>
          <w:p w14:paraId="234CF86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326</w:t>
            </w:r>
          </w:p>
        </w:tc>
        <w:tc>
          <w:tcPr>
            <w:tcW w:w="529" w:type="pct"/>
            <w:tcBorders>
              <w:top w:val="nil"/>
              <w:left w:val="nil"/>
              <w:bottom w:val="nil"/>
              <w:right w:val="nil"/>
            </w:tcBorders>
            <w:shd w:val="clear" w:color="000000" w:fill="FFFFFF"/>
            <w:noWrap/>
            <w:vAlign w:val="center"/>
            <w:hideMark/>
          </w:tcPr>
          <w:p w14:paraId="5AE1DD8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9" w:type="pct"/>
            <w:tcBorders>
              <w:top w:val="nil"/>
              <w:left w:val="nil"/>
              <w:bottom w:val="nil"/>
              <w:right w:val="nil"/>
            </w:tcBorders>
            <w:shd w:val="clear" w:color="000000" w:fill="FFFFFF"/>
            <w:noWrap/>
            <w:vAlign w:val="center"/>
            <w:hideMark/>
          </w:tcPr>
          <w:p w14:paraId="25FC960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3" w:type="pct"/>
            <w:tcBorders>
              <w:top w:val="nil"/>
              <w:left w:val="nil"/>
              <w:bottom w:val="nil"/>
              <w:right w:val="single" w:sz="4" w:space="0" w:color="auto"/>
            </w:tcBorders>
            <w:shd w:val="clear" w:color="000000" w:fill="FFFFFF"/>
            <w:noWrap/>
            <w:vAlign w:val="center"/>
            <w:hideMark/>
          </w:tcPr>
          <w:p w14:paraId="661377E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13EBED6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1.361</w:t>
            </w:r>
          </w:p>
        </w:tc>
        <w:tc>
          <w:tcPr>
            <w:tcW w:w="374" w:type="pct"/>
            <w:tcBorders>
              <w:top w:val="nil"/>
              <w:left w:val="single" w:sz="4" w:space="0" w:color="auto"/>
              <w:bottom w:val="nil"/>
              <w:right w:val="single" w:sz="4" w:space="0" w:color="auto"/>
            </w:tcBorders>
            <w:shd w:val="clear" w:color="000000" w:fill="FFFFFF"/>
            <w:noWrap/>
            <w:vAlign w:val="center"/>
            <w:hideMark/>
          </w:tcPr>
          <w:p w14:paraId="5D0048E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r>
      <w:tr w:rsidR="00732FB5" w:rsidRPr="00650EE4" w14:paraId="383F619D" w14:textId="77777777" w:rsidTr="00F45BD1">
        <w:tc>
          <w:tcPr>
            <w:tcW w:w="1026" w:type="pct"/>
            <w:tcBorders>
              <w:top w:val="nil"/>
              <w:left w:val="single" w:sz="4" w:space="0" w:color="auto"/>
              <w:bottom w:val="nil"/>
              <w:right w:val="nil"/>
            </w:tcBorders>
            <w:shd w:val="clear" w:color="000000" w:fill="FFFFFF"/>
            <w:noWrap/>
            <w:vAlign w:val="center"/>
            <w:hideMark/>
          </w:tcPr>
          <w:p w14:paraId="61BE982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29" w:type="pct"/>
            <w:tcBorders>
              <w:top w:val="nil"/>
              <w:left w:val="single" w:sz="4" w:space="0" w:color="auto"/>
              <w:bottom w:val="nil"/>
              <w:right w:val="nil"/>
            </w:tcBorders>
            <w:shd w:val="clear" w:color="000000" w:fill="FFFFFF"/>
            <w:noWrap/>
            <w:vAlign w:val="center"/>
            <w:hideMark/>
          </w:tcPr>
          <w:p w14:paraId="67E0071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440</w:t>
            </w:r>
          </w:p>
        </w:tc>
        <w:tc>
          <w:tcPr>
            <w:tcW w:w="529" w:type="pct"/>
            <w:tcBorders>
              <w:top w:val="nil"/>
              <w:left w:val="nil"/>
              <w:bottom w:val="nil"/>
              <w:right w:val="nil"/>
            </w:tcBorders>
            <w:shd w:val="clear" w:color="000000" w:fill="FFFFFF"/>
            <w:noWrap/>
            <w:vAlign w:val="center"/>
            <w:hideMark/>
          </w:tcPr>
          <w:p w14:paraId="187C6E3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29" w:type="pct"/>
            <w:tcBorders>
              <w:top w:val="nil"/>
              <w:left w:val="nil"/>
              <w:bottom w:val="nil"/>
              <w:right w:val="nil"/>
            </w:tcBorders>
            <w:shd w:val="clear" w:color="000000" w:fill="FFFFFF"/>
            <w:noWrap/>
            <w:vAlign w:val="center"/>
            <w:hideMark/>
          </w:tcPr>
          <w:p w14:paraId="789D400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c>
          <w:tcPr>
            <w:tcW w:w="529" w:type="pct"/>
            <w:tcBorders>
              <w:top w:val="nil"/>
              <w:left w:val="nil"/>
              <w:bottom w:val="nil"/>
              <w:right w:val="nil"/>
            </w:tcBorders>
            <w:shd w:val="clear" w:color="000000" w:fill="FFFFFF"/>
            <w:noWrap/>
            <w:vAlign w:val="center"/>
            <w:hideMark/>
          </w:tcPr>
          <w:p w14:paraId="43ADEC5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9" w:type="pct"/>
            <w:tcBorders>
              <w:top w:val="nil"/>
              <w:left w:val="nil"/>
              <w:bottom w:val="nil"/>
              <w:right w:val="nil"/>
            </w:tcBorders>
            <w:shd w:val="clear" w:color="000000" w:fill="FFFFFF"/>
            <w:noWrap/>
            <w:vAlign w:val="center"/>
            <w:hideMark/>
          </w:tcPr>
          <w:p w14:paraId="024F938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33" w:type="pct"/>
            <w:tcBorders>
              <w:top w:val="nil"/>
              <w:left w:val="nil"/>
              <w:bottom w:val="nil"/>
              <w:right w:val="single" w:sz="4" w:space="0" w:color="auto"/>
            </w:tcBorders>
            <w:shd w:val="clear" w:color="000000" w:fill="FFFFFF"/>
            <w:noWrap/>
            <w:vAlign w:val="center"/>
            <w:hideMark/>
          </w:tcPr>
          <w:p w14:paraId="41DA788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754FBE5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653</w:t>
            </w:r>
          </w:p>
        </w:tc>
        <w:tc>
          <w:tcPr>
            <w:tcW w:w="374" w:type="pct"/>
            <w:tcBorders>
              <w:top w:val="nil"/>
              <w:left w:val="single" w:sz="4" w:space="0" w:color="auto"/>
              <w:bottom w:val="nil"/>
              <w:right w:val="single" w:sz="4" w:space="0" w:color="auto"/>
            </w:tcBorders>
            <w:shd w:val="clear" w:color="000000" w:fill="FFFFFF"/>
            <w:noWrap/>
            <w:vAlign w:val="center"/>
            <w:hideMark/>
          </w:tcPr>
          <w:p w14:paraId="0F472AB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732FB5" w:rsidRPr="00650EE4" w14:paraId="23616719" w14:textId="77777777" w:rsidTr="00F45BD1">
        <w:tc>
          <w:tcPr>
            <w:tcW w:w="1026" w:type="pct"/>
            <w:tcBorders>
              <w:top w:val="nil"/>
              <w:left w:val="single" w:sz="4" w:space="0" w:color="auto"/>
              <w:bottom w:val="nil"/>
              <w:right w:val="nil"/>
            </w:tcBorders>
            <w:shd w:val="clear" w:color="000000" w:fill="FFFFFF"/>
            <w:noWrap/>
            <w:vAlign w:val="center"/>
            <w:hideMark/>
          </w:tcPr>
          <w:p w14:paraId="72908C6A"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29" w:type="pct"/>
            <w:tcBorders>
              <w:top w:val="nil"/>
              <w:left w:val="single" w:sz="4" w:space="0" w:color="auto"/>
              <w:bottom w:val="nil"/>
              <w:right w:val="nil"/>
            </w:tcBorders>
            <w:shd w:val="clear" w:color="000000" w:fill="FFFFFF"/>
            <w:noWrap/>
            <w:vAlign w:val="center"/>
            <w:hideMark/>
          </w:tcPr>
          <w:p w14:paraId="2E67AA2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337</w:t>
            </w:r>
          </w:p>
        </w:tc>
        <w:tc>
          <w:tcPr>
            <w:tcW w:w="529" w:type="pct"/>
            <w:tcBorders>
              <w:top w:val="nil"/>
              <w:left w:val="nil"/>
              <w:bottom w:val="nil"/>
              <w:right w:val="nil"/>
            </w:tcBorders>
            <w:shd w:val="clear" w:color="000000" w:fill="FFFFFF"/>
            <w:noWrap/>
            <w:vAlign w:val="center"/>
            <w:hideMark/>
          </w:tcPr>
          <w:p w14:paraId="59F8814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529" w:type="pct"/>
            <w:tcBorders>
              <w:top w:val="nil"/>
              <w:left w:val="nil"/>
              <w:bottom w:val="nil"/>
              <w:right w:val="nil"/>
            </w:tcBorders>
            <w:shd w:val="clear" w:color="000000" w:fill="FFFFFF"/>
            <w:noWrap/>
            <w:vAlign w:val="center"/>
            <w:hideMark/>
          </w:tcPr>
          <w:p w14:paraId="2D85319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c>
          <w:tcPr>
            <w:tcW w:w="529" w:type="pct"/>
            <w:tcBorders>
              <w:top w:val="nil"/>
              <w:left w:val="nil"/>
              <w:bottom w:val="nil"/>
              <w:right w:val="nil"/>
            </w:tcBorders>
            <w:shd w:val="clear" w:color="000000" w:fill="FFFFFF"/>
            <w:noWrap/>
            <w:vAlign w:val="center"/>
            <w:hideMark/>
          </w:tcPr>
          <w:p w14:paraId="69CCB77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29" w:type="pct"/>
            <w:tcBorders>
              <w:top w:val="nil"/>
              <w:left w:val="nil"/>
              <w:bottom w:val="nil"/>
              <w:right w:val="nil"/>
            </w:tcBorders>
            <w:shd w:val="clear" w:color="000000" w:fill="FFFFFF"/>
            <w:noWrap/>
            <w:vAlign w:val="center"/>
            <w:hideMark/>
          </w:tcPr>
          <w:p w14:paraId="6DA8086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33" w:type="pct"/>
            <w:tcBorders>
              <w:top w:val="nil"/>
              <w:left w:val="nil"/>
              <w:bottom w:val="nil"/>
              <w:right w:val="single" w:sz="4" w:space="0" w:color="auto"/>
            </w:tcBorders>
            <w:shd w:val="clear" w:color="000000" w:fill="FFFFFF"/>
            <w:noWrap/>
            <w:vAlign w:val="center"/>
            <w:hideMark/>
          </w:tcPr>
          <w:p w14:paraId="6256668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27A720A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568</w:t>
            </w:r>
          </w:p>
        </w:tc>
        <w:tc>
          <w:tcPr>
            <w:tcW w:w="374" w:type="pct"/>
            <w:tcBorders>
              <w:top w:val="nil"/>
              <w:left w:val="single" w:sz="4" w:space="0" w:color="auto"/>
              <w:bottom w:val="nil"/>
              <w:right w:val="single" w:sz="4" w:space="0" w:color="auto"/>
            </w:tcBorders>
            <w:shd w:val="clear" w:color="000000" w:fill="FFFFFF"/>
            <w:noWrap/>
            <w:vAlign w:val="center"/>
            <w:hideMark/>
          </w:tcPr>
          <w:p w14:paraId="519D876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r>
      <w:tr w:rsidR="00732FB5" w:rsidRPr="00650EE4" w14:paraId="3007CA70" w14:textId="77777777" w:rsidTr="00F45BD1">
        <w:tc>
          <w:tcPr>
            <w:tcW w:w="1026" w:type="pct"/>
            <w:tcBorders>
              <w:top w:val="nil"/>
              <w:left w:val="single" w:sz="4" w:space="0" w:color="auto"/>
              <w:bottom w:val="nil"/>
              <w:right w:val="nil"/>
            </w:tcBorders>
            <w:shd w:val="clear" w:color="000000" w:fill="FFFFFF"/>
            <w:noWrap/>
            <w:vAlign w:val="center"/>
            <w:hideMark/>
          </w:tcPr>
          <w:p w14:paraId="6ABCDF4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29" w:type="pct"/>
            <w:tcBorders>
              <w:top w:val="nil"/>
              <w:left w:val="single" w:sz="4" w:space="0" w:color="auto"/>
              <w:bottom w:val="nil"/>
              <w:right w:val="nil"/>
            </w:tcBorders>
            <w:shd w:val="clear" w:color="000000" w:fill="FFFFFF"/>
            <w:noWrap/>
            <w:vAlign w:val="center"/>
            <w:hideMark/>
          </w:tcPr>
          <w:p w14:paraId="6ACEA5A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437</w:t>
            </w:r>
          </w:p>
        </w:tc>
        <w:tc>
          <w:tcPr>
            <w:tcW w:w="529" w:type="pct"/>
            <w:tcBorders>
              <w:top w:val="nil"/>
              <w:left w:val="nil"/>
              <w:bottom w:val="nil"/>
              <w:right w:val="nil"/>
            </w:tcBorders>
            <w:shd w:val="clear" w:color="000000" w:fill="FFFFFF"/>
            <w:noWrap/>
            <w:vAlign w:val="center"/>
            <w:hideMark/>
          </w:tcPr>
          <w:p w14:paraId="14B598A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c>
          <w:tcPr>
            <w:tcW w:w="529" w:type="pct"/>
            <w:tcBorders>
              <w:top w:val="nil"/>
              <w:left w:val="nil"/>
              <w:bottom w:val="nil"/>
              <w:right w:val="nil"/>
            </w:tcBorders>
            <w:shd w:val="clear" w:color="000000" w:fill="FFFFFF"/>
            <w:noWrap/>
            <w:vAlign w:val="center"/>
            <w:hideMark/>
          </w:tcPr>
          <w:p w14:paraId="15AD7C0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29" w:type="pct"/>
            <w:tcBorders>
              <w:top w:val="nil"/>
              <w:left w:val="nil"/>
              <w:bottom w:val="nil"/>
              <w:right w:val="nil"/>
            </w:tcBorders>
            <w:shd w:val="clear" w:color="000000" w:fill="FFFFFF"/>
            <w:noWrap/>
            <w:vAlign w:val="center"/>
            <w:hideMark/>
          </w:tcPr>
          <w:p w14:paraId="3B7D12E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9" w:type="pct"/>
            <w:tcBorders>
              <w:top w:val="nil"/>
              <w:left w:val="nil"/>
              <w:bottom w:val="nil"/>
              <w:right w:val="nil"/>
            </w:tcBorders>
            <w:shd w:val="clear" w:color="000000" w:fill="FFFFFF"/>
            <w:noWrap/>
            <w:vAlign w:val="center"/>
            <w:hideMark/>
          </w:tcPr>
          <w:p w14:paraId="484C193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3" w:type="pct"/>
            <w:tcBorders>
              <w:top w:val="nil"/>
              <w:left w:val="nil"/>
              <w:bottom w:val="nil"/>
              <w:right w:val="single" w:sz="4" w:space="0" w:color="auto"/>
            </w:tcBorders>
            <w:shd w:val="clear" w:color="000000" w:fill="FFFFFF"/>
            <w:noWrap/>
            <w:vAlign w:val="center"/>
            <w:hideMark/>
          </w:tcPr>
          <w:p w14:paraId="2A711EC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50B6045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503</w:t>
            </w:r>
          </w:p>
        </w:tc>
        <w:tc>
          <w:tcPr>
            <w:tcW w:w="374" w:type="pct"/>
            <w:tcBorders>
              <w:top w:val="nil"/>
              <w:left w:val="single" w:sz="4" w:space="0" w:color="auto"/>
              <w:bottom w:val="nil"/>
              <w:right w:val="single" w:sz="4" w:space="0" w:color="auto"/>
            </w:tcBorders>
            <w:shd w:val="clear" w:color="000000" w:fill="FFFFFF"/>
            <w:noWrap/>
            <w:vAlign w:val="center"/>
            <w:hideMark/>
          </w:tcPr>
          <w:p w14:paraId="71D268B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732FB5" w:rsidRPr="00650EE4" w14:paraId="57644C90" w14:textId="77777777" w:rsidTr="00F45BD1">
        <w:tc>
          <w:tcPr>
            <w:tcW w:w="1026" w:type="pct"/>
            <w:tcBorders>
              <w:top w:val="nil"/>
              <w:left w:val="single" w:sz="4" w:space="0" w:color="auto"/>
              <w:bottom w:val="nil"/>
              <w:right w:val="nil"/>
            </w:tcBorders>
            <w:shd w:val="clear" w:color="000000" w:fill="FFFFFF"/>
            <w:noWrap/>
            <w:vAlign w:val="center"/>
            <w:hideMark/>
          </w:tcPr>
          <w:p w14:paraId="35EDE6B5"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29" w:type="pct"/>
            <w:tcBorders>
              <w:top w:val="nil"/>
              <w:left w:val="single" w:sz="4" w:space="0" w:color="auto"/>
              <w:bottom w:val="nil"/>
              <w:right w:val="nil"/>
            </w:tcBorders>
            <w:shd w:val="clear" w:color="000000" w:fill="FFFFFF"/>
            <w:noWrap/>
            <w:vAlign w:val="center"/>
            <w:hideMark/>
          </w:tcPr>
          <w:p w14:paraId="02B8743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448</w:t>
            </w:r>
          </w:p>
        </w:tc>
        <w:tc>
          <w:tcPr>
            <w:tcW w:w="529" w:type="pct"/>
            <w:tcBorders>
              <w:top w:val="nil"/>
              <w:left w:val="nil"/>
              <w:bottom w:val="nil"/>
              <w:right w:val="nil"/>
            </w:tcBorders>
            <w:shd w:val="clear" w:color="000000" w:fill="FFFFFF"/>
            <w:noWrap/>
            <w:vAlign w:val="center"/>
            <w:hideMark/>
          </w:tcPr>
          <w:p w14:paraId="794E256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529" w:type="pct"/>
            <w:tcBorders>
              <w:top w:val="nil"/>
              <w:left w:val="nil"/>
              <w:bottom w:val="nil"/>
              <w:right w:val="nil"/>
            </w:tcBorders>
            <w:shd w:val="clear" w:color="000000" w:fill="FFFFFF"/>
            <w:noWrap/>
            <w:vAlign w:val="center"/>
            <w:hideMark/>
          </w:tcPr>
          <w:p w14:paraId="45FD198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w:t>
            </w:r>
          </w:p>
        </w:tc>
        <w:tc>
          <w:tcPr>
            <w:tcW w:w="529" w:type="pct"/>
            <w:tcBorders>
              <w:top w:val="nil"/>
              <w:left w:val="nil"/>
              <w:bottom w:val="nil"/>
              <w:right w:val="nil"/>
            </w:tcBorders>
            <w:shd w:val="clear" w:color="000000" w:fill="FFFFFF"/>
            <w:noWrap/>
            <w:vAlign w:val="center"/>
            <w:hideMark/>
          </w:tcPr>
          <w:p w14:paraId="19C9942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29" w:type="pct"/>
            <w:tcBorders>
              <w:top w:val="nil"/>
              <w:left w:val="nil"/>
              <w:bottom w:val="nil"/>
              <w:right w:val="nil"/>
            </w:tcBorders>
            <w:shd w:val="clear" w:color="000000" w:fill="FFFFFF"/>
            <w:noWrap/>
            <w:vAlign w:val="center"/>
            <w:hideMark/>
          </w:tcPr>
          <w:p w14:paraId="65449D6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33" w:type="pct"/>
            <w:tcBorders>
              <w:top w:val="nil"/>
              <w:left w:val="nil"/>
              <w:bottom w:val="nil"/>
              <w:right w:val="single" w:sz="4" w:space="0" w:color="auto"/>
            </w:tcBorders>
            <w:shd w:val="clear" w:color="000000" w:fill="FFFFFF"/>
            <w:noWrap/>
            <w:vAlign w:val="center"/>
            <w:hideMark/>
          </w:tcPr>
          <w:p w14:paraId="1456D24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61CDDC8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536</w:t>
            </w:r>
          </w:p>
        </w:tc>
        <w:tc>
          <w:tcPr>
            <w:tcW w:w="374" w:type="pct"/>
            <w:tcBorders>
              <w:top w:val="nil"/>
              <w:left w:val="single" w:sz="4" w:space="0" w:color="auto"/>
              <w:bottom w:val="nil"/>
              <w:right w:val="single" w:sz="4" w:space="0" w:color="auto"/>
            </w:tcBorders>
            <w:shd w:val="clear" w:color="000000" w:fill="FFFFFF"/>
            <w:noWrap/>
            <w:vAlign w:val="center"/>
            <w:hideMark/>
          </w:tcPr>
          <w:p w14:paraId="31925F7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732FB5" w:rsidRPr="00650EE4" w14:paraId="535F08C4" w14:textId="77777777" w:rsidTr="00F45BD1">
        <w:tc>
          <w:tcPr>
            <w:tcW w:w="1026" w:type="pct"/>
            <w:tcBorders>
              <w:top w:val="nil"/>
              <w:left w:val="single" w:sz="4" w:space="0" w:color="auto"/>
              <w:bottom w:val="nil"/>
              <w:right w:val="nil"/>
            </w:tcBorders>
            <w:shd w:val="clear" w:color="000000" w:fill="FFFFFF"/>
            <w:noWrap/>
            <w:vAlign w:val="center"/>
            <w:hideMark/>
          </w:tcPr>
          <w:p w14:paraId="3DDA1A56"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29" w:type="pct"/>
            <w:tcBorders>
              <w:top w:val="nil"/>
              <w:left w:val="single" w:sz="4" w:space="0" w:color="auto"/>
              <w:bottom w:val="single" w:sz="4" w:space="0" w:color="auto"/>
              <w:right w:val="nil"/>
            </w:tcBorders>
            <w:shd w:val="clear" w:color="000000" w:fill="FFFFFF"/>
            <w:noWrap/>
            <w:vAlign w:val="center"/>
            <w:hideMark/>
          </w:tcPr>
          <w:p w14:paraId="73312FE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w:t>
            </w:r>
          </w:p>
        </w:tc>
        <w:tc>
          <w:tcPr>
            <w:tcW w:w="529" w:type="pct"/>
            <w:tcBorders>
              <w:top w:val="nil"/>
              <w:left w:val="nil"/>
              <w:bottom w:val="single" w:sz="4" w:space="0" w:color="auto"/>
              <w:right w:val="nil"/>
            </w:tcBorders>
            <w:shd w:val="clear" w:color="000000" w:fill="FFFFFF"/>
            <w:noWrap/>
            <w:vAlign w:val="center"/>
            <w:hideMark/>
          </w:tcPr>
          <w:p w14:paraId="4107A8E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529" w:type="pct"/>
            <w:tcBorders>
              <w:top w:val="nil"/>
              <w:left w:val="nil"/>
              <w:bottom w:val="single" w:sz="4" w:space="0" w:color="auto"/>
              <w:right w:val="nil"/>
            </w:tcBorders>
            <w:shd w:val="clear" w:color="000000" w:fill="FFFFFF"/>
            <w:noWrap/>
            <w:vAlign w:val="center"/>
            <w:hideMark/>
          </w:tcPr>
          <w:p w14:paraId="5DE6923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w:t>
            </w:r>
          </w:p>
        </w:tc>
        <w:tc>
          <w:tcPr>
            <w:tcW w:w="529" w:type="pct"/>
            <w:tcBorders>
              <w:top w:val="nil"/>
              <w:left w:val="nil"/>
              <w:bottom w:val="single" w:sz="4" w:space="0" w:color="auto"/>
              <w:right w:val="nil"/>
            </w:tcBorders>
            <w:shd w:val="clear" w:color="000000" w:fill="FFFFFF"/>
            <w:noWrap/>
            <w:vAlign w:val="center"/>
            <w:hideMark/>
          </w:tcPr>
          <w:p w14:paraId="7184E11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9" w:type="pct"/>
            <w:tcBorders>
              <w:top w:val="nil"/>
              <w:left w:val="nil"/>
              <w:bottom w:val="single" w:sz="4" w:space="0" w:color="auto"/>
              <w:right w:val="nil"/>
            </w:tcBorders>
            <w:shd w:val="clear" w:color="000000" w:fill="FFFFFF"/>
            <w:noWrap/>
            <w:vAlign w:val="center"/>
            <w:hideMark/>
          </w:tcPr>
          <w:p w14:paraId="11BCDCC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33" w:type="pct"/>
            <w:tcBorders>
              <w:top w:val="nil"/>
              <w:left w:val="nil"/>
              <w:bottom w:val="single" w:sz="4" w:space="0" w:color="auto"/>
              <w:right w:val="single" w:sz="4" w:space="0" w:color="auto"/>
            </w:tcBorders>
            <w:shd w:val="clear" w:color="000000" w:fill="FFFFFF"/>
            <w:noWrap/>
            <w:vAlign w:val="center"/>
            <w:hideMark/>
          </w:tcPr>
          <w:p w14:paraId="156F27B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single" w:sz="4" w:space="0" w:color="auto"/>
              <w:right w:val="nil"/>
            </w:tcBorders>
            <w:shd w:val="clear" w:color="000000" w:fill="FFFFFF"/>
            <w:noWrap/>
            <w:vAlign w:val="center"/>
            <w:hideMark/>
          </w:tcPr>
          <w:p w14:paraId="6452AA3C"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367</w:t>
            </w:r>
          </w:p>
        </w:tc>
        <w:tc>
          <w:tcPr>
            <w:tcW w:w="374" w:type="pct"/>
            <w:tcBorders>
              <w:top w:val="nil"/>
              <w:left w:val="single" w:sz="4" w:space="0" w:color="auto"/>
              <w:bottom w:val="single" w:sz="4" w:space="0" w:color="auto"/>
              <w:right w:val="single" w:sz="4" w:space="0" w:color="auto"/>
            </w:tcBorders>
            <w:shd w:val="clear" w:color="000000" w:fill="FFFFFF"/>
            <w:noWrap/>
            <w:vAlign w:val="center"/>
            <w:hideMark/>
          </w:tcPr>
          <w:p w14:paraId="5259A01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732FB5" w:rsidRPr="00650EE4" w14:paraId="06CAAC27" w14:textId="77777777" w:rsidTr="00F45BD1">
        <w:tc>
          <w:tcPr>
            <w:tcW w:w="1026" w:type="pct"/>
            <w:tcBorders>
              <w:top w:val="single" w:sz="4" w:space="0" w:color="auto"/>
              <w:left w:val="single" w:sz="4" w:space="0" w:color="auto"/>
              <w:bottom w:val="nil"/>
              <w:right w:val="single" w:sz="4" w:space="0" w:color="auto"/>
            </w:tcBorders>
            <w:shd w:val="clear" w:color="000000" w:fill="FFFFFF"/>
            <w:noWrap/>
            <w:vAlign w:val="center"/>
            <w:hideMark/>
          </w:tcPr>
          <w:p w14:paraId="7FE01773" w14:textId="77777777" w:rsidR="00732FB5" w:rsidRPr="00650EE4" w:rsidRDefault="00732FB5" w:rsidP="00732FB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9" w:type="pct"/>
            <w:tcBorders>
              <w:top w:val="nil"/>
              <w:left w:val="nil"/>
              <w:bottom w:val="nil"/>
              <w:right w:val="nil"/>
            </w:tcBorders>
            <w:shd w:val="clear" w:color="000000" w:fill="FFFFFF"/>
            <w:noWrap/>
            <w:vAlign w:val="center"/>
            <w:hideMark/>
          </w:tcPr>
          <w:p w14:paraId="52F0853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31.591</w:t>
            </w:r>
          </w:p>
        </w:tc>
        <w:tc>
          <w:tcPr>
            <w:tcW w:w="529" w:type="pct"/>
            <w:tcBorders>
              <w:top w:val="nil"/>
              <w:left w:val="nil"/>
              <w:bottom w:val="nil"/>
              <w:right w:val="nil"/>
            </w:tcBorders>
            <w:shd w:val="clear" w:color="000000" w:fill="FFFFFF"/>
            <w:noWrap/>
            <w:vAlign w:val="center"/>
            <w:hideMark/>
          </w:tcPr>
          <w:p w14:paraId="7033ABA7"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5.379</w:t>
            </w:r>
          </w:p>
        </w:tc>
        <w:tc>
          <w:tcPr>
            <w:tcW w:w="529" w:type="pct"/>
            <w:tcBorders>
              <w:top w:val="nil"/>
              <w:left w:val="nil"/>
              <w:bottom w:val="nil"/>
              <w:right w:val="nil"/>
            </w:tcBorders>
            <w:shd w:val="clear" w:color="000000" w:fill="FFFFFF"/>
            <w:noWrap/>
            <w:vAlign w:val="center"/>
            <w:hideMark/>
          </w:tcPr>
          <w:p w14:paraId="094D1E9B"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3.411</w:t>
            </w:r>
          </w:p>
        </w:tc>
        <w:tc>
          <w:tcPr>
            <w:tcW w:w="529" w:type="pct"/>
            <w:tcBorders>
              <w:top w:val="nil"/>
              <w:left w:val="nil"/>
              <w:bottom w:val="nil"/>
              <w:right w:val="nil"/>
            </w:tcBorders>
            <w:shd w:val="clear" w:color="000000" w:fill="FFFFFF"/>
            <w:noWrap/>
            <w:vAlign w:val="center"/>
            <w:hideMark/>
          </w:tcPr>
          <w:p w14:paraId="6E9BDA60"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336</w:t>
            </w:r>
          </w:p>
        </w:tc>
        <w:tc>
          <w:tcPr>
            <w:tcW w:w="529" w:type="pct"/>
            <w:tcBorders>
              <w:top w:val="nil"/>
              <w:left w:val="nil"/>
              <w:bottom w:val="nil"/>
              <w:right w:val="nil"/>
            </w:tcBorders>
            <w:shd w:val="clear" w:color="000000" w:fill="FFFFFF"/>
            <w:noWrap/>
            <w:vAlign w:val="center"/>
            <w:hideMark/>
          </w:tcPr>
          <w:p w14:paraId="6C158C4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84</w:t>
            </w:r>
          </w:p>
        </w:tc>
        <w:tc>
          <w:tcPr>
            <w:tcW w:w="533" w:type="pct"/>
            <w:tcBorders>
              <w:top w:val="nil"/>
              <w:left w:val="nil"/>
              <w:bottom w:val="nil"/>
              <w:right w:val="single" w:sz="4" w:space="0" w:color="auto"/>
            </w:tcBorders>
            <w:shd w:val="clear" w:color="000000" w:fill="FFFFFF"/>
            <w:noWrap/>
            <w:vAlign w:val="center"/>
            <w:hideMark/>
          </w:tcPr>
          <w:p w14:paraId="11B4A13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w:t>
            </w:r>
          </w:p>
        </w:tc>
        <w:tc>
          <w:tcPr>
            <w:tcW w:w="422" w:type="pct"/>
            <w:tcBorders>
              <w:top w:val="nil"/>
              <w:left w:val="nil"/>
              <w:bottom w:val="nil"/>
              <w:right w:val="nil"/>
            </w:tcBorders>
            <w:shd w:val="clear" w:color="000000" w:fill="FFFFFF"/>
            <w:noWrap/>
            <w:vAlign w:val="center"/>
            <w:hideMark/>
          </w:tcPr>
          <w:p w14:paraId="5999B82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40.815</w:t>
            </w:r>
          </w:p>
        </w:tc>
        <w:tc>
          <w:tcPr>
            <w:tcW w:w="374" w:type="pct"/>
            <w:tcBorders>
              <w:top w:val="nil"/>
              <w:left w:val="single" w:sz="4" w:space="0" w:color="auto"/>
              <w:bottom w:val="nil"/>
              <w:right w:val="single" w:sz="4" w:space="0" w:color="auto"/>
            </w:tcBorders>
            <w:shd w:val="clear" w:color="000000" w:fill="FFFFFF"/>
            <w:noWrap/>
            <w:vAlign w:val="center"/>
            <w:hideMark/>
          </w:tcPr>
          <w:p w14:paraId="793BD0E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732FB5" w:rsidRPr="00650EE4" w14:paraId="11753E7F" w14:textId="77777777" w:rsidTr="00F45BD1">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B137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29" w:type="pct"/>
            <w:tcBorders>
              <w:top w:val="single" w:sz="4" w:space="0" w:color="auto"/>
              <w:left w:val="nil"/>
              <w:bottom w:val="single" w:sz="4" w:space="0" w:color="auto"/>
              <w:right w:val="nil"/>
            </w:tcBorders>
            <w:shd w:val="clear" w:color="000000" w:fill="FFFFFF"/>
            <w:noWrap/>
            <w:vAlign w:val="center"/>
            <w:hideMark/>
          </w:tcPr>
          <w:p w14:paraId="7D67422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529" w:type="pct"/>
            <w:tcBorders>
              <w:top w:val="single" w:sz="4" w:space="0" w:color="auto"/>
              <w:left w:val="nil"/>
              <w:bottom w:val="single" w:sz="4" w:space="0" w:color="auto"/>
              <w:right w:val="nil"/>
            </w:tcBorders>
            <w:shd w:val="clear" w:color="000000" w:fill="FFFFFF"/>
            <w:noWrap/>
            <w:vAlign w:val="center"/>
            <w:hideMark/>
          </w:tcPr>
          <w:p w14:paraId="7D62B92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9" w:type="pct"/>
            <w:tcBorders>
              <w:top w:val="single" w:sz="4" w:space="0" w:color="auto"/>
              <w:left w:val="nil"/>
              <w:bottom w:val="single" w:sz="4" w:space="0" w:color="auto"/>
              <w:right w:val="nil"/>
            </w:tcBorders>
            <w:shd w:val="clear" w:color="000000" w:fill="FFFFFF"/>
            <w:noWrap/>
            <w:vAlign w:val="center"/>
            <w:hideMark/>
          </w:tcPr>
          <w:p w14:paraId="4F65C9E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29" w:type="pct"/>
            <w:tcBorders>
              <w:top w:val="single" w:sz="4" w:space="0" w:color="auto"/>
              <w:left w:val="nil"/>
              <w:bottom w:val="single" w:sz="4" w:space="0" w:color="auto"/>
              <w:right w:val="nil"/>
            </w:tcBorders>
            <w:shd w:val="clear" w:color="000000" w:fill="FFFFFF"/>
            <w:noWrap/>
            <w:vAlign w:val="center"/>
            <w:hideMark/>
          </w:tcPr>
          <w:p w14:paraId="0F00BBA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c>
          <w:tcPr>
            <w:tcW w:w="529" w:type="pct"/>
            <w:tcBorders>
              <w:top w:val="single" w:sz="4" w:space="0" w:color="auto"/>
              <w:left w:val="nil"/>
              <w:bottom w:val="single" w:sz="4" w:space="0" w:color="auto"/>
              <w:right w:val="nil"/>
            </w:tcBorders>
            <w:shd w:val="clear" w:color="000000" w:fill="FFFFFF"/>
            <w:noWrap/>
            <w:vAlign w:val="center"/>
            <w:hideMark/>
          </w:tcPr>
          <w:p w14:paraId="2A2BC9B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6CE729D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0,03%</w:t>
            </w:r>
          </w:p>
        </w:tc>
        <w:tc>
          <w:tcPr>
            <w:tcW w:w="422" w:type="pct"/>
            <w:tcBorders>
              <w:top w:val="single" w:sz="4" w:space="0" w:color="auto"/>
              <w:left w:val="nil"/>
              <w:bottom w:val="single" w:sz="4" w:space="0" w:color="auto"/>
              <w:right w:val="nil"/>
            </w:tcBorders>
            <w:shd w:val="clear" w:color="000000" w:fill="FFFFFF"/>
            <w:noWrap/>
            <w:vAlign w:val="center"/>
            <w:hideMark/>
          </w:tcPr>
          <w:p w14:paraId="7B3D9A5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7B988"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3211A36B" w14:textId="1038EC48" w:rsidR="004C3307" w:rsidRPr="00650EE4" w:rsidRDefault="004C3307" w:rsidP="004C3307">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885C16" w:rsidRPr="00650EE4">
        <w:rPr>
          <w:rFonts w:ascii="Times New Roman" w:eastAsia="Times New Roman" w:hAnsi="Times New Roman"/>
          <w:i/>
          <w:color w:val="000000" w:themeColor="text1"/>
          <w:sz w:val="20"/>
          <w:szCs w:val="20"/>
        </w:rPr>
        <w:t>S</w:t>
      </w:r>
      <w:r w:rsidRPr="00650EE4">
        <w:rPr>
          <w:rFonts w:ascii="Times New Roman" w:eastAsia="Times New Roman" w:hAnsi="Times New Roman"/>
          <w:i/>
          <w:color w:val="000000" w:themeColor="text1"/>
          <w:sz w:val="20"/>
          <w:szCs w:val="20"/>
        </w:rPr>
        <w:t>tudijos</w:t>
      </w:r>
      <w:r w:rsidR="0007355D">
        <w:rPr>
          <w:rFonts w:ascii="Times New Roman" w:eastAsia="Times New Roman" w:hAnsi="Times New Roman"/>
          <w:i/>
          <w:color w:val="000000" w:themeColor="text1"/>
          <w:sz w:val="20"/>
          <w:szCs w:val="20"/>
        </w:rPr>
        <w:t xml:space="preserve"> </w:t>
      </w:r>
      <w:r w:rsidR="0007355D">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14533681" w14:textId="4BC7216A" w:rsidR="00885C16" w:rsidRPr="00650EE4" w:rsidRDefault="004F567F" w:rsidP="00F3508F">
      <w:pPr>
        <w:jc w:val="both"/>
        <w:rPr>
          <w:rFonts w:ascii="Times New Roman" w:eastAsiaTheme="minorHAnsi" w:hAnsi="Times New Roman"/>
          <w:b/>
          <w:iCs/>
          <w:color w:val="auto"/>
          <w:szCs w:val="22"/>
          <w:lang w:eastAsia="lt-LT"/>
        </w:rPr>
      </w:pPr>
      <w:r w:rsidRPr="00650EE4">
        <w:rPr>
          <w:rFonts w:ascii="Times New Roman" w:hAnsi="Times New Roman"/>
          <w:color w:val="000000" w:themeColor="text1"/>
          <w:szCs w:val="22"/>
        </w:rPr>
        <w:lastRenderedPageBreak/>
        <w:t xml:space="preserve">Paveiksle žemiau </w:t>
      </w:r>
      <w:r w:rsidR="00691F79" w:rsidRPr="00650EE4">
        <w:rPr>
          <w:rFonts w:ascii="Times New Roman" w:hAnsi="Times New Roman"/>
          <w:color w:val="000000" w:themeColor="text1"/>
          <w:szCs w:val="22"/>
        </w:rPr>
        <w:t xml:space="preserve">pateikiami </w:t>
      </w:r>
      <w:r w:rsidR="007A52B6">
        <w:rPr>
          <w:rFonts w:ascii="Times New Roman" w:hAnsi="Times New Roman"/>
          <w:color w:val="000000" w:themeColor="text1"/>
          <w:szCs w:val="22"/>
        </w:rPr>
        <w:t>p</w:t>
      </w:r>
      <w:r w:rsidR="00C53D30" w:rsidRPr="00650EE4">
        <w:rPr>
          <w:rFonts w:ascii="Times New Roman" w:hAnsi="Times New Roman"/>
          <w:color w:val="000000" w:themeColor="text1"/>
          <w:szCs w:val="22"/>
        </w:rPr>
        <w:t xml:space="preserve">astatų fondo pirminės energijos vartojimo pagal energinio naudingumo klasę </w:t>
      </w:r>
      <w:r w:rsidR="00691F79" w:rsidRPr="00650EE4">
        <w:rPr>
          <w:rFonts w:ascii="Times New Roman" w:hAnsi="Times New Roman"/>
          <w:color w:val="000000" w:themeColor="text1"/>
          <w:szCs w:val="22"/>
        </w:rPr>
        <w:t>agreguoti duomenys.</w:t>
      </w:r>
    </w:p>
    <w:p w14:paraId="58AAE185" w14:textId="77777777" w:rsidR="00CD12BC" w:rsidRPr="00650EE4" w:rsidRDefault="00CD12BC" w:rsidP="00CD12BC">
      <w:pPr>
        <w:jc w:val="both"/>
        <w:rPr>
          <w:rFonts w:ascii="Times New Roman" w:hAnsi="Times New Roman"/>
          <w:color w:val="000000" w:themeColor="text1"/>
          <w:szCs w:val="22"/>
        </w:rPr>
      </w:pPr>
    </w:p>
    <w:p w14:paraId="03E21D1C" w14:textId="238DCC67" w:rsidR="009677EA"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64" w:name="_Toc67925258"/>
      <w:r w:rsidR="007744C1">
        <w:t>10</w:t>
      </w:r>
      <w:r w:rsidRPr="00650EE4">
        <w:rPr>
          <w:noProof w:val="0"/>
        </w:rPr>
        <w:fldChar w:fldCharType="end"/>
      </w:r>
      <w:r w:rsidR="009600E2" w:rsidRPr="00650EE4">
        <w:rPr>
          <w:noProof w:val="0"/>
        </w:rPr>
        <w:t xml:space="preserve"> paveikslas</w:t>
      </w:r>
      <w:r w:rsidR="009677EA" w:rsidRPr="00650EE4">
        <w:rPr>
          <w:noProof w:val="0"/>
        </w:rPr>
        <w:t xml:space="preserve">. Pastatų fondo pirminės energijos vartojimas pagal </w:t>
      </w:r>
      <w:r w:rsidR="009209CF" w:rsidRPr="00650EE4">
        <w:rPr>
          <w:noProof w:val="0"/>
        </w:rPr>
        <w:t>ENK</w:t>
      </w:r>
      <w:r w:rsidR="009677EA" w:rsidRPr="00650EE4">
        <w:rPr>
          <w:noProof w:val="0"/>
        </w:rPr>
        <w:t xml:space="preserve"> </w:t>
      </w:r>
      <w:r w:rsidR="009600E2" w:rsidRPr="00650EE4">
        <w:rPr>
          <w:noProof w:val="0"/>
        </w:rPr>
        <w:t xml:space="preserve">ir grupę </w:t>
      </w:r>
      <w:r w:rsidR="009677EA" w:rsidRPr="00650EE4">
        <w:rPr>
          <w:noProof w:val="0"/>
        </w:rPr>
        <w:t>(</w:t>
      </w:r>
      <w:proofErr w:type="spellStart"/>
      <w:r w:rsidR="009677EA" w:rsidRPr="00650EE4">
        <w:rPr>
          <w:noProof w:val="0"/>
        </w:rPr>
        <w:t>GWh</w:t>
      </w:r>
      <w:proofErr w:type="spellEnd"/>
      <w:r w:rsidR="009677EA" w:rsidRPr="00650EE4">
        <w:rPr>
          <w:noProof w:val="0"/>
        </w:rPr>
        <w:t>/metus)</w:t>
      </w:r>
      <w:bookmarkEnd w:id="64"/>
    </w:p>
    <w:p w14:paraId="69FD9191" w14:textId="29767250" w:rsidR="0047724C" w:rsidRPr="00650EE4" w:rsidRDefault="00DA63F0" w:rsidP="009600E2">
      <w:pPr>
        <w:spacing w:line="240" w:lineRule="auto"/>
        <w:rPr>
          <w:rFonts w:ascii="Times New Roman" w:hAnsi="Times New Roman"/>
          <w:color w:val="000000" w:themeColor="text1"/>
          <w:sz w:val="24"/>
          <w:szCs w:val="24"/>
        </w:rPr>
      </w:pPr>
      <w:r w:rsidRPr="00650EE4">
        <w:rPr>
          <w:rFonts w:ascii="Times New Roman" w:hAnsi="Times New Roman"/>
          <w:noProof/>
          <w:lang w:eastAsia="lt-LT"/>
        </w:rPr>
        <w:drawing>
          <wp:inline distT="0" distB="0" distL="0" distR="0" wp14:anchorId="400C3E6E" wp14:editId="17310EF3">
            <wp:extent cx="6479540" cy="2143924"/>
            <wp:effectExtent l="0" t="0" r="16510" b="27940"/>
            <wp:docPr id="26" name="Chart 26">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3D006E" w14:textId="45067A96" w:rsidR="00095DF4" w:rsidRPr="00650EE4" w:rsidRDefault="00885C16" w:rsidP="009600E2">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w:t>
      </w:r>
      <w:r w:rsidR="009600E2" w:rsidRPr="00650EE4">
        <w:rPr>
          <w:rFonts w:ascii="Times New Roman" w:eastAsia="Times New Roman" w:hAnsi="Times New Roman"/>
          <w:i/>
          <w:color w:val="000000" w:themeColor="text1"/>
          <w:sz w:val="20"/>
          <w:szCs w:val="28"/>
        </w:rPr>
        <w:t>tudijos</w:t>
      </w:r>
      <w:r w:rsidR="0007355D">
        <w:rPr>
          <w:rFonts w:ascii="Times New Roman" w:eastAsia="Times New Roman" w:hAnsi="Times New Roman"/>
          <w:i/>
          <w:color w:val="000000" w:themeColor="text1"/>
          <w:sz w:val="20"/>
          <w:szCs w:val="28"/>
        </w:rPr>
        <w:t xml:space="preserve"> </w:t>
      </w:r>
      <w:r w:rsidR="0007355D">
        <w:rPr>
          <w:rFonts w:ascii="Times New Roman" w:hAnsi="Times New Roman"/>
          <w:i/>
          <w:iCs/>
          <w:color w:val="auto"/>
          <w:sz w:val="20"/>
          <w:szCs w:val="20"/>
        </w:rPr>
        <w:t>Lietuvos ilgalaikei renovacijos strategijai parengti</w:t>
      </w:r>
      <w:r w:rsidR="009600E2" w:rsidRPr="00650EE4">
        <w:rPr>
          <w:rFonts w:ascii="Times New Roman" w:eastAsia="Times New Roman" w:hAnsi="Times New Roman"/>
          <w:i/>
          <w:color w:val="000000" w:themeColor="text1"/>
          <w:sz w:val="20"/>
          <w:szCs w:val="28"/>
        </w:rPr>
        <w:t xml:space="preserve"> autoriai</w:t>
      </w:r>
    </w:p>
    <w:p w14:paraId="69D1946B" w14:textId="77777777" w:rsidR="001447D2" w:rsidRPr="00650EE4" w:rsidRDefault="001447D2" w:rsidP="001447D2">
      <w:pPr>
        <w:spacing w:after="120" w:line="240" w:lineRule="auto"/>
        <w:jc w:val="both"/>
        <w:rPr>
          <w:rFonts w:ascii="Times New Roman" w:hAnsi="Times New Roman"/>
          <w:color w:val="000000" w:themeColor="text1"/>
          <w:szCs w:val="22"/>
        </w:rPr>
      </w:pPr>
    </w:p>
    <w:p w14:paraId="52AA059B" w14:textId="77777777" w:rsidR="001447D2" w:rsidRPr="00650EE4" w:rsidRDefault="001447D2" w:rsidP="001447D2">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pateiktus duomenis galima pastebėti, kad:</w:t>
      </w:r>
    </w:p>
    <w:p w14:paraId="5FA5EAB1" w14:textId="1C15B9D7"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w:t>
      </w:r>
      <w:r w:rsidR="001447D2" w:rsidRPr="00650EE4">
        <w:rPr>
          <w:rFonts w:ascii="Times New Roman" w:hAnsi="Times New Roman"/>
          <w:color w:val="000000" w:themeColor="text1"/>
          <w:szCs w:val="22"/>
        </w:rPr>
        <w:t>yvenamieji pastata</w:t>
      </w:r>
      <w:r>
        <w:rPr>
          <w:rFonts w:ascii="Times New Roman" w:hAnsi="Times New Roman"/>
          <w:color w:val="000000" w:themeColor="text1"/>
          <w:szCs w:val="22"/>
        </w:rPr>
        <w:t>i vartoja 2/3 (63 proc.) visos p</w:t>
      </w:r>
      <w:r w:rsidR="001447D2" w:rsidRPr="00650EE4">
        <w:rPr>
          <w:rFonts w:ascii="Times New Roman" w:hAnsi="Times New Roman"/>
          <w:color w:val="000000" w:themeColor="text1"/>
          <w:szCs w:val="22"/>
        </w:rPr>
        <w:t xml:space="preserve">astatų fondo pirminės energijos šildymui. 34 proc. vartoja individualūs gyvenamieji namai, </w:t>
      </w:r>
      <w:r w:rsidR="003E0C4E">
        <w:rPr>
          <w:rFonts w:ascii="Times New Roman" w:hAnsi="Times New Roman"/>
          <w:color w:val="000000" w:themeColor="text1"/>
          <w:szCs w:val="22"/>
        </w:rPr>
        <w:t xml:space="preserve">29 </w:t>
      </w:r>
      <w:r w:rsidR="001447D2" w:rsidRPr="00650EE4">
        <w:rPr>
          <w:rFonts w:ascii="Times New Roman" w:hAnsi="Times New Roman"/>
          <w:color w:val="000000" w:themeColor="text1"/>
          <w:szCs w:val="22"/>
        </w:rPr>
        <w:t xml:space="preserve">proc. – </w:t>
      </w:r>
      <w:r w:rsidR="003E0C4E">
        <w:rPr>
          <w:rFonts w:ascii="Times New Roman" w:hAnsi="Times New Roman"/>
          <w:color w:val="000000" w:themeColor="text1"/>
          <w:szCs w:val="22"/>
        </w:rPr>
        <w:t>daugiabučiai</w:t>
      </w:r>
      <w:r w:rsidR="001447D2" w:rsidRPr="00650EE4">
        <w:rPr>
          <w:rFonts w:ascii="Times New Roman" w:hAnsi="Times New Roman"/>
          <w:color w:val="000000" w:themeColor="text1"/>
          <w:szCs w:val="22"/>
        </w:rPr>
        <w:t>;</w:t>
      </w:r>
    </w:p>
    <w:p w14:paraId="7B296AE7" w14:textId="00F09CEE"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4/5 (7</w:t>
      </w:r>
      <w:r w:rsidR="004147B2">
        <w:rPr>
          <w:rFonts w:ascii="Times New Roman" w:hAnsi="Times New Roman"/>
          <w:color w:val="000000" w:themeColor="text1"/>
          <w:szCs w:val="22"/>
        </w:rPr>
        <w:t>7</w:t>
      </w:r>
      <w:r>
        <w:rPr>
          <w:rFonts w:ascii="Times New Roman" w:hAnsi="Times New Roman"/>
          <w:color w:val="000000" w:themeColor="text1"/>
          <w:szCs w:val="22"/>
        </w:rPr>
        <w:t xml:space="preserve"> proc.) visos p</w:t>
      </w:r>
      <w:r w:rsidR="001447D2" w:rsidRPr="00650EE4">
        <w:rPr>
          <w:rFonts w:ascii="Times New Roman" w:hAnsi="Times New Roman"/>
          <w:color w:val="000000" w:themeColor="text1"/>
          <w:szCs w:val="22"/>
        </w:rPr>
        <w:t xml:space="preserve">astatų fondo pirminės </w:t>
      </w:r>
      <w:r w:rsidR="002D7BF6">
        <w:rPr>
          <w:rFonts w:ascii="Times New Roman" w:hAnsi="Times New Roman"/>
          <w:color w:val="000000" w:themeColor="text1"/>
          <w:szCs w:val="22"/>
        </w:rPr>
        <w:t>energijos vartoja D</w:t>
      </w:r>
      <w:r w:rsidR="00DE199B">
        <w:rPr>
          <w:rFonts w:ascii="Times New Roman" w:hAnsi="Times New Roman"/>
          <w:color w:val="000000" w:themeColor="text1"/>
          <w:szCs w:val="22"/>
        </w:rPr>
        <w:t xml:space="preserve"> ir žemesnės</w:t>
      </w:r>
      <w:r w:rsidR="001447D2" w:rsidRPr="00650EE4">
        <w:rPr>
          <w:rFonts w:ascii="Times New Roman" w:hAnsi="Times New Roman"/>
          <w:color w:val="000000" w:themeColor="text1"/>
          <w:szCs w:val="22"/>
        </w:rPr>
        <w:t xml:space="preserve"> energinio naudingumo klasės pastatai. Reikšmingiausias vartojimas šiame segmente yra individualūs namai (3</w:t>
      </w:r>
      <w:r w:rsidR="00DE199B">
        <w:rPr>
          <w:rFonts w:ascii="Times New Roman" w:hAnsi="Times New Roman"/>
          <w:color w:val="000000" w:themeColor="text1"/>
          <w:szCs w:val="22"/>
        </w:rPr>
        <w:t>1</w:t>
      </w:r>
      <w:r w:rsidR="001447D2" w:rsidRPr="00650EE4">
        <w:rPr>
          <w:rFonts w:ascii="Times New Roman" w:hAnsi="Times New Roman"/>
          <w:color w:val="000000" w:themeColor="text1"/>
          <w:szCs w:val="22"/>
        </w:rPr>
        <w:t xml:space="preserve"> proc.), daugiabučiai (</w:t>
      </w:r>
      <w:r w:rsidR="00DE199B">
        <w:rPr>
          <w:rFonts w:ascii="Times New Roman" w:hAnsi="Times New Roman"/>
          <w:color w:val="000000" w:themeColor="text1"/>
          <w:szCs w:val="22"/>
        </w:rPr>
        <w:t>30</w:t>
      </w:r>
      <w:r w:rsidR="001447D2" w:rsidRPr="00650EE4">
        <w:rPr>
          <w:rFonts w:ascii="Times New Roman" w:hAnsi="Times New Roman"/>
          <w:color w:val="000000" w:themeColor="text1"/>
          <w:szCs w:val="22"/>
        </w:rPr>
        <w:t xml:space="preserve"> proc.) ir pramonės pastatai (</w:t>
      </w:r>
      <w:r w:rsidR="00DE199B">
        <w:rPr>
          <w:rFonts w:ascii="Times New Roman" w:hAnsi="Times New Roman"/>
          <w:color w:val="000000" w:themeColor="text1"/>
          <w:szCs w:val="22"/>
        </w:rPr>
        <w:t>21</w:t>
      </w:r>
      <w:r w:rsidR="001447D2" w:rsidRPr="00650EE4">
        <w:rPr>
          <w:rFonts w:ascii="Times New Roman" w:hAnsi="Times New Roman"/>
          <w:color w:val="000000" w:themeColor="text1"/>
          <w:szCs w:val="22"/>
        </w:rPr>
        <w:t xml:space="preserve"> proc.); </w:t>
      </w:r>
    </w:p>
    <w:p w14:paraId="7EF7219E" w14:textId="159BEBE2"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1447D2" w:rsidRPr="00650EE4">
        <w:rPr>
          <w:rFonts w:ascii="Times New Roman" w:hAnsi="Times New Roman"/>
          <w:color w:val="000000" w:themeColor="text1"/>
          <w:szCs w:val="22"/>
        </w:rPr>
        <w:t xml:space="preserve">titinkamai, </w:t>
      </w:r>
      <w:r w:rsidR="00DE199B">
        <w:rPr>
          <w:rFonts w:ascii="Times New Roman" w:hAnsi="Times New Roman"/>
          <w:color w:val="000000" w:themeColor="text1"/>
          <w:szCs w:val="22"/>
        </w:rPr>
        <w:t>D ir žemesnės</w:t>
      </w:r>
      <w:r w:rsidR="001447D2" w:rsidRPr="00650EE4">
        <w:rPr>
          <w:rFonts w:ascii="Times New Roman" w:hAnsi="Times New Roman"/>
          <w:color w:val="000000" w:themeColor="text1"/>
          <w:szCs w:val="22"/>
        </w:rPr>
        <w:t xml:space="preserve"> energinio naudingumo klasės gyvenamieji pastatai vartojanty</w:t>
      </w:r>
      <w:r>
        <w:rPr>
          <w:rFonts w:ascii="Times New Roman" w:hAnsi="Times New Roman"/>
          <w:color w:val="000000" w:themeColor="text1"/>
          <w:szCs w:val="22"/>
        </w:rPr>
        <w:t>s beveik pusę (47 proc.) visos p</w:t>
      </w:r>
      <w:r w:rsidR="001447D2" w:rsidRPr="00650EE4">
        <w:rPr>
          <w:rFonts w:ascii="Times New Roman" w:hAnsi="Times New Roman"/>
          <w:color w:val="000000" w:themeColor="text1"/>
          <w:szCs w:val="22"/>
        </w:rPr>
        <w:t xml:space="preserve">astatų fondo pirminės energijos, vertinami kaip prioritetinis segmentas IRS kontekste. </w:t>
      </w:r>
    </w:p>
    <w:p w14:paraId="03C4D484" w14:textId="751AD843" w:rsidR="00F3508F" w:rsidRPr="00650EE4" w:rsidRDefault="00F3508F">
      <w:pPr>
        <w:spacing w:after="240"/>
        <w:rPr>
          <w:rFonts w:ascii="Times New Roman" w:hAnsi="Times New Roman"/>
          <w:b/>
          <w:sz w:val="24"/>
          <w:szCs w:val="24"/>
        </w:rPr>
      </w:pPr>
    </w:p>
    <w:p w14:paraId="6F524155" w14:textId="5BAC310E" w:rsidR="006C714B" w:rsidRPr="00650EE4" w:rsidRDefault="006C714B" w:rsidP="006C714B">
      <w:pPr>
        <w:spacing w:after="240"/>
        <w:rPr>
          <w:rFonts w:ascii="Times New Roman" w:hAnsi="Times New Roman"/>
          <w:b/>
          <w:szCs w:val="22"/>
        </w:rPr>
      </w:pPr>
      <w:r w:rsidRPr="00650EE4">
        <w:rPr>
          <w:rFonts w:ascii="Times New Roman" w:hAnsi="Times New Roman"/>
          <w:b/>
          <w:szCs w:val="22"/>
        </w:rPr>
        <w:t>Pastatų fondo pirminės energijos vartojimas pagal</w:t>
      </w:r>
      <w:r w:rsidR="00F3508F" w:rsidRPr="00650EE4">
        <w:rPr>
          <w:rFonts w:ascii="Times New Roman" w:hAnsi="Times New Roman"/>
          <w:b/>
          <w:szCs w:val="22"/>
        </w:rPr>
        <w:t xml:space="preserve"> kuro</w:t>
      </w:r>
      <w:r w:rsidRPr="00650EE4">
        <w:rPr>
          <w:rFonts w:ascii="Times New Roman" w:hAnsi="Times New Roman"/>
          <w:b/>
          <w:szCs w:val="22"/>
        </w:rPr>
        <w:t xml:space="preserve"> </w:t>
      </w:r>
      <w:r w:rsidR="005C304F" w:rsidRPr="00650EE4">
        <w:rPr>
          <w:rFonts w:ascii="Times New Roman" w:hAnsi="Times New Roman"/>
          <w:b/>
          <w:szCs w:val="22"/>
        </w:rPr>
        <w:t>ir energijos rūšis</w:t>
      </w:r>
    </w:p>
    <w:p w14:paraId="3809A174" w14:textId="2560D4D6" w:rsidR="00357980" w:rsidRPr="00650EE4" w:rsidRDefault="00050ED5" w:rsidP="00357980">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Lentelėje žemiau pateikiamas p</w:t>
      </w:r>
      <w:r w:rsidR="00357980" w:rsidRPr="00650EE4">
        <w:rPr>
          <w:rFonts w:ascii="Times New Roman" w:hAnsi="Times New Roman"/>
          <w:color w:val="000000" w:themeColor="text1"/>
          <w:szCs w:val="22"/>
          <w:lang w:val="lt-LT"/>
        </w:rPr>
        <w:t xml:space="preserve">astatų fondo pirminės energijos vartojimas pagal </w:t>
      </w:r>
      <w:r w:rsidR="008F0486" w:rsidRPr="00650EE4">
        <w:rPr>
          <w:rFonts w:ascii="Times New Roman" w:hAnsi="Times New Roman"/>
          <w:color w:val="000000" w:themeColor="text1"/>
          <w:szCs w:val="22"/>
          <w:lang w:val="lt-LT"/>
        </w:rPr>
        <w:t>kuro</w:t>
      </w:r>
      <w:r w:rsidR="005C304F" w:rsidRPr="00650EE4">
        <w:rPr>
          <w:rFonts w:ascii="Times New Roman" w:hAnsi="Times New Roman"/>
          <w:color w:val="000000" w:themeColor="text1"/>
          <w:szCs w:val="22"/>
          <w:lang w:val="lt-LT"/>
        </w:rPr>
        <w:t xml:space="preserve"> ir energijos</w:t>
      </w:r>
      <w:r w:rsidR="008F0486" w:rsidRPr="00650EE4">
        <w:rPr>
          <w:rFonts w:ascii="Times New Roman" w:hAnsi="Times New Roman"/>
          <w:color w:val="000000" w:themeColor="text1"/>
          <w:szCs w:val="22"/>
          <w:lang w:val="lt-LT"/>
        </w:rPr>
        <w:t xml:space="preserve"> </w:t>
      </w:r>
      <w:r w:rsidR="000D0CC1" w:rsidRPr="00650EE4">
        <w:rPr>
          <w:rFonts w:ascii="Times New Roman" w:hAnsi="Times New Roman"/>
          <w:color w:val="000000" w:themeColor="text1"/>
          <w:szCs w:val="22"/>
          <w:lang w:val="lt-LT"/>
        </w:rPr>
        <w:t>rūšis</w:t>
      </w:r>
      <w:r w:rsidR="001447D2" w:rsidRPr="00650EE4">
        <w:rPr>
          <w:rFonts w:ascii="Times New Roman" w:hAnsi="Times New Roman"/>
          <w:color w:val="000000" w:themeColor="text1"/>
          <w:szCs w:val="22"/>
          <w:lang w:val="lt-LT"/>
        </w:rPr>
        <w:t>.</w:t>
      </w:r>
    </w:p>
    <w:p w14:paraId="1AC475DC" w14:textId="77777777" w:rsidR="009677EA" w:rsidRPr="00050ED5" w:rsidRDefault="009677EA">
      <w:pPr>
        <w:spacing w:line="240" w:lineRule="auto"/>
        <w:jc w:val="both"/>
        <w:rPr>
          <w:rFonts w:ascii="Times New Roman" w:hAnsi="Times New Roman"/>
          <w:color w:val="000000" w:themeColor="text1"/>
          <w:sz w:val="12"/>
          <w:szCs w:val="22"/>
        </w:rPr>
      </w:pPr>
    </w:p>
    <w:p w14:paraId="119B38A7" w14:textId="6065B0E9" w:rsidR="00E0718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65" w:name="_Toc67925206"/>
      <w:r w:rsidR="007744C1">
        <w:t>23</w:t>
      </w:r>
      <w:r w:rsidRPr="00650EE4">
        <w:rPr>
          <w:noProof w:val="0"/>
        </w:rPr>
        <w:fldChar w:fldCharType="end"/>
      </w:r>
      <w:r w:rsidR="001E6DEB" w:rsidRPr="00650EE4">
        <w:rPr>
          <w:noProof w:val="0"/>
        </w:rPr>
        <w:t xml:space="preserve"> lentelė</w:t>
      </w:r>
      <w:r w:rsidR="00E07181" w:rsidRPr="00650EE4">
        <w:rPr>
          <w:noProof w:val="0"/>
        </w:rPr>
        <w:t xml:space="preserve">. Pastatų fondo pirminės energijos vartojimas pagal </w:t>
      </w:r>
      <w:r w:rsidR="007A45C5" w:rsidRPr="00650EE4">
        <w:rPr>
          <w:noProof w:val="0"/>
        </w:rPr>
        <w:t>kuro</w:t>
      </w:r>
      <w:r w:rsidR="005C304F" w:rsidRPr="00650EE4">
        <w:rPr>
          <w:noProof w:val="0"/>
        </w:rPr>
        <w:t xml:space="preserve"> ir energijos</w:t>
      </w:r>
      <w:r w:rsidR="007A45C5" w:rsidRPr="00650EE4">
        <w:rPr>
          <w:noProof w:val="0"/>
        </w:rPr>
        <w:t xml:space="preserve"> rūšis</w:t>
      </w:r>
      <w:r w:rsidR="00E07181" w:rsidRPr="00650EE4">
        <w:rPr>
          <w:noProof w:val="0"/>
        </w:rPr>
        <w:t xml:space="preserve"> (</w:t>
      </w:r>
      <w:proofErr w:type="spellStart"/>
      <w:r w:rsidR="00E07181" w:rsidRPr="00650EE4">
        <w:rPr>
          <w:noProof w:val="0"/>
        </w:rPr>
        <w:t>GWh</w:t>
      </w:r>
      <w:proofErr w:type="spellEnd"/>
      <w:r w:rsidR="00E07181" w:rsidRPr="00650EE4">
        <w:rPr>
          <w:noProof w:val="0"/>
        </w:rPr>
        <w:t>/metus)</w:t>
      </w:r>
      <w:bookmarkEnd w:id="65"/>
    </w:p>
    <w:tbl>
      <w:tblPr>
        <w:tblW w:w="5000" w:type="pct"/>
        <w:tblLook w:val="04A0" w:firstRow="1" w:lastRow="0" w:firstColumn="1" w:lastColumn="0" w:noHBand="0" w:noVBand="1"/>
      </w:tblPr>
      <w:tblGrid>
        <w:gridCol w:w="2359"/>
        <w:gridCol w:w="971"/>
        <w:gridCol w:w="1328"/>
        <w:gridCol w:w="1423"/>
        <w:gridCol w:w="1334"/>
        <w:gridCol w:w="1111"/>
        <w:gridCol w:w="971"/>
        <w:gridCol w:w="923"/>
      </w:tblGrid>
      <w:tr w:rsidR="00B44397" w:rsidRPr="00650EE4" w14:paraId="61764289" w14:textId="77777777" w:rsidTr="00267B1D">
        <w:tc>
          <w:tcPr>
            <w:tcW w:w="1132" w:type="pct"/>
            <w:vMerge w:val="restart"/>
            <w:tcBorders>
              <w:top w:val="single" w:sz="4" w:space="0" w:color="auto"/>
              <w:left w:val="single" w:sz="4" w:space="0" w:color="auto"/>
              <w:bottom w:val="nil"/>
              <w:right w:val="nil"/>
            </w:tcBorders>
            <w:shd w:val="clear" w:color="000000" w:fill="FFFFFF"/>
            <w:vAlign w:val="center"/>
            <w:hideMark/>
          </w:tcPr>
          <w:p w14:paraId="03A5FD4B"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959"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1F2C75E" w14:textId="051DA483"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Kuro</w:t>
            </w:r>
            <w:r w:rsidR="005C304F" w:rsidRPr="00650EE4">
              <w:rPr>
                <w:rFonts w:ascii="Times New Roman" w:eastAsia="Times New Roman" w:hAnsi="Times New Roman"/>
                <w:b/>
                <w:bCs/>
                <w:sz w:val="20"/>
                <w:szCs w:val="20"/>
              </w:rPr>
              <w:t xml:space="preserve"> ir energijos</w:t>
            </w:r>
            <w:r w:rsidRPr="00650EE4">
              <w:rPr>
                <w:rFonts w:ascii="Times New Roman" w:eastAsia="Times New Roman" w:hAnsi="Times New Roman"/>
                <w:b/>
                <w:bCs/>
                <w:sz w:val="20"/>
                <w:szCs w:val="20"/>
              </w:rPr>
              <w:t xml:space="preserve"> rūšis</w:t>
            </w:r>
          </w:p>
        </w:tc>
        <w:tc>
          <w:tcPr>
            <w:tcW w:w="466" w:type="pct"/>
            <w:vMerge w:val="restart"/>
            <w:tcBorders>
              <w:top w:val="single" w:sz="4" w:space="0" w:color="auto"/>
              <w:left w:val="nil"/>
              <w:bottom w:val="nil"/>
              <w:right w:val="nil"/>
            </w:tcBorders>
            <w:shd w:val="clear" w:color="000000" w:fill="FFFFFF"/>
            <w:vAlign w:val="center"/>
            <w:hideMark/>
          </w:tcPr>
          <w:p w14:paraId="29D71F9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44" w:type="pct"/>
            <w:vMerge w:val="restart"/>
            <w:tcBorders>
              <w:top w:val="single" w:sz="4" w:space="0" w:color="auto"/>
              <w:left w:val="single" w:sz="4" w:space="0" w:color="auto"/>
              <w:bottom w:val="nil"/>
              <w:right w:val="single" w:sz="4" w:space="0" w:color="auto"/>
            </w:tcBorders>
            <w:shd w:val="clear" w:color="000000" w:fill="FFFFFF"/>
            <w:vAlign w:val="center"/>
            <w:hideMark/>
          </w:tcPr>
          <w:p w14:paraId="3CE2BCEA"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B44397" w:rsidRPr="00650EE4" w14:paraId="2858B65F" w14:textId="77777777" w:rsidTr="00267B1D">
        <w:tc>
          <w:tcPr>
            <w:tcW w:w="1132" w:type="pct"/>
            <w:vMerge/>
            <w:tcBorders>
              <w:top w:val="single" w:sz="4" w:space="0" w:color="auto"/>
              <w:left w:val="single" w:sz="4" w:space="0" w:color="auto"/>
              <w:bottom w:val="nil"/>
              <w:right w:val="nil"/>
            </w:tcBorders>
            <w:vAlign w:val="center"/>
            <w:hideMark/>
          </w:tcPr>
          <w:p w14:paraId="10E36055" w14:textId="77777777" w:rsidR="00B44397" w:rsidRPr="00650EE4" w:rsidRDefault="00B44397" w:rsidP="00B44397">
            <w:pPr>
              <w:spacing w:line="240" w:lineRule="auto"/>
              <w:rPr>
                <w:rFonts w:ascii="Times New Roman" w:eastAsia="Times New Roman" w:hAnsi="Times New Roman"/>
                <w:b/>
                <w:bCs/>
                <w:sz w:val="20"/>
                <w:szCs w:val="20"/>
              </w:rPr>
            </w:pPr>
          </w:p>
        </w:tc>
        <w:tc>
          <w:tcPr>
            <w:tcW w:w="466" w:type="pct"/>
            <w:tcBorders>
              <w:top w:val="nil"/>
              <w:left w:val="single" w:sz="4" w:space="0" w:color="auto"/>
              <w:bottom w:val="nil"/>
              <w:right w:val="nil"/>
            </w:tcBorders>
            <w:shd w:val="clear" w:color="000000" w:fill="FFFFFF"/>
            <w:noWrap/>
            <w:vAlign w:val="center"/>
            <w:hideMark/>
          </w:tcPr>
          <w:p w14:paraId="7DF3593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CŠT</w:t>
            </w:r>
          </w:p>
        </w:tc>
        <w:tc>
          <w:tcPr>
            <w:tcW w:w="637" w:type="pct"/>
            <w:tcBorders>
              <w:top w:val="nil"/>
              <w:left w:val="nil"/>
              <w:bottom w:val="nil"/>
              <w:right w:val="nil"/>
            </w:tcBorders>
            <w:shd w:val="clear" w:color="000000" w:fill="FFFFFF"/>
            <w:noWrap/>
            <w:vAlign w:val="center"/>
            <w:hideMark/>
          </w:tcPr>
          <w:p w14:paraId="7BB1B577"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Biokuras</w:t>
            </w:r>
          </w:p>
        </w:tc>
        <w:tc>
          <w:tcPr>
            <w:tcW w:w="683" w:type="pct"/>
            <w:tcBorders>
              <w:top w:val="nil"/>
              <w:left w:val="nil"/>
              <w:bottom w:val="nil"/>
              <w:right w:val="nil"/>
            </w:tcBorders>
            <w:shd w:val="clear" w:color="000000" w:fill="FFFFFF"/>
            <w:noWrap/>
            <w:vAlign w:val="center"/>
            <w:hideMark/>
          </w:tcPr>
          <w:p w14:paraId="6B8BA26B" w14:textId="1A65C9E1"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Dujos</w:t>
            </w:r>
            <w:r w:rsidR="00B6738C" w:rsidRPr="00650EE4">
              <w:rPr>
                <w:rStyle w:val="FootnoteReference"/>
                <w:rFonts w:ascii="Times New Roman" w:eastAsia="Times New Roman" w:hAnsi="Times New Roman"/>
                <w:b/>
                <w:bCs/>
                <w:sz w:val="20"/>
                <w:szCs w:val="20"/>
              </w:rPr>
              <w:footnoteReference w:id="9"/>
            </w:r>
          </w:p>
        </w:tc>
        <w:tc>
          <w:tcPr>
            <w:tcW w:w="640" w:type="pct"/>
            <w:tcBorders>
              <w:top w:val="nil"/>
              <w:left w:val="nil"/>
              <w:bottom w:val="nil"/>
              <w:right w:val="nil"/>
            </w:tcBorders>
            <w:shd w:val="clear" w:color="000000" w:fill="FFFFFF"/>
            <w:noWrap/>
            <w:vAlign w:val="center"/>
            <w:hideMark/>
          </w:tcPr>
          <w:p w14:paraId="66E2DD60"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Kietas kuras</w:t>
            </w:r>
          </w:p>
        </w:tc>
        <w:tc>
          <w:tcPr>
            <w:tcW w:w="532" w:type="pct"/>
            <w:tcBorders>
              <w:top w:val="nil"/>
              <w:left w:val="nil"/>
              <w:bottom w:val="nil"/>
              <w:right w:val="single" w:sz="4" w:space="0" w:color="auto"/>
            </w:tcBorders>
            <w:shd w:val="clear" w:color="000000" w:fill="FFFFFF"/>
            <w:noWrap/>
            <w:vAlign w:val="center"/>
            <w:hideMark/>
          </w:tcPr>
          <w:p w14:paraId="2853AB7B"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Elektra</w:t>
            </w:r>
          </w:p>
        </w:tc>
        <w:tc>
          <w:tcPr>
            <w:tcW w:w="466" w:type="pct"/>
            <w:vMerge/>
            <w:tcBorders>
              <w:top w:val="single" w:sz="4" w:space="0" w:color="auto"/>
              <w:left w:val="nil"/>
              <w:bottom w:val="nil"/>
              <w:right w:val="nil"/>
            </w:tcBorders>
            <w:vAlign w:val="center"/>
            <w:hideMark/>
          </w:tcPr>
          <w:p w14:paraId="2CE64DF9" w14:textId="77777777" w:rsidR="00B44397" w:rsidRPr="00650EE4" w:rsidRDefault="00B44397" w:rsidP="00B44397">
            <w:pPr>
              <w:spacing w:line="240" w:lineRule="auto"/>
              <w:rPr>
                <w:rFonts w:ascii="Times New Roman" w:eastAsia="Times New Roman" w:hAnsi="Times New Roman"/>
                <w:b/>
                <w:bCs/>
                <w:sz w:val="20"/>
                <w:szCs w:val="20"/>
              </w:rPr>
            </w:pPr>
          </w:p>
        </w:tc>
        <w:tc>
          <w:tcPr>
            <w:tcW w:w="444" w:type="pct"/>
            <w:vMerge/>
            <w:tcBorders>
              <w:top w:val="single" w:sz="4" w:space="0" w:color="auto"/>
              <w:left w:val="single" w:sz="4" w:space="0" w:color="auto"/>
              <w:bottom w:val="nil"/>
              <w:right w:val="single" w:sz="4" w:space="0" w:color="auto"/>
            </w:tcBorders>
            <w:vAlign w:val="center"/>
            <w:hideMark/>
          </w:tcPr>
          <w:p w14:paraId="1A4A1D74" w14:textId="77777777" w:rsidR="00B44397" w:rsidRPr="00650EE4" w:rsidRDefault="00B44397" w:rsidP="00B44397">
            <w:pPr>
              <w:spacing w:line="240" w:lineRule="auto"/>
              <w:rPr>
                <w:rFonts w:ascii="Times New Roman" w:eastAsia="Times New Roman" w:hAnsi="Times New Roman"/>
                <w:b/>
                <w:bCs/>
                <w:sz w:val="20"/>
                <w:szCs w:val="20"/>
              </w:rPr>
            </w:pPr>
          </w:p>
        </w:tc>
      </w:tr>
      <w:tr w:rsidR="00B44397" w:rsidRPr="00650EE4" w14:paraId="1A978DBF" w14:textId="77777777" w:rsidTr="00267B1D">
        <w:tc>
          <w:tcPr>
            <w:tcW w:w="1132" w:type="pct"/>
            <w:tcBorders>
              <w:top w:val="single" w:sz="4" w:space="0" w:color="auto"/>
              <w:left w:val="single" w:sz="4" w:space="0" w:color="auto"/>
              <w:bottom w:val="single" w:sz="4" w:space="0" w:color="auto"/>
              <w:right w:val="nil"/>
            </w:tcBorders>
            <w:shd w:val="clear" w:color="000000" w:fill="F2F2F2"/>
            <w:noWrap/>
            <w:vAlign w:val="center"/>
            <w:hideMark/>
          </w:tcPr>
          <w:p w14:paraId="6E591C12"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466" w:type="pct"/>
            <w:tcBorders>
              <w:top w:val="single" w:sz="4" w:space="0" w:color="auto"/>
              <w:left w:val="single" w:sz="4" w:space="0" w:color="auto"/>
              <w:bottom w:val="single" w:sz="4" w:space="0" w:color="auto"/>
              <w:right w:val="nil"/>
            </w:tcBorders>
            <w:shd w:val="clear" w:color="000000" w:fill="F2F2F2"/>
            <w:noWrap/>
            <w:vAlign w:val="center"/>
            <w:hideMark/>
          </w:tcPr>
          <w:p w14:paraId="6B96DC44"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6.804</w:t>
            </w:r>
          </w:p>
        </w:tc>
        <w:tc>
          <w:tcPr>
            <w:tcW w:w="637" w:type="pct"/>
            <w:tcBorders>
              <w:top w:val="single" w:sz="4" w:space="0" w:color="auto"/>
              <w:left w:val="nil"/>
              <w:bottom w:val="single" w:sz="4" w:space="0" w:color="auto"/>
              <w:right w:val="nil"/>
            </w:tcBorders>
            <w:shd w:val="clear" w:color="000000" w:fill="F2F2F2"/>
            <w:noWrap/>
            <w:vAlign w:val="center"/>
            <w:hideMark/>
          </w:tcPr>
          <w:p w14:paraId="158D151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8.560</w:t>
            </w:r>
          </w:p>
        </w:tc>
        <w:tc>
          <w:tcPr>
            <w:tcW w:w="683" w:type="pct"/>
            <w:tcBorders>
              <w:top w:val="single" w:sz="4" w:space="0" w:color="auto"/>
              <w:left w:val="nil"/>
              <w:bottom w:val="single" w:sz="4" w:space="0" w:color="auto"/>
              <w:right w:val="nil"/>
            </w:tcBorders>
            <w:shd w:val="clear" w:color="000000" w:fill="F2F2F2"/>
            <w:noWrap/>
            <w:vAlign w:val="center"/>
            <w:hideMark/>
          </w:tcPr>
          <w:p w14:paraId="606FCF7A"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2.888</w:t>
            </w:r>
          </w:p>
        </w:tc>
        <w:tc>
          <w:tcPr>
            <w:tcW w:w="640" w:type="pct"/>
            <w:tcBorders>
              <w:top w:val="single" w:sz="4" w:space="0" w:color="auto"/>
              <w:left w:val="nil"/>
              <w:bottom w:val="single" w:sz="4" w:space="0" w:color="auto"/>
              <w:right w:val="nil"/>
            </w:tcBorders>
            <w:shd w:val="clear" w:color="000000" w:fill="F2F2F2"/>
            <w:noWrap/>
            <w:vAlign w:val="center"/>
            <w:hideMark/>
          </w:tcPr>
          <w:p w14:paraId="3C776246"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1.802</w:t>
            </w:r>
          </w:p>
        </w:tc>
        <w:tc>
          <w:tcPr>
            <w:tcW w:w="532" w:type="pct"/>
            <w:tcBorders>
              <w:top w:val="single" w:sz="4" w:space="0" w:color="auto"/>
              <w:left w:val="nil"/>
              <w:bottom w:val="single" w:sz="4" w:space="0" w:color="auto"/>
              <w:right w:val="single" w:sz="4" w:space="0" w:color="auto"/>
            </w:tcBorders>
            <w:shd w:val="clear" w:color="000000" w:fill="F2F2F2"/>
            <w:noWrap/>
            <w:vAlign w:val="center"/>
            <w:hideMark/>
          </w:tcPr>
          <w:p w14:paraId="4B01E0E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5.730</w:t>
            </w:r>
          </w:p>
        </w:tc>
        <w:tc>
          <w:tcPr>
            <w:tcW w:w="466" w:type="pct"/>
            <w:tcBorders>
              <w:top w:val="single" w:sz="4" w:space="0" w:color="auto"/>
              <w:left w:val="nil"/>
              <w:bottom w:val="single" w:sz="4" w:space="0" w:color="auto"/>
              <w:right w:val="nil"/>
            </w:tcBorders>
            <w:shd w:val="clear" w:color="000000" w:fill="F2F2F2"/>
            <w:noWrap/>
            <w:vAlign w:val="center"/>
            <w:hideMark/>
          </w:tcPr>
          <w:p w14:paraId="221F11E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25.783</w:t>
            </w:r>
          </w:p>
        </w:tc>
        <w:tc>
          <w:tcPr>
            <w:tcW w:w="44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FFC0E3"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63%</w:t>
            </w:r>
          </w:p>
        </w:tc>
      </w:tr>
      <w:tr w:rsidR="00B44397" w:rsidRPr="00650EE4" w14:paraId="213F6BB3" w14:textId="77777777" w:rsidTr="00267B1D">
        <w:tc>
          <w:tcPr>
            <w:tcW w:w="1132" w:type="pct"/>
            <w:tcBorders>
              <w:top w:val="nil"/>
              <w:left w:val="single" w:sz="4" w:space="0" w:color="auto"/>
              <w:bottom w:val="nil"/>
              <w:right w:val="nil"/>
            </w:tcBorders>
            <w:shd w:val="clear" w:color="000000" w:fill="FFFFFF"/>
            <w:noWrap/>
            <w:vAlign w:val="center"/>
            <w:hideMark/>
          </w:tcPr>
          <w:p w14:paraId="4325A497"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66" w:type="pct"/>
            <w:tcBorders>
              <w:top w:val="nil"/>
              <w:left w:val="single" w:sz="4" w:space="0" w:color="auto"/>
              <w:bottom w:val="nil"/>
              <w:right w:val="nil"/>
            </w:tcBorders>
            <w:shd w:val="clear" w:color="000000" w:fill="FFFFFF"/>
            <w:noWrap/>
            <w:vAlign w:val="center"/>
            <w:hideMark/>
          </w:tcPr>
          <w:p w14:paraId="1628044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637" w:type="pct"/>
            <w:tcBorders>
              <w:top w:val="nil"/>
              <w:left w:val="nil"/>
              <w:bottom w:val="nil"/>
              <w:right w:val="nil"/>
            </w:tcBorders>
            <w:shd w:val="clear" w:color="000000" w:fill="FFFFFF"/>
            <w:noWrap/>
            <w:vAlign w:val="center"/>
            <w:hideMark/>
          </w:tcPr>
          <w:p w14:paraId="1839065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7.208</w:t>
            </w:r>
          </w:p>
        </w:tc>
        <w:tc>
          <w:tcPr>
            <w:tcW w:w="683" w:type="pct"/>
            <w:tcBorders>
              <w:top w:val="nil"/>
              <w:left w:val="nil"/>
              <w:bottom w:val="nil"/>
              <w:right w:val="nil"/>
            </w:tcBorders>
            <w:shd w:val="clear" w:color="000000" w:fill="FFFFFF"/>
            <w:noWrap/>
            <w:vAlign w:val="center"/>
            <w:hideMark/>
          </w:tcPr>
          <w:p w14:paraId="5EB401D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2.450</w:t>
            </w:r>
          </w:p>
        </w:tc>
        <w:tc>
          <w:tcPr>
            <w:tcW w:w="640" w:type="pct"/>
            <w:tcBorders>
              <w:top w:val="nil"/>
              <w:left w:val="nil"/>
              <w:bottom w:val="nil"/>
              <w:right w:val="nil"/>
            </w:tcBorders>
            <w:shd w:val="clear" w:color="000000" w:fill="FFFFFF"/>
            <w:noWrap/>
            <w:vAlign w:val="center"/>
            <w:hideMark/>
          </w:tcPr>
          <w:p w14:paraId="3AB708E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1.519</w:t>
            </w:r>
          </w:p>
        </w:tc>
        <w:tc>
          <w:tcPr>
            <w:tcW w:w="532" w:type="pct"/>
            <w:tcBorders>
              <w:top w:val="nil"/>
              <w:left w:val="nil"/>
              <w:bottom w:val="nil"/>
              <w:right w:val="single" w:sz="4" w:space="0" w:color="auto"/>
            </w:tcBorders>
            <w:shd w:val="clear" w:color="000000" w:fill="FFFFFF"/>
            <w:noWrap/>
            <w:vAlign w:val="center"/>
            <w:hideMark/>
          </w:tcPr>
          <w:p w14:paraId="1ADCFBB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2.593</w:t>
            </w:r>
          </w:p>
        </w:tc>
        <w:tc>
          <w:tcPr>
            <w:tcW w:w="466" w:type="pct"/>
            <w:tcBorders>
              <w:top w:val="nil"/>
              <w:left w:val="nil"/>
              <w:bottom w:val="nil"/>
              <w:right w:val="nil"/>
            </w:tcBorders>
            <w:shd w:val="clear" w:color="000000" w:fill="FFFFFF"/>
            <w:noWrap/>
            <w:vAlign w:val="center"/>
            <w:hideMark/>
          </w:tcPr>
          <w:p w14:paraId="2AB1F3CD"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13.806</w:t>
            </w:r>
          </w:p>
        </w:tc>
        <w:tc>
          <w:tcPr>
            <w:tcW w:w="444" w:type="pct"/>
            <w:tcBorders>
              <w:top w:val="nil"/>
              <w:left w:val="single" w:sz="4" w:space="0" w:color="auto"/>
              <w:bottom w:val="nil"/>
              <w:right w:val="single" w:sz="4" w:space="0" w:color="auto"/>
            </w:tcBorders>
            <w:shd w:val="clear" w:color="000000" w:fill="FFFFFF"/>
            <w:noWrap/>
            <w:vAlign w:val="center"/>
            <w:hideMark/>
          </w:tcPr>
          <w:p w14:paraId="07E2C22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B44397" w:rsidRPr="00650EE4" w14:paraId="537AEDC0" w14:textId="77777777" w:rsidTr="00267B1D">
        <w:tc>
          <w:tcPr>
            <w:tcW w:w="1132" w:type="pct"/>
            <w:tcBorders>
              <w:top w:val="nil"/>
              <w:left w:val="single" w:sz="4" w:space="0" w:color="auto"/>
              <w:bottom w:val="single" w:sz="4" w:space="0" w:color="auto"/>
              <w:right w:val="nil"/>
            </w:tcBorders>
            <w:shd w:val="clear" w:color="000000" w:fill="FFFFFF"/>
            <w:noWrap/>
            <w:vAlign w:val="center"/>
            <w:hideMark/>
          </w:tcPr>
          <w:p w14:paraId="19136C79"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66" w:type="pct"/>
            <w:tcBorders>
              <w:top w:val="nil"/>
              <w:left w:val="single" w:sz="4" w:space="0" w:color="auto"/>
              <w:bottom w:val="single" w:sz="4" w:space="0" w:color="auto"/>
              <w:right w:val="nil"/>
            </w:tcBorders>
            <w:shd w:val="clear" w:color="000000" w:fill="FFFFFF"/>
            <w:noWrap/>
            <w:vAlign w:val="center"/>
            <w:hideMark/>
          </w:tcPr>
          <w:p w14:paraId="19352B8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6.766</w:t>
            </w:r>
          </w:p>
        </w:tc>
        <w:tc>
          <w:tcPr>
            <w:tcW w:w="637" w:type="pct"/>
            <w:tcBorders>
              <w:top w:val="nil"/>
              <w:left w:val="nil"/>
              <w:bottom w:val="single" w:sz="4" w:space="0" w:color="auto"/>
              <w:right w:val="nil"/>
            </w:tcBorders>
            <w:shd w:val="clear" w:color="000000" w:fill="FFFFFF"/>
            <w:noWrap/>
            <w:vAlign w:val="center"/>
            <w:hideMark/>
          </w:tcPr>
          <w:p w14:paraId="27D2F3F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1.352</w:t>
            </w:r>
          </w:p>
        </w:tc>
        <w:tc>
          <w:tcPr>
            <w:tcW w:w="683" w:type="pct"/>
            <w:tcBorders>
              <w:top w:val="nil"/>
              <w:left w:val="nil"/>
              <w:bottom w:val="single" w:sz="4" w:space="0" w:color="auto"/>
              <w:right w:val="nil"/>
            </w:tcBorders>
            <w:shd w:val="clear" w:color="000000" w:fill="FFFFFF"/>
            <w:noWrap/>
            <w:vAlign w:val="center"/>
            <w:hideMark/>
          </w:tcPr>
          <w:p w14:paraId="62E721F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439</w:t>
            </w:r>
          </w:p>
        </w:tc>
        <w:tc>
          <w:tcPr>
            <w:tcW w:w="640" w:type="pct"/>
            <w:tcBorders>
              <w:top w:val="nil"/>
              <w:left w:val="nil"/>
              <w:bottom w:val="single" w:sz="4" w:space="0" w:color="auto"/>
              <w:right w:val="nil"/>
            </w:tcBorders>
            <w:shd w:val="clear" w:color="000000" w:fill="FFFFFF"/>
            <w:noWrap/>
            <w:vAlign w:val="center"/>
            <w:hideMark/>
          </w:tcPr>
          <w:p w14:paraId="580F515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284</w:t>
            </w:r>
          </w:p>
        </w:tc>
        <w:tc>
          <w:tcPr>
            <w:tcW w:w="532" w:type="pct"/>
            <w:tcBorders>
              <w:top w:val="nil"/>
              <w:left w:val="nil"/>
              <w:bottom w:val="single" w:sz="4" w:space="0" w:color="auto"/>
              <w:right w:val="single" w:sz="4" w:space="0" w:color="auto"/>
            </w:tcBorders>
            <w:shd w:val="clear" w:color="000000" w:fill="FFFFFF"/>
            <w:noWrap/>
            <w:vAlign w:val="center"/>
            <w:hideMark/>
          </w:tcPr>
          <w:p w14:paraId="5EAFF7B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3.136</w:t>
            </w:r>
          </w:p>
        </w:tc>
        <w:tc>
          <w:tcPr>
            <w:tcW w:w="466" w:type="pct"/>
            <w:tcBorders>
              <w:top w:val="nil"/>
              <w:left w:val="nil"/>
              <w:bottom w:val="single" w:sz="4" w:space="0" w:color="auto"/>
              <w:right w:val="nil"/>
            </w:tcBorders>
            <w:shd w:val="clear" w:color="000000" w:fill="FFFFFF"/>
            <w:noWrap/>
            <w:vAlign w:val="center"/>
            <w:hideMark/>
          </w:tcPr>
          <w:p w14:paraId="1FBF9036"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11.977</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14:paraId="130C21D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B44397" w:rsidRPr="00650EE4" w14:paraId="30A25A1B" w14:textId="77777777" w:rsidTr="00267B1D">
        <w:tc>
          <w:tcPr>
            <w:tcW w:w="1132" w:type="pct"/>
            <w:tcBorders>
              <w:top w:val="nil"/>
              <w:left w:val="single" w:sz="4" w:space="0" w:color="auto"/>
              <w:bottom w:val="single" w:sz="4" w:space="0" w:color="auto"/>
              <w:right w:val="nil"/>
            </w:tcBorders>
            <w:shd w:val="clear" w:color="000000" w:fill="F2F2F2"/>
            <w:noWrap/>
            <w:vAlign w:val="center"/>
            <w:hideMark/>
          </w:tcPr>
          <w:p w14:paraId="2DFFC4E1"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466" w:type="pct"/>
            <w:tcBorders>
              <w:top w:val="nil"/>
              <w:left w:val="single" w:sz="4" w:space="0" w:color="auto"/>
              <w:bottom w:val="single" w:sz="4" w:space="0" w:color="auto"/>
              <w:right w:val="nil"/>
            </w:tcBorders>
            <w:shd w:val="clear" w:color="000000" w:fill="F2F2F2"/>
            <w:noWrap/>
            <w:vAlign w:val="center"/>
            <w:hideMark/>
          </w:tcPr>
          <w:p w14:paraId="4830B551"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3.220</w:t>
            </w:r>
          </w:p>
        </w:tc>
        <w:tc>
          <w:tcPr>
            <w:tcW w:w="637" w:type="pct"/>
            <w:tcBorders>
              <w:top w:val="nil"/>
              <w:left w:val="nil"/>
              <w:bottom w:val="single" w:sz="4" w:space="0" w:color="auto"/>
              <w:right w:val="nil"/>
            </w:tcBorders>
            <w:shd w:val="clear" w:color="000000" w:fill="F2F2F2"/>
            <w:noWrap/>
            <w:vAlign w:val="center"/>
            <w:hideMark/>
          </w:tcPr>
          <w:p w14:paraId="0FA8CC81"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2.012</w:t>
            </w:r>
          </w:p>
        </w:tc>
        <w:tc>
          <w:tcPr>
            <w:tcW w:w="683" w:type="pct"/>
            <w:tcBorders>
              <w:top w:val="nil"/>
              <w:left w:val="nil"/>
              <w:bottom w:val="single" w:sz="4" w:space="0" w:color="auto"/>
              <w:right w:val="nil"/>
            </w:tcBorders>
            <w:shd w:val="clear" w:color="000000" w:fill="F2F2F2"/>
            <w:noWrap/>
            <w:vAlign w:val="center"/>
            <w:hideMark/>
          </w:tcPr>
          <w:p w14:paraId="59BA2FCD"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4.767</w:t>
            </w:r>
          </w:p>
        </w:tc>
        <w:tc>
          <w:tcPr>
            <w:tcW w:w="640" w:type="pct"/>
            <w:tcBorders>
              <w:top w:val="nil"/>
              <w:left w:val="nil"/>
              <w:bottom w:val="single" w:sz="4" w:space="0" w:color="auto"/>
              <w:right w:val="nil"/>
            </w:tcBorders>
            <w:shd w:val="clear" w:color="000000" w:fill="F2F2F2"/>
            <w:noWrap/>
            <w:vAlign w:val="center"/>
            <w:hideMark/>
          </w:tcPr>
          <w:p w14:paraId="56C8BB7D"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2.852</w:t>
            </w:r>
          </w:p>
        </w:tc>
        <w:tc>
          <w:tcPr>
            <w:tcW w:w="532" w:type="pct"/>
            <w:tcBorders>
              <w:top w:val="nil"/>
              <w:left w:val="nil"/>
              <w:bottom w:val="single" w:sz="4" w:space="0" w:color="auto"/>
              <w:right w:val="single" w:sz="4" w:space="0" w:color="auto"/>
            </w:tcBorders>
            <w:shd w:val="clear" w:color="000000" w:fill="F2F2F2"/>
            <w:noWrap/>
            <w:vAlign w:val="center"/>
            <w:hideMark/>
          </w:tcPr>
          <w:p w14:paraId="6DCD9974"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2.182</w:t>
            </w:r>
          </w:p>
        </w:tc>
        <w:tc>
          <w:tcPr>
            <w:tcW w:w="466" w:type="pct"/>
            <w:tcBorders>
              <w:top w:val="nil"/>
              <w:left w:val="nil"/>
              <w:bottom w:val="single" w:sz="4" w:space="0" w:color="auto"/>
              <w:right w:val="nil"/>
            </w:tcBorders>
            <w:shd w:val="clear" w:color="000000" w:fill="F2F2F2"/>
            <w:noWrap/>
            <w:vAlign w:val="center"/>
            <w:hideMark/>
          </w:tcPr>
          <w:p w14:paraId="0384D854"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15.031</w:t>
            </w:r>
          </w:p>
        </w:tc>
        <w:tc>
          <w:tcPr>
            <w:tcW w:w="444" w:type="pct"/>
            <w:tcBorders>
              <w:top w:val="nil"/>
              <w:left w:val="single" w:sz="4" w:space="0" w:color="auto"/>
              <w:bottom w:val="single" w:sz="4" w:space="0" w:color="auto"/>
              <w:right w:val="single" w:sz="4" w:space="0" w:color="auto"/>
            </w:tcBorders>
            <w:shd w:val="clear" w:color="000000" w:fill="F2F2F2"/>
            <w:noWrap/>
            <w:vAlign w:val="center"/>
            <w:hideMark/>
          </w:tcPr>
          <w:p w14:paraId="1A6BB24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37%</w:t>
            </w:r>
          </w:p>
        </w:tc>
      </w:tr>
      <w:tr w:rsidR="00B44397" w:rsidRPr="00650EE4" w14:paraId="14AAF2BB" w14:textId="77777777" w:rsidTr="00267B1D">
        <w:tc>
          <w:tcPr>
            <w:tcW w:w="1132" w:type="pct"/>
            <w:tcBorders>
              <w:top w:val="nil"/>
              <w:left w:val="single" w:sz="4" w:space="0" w:color="auto"/>
              <w:bottom w:val="nil"/>
              <w:right w:val="nil"/>
            </w:tcBorders>
            <w:shd w:val="clear" w:color="000000" w:fill="FFFFFF"/>
            <w:noWrap/>
            <w:vAlign w:val="center"/>
            <w:hideMark/>
          </w:tcPr>
          <w:p w14:paraId="5F67864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66" w:type="pct"/>
            <w:tcBorders>
              <w:top w:val="nil"/>
              <w:left w:val="single" w:sz="4" w:space="0" w:color="auto"/>
              <w:bottom w:val="nil"/>
              <w:right w:val="nil"/>
            </w:tcBorders>
            <w:shd w:val="clear" w:color="000000" w:fill="FFFFFF"/>
            <w:noWrap/>
            <w:vAlign w:val="center"/>
            <w:hideMark/>
          </w:tcPr>
          <w:p w14:paraId="2196AAF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1.489</w:t>
            </w:r>
          </w:p>
        </w:tc>
        <w:tc>
          <w:tcPr>
            <w:tcW w:w="637" w:type="pct"/>
            <w:tcBorders>
              <w:top w:val="nil"/>
              <w:left w:val="nil"/>
              <w:bottom w:val="nil"/>
              <w:right w:val="nil"/>
            </w:tcBorders>
            <w:shd w:val="clear" w:color="000000" w:fill="FFFFFF"/>
            <w:noWrap/>
            <w:vAlign w:val="center"/>
            <w:hideMark/>
          </w:tcPr>
          <w:p w14:paraId="2C2A359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989</w:t>
            </w:r>
          </w:p>
        </w:tc>
        <w:tc>
          <w:tcPr>
            <w:tcW w:w="683" w:type="pct"/>
            <w:tcBorders>
              <w:top w:val="nil"/>
              <w:left w:val="nil"/>
              <w:bottom w:val="nil"/>
              <w:right w:val="nil"/>
            </w:tcBorders>
            <w:shd w:val="clear" w:color="000000" w:fill="FFFFFF"/>
            <w:noWrap/>
            <w:vAlign w:val="center"/>
            <w:hideMark/>
          </w:tcPr>
          <w:p w14:paraId="6A5632C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2.353</w:t>
            </w:r>
          </w:p>
        </w:tc>
        <w:tc>
          <w:tcPr>
            <w:tcW w:w="640" w:type="pct"/>
            <w:tcBorders>
              <w:top w:val="nil"/>
              <w:left w:val="nil"/>
              <w:bottom w:val="nil"/>
              <w:right w:val="nil"/>
            </w:tcBorders>
            <w:shd w:val="clear" w:color="000000" w:fill="FFFFFF"/>
            <w:noWrap/>
            <w:vAlign w:val="center"/>
            <w:hideMark/>
          </w:tcPr>
          <w:p w14:paraId="07E7B99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1.402</w:t>
            </w:r>
          </w:p>
        </w:tc>
        <w:tc>
          <w:tcPr>
            <w:tcW w:w="532" w:type="pct"/>
            <w:tcBorders>
              <w:top w:val="nil"/>
              <w:left w:val="nil"/>
              <w:bottom w:val="nil"/>
              <w:right w:val="single" w:sz="4" w:space="0" w:color="auto"/>
            </w:tcBorders>
            <w:shd w:val="clear" w:color="000000" w:fill="FFFFFF"/>
            <w:noWrap/>
            <w:vAlign w:val="center"/>
            <w:hideMark/>
          </w:tcPr>
          <w:p w14:paraId="5FC89F6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1.033</w:t>
            </w:r>
          </w:p>
        </w:tc>
        <w:tc>
          <w:tcPr>
            <w:tcW w:w="466" w:type="pct"/>
            <w:tcBorders>
              <w:top w:val="nil"/>
              <w:left w:val="nil"/>
              <w:bottom w:val="nil"/>
              <w:right w:val="nil"/>
            </w:tcBorders>
            <w:shd w:val="clear" w:color="000000" w:fill="FFFFFF"/>
            <w:noWrap/>
            <w:vAlign w:val="center"/>
            <w:hideMark/>
          </w:tcPr>
          <w:p w14:paraId="2E9793A0"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7.267</w:t>
            </w:r>
          </w:p>
        </w:tc>
        <w:tc>
          <w:tcPr>
            <w:tcW w:w="444" w:type="pct"/>
            <w:tcBorders>
              <w:top w:val="nil"/>
              <w:left w:val="single" w:sz="4" w:space="0" w:color="auto"/>
              <w:bottom w:val="nil"/>
              <w:right w:val="single" w:sz="4" w:space="0" w:color="auto"/>
            </w:tcBorders>
            <w:shd w:val="clear" w:color="000000" w:fill="FFFFFF"/>
            <w:noWrap/>
            <w:vAlign w:val="center"/>
            <w:hideMark/>
          </w:tcPr>
          <w:p w14:paraId="080721D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B44397" w:rsidRPr="00650EE4" w14:paraId="43DFC538" w14:textId="77777777" w:rsidTr="00267B1D">
        <w:tc>
          <w:tcPr>
            <w:tcW w:w="1132" w:type="pct"/>
            <w:tcBorders>
              <w:top w:val="nil"/>
              <w:left w:val="single" w:sz="4" w:space="0" w:color="auto"/>
              <w:bottom w:val="nil"/>
              <w:right w:val="nil"/>
            </w:tcBorders>
            <w:shd w:val="clear" w:color="000000" w:fill="FFFFFF"/>
            <w:noWrap/>
            <w:vAlign w:val="center"/>
            <w:hideMark/>
          </w:tcPr>
          <w:p w14:paraId="7D2EA26F"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66" w:type="pct"/>
            <w:tcBorders>
              <w:top w:val="nil"/>
              <w:left w:val="single" w:sz="4" w:space="0" w:color="auto"/>
              <w:bottom w:val="nil"/>
              <w:right w:val="nil"/>
            </w:tcBorders>
            <w:shd w:val="clear" w:color="000000" w:fill="FFFFFF"/>
            <w:noWrap/>
            <w:vAlign w:val="center"/>
            <w:hideMark/>
          </w:tcPr>
          <w:p w14:paraId="011A668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475</w:t>
            </w:r>
          </w:p>
        </w:tc>
        <w:tc>
          <w:tcPr>
            <w:tcW w:w="637" w:type="pct"/>
            <w:tcBorders>
              <w:top w:val="nil"/>
              <w:left w:val="nil"/>
              <w:bottom w:val="nil"/>
              <w:right w:val="nil"/>
            </w:tcBorders>
            <w:shd w:val="clear" w:color="000000" w:fill="FFFFFF"/>
            <w:noWrap/>
            <w:vAlign w:val="center"/>
            <w:hideMark/>
          </w:tcPr>
          <w:p w14:paraId="6CDAFEC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284</w:t>
            </w:r>
          </w:p>
        </w:tc>
        <w:tc>
          <w:tcPr>
            <w:tcW w:w="683" w:type="pct"/>
            <w:tcBorders>
              <w:top w:val="nil"/>
              <w:left w:val="nil"/>
              <w:bottom w:val="nil"/>
              <w:right w:val="nil"/>
            </w:tcBorders>
            <w:shd w:val="clear" w:color="000000" w:fill="FFFFFF"/>
            <w:noWrap/>
            <w:vAlign w:val="center"/>
            <w:hideMark/>
          </w:tcPr>
          <w:p w14:paraId="286E41E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670</w:t>
            </w:r>
          </w:p>
        </w:tc>
        <w:tc>
          <w:tcPr>
            <w:tcW w:w="640" w:type="pct"/>
            <w:tcBorders>
              <w:top w:val="nil"/>
              <w:left w:val="nil"/>
              <w:bottom w:val="nil"/>
              <w:right w:val="nil"/>
            </w:tcBorders>
            <w:shd w:val="clear" w:color="000000" w:fill="FFFFFF"/>
            <w:noWrap/>
            <w:vAlign w:val="center"/>
            <w:hideMark/>
          </w:tcPr>
          <w:p w14:paraId="28E27C0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403</w:t>
            </w:r>
          </w:p>
        </w:tc>
        <w:tc>
          <w:tcPr>
            <w:tcW w:w="532" w:type="pct"/>
            <w:tcBorders>
              <w:top w:val="nil"/>
              <w:left w:val="nil"/>
              <w:bottom w:val="nil"/>
              <w:right w:val="single" w:sz="4" w:space="0" w:color="auto"/>
            </w:tcBorders>
            <w:shd w:val="clear" w:color="000000" w:fill="FFFFFF"/>
            <w:noWrap/>
            <w:vAlign w:val="center"/>
            <w:hideMark/>
          </w:tcPr>
          <w:p w14:paraId="13BDEFB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346</w:t>
            </w:r>
          </w:p>
        </w:tc>
        <w:tc>
          <w:tcPr>
            <w:tcW w:w="466" w:type="pct"/>
            <w:tcBorders>
              <w:top w:val="nil"/>
              <w:left w:val="nil"/>
              <w:bottom w:val="nil"/>
              <w:right w:val="nil"/>
            </w:tcBorders>
            <w:shd w:val="clear" w:color="000000" w:fill="FFFFFF"/>
            <w:noWrap/>
            <w:vAlign w:val="center"/>
            <w:hideMark/>
          </w:tcPr>
          <w:p w14:paraId="78A21605"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2.179</w:t>
            </w:r>
          </w:p>
        </w:tc>
        <w:tc>
          <w:tcPr>
            <w:tcW w:w="444" w:type="pct"/>
            <w:tcBorders>
              <w:top w:val="nil"/>
              <w:left w:val="single" w:sz="4" w:space="0" w:color="auto"/>
              <w:bottom w:val="nil"/>
              <w:right w:val="single" w:sz="4" w:space="0" w:color="auto"/>
            </w:tcBorders>
            <w:shd w:val="clear" w:color="000000" w:fill="FFFFFF"/>
            <w:noWrap/>
            <w:vAlign w:val="center"/>
            <w:hideMark/>
          </w:tcPr>
          <w:p w14:paraId="7D33B62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B44397" w:rsidRPr="00650EE4" w14:paraId="7C61774C" w14:textId="77777777" w:rsidTr="00267B1D">
        <w:tc>
          <w:tcPr>
            <w:tcW w:w="1132" w:type="pct"/>
            <w:tcBorders>
              <w:top w:val="nil"/>
              <w:left w:val="single" w:sz="4" w:space="0" w:color="auto"/>
              <w:bottom w:val="nil"/>
              <w:right w:val="nil"/>
            </w:tcBorders>
            <w:shd w:val="clear" w:color="000000" w:fill="FFFFFF"/>
            <w:noWrap/>
            <w:vAlign w:val="center"/>
            <w:hideMark/>
          </w:tcPr>
          <w:p w14:paraId="7A9DC118"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66" w:type="pct"/>
            <w:tcBorders>
              <w:top w:val="nil"/>
              <w:left w:val="single" w:sz="4" w:space="0" w:color="auto"/>
              <w:bottom w:val="nil"/>
              <w:right w:val="nil"/>
            </w:tcBorders>
            <w:shd w:val="clear" w:color="000000" w:fill="FFFFFF"/>
            <w:noWrap/>
            <w:vAlign w:val="center"/>
            <w:hideMark/>
          </w:tcPr>
          <w:p w14:paraId="1105A81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w:t>
            </w:r>
          </w:p>
        </w:tc>
        <w:tc>
          <w:tcPr>
            <w:tcW w:w="637" w:type="pct"/>
            <w:tcBorders>
              <w:top w:val="nil"/>
              <w:left w:val="nil"/>
              <w:bottom w:val="nil"/>
              <w:right w:val="nil"/>
            </w:tcBorders>
            <w:shd w:val="clear" w:color="000000" w:fill="FFFFFF"/>
            <w:noWrap/>
            <w:vAlign w:val="center"/>
            <w:hideMark/>
          </w:tcPr>
          <w:p w14:paraId="210D287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232</w:t>
            </w:r>
          </w:p>
        </w:tc>
        <w:tc>
          <w:tcPr>
            <w:tcW w:w="683" w:type="pct"/>
            <w:tcBorders>
              <w:top w:val="nil"/>
              <w:left w:val="nil"/>
              <w:bottom w:val="nil"/>
              <w:right w:val="nil"/>
            </w:tcBorders>
            <w:shd w:val="clear" w:color="000000" w:fill="FFFFFF"/>
            <w:noWrap/>
            <w:vAlign w:val="center"/>
            <w:hideMark/>
          </w:tcPr>
          <w:p w14:paraId="10D6D92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538</w:t>
            </w:r>
          </w:p>
        </w:tc>
        <w:tc>
          <w:tcPr>
            <w:tcW w:w="640" w:type="pct"/>
            <w:tcBorders>
              <w:top w:val="nil"/>
              <w:left w:val="nil"/>
              <w:bottom w:val="nil"/>
              <w:right w:val="nil"/>
            </w:tcBorders>
            <w:shd w:val="clear" w:color="000000" w:fill="FFFFFF"/>
            <w:noWrap/>
            <w:vAlign w:val="center"/>
            <w:hideMark/>
          </w:tcPr>
          <w:p w14:paraId="1D55077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329</w:t>
            </w:r>
          </w:p>
        </w:tc>
        <w:tc>
          <w:tcPr>
            <w:tcW w:w="532" w:type="pct"/>
            <w:tcBorders>
              <w:top w:val="nil"/>
              <w:left w:val="nil"/>
              <w:bottom w:val="nil"/>
              <w:right w:val="single" w:sz="4" w:space="0" w:color="auto"/>
            </w:tcBorders>
            <w:shd w:val="clear" w:color="000000" w:fill="FFFFFF"/>
            <w:noWrap/>
            <w:vAlign w:val="center"/>
            <w:hideMark/>
          </w:tcPr>
          <w:p w14:paraId="620CC58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146</w:t>
            </w:r>
          </w:p>
        </w:tc>
        <w:tc>
          <w:tcPr>
            <w:tcW w:w="466" w:type="pct"/>
            <w:tcBorders>
              <w:top w:val="nil"/>
              <w:left w:val="nil"/>
              <w:bottom w:val="nil"/>
              <w:right w:val="nil"/>
            </w:tcBorders>
            <w:shd w:val="clear" w:color="000000" w:fill="FFFFFF"/>
            <w:noWrap/>
            <w:vAlign w:val="center"/>
            <w:hideMark/>
          </w:tcPr>
          <w:p w14:paraId="1F02058A"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1.599</w:t>
            </w:r>
          </w:p>
        </w:tc>
        <w:tc>
          <w:tcPr>
            <w:tcW w:w="444" w:type="pct"/>
            <w:tcBorders>
              <w:top w:val="nil"/>
              <w:left w:val="single" w:sz="4" w:space="0" w:color="auto"/>
              <w:bottom w:val="nil"/>
              <w:right w:val="single" w:sz="4" w:space="0" w:color="auto"/>
            </w:tcBorders>
            <w:shd w:val="clear" w:color="000000" w:fill="FFFFFF"/>
            <w:noWrap/>
            <w:vAlign w:val="center"/>
            <w:hideMark/>
          </w:tcPr>
          <w:p w14:paraId="2B9B358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B44397" w:rsidRPr="00650EE4" w14:paraId="31350D3E" w14:textId="77777777" w:rsidTr="00267B1D">
        <w:tc>
          <w:tcPr>
            <w:tcW w:w="1132" w:type="pct"/>
            <w:tcBorders>
              <w:top w:val="nil"/>
              <w:left w:val="single" w:sz="4" w:space="0" w:color="auto"/>
              <w:bottom w:val="nil"/>
              <w:right w:val="nil"/>
            </w:tcBorders>
            <w:shd w:val="clear" w:color="000000" w:fill="FFFFFF"/>
            <w:noWrap/>
            <w:vAlign w:val="center"/>
            <w:hideMark/>
          </w:tcPr>
          <w:p w14:paraId="422A9718"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66" w:type="pct"/>
            <w:tcBorders>
              <w:top w:val="nil"/>
              <w:left w:val="single" w:sz="4" w:space="0" w:color="auto"/>
              <w:bottom w:val="nil"/>
              <w:right w:val="nil"/>
            </w:tcBorders>
            <w:shd w:val="clear" w:color="000000" w:fill="FFFFFF"/>
            <w:noWrap/>
            <w:vAlign w:val="center"/>
            <w:hideMark/>
          </w:tcPr>
          <w:p w14:paraId="76F3508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637" w:type="pct"/>
            <w:tcBorders>
              <w:top w:val="nil"/>
              <w:left w:val="nil"/>
              <w:bottom w:val="nil"/>
              <w:right w:val="nil"/>
            </w:tcBorders>
            <w:shd w:val="clear" w:color="000000" w:fill="FFFFFF"/>
            <w:noWrap/>
            <w:vAlign w:val="center"/>
            <w:hideMark/>
          </w:tcPr>
          <w:p w14:paraId="6F66337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164</w:t>
            </w:r>
          </w:p>
        </w:tc>
        <w:tc>
          <w:tcPr>
            <w:tcW w:w="683" w:type="pct"/>
            <w:tcBorders>
              <w:top w:val="nil"/>
              <w:left w:val="nil"/>
              <w:bottom w:val="nil"/>
              <w:right w:val="nil"/>
            </w:tcBorders>
            <w:shd w:val="clear" w:color="000000" w:fill="FFFFFF"/>
            <w:noWrap/>
            <w:vAlign w:val="center"/>
            <w:hideMark/>
          </w:tcPr>
          <w:p w14:paraId="3ED090E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w:t>
            </w:r>
          </w:p>
        </w:tc>
        <w:tc>
          <w:tcPr>
            <w:tcW w:w="640" w:type="pct"/>
            <w:tcBorders>
              <w:top w:val="nil"/>
              <w:left w:val="nil"/>
              <w:bottom w:val="nil"/>
              <w:right w:val="nil"/>
            </w:tcBorders>
            <w:shd w:val="clear" w:color="000000" w:fill="FFFFFF"/>
            <w:noWrap/>
            <w:vAlign w:val="center"/>
            <w:hideMark/>
          </w:tcPr>
          <w:p w14:paraId="6254BF5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233</w:t>
            </w:r>
          </w:p>
        </w:tc>
        <w:tc>
          <w:tcPr>
            <w:tcW w:w="532" w:type="pct"/>
            <w:tcBorders>
              <w:top w:val="nil"/>
              <w:left w:val="nil"/>
              <w:bottom w:val="nil"/>
              <w:right w:val="single" w:sz="4" w:space="0" w:color="auto"/>
            </w:tcBorders>
            <w:shd w:val="clear" w:color="000000" w:fill="FFFFFF"/>
            <w:noWrap/>
            <w:vAlign w:val="center"/>
            <w:hideMark/>
          </w:tcPr>
          <w:p w14:paraId="683C83D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260</w:t>
            </w:r>
          </w:p>
        </w:tc>
        <w:tc>
          <w:tcPr>
            <w:tcW w:w="466" w:type="pct"/>
            <w:tcBorders>
              <w:top w:val="nil"/>
              <w:left w:val="nil"/>
              <w:bottom w:val="nil"/>
              <w:right w:val="nil"/>
            </w:tcBorders>
            <w:shd w:val="clear" w:color="000000" w:fill="FFFFFF"/>
            <w:noWrap/>
            <w:vAlign w:val="center"/>
            <w:hideMark/>
          </w:tcPr>
          <w:p w14:paraId="749B44F1"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1.361</w:t>
            </w:r>
          </w:p>
        </w:tc>
        <w:tc>
          <w:tcPr>
            <w:tcW w:w="444" w:type="pct"/>
            <w:tcBorders>
              <w:top w:val="nil"/>
              <w:left w:val="single" w:sz="4" w:space="0" w:color="auto"/>
              <w:bottom w:val="nil"/>
              <w:right w:val="single" w:sz="4" w:space="0" w:color="auto"/>
            </w:tcBorders>
            <w:shd w:val="clear" w:color="000000" w:fill="FFFFFF"/>
            <w:noWrap/>
            <w:vAlign w:val="center"/>
            <w:hideMark/>
          </w:tcPr>
          <w:p w14:paraId="03B0D05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B44397" w:rsidRPr="00650EE4" w14:paraId="56AFA21E" w14:textId="77777777" w:rsidTr="00267B1D">
        <w:tc>
          <w:tcPr>
            <w:tcW w:w="1132" w:type="pct"/>
            <w:tcBorders>
              <w:top w:val="nil"/>
              <w:left w:val="single" w:sz="4" w:space="0" w:color="auto"/>
              <w:bottom w:val="nil"/>
              <w:right w:val="nil"/>
            </w:tcBorders>
            <w:shd w:val="clear" w:color="000000" w:fill="FFFFFF"/>
            <w:noWrap/>
            <w:vAlign w:val="center"/>
            <w:hideMark/>
          </w:tcPr>
          <w:p w14:paraId="5B49DE7C"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66" w:type="pct"/>
            <w:tcBorders>
              <w:top w:val="nil"/>
              <w:left w:val="single" w:sz="4" w:space="0" w:color="auto"/>
              <w:bottom w:val="nil"/>
              <w:right w:val="nil"/>
            </w:tcBorders>
            <w:shd w:val="clear" w:color="000000" w:fill="FFFFFF"/>
            <w:noWrap/>
            <w:vAlign w:val="center"/>
            <w:hideMark/>
          </w:tcPr>
          <w:p w14:paraId="3BE9288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136</w:t>
            </w:r>
          </w:p>
        </w:tc>
        <w:tc>
          <w:tcPr>
            <w:tcW w:w="637" w:type="pct"/>
            <w:tcBorders>
              <w:top w:val="nil"/>
              <w:left w:val="nil"/>
              <w:bottom w:val="nil"/>
              <w:right w:val="nil"/>
            </w:tcBorders>
            <w:shd w:val="clear" w:color="000000" w:fill="FFFFFF"/>
            <w:noWrap/>
            <w:vAlign w:val="center"/>
            <w:hideMark/>
          </w:tcPr>
          <w:p w14:paraId="7AC4384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w:t>
            </w:r>
          </w:p>
        </w:tc>
        <w:tc>
          <w:tcPr>
            <w:tcW w:w="683" w:type="pct"/>
            <w:tcBorders>
              <w:top w:val="nil"/>
              <w:left w:val="nil"/>
              <w:bottom w:val="nil"/>
              <w:right w:val="nil"/>
            </w:tcBorders>
            <w:shd w:val="clear" w:color="000000" w:fill="FFFFFF"/>
            <w:noWrap/>
            <w:vAlign w:val="center"/>
            <w:hideMark/>
          </w:tcPr>
          <w:p w14:paraId="54AEE97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201</w:t>
            </w:r>
          </w:p>
        </w:tc>
        <w:tc>
          <w:tcPr>
            <w:tcW w:w="640" w:type="pct"/>
            <w:tcBorders>
              <w:top w:val="nil"/>
              <w:left w:val="nil"/>
              <w:bottom w:val="nil"/>
              <w:right w:val="nil"/>
            </w:tcBorders>
            <w:shd w:val="clear" w:color="000000" w:fill="FFFFFF"/>
            <w:noWrap/>
            <w:vAlign w:val="center"/>
            <w:hideMark/>
          </w:tcPr>
          <w:p w14:paraId="553F113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122</w:t>
            </w:r>
          </w:p>
        </w:tc>
        <w:tc>
          <w:tcPr>
            <w:tcW w:w="532" w:type="pct"/>
            <w:tcBorders>
              <w:top w:val="nil"/>
              <w:left w:val="nil"/>
              <w:bottom w:val="nil"/>
              <w:right w:val="single" w:sz="4" w:space="0" w:color="auto"/>
            </w:tcBorders>
            <w:shd w:val="clear" w:color="000000" w:fill="FFFFFF"/>
            <w:noWrap/>
            <w:vAlign w:val="center"/>
            <w:hideMark/>
          </w:tcPr>
          <w:p w14:paraId="6F84FB9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466" w:type="pct"/>
            <w:tcBorders>
              <w:top w:val="nil"/>
              <w:left w:val="nil"/>
              <w:bottom w:val="nil"/>
              <w:right w:val="nil"/>
            </w:tcBorders>
            <w:shd w:val="clear" w:color="000000" w:fill="FFFFFF"/>
            <w:noWrap/>
            <w:vAlign w:val="center"/>
            <w:hideMark/>
          </w:tcPr>
          <w:p w14:paraId="5BB3E289"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653</w:t>
            </w:r>
          </w:p>
        </w:tc>
        <w:tc>
          <w:tcPr>
            <w:tcW w:w="444" w:type="pct"/>
            <w:tcBorders>
              <w:top w:val="nil"/>
              <w:left w:val="single" w:sz="4" w:space="0" w:color="auto"/>
              <w:bottom w:val="nil"/>
              <w:right w:val="single" w:sz="4" w:space="0" w:color="auto"/>
            </w:tcBorders>
            <w:shd w:val="clear" w:color="000000" w:fill="FFFFFF"/>
            <w:noWrap/>
            <w:vAlign w:val="center"/>
            <w:hideMark/>
          </w:tcPr>
          <w:p w14:paraId="1F067B2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1,60%</w:t>
            </w:r>
          </w:p>
        </w:tc>
      </w:tr>
      <w:tr w:rsidR="00B44397" w:rsidRPr="00650EE4" w14:paraId="3B0FDBA8" w14:textId="77777777" w:rsidTr="00267B1D">
        <w:tc>
          <w:tcPr>
            <w:tcW w:w="1132" w:type="pct"/>
            <w:tcBorders>
              <w:top w:val="nil"/>
              <w:left w:val="single" w:sz="4" w:space="0" w:color="auto"/>
              <w:bottom w:val="nil"/>
              <w:right w:val="nil"/>
            </w:tcBorders>
            <w:shd w:val="clear" w:color="000000" w:fill="FFFFFF"/>
            <w:noWrap/>
            <w:vAlign w:val="center"/>
            <w:hideMark/>
          </w:tcPr>
          <w:p w14:paraId="2AEB4B04"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66" w:type="pct"/>
            <w:tcBorders>
              <w:top w:val="nil"/>
              <w:left w:val="single" w:sz="4" w:space="0" w:color="auto"/>
              <w:bottom w:val="nil"/>
              <w:right w:val="nil"/>
            </w:tcBorders>
            <w:shd w:val="clear" w:color="000000" w:fill="FFFFFF"/>
            <w:noWrap/>
            <w:vAlign w:val="center"/>
            <w:hideMark/>
          </w:tcPr>
          <w:p w14:paraId="1FA9A46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161</w:t>
            </w:r>
          </w:p>
        </w:tc>
        <w:tc>
          <w:tcPr>
            <w:tcW w:w="637" w:type="pct"/>
            <w:tcBorders>
              <w:top w:val="nil"/>
              <w:left w:val="nil"/>
              <w:bottom w:val="nil"/>
              <w:right w:val="nil"/>
            </w:tcBorders>
            <w:shd w:val="clear" w:color="000000" w:fill="FFFFFF"/>
            <w:noWrap/>
            <w:vAlign w:val="center"/>
            <w:hideMark/>
          </w:tcPr>
          <w:p w14:paraId="4A15F0D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w:t>
            </w:r>
          </w:p>
        </w:tc>
        <w:tc>
          <w:tcPr>
            <w:tcW w:w="683" w:type="pct"/>
            <w:tcBorders>
              <w:top w:val="nil"/>
              <w:left w:val="nil"/>
              <w:bottom w:val="nil"/>
              <w:right w:val="nil"/>
            </w:tcBorders>
            <w:shd w:val="clear" w:color="000000" w:fill="FFFFFF"/>
            <w:noWrap/>
            <w:vAlign w:val="center"/>
            <w:hideMark/>
          </w:tcPr>
          <w:p w14:paraId="46C562F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w:t>
            </w:r>
          </w:p>
        </w:tc>
        <w:tc>
          <w:tcPr>
            <w:tcW w:w="640" w:type="pct"/>
            <w:tcBorders>
              <w:top w:val="nil"/>
              <w:left w:val="nil"/>
              <w:bottom w:val="nil"/>
              <w:right w:val="nil"/>
            </w:tcBorders>
            <w:shd w:val="clear" w:color="000000" w:fill="FFFFFF"/>
            <w:noWrap/>
            <w:vAlign w:val="center"/>
            <w:hideMark/>
          </w:tcPr>
          <w:p w14:paraId="1D73598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32" w:type="pct"/>
            <w:tcBorders>
              <w:top w:val="nil"/>
              <w:left w:val="nil"/>
              <w:bottom w:val="nil"/>
              <w:right w:val="single" w:sz="4" w:space="0" w:color="auto"/>
            </w:tcBorders>
            <w:shd w:val="clear" w:color="000000" w:fill="FFFFFF"/>
            <w:noWrap/>
            <w:vAlign w:val="center"/>
            <w:hideMark/>
          </w:tcPr>
          <w:p w14:paraId="6D3F67A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w:t>
            </w:r>
          </w:p>
        </w:tc>
        <w:tc>
          <w:tcPr>
            <w:tcW w:w="466" w:type="pct"/>
            <w:tcBorders>
              <w:top w:val="nil"/>
              <w:left w:val="nil"/>
              <w:bottom w:val="nil"/>
              <w:right w:val="nil"/>
            </w:tcBorders>
            <w:shd w:val="clear" w:color="000000" w:fill="FFFFFF"/>
            <w:noWrap/>
            <w:vAlign w:val="center"/>
            <w:hideMark/>
          </w:tcPr>
          <w:p w14:paraId="3478BEB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568</w:t>
            </w:r>
          </w:p>
        </w:tc>
        <w:tc>
          <w:tcPr>
            <w:tcW w:w="444" w:type="pct"/>
            <w:tcBorders>
              <w:top w:val="nil"/>
              <w:left w:val="single" w:sz="4" w:space="0" w:color="auto"/>
              <w:bottom w:val="nil"/>
              <w:right w:val="single" w:sz="4" w:space="0" w:color="auto"/>
            </w:tcBorders>
            <w:shd w:val="clear" w:color="000000" w:fill="FFFFFF"/>
            <w:noWrap/>
            <w:vAlign w:val="center"/>
            <w:hideMark/>
          </w:tcPr>
          <w:p w14:paraId="173A851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1,39%</w:t>
            </w:r>
          </w:p>
        </w:tc>
      </w:tr>
      <w:tr w:rsidR="00B44397" w:rsidRPr="00650EE4" w14:paraId="5C7AA61A" w14:textId="77777777" w:rsidTr="00267B1D">
        <w:tc>
          <w:tcPr>
            <w:tcW w:w="1132" w:type="pct"/>
            <w:tcBorders>
              <w:top w:val="nil"/>
              <w:left w:val="single" w:sz="4" w:space="0" w:color="auto"/>
              <w:bottom w:val="nil"/>
              <w:right w:val="nil"/>
            </w:tcBorders>
            <w:shd w:val="clear" w:color="000000" w:fill="FFFFFF"/>
            <w:noWrap/>
            <w:vAlign w:val="center"/>
            <w:hideMark/>
          </w:tcPr>
          <w:p w14:paraId="6A6A86E2"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66" w:type="pct"/>
            <w:tcBorders>
              <w:top w:val="nil"/>
              <w:left w:val="single" w:sz="4" w:space="0" w:color="auto"/>
              <w:bottom w:val="nil"/>
              <w:right w:val="nil"/>
            </w:tcBorders>
            <w:shd w:val="clear" w:color="000000" w:fill="FFFFFF"/>
            <w:noWrap/>
            <w:vAlign w:val="center"/>
            <w:hideMark/>
          </w:tcPr>
          <w:p w14:paraId="13C5778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637" w:type="pct"/>
            <w:tcBorders>
              <w:top w:val="nil"/>
              <w:left w:val="nil"/>
              <w:bottom w:val="nil"/>
              <w:right w:val="nil"/>
            </w:tcBorders>
            <w:shd w:val="clear" w:color="000000" w:fill="FFFFFF"/>
            <w:noWrap/>
            <w:vAlign w:val="center"/>
            <w:hideMark/>
          </w:tcPr>
          <w:p w14:paraId="198821D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w:t>
            </w:r>
          </w:p>
        </w:tc>
        <w:tc>
          <w:tcPr>
            <w:tcW w:w="683" w:type="pct"/>
            <w:tcBorders>
              <w:top w:val="nil"/>
              <w:left w:val="nil"/>
              <w:bottom w:val="nil"/>
              <w:right w:val="nil"/>
            </w:tcBorders>
            <w:shd w:val="clear" w:color="000000" w:fill="FFFFFF"/>
            <w:noWrap/>
            <w:vAlign w:val="center"/>
            <w:hideMark/>
          </w:tcPr>
          <w:p w14:paraId="1686B86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159</w:t>
            </w:r>
          </w:p>
        </w:tc>
        <w:tc>
          <w:tcPr>
            <w:tcW w:w="640" w:type="pct"/>
            <w:tcBorders>
              <w:top w:val="nil"/>
              <w:left w:val="nil"/>
              <w:bottom w:val="nil"/>
              <w:right w:val="nil"/>
            </w:tcBorders>
            <w:shd w:val="clear" w:color="000000" w:fill="FFFFFF"/>
            <w:noWrap/>
            <w:vAlign w:val="center"/>
            <w:hideMark/>
          </w:tcPr>
          <w:p w14:paraId="495D20F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532" w:type="pct"/>
            <w:tcBorders>
              <w:top w:val="nil"/>
              <w:left w:val="nil"/>
              <w:bottom w:val="nil"/>
              <w:right w:val="single" w:sz="4" w:space="0" w:color="auto"/>
            </w:tcBorders>
            <w:shd w:val="clear" w:color="000000" w:fill="FFFFFF"/>
            <w:noWrap/>
            <w:vAlign w:val="center"/>
            <w:hideMark/>
          </w:tcPr>
          <w:p w14:paraId="14C6332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w:t>
            </w:r>
          </w:p>
        </w:tc>
        <w:tc>
          <w:tcPr>
            <w:tcW w:w="466" w:type="pct"/>
            <w:tcBorders>
              <w:top w:val="nil"/>
              <w:left w:val="nil"/>
              <w:bottom w:val="nil"/>
              <w:right w:val="nil"/>
            </w:tcBorders>
            <w:shd w:val="clear" w:color="000000" w:fill="FFFFFF"/>
            <w:noWrap/>
            <w:vAlign w:val="center"/>
            <w:hideMark/>
          </w:tcPr>
          <w:p w14:paraId="12A5BC22"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503</w:t>
            </w:r>
          </w:p>
        </w:tc>
        <w:tc>
          <w:tcPr>
            <w:tcW w:w="444" w:type="pct"/>
            <w:tcBorders>
              <w:top w:val="nil"/>
              <w:left w:val="single" w:sz="4" w:space="0" w:color="auto"/>
              <w:bottom w:val="nil"/>
              <w:right w:val="single" w:sz="4" w:space="0" w:color="auto"/>
            </w:tcBorders>
            <w:shd w:val="clear" w:color="000000" w:fill="FFFFFF"/>
            <w:noWrap/>
            <w:vAlign w:val="center"/>
            <w:hideMark/>
          </w:tcPr>
          <w:p w14:paraId="7B2F311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w:t>
            </w:r>
          </w:p>
        </w:tc>
      </w:tr>
      <w:tr w:rsidR="00B44397" w:rsidRPr="00650EE4" w14:paraId="43CDA090" w14:textId="77777777" w:rsidTr="00267B1D">
        <w:tc>
          <w:tcPr>
            <w:tcW w:w="1132" w:type="pct"/>
            <w:tcBorders>
              <w:top w:val="nil"/>
              <w:left w:val="single" w:sz="4" w:space="0" w:color="auto"/>
              <w:bottom w:val="nil"/>
              <w:right w:val="nil"/>
            </w:tcBorders>
            <w:shd w:val="clear" w:color="000000" w:fill="FFFFFF"/>
            <w:noWrap/>
            <w:vAlign w:val="center"/>
            <w:hideMark/>
          </w:tcPr>
          <w:p w14:paraId="68432B8E"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66" w:type="pct"/>
            <w:tcBorders>
              <w:top w:val="nil"/>
              <w:left w:val="single" w:sz="4" w:space="0" w:color="auto"/>
              <w:bottom w:val="nil"/>
              <w:right w:val="nil"/>
            </w:tcBorders>
            <w:shd w:val="clear" w:color="000000" w:fill="FFFFFF"/>
            <w:noWrap/>
            <w:vAlign w:val="center"/>
            <w:hideMark/>
          </w:tcPr>
          <w:p w14:paraId="73EAC6F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w:t>
            </w:r>
          </w:p>
        </w:tc>
        <w:tc>
          <w:tcPr>
            <w:tcW w:w="637" w:type="pct"/>
            <w:tcBorders>
              <w:top w:val="nil"/>
              <w:left w:val="nil"/>
              <w:bottom w:val="nil"/>
              <w:right w:val="nil"/>
            </w:tcBorders>
            <w:shd w:val="clear" w:color="000000" w:fill="FFFFFF"/>
            <w:noWrap/>
            <w:vAlign w:val="center"/>
            <w:hideMark/>
          </w:tcPr>
          <w:p w14:paraId="10DEFC0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w:t>
            </w:r>
          </w:p>
        </w:tc>
        <w:tc>
          <w:tcPr>
            <w:tcW w:w="683" w:type="pct"/>
            <w:tcBorders>
              <w:top w:val="nil"/>
              <w:left w:val="nil"/>
              <w:bottom w:val="nil"/>
              <w:right w:val="nil"/>
            </w:tcBorders>
            <w:shd w:val="clear" w:color="000000" w:fill="FFFFFF"/>
            <w:noWrap/>
            <w:vAlign w:val="center"/>
            <w:hideMark/>
          </w:tcPr>
          <w:p w14:paraId="5577180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171</w:t>
            </w:r>
          </w:p>
        </w:tc>
        <w:tc>
          <w:tcPr>
            <w:tcW w:w="640" w:type="pct"/>
            <w:tcBorders>
              <w:top w:val="nil"/>
              <w:left w:val="nil"/>
              <w:bottom w:val="nil"/>
              <w:right w:val="nil"/>
            </w:tcBorders>
            <w:shd w:val="clear" w:color="000000" w:fill="FFFFFF"/>
            <w:noWrap/>
            <w:vAlign w:val="center"/>
            <w:hideMark/>
          </w:tcPr>
          <w:p w14:paraId="54E1473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102</w:t>
            </w:r>
          </w:p>
        </w:tc>
        <w:tc>
          <w:tcPr>
            <w:tcW w:w="532" w:type="pct"/>
            <w:tcBorders>
              <w:top w:val="nil"/>
              <w:left w:val="nil"/>
              <w:bottom w:val="nil"/>
              <w:right w:val="single" w:sz="4" w:space="0" w:color="auto"/>
            </w:tcBorders>
            <w:shd w:val="clear" w:color="000000" w:fill="FFFFFF"/>
            <w:noWrap/>
            <w:vAlign w:val="center"/>
            <w:hideMark/>
          </w:tcPr>
          <w:p w14:paraId="6176DDA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466" w:type="pct"/>
            <w:tcBorders>
              <w:top w:val="nil"/>
              <w:left w:val="nil"/>
              <w:bottom w:val="nil"/>
              <w:right w:val="nil"/>
            </w:tcBorders>
            <w:shd w:val="clear" w:color="000000" w:fill="FFFFFF"/>
            <w:noWrap/>
            <w:vAlign w:val="center"/>
            <w:hideMark/>
          </w:tcPr>
          <w:p w14:paraId="282332F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536</w:t>
            </w:r>
          </w:p>
        </w:tc>
        <w:tc>
          <w:tcPr>
            <w:tcW w:w="444" w:type="pct"/>
            <w:tcBorders>
              <w:top w:val="nil"/>
              <w:left w:val="single" w:sz="4" w:space="0" w:color="auto"/>
              <w:bottom w:val="nil"/>
              <w:right w:val="single" w:sz="4" w:space="0" w:color="auto"/>
            </w:tcBorders>
            <w:shd w:val="clear" w:color="000000" w:fill="FFFFFF"/>
            <w:noWrap/>
            <w:vAlign w:val="center"/>
            <w:hideMark/>
          </w:tcPr>
          <w:p w14:paraId="696787B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1,31%</w:t>
            </w:r>
          </w:p>
        </w:tc>
      </w:tr>
      <w:tr w:rsidR="00B44397" w:rsidRPr="00650EE4" w14:paraId="15AF5B46" w14:textId="77777777" w:rsidTr="00267B1D">
        <w:tc>
          <w:tcPr>
            <w:tcW w:w="1132" w:type="pct"/>
            <w:tcBorders>
              <w:top w:val="nil"/>
              <w:left w:val="single" w:sz="4" w:space="0" w:color="auto"/>
              <w:bottom w:val="nil"/>
              <w:right w:val="nil"/>
            </w:tcBorders>
            <w:shd w:val="clear" w:color="000000" w:fill="FFFFFF"/>
            <w:noWrap/>
            <w:vAlign w:val="center"/>
            <w:hideMark/>
          </w:tcPr>
          <w:p w14:paraId="4295998A"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66" w:type="pct"/>
            <w:tcBorders>
              <w:top w:val="nil"/>
              <w:left w:val="single" w:sz="4" w:space="0" w:color="auto"/>
              <w:bottom w:val="nil"/>
              <w:right w:val="nil"/>
            </w:tcBorders>
            <w:shd w:val="clear" w:color="000000" w:fill="FFFFFF"/>
            <w:noWrap/>
            <w:vAlign w:val="center"/>
            <w:hideMark/>
          </w:tcPr>
          <w:p w14:paraId="00302C3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w:t>
            </w:r>
          </w:p>
        </w:tc>
        <w:tc>
          <w:tcPr>
            <w:tcW w:w="637" w:type="pct"/>
            <w:tcBorders>
              <w:top w:val="nil"/>
              <w:left w:val="nil"/>
              <w:bottom w:val="nil"/>
              <w:right w:val="nil"/>
            </w:tcBorders>
            <w:shd w:val="clear" w:color="000000" w:fill="FFFFFF"/>
            <w:noWrap/>
            <w:vAlign w:val="center"/>
            <w:hideMark/>
          </w:tcPr>
          <w:p w14:paraId="531BD3E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w:t>
            </w:r>
          </w:p>
        </w:tc>
        <w:tc>
          <w:tcPr>
            <w:tcW w:w="683" w:type="pct"/>
            <w:tcBorders>
              <w:top w:val="nil"/>
              <w:left w:val="nil"/>
              <w:bottom w:val="nil"/>
              <w:right w:val="nil"/>
            </w:tcBorders>
            <w:shd w:val="clear" w:color="000000" w:fill="FFFFFF"/>
            <w:noWrap/>
            <w:vAlign w:val="center"/>
            <w:hideMark/>
          </w:tcPr>
          <w:p w14:paraId="6D9C192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114</w:t>
            </w:r>
          </w:p>
        </w:tc>
        <w:tc>
          <w:tcPr>
            <w:tcW w:w="640" w:type="pct"/>
            <w:tcBorders>
              <w:top w:val="nil"/>
              <w:left w:val="nil"/>
              <w:bottom w:val="nil"/>
              <w:right w:val="nil"/>
            </w:tcBorders>
            <w:shd w:val="clear" w:color="000000" w:fill="FFFFFF"/>
            <w:noWrap/>
            <w:vAlign w:val="center"/>
            <w:hideMark/>
          </w:tcPr>
          <w:p w14:paraId="187EFC0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w:t>
            </w:r>
          </w:p>
        </w:tc>
        <w:tc>
          <w:tcPr>
            <w:tcW w:w="532" w:type="pct"/>
            <w:tcBorders>
              <w:top w:val="nil"/>
              <w:left w:val="nil"/>
              <w:bottom w:val="nil"/>
              <w:right w:val="single" w:sz="4" w:space="0" w:color="auto"/>
            </w:tcBorders>
            <w:shd w:val="clear" w:color="000000" w:fill="FFFFFF"/>
            <w:noWrap/>
            <w:vAlign w:val="center"/>
            <w:hideMark/>
          </w:tcPr>
          <w:p w14:paraId="5A96D42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466" w:type="pct"/>
            <w:tcBorders>
              <w:top w:val="nil"/>
              <w:left w:val="nil"/>
              <w:bottom w:val="nil"/>
              <w:right w:val="nil"/>
            </w:tcBorders>
            <w:shd w:val="clear" w:color="000000" w:fill="FFFFFF"/>
            <w:noWrap/>
            <w:vAlign w:val="center"/>
            <w:hideMark/>
          </w:tcPr>
          <w:p w14:paraId="6754FC68"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367</w:t>
            </w:r>
          </w:p>
        </w:tc>
        <w:tc>
          <w:tcPr>
            <w:tcW w:w="444" w:type="pct"/>
            <w:tcBorders>
              <w:top w:val="nil"/>
              <w:left w:val="single" w:sz="4" w:space="0" w:color="auto"/>
              <w:bottom w:val="nil"/>
              <w:right w:val="single" w:sz="4" w:space="0" w:color="auto"/>
            </w:tcBorders>
            <w:shd w:val="clear" w:color="000000" w:fill="FFFFFF"/>
            <w:noWrap/>
            <w:vAlign w:val="center"/>
            <w:hideMark/>
          </w:tcPr>
          <w:p w14:paraId="42641CB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0,90%</w:t>
            </w:r>
          </w:p>
        </w:tc>
      </w:tr>
      <w:tr w:rsidR="00B44397" w:rsidRPr="00650EE4" w14:paraId="102F550C" w14:textId="77777777" w:rsidTr="00267B1D">
        <w:tc>
          <w:tcPr>
            <w:tcW w:w="1132" w:type="pct"/>
            <w:tcBorders>
              <w:top w:val="single" w:sz="4" w:space="0" w:color="auto"/>
              <w:left w:val="single" w:sz="4" w:space="0" w:color="auto"/>
              <w:bottom w:val="single" w:sz="4" w:space="0" w:color="auto"/>
              <w:right w:val="nil"/>
            </w:tcBorders>
            <w:shd w:val="clear" w:color="auto" w:fill="auto"/>
            <w:noWrap/>
            <w:vAlign w:val="center"/>
            <w:hideMark/>
          </w:tcPr>
          <w:p w14:paraId="034D5364" w14:textId="77777777" w:rsidR="00B44397" w:rsidRPr="00650EE4" w:rsidRDefault="00B44397" w:rsidP="00B4439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66" w:type="pct"/>
            <w:tcBorders>
              <w:top w:val="single" w:sz="4" w:space="0" w:color="auto"/>
              <w:left w:val="single" w:sz="4" w:space="0" w:color="auto"/>
              <w:bottom w:val="single" w:sz="4" w:space="0" w:color="auto"/>
              <w:right w:val="nil"/>
            </w:tcBorders>
            <w:shd w:val="clear" w:color="000000" w:fill="FFFFFF"/>
            <w:noWrap/>
            <w:vAlign w:val="center"/>
            <w:hideMark/>
          </w:tcPr>
          <w:p w14:paraId="4884D75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10.023</w:t>
            </w:r>
          </w:p>
        </w:tc>
        <w:tc>
          <w:tcPr>
            <w:tcW w:w="637" w:type="pct"/>
            <w:tcBorders>
              <w:top w:val="single" w:sz="4" w:space="0" w:color="auto"/>
              <w:left w:val="nil"/>
              <w:bottom w:val="single" w:sz="4" w:space="0" w:color="auto"/>
              <w:right w:val="nil"/>
            </w:tcBorders>
            <w:shd w:val="clear" w:color="000000" w:fill="FFFFFF"/>
            <w:noWrap/>
            <w:vAlign w:val="center"/>
            <w:hideMark/>
          </w:tcPr>
          <w:p w14:paraId="2B458D9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10.571</w:t>
            </w:r>
          </w:p>
        </w:tc>
        <w:tc>
          <w:tcPr>
            <w:tcW w:w="683" w:type="pct"/>
            <w:tcBorders>
              <w:top w:val="single" w:sz="4" w:space="0" w:color="auto"/>
              <w:left w:val="nil"/>
              <w:bottom w:val="single" w:sz="4" w:space="0" w:color="auto"/>
              <w:right w:val="nil"/>
            </w:tcBorders>
            <w:shd w:val="clear" w:color="000000" w:fill="FFFFFF"/>
            <w:noWrap/>
            <w:vAlign w:val="center"/>
            <w:hideMark/>
          </w:tcPr>
          <w:p w14:paraId="265646D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7.655</w:t>
            </w:r>
          </w:p>
        </w:tc>
        <w:tc>
          <w:tcPr>
            <w:tcW w:w="640" w:type="pct"/>
            <w:tcBorders>
              <w:top w:val="single" w:sz="4" w:space="0" w:color="auto"/>
              <w:left w:val="nil"/>
              <w:bottom w:val="single" w:sz="4" w:space="0" w:color="auto"/>
              <w:right w:val="nil"/>
            </w:tcBorders>
            <w:shd w:val="clear" w:color="000000" w:fill="FFFFFF"/>
            <w:noWrap/>
            <w:vAlign w:val="center"/>
            <w:hideMark/>
          </w:tcPr>
          <w:p w14:paraId="56E9075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4.654</w:t>
            </w:r>
          </w:p>
        </w:tc>
        <w:tc>
          <w:tcPr>
            <w:tcW w:w="532" w:type="pct"/>
            <w:tcBorders>
              <w:top w:val="single" w:sz="4" w:space="0" w:color="auto"/>
              <w:left w:val="nil"/>
              <w:bottom w:val="single" w:sz="4" w:space="0" w:color="auto"/>
              <w:right w:val="single" w:sz="4" w:space="0" w:color="auto"/>
            </w:tcBorders>
            <w:shd w:val="clear" w:color="000000" w:fill="FFFFFF"/>
            <w:noWrap/>
            <w:vAlign w:val="center"/>
            <w:hideMark/>
          </w:tcPr>
          <w:p w14:paraId="44CB6EE5"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7.911</w:t>
            </w:r>
          </w:p>
        </w:tc>
        <w:tc>
          <w:tcPr>
            <w:tcW w:w="466" w:type="pct"/>
            <w:tcBorders>
              <w:top w:val="single" w:sz="4" w:space="0" w:color="auto"/>
              <w:left w:val="nil"/>
              <w:bottom w:val="single" w:sz="4" w:space="0" w:color="auto"/>
              <w:right w:val="nil"/>
            </w:tcBorders>
            <w:shd w:val="clear" w:color="000000" w:fill="FFFFFF"/>
            <w:noWrap/>
            <w:vAlign w:val="center"/>
            <w:hideMark/>
          </w:tcPr>
          <w:p w14:paraId="4B6A1C4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40.815</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CE9B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B44397" w:rsidRPr="00650EE4" w14:paraId="0251273C" w14:textId="77777777" w:rsidTr="00267B1D">
        <w:tc>
          <w:tcPr>
            <w:tcW w:w="1132" w:type="pct"/>
            <w:tcBorders>
              <w:top w:val="nil"/>
              <w:left w:val="single" w:sz="4" w:space="0" w:color="auto"/>
              <w:bottom w:val="single" w:sz="4" w:space="0" w:color="auto"/>
              <w:right w:val="nil"/>
            </w:tcBorders>
            <w:shd w:val="clear" w:color="auto" w:fill="auto"/>
            <w:noWrap/>
            <w:vAlign w:val="center"/>
            <w:hideMark/>
          </w:tcPr>
          <w:p w14:paraId="02DE63FC"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66" w:type="pct"/>
            <w:tcBorders>
              <w:top w:val="nil"/>
              <w:left w:val="single" w:sz="4" w:space="0" w:color="auto"/>
              <w:bottom w:val="single" w:sz="4" w:space="0" w:color="auto"/>
              <w:right w:val="nil"/>
            </w:tcBorders>
            <w:shd w:val="clear" w:color="000000" w:fill="FFFFFF"/>
            <w:noWrap/>
            <w:vAlign w:val="center"/>
            <w:hideMark/>
          </w:tcPr>
          <w:p w14:paraId="28AE7DF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637" w:type="pct"/>
            <w:tcBorders>
              <w:top w:val="nil"/>
              <w:left w:val="nil"/>
              <w:bottom w:val="single" w:sz="4" w:space="0" w:color="auto"/>
              <w:right w:val="nil"/>
            </w:tcBorders>
            <w:shd w:val="clear" w:color="000000" w:fill="FFFFFF"/>
            <w:noWrap/>
            <w:vAlign w:val="center"/>
            <w:hideMark/>
          </w:tcPr>
          <w:p w14:paraId="4923F24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683" w:type="pct"/>
            <w:tcBorders>
              <w:top w:val="nil"/>
              <w:left w:val="nil"/>
              <w:bottom w:val="single" w:sz="4" w:space="0" w:color="auto"/>
              <w:right w:val="nil"/>
            </w:tcBorders>
            <w:shd w:val="clear" w:color="000000" w:fill="FFFFFF"/>
            <w:noWrap/>
            <w:vAlign w:val="center"/>
            <w:hideMark/>
          </w:tcPr>
          <w:p w14:paraId="03138F4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640" w:type="pct"/>
            <w:tcBorders>
              <w:top w:val="nil"/>
              <w:left w:val="nil"/>
              <w:bottom w:val="single" w:sz="4" w:space="0" w:color="auto"/>
              <w:right w:val="nil"/>
            </w:tcBorders>
            <w:shd w:val="clear" w:color="000000" w:fill="FFFFFF"/>
            <w:noWrap/>
            <w:vAlign w:val="center"/>
            <w:hideMark/>
          </w:tcPr>
          <w:p w14:paraId="206D453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2" w:type="pct"/>
            <w:tcBorders>
              <w:top w:val="nil"/>
              <w:left w:val="nil"/>
              <w:bottom w:val="single" w:sz="4" w:space="0" w:color="auto"/>
              <w:right w:val="single" w:sz="4" w:space="0" w:color="auto"/>
            </w:tcBorders>
            <w:shd w:val="clear" w:color="000000" w:fill="FFFFFF"/>
            <w:noWrap/>
            <w:vAlign w:val="center"/>
            <w:hideMark/>
          </w:tcPr>
          <w:p w14:paraId="1B04B9A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466" w:type="pct"/>
            <w:tcBorders>
              <w:top w:val="nil"/>
              <w:left w:val="nil"/>
              <w:bottom w:val="single" w:sz="4" w:space="0" w:color="auto"/>
              <w:right w:val="nil"/>
            </w:tcBorders>
            <w:shd w:val="clear" w:color="000000" w:fill="FFFFFF"/>
            <w:noWrap/>
            <w:vAlign w:val="center"/>
            <w:hideMark/>
          </w:tcPr>
          <w:p w14:paraId="1F5228E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14:paraId="2DF74650"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0BFE55CB" w14:textId="0ED1CB3F" w:rsidR="00DA5656" w:rsidRDefault="00885C16" w:rsidP="001C3E4A">
      <w:pPr>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07355D">
        <w:rPr>
          <w:rFonts w:ascii="Times New Roman" w:hAnsi="Times New Roman"/>
          <w:i/>
          <w:iCs/>
          <w:color w:val="auto"/>
          <w:sz w:val="20"/>
          <w:szCs w:val="20"/>
        </w:rPr>
        <w:t>Lietuvos ilgalaikei renovacijos strategijai parengti</w:t>
      </w:r>
      <w:r w:rsidR="0007355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216ED787" w14:textId="77777777" w:rsidR="00050ED5" w:rsidRPr="00050ED5" w:rsidRDefault="00050ED5" w:rsidP="001C3E4A">
      <w:pPr>
        <w:rPr>
          <w:rFonts w:ascii="Times New Roman" w:hAnsi="Times New Roman"/>
          <w:color w:val="000000" w:themeColor="text1"/>
          <w:sz w:val="12"/>
          <w:szCs w:val="22"/>
        </w:rPr>
      </w:pPr>
    </w:p>
    <w:p w14:paraId="78983728" w14:textId="5785D461" w:rsidR="001447D2" w:rsidRPr="00650EE4" w:rsidRDefault="00050ED5" w:rsidP="001447D2">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Paveiksle žemiau pateikiami p</w:t>
      </w:r>
      <w:r w:rsidR="00F3508F" w:rsidRPr="00650EE4">
        <w:rPr>
          <w:rFonts w:ascii="Times New Roman" w:hAnsi="Times New Roman"/>
          <w:color w:val="000000" w:themeColor="text1"/>
          <w:szCs w:val="22"/>
          <w:lang w:val="lt-LT"/>
        </w:rPr>
        <w:t xml:space="preserve">astatų fondo pirminės energijos vartojimo pagal kuro </w:t>
      </w:r>
      <w:r w:rsidR="005C304F" w:rsidRPr="00650EE4">
        <w:rPr>
          <w:rFonts w:ascii="Times New Roman" w:hAnsi="Times New Roman"/>
          <w:color w:val="000000" w:themeColor="text1"/>
          <w:szCs w:val="22"/>
          <w:lang w:val="lt-LT"/>
        </w:rPr>
        <w:t xml:space="preserve">ir energijos rūšis </w:t>
      </w:r>
      <w:r w:rsidR="001447D2" w:rsidRPr="00650EE4">
        <w:rPr>
          <w:rFonts w:ascii="Times New Roman" w:hAnsi="Times New Roman"/>
          <w:color w:val="000000" w:themeColor="text1"/>
          <w:szCs w:val="22"/>
          <w:lang w:val="lt-LT"/>
        </w:rPr>
        <w:t>agreguoti duomenys.</w:t>
      </w:r>
    </w:p>
    <w:p w14:paraId="6A5EDF54" w14:textId="77777777" w:rsidR="001447D2" w:rsidRPr="00050ED5" w:rsidRDefault="001447D2" w:rsidP="001447D2">
      <w:pPr>
        <w:pStyle w:val="BodyText"/>
        <w:jc w:val="both"/>
        <w:rPr>
          <w:rFonts w:ascii="Times New Roman" w:hAnsi="Times New Roman"/>
          <w:color w:val="000000" w:themeColor="text1"/>
          <w:sz w:val="10"/>
          <w:szCs w:val="22"/>
          <w:lang w:val="lt-LT"/>
        </w:rPr>
      </w:pPr>
    </w:p>
    <w:p w14:paraId="069F57CE" w14:textId="2FF34547" w:rsidR="00E365BD" w:rsidRPr="00650EE4" w:rsidRDefault="00195386" w:rsidP="00E365BD">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66" w:name="_Toc67925259"/>
      <w:r w:rsidR="007744C1">
        <w:t>11</w:t>
      </w:r>
      <w:r w:rsidRPr="00650EE4">
        <w:rPr>
          <w:noProof w:val="0"/>
        </w:rPr>
        <w:fldChar w:fldCharType="end"/>
      </w:r>
      <w:r w:rsidR="00927EA7" w:rsidRPr="00650EE4">
        <w:rPr>
          <w:noProof w:val="0"/>
        </w:rPr>
        <w:t xml:space="preserve"> paveikslas</w:t>
      </w:r>
      <w:r w:rsidR="00FC2BE4" w:rsidRPr="00650EE4">
        <w:rPr>
          <w:noProof w:val="0"/>
        </w:rPr>
        <w:t xml:space="preserve">. Pastatų fondo pirminės energijos vartojimas pagal </w:t>
      </w:r>
      <w:r w:rsidR="00E508E2" w:rsidRPr="00650EE4">
        <w:rPr>
          <w:noProof w:val="0"/>
        </w:rPr>
        <w:t xml:space="preserve">kuro </w:t>
      </w:r>
      <w:r w:rsidR="005C304F" w:rsidRPr="00650EE4">
        <w:rPr>
          <w:noProof w:val="0"/>
        </w:rPr>
        <w:t xml:space="preserve">ir energijos rūšis </w:t>
      </w:r>
      <w:r w:rsidR="00FC2BE4" w:rsidRPr="00650EE4">
        <w:rPr>
          <w:noProof w:val="0"/>
        </w:rPr>
        <w:t xml:space="preserve">ir </w:t>
      </w:r>
      <w:r w:rsidR="00E365BD" w:rsidRPr="00650EE4">
        <w:rPr>
          <w:noProof w:val="0"/>
        </w:rPr>
        <w:t>pastatų grupes (agreguotas)</w:t>
      </w:r>
      <w:bookmarkEnd w:id="66"/>
    </w:p>
    <w:p w14:paraId="5231EF14" w14:textId="29F8352E" w:rsidR="00FC2BE4" w:rsidRPr="00650EE4" w:rsidRDefault="00E365BD" w:rsidP="00E365BD">
      <w:pPr>
        <w:pStyle w:val="TESlentelspavadinimas"/>
        <w:rPr>
          <w:noProof w:val="0"/>
        </w:rPr>
      </w:pPr>
      <w:r w:rsidRPr="00650EE4">
        <w:rPr>
          <w:noProof w:val="0"/>
        </w:rPr>
        <w:t xml:space="preserve"> </w:t>
      </w:r>
      <w:r w:rsidR="00FC2BE4" w:rsidRPr="00650EE4">
        <w:rPr>
          <w:noProof w:val="0"/>
        </w:rPr>
        <w:t>(</w:t>
      </w:r>
      <w:proofErr w:type="spellStart"/>
      <w:r w:rsidR="00D44A83" w:rsidRPr="00650EE4">
        <w:rPr>
          <w:noProof w:val="0"/>
        </w:rPr>
        <w:t>T</w:t>
      </w:r>
      <w:r w:rsidR="00FC2BE4" w:rsidRPr="00650EE4">
        <w:rPr>
          <w:noProof w:val="0"/>
        </w:rPr>
        <w:t>Wh</w:t>
      </w:r>
      <w:proofErr w:type="spellEnd"/>
      <w:r w:rsidR="00FC2BE4" w:rsidRPr="00650EE4">
        <w:rPr>
          <w:noProof w:val="0"/>
        </w:rPr>
        <w:t>/metus)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C20170" w:rsidRPr="00650EE4" w14:paraId="1FC655B1" w14:textId="77777777" w:rsidTr="00B44397">
        <w:tc>
          <w:tcPr>
            <w:tcW w:w="10194" w:type="dxa"/>
          </w:tcPr>
          <w:p w14:paraId="028E14F3" w14:textId="203A7C2A" w:rsidR="00C20170" w:rsidRPr="00650EE4" w:rsidRDefault="00DA63F0" w:rsidP="00631BA6">
            <w:pPr>
              <w:pStyle w:val="TESlentelspavadinimas"/>
              <w:rPr>
                <w:noProof w:val="0"/>
              </w:rPr>
            </w:pPr>
            <w:r w:rsidRPr="00650EE4">
              <w:rPr>
                <w:lang w:eastAsia="lt-LT"/>
              </w:rPr>
              <w:drawing>
                <wp:inline distT="0" distB="0" distL="0" distR="0" wp14:anchorId="5E613A24" wp14:editId="53005EB4">
                  <wp:extent cx="3107055" cy="2763671"/>
                  <wp:effectExtent l="0" t="0" r="17145" b="17780"/>
                  <wp:docPr id="27" name="Chart 27">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50EE4">
              <w:rPr>
                <w:color w:val="FFFFFF" w:themeColor="background1"/>
                <w:lang w:eastAsia="lt-LT"/>
              </w:rPr>
              <w:drawing>
                <wp:inline distT="0" distB="0" distL="0" distR="0" wp14:anchorId="7EBA1E10" wp14:editId="4520559B">
                  <wp:extent cx="3147060" cy="2777319"/>
                  <wp:effectExtent l="0" t="0" r="15240" b="4445"/>
                  <wp:docPr id="28" name="Chart 28">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C20170" w:rsidRPr="00650EE4">
              <w:rPr>
                <w:noProof w:val="0"/>
              </w:rPr>
              <w:t xml:space="preserve"> </w:t>
            </w:r>
          </w:p>
        </w:tc>
      </w:tr>
    </w:tbl>
    <w:p w14:paraId="438E4008" w14:textId="1CBD32A3" w:rsidR="00C20170" w:rsidRPr="00650EE4" w:rsidRDefault="00927EA7" w:rsidP="00885C16">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885C16"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07355D">
        <w:rPr>
          <w:rFonts w:ascii="Times New Roman" w:hAnsi="Times New Roman"/>
          <w:i/>
          <w:iCs/>
          <w:color w:val="auto"/>
          <w:sz w:val="20"/>
          <w:szCs w:val="20"/>
        </w:rPr>
        <w:t>Lietuvos ilgalaikei renovacijos strategijai parengti</w:t>
      </w:r>
      <w:r w:rsidR="0007355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6EE5D57C" w14:textId="77777777" w:rsidR="001447D2" w:rsidRPr="00650EE4" w:rsidRDefault="001447D2" w:rsidP="0042232F">
      <w:pPr>
        <w:spacing w:line="240" w:lineRule="auto"/>
        <w:jc w:val="both"/>
        <w:rPr>
          <w:rFonts w:ascii="Times New Roman" w:eastAsia="Times New Roman" w:hAnsi="Times New Roman"/>
          <w:i/>
          <w:color w:val="000000" w:themeColor="text1"/>
          <w:sz w:val="20"/>
          <w:szCs w:val="28"/>
        </w:rPr>
      </w:pPr>
    </w:p>
    <w:p w14:paraId="1D1F935B" w14:textId="77777777" w:rsidR="001447D2" w:rsidRPr="00650EE4" w:rsidRDefault="001447D2" w:rsidP="001447D2">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pateiktus duomenis galima pastebėti, kad:</w:t>
      </w:r>
    </w:p>
    <w:p w14:paraId="5F64D390" w14:textId="371572E3"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1447D2" w:rsidRPr="00650EE4">
        <w:rPr>
          <w:rFonts w:ascii="Times New Roman" w:hAnsi="Times New Roman"/>
          <w:color w:val="000000" w:themeColor="text1"/>
          <w:szCs w:val="22"/>
        </w:rPr>
        <w:t>škastinis kuras (</w:t>
      </w:r>
      <w:r w:rsidR="00D61776" w:rsidRPr="00650EE4">
        <w:rPr>
          <w:rFonts w:ascii="Times New Roman" w:hAnsi="Times New Roman"/>
          <w:color w:val="000000" w:themeColor="text1"/>
          <w:szCs w:val="22"/>
        </w:rPr>
        <w:t xml:space="preserve">gamtinės </w:t>
      </w:r>
      <w:r w:rsidR="001447D2" w:rsidRPr="00650EE4">
        <w:rPr>
          <w:rFonts w:ascii="Times New Roman" w:hAnsi="Times New Roman"/>
          <w:color w:val="000000" w:themeColor="text1"/>
          <w:szCs w:val="22"/>
        </w:rPr>
        <w:t>dujos ir kietas kuras) sudaro ~30 proc. pirminės energijos vartojimo;</w:t>
      </w:r>
    </w:p>
    <w:p w14:paraId="3A151C6C" w14:textId="1005CD30"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1447D2" w:rsidRPr="00650EE4">
        <w:rPr>
          <w:rFonts w:ascii="Times New Roman" w:hAnsi="Times New Roman"/>
          <w:color w:val="000000" w:themeColor="text1"/>
          <w:szCs w:val="22"/>
        </w:rPr>
        <w:t>idžiąją dalį iškastinio kuro vartoja individualūs namai (32 proc.) ir pramonės pastatai (31 proc.);</w:t>
      </w:r>
    </w:p>
    <w:p w14:paraId="56F01E4B" w14:textId="36595DF9"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1447D2" w:rsidRPr="00650EE4">
        <w:rPr>
          <w:rFonts w:ascii="Times New Roman" w:hAnsi="Times New Roman"/>
          <w:color w:val="000000" w:themeColor="text1"/>
          <w:szCs w:val="22"/>
        </w:rPr>
        <w:t xml:space="preserve">škastinį kurą vartojantys pastatai yra prioritetinis segmentas, siekiant </w:t>
      </w:r>
      <w:r w:rsidR="0042232F" w:rsidRPr="00650EE4">
        <w:rPr>
          <w:rFonts w:ascii="Times New Roman" w:hAnsi="Times New Roman"/>
          <w:color w:val="000000" w:themeColor="text1"/>
          <w:szCs w:val="22"/>
        </w:rPr>
        <w:t>ne</w:t>
      </w:r>
      <w:r w:rsidR="001447D2" w:rsidRPr="00650EE4">
        <w:rPr>
          <w:rFonts w:ascii="Times New Roman" w:hAnsi="Times New Roman"/>
          <w:color w:val="000000" w:themeColor="text1"/>
          <w:szCs w:val="22"/>
        </w:rPr>
        <w:t>priklausomybės nuo</w:t>
      </w:r>
      <w:r w:rsidR="0042232F" w:rsidRPr="00650EE4">
        <w:rPr>
          <w:rFonts w:ascii="Times New Roman" w:hAnsi="Times New Roman"/>
          <w:color w:val="000000" w:themeColor="text1"/>
          <w:szCs w:val="22"/>
        </w:rPr>
        <w:t xml:space="preserve"> iškastinio kuro</w:t>
      </w:r>
      <w:r w:rsidR="001447D2" w:rsidRPr="00650EE4">
        <w:rPr>
          <w:rFonts w:ascii="Times New Roman" w:hAnsi="Times New Roman"/>
          <w:color w:val="000000" w:themeColor="text1"/>
          <w:szCs w:val="22"/>
        </w:rPr>
        <w:t>;</w:t>
      </w:r>
    </w:p>
    <w:p w14:paraId="0DFE8209" w14:textId="19655B90" w:rsidR="009E7F3D" w:rsidRDefault="00050ED5" w:rsidP="00050ED5">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1447D2" w:rsidRPr="00650EE4">
        <w:rPr>
          <w:rFonts w:ascii="Times New Roman" w:hAnsi="Times New Roman"/>
          <w:color w:val="000000" w:themeColor="text1"/>
          <w:szCs w:val="22"/>
        </w:rPr>
        <w:t xml:space="preserve">alis biokurą vartojančių gamybos šaltinių yra taršūs (pvz. individualių namų krosnys, seni katilai ir pan.). Atitinkamai, nors kuras nėra iškastinis, taikytinos specifinės IRS priemonės. </w:t>
      </w:r>
    </w:p>
    <w:p w14:paraId="20F3CB6A" w14:textId="77777777" w:rsidR="00B60DC6" w:rsidRPr="00050ED5" w:rsidRDefault="00B60DC6" w:rsidP="00B60DC6">
      <w:pPr>
        <w:pStyle w:val="Pagrindinispaprastastekstas"/>
        <w:spacing w:after="60"/>
        <w:ind w:left="714"/>
        <w:rPr>
          <w:rFonts w:ascii="Times New Roman" w:hAnsi="Times New Roman"/>
          <w:color w:val="000000" w:themeColor="text1"/>
          <w:szCs w:val="22"/>
        </w:rPr>
      </w:pPr>
    </w:p>
    <w:p w14:paraId="05DDA55F" w14:textId="609A3C7F" w:rsidR="00A038A1" w:rsidRPr="00650EE4" w:rsidRDefault="006B52E7" w:rsidP="00885C16">
      <w:pPr>
        <w:pStyle w:val="Antrastes2"/>
        <w:numPr>
          <w:ilvl w:val="1"/>
          <w:numId w:val="4"/>
        </w:numPr>
        <w:pBdr>
          <w:bottom w:val="single" w:sz="4" w:space="1" w:color="auto"/>
        </w:pBdr>
        <w:spacing w:before="0"/>
        <w:ind w:left="576" w:hanging="576"/>
        <w:jc w:val="both"/>
        <w:rPr>
          <w:rFonts w:ascii="Times New Roman" w:hAnsi="Times New Roman"/>
          <w:color w:val="auto"/>
          <w:sz w:val="22"/>
          <w:szCs w:val="22"/>
          <w:lang w:val="lt-LT"/>
        </w:rPr>
      </w:pPr>
      <w:bookmarkStart w:id="67" w:name="_Toc67925115"/>
      <w:r w:rsidRPr="00650EE4">
        <w:rPr>
          <w:rFonts w:ascii="Times New Roman" w:hAnsi="Times New Roman"/>
          <w:color w:val="auto"/>
          <w:sz w:val="22"/>
          <w:szCs w:val="22"/>
          <w:lang w:val="lt-LT"/>
        </w:rPr>
        <w:t>Pastatų fondo CO</w:t>
      </w:r>
      <w:r w:rsidRPr="00650EE4">
        <w:rPr>
          <w:rFonts w:ascii="Times New Roman" w:hAnsi="Times New Roman"/>
          <w:color w:val="auto"/>
          <w:sz w:val="22"/>
          <w:szCs w:val="22"/>
          <w:vertAlign w:val="subscript"/>
          <w:lang w:val="lt-LT"/>
        </w:rPr>
        <w:t>2</w:t>
      </w:r>
      <w:r w:rsidR="00A038A1" w:rsidRPr="00650EE4">
        <w:rPr>
          <w:rFonts w:ascii="Times New Roman" w:hAnsi="Times New Roman"/>
          <w:color w:val="auto"/>
          <w:sz w:val="22"/>
          <w:szCs w:val="22"/>
          <w:lang w:val="lt-LT"/>
        </w:rPr>
        <w:t xml:space="preserve"> </w:t>
      </w:r>
      <w:r w:rsidR="00885C16" w:rsidRPr="00650EE4">
        <w:rPr>
          <w:rFonts w:ascii="Times New Roman" w:hAnsi="Times New Roman"/>
          <w:color w:val="auto"/>
          <w:sz w:val="22"/>
          <w:szCs w:val="22"/>
          <w:lang w:val="lt-LT"/>
        </w:rPr>
        <w:t>emisijos</w:t>
      </w:r>
      <w:bookmarkEnd w:id="67"/>
    </w:p>
    <w:p w14:paraId="553ED357" w14:textId="77777777" w:rsidR="008356B1" w:rsidRPr="00650EE4" w:rsidRDefault="008356B1" w:rsidP="008356B1">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fondo pirminės energijos vartojimo duomenys buvo apskaičiuoti kiekvienam pastatų etalonui, naudojant duomenis apie:</w:t>
      </w:r>
    </w:p>
    <w:p w14:paraId="663E924F" w14:textId="4C0EE286" w:rsidR="008356B1" w:rsidRPr="00650EE4" w:rsidRDefault="008356B1" w:rsidP="008356B1">
      <w:pPr>
        <w:pStyle w:val="Pagrindinispaprastastekstas"/>
        <w:numPr>
          <w:ilvl w:val="0"/>
          <w:numId w:val="10"/>
        </w:numPr>
        <w:spacing w:before="120"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Šiluminės ir elektros energijos vartojimą (žr. </w:t>
      </w:r>
      <w:r w:rsidR="009D68D2">
        <w:rPr>
          <w:rFonts w:ascii="Times New Roman" w:hAnsi="Times New Roman"/>
          <w:color w:val="000000" w:themeColor="text1"/>
          <w:szCs w:val="22"/>
        </w:rPr>
        <w:t>1</w:t>
      </w:r>
      <w:r w:rsidRPr="00650EE4">
        <w:rPr>
          <w:rFonts w:ascii="Times New Roman" w:hAnsi="Times New Roman"/>
          <w:color w:val="000000" w:themeColor="text1"/>
          <w:szCs w:val="22"/>
        </w:rPr>
        <w:t>.2.2.-</w:t>
      </w:r>
      <w:r w:rsidR="009D68D2">
        <w:rPr>
          <w:rFonts w:ascii="Times New Roman" w:hAnsi="Times New Roman"/>
          <w:color w:val="000000" w:themeColor="text1"/>
          <w:szCs w:val="22"/>
        </w:rPr>
        <w:t>1</w:t>
      </w:r>
      <w:r w:rsidRPr="00650EE4">
        <w:rPr>
          <w:rFonts w:ascii="Times New Roman" w:hAnsi="Times New Roman"/>
          <w:color w:val="000000" w:themeColor="text1"/>
          <w:szCs w:val="22"/>
        </w:rPr>
        <w:t>.2.4. skyrius).</w:t>
      </w:r>
    </w:p>
    <w:p w14:paraId="097FDB83" w14:textId="3F9410DB" w:rsidR="008356B1" w:rsidRPr="00650EE4" w:rsidRDefault="008356B1" w:rsidP="008356B1">
      <w:pPr>
        <w:pStyle w:val="Pagrindinispaprastastekstas"/>
        <w:numPr>
          <w:ilvl w:val="0"/>
          <w:numId w:val="10"/>
        </w:numPr>
        <w:spacing w:before="120"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Pirminį ener</w:t>
      </w:r>
      <w:r w:rsidR="007A52B6">
        <w:rPr>
          <w:rFonts w:ascii="Times New Roman" w:hAnsi="Times New Roman"/>
          <w:color w:val="000000" w:themeColor="text1"/>
          <w:szCs w:val="22"/>
        </w:rPr>
        <w:t>gijos šaltinį (kuro rūšį) t.y. p</w:t>
      </w:r>
      <w:r w:rsidRPr="00650EE4">
        <w:rPr>
          <w:rFonts w:ascii="Times New Roman" w:hAnsi="Times New Roman"/>
          <w:color w:val="000000" w:themeColor="text1"/>
          <w:szCs w:val="22"/>
        </w:rPr>
        <w:t xml:space="preserve">astatų fondo energijos gamybos struktūrą (žr. </w:t>
      </w:r>
      <w:r w:rsidR="009D68D2">
        <w:rPr>
          <w:rFonts w:ascii="Times New Roman" w:hAnsi="Times New Roman"/>
          <w:color w:val="000000" w:themeColor="text1"/>
          <w:szCs w:val="22"/>
        </w:rPr>
        <w:t>1</w:t>
      </w:r>
      <w:r w:rsidRPr="00650EE4">
        <w:rPr>
          <w:rFonts w:ascii="Times New Roman" w:hAnsi="Times New Roman"/>
          <w:color w:val="000000" w:themeColor="text1"/>
          <w:szCs w:val="22"/>
        </w:rPr>
        <w:t>.2.5. skyrių).</w:t>
      </w:r>
    </w:p>
    <w:p w14:paraId="0914D8E8" w14:textId="414C5843" w:rsidR="008356B1" w:rsidRPr="00650EE4" w:rsidRDefault="008356B1" w:rsidP="008356B1">
      <w:pPr>
        <w:pStyle w:val="Pagrindinispaprastastekstas"/>
        <w:numPr>
          <w:ilvl w:val="0"/>
          <w:numId w:val="10"/>
        </w:numPr>
        <w:spacing w:before="120" w:after="60"/>
        <w:rPr>
          <w:rFonts w:ascii="Times New Roman" w:hAnsi="Times New Roman"/>
          <w:color w:val="000000" w:themeColor="text1"/>
          <w:szCs w:val="22"/>
        </w:rPr>
      </w:pPr>
      <w:r w:rsidRPr="00650EE4">
        <w:rPr>
          <w:rFonts w:ascii="Times New Roman" w:hAnsi="Times New Roman"/>
          <w:color w:val="000000" w:themeColor="text1"/>
          <w:szCs w:val="22"/>
        </w:rPr>
        <w:t xml:space="preserve">Energijos gamybai naudojamų energijos šaltinių </w:t>
      </w:r>
      <w:r w:rsidR="00C367FD" w:rsidRPr="00650EE4">
        <w:rPr>
          <w:rFonts w:ascii="Times New Roman" w:hAnsi="Times New Roman"/>
          <w:color w:val="000000" w:themeColor="text1"/>
          <w:szCs w:val="22"/>
        </w:rPr>
        <w:t>neatsinaujinančios</w:t>
      </w:r>
      <w:r w:rsidRPr="00650EE4">
        <w:rPr>
          <w:rFonts w:ascii="Times New Roman" w:hAnsi="Times New Roman"/>
          <w:color w:val="000000" w:themeColor="text1"/>
          <w:szCs w:val="22"/>
        </w:rPr>
        <w:t xml:space="preserve"> pirminės energijos, atsinaujinančios pirminės energijos ir CO</w:t>
      </w:r>
      <w:r w:rsidRPr="00B60DC6">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emisijų faktorius (žr. </w:t>
      </w:r>
      <w:r w:rsidR="00BE2101" w:rsidRPr="00BE2101">
        <w:rPr>
          <w:rFonts w:ascii="Times New Roman" w:hAnsi="Times New Roman"/>
          <w:color w:val="000000" w:themeColor="text1"/>
          <w:szCs w:val="22"/>
        </w:rPr>
        <w:t>2</w:t>
      </w:r>
      <w:r w:rsidR="00BE2101" w:rsidRPr="00BE2101">
        <w:rPr>
          <w:rFonts w:ascii="Times New Roman" w:hAnsi="Times New Roman"/>
          <w:color w:val="000000" w:themeColor="text1"/>
          <w:szCs w:val="22"/>
          <w:lang w:val="en-GB"/>
        </w:rPr>
        <w:t>1</w:t>
      </w:r>
      <w:r w:rsidRPr="00BE2101">
        <w:rPr>
          <w:rFonts w:ascii="Times New Roman" w:hAnsi="Times New Roman"/>
          <w:color w:val="000000" w:themeColor="text1"/>
          <w:szCs w:val="22"/>
        </w:rPr>
        <w:t xml:space="preserve"> lentelę</w:t>
      </w:r>
      <w:r w:rsidRPr="00650EE4">
        <w:rPr>
          <w:rFonts w:ascii="Times New Roman" w:hAnsi="Times New Roman"/>
          <w:color w:val="000000" w:themeColor="text1"/>
          <w:szCs w:val="22"/>
        </w:rPr>
        <w:t>).</w:t>
      </w:r>
    </w:p>
    <w:p w14:paraId="277F3706" w14:textId="77777777" w:rsidR="008356B1" w:rsidRPr="00050ED5" w:rsidRDefault="008356B1" w:rsidP="00FC2BE4">
      <w:pPr>
        <w:pStyle w:val="BodyText"/>
        <w:jc w:val="both"/>
        <w:rPr>
          <w:rFonts w:ascii="Times New Roman" w:hAnsi="Times New Roman"/>
          <w:color w:val="000000" w:themeColor="text1"/>
          <w:sz w:val="12"/>
          <w:szCs w:val="22"/>
          <w:lang w:val="lt-LT"/>
        </w:rPr>
      </w:pPr>
    </w:p>
    <w:p w14:paraId="5671676E" w14:textId="6A208C83" w:rsidR="00FC2BE4" w:rsidRPr="00650EE4" w:rsidRDefault="00890A4A" w:rsidP="00FC2BE4">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pateikiamos apskaičiuotos </w:t>
      </w:r>
      <w:r w:rsidR="007A52B6">
        <w:rPr>
          <w:rFonts w:ascii="Times New Roman" w:hAnsi="Times New Roman"/>
          <w:color w:val="000000" w:themeColor="text1"/>
          <w:szCs w:val="22"/>
          <w:lang w:val="lt-LT"/>
        </w:rPr>
        <w:t>p</w:t>
      </w:r>
      <w:r w:rsidR="00FC2BE4" w:rsidRPr="00650EE4">
        <w:rPr>
          <w:rFonts w:ascii="Times New Roman" w:hAnsi="Times New Roman"/>
          <w:color w:val="000000" w:themeColor="text1"/>
          <w:szCs w:val="22"/>
          <w:lang w:val="lt-LT"/>
        </w:rPr>
        <w:t>astatų fondo CO</w:t>
      </w:r>
      <w:r w:rsidR="00FC2BE4" w:rsidRPr="00650EE4">
        <w:rPr>
          <w:rFonts w:ascii="Times New Roman" w:hAnsi="Times New Roman"/>
          <w:color w:val="000000" w:themeColor="text1"/>
          <w:szCs w:val="22"/>
          <w:vertAlign w:val="subscript"/>
          <w:lang w:val="lt-LT"/>
        </w:rPr>
        <w:t>2</w:t>
      </w:r>
      <w:r w:rsidR="00FC2BE4" w:rsidRPr="00650EE4">
        <w:rPr>
          <w:rFonts w:ascii="Times New Roman" w:hAnsi="Times New Roman"/>
          <w:color w:val="000000" w:themeColor="text1"/>
          <w:szCs w:val="22"/>
          <w:lang w:val="lt-LT"/>
        </w:rPr>
        <w:t xml:space="preserve"> emisijos pagal pastatų paskirtį ir energinio naudingumo klasę. </w:t>
      </w:r>
    </w:p>
    <w:p w14:paraId="231DD72D" w14:textId="6A12F859" w:rsidR="00A038A1" w:rsidRPr="00050ED5" w:rsidRDefault="00A038A1" w:rsidP="00A038A1">
      <w:pPr>
        <w:jc w:val="both"/>
        <w:rPr>
          <w:rFonts w:ascii="Times New Roman" w:hAnsi="Times New Roman"/>
          <w:sz w:val="8"/>
          <w:szCs w:val="22"/>
        </w:rPr>
      </w:pPr>
    </w:p>
    <w:p w14:paraId="09209DFE" w14:textId="77777777" w:rsidR="00B60DC6" w:rsidRDefault="00B60DC6">
      <w:pPr>
        <w:spacing w:after="240"/>
        <w:rPr>
          <w:rFonts w:ascii="Times New Roman" w:eastAsiaTheme="minorHAnsi" w:hAnsi="Times New Roman"/>
          <w:bCs/>
          <w:i/>
          <w:color w:val="000000" w:themeColor="text1"/>
          <w:sz w:val="20"/>
          <w:szCs w:val="20"/>
        </w:rPr>
      </w:pPr>
      <w:r>
        <w:br w:type="page"/>
      </w:r>
    </w:p>
    <w:p w14:paraId="74CE4D0A" w14:textId="43CF774D" w:rsidR="006B45F4"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68" w:name="_Toc67925207"/>
      <w:r w:rsidR="007744C1">
        <w:t>24</w:t>
      </w:r>
      <w:r w:rsidRPr="00650EE4">
        <w:rPr>
          <w:noProof w:val="0"/>
        </w:rPr>
        <w:fldChar w:fldCharType="end"/>
      </w:r>
      <w:r w:rsidR="001E6DEB" w:rsidRPr="00650EE4">
        <w:rPr>
          <w:noProof w:val="0"/>
        </w:rPr>
        <w:t xml:space="preserve"> lentelė</w:t>
      </w:r>
      <w:r w:rsidR="006B45F4" w:rsidRPr="00650EE4">
        <w:rPr>
          <w:noProof w:val="0"/>
        </w:rPr>
        <w:t>. Pastatų fondo CO</w:t>
      </w:r>
      <w:r w:rsidR="006B45F4" w:rsidRPr="00650EE4">
        <w:rPr>
          <w:noProof w:val="0"/>
          <w:vertAlign w:val="subscript"/>
        </w:rPr>
        <w:t>2</w:t>
      </w:r>
      <w:r w:rsidR="006B45F4" w:rsidRPr="00650EE4">
        <w:rPr>
          <w:noProof w:val="0"/>
        </w:rPr>
        <w:t xml:space="preserve"> emisijos (ktCO</w:t>
      </w:r>
      <w:r w:rsidR="006B45F4" w:rsidRPr="00650EE4">
        <w:rPr>
          <w:noProof w:val="0"/>
          <w:vertAlign w:val="subscript"/>
        </w:rPr>
        <w:t>2</w:t>
      </w:r>
      <w:r w:rsidR="006B45F4" w:rsidRPr="00650EE4">
        <w:rPr>
          <w:noProof w:val="0"/>
        </w:rPr>
        <w:t>/metus)</w:t>
      </w:r>
      <w:bookmarkEnd w:id="68"/>
    </w:p>
    <w:tbl>
      <w:tblPr>
        <w:tblW w:w="5000" w:type="pct"/>
        <w:tblLook w:val="04A0" w:firstRow="1" w:lastRow="0" w:firstColumn="1" w:lastColumn="0" w:noHBand="0" w:noVBand="1"/>
      </w:tblPr>
      <w:tblGrid>
        <w:gridCol w:w="2056"/>
        <w:gridCol w:w="1061"/>
        <w:gridCol w:w="1061"/>
        <w:gridCol w:w="1061"/>
        <w:gridCol w:w="1061"/>
        <w:gridCol w:w="1061"/>
        <w:gridCol w:w="1067"/>
        <w:gridCol w:w="996"/>
        <w:gridCol w:w="996"/>
      </w:tblGrid>
      <w:tr w:rsidR="00B44397" w:rsidRPr="00650EE4" w14:paraId="0E9FDD1F" w14:textId="77777777" w:rsidTr="007B6664">
        <w:tc>
          <w:tcPr>
            <w:tcW w:w="987"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49DB837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57"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54E6C7B" w14:textId="507F9D3F" w:rsidR="00B44397" w:rsidRPr="00650EE4" w:rsidRDefault="00CD3C53"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w:t>
            </w:r>
            <w:r w:rsidR="00B44397" w:rsidRPr="00650EE4">
              <w:rPr>
                <w:rFonts w:ascii="Times New Roman" w:eastAsia="Times New Roman" w:hAnsi="Times New Roman"/>
                <w:b/>
                <w:bCs/>
                <w:sz w:val="20"/>
                <w:szCs w:val="20"/>
              </w:rPr>
              <w:t xml:space="preserve"> klasė</w:t>
            </w:r>
          </w:p>
        </w:tc>
        <w:tc>
          <w:tcPr>
            <w:tcW w:w="478" w:type="pct"/>
            <w:vMerge w:val="restart"/>
            <w:tcBorders>
              <w:top w:val="single" w:sz="4" w:space="0" w:color="auto"/>
              <w:left w:val="nil"/>
              <w:bottom w:val="single" w:sz="4" w:space="0" w:color="000000"/>
              <w:right w:val="nil"/>
            </w:tcBorders>
            <w:shd w:val="clear" w:color="000000" w:fill="FFFFFF"/>
            <w:vAlign w:val="center"/>
            <w:hideMark/>
          </w:tcPr>
          <w:p w14:paraId="2CA469C6"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7AA886"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B44397" w:rsidRPr="00650EE4" w14:paraId="3C38C94E" w14:textId="77777777" w:rsidTr="007B6664">
        <w:tc>
          <w:tcPr>
            <w:tcW w:w="987" w:type="pct"/>
            <w:vMerge/>
            <w:tcBorders>
              <w:top w:val="single" w:sz="4" w:space="0" w:color="auto"/>
              <w:left w:val="single" w:sz="4" w:space="0" w:color="auto"/>
              <w:bottom w:val="single" w:sz="4" w:space="0" w:color="000000"/>
              <w:right w:val="nil"/>
            </w:tcBorders>
            <w:vAlign w:val="center"/>
            <w:hideMark/>
          </w:tcPr>
          <w:p w14:paraId="25F2A9D5" w14:textId="77777777" w:rsidR="00B44397" w:rsidRPr="00650EE4" w:rsidRDefault="00B44397" w:rsidP="00B44397">
            <w:pPr>
              <w:spacing w:line="240" w:lineRule="auto"/>
              <w:rPr>
                <w:rFonts w:ascii="Times New Roman" w:eastAsia="Times New Roman" w:hAnsi="Times New Roman"/>
                <w:b/>
                <w:bCs/>
                <w:sz w:val="20"/>
                <w:szCs w:val="20"/>
              </w:rPr>
            </w:pPr>
          </w:p>
        </w:tc>
        <w:tc>
          <w:tcPr>
            <w:tcW w:w="509" w:type="pct"/>
            <w:tcBorders>
              <w:top w:val="nil"/>
              <w:left w:val="single" w:sz="4" w:space="0" w:color="auto"/>
              <w:bottom w:val="single" w:sz="4" w:space="0" w:color="auto"/>
              <w:right w:val="nil"/>
            </w:tcBorders>
            <w:shd w:val="clear" w:color="000000" w:fill="FFFFFF"/>
            <w:vAlign w:val="center"/>
            <w:hideMark/>
          </w:tcPr>
          <w:p w14:paraId="696A135D" w14:textId="5950E3F5" w:rsidR="00B44397" w:rsidRPr="00650EE4" w:rsidRDefault="007F357E"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9" w:type="pct"/>
            <w:tcBorders>
              <w:top w:val="nil"/>
              <w:left w:val="nil"/>
              <w:bottom w:val="single" w:sz="4" w:space="0" w:color="auto"/>
              <w:right w:val="nil"/>
            </w:tcBorders>
            <w:shd w:val="clear" w:color="000000" w:fill="FFFFFF"/>
            <w:vAlign w:val="center"/>
            <w:hideMark/>
          </w:tcPr>
          <w:p w14:paraId="2575BF76"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9" w:type="pct"/>
            <w:tcBorders>
              <w:top w:val="nil"/>
              <w:left w:val="nil"/>
              <w:bottom w:val="single" w:sz="4" w:space="0" w:color="auto"/>
              <w:right w:val="nil"/>
            </w:tcBorders>
            <w:shd w:val="clear" w:color="000000" w:fill="FFFFFF"/>
            <w:vAlign w:val="center"/>
            <w:hideMark/>
          </w:tcPr>
          <w:p w14:paraId="313EE23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9" w:type="pct"/>
            <w:tcBorders>
              <w:top w:val="nil"/>
              <w:left w:val="nil"/>
              <w:bottom w:val="single" w:sz="4" w:space="0" w:color="auto"/>
              <w:right w:val="nil"/>
            </w:tcBorders>
            <w:shd w:val="clear" w:color="000000" w:fill="FFFFFF"/>
            <w:vAlign w:val="center"/>
            <w:hideMark/>
          </w:tcPr>
          <w:p w14:paraId="547840D9"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9" w:type="pct"/>
            <w:tcBorders>
              <w:top w:val="nil"/>
              <w:left w:val="nil"/>
              <w:bottom w:val="single" w:sz="4" w:space="0" w:color="auto"/>
              <w:right w:val="nil"/>
            </w:tcBorders>
            <w:shd w:val="clear" w:color="000000" w:fill="FFFFFF"/>
            <w:vAlign w:val="center"/>
            <w:hideMark/>
          </w:tcPr>
          <w:p w14:paraId="245CB6E0"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1" w:type="pct"/>
            <w:tcBorders>
              <w:top w:val="nil"/>
              <w:left w:val="nil"/>
              <w:bottom w:val="single" w:sz="4" w:space="0" w:color="auto"/>
              <w:right w:val="single" w:sz="4" w:space="0" w:color="auto"/>
            </w:tcBorders>
            <w:shd w:val="clear" w:color="000000" w:fill="FFFFFF"/>
            <w:vAlign w:val="center"/>
            <w:hideMark/>
          </w:tcPr>
          <w:p w14:paraId="13E07463"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78" w:type="pct"/>
            <w:vMerge/>
            <w:tcBorders>
              <w:top w:val="single" w:sz="4" w:space="0" w:color="auto"/>
              <w:left w:val="nil"/>
              <w:bottom w:val="single" w:sz="4" w:space="0" w:color="000000"/>
              <w:right w:val="nil"/>
            </w:tcBorders>
            <w:vAlign w:val="center"/>
            <w:hideMark/>
          </w:tcPr>
          <w:p w14:paraId="24DDB89B" w14:textId="77777777" w:rsidR="00B44397" w:rsidRPr="00650EE4" w:rsidRDefault="00B44397" w:rsidP="00B44397">
            <w:pPr>
              <w:spacing w:line="240" w:lineRule="auto"/>
              <w:rPr>
                <w:rFonts w:ascii="Times New Roman" w:eastAsia="Times New Roman" w:hAnsi="Times New Roman"/>
                <w:b/>
                <w:bCs/>
                <w:sz w:val="20"/>
                <w:szCs w:val="20"/>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68FFE673" w14:textId="77777777" w:rsidR="00B44397" w:rsidRPr="00650EE4" w:rsidRDefault="00B44397" w:rsidP="00B44397">
            <w:pPr>
              <w:spacing w:line="240" w:lineRule="auto"/>
              <w:rPr>
                <w:rFonts w:ascii="Times New Roman" w:eastAsia="Times New Roman" w:hAnsi="Times New Roman"/>
                <w:b/>
                <w:bCs/>
                <w:sz w:val="20"/>
                <w:szCs w:val="20"/>
              </w:rPr>
            </w:pPr>
          </w:p>
        </w:tc>
      </w:tr>
      <w:tr w:rsidR="001E4D80" w:rsidRPr="00650EE4" w14:paraId="28AC3DC6" w14:textId="77777777" w:rsidTr="007B6664">
        <w:tc>
          <w:tcPr>
            <w:tcW w:w="987" w:type="pct"/>
            <w:tcBorders>
              <w:top w:val="nil"/>
              <w:left w:val="single" w:sz="4" w:space="0" w:color="auto"/>
              <w:bottom w:val="single" w:sz="4" w:space="0" w:color="auto"/>
              <w:right w:val="single" w:sz="4" w:space="0" w:color="auto"/>
            </w:tcBorders>
            <w:shd w:val="clear" w:color="000000" w:fill="F2F2F2"/>
            <w:noWrap/>
            <w:vAlign w:val="center"/>
            <w:hideMark/>
          </w:tcPr>
          <w:p w14:paraId="698F9504"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9" w:type="pct"/>
            <w:tcBorders>
              <w:top w:val="nil"/>
              <w:left w:val="nil"/>
              <w:bottom w:val="single" w:sz="4" w:space="0" w:color="auto"/>
              <w:right w:val="nil"/>
            </w:tcBorders>
            <w:shd w:val="clear" w:color="000000" w:fill="F2F2F2"/>
            <w:noWrap/>
            <w:vAlign w:val="center"/>
            <w:hideMark/>
          </w:tcPr>
          <w:p w14:paraId="4454B8E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2.084</w:t>
            </w:r>
          </w:p>
        </w:tc>
        <w:tc>
          <w:tcPr>
            <w:tcW w:w="509" w:type="pct"/>
            <w:tcBorders>
              <w:top w:val="nil"/>
              <w:left w:val="nil"/>
              <w:bottom w:val="single" w:sz="4" w:space="0" w:color="auto"/>
              <w:right w:val="nil"/>
            </w:tcBorders>
            <w:shd w:val="clear" w:color="000000" w:fill="F2F2F2"/>
            <w:noWrap/>
            <w:vAlign w:val="center"/>
            <w:hideMark/>
          </w:tcPr>
          <w:p w14:paraId="014773A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490</w:t>
            </w:r>
          </w:p>
        </w:tc>
        <w:tc>
          <w:tcPr>
            <w:tcW w:w="509" w:type="pct"/>
            <w:tcBorders>
              <w:top w:val="nil"/>
              <w:left w:val="nil"/>
              <w:bottom w:val="single" w:sz="4" w:space="0" w:color="auto"/>
              <w:right w:val="nil"/>
            </w:tcBorders>
            <w:shd w:val="clear" w:color="000000" w:fill="F2F2F2"/>
            <w:noWrap/>
            <w:vAlign w:val="center"/>
            <w:hideMark/>
          </w:tcPr>
          <w:p w14:paraId="2D2D9F4C"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246</w:t>
            </w:r>
          </w:p>
        </w:tc>
        <w:tc>
          <w:tcPr>
            <w:tcW w:w="509" w:type="pct"/>
            <w:tcBorders>
              <w:top w:val="nil"/>
              <w:left w:val="nil"/>
              <w:bottom w:val="single" w:sz="4" w:space="0" w:color="auto"/>
              <w:right w:val="nil"/>
            </w:tcBorders>
            <w:shd w:val="clear" w:color="000000" w:fill="F2F2F2"/>
            <w:noWrap/>
            <w:vAlign w:val="center"/>
            <w:hideMark/>
          </w:tcPr>
          <w:p w14:paraId="4A44EC38"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23</w:t>
            </w:r>
          </w:p>
        </w:tc>
        <w:tc>
          <w:tcPr>
            <w:tcW w:w="509" w:type="pct"/>
            <w:tcBorders>
              <w:top w:val="nil"/>
              <w:left w:val="nil"/>
              <w:bottom w:val="single" w:sz="4" w:space="0" w:color="auto"/>
              <w:right w:val="nil"/>
            </w:tcBorders>
            <w:shd w:val="clear" w:color="000000" w:fill="F2F2F2"/>
            <w:noWrap/>
            <w:vAlign w:val="center"/>
            <w:hideMark/>
          </w:tcPr>
          <w:p w14:paraId="5126FBD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w:t>
            </w:r>
          </w:p>
        </w:tc>
        <w:tc>
          <w:tcPr>
            <w:tcW w:w="511" w:type="pct"/>
            <w:tcBorders>
              <w:top w:val="nil"/>
              <w:left w:val="nil"/>
              <w:bottom w:val="single" w:sz="4" w:space="0" w:color="auto"/>
              <w:right w:val="single" w:sz="4" w:space="0" w:color="auto"/>
            </w:tcBorders>
            <w:shd w:val="clear" w:color="000000" w:fill="F2F2F2"/>
            <w:noWrap/>
            <w:vAlign w:val="center"/>
            <w:hideMark/>
          </w:tcPr>
          <w:p w14:paraId="5F995BCC"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0</w:t>
            </w:r>
          </w:p>
        </w:tc>
        <w:tc>
          <w:tcPr>
            <w:tcW w:w="478" w:type="pct"/>
            <w:tcBorders>
              <w:top w:val="nil"/>
              <w:left w:val="nil"/>
              <w:bottom w:val="single" w:sz="4" w:space="0" w:color="auto"/>
              <w:right w:val="nil"/>
            </w:tcBorders>
            <w:shd w:val="clear" w:color="000000" w:fill="F2F2F2"/>
            <w:noWrap/>
            <w:vAlign w:val="center"/>
            <w:hideMark/>
          </w:tcPr>
          <w:p w14:paraId="19638D6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2.848</w:t>
            </w:r>
          </w:p>
        </w:tc>
        <w:tc>
          <w:tcPr>
            <w:tcW w:w="478" w:type="pct"/>
            <w:tcBorders>
              <w:top w:val="nil"/>
              <w:left w:val="single" w:sz="4" w:space="0" w:color="auto"/>
              <w:bottom w:val="single" w:sz="4" w:space="0" w:color="auto"/>
              <w:right w:val="single" w:sz="4" w:space="0" w:color="auto"/>
            </w:tcBorders>
            <w:shd w:val="clear" w:color="000000" w:fill="F2F2F2"/>
            <w:noWrap/>
            <w:vAlign w:val="center"/>
            <w:hideMark/>
          </w:tcPr>
          <w:p w14:paraId="1B33AE23"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54%</w:t>
            </w:r>
          </w:p>
        </w:tc>
      </w:tr>
      <w:tr w:rsidR="00B44397" w:rsidRPr="00650EE4" w14:paraId="2C988285" w14:textId="77777777" w:rsidTr="007B6664">
        <w:tc>
          <w:tcPr>
            <w:tcW w:w="987" w:type="pct"/>
            <w:tcBorders>
              <w:top w:val="nil"/>
              <w:left w:val="single" w:sz="4" w:space="0" w:color="auto"/>
              <w:bottom w:val="nil"/>
              <w:right w:val="nil"/>
            </w:tcBorders>
            <w:shd w:val="clear" w:color="000000" w:fill="FFFFFF"/>
            <w:noWrap/>
            <w:vAlign w:val="center"/>
            <w:hideMark/>
          </w:tcPr>
          <w:p w14:paraId="72CA8C39"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9" w:type="pct"/>
            <w:tcBorders>
              <w:top w:val="nil"/>
              <w:left w:val="single" w:sz="4" w:space="0" w:color="auto"/>
              <w:bottom w:val="nil"/>
              <w:right w:val="nil"/>
            </w:tcBorders>
            <w:shd w:val="clear" w:color="000000" w:fill="FFFFFF"/>
            <w:noWrap/>
            <w:vAlign w:val="center"/>
            <w:hideMark/>
          </w:tcPr>
          <w:p w14:paraId="5F7268D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1.082</w:t>
            </w:r>
          </w:p>
        </w:tc>
        <w:tc>
          <w:tcPr>
            <w:tcW w:w="509" w:type="pct"/>
            <w:tcBorders>
              <w:top w:val="nil"/>
              <w:left w:val="nil"/>
              <w:bottom w:val="nil"/>
              <w:right w:val="nil"/>
            </w:tcBorders>
            <w:shd w:val="clear" w:color="000000" w:fill="FFFFFF"/>
            <w:noWrap/>
            <w:vAlign w:val="center"/>
            <w:hideMark/>
          </w:tcPr>
          <w:p w14:paraId="432D870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361</w:t>
            </w:r>
          </w:p>
        </w:tc>
        <w:tc>
          <w:tcPr>
            <w:tcW w:w="509" w:type="pct"/>
            <w:tcBorders>
              <w:top w:val="nil"/>
              <w:left w:val="nil"/>
              <w:bottom w:val="nil"/>
              <w:right w:val="nil"/>
            </w:tcBorders>
            <w:shd w:val="clear" w:color="000000" w:fill="FFFFFF"/>
            <w:noWrap/>
            <w:vAlign w:val="center"/>
            <w:hideMark/>
          </w:tcPr>
          <w:p w14:paraId="44A1FFD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09" w:type="pct"/>
            <w:tcBorders>
              <w:top w:val="nil"/>
              <w:left w:val="nil"/>
              <w:bottom w:val="nil"/>
              <w:right w:val="nil"/>
            </w:tcBorders>
            <w:shd w:val="clear" w:color="000000" w:fill="FFFFFF"/>
            <w:noWrap/>
            <w:vAlign w:val="center"/>
            <w:hideMark/>
          </w:tcPr>
          <w:p w14:paraId="15E0D55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09" w:type="pct"/>
            <w:tcBorders>
              <w:top w:val="nil"/>
              <w:left w:val="nil"/>
              <w:bottom w:val="nil"/>
              <w:right w:val="nil"/>
            </w:tcBorders>
            <w:shd w:val="clear" w:color="000000" w:fill="FFFFFF"/>
            <w:noWrap/>
            <w:vAlign w:val="center"/>
            <w:hideMark/>
          </w:tcPr>
          <w:p w14:paraId="6D6441B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1" w:type="pct"/>
            <w:tcBorders>
              <w:top w:val="nil"/>
              <w:left w:val="nil"/>
              <w:bottom w:val="nil"/>
              <w:right w:val="single" w:sz="4" w:space="0" w:color="auto"/>
            </w:tcBorders>
            <w:shd w:val="clear" w:color="000000" w:fill="FFFFFF"/>
            <w:noWrap/>
            <w:vAlign w:val="center"/>
            <w:hideMark/>
          </w:tcPr>
          <w:p w14:paraId="3A39F9A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5D2B2BF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1.569</w:t>
            </w:r>
          </w:p>
        </w:tc>
        <w:tc>
          <w:tcPr>
            <w:tcW w:w="478" w:type="pct"/>
            <w:tcBorders>
              <w:top w:val="nil"/>
              <w:left w:val="single" w:sz="4" w:space="0" w:color="auto"/>
              <w:bottom w:val="nil"/>
              <w:right w:val="single" w:sz="4" w:space="0" w:color="auto"/>
            </w:tcBorders>
            <w:shd w:val="clear" w:color="000000" w:fill="FFFFFF"/>
            <w:noWrap/>
            <w:vAlign w:val="center"/>
            <w:hideMark/>
          </w:tcPr>
          <w:p w14:paraId="5C43B58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r>
      <w:tr w:rsidR="00B44397" w:rsidRPr="00650EE4" w14:paraId="72E8E602" w14:textId="77777777" w:rsidTr="007B6664">
        <w:tc>
          <w:tcPr>
            <w:tcW w:w="987" w:type="pct"/>
            <w:tcBorders>
              <w:top w:val="nil"/>
              <w:left w:val="single" w:sz="4" w:space="0" w:color="auto"/>
              <w:bottom w:val="nil"/>
              <w:right w:val="nil"/>
            </w:tcBorders>
            <w:shd w:val="clear" w:color="000000" w:fill="FFFFFF"/>
            <w:noWrap/>
            <w:vAlign w:val="center"/>
            <w:hideMark/>
          </w:tcPr>
          <w:p w14:paraId="71D3E6CE"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9" w:type="pct"/>
            <w:tcBorders>
              <w:top w:val="nil"/>
              <w:left w:val="single" w:sz="4" w:space="0" w:color="auto"/>
              <w:bottom w:val="nil"/>
              <w:right w:val="nil"/>
            </w:tcBorders>
            <w:shd w:val="clear" w:color="000000" w:fill="FFFFFF"/>
            <w:noWrap/>
            <w:vAlign w:val="center"/>
            <w:hideMark/>
          </w:tcPr>
          <w:p w14:paraId="694A596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1.002</w:t>
            </w:r>
          </w:p>
        </w:tc>
        <w:tc>
          <w:tcPr>
            <w:tcW w:w="509" w:type="pct"/>
            <w:tcBorders>
              <w:top w:val="nil"/>
              <w:left w:val="nil"/>
              <w:bottom w:val="nil"/>
              <w:right w:val="nil"/>
            </w:tcBorders>
            <w:shd w:val="clear" w:color="000000" w:fill="FFFFFF"/>
            <w:noWrap/>
            <w:vAlign w:val="center"/>
            <w:hideMark/>
          </w:tcPr>
          <w:p w14:paraId="6454CC4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129</w:t>
            </w:r>
          </w:p>
        </w:tc>
        <w:tc>
          <w:tcPr>
            <w:tcW w:w="509" w:type="pct"/>
            <w:tcBorders>
              <w:top w:val="nil"/>
              <w:left w:val="nil"/>
              <w:bottom w:val="nil"/>
              <w:right w:val="nil"/>
            </w:tcBorders>
            <w:shd w:val="clear" w:color="000000" w:fill="FFFFFF"/>
            <w:noWrap/>
            <w:vAlign w:val="center"/>
            <w:hideMark/>
          </w:tcPr>
          <w:p w14:paraId="242D0C3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138</w:t>
            </w:r>
          </w:p>
        </w:tc>
        <w:tc>
          <w:tcPr>
            <w:tcW w:w="509" w:type="pct"/>
            <w:tcBorders>
              <w:top w:val="nil"/>
              <w:left w:val="nil"/>
              <w:bottom w:val="nil"/>
              <w:right w:val="nil"/>
            </w:tcBorders>
            <w:shd w:val="clear" w:color="000000" w:fill="FFFFFF"/>
            <w:noWrap/>
            <w:vAlign w:val="center"/>
            <w:hideMark/>
          </w:tcPr>
          <w:p w14:paraId="6F3B818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9" w:type="pct"/>
            <w:tcBorders>
              <w:top w:val="nil"/>
              <w:left w:val="nil"/>
              <w:bottom w:val="nil"/>
              <w:right w:val="nil"/>
            </w:tcBorders>
            <w:shd w:val="clear" w:color="000000" w:fill="FFFFFF"/>
            <w:noWrap/>
            <w:vAlign w:val="center"/>
            <w:hideMark/>
          </w:tcPr>
          <w:p w14:paraId="58E63F6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141A9D4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5C11286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1.279</w:t>
            </w:r>
          </w:p>
        </w:tc>
        <w:tc>
          <w:tcPr>
            <w:tcW w:w="478" w:type="pct"/>
            <w:tcBorders>
              <w:top w:val="nil"/>
              <w:left w:val="single" w:sz="4" w:space="0" w:color="auto"/>
              <w:bottom w:val="nil"/>
              <w:right w:val="single" w:sz="4" w:space="0" w:color="auto"/>
            </w:tcBorders>
            <w:shd w:val="clear" w:color="000000" w:fill="FFFFFF"/>
            <w:noWrap/>
            <w:vAlign w:val="center"/>
            <w:hideMark/>
          </w:tcPr>
          <w:p w14:paraId="1947CF5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r>
      <w:tr w:rsidR="001E4D80" w:rsidRPr="00650EE4" w14:paraId="4FEC2E40" w14:textId="77777777" w:rsidTr="007B6664">
        <w:tc>
          <w:tcPr>
            <w:tcW w:w="98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CCD289"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9" w:type="pct"/>
            <w:tcBorders>
              <w:top w:val="single" w:sz="4" w:space="0" w:color="auto"/>
              <w:left w:val="nil"/>
              <w:bottom w:val="single" w:sz="4" w:space="0" w:color="auto"/>
              <w:right w:val="nil"/>
            </w:tcBorders>
            <w:shd w:val="clear" w:color="000000" w:fill="F2F2F2"/>
            <w:noWrap/>
            <w:vAlign w:val="center"/>
            <w:hideMark/>
          </w:tcPr>
          <w:p w14:paraId="2BB5BCB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2.002</w:t>
            </w:r>
          </w:p>
        </w:tc>
        <w:tc>
          <w:tcPr>
            <w:tcW w:w="509" w:type="pct"/>
            <w:tcBorders>
              <w:top w:val="single" w:sz="4" w:space="0" w:color="auto"/>
              <w:left w:val="nil"/>
              <w:bottom w:val="single" w:sz="4" w:space="0" w:color="auto"/>
              <w:right w:val="nil"/>
            </w:tcBorders>
            <w:shd w:val="clear" w:color="000000" w:fill="F2F2F2"/>
            <w:noWrap/>
            <w:vAlign w:val="center"/>
            <w:hideMark/>
          </w:tcPr>
          <w:p w14:paraId="7614B3E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191</w:t>
            </w:r>
          </w:p>
        </w:tc>
        <w:tc>
          <w:tcPr>
            <w:tcW w:w="509" w:type="pct"/>
            <w:tcBorders>
              <w:top w:val="single" w:sz="4" w:space="0" w:color="auto"/>
              <w:left w:val="nil"/>
              <w:bottom w:val="single" w:sz="4" w:space="0" w:color="auto"/>
              <w:right w:val="nil"/>
            </w:tcBorders>
            <w:shd w:val="clear" w:color="000000" w:fill="F2F2F2"/>
            <w:noWrap/>
            <w:vAlign w:val="center"/>
            <w:hideMark/>
          </w:tcPr>
          <w:p w14:paraId="1347A54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210</w:t>
            </w:r>
          </w:p>
        </w:tc>
        <w:tc>
          <w:tcPr>
            <w:tcW w:w="509" w:type="pct"/>
            <w:tcBorders>
              <w:top w:val="single" w:sz="4" w:space="0" w:color="auto"/>
              <w:left w:val="nil"/>
              <w:bottom w:val="single" w:sz="4" w:space="0" w:color="auto"/>
              <w:right w:val="nil"/>
            </w:tcBorders>
            <w:shd w:val="clear" w:color="000000" w:fill="F2F2F2"/>
            <w:noWrap/>
            <w:vAlign w:val="center"/>
            <w:hideMark/>
          </w:tcPr>
          <w:p w14:paraId="3E9D4DEB"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w:t>
            </w:r>
          </w:p>
        </w:tc>
        <w:tc>
          <w:tcPr>
            <w:tcW w:w="509" w:type="pct"/>
            <w:tcBorders>
              <w:top w:val="single" w:sz="4" w:space="0" w:color="auto"/>
              <w:left w:val="nil"/>
              <w:bottom w:val="single" w:sz="4" w:space="0" w:color="auto"/>
              <w:right w:val="nil"/>
            </w:tcBorders>
            <w:shd w:val="clear" w:color="000000" w:fill="F2F2F2"/>
            <w:noWrap/>
            <w:vAlign w:val="center"/>
            <w:hideMark/>
          </w:tcPr>
          <w:p w14:paraId="33C30D2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w:t>
            </w:r>
          </w:p>
        </w:tc>
        <w:tc>
          <w:tcPr>
            <w:tcW w:w="511" w:type="pct"/>
            <w:tcBorders>
              <w:top w:val="single" w:sz="4" w:space="0" w:color="auto"/>
              <w:left w:val="nil"/>
              <w:bottom w:val="single" w:sz="4" w:space="0" w:color="auto"/>
              <w:right w:val="single" w:sz="4" w:space="0" w:color="auto"/>
            </w:tcBorders>
            <w:shd w:val="clear" w:color="000000" w:fill="F2F2F2"/>
            <w:noWrap/>
            <w:vAlign w:val="center"/>
            <w:hideMark/>
          </w:tcPr>
          <w:p w14:paraId="5CDBA63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78" w:type="pct"/>
            <w:tcBorders>
              <w:top w:val="single" w:sz="4" w:space="0" w:color="auto"/>
              <w:left w:val="nil"/>
              <w:bottom w:val="single" w:sz="4" w:space="0" w:color="auto"/>
              <w:right w:val="nil"/>
            </w:tcBorders>
            <w:shd w:val="clear" w:color="000000" w:fill="F2F2F2"/>
            <w:noWrap/>
            <w:vAlign w:val="center"/>
            <w:hideMark/>
          </w:tcPr>
          <w:p w14:paraId="71859101"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2.438</w:t>
            </w:r>
          </w:p>
        </w:tc>
        <w:tc>
          <w:tcPr>
            <w:tcW w:w="4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18D690"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46%</w:t>
            </w:r>
          </w:p>
        </w:tc>
      </w:tr>
      <w:tr w:rsidR="00B44397" w:rsidRPr="00650EE4" w14:paraId="7C966AE8" w14:textId="77777777" w:rsidTr="007B6664">
        <w:tc>
          <w:tcPr>
            <w:tcW w:w="987" w:type="pct"/>
            <w:tcBorders>
              <w:top w:val="nil"/>
              <w:left w:val="single" w:sz="4" w:space="0" w:color="auto"/>
              <w:bottom w:val="nil"/>
              <w:right w:val="nil"/>
            </w:tcBorders>
            <w:shd w:val="clear" w:color="000000" w:fill="FFFFFF"/>
            <w:noWrap/>
            <w:vAlign w:val="center"/>
            <w:hideMark/>
          </w:tcPr>
          <w:p w14:paraId="32B72238"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9" w:type="pct"/>
            <w:tcBorders>
              <w:top w:val="nil"/>
              <w:left w:val="single" w:sz="4" w:space="0" w:color="auto"/>
              <w:bottom w:val="nil"/>
              <w:right w:val="nil"/>
            </w:tcBorders>
            <w:shd w:val="clear" w:color="000000" w:fill="FFFFFF"/>
            <w:noWrap/>
            <w:vAlign w:val="center"/>
            <w:hideMark/>
          </w:tcPr>
          <w:p w14:paraId="36A8976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1.063</w:t>
            </w:r>
          </w:p>
        </w:tc>
        <w:tc>
          <w:tcPr>
            <w:tcW w:w="509" w:type="pct"/>
            <w:tcBorders>
              <w:top w:val="nil"/>
              <w:left w:val="nil"/>
              <w:bottom w:val="nil"/>
              <w:right w:val="nil"/>
            </w:tcBorders>
            <w:shd w:val="clear" w:color="000000" w:fill="FFFFFF"/>
            <w:noWrap/>
            <w:vAlign w:val="center"/>
            <w:hideMark/>
          </w:tcPr>
          <w:p w14:paraId="7CC6560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509" w:type="pct"/>
            <w:tcBorders>
              <w:top w:val="nil"/>
              <w:left w:val="nil"/>
              <w:bottom w:val="nil"/>
              <w:right w:val="nil"/>
            </w:tcBorders>
            <w:shd w:val="clear" w:color="000000" w:fill="FFFFFF"/>
            <w:noWrap/>
            <w:vAlign w:val="center"/>
            <w:hideMark/>
          </w:tcPr>
          <w:p w14:paraId="5FDF99D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w:t>
            </w:r>
          </w:p>
        </w:tc>
        <w:tc>
          <w:tcPr>
            <w:tcW w:w="509" w:type="pct"/>
            <w:tcBorders>
              <w:top w:val="nil"/>
              <w:left w:val="nil"/>
              <w:bottom w:val="nil"/>
              <w:right w:val="nil"/>
            </w:tcBorders>
            <w:shd w:val="clear" w:color="000000" w:fill="FFFFFF"/>
            <w:noWrap/>
            <w:vAlign w:val="center"/>
            <w:hideMark/>
          </w:tcPr>
          <w:p w14:paraId="201ECA9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09" w:type="pct"/>
            <w:tcBorders>
              <w:top w:val="nil"/>
              <w:left w:val="nil"/>
              <w:bottom w:val="nil"/>
              <w:right w:val="nil"/>
            </w:tcBorders>
            <w:shd w:val="clear" w:color="000000" w:fill="FFFFFF"/>
            <w:noWrap/>
            <w:vAlign w:val="center"/>
            <w:hideMark/>
          </w:tcPr>
          <w:p w14:paraId="584DEC4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11" w:type="pct"/>
            <w:tcBorders>
              <w:top w:val="nil"/>
              <w:left w:val="nil"/>
              <w:bottom w:val="nil"/>
              <w:right w:val="single" w:sz="4" w:space="0" w:color="auto"/>
            </w:tcBorders>
            <w:shd w:val="clear" w:color="000000" w:fill="FFFFFF"/>
            <w:noWrap/>
            <w:vAlign w:val="center"/>
            <w:hideMark/>
          </w:tcPr>
          <w:p w14:paraId="406D295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78" w:type="pct"/>
            <w:tcBorders>
              <w:top w:val="nil"/>
              <w:left w:val="nil"/>
              <w:bottom w:val="nil"/>
              <w:right w:val="nil"/>
            </w:tcBorders>
            <w:shd w:val="clear" w:color="000000" w:fill="FFFFFF"/>
            <w:noWrap/>
            <w:vAlign w:val="center"/>
            <w:hideMark/>
          </w:tcPr>
          <w:p w14:paraId="36D7E37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1.180</w:t>
            </w:r>
          </w:p>
        </w:tc>
        <w:tc>
          <w:tcPr>
            <w:tcW w:w="478" w:type="pct"/>
            <w:tcBorders>
              <w:top w:val="nil"/>
              <w:left w:val="single" w:sz="4" w:space="0" w:color="auto"/>
              <w:bottom w:val="nil"/>
              <w:right w:val="single" w:sz="4" w:space="0" w:color="auto"/>
            </w:tcBorders>
            <w:shd w:val="clear" w:color="000000" w:fill="FFFFFF"/>
            <w:noWrap/>
            <w:vAlign w:val="center"/>
            <w:hideMark/>
          </w:tcPr>
          <w:p w14:paraId="133F406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r>
      <w:tr w:rsidR="00B44397" w:rsidRPr="00650EE4" w14:paraId="1BFC535F" w14:textId="77777777" w:rsidTr="007B6664">
        <w:tc>
          <w:tcPr>
            <w:tcW w:w="987" w:type="pct"/>
            <w:tcBorders>
              <w:top w:val="nil"/>
              <w:left w:val="single" w:sz="4" w:space="0" w:color="auto"/>
              <w:bottom w:val="nil"/>
              <w:right w:val="nil"/>
            </w:tcBorders>
            <w:shd w:val="clear" w:color="000000" w:fill="FFFFFF"/>
            <w:noWrap/>
            <w:vAlign w:val="center"/>
            <w:hideMark/>
          </w:tcPr>
          <w:p w14:paraId="31904F07"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9" w:type="pct"/>
            <w:tcBorders>
              <w:top w:val="nil"/>
              <w:left w:val="single" w:sz="4" w:space="0" w:color="auto"/>
              <w:bottom w:val="nil"/>
              <w:right w:val="nil"/>
            </w:tcBorders>
            <w:shd w:val="clear" w:color="000000" w:fill="FFFFFF"/>
            <w:noWrap/>
            <w:vAlign w:val="center"/>
            <w:hideMark/>
          </w:tcPr>
          <w:p w14:paraId="0834860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294</w:t>
            </w:r>
          </w:p>
        </w:tc>
        <w:tc>
          <w:tcPr>
            <w:tcW w:w="509" w:type="pct"/>
            <w:tcBorders>
              <w:top w:val="nil"/>
              <w:left w:val="nil"/>
              <w:bottom w:val="nil"/>
              <w:right w:val="nil"/>
            </w:tcBorders>
            <w:shd w:val="clear" w:color="000000" w:fill="FFFFFF"/>
            <w:noWrap/>
            <w:vAlign w:val="center"/>
            <w:hideMark/>
          </w:tcPr>
          <w:p w14:paraId="620777A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c>
          <w:tcPr>
            <w:tcW w:w="509" w:type="pct"/>
            <w:tcBorders>
              <w:top w:val="nil"/>
              <w:left w:val="nil"/>
              <w:bottom w:val="nil"/>
              <w:right w:val="nil"/>
            </w:tcBorders>
            <w:shd w:val="clear" w:color="000000" w:fill="FFFFFF"/>
            <w:noWrap/>
            <w:vAlign w:val="center"/>
            <w:hideMark/>
          </w:tcPr>
          <w:p w14:paraId="53859D0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509" w:type="pct"/>
            <w:tcBorders>
              <w:top w:val="nil"/>
              <w:left w:val="nil"/>
              <w:bottom w:val="nil"/>
              <w:right w:val="nil"/>
            </w:tcBorders>
            <w:shd w:val="clear" w:color="000000" w:fill="FFFFFF"/>
            <w:noWrap/>
            <w:vAlign w:val="center"/>
            <w:hideMark/>
          </w:tcPr>
          <w:p w14:paraId="47E5F63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09" w:type="pct"/>
            <w:tcBorders>
              <w:top w:val="nil"/>
              <w:left w:val="nil"/>
              <w:bottom w:val="nil"/>
              <w:right w:val="nil"/>
            </w:tcBorders>
            <w:shd w:val="clear" w:color="000000" w:fill="FFFFFF"/>
            <w:noWrap/>
            <w:vAlign w:val="center"/>
            <w:hideMark/>
          </w:tcPr>
          <w:p w14:paraId="5C22E88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423E7ED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7295FAF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353</w:t>
            </w:r>
          </w:p>
        </w:tc>
        <w:tc>
          <w:tcPr>
            <w:tcW w:w="478" w:type="pct"/>
            <w:tcBorders>
              <w:top w:val="nil"/>
              <w:left w:val="single" w:sz="4" w:space="0" w:color="auto"/>
              <w:bottom w:val="nil"/>
              <w:right w:val="single" w:sz="4" w:space="0" w:color="auto"/>
            </w:tcBorders>
            <w:shd w:val="clear" w:color="000000" w:fill="FFFFFF"/>
            <w:noWrap/>
            <w:vAlign w:val="center"/>
            <w:hideMark/>
          </w:tcPr>
          <w:p w14:paraId="7EC9BA4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B44397" w:rsidRPr="00650EE4" w14:paraId="413A944F" w14:textId="77777777" w:rsidTr="007B6664">
        <w:tc>
          <w:tcPr>
            <w:tcW w:w="987" w:type="pct"/>
            <w:tcBorders>
              <w:top w:val="nil"/>
              <w:left w:val="single" w:sz="4" w:space="0" w:color="auto"/>
              <w:bottom w:val="nil"/>
              <w:right w:val="nil"/>
            </w:tcBorders>
            <w:shd w:val="clear" w:color="000000" w:fill="FFFFFF"/>
            <w:noWrap/>
            <w:vAlign w:val="center"/>
            <w:hideMark/>
          </w:tcPr>
          <w:p w14:paraId="3A1716B0"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9" w:type="pct"/>
            <w:tcBorders>
              <w:top w:val="nil"/>
              <w:left w:val="single" w:sz="4" w:space="0" w:color="auto"/>
              <w:bottom w:val="nil"/>
              <w:right w:val="nil"/>
            </w:tcBorders>
            <w:shd w:val="clear" w:color="000000" w:fill="FFFFFF"/>
            <w:noWrap/>
            <w:vAlign w:val="center"/>
            <w:hideMark/>
          </w:tcPr>
          <w:p w14:paraId="22CE3A1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197</w:t>
            </w:r>
          </w:p>
        </w:tc>
        <w:tc>
          <w:tcPr>
            <w:tcW w:w="509" w:type="pct"/>
            <w:tcBorders>
              <w:top w:val="nil"/>
              <w:left w:val="nil"/>
              <w:bottom w:val="nil"/>
              <w:right w:val="nil"/>
            </w:tcBorders>
            <w:shd w:val="clear" w:color="000000" w:fill="FFFFFF"/>
            <w:noWrap/>
            <w:vAlign w:val="center"/>
            <w:hideMark/>
          </w:tcPr>
          <w:p w14:paraId="5C97BAF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c>
          <w:tcPr>
            <w:tcW w:w="509" w:type="pct"/>
            <w:tcBorders>
              <w:top w:val="nil"/>
              <w:left w:val="nil"/>
              <w:bottom w:val="nil"/>
              <w:right w:val="nil"/>
            </w:tcBorders>
            <w:shd w:val="clear" w:color="000000" w:fill="FFFFFF"/>
            <w:noWrap/>
            <w:vAlign w:val="center"/>
            <w:hideMark/>
          </w:tcPr>
          <w:p w14:paraId="43EC15B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09" w:type="pct"/>
            <w:tcBorders>
              <w:top w:val="nil"/>
              <w:left w:val="nil"/>
              <w:bottom w:val="nil"/>
              <w:right w:val="nil"/>
            </w:tcBorders>
            <w:shd w:val="clear" w:color="000000" w:fill="FFFFFF"/>
            <w:noWrap/>
            <w:vAlign w:val="center"/>
            <w:hideMark/>
          </w:tcPr>
          <w:p w14:paraId="530A80C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nil"/>
              <w:right w:val="nil"/>
            </w:tcBorders>
            <w:shd w:val="clear" w:color="000000" w:fill="FFFFFF"/>
            <w:noWrap/>
            <w:vAlign w:val="center"/>
            <w:hideMark/>
          </w:tcPr>
          <w:p w14:paraId="54FAFD9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3BDFD65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152E6F78"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259</w:t>
            </w:r>
          </w:p>
        </w:tc>
        <w:tc>
          <w:tcPr>
            <w:tcW w:w="478" w:type="pct"/>
            <w:tcBorders>
              <w:top w:val="nil"/>
              <w:left w:val="single" w:sz="4" w:space="0" w:color="auto"/>
              <w:bottom w:val="nil"/>
              <w:right w:val="single" w:sz="4" w:space="0" w:color="auto"/>
            </w:tcBorders>
            <w:shd w:val="clear" w:color="000000" w:fill="FFFFFF"/>
            <w:noWrap/>
            <w:vAlign w:val="center"/>
            <w:hideMark/>
          </w:tcPr>
          <w:p w14:paraId="31771A5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w:t>
            </w:r>
          </w:p>
        </w:tc>
      </w:tr>
      <w:tr w:rsidR="00B44397" w:rsidRPr="00650EE4" w14:paraId="74C23D94" w14:textId="77777777" w:rsidTr="007B6664">
        <w:tc>
          <w:tcPr>
            <w:tcW w:w="987" w:type="pct"/>
            <w:tcBorders>
              <w:top w:val="nil"/>
              <w:left w:val="single" w:sz="4" w:space="0" w:color="auto"/>
              <w:bottom w:val="nil"/>
              <w:right w:val="nil"/>
            </w:tcBorders>
            <w:shd w:val="clear" w:color="000000" w:fill="FFFFFF"/>
            <w:noWrap/>
            <w:vAlign w:val="center"/>
            <w:hideMark/>
          </w:tcPr>
          <w:p w14:paraId="7F587B94"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9" w:type="pct"/>
            <w:tcBorders>
              <w:top w:val="nil"/>
              <w:left w:val="single" w:sz="4" w:space="0" w:color="auto"/>
              <w:bottom w:val="nil"/>
              <w:right w:val="nil"/>
            </w:tcBorders>
            <w:shd w:val="clear" w:color="000000" w:fill="FFFFFF"/>
            <w:noWrap/>
            <w:vAlign w:val="center"/>
            <w:hideMark/>
          </w:tcPr>
          <w:p w14:paraId="0089D7A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139</w:t>
            </w:r>
          </w:p>
        </w:tc>
        <w:tc>
          <w:tcPr>
            <w:tcW w:w="509" w:type="pct"/>
            <w:tcBorders>
              <w:top w:val="nil"/>
              <w:left w:val="nil"/>
              <w:bottom w:val="nil"/>
              <w:right w:val="nil"/>
            </w:tcBorders>
            <w:shd w:val="clear" w:color="000000" w:fill="FFFFFF"/>
            <w:noWrap/>
            <w:vAlign w:val="center"/>
            <w:hideMark/>
          </w:tcPr>
          <w:p w14:paraId="4322D0F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09" w:type="pct"/>
            <w:tcBorders>
              <w:top w:val="nil"/>
              <w:left w:val="nil"/>
              <w:bottom w:val="nil"/>
              <w:right w:val="nil"/>
            </w:tcBorders>
            <w:shd w:val="clear" w:color="000000" w:fill="FFFFFF"/>
            <w:noWrap/>
            <w:vAlign w:val="center"/>
            <w:hideMark/>
          </w:tcPr>
          <w:p w14:paraId="29B6C55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53</w:t>
            </w:r>
          </w:p>
        </w:tc>
        <w:tc>
          <w:tcPr>
            <w:tcW w:w="509" w:type="pct"/>
            <w:tcBorders>
              <w:top w:val="nil"/>
              <w:left w:val="nil"/>
              <w:bottom w:val="nil"/>
              <w:right w:val="nil"/>
            </w:tcBorders>
            <w:shd w:val="clear" w:color="000000" w:fill="FFFFFF"/>
            <w:noWrap/>
            <w:vAlign w:val="center"/>
            <w:hideMark/>
          </w:tcPr>
          <w:p w14:paraId="63BE198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9" w:type="pct"/>
            <w:tcBorders>
              <w:top w:val="nil"/>
              <w:left w:val="nil"/>
              <w:bottom w:val="nil"/>
              <w:right w:val="nil"/>
            </w:tcBorders>
            <w:shd w:val="clear" w:color="000000" w:fill="FFFFFF"/>
            <w:noWrap/>
            <w:vAlign w:val="center"/>
            <w:hideMark/>
          </w:tcPr>
          <w:p w14:paraId="0EE58E2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178C618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7F85C08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221</w:t>
            </w:r>
          </w:p>
        </w:tc>
        <w:tc>
          <w:tcPr>
            <w:tcW w:w="478" w:type="pct"/>
            <w:tcBorders>
              <w:top w:val="nil"/>
              <w:left w:val="single" w:sz="4" w:space="0" w:color="auto"/>
              <w:bottom w:val="nil"/>
              <w:right w:val="single" w:sz="4" w:space="0" w:color="auto"/>
            </w:tcBorders>
            <w:shd w:val="clear" w:color="000000" w:fill="FFFFFF"/>
            <w:noWrap/>
            <w:vAlign w:val="center"/>
            <w:hideMark/>
          </w:tcPr>
          <w:p w14:paraId="493797A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B44397" w:rsidRPr="00650EE4" w14:paraId="35993A66" w14:textId="77777777" w:rsidTr="007B6664">
        <w:tc>
          <w:tcPr>
            <w:tcW w:w="987" w:type="pct"/>
            <w:tcBorders>
              <w:top w:val="nil"/>
              <w:left w:val="single" w:sz="4" w:space="0" w:color="auto"/>
              <w:bottom w:val="nil"/>
              <w:right w:val="nil"/>
            </w:tcBorders>
            <w:shd w:val="clear" w:color="000000" w:fill="FFFFFF"/>
            <w:noWrap/>
            <w:vAlign w:val="center"/>
            <w:hideMark/>
          </w:tcPr>
          <w:p w14:paraId="5AC15B6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9" w:type="pct"/>
            <w:tcBorders>
              <w:top w:val="nil"/>
              <w:left w:val="single" w:sz="4" w:space="0" w:color="auto"/>
              <w:bottom w:val="nil"/>
              <w:right w:val="nil"/>
            </w:tcBorders>
            <w:shd w:val="clear" w:color="000000" w:fill="FFFFFF"/>
            <w:noWrap/>
            <w:vAlign w:val="center"/>
            <w:hideMark/>
          </w:tcPr>
          <w:p w14:paraId="46DBD24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w:t>
            </w:r>
          </w:p>
        </w:tc>
        <w:tc>
          <w:tcPr>
            <w:tcW w:w="509" w:type="pct"/>
            <w:tcBorders>
              <w:top w:val="nil"/>
              <w:left w:val="nil"/>
              <w:bottom w:val="nil"/>
              <w:right w:val="nil"/>
            </w:tcBorders>
            <w:shd w:val="clear" w:color="000000" w:fill="FFFFFF"/>
            <w:noWrap/>
            <w:vAlign w:val="center"/>
            <w:hideMark/>
          </w:tcPr>
          <w:p w14:paraId="7A1F14E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509" w:type="pct"/>
            <w:tcBorders>
              <w:top w:val="nil"/>
              <w:left w:val="nil"/>
              <w:bottom w:val="nil"/>
              <w:right w:val="nil"/>
            </w:tcBorders>
            <w:shd w:val="clear" w:color="000000" w:fill="FFFFFF"/>
            <w:noWrap/>
            <w:vAlign w:val="center"/>
            <w:hideMark/>
          </w:tcPr>
          <w:p w14:paraId="1570FE3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09" w:type="pct"/>
            <w:tcBorders>
              <w:top w:val="nil"/>
              <w:left w:val="nil"/>
              <w:bottom w:val="nil"/>
              <w:right w:val="nil"/>
            </w:tcBorders>
            <w:shd w:val="clear" w:color="000000" w:fill="FFFFFF"/>
            <w:noWrap/>
            <w:vAlign w:val="center"/>
            <w:hideMark/>
          </w:tcPr>
          <w:p w14:paraId="2AD45A6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nil"/>
              <w:right w:val="nil"/>
            </w:tcBorders>
            <w:shd w:val="clear" w:color="000000" w:fill="FFFFFF"/>
            <w:noWrap/>
            <w:vAlign w:val="center"/>
            <w:hideMark/>
          </w:tcPr>
          <w:p w14:paraId="2F9D92B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4B113F4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6FB582B9"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106</w:t>
            </w:r>
          </w:p>
        </w:tc>
        <w:tc>
          <w:tcPr>
            <w:tcW w:w="478" w:type="pct"/>
            <w:tcBorders>
              <w:top w:val="nil"/>
              <w:left w:val="single" w:sz="4" w:space="0" w:color="auto"/>
              <w:bottom w:val="nil"/>
              <w:right w:val="single" w:sz="4" w:space="0" w:color="auto"/>
            </w:tcBorders>
            <w:shd w:val="clear" w:color="000000" w:fill="FFFFFF"/>
            <w:noWrap/>
            <w:vAlign w:val="center"/>
            <w:hideMark/>
          </w:tcPr>
          <w:p w14:paraId="2164DDA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r>
      <w:tr w:rsidR="00B44397" w:rsidRPr="00650EE4" w14:paraId="53893A6E" w14:textId="77777777" w:rsidTr="007B6664">
        <w:tc>
          <w:tcPr>
            <w:tcW w:w="987" w:type="pct"/>
            <w:tcBorders>
              <w:top w:val="nil"/>
              <w:left w:val="single" w:sz="4" w:space="0" w:color="auto"/>
              <w:bottom w:val="nil"/>
              <w:right w:val="nil"/>
            </w:tcBorders>
            <w:shd w:val="clear" w:color="000000" w:fill="FFFFFF"/>
            <w:noWrap/>
            <w:vAlign w:val="center"/>
            <w:hideMark/>
          </w:tcPr>
          <w:p w14:paraId="52621AE5"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9" w:type="pct"/>
            <w:tcBorders>
              <w:top w:val="nil"/>
              <w:left w:val="single" w:sz="4" w:space="0" w:color="auto"/>
              <w:bottom w:val="nil"/>
              <w:right w:val="nil"/>
            </w:tcBorders>
            <w:shd w:val="clear" w:color="000000" w:fill="FFFFFF"/>
            <w:noWrap/>
            <w:vAlign w:val="center"/>
            <w:hideMark/>
          </w:tcPr>
          <w:p w14:paraId="18AE93B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509" w:type="pct"/>
            <w:tcBorders>
              <w:top w:val="nil"/>
              <w:left w:val="nil"/>
              <w:bottom w:val="nil"/>
              <w:right w:val="nil"/>
            </w:tcBorders>
            <w:shd w:val="clear" w:color="000000" w:fill="FFFFFF"/>
            <w:noWrap/>
            <w:vAlign w:val="center"/>
            <w:hideMark/>
          </w:tcPr>
          <w:p w14:paraId="7C669D9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09" w:type="pct"/>
            <w:tcBorders>
              <w:top w:val="nil"/>
              <w:left w:val="nil"/>
              <w:bottom w:val="nil"/>
              <w:right w:val="nil"/>
            </w:tcBorders>
            <w:shd w:val="clear" w:color="000000" w:fill="FFFFFF"/>
            <w:noWrap/>
            <w:vAlign w:val="center"/>
            <w:hideMark/>
          </w:tcPr>
          <w:p w14:paraId="07B975B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09" w:type="pct"/>
            <w:tcBorders>
              <w:top w:val="nil"/>
              <w:left w:val="nil"/>
              <w:bottom w:val="nil"/>
              <w:right w:val="nil"/>
            </w:tcBorders>
            <w:shd w:val="clear" w:color="000000" w:fill="FFFFFF"/>
            <w:noWrap/>
            <w:vAlign w:val="center"/>
            <w:hideMark/>
          </w:tcPr>
          <w:p w14:paraId="70E5B3B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9" w:type="pct"/>
            <w:tcBorders>
              <w:top w:val="nil"/>
              <w:left w:val="nil"/>
              <w:bottom w:val="nil"/>
              <w:right w:val="nil"/>
            </w:tcBorders>
            <w:shd w:val="clear" w:color="000000" w:fill="FFFFFF"/>
            <w:noWrap/>
            <w:vAlign w:val="center"/>
            <w:hideMark/>
          </w:tcPr>
          <w:p w14:paraId="372B485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1" w:type="pct"/>
            <w:tcBorders>
              <w:top w:val="nil"/>
              <w:left w:val="nil"/>
              <w:bottom w:val="nil"/>
              <w:right w:val="single" w:sz="4" w:space="0" w:color="auto"/>
            </w:tcBorders>
            <w:shd w:val="clear" w:color="000000" w:fill="FFFFFF"/>
            <w:noWrap/>
            <w:vAlign w:val="center"/>
            <w:hideMark/>
          </w:tcPr>
          <w:p w14:paraId="128336E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4EDE1B1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91</w:t>
            </w:r>
          </w:p>
        </w:tc>
        <w:tc>
          <w:tcPr>
            <w:tcW w:w="478" w:type="pct"/>
            <w:tcBorders>
              <w:top w:val="nil"/>
              <w:left w:val="single" w:sz="4" w:space="0" w:color="auto"/>
              <w:bottom w:val="nil"/>
              <w:right w:val="single" w:sz="4" w:space="0" w:color="auto"/>
            </w:tcBorders>
            <w:shd w:val="clear" w:color="000000" w:fill="FFFFFF"/>
            <w:noWrap/>
            <w:vAlign w:val="center"/>
            <w:hideMark/>
          </w:tcPr>
          <w:p w14:paraId="39C19BF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r>
      <w:tr w:rsidR="00B44397" w:rsidRPr="00650EE4" w14:paraId="79181AE1" w14:textId="77777777" w:rsidTr="007B6664">
        <w:tc>
          <w:tcPr>
            <w:tcW w:w="987" w:type="pct"/>
            <w:tcBorders>
              <w:top w:val="nil"/>
              <w:left w:val="single" w:sz="4" w:space="0" w:color="auto"/>
              <w:bottom w:val="nil"/>
              <w:right w:val="nil"/>
            </w:tcBorders>
            <w:shd w:val="clear" w:color="000000" w:fill="FFFFFF"/>
            <w:noWrap/>
            <w:vAlign w:val="center"/>
            <w:hideMark/>
          </w:tcPr>
          <w:p w14:paraId="529376C9"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9" w:type="pct"/>
            <w:tcBorders>
              <w:top w:val="nil"/>
              <w:left w:val="single" w:sz="4" w:space="0" w:color="auto"/>
              <w:bottom w:val="nil"/>
              <w:right w:val="nil"/>
            </w:tcBorders>
            <w:shd w:val="clear" w:color="000000" w:fill="FFFFFF"/>
            <w:noWrap/>
            <w:vAlign w:val="center"/>
            <w:hideMark/>
          </w:tcPr>
          <w:p w14:paraId="7E40DB4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w:t>
            </w:r>
          </w:p>
        </w:tc>
        <w:tc>
          <w:tcPr>
            <w:tcW w:w="509" w:type="pct"/>
            <w:tcBorders>
              <w:top w:val="nil"/>
              <w:left w:val="nil"/>
              <w:bottom w:val="nil"/>
              <w:right w:val="nil"/>
            </w:tcBorders>
            <w:shd w:val="clear" w:color="000000" w:fill="FFFFFF"/>
            <w:noWrap/>
            <w:vAlign w:val="center"/>
            <w:hideMark/>
          </w:tcPr>
          <w:p w14:paraId="19291FF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9" w:type="pct"/>
            <w:tcBorders>
              <w:top w:val="nil"/>
              <w:left w:val="nil"/>
              <w:bottom w:val="nil"/>
              <w:right w:val="nil"/>
            </w:tcBorders>
            <w:shd w:val="clear" w:color="000000" w:fill="FFFFFF"/>
            <w:noWrap/>
            <w:vAlign w:val="center"/>
            <w:hideMark/>
          </w:tcPr>
          <w:p w14:paraId="59BC133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09" w:type="pct"/>
            <w:tcBorders>
              <w:top w:val="nil"/>
              <w:left w:val="nil"/>
              <w:bottom w:val="nil"/>
              <w:right w:val="nil"/>
            </w:tcBorders>
            <w:shd w:val="clear" w:color="000000" w:fill="FFFFFF"/>
            <w:noWrap/>
            <w:vAlign w:val="center"/>
            <w:hideMark/>
          </w:tcPr>
          <w:p w14:paraId="1F3AA9B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nil"/>
              <w:right w:val="nil"/>
            </w:tcBorders>
            <w:shd w:val="clear" w:color="000000" w:fill="FFFFFF"/>
            <w:noWrap/>
            <w:vAlign w:val="center"/>
            <w:hideMark/>
          </w:tcPr>
          <w:p w14:paraId="288E48F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75922A5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036FE43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82</w:t>
            </w:r>
          </w:p>
        </w:tc>
        <w:tc>
          <w:tcPr>
            <w:tcW w:w="478" w:type="pct"/>
            <w:tcBorders>
              <w:top w:val="nil"/>
              <w:left w:val="single" w:sz="4" w:space="0" w:color="auto"/>
              <w:bottom w:val="nil"/>
              <w:right w:val="single" w:sz="4" w:space="0" w:color="auto"/>
            </w:tcBorders>
            <w:shd w:val="clear" w:color="000000" w:fill="FFFFFF"/>
            <w:noWrap/>
            <w:vAlign w:val="center"/>
            <w:hideMark/>
          </w:tcPr>
          <w:p w14:paraId="7692CEE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B44397" w:rsidRPr="00650EE4" w14:paraId="11C907FC" w14:textId="77777777" w:rsidTr="007B6664">
        <w:tc>
          <w:tcPr>
            <w:tcW w:w="987" w:type="pct"/>
            <w:tcBorders>
              <w:top w:val="nil"/>
              <w:left w:val="single" w:sz="4" w:space="0" w:color="auto"/>
              <w:bottom w:val="nil"/>
              <w:right w:val="nil"/>
            </w:tcBorders>
            <w:shd w:val="clear" w:color="000000" w:fill="FFFFFF"/>
            <w:noWrap/>
            <w:vAlign w:val="center"/>
            <w:hideMark/>
          </w:tcPr>
          <w:p w14:paraId="2CCC14F6"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9" w:type="pct"/>
            <w:tcBorders>
              <w:top w:val="nil"/>
              <w:left w:val="single" w:sz="4" w:space="0" w:color="auto"/>
              <w:bottom w:val="nil"/>
              <w:right w:val="nil"/>
            </w:tcBorders>
            <w:shd w:val="clear" w:color="000000" w:fill="FFFFFF"/>
            <w:noWrap/>
            <w:vAlign w:val="center"/>
            <w:hideMark/>
          </w:tcPr>
          <w:p w14:paraId="2C4CF88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73</w:t>
            </w:r>
          </w:p>
        </w:tc>
        <w:tc>
          <w:tcPr>
            <w:tcW w:w="509" w:type="pct"/>
            <w:tcBorders>
              <w:top w:val="nil"/>
              <w:left w:val="nil"/>
              <w:bottom w:val="nil"/>
              <w:right w:val="nil"/>
            </w:tcBorders>
            <w:shd w:val="clear" w:color="000000" w:fill="FFFFFF"/>
            <w:noWrap/>
            <w:vAlign w:val="center"/>
            <w:hideMark/>
          </w:tcPr>
          <w:p w14:paraId="1FE6769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9" w:type="pct"/>
            <w:tcBorders>
              <w:top w:val="nil"/>
              <w:left w:val="nil"/>
              <w:bottom w:val="nil"/>
              <w:right w:val="nil"/>
            </w:tcBorders>
            <w:shd w:val="clear" w:color="000000" w:fill="FFFFFF"/>
            <w:noWrap/>
            <w:vAlign w:val="center"/>
            <w:hideMark/>
          </w:tcPr>
          <w:p w14:paraId="6760066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09" w:type="pct"/>
            <w:tcBorders>
              <w:top w:val="nil"/>
              <w:left w:val="nil"/>
              <w:bottom w:val="nil"/>
              <w:right w:val="nil"/>
            </w:tcBorders>
            <w:shd w:val="clear" w:color="000000" w:fill="FFFFFF"/>
            <w:noWrap/>
            <w:vAlign w:val="center"/>
            <w:hideMark/>
          </w:tcPr>
          <w:p w14:paraId="69E3445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09" w:type="pct"/>
            <w:tcBorders>
              <w:top w:val="nil"/>
              <w:left w:val="nil"/>
              <w:bottom w:val="nil"/>
              <w:right w:val="nil"/>
            </w:tcBorders>
            <w:shd w:val="clear" w:color="000000" w:fill="FFFFFF"/>
            <w:noWrap/>
            <w:vAlign w:val="center"/>
            <w:hideMark/>
          </w:tcPr>
          <w:p w14:paraId="4EC16EA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6DC0087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7B109ADC"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w:t>
            </w:r>
          </w:p>
        </w:tc>
        <w:tc>
          <w:tcPr>
            <w:tcW w:w="478" w:type="pct"/>
            <w:tcBorders>
              <w:top w:val="nil"/>
              <w:left w:val="single" w:sz="4" w:space="0" w:color="auto"/>
              <w:bottom w:val="nil"/>
              <w:right w:val="single" w:sz="4" w:space="0" w:color="auto"/>
            </w:tcBorders>
            <w:shd w:val="clear" w:color="000000" w:fill="FFFFFF"/>
            <w:noWrap/>
            <w:vAlign w:val="center"/>
            <w:hideMark/>
          </w:tcPr>
          <w:p w14:paraId="4711D29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B44397" w:rsidRPr="00650EE4" w14:paraId="4482053B" w14:textId="77777777" w:rsidTr="007B6664">
        <w:tc>
          <w:tcPr>
            <w:tcW w:w="987" w:type="pct"/>
            <w:tcBorders>
              <w:top w:val="nil"/>
              <w:left w:val="single" w:sz="4" w:space="0" w:color="auto"/>
              <w:bottom w:val="nil"/>
              <w:right w:val="nil"/>
            </w:tcBorders>
            <w:shd w:val="clear" w:color="000000" w:fill="FFFFFF"/>
            <w:noWrap/>
            <w:vAlign w:val="center"/>
            <w:hideMark/>
          </w:tcPr>
          <w:p w14:paraId="6843FE3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9" w:type="pct"/>
            <w:tcBorders>
              <w:top w:val="nil"/>
              <w:left w:val="single" w:sz="4" w:space="0" w:color="auto"/>
              <w:bottom w:val="single" w:sz="4" w:space="0" w:color="auto"/>
              <w:right w:val="nil"/>
            </w:tcBorders>
            <w:shd w:val="clear" w:color="000000" w:fill="FFFFFF"/>
            <w:noWrap/>
            <w:vAlign w:val="center"/>
            <w:hideMark/>
          </w:tcPr>
          <w:p w14:paraId="137BD87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c>
          <w:tcPr>
            <w:tcW w:w="509" w:type="pct"/>
            <w:tcBorders>
              <w:top w:val="nil"/>
              <w:left w:val="nil"/>
              <w:bottom w:val="single" w:sz="4" w:space="0" w:color="auto"/>
              <w:right w:val="nil"/>
            </w:tcBorders>
            <w:shd w:val="clear" w:color="000000" w:fill="FFFFFF"/>
            <w:noWrap/>
            <w:vAlign w:val="center"/>
            <w:hideMark/>
          </w:tcPr>
          <w:p w14:paraId="112B792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9" w:type="pct"/>
            <w:tcBorders>
              <w:top w:val="nil"/>
              <w:left w:val="nil"/>
              <w:bottom w:val="single" w:sz="4" w:space="0" w:color="auto"/>
              <w:right w:val="nil"/>
            </w:tcBorders>
            <w:shd w:val="clear" w:color="000000" w:fill="FFFFFF"/>
            <w:noWrap/>
            <w:vAlign w:val="center"/>
            <w:hideMark/>
          </w:tcPr>
          <w:p w14:paraId="4BD3FB6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09" w:type="pct"/>
            <w:tcBorders>
              <w:top w:val="nil"/>
              <w:left w:val="nil"/>
              <w:bottom w:val="single" w:sz="4" w:space="0" w:color="auto"/>
              <w:right w:val="nil"/>
            </w:tcBorders>
            <w:shd w:val="clear" w:color="000000" w:fill="FFFFFF"/>
            <w:noWrap/>
            <w:vAlign w:val="center"/>
            <w:hideMark/>
          </w:tcPr>
          <w:p w14:paraId="1E5F77C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single" w:sz="4" w:space="0" w:color="auto"/>
              <w:right w:val="nil"/>
            </w:tcBorders>
            <w:shd w:val="clear" w:color="000000" w:fill="FFFFFF"/>
            <w:noWrap/>
            <w:vAlign w:val="center"/>
            <w:hideMark/>
          </w:tcPr>
          <w:p w14:paraId="4F82E85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single" w:sz="4" w:space="0" w:color="auto"/>
              <w:right w:val="single" w:sz="4" w:space="0" w:color="auto"/>
            </w:tcBorders>
            <w:shd w:val="clear" w:color="000000" w:fill="FFFFFF"/>
            <w:noWrap/>
            <w:vAlign w:val="center"/>
            <w:hideMark/>
          </w:tcPr>
          <w:p w14:paraId="6C17D2F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single" w:sz="4" w:space="0" w:color="auto"/>
              <w:right w:val="nil"/>
            </w:tcBorders>
            <w:shd w:val="clear" w:color="000000" w:fill="FFFFFF"/>
            <w:noWrap/>
            <w:vAlign w:val="center"/>
            <w:hideMark/>
          </w:tcPr>
          <w:p w14:paraId="6904BED1"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w:t>
            </w:r>
          </w:p>
        </w:tc>
        <w:tc>
          <w:tcPr>
            <w:tcW w:w="478" w:type="pct"/>
            <w:tcBorders>
              <w:top w:val="nil"/>
              <w:left w:val="single" w:sz="4" w:space="0" w:color="auto"/>
              <w:bottom w:val="single" w:sz="4" w:space="0" w:color="auto"/>
              <w:right w:val="single" w:sz="4" w:space="0" w:color="auto"/>
            </w:tcBorders>
            <w:shd w:val="clear" w:color="000000" w:fill="FFFFFF"/>
            <w:noWrap/>
            <w:vAlign w:val="center"/>
            <w:hideMark/>
          </w:tcPr>
          <w:p w14:paraId="7619529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B44397" w:rsidRPr="00650EE4" w14:paraId="758569F0" w14:textId="77777777" w:rsidTr="007B6664">
        <w:tc>
          <w:tcPr>
            <w:tcW w:w="987" w:type="pct"/>
            <w:tcBorders>
              <w:top w:val="single" w:sz="4" w:space="0" w:color="auto"/>
              <w:left w:val="single" w:sz="4" w:space="0" w:color="auto"/>
              <w:bottom w:val="nil"/>
              <w:right w:val="single" w:sz="4" w:space="0" w:color="auto"/>
            </w:tcBorders>
            <w:shd w:val="clear" w:color="000000" w:fill="FFFFFF"/>
            <w:noWrap/>
            <w:vAlign w:val="center"/>
            <w:hideMark/>
          </w:tcPr>
          <w:p w14:paraId="4B0F7FE0" w14:textId="77777777" w:rsidR="00B44397" w:rsidRPr="00650EE4" w:rsidRDefault="00B44397" w:rsidP="00B4439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9" w:type="pct"/>
            <w:tcBorders>
              <w:top w:val="nil"/>
              <w:left w:val="nil"/>
              <w:bottom w:val="nil"/>
              <w:right w:val="nil"/>
            </w:tcBorders>
            <w:shd w:val="clear" w:color="000000" w:fill="FFFFFF"/>
            <w:noWrap/>
            <w:vAlign w:val="center"/>
            <w:hideMark/>
          </w:tcPr>
          <w:p w14:paraId="2CA98D3E"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4.086</w:t>
            </w:r>
          </w:p>
        </w:tc>
        <w:tc>
          <w:tcPr>
            <w:tcW w:w="509" w:type="pct"/>
            <w:tcBorders>
              <w:top w:val="nil"/>
              <w:left w:val="nil"/>
              <w:bottom w:val="nil"/>
              <w:right w:val="nil"/>
            </w:tcBorders>
            <w:shd w:val="clear" w:color="000000" w:fill="FFFFFF"/>
            <w:noWrap/>
            <w:vAlign w:val="center"/>
            <w:hideMark/>
          </w:tcPr>
          <w:p w14:paraId="7F9C475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681</w:t>
            </w:r>
          </w:p>
        </w:tc>
        <w:tc>
          <w:tcPr>
            <w:tcW w:w="509" w:type="pct"/>
            <w:tcBorders>
              <w:top w:val="nil"/>
              <w:left w:val="nil"/>
              <w:bottom w:val="nil"/>
              <w:right w:val="nil"/>
            </w:tcBorders>
            <w:shd w:val="clear" w:color="000000" w:fill="FFFFFF"/>
            <w:noWrap/>
            <w:vAlign w:val="center"/>
            <w:hideMark/>
          </w:tcPr>
          <w:p w14:paraId="2969707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456</w:t>
            </w:r>
          </w:p>
        </w:tc>
        <w:tc>
          <w:tcPr>
            <w:tcW w:w="509" w:type="pct"/>
            <w:tcBorders>
              <w:top w:val="nil"/>
              <w:left w:val="nil"/>
              <w:bottom w:val="nil"/>
              <w:right w:val="nil"/>
            </w:tcBorders>
            <w:shd w:val="clear" w:color="000000" w:fill="FFFFFF"/>
            <w:noWrap/>
            <w:vAlign w:val="center"/>
            <w:hideMark/>
          </w:tcPr>
          <w:p w14:paraId="4D0CE80A"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w:t>
            </w:r>
          </w:p>
        </w:tc>
        <w:tc>
          <w:tcPr>
            <w:tcW w:w="509" w:type="pct"/>
            <w:tcBorders>
              <w:top w:val="nil"/>
              <w:left w:val="nil"/>
              <w:bottom w:val="nil"/>
              <w:right w:val="nil"/>
            </w:tcBorders>
            <w:shd w:val="clear" w:color="000000" w:fill="FFFFFF"/>
            <w:noWrap/>
            <w:vAlign w:val="center"/>
            <w:hideMark/>
          </w:tcPr>
          <w:p w14:paraId="032E9AC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w:t>
            </w:r>
          </w:p>
        </w:tc>
        <w:tc>
          <w:tcPr>
            <w:tcW w:w="511" w:type="pct"/>
            <w:tcBorders>
              <w:top w:val="nil"/>
              <w:left w:val="nil"/>
              <w:bottom w:val="nil"/>
              <w:right w:val="single" w:sz="4" w:space="0" w:color="auto"/>
            </w:tcBorders>
            <w:shd w:val="clear" w:color="000000" w:fill="FFFFFF"/>
            <w:noWrap/>
            <w:vAlign w:val="center"/>
            <w:hideMark/>
          </w:tcPr>
          <w:p w14:paraId="2DF59C2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w:t>
            </w:r>
          </w:p>
        </w:tc>
        <w:tc>
          <w:tcPr>
            <w:tcW w:w="478" w:type="pct"/>
            <w:tcBorders>
              <w:top w:val="nil"/>
              <w:left w:val="nil"/>
              <w:bottom w:val="nil"/>
              <w:right w:val="nil"/>
            </w:tcBorders>
            <w:shd w:val="clear" w:color="000000" w:fill="FFFFFF"/>
            <w:noWrap/>
            <w:vAlign w:val="center"/>
            <w:hideMark/>
          </w:tcPr>
          <w:p w14:paraId="4273D99C"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5.286</w:t>
            </w:r>
          </w:p>
        </w:tc>
        <w:tc>
          <w:tcPr>
            <w:tcW w:w="478" w:type="pct"/>
            <w:tcBorders>
              <w:top w:val="nil"/>
              <w:left w:val="single" w:sz="4" w:space="0" w:color="auto"/>
              <w:bottom w:val="nil"/>
              <w:right w:val="single" w:sz="4" w:space="0" w:color="auto"/>
            </w:tcBorders>
            <w:shd w:val="clear" w:color="000000" w:fill="FFFFFF"/>
            <w:noWrap/>
            <w:vAlign w:val="center"/>
            <w:hideMark/>
          </w:tcPr>
          <w:p w14:paraId="71701FE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B44397" w:rsidRPr="00650EE4" w14:paraId="5DB59D0A" w14:textId="77777777" w:rsidTr="007B6664">
        <w:tc>
          <w:tcPr>
            <w:tcW w:w="9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3E07DD"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9" w:type="pct"/>
            <w:tcBorders>
              <w:top w:val="single" w:sz="4" w:space="0" w:color="auto"/>
              <w:left w:val="nil"/>
              <w:bottom w:val="single" w:sz="4" w:space="0" w:color="auto"/>
              <w:right w:val="nil"/>
            </w:tcBorders>
            <w:shd w:val="clear" w:color="000000" w:fill="FFFFFF"/>
            <w:noWrap/>
            <w:vAlign w:val="center"/>
            <w:hideMark/>
          </w:tcPr>
          <w:p w14:paraId="58C05D8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509" w:type="pct"/>
            <w:tcBorders>
              <w:top w:val="single" w:sz="4" w:space="0" w:color="auto"/>
              <w:left w:val="nil"/>
              <w:bottom w:val="single" w:sz="4" w:space="0" w:color="auto"/>
              <w:right w:val="nil"/>
            </w:tcBorders>
            <w:shd w:val="clear" w:color="000000" w:fill="FFFFFF"/>
            <w:noWrap/>
            <w:vAlign w:val="center"/>
            <w:hideMark/>
          </w:tcPr>
          <w:p w14:paraId="66D0353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9" w:type="pct"/>
            <w:tcBorders>
              <w:top w:val="single" w:sz="4" w:space="0" w:color="auto"/>
              <w:left w:val="nil"/>
              <w:bottom w:val="single" w:sz="4" w:space="0" w:color="auto"/>
              <w:right w:val="nil"/>
            </w:tcBorders>
            <w:shd w:val="clear" w:color="000000" w:fill="FFFFFF"/>
            <w:noWrap/>
            <w:vAlign w:val="center"/>
            <w:hideMark/>
          </w:tcPr>
          <w:p w14:paraId="5C967BE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09" w:type="pct"/>
            <w:tcBorders>
              <w:top w:val="single" w:sz="4" w:space="0" w:color="auto"/>
              <w:left w:val="nil"/>
              <w:bottom w:val="single" w:sz="4" w:space="0" w:color="auto"/>
              <w:right w:val="nil"/>
            </w:tcBorders>
            <w:shd w:val="clear" w:color="000000" w:fill="FFFFFF"/>
            <w:noWrap/>
            <w:vAlign w:val="center"/>
            <w:hideMark/>
          </w:tcPr>
          <w:p w14:paraId="141B857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09" w:type="pct"/>
            <w:tcBorders>
              <w:top w:val="single" w:sz="4" w:space="0" w:color="auto"/>
              <w:left w:val="nil"/>
              <w:bottom w:val="single" w:sz="4" w:space="0" w:color="auto"/>
              <w:right w:val="nil"/>
            </w:tcBorders>
            <w:shd w:val="clear" w:color="000000" w:fill="FFFFFF"/>
            <w:noWrap/>
            <w:vAlign w:val="center"/>
            <w:hideMark/>
          </w:tcPr>
          <w:p w14:paraId="7EDAE89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single" w:sz="4" w:space="0" w:color="auto"/>
              <w:left w:val="nil"/>
              <w:bottom w:val="single" w:sz="4" w:space="0" w:color="auto"/>
              <w:right w:val="single" w:sz="4" w:space="0" w:color="auto"/>
            </w:tcBorders>
            <w:shd w:val="clear" w:color="000000" w:fill="FFFFFF"/>
            <w:noWrap/>
            <w:vAlign w:val="center"/>
            <w:hideMark/>
          </w:tcPr>
          <w:p w14:paraId="2F19A69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single" w:sz="4" w:space="0" w:color="auto"/>
              <w:left w:val="nil"/>
              <w:bottom w:val="single" w:sz="4" w:space="0" w:color="auto"/>
              <w:right w:val="nil"/>
            </w:tcBorders>
            <w:shd w:val="clear" w:color="000000" w:fill="FFFFFF"/>
            <w:noWrap/>
            <w:vAlign w:val="center"/>
            <w:hideMark/>
          </w:tcPr>
          <w:p w14:paraId="061908D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74B7A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1905672D" w14:textId="42FB9784" w:rsidR="003930FA" w:rsidRPr="00650EE4" w:rsidRDefault="003930FA" w:rsidP="00890A4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885C16"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1C0AA070" w14:textId="5EB9BA0F" w:rsidR="00C20170" w:rsidRPr="00050ED5" w:rsidRDefault="00C20170" w:rsidP="00631BA6">
      <w:pPr>
        <w:pStyle w:val="TESlentelspavadinimas"/>
        <w:rPr>
          <w:noProof w:val="0"/>
          <w:sz w:val="10"/>
        </w:rPr>
      </w:pPr>
    </w:p>
    <w:p w14:paraId="3DD55637" w14:textId="6123C8C9" w:rsidR="00BB44F8" w:rsidRPr="00650EE4" w:rsidRDefault="00BB44F8" w:rsidP="00CC0B8C">
      <w:pPr>
        <w:jc w:val="both"/>
        <w:rPr>
          <w:rFonts w:ascii="Times New Roman" w:eastAsiaTheme="minorHAnsi" w:hAnsi="Times New Roman"/>
          <w:b/>
          <w:iCs/>
          <w:color w:val="auto"/>
          <w:szCs w:val="22"/>
          <w:lang w:eastAsia="lt-LT"/>
        </w:rPr>
      </w:pPr>
      <w:r w:rsidRPr="00650EE4">
        <w:rPr>
          <w:rFonts w:ascii="Times New Roman" w:hAnsi="Times New Roman"/>
          <w:color w:val="000000" w:themeColor="text1"/>
          <w:szCs w:val="22"/>
        </w:rPr>
        <w:t xml:space="preserve">Paveiksle žemiau pateikiami </w:t>
      </w:r>
      <w:r w:rsidR="007A52B6">
        <w:rPr>
          <w:rFonts w:ascii="Times New Roman" w:hAnsi="Times New Roman"/>
          <w:color w:val="000000" w:themeColor="text1"/>
          <w:szCs w:val="22"/>
        </w:rPr>
        <w:t>agreguoti p</w:t>
      </w:r>
      <w:r w:rsidR="00890A4A" w:rsidRPr="00650EE4">
        <w:rPr>
          <w:rFonts w:ascii="Times New Roman" w:hAnsi="Times New Roman"/>
          <w:color w:val="000000" w:themeColor="text1"/>
          <w:szCs w:val="22"/>
        </w:rPr>
        <w:t>astatų fondo CO</w:t>
      </w:r>
      <w:r w:rsidR="00890A4A" w:rsidRPr="00650EE4">
        <w:rPr>
          <w:rFonts w:ascii="Times New Roman" w:hAnsi="Times New Roman"/>
          <w:color w:val="000000" w:themeColor="text1"/>
          <w:szCs w:val="22"/>
          <w:vertAlign w:val="subscript"/>
        </w:rPr>
        <w:t>2</w:t>
      </w:r>
      <w:r w:rsidR="00890A4A" w:rsidRPr="00650EE4">
        <w:rPr>
          <w:rFonts w:ascii="Times New Roman" w:hAnsi="Times New Roman"/>
          <w:color w:val="000000" w:themeColor="text1"/>
          <w:szCs w:val="22"/>
        </w:rPr>
        <w:t xml:space="preserve"> emisijų </w:t>
      </w:r>
      <w:r w:rsidRPr="00650EE4">
        <w:rPr>
          <w:rFonts w:ascii="Times New Roman" w:hAnsi="Times New Roman"/>
          <w:color w:val="000000" w:themeColor="text1"/>
          <w:szCs w:val="22"/>
        </w:rPr>
        <w:t>duomenys.</w:t>
      </w:r>
    </w:p>
    <w:p w14:paraId="5E6E057C" w14:textId="77777777" w:rsidR="00BB44F8" w:rsidRPr="00050ED5" w:rsidRDefault="00BB44F8" w:rsidP="00631BA6">
      <w:pPr>
        <w:pStyle w:val="TESlentelspavadinimas"/>
        <w:rPr>
          <w:noProof w:val="0"/>
          <w:sz w:val="10"/>
        </w:rPr>
      </w:pPr>
    </w:p>
    <w:p w14:paraId="0A2743CA" w14:textId="0B516769" w:rsidR="003E18D5"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69" w:name="_Toc67925260"/>
      <w:r w:rsidR="007744C1">
        <w:t>12</w:t>
      </w:r>
      <w:r w:rsidRPr="00650EE4">
        <w:rPr>
          <w:noProof w:val="0"/>
        </w:rPr>
        <w:fldChar w:fldCharType="end"/>
      </w:r>
      <w:r w:rsidR="003930FA" w:rsidRPr="00650EE4">
        <w:rPr>
          <w:noProof w:val="0"/>
        </w:rPr>
        <w:t xml:space="preserve"> paveikslas</w:t>
      </w:r>
      <w:r w:rsidR="003E18D5" w:rsidRPr="00650EE4">
        <w:rPr>
          <w:noProof w:val="0"/>
        </w:rPr>
        <w:t xml:space="preserve">. Pastatų fondo pirminės energijos vartojimas pagal </w:t>
      </w:r>
      <w:r w:rsidR="00D75E7D" w:rsidRPr="00650EE4">
        <w:rPr>
          <w:noProof w:val="0"/>
        </w:rPr>
        <w:t>ENK</w:t>
      </w:r>
      <w:r w:rsidR="003E18D5" w:rsidRPr="00650EE4">
        <w:rPr>
          <w:noProof w:val="0"/>
        </w:rPr>
        <w:t xml:space="preserve"> ir </w:t>
      </w:r>
      <w:r w:rsidR="00551698" w:rsidRPr="00650EE4">
        <w:rPr>
          <w:noProof w:val="0"/>
        </w:rPr>
        <w:t>pastatų grupes (agreguotas)</w:t>
      </w:r>
      <w:r w:rsidR="003E18D5" w:rsidRPr="00650EE4">
        <w:rPr>
          <w:noProof w:val="0"/>
        </w:rPr>
        <w:t xml:space="preserve"> (</w:t>
      </w:r>
      <w:proofErr w:type="spellStart"/>
      <w:r w:rsidR="003E18D5" w:rsidRPr="00650EE4">
        <w:rPr>
          <w:noProof w:val="0"/>
        </w:rPr>
        <w:t>GWh</w:t>
      </w:r>
      <w:proofErr w:type="spellEnd"/>
      <w:r w:rsidR="003E18D5" w:rsidRPr="00650EE4">
        <w:rPr>
          <w:noProof w:val="0"/>
        </w:rPr>
        <w:t>/metus)</w:t>
      </w:r>
      <w:bookmarkEnd w:id="69"/>
    </w:p>
    <w:p w14:paraId="645B4221" w14:textId="49723BA0" w:rsidR="00C20170" w:rsidRPr="00650EE4" w:rsidRDefault="00DA63F0" w:rsidP="00631BA6">
      <w:pPr>
        <w:pStyle w:val="TESlentelspavadinimas"/>
        <w:rPr>
          <w:noProof w:val="0"/>
        </w:rPr>
      </w:pPr>
      <w:r w:rsidRPr="00650EE4">
        <w:rPr>
          <w:lang w:eastAsia="lt-LT"/>
        </w:rPr>
        <w:drawing>
          <wp:inline distT="0" distB="0" distL="0" distR="0" wp14:anchorId="3E663B52" wp14:editId="0B9F191C">
            <wp:extent cx="6479540" cy="2288746"/>
            <wp:effectExtent l="0" t="0" r="16510" b="16510"/>
            <wp:docPr id="29" name="Chart 29">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BA3823" w14:textId="4B2FDD98" w:rsidR="003930FA" w:rsidRPr="00650EE4" w:rsidRDefault="003930FA" w:rsidP="00890A4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885C16"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1D1BE3C4" w14:textId="77777777" w:rsidR="00A038A1" w:rsidRPr="00050ED5" w:rsidRDefault="00A038A1" w:rsidP="00A038A1">
      <w:pPr>
        <w:jc w:val="both"/>
        <w:rPr>
          <w:rFonts w:ascii="Times New Roman" w:hAnsi="Times New Roman"/>
          <w:sz w:val="16"/>
          <w:szCs w:val="22"/>
        </w:rPr>
      </w:pPr>
    </w:p>
    <w:p w14:paraId="3C0F7328" w14:textId="600AEF70" w:rsidR="00E32843" w:rsidRPr="00650EE4" w:rsidRDefault="00E32843" w:rsidP="00E32843">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942D50C" w14:textId="530562A9" w:rsidR="00E32843" w:rsidRPr="00650EE4" w:rsidRDefault="00050ED5" w:rsidP="00E32843">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7A52B6">
        <w:rPr>
          <w:rFonts w:ascii="Times New Roman" w:hAnsi="Times New Roman"/>
          <w:color w:val="000000" w:themeColor="text1"/>
          <w:szCs w:val="22"/>
        </w:rPr>
        <w:t>augiau nei ¾ (77 proc.) viso p</w:t>
      </w:r>
      <w:r w:rsidR="00E32843" w:rsidRPr="00650EE4">
        <w:rPr>
          <w:rFonts w:ascii="Times New Roman" w:hAnsi="Times New Roman"/>
          <w:color w:val="000000" w:themeColor="text1"/>
          <w:szCs w:val="22"/>
        </w:rPr>
        <w:t>astatų fondo CO</w:t>
      </w:r>
      <w:r w:rsidR="00E32843" w:rsidRPr="00650EE4">
        <w:rPr>
          <w:rFonts w:ascii="Times New Roman" w:hAnsi="Times New Roman"/>
          <w:color w:val="000000" w:themeColor="text1"/>
          <w:szCs w:val="22"/>
          <w:vertAlign w:val="subscript"/>
        </w:rPr>
        <w:t>2</w:t>
      </w:r>
      <w:r w:rsidR="00E32843" w:rsidRPr="00650EE4">
        <w:rPr>
          <w:rFonts w:ascii="Times New Roman" w:hAnsi="Times New Roman"/>
          <w:color w:val="000000" w:themeColor="text1"/>
          <w:szCs w:val="22"/>
        </w:rPr>
        <w:t xml:space="preserve"> emisijų išskiria žemesnės nei C energ</w:t>
      </w:r>
      <w:r>
        <w:rPr>
          <w:rFonts w:ascii="Times New Roman" w:hAnsi="Times New Roman"/>
          <w:color w:val="000000" w:themeColor="text1"/>
          <w:szCs w:val="22"/>
        </w:rPr>
        <w:t>inio naudingumo klasės pastatai;</w:t>
      </w:r>
    </w:p>
    <w:p w14:paraId="17E0BA44" w14:textId="010B6370" w:rsidR="00B60DC6" w:rsidRDefault="00050ED5" w:rsidP="00E32843">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E32843" w:rsidRPr="00650EE4">
        <w:rPr>
          <w:rFonts w:ascii="Times New Roman" w:hAnsi="Times New Roman"/>
          <w:color w:val="000000" w:themeColor="text1"/>
          <w:szCs w:val="22"/>
        </w:rPr>
        <w:t xml:space="preserve">titinkamai, žemesnės nei C energinio naudingumo klasės gyvenamieji pastatai ir </w:t>
      </w:r>
      <w:r w:rsidR="001037E1" w:rsidRPr="00650EE4">
        <w:rPr>
          <w:rFonts w:ascii="Times New Roman" w:hAnsi="Times New Roman"/>
          <w:color w:val="000000" w:themeColor="text1"/>
          <w:szCs w:val="22"/>
        </w:rPr>
        <w:t xml:space="preserve">visi </w:t>
      </w:r>
      <w:r w:rsidR="00E32843" w:rsidRPr="00650EE4">
        <w:rPr>
          <w:rFonts w:ascii="Times New Roman" w:hAnsi="Times New Roman"/>
          <w:color w:val="000000" w:themeColor="text1"/>
          <w:szCs w:val="22"/>
        </w:rPr>
        <w:t>pastatai vartojantys iškastinį kurą vertinami kaip prioritetinis segmentas CO</w:t>
      </w:r>
      <w:r w:rsidR="00E32843" w:rsidRPr="00650EE4">
        <w:rPr>
          <w:rFonts w:ascii="Times New Roman" w:hAnsi="Times New Roman"/>
          <w:color w:val="000000" w:themeColor="text1"/>
          <w:szCs w:val="22"/>
          <w:vertAlign w:val="subscript"/>
        </w:rPr>
        <w:t>2</w:t>
      </w:r>
      <w:r w:rsidR="00E32843" w:rsidRPr="00650EE4">
        <w:rPr>
          <w:rFonts w:ascii="Times New Roman" w:hAnsi="Times New Roman"/>
          <w:color w:val="000000" w:themeColor="text1"/>
          <w:szCs w:val="22"/>
        </w:rPr>
        <w:t xml:space="preserve"> emisijų mažinimo kontekste. </w:t>
      </w:r>
    </w:p>
    <w:p w14:paraId="65DA4163" w14:textId="6A2ADB98" w:rsidR="00E32843" w:rsidRPr="00B60DC6" w:rsidRDefault="00B60DC6" w:rsidP="00B60DC6">
      <w:pPr>
        <w:spacing w:after="240"/>
        <w:rPr>
          <w:rFonts w:ascii="Times New Roman" w:eastAsia="Times New Roman" w:hAnsi="Times New Roman"/>
          <w:color w:val="000000" w:themeColor="text1"/>
          <w:szCs w:val="22"/>
        </w:rPr>
      </w:pPr>
      <w:r>
        <w:rPr>
          <w:rFonts w:ascii="Times New Roman" w:hAnsi="Times New Roman"/>
          <w:color w:val="000000" w:themeColor="text1"/>
          <w:szCs w:val="22"/>
        </w:rPr>
        <w:br w:type="page"/>
      </w:r>
    </w:p>
    <w:p w14:paraId="07B17D87" w14:textId="1BC52012" w:rsidR="00067ED3" w:rsidRPr="00650EE4" w:rsidRDefault="006B52E7" w:rsidP="00885C16">
      <w:pPr>
        <w:pStyle w:val="Antrastes2"/>
        <w:numPr>
          <w:ilvl w:val="1"/>
          <w:numId w:val="4"/>
        </w:numPr>
        <w:pBdr>
          <w:bottom w:val="single" w:sz="4" w:space="0" w:color="auto"/>
        </w:pBdr>
        <w:spacing w:before="0"/>
        <w:ind w:left="576" w:hanging="576"/>
        <w:jc w:val="both"/>
        <w:rPr>
          <w:rFonts w:ascii="Times New Roman" w:hAnsi="Times New Roman"/>
          <w:color w:val="auto"/>
          <w:sz w:val="24"/>
          <w:szCs w:val="24"/>
          <w:lang w:val="lt-LT"/>
        </w:rPr>
      </w:pPr>
      <w:bookmarkStart w:id="70" w:name="_Toc67925116"/>
      <w:r w:rsidRPr="00650EE4">
        <w:rPr>
          <w:rFonts w:ascii="Times New Roman" w:hAnsi="Times New Roman"/>
          <w:color w:val="auto"/>
          <w:sz w:val="24"/>
          <w:szCs w:val="24"/>
          <w:lang w:val="lt-LT"/>
        </w:rPr>
        <w:lastRenderedPageBreak/>
        <w:t>Specifiniai pastatų fondo segmentai</w:t>
      </w:r>
      <w:bookmarkEnd w:id="70"/>
    </w:p>
    <w:p w14:paraId="42B06F9C" w14:textId="1492662B" w:rsidR="006B52E7" w:rsidRPr="00650EE4" w:rsidRDefault="006B52E7" w:rsidP="006B52E7">
      <w:pPr>
        <w:pStyle w:val="Antrastes31"/>
        <w:numPr>
          <w:ilvl w:val="2"/>
          <w:numId w:val="4"/>
        </w:numPr>
        <w:spacing w:before="120"/>
        <w:ind w:left="720" w:hanging="720"/>
        <w:rPr>
          <w:rFonts w:ascii="Times New Roman" w:hAnsi="Times New Roman"/>
          <w:color w:val="000000" w:themeColor="text1"/>
          <w:sz w:val="24"/>
          <w:szCs w:val="24"/>
          <w:lang w:val="lt-LT"/>
        </w:rPr>
      </w:pPr>
      <w:bookmarkStart w:id="71" w:name="_Toc67925117"/>
      <w:r w:rsidRPr="00650EE4">
        <w:rPr>
          <w:rFonts w:ascii="Times New Roman" w:hAnsi="Times New Roman"/>
          <w:color w:val="000000" w:themeColor="text1"/>
          <w:sz w:val="24"/>
          <w:szCs w:val="24"/>
          <w:lang w:val="lt-LT"/>
        </w:rPr>
        <w:t>Prasčiausio energinio naudingumo pastatai</w:t>
      </w:r>
      <w:bookmarkEnd w:id="71"/>
    </w:p>
    <w:p w14:paraId="2BBFF044" w14:textId="4D891EB5" w:rsidR="006B52E7" w:rsidRPr="00650EE4" w:rsidRDefault="0088289F" w:rsidP="009F3DF8">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Prasčiausio energinio naudingumo pastatais laikomi D arba mažesnės energinio naudingumo klasės pastatai. </w:t>
      </w:r>
      <w:r w:rsidR="00632C0B" w:rsidRPr="00650EE4">
        <w:rPr>
          <w:rFonts w:ascii="Times New Roman" w:hAnsi="Times New Roman"/>
          <w:color w:val="000000" w:themeColor="text1"/>
          <w:szCs w:val="22"/>
        </w:rPr>
        <w:t>Prasčiausio energinio naudingumo pastatai sudaro 2/3 Pastatų fondo pagal plotą (žr. lentelę žemiau).</w:t>
      </w:r>
    </w:p>
    <w:p w14:paraId="1765D2D1" w14:textId="77777777" w:rsidR="00632C0B" w:rsidRPr="00650EE4" w:rsidRDefault="00632C0B" w:rsidP="009F3DF8">
      <w:pPr>
        <w:spacing w:line="240" w:lineRule="auto"/>
        <w:jc w:val="both"/>
        <w:rPr>
          <w:rFonts w:ascii="Times New Roman" w:hAnsi="Times New Roman"/>
          <w:color w:val="000000" w:themeColor="text1"/>
          <w:szCs w:val="22"/>
        </w:rPr>
      </w:pPr>
    </w:p>
    <w:p w14:paraId="30333D20" w14:textId="5E6C95A9" w:rsidR="00632C0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72" w:name="_Toc67925208"/>
      <w:r w:rsidR="007744C1">
        <w:t>25</w:t>
      </w:r>
      <w:r w:rsidRPr="00650EE4">
        <w:rPr>
          <w:noProof w:val="0"/>
        </w:rPr>
        <w:fldChar w:fldCharType="end"/>
      </w:r>
      <w:r w:rsidR="00632C0B" w:rsidRPr="00650EE4">
        <w:rPr>
          <w:noProof w:val="0"/>
        </w:rPr>
        <w:t xml:space="preserve"> lentelė. Pastatų fondas pagal </w:t>
      </w:r>
      <w:r w:rsidR="00D75E7D" w:rsidRPr="00650EE4">
        <w:rPr>
          <w:noProof w:val="0"/>
        </w:rPr>
        <w:t>ENK</w:t>
      </w:r>
      <w:r w:rsidR="00632C0B" w:rsidRPr="00650EE4">
        <w:rPr>
          <w:noProof w:val="0"/>
        </w:rPr>
        <w:t xml:space="preserve"> (tūkst. m</w:t>
      </w:r>
      <w:r w:rsidR="00632C0B" w:rsidRPr="00650EE4">
        <w:rPr>
          <w:noProof w:val="0"/>
          <w:vertAlign w:val="superscript"/>
        </w:rPr>
        <w:t>2</w:t>
      </w:r>
      <w:r w:rsidR="00632C0B" w:rsidRPr="00650EE4">
        <w:rPr>
          <w:noProof w:val="0"/>
        </w:rPr>
        <w:t>)</w:t>
      </w:r>
      <w:bookmarkEnd w:id="72"/>
    </w:p>
    <w:tbl>
      <w:tblPr>
        <w:tblW w:w="5000" w:type="pct"/>
        <w:tblLook w:val="04A0" w:firstRow="1" w:lastRow="0" w:firstColumn="1" w:lastColumn="0" w:noHBand="0" w:noVBand="1"/>
      </w:tblPr>
      <w:tblGrid>
        <w:gridCol w:w="2058"/>
        <w:gridCol w:w="1058"/>
        <w:gridCol w:w="1059"/>
        <w:gridCol w:w="1059"/>
        <w:gridCol w:w="1059"/>
        <w:gridCol w:w="1059"/>
        <w:gridCol w:w="1063"/>
        <w:gridCol w:w="1017"/>
        <w:gridCol w:w="988"/>
      </w:tblGrid>
      <w:tr w:rsidR="00632C0B" w:rsidRPr="00650EE4" w14:paraId="207B923B" w14:textId="77777777" w:rsidTr="00A03881">
        <w:tc>
          <w:tcPr>
            <w:tcW w:w="98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38BCCFF7"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4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E82FA51"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488" w:type="pct"/>
            <w:vMerge w:val="restart"/>
            <w:tcBorders>
              <w:top w:val="single" w:sz="4" w:space="0" w:color="auto"/>
              <w:left w:val="nil"/>
              <w:bottom w:val="single" w:sz="4" w:space="0" w:color="000000"/>
              <w:right w:val="nil"/>
            </w:tcBorders>
            <w:shd w:val="clear" w:color="000000" w:fill="FFFFFF"/>
            <w:vAlign w:val="center"/>
            <w:hideMark/>
          </w:tcPr>
          <w:p w14:paraId="41C9C91F"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5357FFA"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632C0B" w:rsidRPr="00650EE4" w14:paraId="7718CD22" w14:textId="77777777" w:rsidTr="00A03881">
        <w:tc>
          <w:tcPr>
            <w:tcW w:w="988" w:type="pct"/>
            <w:vMerge/>
            <w:tcBorders>
              <w:top w:val="single" w:sz="4" w:space="0" w:color="auto"/>
              <w:left w:val="single" w:sz="4" w:space="0" w:color="auto"/>
              <w:bottom w:val="single" w:sz="4" w:space="0" w:color="000000"/>
              <w:right w:val="nil"/>
            </w:tcBorders>
            <w:vAlign w:val="center"/>
            <w:hideMark/>
          </w:tcPr>
          <w:p w14:paraId="3FA5B760" w14:textId="77777777" w:rsidR="00632C0B" w:rsidRPr="00650EE4" w:rsidRDefault="00632C0B" w:rsidP="00017447">
            <w:pPr>
              <w:spacing w:line="240" w:lineRule="auto"/>
              <w:rPr>
                <w:rFonts w:ascii="Times New Roman" w:eastAsia="Times New Roman" w:hAnsi="Times New Roman"/>
                <w:b/>
                <w:bCs/>
                <w:sz w:val="20"/>
                <w:szCs w:val="20"/>
              </w:rPr>
            </w:pPr>
          </w:p>
        </w:tc>
        <w:tc>
          <w:tcPr>
            <w:tcW w:w="508" w:type="pct"/>
            <w:tcBorders>
              <w:top w:val="nil"/>
              <w:left w:val="single" w:sz="4" w:space="0" w:color="auto"/>
              <w:bottom w:val="single" w:sz="4" w:space="0" w:color="auto"/>
              <w:right w:val="nil"/>
            </w:tcBorders>
            <w:shd w:val="clear" w:color="000000" w:fill="FFFFFF"/>
            <w:vAlign w:val="center"/>
            <w:hideMark/>
          </w:tcPr>
          <w:p w14:paraId="5378C4D3"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8" w:type="pct"/>
            <w:tcBorders>
              <w:top w:val="nil"/>
              <w:left w:val="nil"/>
              <w:bottom w:val="single" w:sz="4" w:space="0" w:color="auto"/>
              <w:right w:val="nil"/>
            </w:tcBorders>
            <w:shd w:val="clear" w:color="000000" w:fill="FFFFFF"/>
            <w:vAlign w:val="center"/>
            <w:hideMark/>
          </w:tcPr>
          <w:p w14:paraId="5B23C285"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8" w:type="pct"/>
            <w:tcBorders>
              <w:top w:val="nil"/>
              <w:left w:val="nil"/>
              <w:bottom w:val="single" w:sz="4" w:space="0" w:color="auto"/>
              <w:right w:val="nil"/>
            </w:tcBorders>
            <w:shd w:val="clear" w:color="000000" w:fill="FFFFFF"/>
            <w:vAlign w:val="center"/>
            <w:hideMark/>
          </w:tcPr>
          <w:p w14:paraId="05EA496D"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8" w:type="pct"/>
            <w:tcBorders>
              <w:top w:val="nil"/>
              <w:left w:val="nil"/>
              <w:bottom w:val="single" w:sz="4" w:space="0" w:color="auto"/>
              <w:right w:val="nil"/>
            </w:tcBorders>
            <w:shd w:val="clear" w:color="000000" w:fill="FFFFFF"/>
            <w:vAlign w:val="center"/>
            <w:hideMark/>
          </w:tcPr>
          <w:p w14:paraId="080F9DAA"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8" w:type="pct"/>
            <w:tcBorders>
              <w:top w:val="nil"/>
              <w:left w:val="nil"/>
              <w:bottom w:val="single" w:sz="4" w:space="0" w:color="auto"/>
              <w:right w:val="nil"/>
            </w:tcBorders>
            <w:shd w:val="clear" w:color="000000" w:fill="FFFFFF"/>
            <w:vAlign w:val="center"/>
            <w:hideMark/>
          </w:tcPr>
          <w:p w14:paraId="5A2025AC"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0" w:type="pct"/>
            <w:tcBorders>
              <w:top w:val="nil"/>
              <w:left w:val="nil"/>
              <w:bottom w:val="single" w:sz="4" w:space="0" w:color="auto"/>
              <w:right w:val="single" w:sz="4" w:space="0" w:color="auto"/>
            </w:tcBorders>
            <w:shd w:val="clear" w:color="000000" w:fill="FFFFFF"/>
            <w:vAlign w:val="center"/>
            <w:hideMark/>
          </w:tcPr>
          <w:p w14:paraId="1E522A0D"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8" w:type="pct"/>
            <w:vMerge/>
            <w:tcBorders>
              <w:top w:val="single" w:sz="4" w:space="0" w:color="auto"/>
              <w:left w:val="nil"/>
              <w:bottom w:val="single" w:sz="4" w:space="0" w:color="000000"/>
              <w:right w:val="nil"/>
            </w:tcBorders>
            <w:vAlign w:val="center"/>
            <w:hideMark/>
          </w:tcPr>
          <w:p w14:paraId="51240425" w14:textId="77777777" w:rsidR="00632C0B" w:rsidRPr="00650EE4" w:rsidRDefault="00632C0B" w:rsidP="00017447">
            <w:pPr>
              <w:spacing w:line="240" w:lineRule="auto"/>
              <w:rPr>
                <w:rFonts w:ascii="Times New Roman" w:eastAsia="Times New Roman" w:hAnsi="Times New Roman"/>
                <w:b/>
                <w:bCs/>
                <w:sz w:val="20"/>
                <w:szCs w:val="20"/>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14:paraId="6DBFEDF5" w14:textId="77777777" w:rsidR="00632C0B" w:rsidRPr="00650EE4" w:rsidRDefault="00632C0B" w:rsidP="00017447">
            <w:pPr>
              <w:spacing w:line="240" w:lineRule="auto"/>
              <w:rPr>
                <w:rFonts w:ascii="Times New Roman" w:eastAsia="Times New Roman" w:hAnsi="Times New Roman"/>
                <w:b/>
                <w:bCs/>
                <w:sz w:val="20"/>
                <w:szCs w:val="20"/>
              </w:rPr>
            </w:pPr>
          </w:p>
        </w:tc>
      </w:tr>
      <w:tr w:rsidR="00632C0B" w:rsidRPr="00650EE4" w14:paraId="272C7FFB" w14:textId="77777777" w:rsidTr="00A03881">
        <w:tc>
          <w:tcPr>
            <w:tcW w:w="988" w:type="pct"/>
            <w:tcBorders>
              <w:top w:val="nil"/>
              <w:left w:val="single" w:sz="4" w:space="0" w:color="auto"/>
              <w:bottom w:val="single" w:sz="4" w:space="0" w:color="auto"/>
              <w:right w:val="nil"/>
            </w:tcBorders>
            <w:shd w:val="clear" w:color="000000" w:fill="F2F2F2"/>
            <w:noWrap/>
            <w:vAlign w:val="center"/>
            <w:hideMark/>
          </w:tcPr>
          <w:p w14:paraId="0D827862"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8" w:type="pct"/>
            <w:tcBorders>
              <w:top w:val="nil"/>
              <w:left w:val="single" w:sz="4" w:space="0" w:color="auto"/>
              <w:bottom w:val="single" w:sz="4" w:space="0" w:color="auto"/>
              <w:right w:val="nil"/>
            </w:tcBorders>
            <w:shd w:val="clear" w:color="000000" w:fill="F2F2F2"/>
            <w:noWrap/>
            <w:vAlign w:val="center"/>
            <w:hideMark/>
          </w:tcPr>
          <w:p w14:paraId="6150F1C9"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79.926</w:t>
            </w:r>
          </w:p>
        </w:tc>
        <w:tc>
          <w:tcPr>
            <w:tcW w:w="508" w:type="pct"/>
            <w:tcBorders>
              <w:top w:val="nil"/>
              <w:left w:val="nil"/>
              <w:bottom w:val="single" w:sz="4" w:space="0" w:color="auto"/>
              <w:right w:val="nil"/>
            </w:tcBorders>
            <w:shd w:val="clear" w:color="000000" w:fill="F2F2F2"/>
            <w:noWrap/>
            <w:vAlign w:val="center"/>
            <w:hideMark/>
          </w:tcPr>
          <w:p w14:paraId="79588FF8"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31.571</w:t>
            </w:r>
          </w:p>
        </w:tc>
        <w:tc>
          <w:tcPr>
            <w:tcW w:w="508" w:type="pct"/>
            <w:tcBorders>
              <w:top w:val="nil"/>
              <w:left w:val="nil"/>
              <w:bottom w:val="single" w:sz="4" w:space="0" w:color="auto"/>
              <w:right w:val="nil"/>
            </w:tcBorders>
            <w:shd w:val="clear" w:color="000000" w:fill="F2F2F2"/>
            <w:noWrap/>
            <w:vAlign w:val="center"/>
            <w:hideMark/>
          </w:tcPr>
          <w:p w14:paraId="55982922"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15.501</w:t>
            </w:r>
          </w:p>
        </w:tc>
        <w:tc>
          <w:tcPr>
            <w:tcW w:w="508" w:type="pct"/>
            <w:tcBorders>
              <w:top w:val="nil"/>
              <w:left w:val="nil"/>
              <w:bottom w:val="single" w:sz="4" w:space="0" w:color="auto"/>
              <w:right w:val="nil"/>
            </w:tcBorders>
            <w:shd w:val="clear" w:color="000000" w:fill="F2F2F2"/>
            <w:noWrap/>
            <w:vAlign w:val="center"/>
            <w:hideMark/>
          </w:tcPr>
          <w:p w14:paraId="496EE9EC"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1.698</w:t>
            </w:r>
          </w:p>
        </w:tc>
        <w:tc>
          <w:tcPr>
            <w:tcW w:w="508" w:type="pct"/>
            <w:tcBorders>
              <w:top w:val="nil"/>
              <w:left w:val="nil"/>
              <w:bottom w:val="single" w:sz="4" w:space="0" w:color="auto"/>
              <w:right w:val="nil"/>
            </w:tcBorders>
            <w:shd w:val="clear" w:color="000000" w:fill="F2F2F2"/>
            <w:noWrap/>
            <w:vAlign w:val="center"/>
            <w:hideMark/>
          </w:tcPr>
          <w:p w14:paraId="3F10E424"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283</w:t>
            </w:r>
          </w:p>
        </w:tc>
        <w:tc>
          <w:tcPr>
            <w:tcW w:w="510" w:type="pct"/>
            <w:tcBorders>
              <w:top w:val="nil"/>
              <w:left w:val="nil"/>
              <w:bottom w:val="single" w:sz="4" w:space="0" w:color="auto"/>
              <w:right w:val="single" w:sz="4" w:space="0" w:color="auto"/>
            </w:tcBorders>
            <w:shd w:val="clear" w:color="000000" w:fill="F2F2F2"/>
            <w:noWrap/>
            <w:vAlign w:val="center"/>
            <w:hideMark/>
          </w:tcPr>
          <w:p w14:paraId="060D1804"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w:t>
            </w:r>
          </w:p>
        </w:tc>
        <w:tc>
          <w:tcPr>
            <w:tcW w:w="488" w:type="pct"/>
            <w:tcBorders>
              <w:top w:val="nil"/>
              <w:left w:val="nil"/>
              <w:bottom w:val="single" w:sz="4" w:space="0" w:color="auto"/>
              <w:right w:val="nil"/>
            </w:tcBorders>
            <w:shd w:val="clear" w:color="000000" w:fill="F2F2F2"/>
            <w:noWrap/>
            <w:vAlign w:val="center"/>
            <w:hideMark/>
          </w:tcPr>
          <w:p w14:paraId="3F5F0A40"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476" w:type="pct"/>
            <w:tcBorders>
              <w:top w:val="nil"/>
              <w:left w:val="single" w:sz="4" w:space="0" w:color="auto"/>
              <w:bottom w:val="single" w:sz="4" w:space="0" w:color="auto"/>
              <w:right w:val="single" w:sz="4" w:space="0" w:color="auto"/>
            </w:tcBorders>
            <w:shd w:val="clear" w:color="000000" w:fill="F2F2F2"/>
            <w:noWrap/>
            <w:vAlign w:val="center"/>
            <w:hideMark/>
          </w:tcPr>
          <w:p w14:paraId="3C1906F4"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64%</w:t>
            </w:r>
          </w:p>
        </w:tc>
      </w:tr>
      <w:tr w:rsidR="00632C0B" w:rsidRPr="00650EE4" w14:paraId="3C40FEDE" w14:textId="77777777" w:rsidTr="00A03881">
        <w:tc>
          <w:tcPr>
            <w:tcW w:w="988" w:type="pct"/>
            <w:tcBorders>
              <w:top w:val="nil"/>
              <w:left w:val="single" w:sz="4" w:space="0" w:color="auto"/>
              <w:bottom w:val="nil"/>
              <w:right w:val="nil"/>
            </w:tcBorders>
            <w:shd w:val="clear" w:color="000000" w:fill="FFFFFF"/>
            <w:noWrap/>
            <w:vAlign w:val="center"/>
            <w:hideMark/>
          </w:tcPr>
          <w:p w14:paraId="713682A4"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8" w:type="pct"/>
            <w:tcBorders>
              <w:top w:val="nil"/>
              <w:left w:val="single" w:sz="4" w:space="0" w:color="auto"/>
              <w:bottom w:val="nil"/>
              <w:right w:val="nil"/>
            </w:tcBorders>
            <w:shd w:val="clear" w:color="000000" w:fill="FFFFFF"/>
            <w:noWrap/>
            <w:vAlign w:val="center"/>
            <w:hideMark/>
          </w:tcPr>
          <w:p w14:paraId="533ED23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37.687</w:t>
            </w:r>
          </w:p>
        </w:tc>
        <w:tc>
          <w:tcPr>
            <w:tcW w:w="508" w:type="pct"/>
            <w:tcBorders>
              <w:top w:val="nil"/>
              <w:left w:val="nil"/>
              <w:bottom w:val="nil"/>
              <w:right w:val="nil"/>
            </w:tcBorders>
            <w:shd w:val="clear" w:color="000000" w:fill="FFFFFF"/>
            <w:noWrap/>
            <w:vAlign w:val="center"/>
            <w:hideMark/>
          </w:tcPr>
          <w:p w14:paraId="2C12DBD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23.728</w:t>
            </w:r>
          </w:p>
        </w:tc>
        <w:tc>
          <w:tcPr>
            <w:tcW w:w="508" w:type="pct"/>
            <w:tcBorders>
              <w:top w:val="nil"/>
              <w:left w:val="nil"/>
              <w:bottom w:val="nil"/>
              <w:right w:val="nil"/>
            </w:tcBorders>
            <w:shd w:val="clear" w:color="000000" w:fill="FFFFFF"/>
            <w:noWrap/>
            <w:vAlign w:val="center"/>
            <w:hideMark/>
          </w:tcPr>
          <w:p w14:paraId="6A88EE3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6.866</w:t>
            </w:r>
          </w:p>
        </w:tc>
        <w:tc>
          <w:tcPr>
            <w:tcW w:w="508" w:type="pct"/>
            <w:tcBorders>
              <w:top w:val="nil"/>
              <w:left w:val="nil"/>
              <w:bottom w:val="nil"/>
              <w:right w:val="nil"/>
            </w:tcBorders>
            <w:shd w:val="clear" w:color="000000" w:fill="FFFFFF"/>
            <w:noWrap/>
            <w:vAlign w:val="center"/>
            <w:hideMark/>
          </w:tcPr>
          <w:p w14:paraId="2226D04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1.141</w:t>
            </w:r>
          </w:p>
        </w:tc>
        <w:tc>
          <w:tcPr>
            <w:tcW w:w="508" w:type="pct"/>
            <w:tcBorders>
              <w:top w:val="nil"/>
              <w:left w:val="nil"/>
              <w:bottom w:val="nil"/>
              <w:right w:val="nil"/>
            </w:tcBorders>
            <w:shd w:val="clear" w:color="000000" w:fill="FFFFFF"/>
            <w:noWrap/>
            <w:vAlign w:val="center"/>
            <w:hideMark/>
          </w:tcPr>
          <w:p w14:paraId="46100A2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115</w:t>
            </w:r>
          </w:p>
        </w:tc>
        <w:tc>
          <w:tcPr>
            <w:tcW w:w="510" w:type="pct"/>
            <w:tcBorders>
              <w:top w:val="nil"/>
              <w:left w:val="nil"/>
              <w:bottom w:val="nil"/>
              <w:right w:val="single" w:sz="4" w:space="0" w:color="auto"/>
            </w:tcBorders>
            <w:shd w:val="clear" w:color="000000" w:fill="FFFFFF"/>
            <w:noWrap/>
            <w:vAlign w:val="center"/>
            <w:hideMark/>
          </w:tcPr>
          <w:p w14:paraId="7062716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0BA46FB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76" w:type="pct"/>
            <w:tcBorders>
              <w:top w:val="nil"/>
              <w:left w:val="single" w:sz="4" w:space="0" w:color="auto"/>
              <w:bottom w:val="nil"/>
              <w:right w:val="single" w:sz="4" w:space="0" w:color="auto"/>
            </w:tcBorders>
            <w:shd w:val="clear" w:color="000000" w:fill="FFFFFF"/>
            <w:noWrap/>
            <w:vAlign w:val="center"/>
            <w:hideMark/>
          </w:tcPr>
          <w:p w14:paraId="3E5E21B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632C0B" w:rsidRPr="00650EE4" w14:paraId="5EE765BB" w14:textId="77777777" w:rsidTr="00A03881">
        <w:tc>
          <w:tcPr>
            <w:tcW w:w="988" w:type="pct"/>
            <w:tcBorders>
              <w:top w:val="nil"/>
              <w:left w:val="single" w:sz="4" w:space="0" w:color="auto"/>
              <w:bottom w:val="nil"/>
              <w:right w:val="nil"/>
            </w:tcBorders>
            <w:shd w:val="clear" w:color="000000" w:fill="FFFFFF"/>
            <w:noWrap/>
            <w:vAlign w:val="center"/>
            <w:hideMark/>
          </w:tcPr>
          <w:p w14:paraId="247E4EC3"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8" w:type="pct"/>
            <w:tcBorders>
              <w:top w:val="nil"/>
              <w:left w:val="single" w:sz="4" w:space="0" w:color="auto"/>
              <w:bottom w:val="nil"/>
              <w:right w:val="nil"/>
            </w:tcBorders>
            <w:shd w:val="clear" w:color="000000" w:fill="FFFFFF"/>
            <w:noWrap/>
            <w:vAlign w:val="center"/>
            <w:hideMark/>
          </w:tcPr>
          <w:p w14:paraId="1CA0469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42.239</w:t>
            </w:r>
          </w:p>
        </w:tc>
        <w:tc>
          <w:tcPr>
            <w:tcW w:w="508" w:type="pct"/>
            <w:tcBorders>
              <w:top w:val="nil"/>
              <w:left w:val="nil"/>
              <w:bottom w:val="nil"/>
              <w:right w:val="nil"/>
            </w:tcBorders>
            <w:shd w:val="clear" w:color="000000" w:fill="FFFFFF"/>
            <w:noWrap/>
            <w:vAlign w:val="center"/>
            <w:hideMark/>
          </w:tcPr>
          <w:p w14:paraId="4BC0C7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7.843</w:t>
            </w:r>
          </w:p>
        </w:tc>
        <w:tc>
          <w:tcPr>
            <w:tcW w:w="508" w:type="pct"/>
            <w:tcBorders>
              <w:top w:val="nil"/>
              <w:left w:val="nil"/>
              <w:bottom w:val="nil"/>
              <w:right w:val="nil"/>
            </w:tcBorders>
            <w:shd w:val="clear" w:color="000000" w:fill="FFFFFF"/>
            <w:noWrap/>
            <w:vAlign w:val="center"/>
            <w:hideMark/>
          </w:tcPr>
          <w:p w14:paraId="3DBAFF3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8.634</w:t>
            </w:r>
          </w:p>
        </w:tc>
        <w:tc>
          <w:tcPr>
            <w:tcW w:w="508" w:type="pct"/>
            <w:tcBorders>
              <w:top w:val="nil"/>
              <w:left w:val="nil"/>
              <w:bottom w:val="nil"/>
              <w:right w:val="nil"/>
            </w:tcBorders>
            <w:shd w:val="clear" w:color="000000" w:fill="FFFFFF"/>
            <w:noWrap/>
            <w:vAlign w:val="center"/>
            <w:hideMark/>
          </w:tcPr>
          <w:p w14:paraId="49DEAAB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557</w:t>
            </w:r>
          </w:p>
        </w:tc>
        <w:tc>
          <w:tcPr>
            <w:tcW w:w="508" w:type="pct"/>
            <w:tcBorders>
              <w:top w:val="nil"/>
              <w:left w:val="nil"/>
              <w:bottom w:val="nil"/>
              <w:right w:val="nil"/>
            </w:tcBorders>
            <w:shd w:val="clear" w:color="000000" w:fill="FFFFFF"/>
            <w:noWrap/>
            <w:vAlign w:val="center"/>
            <w:hideMark/>
          </w:tcPr>
          <w:p w14:paraId="7E48FDD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w:t>
            </w:r>
          </w:p>
        </w:tc>
        <w:tc>
          <w:tcPr>
            <w:tcW w:w="510" w:type="pct"/>
            <w:tcBorders>
              <w:top w:val="nil"/>
              <w:left w:val="nil"/>
              <w:bottom w:val="nil"/>
              <w:right w:val="single" w:sz="4" w:space="0" w:color="auto"/>
            </w:tcBorders>
            <w:shd w:val="clear" w:color="000000" w:fill="FFFFFF"/>
            <w:noWrap/>
            <w:vAlign w:val="center"/>
            <w:hideMark/>
          </w:tcPr>
          <w:p w14:paraId="513FBBA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488" w:type="pct"/>
            <w:tcBorders>
              <w:top w:val="nil"/>
              <w:left w:val="nil"/>
              <w:bottom w:val="nil"/>
              <w:right w:val="nil"/>
            </w:tcBorders>
            <w:shd w:val="clear" w:color="000000" w:fill="FFFFFF"/>
            <w:noWrap/>
            <w:vAlign w:val="center"/>
            <w:hideMark/>
          </w:tcPr>
          <w:p w14:paraId="150F1B0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76" w:type="pct"/>
            <w:tcBorders>
              <w:top w:val="nil"/>
              <w:left w:val="single" w:sz="4" w:space="0" w:color="auto"/>
              <w:bottom w:val="nil"/>
              <w:right w:val="single" w:sz="4" w:space="0" w:color="auto"/>
            </w:tcBorders>
            <w:shd w:val="clear" w:color="000000" w:fill="FFFFFF"/>
            <w:noWrap/>
            <w:vAlign w:val="center"/>
            <w:hideMark/>
          </w:tcPr>
          <w:p w14:paraId="7F8CFD8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632C0B" w:rsidRPr="00650EE4" w14:paraId="38706143" w14:textId="77777777" w:rsidTr="00A03881">
        <w:tc>
          <w:tcPr>
            <w:tcW w:w="98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36A59A"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8" w:type="pct"/>
            <w:tcBorders>
              <w:top w:val="single" w:sz="4" w:space="0" w:color="auto"/>
              <w:left w:val="nil"/>
              <w:bottom w:val="single" w:sz="4" w:space="0" w:color="auto"/>
              <w:right w:val="nil"/>
            </w:tcBorders>
            <w:shd w:val="clear" w:color="000000" w:fill="F2F2F2"/>
            <w:noWrap/>
            <w:vAlign w:val="center"/>
            <w:hideMark/>
          </w:tcPr>
          <w:p w14:paraId="417BE9A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52.809</w:t>
            </w:r>
          </w:p>
        </w:tc>
        <w:tc>
          <w:tcPr>
            <w:tcW w:w="508" w:type="pct"/>
            <w:tcBorders>
              <w:top w:val="single" w:sz="4" w:space="0" w:color="auto"/>
              <w:left w:val="nil"/>
              <w:bottom w:val="single" w:sz="4" w:space="0" w:color="auto"/>
              <w:right w:val="nil"/>
            </w:tcBorders>
            <w:shd w:val="clear" w:color="000000" w:fill="F2F2F2"/>
            <w:noWrap/>
            <w:vAlign w:val="center"/>
            <w:hideMark/>
          </w:tcPr>
          <w:p w14:paraId="49BF63F0"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7.895</w:t>
            </w:r>
          </w:p>
        </w:tc>
        <w:tc>
          <w:tcPr>
            <w:tcW w:w="508" w:type="pct"/>
            <w:tcBorders>
              <w:top w:val="single" w:sz="4" w:space="0" w:color="auto"/>
              <w:left w:val="nil"/>
              <w:bottom w:val="single" w:sz="4" w:space="0" w:color="auto"/>
              <w:right w:val="nil"/>
            </w:tcBorders>
            <w:shd w:val="clear" w:color="000000" w:fill="F2F2F2"/>
            <w:noWrap/>
            <w:vAlign w:val="center"/>
            <w:hideMark/>
          </w:tcPr>
          <w:p w14:paraId="4E69D7D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10.024</w:t>
            </w:r>
          </w:p>
        </w:tc>
        <w:tc>
          <w:tcPr>
            <w:tcW w:w="508" w:type="pct"/>
            <w:tcBorders>
              <w:top w:val="single" w:sz="4" w:space="0" w:color="auto"/>
              <w:left w:val="nil"/>
              <w:bottom w:val="single" w:sz="4" w:space="0" w:color="auto"/>
              <w:right w:val="nil"/>
            </w:tcBorders>
            <w:shd w:val="clear" w:color="000000" w:fill="F2F2F2"/>
            <w:noWrap/>
            <w:vAlign w:val="center"/>
            <w:hideMark/>
          </w:tcPr>
          <w:p w14:paraId="4D8A0AED"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1.345</w:t>
            </w:r>
          </w:p>
        </w:tc>
        <w:tc>
          <w:tcPr>
            <w:tcW w:w="508" w:type="pct"/>
            <w:tcBorders>
              <w:top w:val="single" w:sz="4" w:space="0" w:color="auto"/>
              <w:left w:val="nil"/>
              <w:bottom w:val="single" w:sz="4" w:space="0" w:color="auto"/>
              <w:right w:val="nil"/>
            </w:tcBorders>
            <w:shd w:val="clear" w:color="000000" w:fill="F2F2F2"/>
            <w:noWrap/>
            <w:vAlign w:val="center"/>
            <w:hideMark/>
          </w:tcPr>
          <w:p w14:paraId="43D20C4D"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501</w:t>
            </w:r>
          </w:p>
        </w:tc>
        <w:tc>
          <w:tcPr>
            <w:tcW w:w="510" w:type="pct"/>
            <w:tcBorders>
              <w:top w:val="single" w:sz="4" w:space="0" w:color="auto"/>
              <w:left w:val="nil"/>
              <w:bottom w:val="single" w:sz="4" w:space="0" w:color="auto"/>
              <w:right w:val="single" w:sz="4" w:space="0" w:color="auto"/>
            </w:tcBorders>
            <w:shd w:val="clear" w:color="000000" w:fill="F2F2F2"/>
            <w:noWrap/>
            <w:vAlign w:val="center"/>
            <w:hideMark/>
          </w:tcPr>
          <w:p w14:paraId="6C2EB685"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96</w:t>
            </w:r>
          </w:p>
        </w:tc>
        <w:tc>
          <w:tcPr>
            <w:tcW w:w="488" w:type="pct"/>
            <w:tcBorders>
              <w:top w:val="single" w:sz="4" w:space="0" w:color="auto"/>
              <w:left w:val="nil"/>
              <w:bottom w:val="single" w:sz="4" w:space="0" w:color="auto"/>
              <w:right w:val="nil"/>
            </w:tcBorders>
            <w:shd w:val="clear" w:color="000000" w:fill="F2F2F2"/>
            <w:noWrap/>
            <w:vAlign w:val="center"/>
            <w:hideMark/>
          </w:tcPr>
          <w:p w14:paraId="571CF045"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4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C3A6CE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w:t>
            </w:r>
          </w:p>
        </w:tc>
      </w:tr>
      <w:tr w:rsidR="00632C0B" w:rsidRPr="00650EE4" w14:paraId="4D397000" w14:textId="77777777" w:rsidTr="00A03881">
        <w:tc>
          <w:tcPr>
            <w:tcW w:w="988" w:type="pct"/>
            <w:tcBorders>
              <w:top w:val="nil"/>
              <w:left w:val="single" w:sz="4" w:space="0" w:color="auto"/>
              <w:bottom w:val="nil"/>
              <w:right w:val="nil"/>
            </w:tcBorders>
            <w:shd w:val="clear" w:color="000000" w:fill="FFFFFF"/>
            <w:noWrap/>
            <w:vAlign w:val="center"/>
            <w:hideMark/>
          </w:tcPr>
          <w:p w14:paraId="4A501989"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8" w:type="pct"/>
            <w:tcBorders>
              <w:top w:val="nil"/>
              <w:left w:val="single" w:sz="4" w:space="0" w:color="auto"/>
              <w:bottom w:val="nil"/>
              <w:right w:val="nil"/>
            </w:tcBorders>
            <w:shd w:val="clear" w:color="000000" w:fill="FFFFFF"/>
            <w:noWrap/>
            <w:vAlign w:val="center"/>
            <w:hideMark/>
          </w:tcPr>
          <w:p w14:paraId="7DF0809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29.135</w:t>
            </w:r>
          </w:p>
        </w:tc>
        <w:tc>
          <w:tcPr>
            <w:tcW w:w="508" w:type="pct"/>
            <w:tcBorders>
              <w:top w:val="nil"/>
              <w:left w:val="nil"/>
              <w:bottom w:val="nil"/>
              <w:right w:val="nil"/>
            </w:tcBorders>
            <w:shd w:val="clear" w:color="000000" w:fill="FFFFFF"/>
            <w:noWrap/>
            <w:vAlign w:val="center"/>
            <w:hideMark/>
          </w:tcPr>
          <w:p w14:paraId="0E815F2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1.962</w:t>
            </w:r>
          </w:p>
        </w:tc>
        <w:tc>
          <w:tcPr>
            <w:tcW w:w="508" w:type="pct"/>
            <w:tcBorders>
              <w:top w:val="nil"/>
              <w:left w:val="nil"/>
              <w:bottom w:val="nil"/>
              <w:right w:val="nil"/>
            </w:tcBorders>
            <w:shd w:val="clear" w:color="000000" w:fill="FFFFFF"/>
            <w:noWrap/>
            <w:vAlign w:val="center"/>
            <w:hideMark/>
          </w:tcPr>
          <w:p w14:paraId="142BDCE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3.534</w:t>
            </w:r>
          </w:p>
        </w:tc>
        <w:tc>
          <w:tcPr>
            <w:tcW w:w="508" w:type="pct"/>
            <w:tcBorders>
              <w:top w:val="nil"/>
              <w:left w:val="nil"/>
              <w:bottom w:val="nil"/>
              <w:right w:val="nil"/>
            </w:tcBorders>
            <w:shd w:val="clear" w:color="000000" w:fill="FFFFFF"/>
            <w:noWrap/>
            <w:vAlign w:val="center"/>
            <w:hideMark/>
          </w:tcPr>
          <w:p w14:paraId="71C5F77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574</w:t>
            </w:r>
          </w:p>
        </w:tc>
        <w:tc>
          <w:tcPr>
            <w:tcW w:w="508" w:type="pct"/>
            <w:tcBorders>
              <w:top w:val="nil"/>
              <w:left w:val="nil"/>
              <w:bottom w:val="nil"/>
              <w:right w:val="nil"/>
            </w:tcBorders>
            <w:shd w:val="clear" w:color="000000" w:fill="FFFFFF"/>
            <w:noWrap/>
            <w:vAlign w:val="center"/>
            <w:hideMark/>
          </w:tcPr>
          <w:p w14:paraId="52B4360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w:t>
            </w:r>
          </w:p>
        </w:tc>
        <w:tc>
          <w:tcPr>
            <w:tcW w:w="510" w:type="pct"/>
            <w:tcBorders>
              <w:top w:val="nil"/>
              <w:left w:val="nil"/>
              <w:bottom w:val="nil"/>
              <w:right w:val="single" w:sz="4" w:space="0" w:color="auto"/>
            </w:tcBorders>
            <w:shd w:val="clear" w:color="000000" w:fill="FFFFFF"/>
            <w:noWrap/>
            <w:vAlign w:val="center"/>
            <w:hideMark/>
          </w:tcPr>
          <w:p w14:paraId="6689664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w:t>
            </w:r>
          </w:p>
        </w:tc>
        <w:tc>
          <w:tcPr>
            <w:tcW w:w="488" w:type="pct"/>
            <w:tcBorders>
              <w:top w:val="nil"/>
              <w:left w:val="nil"/>
              <w:bottom w:val="nil"/>
              <w:right w:val="nil"/>
            </w:tcBorders>
            <w:shd w:val="clear" w:color="000000" w:fill="FFFFFF"/>
            <w:noWrap/>
            <w:vAlign w:val="center"/>
            <w:hideMark/>
          </w:tcPr>
          <w:p w14:paraId="4024E943"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76" w:type="pct"/>
            <w:tcBorders>
              <w:top w:val="nil"/>
              <w:left w:val="single" w:sz="4" w:space="0" w:color="auto"/>
              <w:bottom w:val="nil"/>
              <w:right w:val="single" w:sz="4" w:space="0" w:color="auto"/>
            </w:tcBorders>
            <w:shd w:val="clear" w:color="000000" w:fill="FFFFFF"/>
            <w:noWrap/>
            <w:vAlign w:val="center"/>
            <w:hideMark/>
          </w:tcPr>
          <w:p w14:paraId="63158FC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632C0B" w:rsidRPr="00650EE4" w14:paraId="22502B6F" w14:textId="77777777" w:rsidTr="00A03881">
        <w:tc>
          <w:tcPr>
            <w:tcW w:w="988" w:type="pct"/>
            <w:tcBorders>
              <w:top w:val="nil"/>
              <w:left w:val="single" w:sz="4" w:space="0" w:color="auto"/>
              <w:bottom w:val="nil"/>
              <w:right w:val="nil"/>
            </w:tcBorders>
            <w:shd w:val="clear" w:color="000000" w:fill="FFFFFF"/>
            <w:noWrap/>
            <w:vAlign w:val="center"/>
            <w:hideMark/>
          </w:tcPr>
          <w:p w14:paraId="2F8A9E5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8" w:type="pct"/>
            <w:tcBorders>
              <w:top w:val="nil"/>
              <w:left w:val="single" w:sz="4" w:space="0" w:color="auto"/>
              <w:bottom w:val="nil"/>
              <w:right w:val="nil"/>
            </w:tcBorders>
            <w:shd w:val="clear" w:color="000000" w:fill="FFFFFF"/>
            <w:noWrap/>
            <w:vAlign w:val="center"/>
            <w:hideMark/>
          </w:tcPr>
          <w:p w14:paraId="73EA6B5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7.438</w:t>
            </w:r>
          </w:p>
        </w:tc>
        <w:tc>
          <w:tcPr>
            <w:tcW w:w="508" w:type="pct"/>
            <w:tcBorders>
              <w:top w:val="nil"/>
              <w:left w:val="nil"/>
              <w:bottom w:val="nil"/>
              <w:right w:val="nil"/>
            </w:tcBorders>
            <w:shd w:val="clear" w:color="000000" w:fill="FFFFFF"/>
            <w:noWrap/>
            <w:vAlign w:val="center"/>
            <w:hideMark/>
          </w:tcPr>
          <w:p w14:paraId="0324D7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1.167</w:t>
            </w:r>
          </w:p>
        </w:tc>
        <w:tc>
          <w:tcPr>
            <w:tcW w:w="508" w:type="pct"/>
            <w:tcBorders>
              <w:top w:val="nil"/>
              <w:left w:val="nil"/>
              <w:bottom w:val="nil"/>
              <w:right w:val="nil"/>
            </w:tcBorders>
            <w:shd w:val="clear" w:color="000000" w:fill="FFFFFF"/>
            <w:noWrap/>
            <w:vAlign w:val="center"/>
            <w:hideMark/>
          </w:tcPr>
          <w:p w14:paraId="3774BC6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900</w:t>
            </w:r>
          </w:p>
        </w:tc>
        <w:tc>
          <w:tcPr>
            <w:tcW w:w="508" w:type="pct"/>
            <w:tcBorders>
              <w:top w:val="nil"/>
              <w:left w:val="nil"/>
              <w:bottom w:val="nil"/>
              <w:right w:val="nil"/>
            </w:tcBorders>
            <w:shd w:val="clear" w:color="000000" w:fill="FFFFFF"/>
            <w:noWrap/>
            <w:vAlign w:val="center"/>
            <w:hideMark/>
          </w:tcPr>
          <w:p w14:paraId="146DBB3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482</w:t>
            </w:r>
          </w:p>
        </w:tc>
        <w:tc>
          <w:tcPr>
            <w:tcW w:w="508" w:type="pct"/>
            <w:tcBorders>
              <w:top w:val="nil"/>
              <w:left w:val="nil"/>
              <w:bottom w:val="nil"/>
              <w:right w:val="nil"/>
            </w:tcBorders>
            <w:shd w:val="clear" w:color="000000" w:fill="FFFFFF"/>
            <w:noWrap/>
            <w:vAlign w:val="center"/>
            <w:hideMark/>
          </w:tcPr>
          <w:p w14:paraId="50B3924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w:t>
            </w:r>
          </w:p>
        </w:tc>
        <w:tc>
          <w:tcPr>
            <w:tcW w:w="510" w:type="pct"/>
            <w:tcBorders>
              <w:top w:val="nil"/>
              <w:left w:val="nil"/>
              <w:bottom w:val="nil"/>
              <w:right w:val="single" w:sz="4" w:space="0" w:color="auto"/>
            </w:tcBorders>
            <w:shd w:val="clear" w:color="000000" w:fill="FFFFFF"/>
            <w:noWrap/>
            <w:vAlign w:val="center"/>
            <w:hideMark/>
          </w:tcPr>
          <w:p w14:paraId="1400A11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772FBDC6"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76" w:type="pct"/>
            <w:tcBorders>
              <w:top w:val="nil"/>
              <w:left w:val="single" w:sz="4" w:space="0" w:color="auto"/>
              <w:bottom w:val="nil"/>
              <w:right w:val="single" w:sz="4" w:space="0" w:color="auto"/>
            </w:tcBorders>
            <w:shd w:val="clear" w:color="000000" w:fill="FFFFFF"/>
            <w:noWrap/>
            <w:vAlign w:val="center"/>
            <w:hideMark/>
          </w:tcPr>
          <w:p w14:paraId="7D90426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632C0B" w:rsidRPr="00650EE4" w14:paraId="354A9ACD" w14:textId="77777777" w:rsidTr="00A03881">
        <w:tc>
          <w:tcPr>
            <w:tcW w:w="988" w:type="pct"/>
            <w:tcBorders>
              <w:top w:val="nil"/>
              <w:left w:val="single" w:sz="4" w:space="0" w:color="auto"/>
              <w:bottom w:val="nil"/>
              <w:right w:val="nil"/>
            </w:tcBorders>
            <w:shd w:val="clear" w:color="000000" w:fill="FFFFFF"/>
            <w:noWrap/>
            <w:vAlign w:val="center"/>
            <w:hideMark/>
          </w:tcPr>
          <w:p w14:paraId="789EF5D9"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8" w:type="pct"/>
            <w:tcBorders>
              <w:top w:val="nil"/>
              <w:left w:val="single" w:sz="4" w:space="0" w:color="auto"/>
              <w:bottom w:val="nil"/>
              <w:right w:val="nil"/>
            </w:tcBorders>
            <w:shd w:val="clear" w:color="000000" w:fill="FFFFFF"/>
            <w:noWrap/>
            <w:vAlign w:val="center"/>
            <w:hideMark/>
          </w:tcPr>
          <w:p w14:paraId="054A6C5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5.455</w:t>
            </w:r>
          </w:p>
        </w:tc>
        <w:tc>
          <w:tcPr>
            <w:tcW w:w="508" w:type="pct"/>
            <w:tcBorders>
              <w:top w:val="nil"/>
              <w:left w:val="nil"/>
              <w:bottom w:val="nil"/>
              <w:right w:val="nil"/>
            </w:tcBorders>
            <w:shd w:val="clear" w:color="000000" w:fill="FFFFFF"/>
            <w:noWrap/>
            <w:vAlign w:val="center"/>
            <w:hideMark/>
          </w:tcPr>
          <w:p w14:paraId="132AE54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1.938</w:t>
            </w:r>
          </w:p>
        </w:tc>
        <w:tc>
          <w:tcPr>
            <w:tcW w:w="508" w:type="pct"/>
            <w:tcBorders>
              <w:top w:val="nil"/>
              <w:left w:val="nil"/>
              <w:bottom w:val="nil"/>
              <w:right w:val="nil"/>
            </w:tcBorders>
            <w:shd w:val="clear" w:color="000000" w:fill="FFFFFF"/>
            <w:noWrap/>
            <w:vAlign w:val="center"/>
            <w:hideMark/>
          </w:tcPr>
          <w:p w14:paraId="6FAB8E7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1.081</w:t>
            </w:r>
          </w:p>
        </w:tc>
        <w:tc>
          <w:tcPr>
            <w:tcW w:w="508" w:type="pct"/>
            <w:tcBorders>
              <w:top w:val="nil"/>
              <w:left w:val="nil"/>
              <w:bottom w:val="nil"/>
              <w:right w:val="nil"/>
            </w:tcBorders>
            <w:shd w:val="clear" w:color="000000" w:fill="FFFFFF"/>
            <w:noWrap/>
            <w:vAlign w:val="center"/>
            <w:hideMark/>
          </w:tcPr>
          <w:p w14:paraId="23846C3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nil"/>
              <w:left w:val="nil"/>
              <w:bottom w:val="nil"/>
              <w:right w:val="nil"/>
            </w:tcBorders>
            <w:shd w:val="clear" w:color="000000" w:fill="FFFFFF"/>
            <w:noWrap/>
            <w:vAlign w:val="center"/>
            <w:hideMark/>
          </w:tcPr>
          <w:p w14:paraId="2A38CB8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10" w:type="pct"/>
            <w:tcBorders>
              <w:top w:val="nil"/>
              <w:left w:val="nil"/>
              <w:bottom w:val="nil"/>
              <w:right w:val="single" w:sz="4" w:space="0" w:color="auto"/>
            </w:tcBorders>
            <w:shd w:val="clear" w:color="000000" w:fill="FFFFFF"/>
            <w:noWrap/>
            <w:vAlign w:val="center"/>
            <w:hideMark/>
          </w:tcPr>
          <w:p w14:paraId="5FE5E24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1127640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76" w:type="pct"/>
            <w:tcBorders>
              <w:top w:val="nil"/>
              <w:left w:val="single" w:sz="4" w:space="0" w:color="auto"/>
              <w:bottom w:val="nil"/>
              <w:right w:val="single" w:sz="4" w:space="0" w:color="auto"/>
            </w:tcBorders>
            <w:shd w:val="clear" w:color="000000" w:fill="FFFFFF"/>
            <w:noWrap/>
            <w:vAlign w:val="center"/>
            <w:hideMark/>
          </w:tcPr>
          <w:p w14:paraId="2F3592B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632C0B" w:rsidRPr="00650EE4" w14:paraId="466BAA93" w14:textId="77777777" w:rsidTr="00A03881">
        <w:tc>
          <w:tcPr>
            <w:tcW w:w="988" w:type="pct"/>
            <w:tcBorders>
              <w:top w:val="nil"/>
              <w:left w:val="single" w:sz="4" w:space="0" w:color="auto"/>
              <w:bottom w:val="nil"/>
              <w:right w:val="nil"/>
            </w:tcBorders>
            <w:shd w:val="clear" w:color="000000" w:fill="FFFFFF"/>
            <w:noWrap/>
            <w:vAlign w:val="center"/>
            <w:hideMark/>
          </w:tcPr>
          <w:p w14:paraId="0A216AE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8" w:type="pct"/>
            <w:tcBorders>
              <w:top w:val="nil"/>
              <w:left w:val="single" w:sz="4" w:space="0" w:color="auto"/>
              <w:bottom w:val="nil"/>
              <w:right w:val="nil"/>
            </w:tcBorders>
            <w:shd w:val="clear" w:color="000000" w:fill="FFFFFF"/>
            <w:noWrap/>
            <w:vAlign w:val="center"/>
            <w:hideMark/>
          </w:tcPr>
          <w:p w14:paraId="3F0F4E9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3.493</w:t>
            </w:r>
          </w:p>
        </w:tc>
        <w:tc>
          <w:tcPr>
            <w:tcW w:w="508" w:type="pct"/>
            <w:tcBorders>
              <w:top w:val="nil"/>
              <w:left w:val="nil"/>
              <w:bottom w:val="nil"/>
              <w:right w:val="nil"/>
            </w:tcBorders>
            <w:shd w:val="clear" w:color="000000" w:fill="FFFFFF"/>
            <w:noWrap/>
            <w:vAlign w:val="center"/>
            <w:hideMark/>
          </w:tcPr>
          <w:p w14:paraId="494646C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984</w:t>
            </w:r>
          </w:p>
        </w:tc>
        <w:tc>
          <w:tcPr>
            <w:tcW w:w="508" w:type="pct"/>
            <w:tcBorders>
              <w:top w:val="nil"/>
              <w:left w:val="nil"/>
              <w:bottom w:val="nil"/>
              <w:right w:val="nil"/>
            </w:tcBorders>
            <w:shd w:val="clear" w:color="000000" w:fill="FFFFFF"/>
            <w:noWrap/>
            <w:vAlign w:val="center"/>
            <w:hideMark/>
          </w:tcPr>
          <w:p w14:paraId="28151C6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2.386</w:t>
            </w:r>
          </w:p>
        </w:tc>
        <w:tc>
          <w:tcPr>
            <w:tcW w:w="508" w:type="pct"/>
            <w:tcBorders>
              <w:top w:val="nil"/>
              <w:left w:val="nil"/>
              <w:bottom w:val="nil"/>
              <w:right w:val="nil"/>
            </w:tcBorders>
            <w:shd w:val="clear" w:color="000000" w:fill="FFFFFF"/>
            <w:noWrap/>
            <w:vAlign w:val="center"/>
            <w:hideMark/>
          </w:tcPr>
          <w:p w14:paraId="4CF051E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105</w:t>
            </w:r>
          </w:p>
        </w:tc>
        <w:tc>
          <w:tcPr>
            <w:tcW w:w="508" w:type="pct"/>
            <w:tcBorders>
              <w:top w:val="nil"/>
              <w:left w:val="nil"/>
              <w:bottom w:val="nil"/>
              <w:right w:val="nil"/>
            </w:tcBorders>
            <w:shd w:val="clear" w:color="000000" w:fill="FFFFFF"/>
            <w:noWrap/>
            <w:vAlign w:val="center"/>
            <w:hideMark/>
          </w:tcPr>
          <w:p w14:paraId="3A8399C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10" w:type="pct"/>
            <w:tcBorders>
              <w:top w:val="nil"/>
              <w:left w:val="nil"/>
              <w:bottom w:val="nil"/>
              <w:right w:val="single" w:sz="4" w:space="0" w:color="auto"/>
            </w:tcBorders>
            <w:shd w:val="clear" w:color="000000" w:fill="FFFFFF"/>
            <w:noWrap/>
            <w:vAlign w:val="center"/>
            <w:hideMark/>
          </w:tcPr>
          <w:p w14:paraId="65AF7FB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18C2BB0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76" w:type="pct"/>
            <w:tcBorders>
              <w:top w:val="nil"/>
              <w:left w:val="single" w:sz="4" w:space="0" w:color="auto"/>
              <w:bottom w:val="nil"/>
              <w:right w:val="single" w:sz="4" w:space="0" w:color="auto"/>
            </w:tcBorders>
            <w:shd w:val="clear" w:color="000000" w:fill="FFFFFF"/>
            <w:noWrap/>
            <w:vAlign w:val="center"/>
            <w:hideMark/>
          </w:tcPr>
          <w:p w14:paraId="018E2D4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r>
      <w:tr w:rsidR="00632C0B" w:rsidRPr="00650EE4" w14:paraId="65F7A124" w14:textId="77777777" w:rsidTr="00A03881">
        <w:tc>
          <w:tcPr>
            <w:tcW w:w="988" w:type="pct"/>
            <w:tcBorders>
              <w:top w:val="nil"/>
              <w:left w:val="single" w:sz="4" w:space="0" w:color="auto"/>
              <w:bottom w:val="nil"/>
              <w:right w:val="nil"/>
            </w:tcBorders>
            <w:shd w:val="clear" w:color="000000" w:fill="FFFFFF"/>
            <w:noWrap/>
            <w:vAlign w:val="center"/>
            <w:hideMark/>
          </w:tcPr>
          <w:p w14:paraId="2B7BA292"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8" w:type="pct"/>
            <w:tcBorders>
              <w:top w:val="nil"/>
              <w:left w:val="single" w:sz="4" w:space="0" w:color="auto"/>
              <w:bottom w:val="nil"/>
              <w:right w:val="nil"/>
            </w:tcBorders>
            <w:shd w:val="clear" w:color="000000" w:fill="FFFFFF"/>
            <w:noWrap/>
            <w:vAlign w:val="center"/>
            <w:hideMark/>
          </w:tcPr>
          <w:p w14:paraId="41187FD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1.655</w:t>
            </w:r>
          </w:p>
        </w:tc>
        <w:tc>
          <w:tcPr>
            <w:tcW w:w="508" w:type="pct"/>
            <w:tcBorders>
              <w:top w:val="nil"/>
              <w:left w:val="nil"/>
              <w:bottom w:val="nil"/>
              <w:right w:val="nil"/>
            </w:tcBorders>
            <w:shd w:val="clear" w:color="000000" w:fill="FFFFFF"/>
            <w:noWrap/>
            <w:vAlign w:val="center"/>
            <w:hideMark/>
          </w:tcPr>
          <w:p w14:paraId="63EC91C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619</w:t>
            </w:r>
          </w:p>
        </w:tc>
        <w:tc>
          <w:tcPr>
            <w:tcW w:w="508" w:type="pct"/>
            <w:tcBorders>
              <w:top w:val="nil"/>
              <w:left w:val="nil"/>
              <w:bottom w:val="nil"/>
              <w:right w:val="nil"/>
            </w:tcBorders>
            <w:shd w:val="clear" w:color="000000" w:fill="FFFFFF"/>
            <w:noWrap/>
            <w:vAlign w:val="center"/>
            <w:hideMark/>
          </w:tcPr>
          <w:p w14:paraId="05A0534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669</w:t>
            </w:r>
          </w:p>
        </w:tc>
        <w:tc>
          <w:tcPr>
            <w:tcW w:w="508" w:type="pct"/>
            <w:tcBorders>
              <w:top w:val="nil"/>
              <w:left w:val="nil"/>
              <w:bottom w:val="nil"/>
              <w:right w:val="nil"/>
            </w:tcBorders>
            <w:shd w:val="clear" w:color="000000" w:fill="FFFFFF"/>
            <w:noWrap/>
            <w:vAlign w:val="center"/>
            <w:hideMark/>
          </w:tcPr>
          <w:p w14:paraId="72A6E30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8" w:type="pct"/>
            <w:tcBorders>
              <w:top w:val="nil"/>
              <w:left w:val="nil"/>
              <w:bottom w:val="nil"/>
              <w:right w:val="nil"/>
            </w:tcBorders>
            <w:shd w:val="clear" w:color="000000" w:fill="FFFFFF"/>
            <w:noWrap/>
            <w:vAlign w:val="center"/>
            <w:hideMark/>
          </w:tcPr>
          <w:p w14:paraId="075FFAB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0" w:type="pct"/>
            <w:tcBorders>
              <w:top w:val="nil"/>
              <w:left w:val="nil"/>
              <w:bottom w:val="nil"/>
              <w:right w:val="single" w:sz="4" w:space="0" w:color="auto"/>
            </w:tcBorders>
            <w:shd w:val="clear" w:color="000000" w:fill="FFFFFF"/>
            <w:noWrap/>
            <w:vAlign w:val="center"/>
            <w:hideMark/>
          </w:tcPr>
          <w:p w14:paraId="082194C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0B543690"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76" w:type="pct"/>
            <w:tcBorders>
              <w:top w:val="nil"/>
              <w:left w:val="single" w:sz="4" w:space="0" w:color="auto"/>
              <w:bottom w:val="nil"/>
              <w:right w:val="single" w:sz="4" w:space="0" w:color="auto"/>
            </w:tcBorders>
            <w:shd w:val="clear" w:color="000000" w:fill="FFFFFF"/>
            <w:noWrap/>
            <w:vAlign w:val="center"/>
            <w:hideMark/>
          </w:tcPr>
          <w:p w14:paraId="38BDD74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632C0B" w:rsidRPr="00650EE4" w14:paraId="3257F326" w14:textId="77777777" w:rsidTr="00A03881">
        <w:tc>
          <w:tcPr>
            <w:tcW w:w="988" w:type="pct"/>
            <w:tcBorders>
              <w:top w:val="nil"/>
              <w:left w:val="single" w:sz="4" w:space="0" w:color="auto"/>
              <w:bottom w:val="nil"/>
              <w:right w:val="nil"/>
            </w:tcBorders>
            <w:shd w:val="clear" w:color="000000" w:fill="FFFFFF"/>
            <w:noWrap/>
            <w:vAlign w:val="center"/>
            <w:hideMark/>
          </w:tcPr>
          <w:p w14:paraId="67EDDBA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8" w:type="pct"/>
            <w:tcBorders>
              <w:top w:val="nil"/>
              <w:left w:val="single" w:sz="4" w:space="0" w:color="auto"/>
              <w:bottom w:val="nil"/>
              <w:right w:val="nil"/>
            </w:tcBorders>
            <w:shd w:val="clear" w:color="000000" w:fill="FFFFFF"/>
            <w:noWrap/>
            <w:vAlign w:val="center"/>
            <w:hideMark/>
          </w:tcPr>
          <w:p w14:paraId="2B11C13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1.262</w:t>
            </w:r>
          </w:p>
        </w:tc>
        <w:tc>
          <w:tcPr>
            <w:tcW w:w="508" w:type="pct"/>
            <w:tcBorders>
              <w:top w:val="nil"/>
              <w:left w:val="nil"/>
              <w:bottom w:val="nil"/>
              <w:right w:val="nil"/>
            </w:tcBorders>
            <w:shd w:val="clear" w:color="000000" w:fill="FFFFFF"/>
            <w:noWrap/>
            <w:vAlign w:val="center"/>
            <w:hideMark/>
          </w:tcPr>
          <w:p w14:paraId="632DF90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483</w:t>
            </w:r>
          </w:p>
        </w:tc>
        <w:tc>
          <w:tcPr>
            <w:tcW w:w="508" w:type="pct"/>
            <w:tcBorders>
              <w:top w:val="nil"/>
              <w:left w:val="nil"/>
              <w:bottom w:val="nil"/>
              <w:right w:val="nil"/>
            </w:tcBorders>
            <w:shd w:val="clear" w:color="000000" w:fill="FFFFFF"/>
            <w:noWrap/>
            <w:vAlign w:val="center"/>
            <w:hideMark/>
          </w:tcPr>
          <w:p w14:paraId="75B7552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595</w:t>
            </w:r>
          </w:p>
        </w:tc>
        <w:tc>
          <w:tcPr>
            <w:tcW w:w="508" w:type="pct"/>
            <w:tcBorders>
              <w:top w:val="nil"/>
              <w:left w:val="nil"/>
              <w:bottom w:val="nil"/>
              <w:right w:val="nil"/>
            </w:tcBorders>
            <w:shd w:val="clear" w:color="000000" w:fill="FFFFFF"/>
            <w:noWrap/>
            <w:vAlign w:val="center"/>
            <w:hideMark/>
          </w:tcPr>
          <w:p w14:paraId="154AFB0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08" w:type="pct"/>
            <w:tcBorders>
              <w:top w:val="nil"/>
              <w:left w:val="nil"/>
              <w:bottom w:val="nil"/>
              <w:right w:val="nil"/>
            </w:tcBorders>
            <w:shd w:val="clear" w:color="000000" w:fill="FFFFFF"/>
            <w:noWrap/>
            <w:vAlign w:val="center"/>
            <w:hideMark/>
          </w:tcPr>
          <w:p w14:paraId="788C51F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w:t>
            </w:r>
          </w:p>
        </w:tc>
        <w:tc>
          <w:tcPr>
            <w:tcW w:w="510" w:type="pct"/>
            <w:tcBorders>
              <w:top w:val="nil"/>
              <w:left w:val="nil"/>
              <w:bottom w:val="nil"/>
              <w:right w:val="single" w:sz="4" w:space="0" w:color="auto"/>
            </w:tcBorders>
            <w:shd w:val="clear" w:color="000000" w:fill="FFFFFF"/>
            <w:noWrap/>
            <w:vAlign w:val="center"/>
            <w:hideMark/>
          </w:tcPr>
          <w:p w14:paraId="3A31738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162AEE1F"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76" w:type="pct"/>
            <w:tcBorders>
              <w:top w:val="nil"/>
              <w:left w:val="single" w:sz="4" w:space="0" w:color="auto"/>
              <w:bottom w:val="nil"/>
              <w:right w:val="single" w:sz="4" w:space="0" w:color="auto"/>
            </w:tcBorders>
            <w:shd w:val="clear" w:color="000000" w:fill="FFFFFF"/>
            <w:noWrap/>
            <w:vAlign w:val="center"/>
            <w:hideMark/>
          </w:tcPr>
          <w:p w14:paraId="07FDE57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632C0B" w:rsidRPr="00650EE4" w14:paraId="5E6357E0" w14:textId="77777777" w:rsidTr="00A03881">
        <w:tc>
          <w:tcPr>
            <w:tcW w:w="988" w:type="pct"/>
            <w:tcBorders>
              <w:top w:val="nil"/>
              <w:left w:val="single" w:sz="4" w:space="0" w:color="auto"/>
              <w:bottom w:val="nil"/>
              <w:right w:val="nil"/>
            </w:tcBorders>
            <w:shd w:val="clear" w:color="000000" w:fill="FFFFFF"/>
            <w:noWrap/>
            <w:vAlign w:val="center"/>
            <w:hideMark/>
          </w:tcPr>
          <w:p w14:paraId="7317BD23"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8" w:type="pct"/>
            <w:tcBorders>
              <w:top w:val="nil"/>
              <w:left w:val="single" w:sz="4" w:space="0" w:color="auto"/>
              <w:bottom w:val="nil"/>
              <w:right w:val="nil"/>
            </w:tcBorders>
            <w:shd w:val="clear" w:color="000000" w:fill="FFFFFF"/>
            <w:noWrap/>
            <w:vAlign w:val="center"/>
            <w:hideMark/>
          </w:tcPr>
          <w:p w14:paraId="70BFDA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1.819</w:t>
            </w:r>
          </w:p>
        </w:tc>
        <w:tc>
          <w:tcPr>
            <w:tcW w:w="508" w:type="pct"/>
            <w:tcBorders>
              <w:top w:val="nil"/>
              <w:left w:val="nil"/>
              <w:bottom w:val="nil"/>
              <w:right w:val="nil"/>
            </w:tcBorders>
            <w:shd w:val="clear" w:color="000000" w:fill="FFFFFF"/>
            <w:noWrap/>
            <w:vAlign w:val="center"/>
            <w:hideMark/>
          </w:tcPr>
          <w:p w14:paraId="0B370AE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258</w:t>
            </w:r>
          </w:p>
        </w:tc>
        <w:tc>
          <w:tcPr>
            <w:tcW w:w="508" w:type="pct"/>
            <w:tcBorders>
              <w:top w:val="nil"/>
              <w:left w:val="nil"/>
              <w:bottom w:val="nil"/>
              <w:right w:val="nil"/>
            </w:tcBorders>
            <w:shd w:val="clear" w:color="000000" w:fill="FFFFFF"/>
            <w:noWrap/>
            <w:vAlign w:val="center"/>
            <w:hideMark/>
          </w:tcPr>
          <w:p w14:paraId="59A9369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w:t>
            </w:r>
          </w:p>
        </w:tc>
        <w:tc>
          <w:tcPr>
            <w:tcW w:w="508" w:type="pct"/>
            <w:tcBorders>
              <w:top w:val="nil"/>
              <w:left w:val="nil"/>
              <w:bottom w:val="nil"/>
              <w:right w:val="nil"/>
            </w:tcBorders>
            <w:shd w:val="clear" w:color="000000" w:fill="FFFFFF"/>
            <w:noWrap/>
            <w:vAlign w:val="center"/>
            <w:hideMark/>
          </w:tcPr>
          <w:p w14:paraId="4B9F814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508" w:type="pct"/>
            <w:tcBorders>
              <w:top w:val="nil"/>
              <w:left w:val="nil"/>
              <w:bottom w:val="nil"/>
              <w:right w:val="nil"/>
            </w:tcBorders>
            <w:shd w:val="clear" w:color="000000" w:fill="FFFFFF"/>
            <w:noWrap/>
            <w:vAlign w:val="center"/>
            <w:hideMark/>
          </w:tcPr>
          <w:p w14:paraId="412EDBB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10" w:type="pct"/>
            <w:tcBorders>
              <w:top w:val="nil"/>
              <w:left w:val="nil"/>
              <w:bottom w:val="nil"/>
              <w:right w:val="single" w:sz="4" w:space="0" w:color="auto"/>
            </w:tcBorders>
            <w:shd w:val="clear" w:color="000000" w:fill="FFFFFF"/>
            <w:noWrap/>
            <w:vAlign w:val="center"/>
            <w:hideMark/>
          </w:tcPr>
          <w:p w14:paraId="3DAF659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0CD99D4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76" w:type="pct"/>
            <w:tcBorders>
              <w:top w:val="nil"/>
              <w:left w:val="single" w:sz="4" w:space="0" w:color="auto"/>
              <w:bottom w:val="nil"/>
              <w:right w:val="single" w:sz="4" w:space="0" w:color="auto"/>
            </w:tcBorders>
            <w:shd w:val="clear" w:color="000000" w:fill="FFFFFF"/>
            <w:noWrap/>
            <w:vAlign w:val="center"/>
            <w:hideMark/>
          </w:tcPr>
          <w:p w14:paraId="1373D94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632C0B" w:rsidRPr="00650EE4" w14:paraId="710A4BB6" w14:textId="77777777" w:rsidTr="00A03881">
        <w:tc>
          <w:tcPr>
            <w:tcW w:w="988" w:type="pct"/>
            <w:tcBorders>
              <w:top w:val="nil"/>
              <w:left w:val="single" w:sz="4" w:space="0" w:color="auto"/>
              <w:bottom w:val="nil"/>
              <w:right w:val="nil"/>
            </w:tcBorders>
            <w:shd w:val="clear" w:color="000000" w:fill="FFFFFF"/>
            <w:noWrap/>
            <w:vAlign w:val="center"/>
            <w:hideMark/>
          </w:tcPr>
          <w:p w14:paraId="242F1979"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8" w:type="pct"/>
            <w:tcBorders>
              <w:top w:val="nil"/>
              <w:left w:val="single" w:sz="4" w:space="0" w:color="auto"/>
              <w:bottom w:val="nil"/>
              <w:right w:val="nil"/>
            </w:tcBorders>
            <w:shd w:val="clear" w:color="000000" w:fill="FFFFFF"/>
            <w:noWrap/>
            <w:vAlign w:val="center"/>
            <w:hideMark/>
          </w:tcPr>
          <w:p w14:paraId="3DF0FC6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1.619</w:t>
            </w:r>
          </w:p>
        </w:tc>
        <w:tc>
          <w:tcPr>
            <w:tcW w:w="508" w:type="pct"/>
            <w:tcBorders>
              <w:top w:val="nil"/>
              <w:left w:val="nil"/>
              <w:bottom w:val="nil"/>
              <w:right w:val="nil"/>
            </w:tcBorders>
            <w:shd w:val="clear" w:color="000000" w:fill="FFFFFF"/>
            <w:noWrap/>
            <w:vAlign w:val="center"/>
            <w:hideMark/>
          </w:tcPr>
          <w:p w14:paraId="611056F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w:t>
            </w:r>
          </w:p>
        </w:tc>
        <w:tc>
          <w:tcPr>
            <w:tcW w:w="508" w:type="pct"/>
            <w:tcBorders>
              <w:top w:val="nil"/>
              <w:left w:val="nil"/>
              <w:bottom w:val="nil"/>
              <w:right w:val="nil"/>
            </w:tcBorders>
            <w:shd w:val="clear" w:color="000000" w:fill="FFFFFF"/>
            <w:noWrap/>
            <w:vAlign w:val="center"/>
            <w:hideMark/>
          </w:tcPr>
          <w:p w14:paraId="4AE4D6C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08" w:type="pct"/>
            <w:tcBorders>
              <w:top w:val="nil"/>
              <w:left w:val="nil"/>
              <w:bottom w:val="nil"/>
              <w:right w:val="nil"/>
            </w:tcBorders>
            <w:shd w:val="clear" w:color="000000" w:fill="FFFFFF"/>
            <w:noWrap/>
            <w:vAlign w:val="center"/>
            <w:hideMark/>
          </w:tcPr>
          <w:p w14:paraId="4810B86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c>
          <w:tcPr>
            <w:tcW w:w="508" w:type="pct"/>
            <w:tcBorders>
              <w:top w:val="nil"/>
              <w:left w:val="nil"/>
              <w:bottom w:val="nil"/>
              <w:right w:val="nil"/>
            </w:tcBorders>
            <w:shd w:val="clear" w:color="000000" w:fill="FFFFFF"/>
            <w:noWrap/>
            <w:vAlign w:val="center"/>
            <w:hideMark/>
          </w:tcPr>
          <w:p w14:paraId="448044E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510" w:type="pct"/>
            <w:tcBorders>
              <w:top w:val="nil"/>
              <w:left w:val="nil"/>
              <w:bottom w:val="nil"/>
              <w:right w:val="single" w:sz="4" w:space="0" w:color="auto"/>
            </w:tcBorders>
            <w:shd w:val="clear" w:color="000000" w:fill="FFFFFF"/>
            <w:noWrap/>
            <w:vAlign w:val="center"/>
            <w:hideMark/>
          </w:tcPr>
          <w:p w14:paraId="07DF3B5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19F34228"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76" w:type="pct"/>
            <w:tcBorders>
              <w:top w:val="nil"/>
              <w:left w:val="single" w:sz="4" w:space="0" w:color="auto"/>
              <w:bottom w:val="nil"/>
              <w:right w:val="single" w:sz="4" w:space="0" w:color="auto"/>
            </w:tcBorders>
            <w:shd w:val="clear" w:color="000000" w:fill="FFFFFF"/>
            <w:noWrap/>
            <w:vAlign w:val="center"/>
            <w:hideMark/>
          </w:tcPr>
          <w:p w14:paraId="243DC70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632C0B" w:rsidRPr="00650EE4" w14:paraId="7FF86CC4" w14:textId="77777777" w:rsidTr="00A03881">
        <w:tc>
          <w:tcPr>
            <w:tcW w:w="988" w:type="pct"/>
            <w:tcBorders>
              <w:top w:val="nil"/>
              <w:left w:val="single" w:sz="4" w:space="0" w:color="auto"/>
              <w:bottom w:val="nil"/>
              <w:right w:val="nil"/>
            </w:tcBorders>
            <w:shd w:val="clear" w:color="000000" w:fill="FFFFFF"/>
            <w:noWrap/>
            <w:vAlign w:val="center"/>
            <w:hideMark/>
          </w:tcPr>
          <w:p w14:paraId="330766F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8" w:type="pct"/>
            <w:tcBorders>
              <w:top w:val="nil"/>
              <w:left w:val="single" w:sz="4" w:space="0" w:color="auto"/>
              <w:bottom w:val="single" w:sz="4" w:space="0" w:color="auto"/>
              <w:right w:val="nil"/>
            </w:tcBorders>
            <w:shd w:val="clear" w:color="000000" w:fill="FFFFFF"/>
            <w:noWrap/>
            <w:vAlign w:val="center"/>
            <w:hideMark/>
          </w:tcPr>
          <w:p w14:paraId="3E0640F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932</w:t>
            </w:r>
          </w:p>
        </w:tc>
        <w:tc>
          <w:tcPr>
            <w:tcW w:w="508" w:type="pct"/>
            <w:tcBorders>
              <w:top w:val="nil"/>
              <w:left w:val="nil"/>
              <w:bottom w:val="single" w:sz="4" w:space="0" w:color="auto"/>
              <w:right w:val="nil"/>
            </w:tcBorders>
            <w:shd w:val="clear" w:color="000000" w:fill="FFFFFF"/>
            <w:noWrap/>
            <w:vAlign w:val="center"/>
            <w:hideMark/>
          </w:tcPr>
          <w:p w14:paraId="10F7FE4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264</w:t>
            </w:r>
          </w:p>
        </w:tc>
        <w:tc>
          <w:tcPr>
            <w:tcW w:w="508" w:type="pct"/>
            <w:tcBorders>
              <w:top w:val="nil"/>
              <w:left w:val="nil"/>
              <w:bottom w:val="single" w:sz="4" w:space="0" w:color="auto"/>
              <w:right w:val="nil"/>
            </w:tcBorders>
            <w:shd w:val="clear" w:color="000000" w:fill="FFFFFF"/>
            <w:noWrap/>
            <w:vAlign w:val="center"/>
            <w:hideMark/>
          </w:tcPr>
          <w:p w14:paraId="14E2D7D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508" w:type="pct"/>
            <w:tcBorders>
              <w:top w:val="nil"/>
              <w:left w:val="nil"/>
              <w:bottom w:val="single" w:sz="4" w:space="0" w:color="auto"/>
              <w:right w:val="nil"/>
            </w:tcBorders>
            <w:shd w:val="clear" w:color="000000" w:fill="FFFFFF"/>
            <w:noWrap/>
            <w:vAlign w:val="center"/>
            <w:hideMark/>
          </w:tcPr>
          <w:p w14:paraId="5D800C9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08" w:type="pct"/>
            <w:tcBorders>
              <w:top w:val="nil"/>
              <w:left w:val="nil"/>
              <w:bottom w:val="single" w:sz="4" w:space="0" w:color="auto"/>
              <w:right w:val="nil"/>
            </w:tcBorders>
            <w:shd w:val="clear" w:color="000000" w:fill="FFFFFF"/>
            <w:noWrap/>
            <w:vAlign w:val="center"/>
            <w:hideMark/>
          </w:tcPr>
          <w:p w14:paraId="14706F8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510" w:type="pct"/>
            <w:tcBorders>
              <w:top w:val="nil"/>
              <w:left w:val="nil"/>
              <w:bottom w:val="single" w:sz="4" w:space="0" w:color="auto"/>
              <w:right w:val="single" w:sz="4" w:space="0" w:color="auto"/>
            </w:tcBorders>
            <w:shd w:val="clear" w:color="000000" w:fill="FFFFFF"/>
            <w:noWrap/>
            <w:vAlign w:val="center"/>
            <w:hideMark/>
          </w:tcPr>
          <w:p w14:paraId="3874348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single" w:sz="4" w:space="0" w:color="auto"/>
              <w:right w:val="nil"/>
            </w:tcBorders>
            <w:shd w:val="clear" w:color="000000" w:fill="FFFFFF"/>
            <w:noWrap/>
            <w:vAlign w:val="center"/>
            <w:hideMark/>
          </w:tcPr>
          <w:p w14:paraId="5D0F599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76" w:type="pct"/>
            <w:tcBorders>
              <w:top w:val="nil"/>
              <w:left w:val="single" w:sz="4" w:space="0" w:color="auto"/>
              <w:bottom w:val="single" w:sz="4" w:space="0" w:color="auto"/>
              <w:right w:val="single" w:sz="4" w:space="0" w:color="auto"/>
            </w:tcBorders>
            <w:shd w:val="clear" w:color="000000" w:fill="FFFFFF"/>
            <w:noWrap/>
            <w:vAlign w:val="center"/>
            <w:hideMark/>
          </w:tcPr>
          <w:p w14:paraId="30EC9AB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632C0B" w:rsidRPr="00650EE4" w14:paraId="31C9134A" w14:textId="77777777" w:rsidTr="00A03881">
        <w:tc>
          <w:tcPr>
            <w:tcW w:w="988" w:type="pct"/>
            <w:tcBorders>
              <w:top w:val="single" w:sz="4" w:space="0" w:color="auto"/>
              <w:left w:val="single" w:sz="4" w:space="0" w:color="auto"/>
              <w:bottom w:val="nil"/>
              <w:right w:val="single" w:sz="4" w:space="0" w:color="auto"/>
            </w:tcBorders>
            <w:shd w:val="clear" w:color="000000" w:fill="FFFFFF"/>
            <w:noWrap/>
            <w:vAlign w:val="center"/>
            <w:hideMark/>
          </w:tcPr>
          <w:p w14:paraId="787198EE" w14:textId="77777777" w:rsidR="00632C0B" w:rsidRPr="00650EE4" w:rsidRDefault="00632C0B" w:rsidP="0001744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8" w:type="pct"/>
            <w:tcBorders>
              <w:top w:val="nil"/>
              <w:left w:val="nil"/>
              <w:bottom w:val="nil"/>
              <w:right w:val="nil"/>
            </w:tcBorders>
            <w:shd w:val="clear" w:color="000000" w:fill="FFFFFF"/>
            <w:noWrap/>
            <w:vAlign w:val="center"/>
            <w:hideMark/>
          </w:tcPr>
          <w:p w14:paraId="3904DADF"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132.735</w:t>
            </w:r>
          </w:p>
        </w:tc>
        <w:tc>
          <w:tcPr>
            <w:tcW w:w="508" w:type="pct"/>
            <w:tcBorders>
              <w:top w:val="nil"/>
              <w:left w:val="nil"/>
              <w:bottom w:val="nil"/>
              <w:right w:val="nil"/>
            </w:tcBorders>
            <w:shd w:val="clear" w:color="000000" w:fill="FFFFFF"/>
            <w:noWrap/>
            <w:vAlign w:val="center"/>
            <w:hideMark/>
          </w:tcPr>
          <w:p w14:paraId="0A4D72F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39.466</w:t>
            </w:r>
          </w:p>
        </w:tc>
        <w:tc>
          <w:tcPr>
            <w:tcW w:w="508" w:type="pct"/>
            <w:tcBorders>
              <w:top w:val="nil"/>
              <w:left w:val="nil"/>
              <w:bottom w:val="nil"/>
              <w:right w:val="nil"/>
            </w:tcBorders>
            <w:shd w:val="clear" w:color="000000" w:fill="FFFFFF"/>
            <w:noWrap/>
            <w:vAlign w:val="center"/>
            <w:hideMark/>
          </w:tcPr>
          <w:p w14:paraId="583FE197"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25.524</w:t>
            </w:r>
          </w:p>
        </w:tc>
        <w:tc>
          <w:tcPr>
            <w:tcW w:w="508" w:type="pct"/>
            <w:tcBorders>
              <w:top w:val="nil"/>
              <w:left w:val="nil"/>
              <w:bottom w:val="nil"/>
              <w:right w:val="nil"/>
            </w:tcBorders>
            <w:shd w:val="clear" w:color="000000" w:fill="FFFFFF"/>
            <w:noWrap/>
            <w:vAlign w:val="center"/>
            <w:hideMark/>
          </w:tcPr>
          <w:p w14:paraId="25BE4DB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3.043</w:t>
            </w:r>
          </w:p>
        </w:tc>
        <w:tc>
          <w:tcPr>
            <w:tcW w:w="508" w:type="pct"/>
            <w:tcBorders>
              <w:top w:val="nil"/>
              <w:left w:val="nil"/>
              <w:bottom w:val="nil"/>
              <w:right w:val="nil"/>
            </w:tcBorders>
            <w:shd w:val="clear" w:color="000000" w:fill="FFFFFF"/>
            <w:noWrap/>
            <w:vAlign w:val="center"/>
            <w:hideMark/>
          </w:tcPr>
          <w:p w14:paraId="10B89351"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784</w:t>
            </w:r>
          </w:p>
        </w:tc>
        <w:tc>
          <w:tcPr>
            <w:tcW w:w="510" w:type="pct"/>
            <w:tcBorders>
              <w:top w:val="nil"/>
              <w:left w:val="nil"/>
              <w:bottom w:val="nil"/>
              <w:right w:val="single" w:sz="4" w:space="0" w:color="auto"/>
            </w:tcBorders>
            <w:shd w:val="clear" w:color="000000" w:fill="FFFFFF"/>
            <w:noWrap/>
            <w:vAlign w:val="center"/>
            <w:hideMark/>
          </w:tcPr>
          <w:p w14:paraId="13F84D7D"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120</w:t>
            </w:r>
          </w:p>
        </w:tc>
        <w:tc>
          <w:tcPr>
            <w:tcW w:w="488" w:type="pct"/>
            <w:tcBorders>
              <w:top w:val="nil"/>
              <w:left w:val="nil"/>
              <w:bottom w:val="nil"/>
              <w:right w:val="nil"/>
            </w:tcBorders>
            <w:shd w:val="clear" w:color="000000" w:fill="FFFFFF"/>
            <w:noWrap/>
            <w:vAlign w:val="center"/>
            <w:hideMark/>
          </w:tcPr>
          <w:p w14:paraId="37C17DB1"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76" w:type="pct"/>
            <w:tcBorders>
              <w:top w:val="nil"/>
              <w:left w:val="single" w:sz="4" w:space="0" w:color="auto"/>
              <w:bottom w:val="nil"/>
              <w:right w:val="single" w:sz="4" w:space="0" w:color="auto"/>
            </w:tcBorders>
            <w:shd w:val="clear" w:color="000000" w:fill="FFFFFF"/>
            <w:noWrap/>
            <w:vAlign w:val="center"/>
            <w:hideMark/>
          </w:tcPr>
          <w:p w14:paraId="14FFBB8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32C0B" w:rsidRPr="00650EE4" w14:paraId="239A4B93" w14:textId="77777777" w:rsidTr="00A03881">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F5C60B"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8" w:type="pct"/>
            <w:tcBorders>
              <w:top w:val="single" w:sz="4" w:space="0" w:color="auto"/>
              <w:left w:val="nil"/>
              <w:bottom w:val="single" w:sz="4" w:space="0" w:color="auto"/>
              <w:right w:val="nil"/>
            </w:tcBorders>
            <w:shd w:val="clear" w:color="000000" w:fill="FFFFFF"/>
            <w:noWrap/>
            <w:vAlign w:val="center"/>
            <w:hideMark/>
          </w:tcPr>
          <w:p w14:paraId="34BB446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508" w:type="pct"/>
            <w:tcBorders>
              <w:top w:val="single" w:sz="4" w:space="0" w:color="auto"/>
              <w:left w:val="nil"/>
              <w:bottom w:val="single" w:sz="4" w:space="0" w:color="auto"/>
              <w:right w:val="nil"/>
            </w:tcBorders>
            <w:shd w:val="clear" w:color="000000" w:fill="FFFFFF"/>
            <w:noWrap/>
            <w:vAlign w:val="center"/>
            <w:hideMark/>
          </w:tcPr>
          <w:p w14:paraId="0F3BE3E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08" w:type="pct"/>
            <w:tcBorders>
              <w:top w:val="single" w:sz="4" w:space="0" w:color="auto"/>
              <w:left w:val="nil"/>
              <w:bottom w:val="single" w:sz="4" w:space="0" w:color="auto"/>
              <w:right w:val="nil"/>
            </w:tcBorders>
            <w:shd w:val="clear" w:color="000000" w:fill="FFFFFF"/>
            <w:noWrap/>
            <w:vAlign w:val="center"/>
            <w:hideMark/>
          </w:tcPr>
          <w:p w14:paraId="07A40A5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single" w:sz="4" w:space="0" w:color="auto"/>
              <w:left w:val="nil"/>
              <w:bottom w:val="single" w:sz="4" w:space="0" w:color="auto"/>
              <w:right w:val="nil"/>
            </w:tcBorders>
            <w:shd w:val="clear" w:color="000000" w:fill="FFFFFF"/>
            <w:noWrap/>
            <w:vAlign w:val="center"/>
            <w:hideMark/>
          </w:tcPr>
          <w:p w14:paraId="3B2E50A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8" w:type="pct"/>
            <w:tcBorders>
              <w:top w:val="single" w:sz="4" w:space="0" w:color="auto"/>
              <w:left w:val="nil"/>
              <w:bottom w:val="single" w:sz="4" w:space="0" w:color="auto"/>
              <w:right w:val="nil"/>
            </w:tcBorders>
            <w:shd w:val="clear" w:color="000000" w:fill="FFFFFF"/>
            <w:noWrap/>
            <w:vAlign w:val="center"/>
            <w:hideMark/>
          </w:tcPr>
          <w:p w14:paraId="7AD8D95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0" w:type="pct"/>
            <w:tcBorders>
              <w:top w:val="single" w:sz="4" w:space="0" w:color="auto"/>
              <w:left w:val="nil"/>
              <w:bottom w:val="single" w:sz="4" w:space="0" w:color="auto"/>
              <w:right w:val="single" w:sz="4" w:space="0" w:color="auto"/>
            </w:tcBorders>
            <w:shd w:val="clear" w:color="000000" w:fill="FFFFFF"/>
            <w:noWrap/>
            <w:vAlign w:val="center"/>
            <w:hideMark/>
          </w:tcPr>
          <w:p w14:paraId="6C1744D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single" w:sz="4" w:space="0" w:color="auto"/>
              <w:left w:val="nil"/>
              <w:bottom w:val="single" w:sz="4" w:space="0" w:color="auto"/>
              <w:right w:val="nil"/>
            </w:tcBorders>
            <w:shd w:val="clear" w:color="000000" w:fill="FFFFFF"/>
            <w:noWrap/>
            <w:vAlign w:val="center"/>
            <w:hideMark/>
          </w:tcPr>
          <w:p w14:paraId="53B98CC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B8F6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1520D5B" w14:textId="77777777" w:rsidR="00632C0B" w:rsidRPr="00650EE4" w:rsidRDefault="00632C0B" w:rsidP="00632C0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NTR duomenys (2019.12.31)</w:t>
      </w:r>
    </w:p>
    <w:p w14:paraId="240C57C1" w14:textId="77777777" w:rsidR="001B5AA4" w:rsidRPr="00650EE4" w:rsidRDefault="001B5AA4" w:rsidP="00632C0B">
      <w:pPr>
        <w:spacing w:line="240" w:lineRule="auto"/>
        <w:jc w:val="both"/>
        <w:rPr>
          <w:rFonts w:ascii="Times New Roman" w:hAnsi="Times New Roman"/>
          <w:color w:val="000000" w:themeColor="text1"/>
          <w:szCs w:val="22"/>
        </w:rPr>
      </w:pPr>
    </w:p>
    <w:p w14:paraId="17B8E10E" w14:textId="6156F32C" w:rsidR="00632C0B" w:rsidRPr="00650EE4" w:rsidRDefault="00632C0B" w:rsidP="00632C0B">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Prasčiausio energinio naudingumo pastatai </w:t>
      </w:r>
      <w:r w:rsidR="007A52B6">
        <w:rPr>
          <w:rFonts w:ascii="Times New Roman" w:hAnsi="Times New Roman"/>
          <w:color w:val="000000" w:themeColor="text1"/>
          <w:szCs w:val="22"/>
        </w:rPr>
        <w:t>sudaro vartoja daugiau nei 3/4 p</w:t>
      </w:r>
      <w:r w:rsidRPr="00650EE4">
        <w:rPr>
          <w:rFonts w:ascii="Times New Roman" w:hAnsi="Times New Roman"/>
          <w:color w:val="000000" w:themeColor="text1"/>
          <w:szCs w:val="22"/>
        </w:rPr>
        <w:t>astatų fondo pirminės energijos (žr. lentelę žemiau).</w:t>
      </w:r>
    </w:p>
    <w:p w14:paraId="764A3F4F" w14:textId="77777777" w:rsidR="00DC19AB" w:rsidRPr="00650EE4" w:rsidRDefault="00DC19AB" w:rsidP="00632C0B">
      <w:pPr>
        <w:spacing w:line="240" w:lineRule="auto"/>
        <w:jc w:val="both"/>
        <w:rPr>
          <w:rFonts w:ascii="Times New Roman" w:hAnsi="Times New Roman"/>
          <w:color w:val="000000" w:themeColor="text1"/>
          <w:szCs w:val="22"/>
        </w:rPr>
      </w:pPr>
    </w:p>
    <w:p w14:paraId="5BA7F0C1" w14:textId="1814A487" w:rsidR="00632C0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73" w:name="_Toc67925209"/>
      <w:r w:rsidR="007744C1">
        <w:t>26</w:t>
      </w:r>
      <w:r w:rsidRPr="00650EE4">
        <w:rPr>
          <w:noProof w:val="0"/>
        </w:rPr>
        <w:fldChar w:fldCharType="end"/>
      </w:r>
      <w:r w:rsidR="00632C0B" w:rsidRPr="00650EE4">
        <w:rPr>
          <w:noProof w:val="0"/>
        </w:rPr>
        <w:t xml:space="preserve"> lentelė. Pastatų fondo pirmi</w:t>
      </w:r>
      <w:r w:rsidR="00C72C1E" w:rsidRPr="00650EE4">
        <w:rPr>
          <w:noProof w:val="0"/>
        </w:rPr>
        <w:t xml:space="preserve">nės energijos vartojimas pagal </w:t>
      </w:r>
      <w:r w:rsidR="00D75E7D" w:rsidRPr="00650EE4">
        <w:rPr>
          <w:noProof w:val="0"/>
        </w:rPr>
        <w:t>ENK</w:t>
      </w:r>
      <w:r w:rsidR="00632C0B" w:rsidRPr="00650EE4">
        <w:rPr>
          <w:noProof w:val="0"/>
        </w:rPr>
        <w:t xml:space="preserve"> (</w:t>
      </w:r>
      <w:proofErr w:type="spellStart"/>
      <w:r w:rsidR="00632C0B" w:rsidRPr="00650EE4">
        <w:rPr>
          <w:noProof w:val="0"/>
        </w:rPr>
        <w:t>GWh</w:t>
      </w:r>
      <w:proofErr w:type="spellEnd"/>
      <w:r w:rsidR="00632C0B" w:rsidRPr="00650EE4">
        <w:rPr>
          <w:noProof w:val="0"/>
        </w:rPr>
        <w:t>/metus)</w:t>
      </w:r>
      <w:bookmarkEnd w:id="73"/>
    </w:p>
    <w:tbl>
      <w:tblPr>
        <w:tblW w:w="5000" w:type="pct"/>
        <w:tblLayout w:type="fixed"/>
        <w:tblLook w:val="04A0" w:firstRow="1" w:lastRow="0" w:firstColumn="1" w:lastColumn="0" w:noHBand="0" w:noVBand="1"/>
      </w:tblPr>
      <w:tblGrid>
        <w:gridCol w:w="2138"/>
        <w:gridCol w:w="1102"/>
        <w:gridCol w:w="959"/>
        <w:gridCol w:w="1013"/>
        <w:gridCol w:w="1159"/>
        <w:gridCol w:w="1017"/>
        <w:gridCol w:w="1015"/>
        <w:gridCol w:w="1015"/>
        <w:gridCol w:w="1002"/>
      </w:tblGrid>
      <w:tr w:rsidR="00632C0B" w:rsidRPr="00650EE4" w14:paraId="79DEC9C1" w14:textId="77777777" w:rsidTr="00A03881">
        <w:tc>
          <w:tcPr>
            <w:tcW w:w="1026"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54CC05C3"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06"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05E807"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487" w:type="pct"/>
            <w:vMerge w:val="restart"/>
            <w:tcBorders>
              <w:top w:val="single" w:sz="4" w:space="0" w:color="auto"/>
              <w:left w:val="nil"/>
              <w:bottom w:val="single" w:sz="4" w:space="0" w:color="000000"/>
              <w:right w:val="nil"/>
            </w:tcBorders>
            <w:shd w:val="clear" w:color="000000" w:fill="FFFFFF"/>
            <w:vAlign w:val="center"/>
            <w:hideMark/>
          </w:tcPr>
          <w:p w14:paraId="27A31462"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8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51C427"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632C0B" w:rsidRPr="00650EE4" w14:paraId="15620711" w14:textId="77777777" w:rsidTr="00A03881">
        <w:tc>
          <w:tcPr>
            <w:tcW w:w="1026" w:type="pct"/>
            <w:vMerge/>
            <w:tcBorders>
              <w:top w:val="single" w:sz="4" w:space="0" w:color="auto"/>
              <w:left w:val="single" w:sz="4" w:space="0" w:color="auto"/>
              <w:bottom w:val="single" w:sz="4" w:space="0" w:color="000000"/>
              <w:right w:val="nil"/>
            </w:tcBorders>
            <w:vAlign w:val="center"/>
            <w:hideMark/>
          </w:tcPr>
          <w:p w14:paraId="72EEFD27" w14:textId="77777777" w:rsidR="00632C0B" w:rsidRPr="00650EE4" w:rsidRDefault="00632C0B" w:rsidP="00632C0B">
            <w:pPr>
              <w:spacing w:line="240" w:lineRule="auto"/>
              <w:rPr>
                <w:rFonts w:ascii="Times New Roman" w:eastAsia="Times New Roman" w:hAnsi="Times New Roman"/>
                <w:b/>
                <w:bCs/>
                <w:sz w:val="20"/>
                <w:szCs w:val="20"/>
              </w:rPr>
            </w:pPr>
          </w:p>
        </w:tc>
        <w:tc>
          <w:tcPr>
            <w:tcW w:w="529" w:type="pct"/>
            <w:tcBorders>
              <w:top w:val="nil"/>
              <w:left w:val="single" w:sz="4" w:space="0" w:color="auto"/>
              <w:bottom w:val="single" w:sz="4" w:space="0" w:color="auto"/>
              <w:right w:val="nil"/>
            </w:tcBorders>
            <w:shd w:val="clear" w:color="000000" w:fill="FFFFFF"/>
            <w:vAlign w:val="center"/>
            <w:hideMark/>
          </w:tcPr>
          <w:p w14:paraId="5572ADBD" w14:textId="1673E5EC"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460" w:type="pct"/>
            <w:tcBorders>
              <w:top w:val="nil"/>
              <w:left w:val="nil"/>
              <w:bottom w:val="single" w:sz="4" w:space="0" w:color="auto"/>
              <w:right w:val="nil"/>
            </w:tcBorders>
            <w:shd w:val="clear" w:color="000000" w:fill="FFFFFF"/>
            <w:vAlign w:val="center"/>
            <w:hideMark/>
          </w:tcPr>
          <w:p w14:paraId="2B800D25"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486" w:type="pct"/>
            <w:tcBorders>
              <w:top w:val="nil"/>
              <w:left w:val="nil"/>
              <w:bottom w:val="single" w:sz="4" w:space="0" w:color="auto"/>
              <w:right w:val="nil"/>
            </w:tcBorders>
            <w:shd w:val="clear" w:color="000000" w:fill="FFFFFF"/>
            <w:vAlign w:val="center"/>
            <w:hideMark/>
          </w:tcPr>
          <w:p w14:paraId="6A8503FA"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56" w:type="pct"/>
            <w:tcBorders>
              <w:top w:val="nil"/>
              <w:left w:val="nil"/>
              <w:bottom w:val="single" w:sz="4" w:space="0" w:color="auto"/>
              <w:right w:val="nil"/>
            </w:tcBorders>
            <w:shd w:val="clear" w:color="000000" w:fill="FFFFFF"/>
            <w:vAlign w:val="center"/>
            <w:hideMark/>
          </w:tcPr>
          <w:p w14:paraId="0BF68F3A"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8" w:type="pct"/>
            <w:tcBorders>
              <w:top w:val="nil"/>
              <w:left w:val="nil"/>
              <w:bottom w:val="single" w:sz="4" w:space="0" w:color="auto"/>
              <w:right w:val="nil"/>
            </w:tcBorders>
            <w:shd w:val="clear" w:color="000000" w:fill="FFFFFF"/>
            <w:vAlign w:val="center"/>
            <w:hideMark/>
          </w:tcPr>
          <w:p w14:paraId="0CE14BC9"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7" w:type="pct"/>
            <w:tcBorders>
              <w:top w:val="nil"/>
              <w:left w:val="nil"/>
              <w:bottom w:val="single" w:sz="4" w:space="0" w:color="auto"/>
              <w:right w:val="single" w:sz="4" w:space="0" w:color="auto"/>
            </w:tcBorders>
            <w:shd w:val="clear" w:color="000000" w:fill="FFFFFF"/>
            <w:vAlign w:val="center"/>
            <w:hideMark/>
          </w:tcPr>
          <w:p w14:paraId="3A251BD6"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7" w:type="pct"/>
            <w:vMerge/>
            <w:tcBorders>
              <w:top w:val="single" w:sz="4" w:space="0" w:color="auto"/>
              <w:left w:val="nil"/>
              <w:bottom w:val="single" w:sz="4" w:space="0" w:color="000000"/>
              <w:right w:val="nil"/>
            </w:tcBorders>
            <w:vAlign w:val="center"/>
            <w:hideMark/>
          </w:tcPr>
          <w:p w14:paraId="3CA9B4F6" w14:textId="77777777" w:rsidR="00632C0B" w:rsidRPr="00650EE4" w:rsidRDefault="00632C0B" w:rsidP="00632C0B">
            <w:pPr>
              <w:spacing w:line="240" w:lineRule="auto"/>
              <w:rPr>
                <w:rFonts w:ascii="Times New Roman" w:eastAsia="Times New Roman" w:hAnsi="Times New Roman"/>
                <w:b/>
                <w:bCs/>
                <w:sz w:val="20"/>
                <w:szCs w:val="20"/>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14:paraId="55902180" w14:textId="77777777" w:rsidR="00632C0B" w:rsidRPr="00650EE4" w:rsidRDefault="00632C0B" w:rsidP="00632C0B">
            <w:pPr>
              <w:spacing w:line="240" w:lineRule="auto"/>
              <w:rPr>
                <w:rFonts w:ascii="Times New Roman" w:eastAsia="Times New Roman" w:hAnsi="Times New Roman"/>
                <w:b/>
                <w:bCs/>
                <w:sz w:val="20"/>
                <w:szCs w:val="20"/>
              </w:rPr>
            </w:pPr>
          </w:p>
        </w:tc>
      </w:tr>
      <w:tr w:rsidR="00632C0B" w:rsidRPr="00650EE4" w14:paraId="0F2E0FAA" w14:textId="77777777" w:rsidTr="00A03881">
        <w:tc>
          <w:tcPr>
            <w:tcW w:w="1026" w:type="pct"/>
            <w:tcBorders>
              <w:top w:val="nil"/>
              <w:left w:val="single" w:sz="4" w:space="0" w:color="auto"/>
              <w:bottom w:val="single" w:sz="4" w:space="0" w:color="auto"/>
              <w:right w:val="single" w:sz="4" w:space="0" w:color="auto"/>
            </w:tcBorders>
            <w:shd w:val="clear" w:color="000000" w:fill="F2F2F2"/>
            <w:noWrap/>
            <w:vAlign w:val="center"/>
            <w:hideMark/>
          </w:tcPr>
          <w:p w14:paraId="6CB5C94D"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29" w:type="pct"/>
            <w:tcBorders>
              <w:top w:val="nil"/>
              <w:left w:val="nil"/>
              <w:bottom w:val="single" w:sz="4" w:space="0" w:color="auto"/>
              <w:right w:val="nil"/>
            </w:tcBorders>
            <w:shd w:val="clear" w:color="000000" w:fill="F2F2F2"/>
            <w:noWrap/>
            <w:vAlign w:val="center"/>
            <w:hideMark/>
          </w:tcPr>
          <w:p w14:paraId="14F87CAC"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19.252</w:t>
            </w:r>
          </w:p>
        </w:tc>
        <w:tc>
          <w:tcPr>
            <w:tcW w:w="460" w:type="pct"/>
            <w:tcBorders>
              <w:top w:val="nil"/>
              <w:left w:val="nil"/>
              <w:bottom w:val="single" w:sz="4" w:space="0" w:color="auto"/>
              <w:right w:val="nil"/>
            </w:tcBorders>
            <w:shd w:val="clear" w:color="000000" w:fill="F2F2F2"/>
            <w:noWrap/>
            <w:vAlign w:val="center"/>
            <w:hideMark/>
          </w:tcPr>
          <w:p w14:paraId="1BD382F7"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4.203</w:t>
            </w:r>
          </w:p>
        </w:tc>
        <w:tc>
          <w:tcPr>
            <w:tcW w:w="486" w:type="pct"/>
            <w:tcBorders>
              <w:top w:val="nil"/>
              <w:left w:val="nil"/>
              <w:bottom w:val="single" w:sz="4" w:space="0" w:color="auto"/>
              <w:right w:val="nil"/>
            </w:tcBorders>
            <w:shd w:val="clear" w:color="000000" w:fill="F2F2F2"/>
            <w:noWrap/>
            <w:vAlign w:val="center"/>
            <w:hideMark/>
          </w:tcPr>
          <w:p w14:paraId="1C540537"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2.111</w:t>
            </w:r>
          </w:p>
        </w:tc>
        <w:tc>
          <w:tcPr>
            <w:tcW w:w="556" w:type="pct"/>
            <w:tcBorders>
              <w:top w:val="nil"/>
              <w:left w:val="nil"/>
              <w:bottom w:val="single" w:sz="4" w:space="0" w:color="auto"/>
              <w:right w:val="nil"/>
            </w:tcBorders>
            <w:shd w:val="clear" w:color="000000" w:fill="F2F2F2"/>
            <w:noWrap/>
            <w:vAlign w:val="center"/>
            <w:hideMark/>
          </w:tcPr>
          <w:p w14:paraId="5E58CD65"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187</w:t>
            </w:r>
          </w:p>
        </w:tc>
        <w:tc>
          <w:tcPr>
            <w:tcW w:w="488" w:type="pct"/>
            <w:tcBorders>
              <w:top w:val="nil"/>
              <w:left w:val="nil"/>
              <w:bottom w:val="single" w:sz="4" w:space="0" w:color="auto"/>
              <w:right w:val="nil"/>
            </w:tcBorders>
            <w:shd w:val="clear" w:color="000000" w:fill="F2F2F2"/>
            <w:noWrap/>
            <w:vAlign w:val="center"/>
            <w:hideMark/>
          </w:tcPr>
          <w:p w14:paraId="0FCC814C"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29</w:t>
            </w:r>
          </w:p>
        </w:tc>
        <w:tc>
          <w:tcPr>
            <w:tcW w:w="487" w:type="pct"/>
            <w:tcBorders>
              <w:top w:val="nil"/>
              <w:left w:val="nil"/>
              <w:bottom w:val="single" w:sz="4" w:space="0" w:color="auto"/>
              <w:right w:val="single" w:sz="4" w:space="0" w:color="auto"/>
            </w:tcBorders>
            <w:shd w:val="clear" w:color="000000" w:fill="F2F2F2"/>
            <w:noWrap/>
            <w:vAlign w:val="center"/>
            <w:hideMark/>
          </w:tcPr>
          <w:p w14:paraId="3388FFC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87" w:type="pct"/>
            <w:tcBorders>
              <w:top w:val="nil"/>
              <w:left w:val="nil"/>
              <w:bottom w:val="single" w:sz="4" w:space="0" w:color="auto"/>
              <w:right w:val="nil"/>
            </w:tcBorders>
            <w:shd w:val="clear" w:color="000000" w:fill="F2F2F2"/>
            <w:noWrap/>
            <w:vAlign w:val="center"/>
            <w:hideMark/>
          </w:tcPr>
          <w:p w14:paraId="29C92D7E"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25.783</w:t>
            </w:r>
          </w:p>
        </w:tc>
        <w:tc>
          <w:tcPr>
            <w:tcW w:w="481" w:type="pct"/>
            <w:tcBorders>
              <w:top w:val="nil"/>
              <w:left w:val="single" w:sz="4" w:space="0" w:color="auto"/>
              <w:bottom w:val="single" w:sz="4" w:space="0" w:color="auto"/>
              <w:right w:val="single" w:sz="4" w:space="0" w:color="auto"/>
            </w:tcBorders>
            <w:shd w:val="clear" w:color="000000" w:fill="F2F2F2"/>
            <w:noWrap/>
            <w:vAlign w:val="center"/>
            <w:hideMark/>
          </w:tcPr>
          <w:p w14:paraId="25E2F718"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63%</w:t>
            </w:r>
          </w:p>
        </w:tc>
      </w:tr>
      <w:tr w:rsidR="00632C0B" w:rsidRPr="00650EE4" w14:paraId="1D18C1C7" w14:textId="77777777" w:rsidTr="00A03881">
        <w:tc>
          <w:tcPr>
            <w:tcW w:w="1026" w:type="pct"/>
            <w:tcBorders>
              <w:top w:val="nil"/>
              <w:left w:val="single" w:sz="4" w:space="0" w:color="auto"/>
              <w:bottom w:val="nil"/>
              <w:right w:val="nil"/>
            </w:tcBorders>
            <w:shd w:val="clear" w:color="000000" w:fill="FFFFFF"/>
            <w:noWrap/>
            <w:vAlign w:val="center"/>
            <w:hideMark/>
          </w:tcPr>
          <w:p w14:paraId="751BAC38"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29" w:type="pct"/>
            <w:tcBorders>
              <w:top w:val="nil"/>
              <w:left w:val="single" w:sz="4" w:space="0" w:color="auto"/>
              <w:bottom w:val="nil"/>
              <w:right w:val="nil"/>
            </w:tcBorders>
            <w:shd w:val="clear" w:color="000000" w:fill="FFFFFF"/>
            <w:noWrap/>
            <w:vAlign w:val="center"/>
            <w:hideMark/>
          </w:tcPr>
          <w:p w14:paraId="41AADAC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9.704</w:t>
            </w:r>
          </w:p>
        </w:tc>
        <w:tc>
          <w:tcPr>
            <w:tcW w:w="460" w:type="pct"/>
            <w:tcBorders>
              <w:top w:val="nil"/>
              <w:left w:val="nil"/>
              <w:bottom w:val="nil"/>
              <w:right w:val="nil"/>
            </w:tcBorders>
            <w:shd w:val="clear" w:color="000000" w:fill="FFFFFF"/>
            <w:noWrap/>
            <w:vAlign w:val="center"/>
            <w:hideMark/>
          </w:tcPr>
          <w:p w14:paraId="5297D6A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3.068</w:t>
            </w:r>
          </w:p>
        </w:tc>
        <w:tc>
          <w:tcPr>
            <w:tcW w:w="486" w:type="pct"/>
            <w:tcBorders>
              <w:top w:val="nil"/>
              <w:left w:val="nil"/>
              <w:bottom w:val="nil"/>
              <w:right w:val="nil"/>
            </w:tcBorders>
            <w:shd w:val="clear" w:color="000000" w:fill="FFFFFF"/>
            <w:noWrap/>
            <w:vAlign w:val="center"/>
            <w:hideMark/>
          </w:tcPr>
          <w:p w14:paraId="26121CF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897</w:t>
            </w:r>
          </w:p>
        </w:tc>
        <w:tc>
          <w:tcPr>
            <w:tcW w:w="556" w:type="pct"/>
            <w:tcBorders>
              <w:top w:val="nil"/>
              <w:left w:val="nil"/>
              <w:bottom w:val="nil"/>
              <w:right w:val="nil"/>
            </w:tcBorders>
            <w:shd w:val="clear" w:color="000000" w:fill="FFFFFF"/>
            <w:noWrap/>
            <w:vAlign w:val="center"/>
            <w:hideMark/>
          </w:tcPr>
          <w:p w14:paraId="1FEDB28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488" w:type="pct"/>
            <w:tcBorders>
              <w:top w:val="nil"/>
              <w:left w:val="nil"/>
              <w:bottom w:val="nil"/>
              <w:right w:val="nil"/>
            </w:tcBorders>
            <w:shd w:val="clear" w:color="000000" w:fill="FFFFFF"/>
            <w:noWrap/>
            <w:vAlign w:val="center"/>
            <w:hideMark/>
          </w:tcPr>
          <w:p w14:paraId="7CE5CDF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87" w:type="pct"/>
            <w:tcBorders>
              <w:top w:val="nil"/>
              <w:left w:val="nil"/>
              <w:bottom w:val="nil"/>
              <w:right w:val="single" w:sz="4" w:space="0" w:color="auto"/>
            </w:tcBorders>
            <w:shd w:val="clear" w:color="000000" w:fill="FFFFFF"/>
            <w:noWrap/>
            <w:vAlign w:val="center"/>
            <w:hideMark/>
          </w:tcPr>
          <w:p w14:paraId="171C358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303F6FE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13.806</w:t>
            </w:r>
          </w:p>
        </w:tc>
        <w:tc>
          <w:tcPr>
            <w:tcW w:w="481" w:type="pct"/>
            <w:tcBorders>
              <w:top w:val="nil"/>
              <w:left w:val="single" w:sz="4" w:space="0" w:color="auto"/>
              <w:bottom w:val="nil"/>
              <w:right w:val="single" w:sz="4" w:space="0" w:color="auto"/>
            </w:tcBorders>
            <w:shd w:val="clear" w:color="000000" w:fill="FFFFFF"/>
            <w:noWrap/>
            <w:vAlign w:val="center"/>
            <w:hideMark/>
          </w:tcPr>
          <w:p w14:paraId="0CB529F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632C0B" w:rsidRPr="00650EE4" w14:paraId="4AECE1A3" w14:textId="77777777" w:rsidTr="00A03881">
        <w:tc>
          <w:tcPr>
            <w:tcW w:w="1026" w:type="pct"/>
            <w:tcBorders>
              <w:top w:val="nil"/>
              <w:left w:val="single" w:sz="4" w:space="0" w:color="auto"/>
              <w:bottom w:val="nil"/>
              <w:right w:val="nil"/>
            </w:tcBorders>
            <w:shd w:val="clear" w:color="000000" w:fill="FFFFFF"/>
            <w:noWrap/>
            <w:vAlign w:val="center"/>
            <w:hideMark/>
          </w:tcPr>
          <w:p w14:paraId="59CEB43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29" w:type="pct"/>
            <w:tcBorders>
              <w:top w:val="nil"/>
              <w:left w:val="single" w:sz="4" w:space="0" w:color="auto"/>
              <w:bottom w:val="nil"/>
              <w:right w:val="nil"/>
            </w:tcBorders>
            <w:shd w:val="clear" w:color="000000" w:fill="FFFFFF"/>
            <w:noWrap/>
            <w:vAlign w:val="center"/>
            <w:hideMark/>
          </w:tcPr>
          <w:p w14:paraId="69E4F31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9.548</w:t>
            </w:r>
          </w:p>
        </w:tc>
        <w:tc>
          <w:tcPr>
            <w:tcW w:w="460" w:type="pct"/>
            <w:tcBorders>
              <w:top w:val="nil"/>
              <w:left w:val="nil"/>
              <w:bottom w:val="nil"/>
              <w:right w:val="nil"/>
            </w:tcBorders>
            <w:shd w:val="clear" w:color="000000" w:fill="FFFFFF"/>
            <w:noWrap/>
            <w:vAlign w:val="center"/>
            <w:hideMark/>
          </w:tcPr>
          <w:p w14:paraId="0F4F2B1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1.135</w:t>
            </w:r>
          </w:p>
        </w:tc>
        <w:tc>
          <w:tcPr>
            <w:tcW w:w="486" w:type="pct"/>
            <w:tcBorders>
              <w:top w:val="nil"/>
              <w:left w:val="nil"/>
              <w:bottom w:val="nil"/>
              <w:right w:val="nil"/>
            </w:tcBorders>
            <w:shd w:val="clear" w:color="000000" w:fill="FFFFFF"/>
            <w:noWrap/>
            <w:vAlign w:val="center"/>
            <w:hideMark/>
          </w:tcPr>
          <w:p w14:paraId="6B3450B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1.213</w:t>
            </w:r>
          </w:p>
        </w:tc>
        <w:tc>
          <w:tcPr>
            <w:tcW w:w="556" w:type="pct"/>
            <w:tcBorders>
              <w:top w:val="nil"/>
              <w:left w:val="nil"/>
              <w:bottom w:val="nil"/>
              <w:right w:val="nil"/>
            </w:tcBorders>
            <w:shd w:val="clear" w:color="000000" w:fill="FFFFFF"/>
            <w:noWrap/>
            <w:vAlign w:val="center"/>
            <w:hideMark/>
          </w:tcPr>
          <w:p w14:paraId="5108798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w:t>
            </w:r>
          </w:p>
        </w:tc>
        <w:tc>
          <w:tcPr>
            <w:tcW w:w="488" w:type="pct"/>
            <w:tcBorders>
              <w:top w:val="nil"/>
              <w:left w:val="nil"/>
              <w:bottom w:val="nil"/>
              <w:right w:val="nil"/>
            </w:tcBorders>
            <w:shd w:val="clear" w:color="000000" w:fill="FFFFFF"/>
            <w:noWrap/>
            <w:vAlign w:val="center"/>
            <w:hideMark/>
          </w:tcPr>
          <w:p w14:paraId="4D2A369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487" w:type="pct"/>
            <w:tcBorders>
              <w:top w:val="nil"/>
              <w:left w:val="nil"/>
              <w:bottom w:val="nil"/>
              <w:right w:val="single" w:sz="4" w:space="0" w:color="auto"/>
            </w:tcBorders>
            <w:shd w:val="clear" w:color="000000" w:fill="FFFFFF"/>
            <w:noWrap/>
            <w:vAlign w:val="center"/>
            <w:hideMark/>
          </w:tcPr>
          <w:p w14:paraId="677CE17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7" w:type="pct"/>
            <w:tcBorders>
              <w:top w:val="nil"/>
              <w:left w:val="nil"/>
              <w:bottom w:val="nil"/>
              <w:right w:val="nil"/>
            </w:tcBorders>
            <w:shd w:val="clear" w:color="000000" w:fill="FFFFFF"/>
            <w:noWrap/>
            <w:vAlign w:val="center"/>
            <w:hideMark/>
          </w:tcPr>
          <w:p w14:paraId="3CE2B5A6"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11.977</w:t>
            </w:r>
          </w:p>
        </w:tc>
        <w:tc>
          <w:tcPr>
            <w:tcW w:w="481" w:type="pct"/>
            <w:tcBorders>
              <w:top w:val="nil"/>
              <w:left w:val="single" w:sz="4" w:space="0" w:color="auto"/>
              <w:bottom w:val="nil"/>
              <w:right w:val="single" w:sz="4" w:space="0" w:color="auto"/>
            </w:tcBorders>
            <w:shd w:val="clear" w:color="000000" w:fill="FFFFFF"/>
            <w:noWrap/>
            <w:vAlign w:val="center"/>
            <w:hideMark/>
          </w:tcPr>
          <w:p w14:paraId="605F813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632C0B" w:rsidRPr="00650EE4" w14:paraId="0B7CC0C5" w14:textId="77777777" w:rsidTr="00A03881">
        <w:tc>
          <w:tcPr>
            <w:tcW w:w="102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990F11"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29" w:type="pct"/>
            <w:tcBorders>
              <w:top w:val="single" w:sz="4" w:space="0" w:color="auto"/>
              <w:left w:val="nil"/>
              <w:bottom w:val="single" w:sz="4" w:space="0" w:color="auto"/>
              <w:right w:val="nil"/>
            </w:tcBorders>
            <w:shd w:val="clear" w:color="000000" w:fill="F2F2F2"/>
            <w:noWrap/>
            <w:vAlign w:val="center"/>
            <w:hideMark/>
          </w:tcPr>
          <w:p w14:paraId="16E3EBC0"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12.339</w:t>
            </w:r>
          </w:p>
        </w:tc>
        <w:tc>
          <w:tcPr>
            <w:tcW w:w="460" w:type="pct"/>
            <w:tcBorders>
              <w:top w:val="single" w:sz="4" w:space="0" w:color="auto"/>
              <w:left w:val="nil"/>
              <w:bottom w:val="single" w:sz="4" w:space="0" w:color="auto"/>
              <w:right w:val="nil"/>
            </w:tcBorders>
            <w:shd w:val="clear" w:color="000000" w:fill="F2F2F2"/>
            <w:noWrap/>
            <w:vAlign w:val="center"/>
            <w:hideMark/>
          </w:tcPr>
          <w:p w14:paraId="40D7DFDE"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1.176</w:t>
            </w:r>
          </w:p>
        </w:tc>
        <w:tc>
          <w:tcPr>
            <w:tcW w:w="486" w:type="pct"/>
            <w:tcBorders>
              <w:top w:val="single" w:sz="4" w:space="0" w:color="auto"/>
              <w:left w:val="nil"/>
              <w:bottom w:val="single" w:sz="4" w:space="0" w:color="auto"/>
              <w:right w:val="nil"/>
            </w:tcBorders>
            <w:shd w:val="clear" w:color="000000" w:fill="F2F2F2"/>
            <w:noWrap/>
            <w:vAlign w:val="center"/>
            <w:hideMark/>
          </w:tcPr>
          <w:p w14:paraId="34B42D8D"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1.300</w:t>
            </w:r>
          </w:p>
        </w:tc>
        <w:tc>
          <w:tcPr>
            <w:tcW w:w="556" w:type="pct"/>
            <w:tcBorders>
              <w:top w:val="single" w:sz="4" w:space="0" w:color="auto"/>
              <w:left w:val="nil"/>
              <w:bottom w:val="single" w:sz="4" w:space="0" w:color="auto"/>
              <w:right w:val="nil"/>
            </w:tcBorders>
            <w:shd w:val="clear" w:color="000000" w:fill="F2F2F2"/>
            <w:noWrap/>
            <w:vAlign w:val="center"/>
            <w:hideMark/>
          </w:tcPr>
          <w:p w14:paraId="7F445542"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149</w:t>
            </w:r>
          </w:p>
        </w:tc>
        <w:tc>
          <w:tcPr>
            <w:tcW w:w="488" w:type="pct"/>
            <w:tcBorders>
              <w:top w:val="single" w:sz="4" w:space="0" w:color="auto"/>
              <w:left w:val="nil"/>
              <w:bottom w:val="single" w:sz="4" w:space="0" w:color="auto"/>
              <w:right w:val="nil"/>
            </w:tcBorders>
            <w:shd w:val="clear" w:color="000000" w:fill="F2F2F2"/>
            <w:noWrap/>
            <w:vAlign w:val="center"/>
            <w:hideMark/>
          </w:tcPr>
          <w:p w14:paraId="7B87B969"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55</w:t>
            </w:r>
          </w:p>
        </w:tc>
        <w:tc>
          <w:tcPr>
            <w:tcW w:w="487" w:type="pct"/>
            <w:tcBorders>
              <w:top w:val="single" w:sz="4" w:space="0" w:color="auto"/>
              <w:left w:val="nil"/>
              <w:bottom w:val="single" w:sz="4" w:space="0" w:color="auto"/>
              <w:right w:val="single" w:sz="4" w:space="0" w:color="auto"/>
            </w:tcBorders>
            <w:shd w:val="clear" w:color="000000" w:fill="F2F2F2"/>
            <w:noWrap/>
            <w:vAlign w:val="center"/>
            <w:hideMark/>
          </w:tcPr>
          <w:p w14:paraId="20E0FBD7"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w:t>
            </w:r>
          </w:p>
        </w:tc>
        <w:tc>
          <w:tcPr>
            <w:tcW w:w="487" w:type="pct"/>
            <w:tcBorders>
              <w:top w:val="single" w:sz="4" w:space="0" w:color="auto"/>
              <w:left w:val="nil"/>
              <w:bottom w:val="single" w:sz="4" w:space="0" w:color="auto"/>
              <w:right w:val="nil"/>
            </w:tcBorders>
            <w:shd w:val="clear" w:color="000000" w:fill="F2F2F2"/>
            <w:noWrap/>
            <w:vAlign w:val="center"/>
            <w:hideMark/>
          </w:tcPr>
          <w:p w14:paraId="722A22F8"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15.031</w:t>
            </w:r>
          </w:p>
        </w:tc>
        <w:tc>
          <w:tcPr>
            <w:tcW w:w="48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8C8951"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37%</w:t>
            </w:r>
          </w:p>
        </w:tc>
      </w:tr>
      <w:tr w:rsidR="00632C0B" w:rsidRPr="00650EE4" w14:paraId="70D71F36" w14:textId="77777777" w:rsidTr="00A03881">
        <w:tc>
          <w:tcPr>
            <w:tcW w:w="1026" w:type="pct"/>
            <w:tcBorders>
              <w:top w:val="nil"/>
              <w:left w:val="single" w:sz="4" w:space="0" w:color="auto"/>
              <w:bottom w:val="nil"/>
              <w:right w:val="nil"/>
            </w:tcBorders>
            <w:shd w:val="clear" w:color="000000" w:fill="FFFFFF"/>
            <w:noWrap/>
            <w:vAlign w:val="center"/>
            <w:hideMark/>
          </w:tcPr>
          <w:p w14:paraId="4BFBFEF6"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29" w:type="pct"/>
            <w:tcBorders>
              <w:top w:val="nil"/>
              <w:left w:val="single" w:sz="4" w:space="0" w:color="auto"/>
              <w:bottom w:val="nil"/>
              <w:right w:val="nil"/>
            </w:tcBorders>
            <w:shd w:val="clear" w:color="000000" w:fill="FFFFFF"/>
            <w:noWrap/>
            <w:vAlign w:val="center"/>
            <w:hideMark/>
          </w:tcPr>
          <w:p w14:paraId="1D71027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6.552</w:t>
            </w:r>
          </w:p>
        </w:tc>
        <w:tc>
          <w:tcPr>
            <w:tcW w:w="460" w:type="pct"/>
            <w:tcBorders>
              <w:top w:val="nil"/>
              <w:left w:val="nil"/>
              <w:bottom w:val="nil"/>
              <w:right w:val="nil"/>
            </w:tcBorders>
            <w:shd w:val="clear" w:color="000000" w:fill="FFFFFF"/>
            <w:noWrap/>
            <w:vAlign w:val="center"/>
            <w:hideMark/>
          </w:tcPr>
          <w:p w14:paraId="1377E2E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252</w:t>
            </w:r>
          </w:p>
        </w:tc>
        <w:tc>
          <w:tcPr>
            <w:tcW w:w="486" w:type="pct"/>
            <w:tcBorders>
              <w:top w:val="nil"/>
              <w:left w:val="nil"/>
              <w:bottom w:val="nil"/>
              <w:right w:val="nil"/>
            </w:tcBorders>
            <w:shd w:val="clear" w:color="000000" w:fill="FFFFFF"/>
            <w:noWrap/>
            <w:vAlign w:val="center"/>
            <w:hideMark/>
          </w:tcPr>
          <w:p w14:paraId="794770D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379</w:t>
            </w:r>
          </w:p>
        </w:tc>
        <w:tc>
          <w:tcPr>
            <w:tcW w:w="556" w:type="pct"/>
            <w:tcBorders>
              <w:top w:val="nil"/>
              <w:left w:val="nil"/>
              <w:bottom w:val="nil"/>
              <w:right w:val="nil"/>
            </w:tcBorders>
            <w:shd w:val="clear" w:color="000000" w:fill="FFFFFF"/>
            <w:noWrap/>
            <w:vAlign w:val="center"/>
            <w:hideMark/>
          </w:tcPr>
          <w:p w14:paraId="44C083D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488" w:type="pct"/>
            <w:tcBorders>
              <w:top w:val="nil"/>
              <w:left w:val="nil"/>
              <w:bottom w:val="nil"/>
              <w:right w:val="nil"/>
            </w:tcBorders>
            <w:shd w:val="clear" w:color="000000" w:fill="FFFFFF"/>
            <w:noWrap/>
            <w:vAlign w:val="center"/>
            <w:hideMark/>
          </w:tcPr>
          <w:p w14:paraId="288E3DF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487" w:type="pct"/>
            <w:tcBorders>
              <w:top w:val="nil"/>
              <w:left w:val="nil"/>
              <w:bottom w:val="nil"/>
              <w:right w:val="single" w:sz="4" w:space="0" w:color="auto"/>
            </w:tcBorders>
            <w:shd w:val="clear" w:color="000000" w:fill="FFFFFF"/>
            <w:noWrap/>
            <w:vAlign w:val="center"/>
            <w:hideMark/>
          </w:tcPr>
          <w:p w14:paraId="73EB564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87" w:type="pct"/>
            <w:tcBorders>
              <w:top w:val="nil"/>
              <w:left w:val="nil"/>
              <w:bottom w:val="nil"/>
              <w:right w:val="nil"/>
            </w:tcBorders>
            <w:shd w:val="clear" w:color="000000" w:fill="FFFFFF"/>
            <w:noWrap/>
            <w:vAlign w:val="center"/>
            <w:hideMark/>
          </w:tcPr>
          <w:p w14:paraId="26593104"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7.267</w:t>
            </w:r>
          </w:p>
        </w:tc>
        <w:tc>
          <w:tcPr>
            <w:tcW w:w="481" w:type="pct"/>
            <w:tcBorders>
              <w:top w:val="nil"/>
              <w:left w:val="single" w:sz="4" w:space="0" w:color="auto"/>
              <w:bottom w:val="nil"/>
              <w:right w:val="single" w:sz="4" w:space="0" w:color="auto"/>
            </w:tcBorders>
            <w:shd w:val="clear" w:color="000000" w:fill="FFFFFF"/>
            <w:noWrap/>
            <w:vAlign w:val="center"/>
            <w:hideMark/>
          </w:tcPr>
          <w:p w14:paraId="46BA36D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632C0B" w:rsidRPr="00650EE4" w14:paraId="1F0D5B73" w14:textId="77777777" w:rsidTr="00A03881">
        <w:tc>
          <w:tcPr>
            <w:tcW w:w="1026" w:type="pct"/>
            <w:tcBorders>
              <w:top w:val="nil"/>
              <w:left w:val="single" w:sz="4" w:space="0" w:color="auto"/>
              <w:bottom w:val="nil"/>
              <w:right w:val="nil"/>
            </w:tcBorders>
            <w:shd w:val="clear" w:color="000000" w:fill="FFFFFF"/>
            <w:noWrap/>
            <w:vAlign w:val="center"/>
            <w:hideMark/>
          </w:tcPr>
          <w:p w14:paraId="07D5488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29" w:type="pct"/>
            <w:tcBorders>
              <w:top w:val="nil"/>
              <w:left w:val="single" w:sz="4" w:space="0" w:color="auto"/>
              <w:bottom w:val="nil"/>
              <w:right w:val="nil"/>
            </w:tcBorders>
            <w:shd w:val="clear" w:color="000000" w:fill="FFFFFF"/>
            <w:noWrap/>
            <w:vAlign w:val="center"/>
            <w:hideMark/>
          </w:tcPr>
          <w:p w14:paraId="1C4C9B9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1.810</w:t>
            </w:r>
          </w:p>
        </w:tc>
        <w:tc>
          <w:tcPr>
            <w:tcW w:w="460" w:type="pct"/>
            <w:tcBorders>
              <w:top w:val="nil"/>
              <w:left w:val="nil"/>
              <w:bottom w:val="nil"/>
              <w:right w:val="nil"/>
            </w:tcBorders>
            <w:shd w:val="clear" w:color="000000" w:fill="FFFFFF"/>
            <w:noWrap/>
            <w:vAlign w:val="center"/>
            <w:hideMark/>
          </w:tcPr>
          <w:p w14:paraId="41F9D84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486" w:type="pct"/>
            <w:tcBorders>
              <w:top w:val="nil"/>
              <w:left w:val="nil"/>
              <w:bottom w:val="nil"/>
              <w:right w:val="nil"/>
            </w:tcBorders>
            <w:shd w:val="clear" w:color="000000" w:fill="FFFFFF"/>
            <w:noWrap/>
            <w:vAlign w:val="center"/>
            <w:hideMark/>
          </w:tcPr>
          <w:p w14:paraId="28EC0A1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556" w:type="pct"/>
            <w:tcBorders>
              <w:top w:val="nil"/>
              <w:left w:val="nil"/>
              <w:bottom w:val="nil"/>
              <w:right w:val="nil"/>
            </w:tcBorders>
            <w:shd w:val="clear" w:color="000000" w:fill="FFFFFF"/>
            <w:noWrap/>
            <w:vAlign w:val="center"/>
            <w:hideMark/>
          </w:tcPr>
          <w:p w14:paraId="024CFC5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488" w:type="pct"/>
            <w:tcBorders>
              <w:top w:val="nil"/>
              <w:left w:val="nil"/>
              <w:bottom w:val="nil"/>
              <w:right w:val="nil"/>
            </w:tcBorders>
            <w:shd w:val="clear" w:color="000000" w:fill="FFFFFF"/>
            <w:noWrap/>
            <w:vAlign w:val="center"/>
            <w:hideMark/>
          </w:tcPr>
          <w:p w14:paraId="5E78539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87" w:type="pct"/>
            <w:tcBorders>
              <w:top w:val="nil"/>
              <w:left w:val="nil"/>
              <w:bottom w:val="nil"/>
              <w:right w:val="single" w:sz="4" w:space="0" w:color="auto"/>
            </w:tcBorders>
            <w:shd w:val="clear" w:color="000000" w:fill="FFFFFF"/>
            <w:noWrap/>
            <w:vAlign w:val="center"/>
            <w:hideMark/>
          </w:tcPr>
          <w:p w14:paraId="492CA3F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509B748D"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2.179</w:t>
            </w:r>
          </w:p>
        </w:tc>
        <w:tc>
          <w:tcPr>
            <w:tcW w:w="481" w:type="pct"/>
            <w:tcBorders>
              <w:top w:val="nil"/>
              <w:left w:val="single" w:sz="4" w:space="0" w:color="auto"/>
              <w:bottom w:val="nil"/>
              <w:right w:val="single" w:sz="4" w:space="0" w:color="auto"/>
            </w:tcBorders>
            <w:shd w:val="clear" w:color="000000" w:fill="FFFFFF"/>
            <w:noWrap/>
            <w:vAlign w:val="center"/>
            <w:hideMark/>
          </w:tcPr>
          <w:p w14:paraId="76D3310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632C0B" w:rsidRPr="00650EE4" w14:paraId="7C8C2D20" w14:textId="77777777" w:rsidTr="00A03881">
        <w:tc>
          <w:tcPr>
            <w:tcW w:w="1026" w:type="pct"/>
            <w:tcBorders>
              <w:top w:val="nil"/>
              <w:left w:val="single" w:sz="4" w:space="0" w:color="auto"/>
              <w:bottom w:val="nil"/>
              <w:right w:val="nil"/>
            </w:tcBorders>
            <w:shd w:val="clear" w:color="000000" w:fill="FFFFFF"/>
            <w:noWrap/>
            <w:vAlign w:val="center"/>
            <w:hideMark/>
          </w:tcPr>
          <w:p w14:paraId="5E7A0658"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29" w:type="pct"/>
            <w:tcBorders>
              <w:top w:val="nil"/>
              <w:left w:val="single" w:sz="4" w:space="0" w:color="auto"/>
              <w:bottom w:val="nil"/>
              <w:right w:val="nil"/>
            </w:tcBorders>
            <w:shd w:val="clear" w:color="000000" w:fill="FFFFFF"/>
            <w:noWrap/>
            <w:vAlign w:val="center"/>
            <w:hideMark/>
          </w:tcPr>
          <w:p w14:paraId="0A52475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1.216</w:t>
            </w:r>
          </w:p>
        </w:tc>
        <w:tc>
          <w:tcPr>
            <w:tcW w:w="460" w:type="pct"/>
            <w:tcBorders>
              <w:top w:val="nil"/>
              <w:left w:val="nil"/>
              <w:bottom w:val="nil"/>
              <w:right w:val="nil"/>
            </w:tcBorders>
            <w:shd w:val="clear" w:color="000000" w:fill="FFFFFF"/>
            <w:noWrap/>
            <w:vAlign w:val="center"/>
            <w:hideMark/>
          </w:tcPr>
          <w:p w14:paraId="1186D71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256</w:t>
            </w:r>
          </w:p>
        </w:tc>
        <w:tc>
          <w:tcPr>
            <w:tcW w:w="486" w:type="pct"/>
            <w:tcBorders>
              <w:top w:val="nil"/>
              <w:left w:val="nil"/>
              <w:bottom w:val="nil"/>
              <w:right w:val="nil"/>
            </w:tcBorders>
            <w:shd w:val="clear" w:color="000000" w:fill="FFFFFF"/>
            <w:noWrap/>
            <w:vAlign w:val="center"/>
            <w:hideMark/>
          </w:tcPr>
          <w:p w14:paraId="7CF6D0C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w:t>
            </w:r>
          </w:p>
        </w:tc>
        <w:tc>
          <w:tcPr>
            <w:tcW w:w="556" w:type="pct"/>
            <w:tcBorders>
              <w:top w:val="nil"/>
              <w:left w:val="nil"/>
              <w:bottom w:val="nil"/>
              <w:right w:val="nil"/>
            </w:tcBorders>
            <w:shd w:val="clear" w:color="000000" w:fill="FFFFFF"/>
            <w:noWrap/>
            <w:vAlign w:val="center"/>
            <w:hideMark/>
          </w:tcPr>
          <w:p w14:paraId="23B3E49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47564D2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7" w:type="pct"/>
            <w:tcBorders>
              <w:top w:val="nil"/>
              <w:left w:val="nil"/>
              <w:bottom w:val="nil"/>
              <w:right w:val="single" w:sz="4" w:space="0" w:color="auto"/>
            </w:tcBorders>
            <w:shd w:val="clear" w:color="000000" w:fill="FFFFFF"/>
            <w:noWrap/>
            <w:vAlign w:val="center"/>
            <w:hideMark/>
          </w:tcPr>
          <w:p w14:paraId="54DA9D2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61CB7552"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1.599</w:t>
            </w:r>
          </w:p>
        </w:tc>
        <w:tc>
          <w:tcPr>
            <w:tcW w:w="481" w:type="pct"/>
            <w:tcBorders>
              <w:top w:val="nil"/>
              <w:left w:val="single" w:sz="4" w:space="0" w:color="auto"/>
              <w:bottom w:val="nil"/>
              <w:right w:val="single" w:sz="4" w:space="0" w:color="auto"/>
            </w:tcBorders>
            <w:shd w:val="clear" w:color="000000" w:fill="FFFFFF"/>
            <w:noWrap/>
            <w:vAlign w:val="center"/>
            <w:hideMark/>
          </w:tcPr>
          <w:p w14:paraId="5560C5A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r>
      <w:tr w:rsidR="00632C0B" w:rsidRPr="00650EE4" w14:paraId="36E80263" w14:textId="77777777" w:rsidTr="00A03881">
        <w:tc>
          <w:tcPr>
            <w:tcW w:w="1026" w:type="pct"/>
            <w:tcBorders>
              <w:top w:val="nil"/>
              <w:left w:val="single" w:sz="4" w:space="0" w:color="auto"/>
              <w:bottom w:val="nil"/>
              <w:right w:val="nil"/>
            </w:tcBorders>
            <w:shd w:val="clear" w:color="000000" w:fill="FFFFFF"/>
            <w:noWrap/>
            <w:vAlign w:val="center"/>
            <w:hideMark/>
          </w:tcPr>
          <w:p w14:paraId="28AC1611"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29" w:type="pct"/>
            <w:tcBorders>
              <w:top w:val="nil"/>
              <w:left w:val="single" w:sz="4" w:space="0" w:color="auto"/>
              <w:bottom w:val="nil"/>
              <w:right w:val="nil"/>
            </w:tcBorders>
            <w:shd w:val="clear" w:color="000000" w:fill="FFFFFF"/>
            <w:noWrap/>
            <w:vAlign w:val="center"/>
            <w:hideMark/>
          </w:tcPr>
          <w:p w14:paraId="6CD7645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858</w:t>
            </w:r>
          </w:p>
        </w:tc>
        <w:tc>
          <w:tcPr>
            <w:tcW w:w="460" w:type="pct"/>
            <w:tcBorders>
              <w:top w:val="nil"/>
              <w:left w:val="nil"/>
              <w:bottom w:val="nil"/>
              <w:right w:val="nil"/>
            </w:tcBorders>
            <w:shd w:val="clear" w:color="000000" w:fill="FFFFFF"/>
            <w:noWrap/>
            <w:vAlign w:val="center"/>
            <w:hideMark/>
          </w:tcPr>
          <w:p w14:paraId="1E303E9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486" w:type="pct"/>
            <w:tcBorders>
              <w:top w:val="nil"/>
              <w:left w:val="nil"/>
              <w:bottom w:val="nil"/>
              <w:right w:val="nil"/>
            </w:tcBorders>
            <w:shd w:val="clear" w:color="000000" w:fill="FFFFFF"/>
            <w:noWrap/>
            <w:vAlign w:val="center"/>
            <w:hideMark/>
          </w:tcPr>
          <w:p w14:paraId="3BDEAF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326</w:t>
            </w:r>
          </w:p>
        </w:tc>
        <w:tc>
          <w:tcPr>
            <w:tcW w:w="556" w:type="pct"/>
            <w:tcBorders>
              <w:top w:val="nil"/>
              <w:left w:val="nil"/>
              <w:bottom w:val="nil"/>
              <w:right w:val="nil"/>
            </w:tcBorders>
            <w:shd w:val="clear" w:color="000000" w:fill="FFFFFF"/>
            <w:noWrap/>
            <w:vAlign w:val="center"/>
            <w:hideMark/>
          </w:tcPr>
          <w:p w14:paraId="6908503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88" w:type="pct"/>
            <w:tcBorders>
              <w:top w:val="nil"/>
              <w:left w:val="nil"/>
              <w:bottom w:val="nil"/>
              <w:right w:val="nil"/>
            </w:tcBorders>
            <w:shd w:val="clear" w:color="000000" w:fill="FFFFFF"/>
            <w:noWrap/>
            <w:vAlign w:val="center"/>
            <w:hideMark/>
          </w:tcPr>
          <w:p w14:paraId="7EFAC33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87" w:type="pct"/>
            <w:tcBorders>
              <w:top w:val="nil"/>
              <w:left w:val="nil"/>
              <w:bottom w:val="nil"/>
              <w:right w:val="single" w:sz="4" w:space="0" w:color="auto"/>
            </w:tcBorders>
            <w:shd w:val="clear" w:color="000000" w:fill="FFFFFF"/>
            <w:noWrap/>
            <w:vAlign w:val="center"/>
            <w:hideMark/>
          </w:tcPr>
          <w:p w14:paraId="752028B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6DC7BBFD"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1.361</w:t>
            </w:r>
          </w:p>
        </w:tc>
        <w:tc>
          <w:tcPr>
            <w:tcW w:w="481" w:type="pct"/>
            <w:tcBorders>
              <w:top w:val="nil"/>
              <w:left w:val="single" w:sz="4" w:space="0" w:color="auto"/>
              <w:bottom w:val="nil"/>
              <w:right w:val="single" w:sz="4" w:space="0" w:color="auto"/>
            </w:tcBorders>
            <w:shd w:val="clear" w:color="000000" w:fill="FFFFFF"/>
            <w:noWrap/>
            <w:vAlign w:val="center"/>
            <w:hideMark/>
          </w:tcPr>
          <w:p w14:paraId="2283D75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r>
      <w:tr w:rsidR="00632C0B" w:rsidRPr="00650EE4" w14:paraId="216065BE" w14:textId="77777777" w:rsidTr="00A03881">
        <w:tc>
          <w:tcPr>
            <w:tcW w:w="1026" w:type="pct"/>
            <w:tcBorders>
              <w:top w:val="nil"/>
              <w:left w:val="single" w:sz="4" w:space="0" w:color="auto"/>
              <w:bottom w:val="nil"/>
              <w:right w:val="nil"/>
            </w:tcBorders>
            <w:shd w:val="clear" w:color="000000" w:fill="FFFFFF"/>
            <w:noWrap/>
            <w:vAlign w:val="center"/>
            <w:hideMark/>
          </w:tcPr>
          <w:p w14:paraId="7DB06022"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29" w:type="pct"/>
            <w:tcBorders>
              <w:top w:val="nil"/>
              <w:left w:val="single" w:sz="4" w:space="0" w:color="auto"/>
              <w:bottom w:val="nil"/>
              <w:right w:val="nil"/>
            </w:tcBorders>
            <w:shd w:val="clear" w:color="000000" w:fill="FFFFFF"/>
            <w:noWrap/>
            <w:vAlign w:val="center"/>
            <w:hideMark/>
          </w:tcPr>
          <w:p w14:paraId="7265063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440</w:t>
            </w:r>
          </w:p>
        </w:tc>
        <w:tc>
          <w:tcPr>
            <w:tcW w:w="460" w:type="pct"/>
            <w:tcBorders>
              <w:top w:val="nil"/>
              <w:left w:val="nil"/>
              <w:bottom w:val="nil"/>
              <w:right w:val="nil"/>
            </w:tcBorders>
            <w:shd w:val="clear" w:color="000000" w:fill="FFFFFF"/>
            <w:noWrap/>
            <w:vAlign w:val="center"/>
            <w:hideMark/>
          </w:tcPr>
          <w:p w14:paraId="28AB59C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486" w:type="pct"/>
            <w:tcBorders>
              <w:top w:val="nil"/>
              <w:left w:val="nil"/>
              <w:bottom w:val="nil"/>
              <w:right w:val="nil"/>
            </w:tcBorders>
            <w:shd w:val="clear" w:color="000000" w:fill="FFFFFF"/>
            <w:noWrap/>
            <w:vAlign w:val="center"/>
            <w:hideMark/>
          </w:tcPr>
          <w:p w14:paraId="50A0B26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c>
          <w:tcPr>
            <w:tcW w:w="556" w:type="pct"/>
            <w:tcBorders>
              <w:top w:val="nil"/>
              <w:left w:val="nil"/>
              <w:bottom w:val="nil"/>
              <w:right w:val="nil"/>
            </w:tcBorders>
            <w:shd w:val="clear" w:color="000000" w:fill="FFFFFF"/>
            <w:noWrap/>
            <w:vAlign w:val="center"/>
            <w:hideMark/>
          </w:tcPr>
          <w:p w14:paraId="3FE9550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757033E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single" w:sz="4" w:space="0" w:color="auto"/>
            </w:tcBorders>
            <w:shd w:val="clear" w:color="000000" w:fill="FFFFFF"/>
            <w:noWrap/>
            <w:vAlign w:val="center"/>
            <w:hideMark/>
          </w:tcPr>
          <w:p w14:paraId="6C83110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7B3064A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653</w:t>
            </w:r>
          </w:p>
        </w:tc>
        <w:tc>
          <w:tcPr>
            <w:tcW w:w="481" w:type="pct"/>
            <w:tcBorders>
              <w:top w:val="nil"/>
              <w:left w:val="single" w:sz="4" w:space="0" w:color="auto"/>
              <w:bottom w:val="nil"/>
              <w:right w:val="single" w:sz="4" w:space="0" w:color="auto"/>
            </w:tcBorders>
            <w:shd w:val="clear" w:color="000000" w:fill="FFFFFF"/>
            <w:noWrap/>
            <w:vAlign w:val="center"/>
            <w:hideMark/>
          </w:tcPr>
          <w:p w14:paraId="0A9215F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632C0B" w:rsidRPr="00650EE4" w14:paraId="34FDFFE7" w14:textId="77777777" w:rsidTr="00A03881">
        <w:tc>
          <w:tcPr>
            <w:tcW w:w="1026" w:type="pct"/>
            <w:tcBorders>
              <w:top w:val="nil"/>
              <w:left w:val="single" w:sz="4" w:space="0" w:color="auto"/>
              <w:bottom w:val="nil"/>
              <w:right w:val="nil"/>
            </w:tcBorders>
            <w:shd w:val="clear" w:color="000000" w:fill="FFFFFF"/>
            <w:noWrap/>
            <w:vAlign w:val="center"/>
            <w:hideMark/>
          </w:tcPr>
          <w:p w14:paraId="0A2BDD6E"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29" w:type="pct"/>
            <w:tcBorders>
              <w:top w:val="nil"/>
              <w:left w:val="single" w:sz="4" w:space="0" w:color="auto"/>
              <w:bottom w:val="nil"/>
              <w:right w:val="nil"/>
            </w:tcBorders>
            <w:shd w:val="clear" w:color="000000" w:fill="FFFFFF"/>
            <w:noWrap/>
            <w:vAlign w:val="center"/>
            <w:hideMark/>
          </w:tcPr>
          <w:p w14:paraId="4FDA694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337</w:t>
            </w:r>
          </w:p>
        </w:tc>
        <w:tc>
          <w:tcPr>
            <w:tcW w:w="460" w:type="pct"/>
            <w:tcBorders>
              <w:top w:val="nil"/>
              <w:left w:val="nil"/>
              <w:bottom w:val="nil"/>
              <w:right w:val="nil"/>
            </w:tcBorders>
            <w:shd w:val="clear" w:color="000000" w:fill="FFFFFF"/>
            <w:noWrap/>
            <w:vAlign w:val="center"/>
            <w:hideMark/>
          </w:tcPr>
          <w:p w14:paraId="09068C7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86" w:type="pct"/>
            <w:tcBorders>
              <w:top w:val="nil"/>
              <w:left w:val="nil"/>
              <w:bottom w:val="nil"/>
              <w:right w:val="nil"/>
            </w:tcBorders>
            <w:shd w:val="clear" w:color="000000" w:fill="FFFFFF"/>
            <w:noWrap/>
            <w:vAlign w:val="center"/>
            <w:hideMark/>
          </w:tcPr>
          <w:p w14:paraId="5B483EE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c>
          <w:tcPr>
            <w:tcW w:w="556" w:type="pct"/>
            <w:tcBorders>
              <w:top w:val="nil"/>
              <w:left w:val="nil"/>
              <w:bottom w:val="nil"/>
              <w:right w:val="nil"/>
            </w:tcBorders>
            <w:shd w:val="clear" w:color="000000" w:fill="FFFFFF"/>
            <w:noWrap/>
            <w:vAlign w:val="center"/>
            <w:hideMark/>
          </w:tcPr>
          <w:p w14:paraId="7DA1CCD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88" w:type="pct"/>
            <w:tcBorders>
              <w:top w:val="nil"/>
              <w:left w:val="nil"/>
              <w:bottom w:val="nil"/>
              <w:right w:val="nil"/>
            </w:tcBorders>
            <w:shd w:val="clear" w:color="000000" w:fill="FFFFFF"/>
            <w:noWrap/>
            <w:vAlign w:val="center"/>
            <w:hideMark/>
          </w:tcPr>
          <w:p w14:paraId="433BC19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87" w:type="pct"/>
            <w:tcBorders>
              <w:top w:val="nil"/>
              <w:left w:val="nil"/>
              <w:bottom w:val="nil"/>
              <w:right w:val="single" w:sz="4" w:space="0" w:color="auto"/>
            </w:tcBorders>
            <w:shd w:val="clear" w:color="000000" w:fill="FFFFFF"/>
            <w:noWrap/>
            <w:vAlign w:val="center"/>
            <w:hideMark/>
          </w:tcPr>
          <w:p w14:paraId="667EE9A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2DD70BDB"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568</w:t>
            </w:r>
          </w:p>
        </w:tc>
        <w:tc>
          <w:tcPr>
            <w:tcW w:w="481" w:type="pct"/>
            <w:tcBorders>
              <w:top w:val="nil"/>
              <w:left w:val="single" w:sz="4" w:space="0" w:color="auto"/>
              <w:bottom w:val="nil"/>
              <w:right w:val="single" w:sz="4" w:space="0" w:color="auto"/>
            </w:tcBorders>
            <w:shd w:val="clear" w:color="000000" w:fill="FFFFFF"/>
            <w:noWrap/>
            <w:vAlign w:val="center"/>
            <w:hideMark/>
          </w:tcPr>
          <w:p w14:paraId="2DEE960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r>
      <w:tr w:rsidR="00632C0B" w:rsidRPr="00650EE4" w14:paraId="691B1750" w14:textId="77777777" w:rsidTr="00A03881">
        <w:tc>
          <w:tcPr>
            <w:tcW w:w="1026" w:type="pct"/>
            <w:tcBorders>
              <w:top w:val="nil"/>
              <w:left w:val="single" w:sz="4" w:space="0" w:color="auto"/>
              <w:bottom w:val="nil"/>
              <w:right w:val="nil"/>
            </w:tcBorders>
            <w:shd w:val="clear" w:color="000000" w:fill="FFFFFF"/>
            <w:noWrap/>
            <w:vAlign w:val="center"/>
            <w:hideMark/>
          </w:tcPr>
          <w:p w14:paraId="0F4F22B4"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29" w:type="pct"/>
            <w:tcBorders>
              <w:top w:val="nil"/>
              <w:left w:val="single" w:sz="4" w:space="0" w:color="auto"/>
              <w:bottom w:val="nil"/>
              <w:right w:val="nil"/>
            </w:tcBorders>
            <w:shd w:val="clear" w:color="000000" w:fill="FFFFFF"/>
            <w:noWrap/>
            <w:vAlign w:val="center"/>
            <w:hideMark/>
          </w:tcPr>
          <w:p w14:paraId="69F3087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437</w:t>
            </w:r>
          </w:p>
        </w:tc>
        <w:tc>
          <w:tcPr>
            <w:tcW w:w="460" w:type="pct"/>
            <w:tcBorders>
              <w:top w:val="nil"/>
              <w:left w:val="nil"/>
              <w:bottom w:val="nil"/>
              <w:right w:val="nil"/>
            </w:tcBorders>
            <w:shd w:val="clear" w:color="000000" w:fill="FFFFFF"/>
            <w:noWrap/>
            <w:vAlign w:val="center"/>
            <w:hideMark/>
          </w:tcPr>
          <w:p w14:paraId="2B97A19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c>
          <w:tcPr>
            <w:tcW w:w="486" w:type="pct"/>
            <w:tcBorders>
              <w:top w:val="nil"/>
              <w:left w:val="nil"/>
              <w:bottom w:val="nil"/>
              <w:right w:val="nil"/>
            </w:tcBorders>
            <w:shd w:val="clear" w:color="000000" w:fill="FFFFFF"/>
            <w:noWrap/>
            <w:vAlign w:val="center"/>
            <w:hideMark/>
          </w:tcPr>
          <w:p w14:paraId="731F86E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56" w:type="pct"/>
            <w:tcBorders>
              <w:top w:val="nil"/>
              <w:left w:val="nil"/>
              <w:bottom w:val="nil"/>
              <w:right w:val="nil"/>
            </w:tcBorders>
            <w:shd w:val="clear" w:color="000000" w:fill="FFFFFF"/>
            <w:noWrap/>
            <w:vAlign w:val="center"/>
            <w:hideMark/>
          </w:tcPr>
          <w:p w14:paraId="1B86623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0D71E6C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7" w:type="pct"/>
            <w:tcBorders>
              <w:top w:val="nil"/>
              <w:left w:val="nil"/>
              <w:bottom w:val="nil"/>
              <w:right w:val="single" w:sz="4" w:space="0" w:color="auto"/>
            </w:tcBorders>
            <w:shd w:val="clear" w:color="000000" w:fill="FFFFFF"/>
            <w:noWrap/>
            <w:vAlign w:val="center"/>
            <w:hideMark/>
          </w:tcPr>
          <w:p w14:paraId="65AEB56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7A73410E"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503</w:t>
            </w:r>
          </w:p>
        </w:tc>
        <w:tc>
          <w:tcPr>
            <w:tcW w:w="481" w:type="pct"/>
            <w:tcBorders>
              <w:top w:val="nil"/>
              <w:left w:val="single" w:sz="4" w:space="0" w:color="auto"/>
              <w:bottom w:val="nil"/>
              <w:right w:val="single" w:sz="4" w:space="0" w:color="auto"/>
            </w:tcBorders>
            <w:shd w:val="clear" w:color="000000" w:fill="FFFFFF"/>
            <w:noWrap/>
            <w:vAlign w:val="center"/>
            <w:hideMark/>
          </w:tcPr>
          <w:p w14:paraId="3293BF3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632C0B" w:rsidRPr="00650EE4" w14:paraId="3ED048F7" w14:textId="77777777" w:rsidTr="00A03881">
        <w:tc>
          <w:tcPr>
            <w:tcW w:w="1026" w:type="pct"/>
            <w:tcBorders>
              <w:top w:val="nil"/>
              <w:left w:val="single" w:sz="4" w:space="0" w:color="auto"/>
              <w:bottom w:val="nil"/>
              <w:right w:val="nil"/>
            </w:tcBorders>
            <w:shd w:val="clear" w:color="000000" w:fill="FFFFFF"/>
            <w:noWrap/>
            <w:vAlign w:val="center"/>
            <w:hideMark/>
          </w:tcPr>
          <w:p w14:paraId="4F5A47B4"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29" w:type="pct"/>
            <w:tcBorders>
              <w:top w:val="nil"/>
              <w:left w:val="single" w:sz="4" w:space="0" w:color="auto"/>
              <w:bottom w:val="nil"/>
              <w:right w:val="nil"/>
            </w:tcBorders>
            <w:shd w:val="clear" w:color="000000" w:fill="FFFFFF"/>
            <w:noWrap/>
            <w:vAlign w:val="center"/>
            <w:hideMark/>
          </w:tcPr>
          <w:p w14:paraId="557DB6F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448</w:t>
            </w:r>
          </w:p>
        </w:tc>
        <w:tc>
          <w:tcPr>
            <w:tcW w:w="460" w:type="pct"/>
            <w:tcBorders>
              <w:top w:val="nil"/>
              <w:left w:val="nil"/>
              <w:bottom w:val="nil"/>
              <w:right w:val="nil"/>
            </w:tcBorders>
            <w:shd w:val="clear" w:color="000000" w:fill="FFFFFF"/>
            <w:noWrap/>
            <w:vAlign w:val="center"/>
            <w:hideMark/>
          </w:tcPr>
          <w:p w14:paraId="52E0A46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486" w:type="pct"/>
            <w:tcBorders>
              <w:top w:val="nil"/>
              <w:left w:val="nil"/>
              <w:bottom w:val="nil"/>
              <w:right w:val="nil"/>
            </w:tcBorders>
            <w:shd w:val="clear" w:color="000000" w:fill="FFFFFF"/>
            <w:noWrap/>
            <w:vAlign w:val="center"/>
            <w:hideMark/>
          </w:tcPr>
          <w:p w14:paraId="0F10D81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w:t>
            </w:r>
          </w:p>
        </w:tc>
        <w:tc>
          <w:tcPr>
            <w:tcW w:w="556" w:type="pct"/>
            <w:tcBorders>
              <w:top w:val="nil"/>
              <w:left w:val="nil"/>
              <w:bottom w:val="nil"/>
              <w:right w:val="nil"/>
            </w:tcBorders>
            <w:shd w:val="clear" w:color="000000" w:fill="FFFFFF"/>
            <w:noWrap/>
            <w:vAlign w:val="center"/>
            <w:hideMark/>
          </w:tcPr>
          <w:p w14:paraId="143FCDA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88" w:type="pct"/>
            <w:tcBorders>
              <w:top w:val="nil"/>
              <w:left w:val="nil"/>
              <w:bottom w:val="nil"/>
              <w:right w:val="nil"/>
            </w:tcBorders>
            <w:shd w:val="clear" w:color="000000" w:fill="FFFFFF"/>
            <w:noWrap/>
            <w:vAlign w:val="center"/>
            <w:hideMark/>
          </w:tcPr>
          <w:p w14:paraId="6EC1D9A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87" w:type="pct"/>
            <w:tcBorders>
              <w:top w:val="nil"/>
              <w:left w:val="nil"/>
              <w:bottom w:val="nil"/>
              <w:right w:val="single" w:sz="4" w:space="0" w:color="auto"/>
            </w:tcBorders>
            <w:shd w:val="clear" w:color="000000" w:fill="FFFFFF"/>
            <w:noWrap/>
            <w:vAlign w:val="center"/>
            <w:hideMark/>
          </w:tcPr>
          <w:p w14:paraId="1DC704C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770E1EF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536</w:t>
            </w:r>
          </w:p>
        </w:tc>
        <w:tc>
          <w:tcPr>
            <w:tcW w:w="481" w:type="pct"/>
            <w:tcBorders>
              <w:top w:val="nil"/>
              <w:left w:val="single" w:sz="4" w:space="0" w:color="auto"/>
              <w:bottom w:val="nil"/>
              <w:right w:val="single" w:sz="4" w:space="0" w:color="auto"/>
            </w:tcBorders>
            <w:shd w:val="clear" w:color="000000" w:fill="FFFFFF"/>
            <w:noWrap/>
            <w:vAlign w:val="center"/>
            <w:hideMark/>
          </w:tcPr>
          <w:p w14:paraId="73C745D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632C0B" w:rsidRPr="00650EE4" w14:paraId="6CA6D88F" w14:textId="77777777" w:rsidTr="00A03881">
        <w:tc>
          <w:tcPr>
            <w:tcW w:w="1026" w:type="pct"/>
            <w:tcBorders>
              <w:top w:val="nil"/>
              <w:left w:val="single" w:sz="4" w:space="0" w:color="auto"/>
              <w:bottom w:val="nil"/>
              <w:right w:val="nil"/>
            </w:tcBorders>
            <w:shd w:val="clear" w:color="000000" w:fill="FFFFFF"/>
            <w:noWrap/>
            <w:vAlign w:val="center"/>
            <w:hideMark/>
          </w:tcPr>
          <w:p w14:paraId="578BF42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29" w:type="pct"/>
            <w:tcBorders>
              <w:top w:val="nil"/>
              <w:left w:val="single" w:sz="4" w:space="0" w:color="auto"/>
              <w:bottom w:val="single" w:sz="4" w:space="0" w:color="auto"/>
              <w:right w:val="nil"/>
            </w:tcBorders>
            <w:shd w:val="clear" w:color="000000" w:fill="FFFFFF"/>
            <w:noWrap/>
            <w:vAlign w:val="center"/>
            <w:hideMark/>
          </w:tcPr>
          <w:p w14:paraId="2F23A1B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w:t>
            </w:r>
          </w:p>
        </w:tc>
        <w:tc>
          <w:tcPr>
            <w:tcW w:w="460" w:type="pct"/>
            <w:tcBorders>
              <w:top w:val="nil"/>
              <w:left w:val="nil"/>
              <w:bottom w:val="single" w:sz="4" w:space="0" w:color="auto"/>
              <w:right w:val="nil"/>
            </w:tcBorders>
            <w:shd w:val="clear" w:color="000000" w:fill="FFFFFF"/>
            <w:noWrap/>
            <w:vAlign w:val="center"/>
            <w:hideMark/>
          </w:tcPr>
          <w:p w14:paraId="04FFBFE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486" w:type="pct"/>
            <w:tcBorders>
              <w:top w:val="nil"/>
              <w:left w:val="nil"/>
              <w:bottom w:val="single" w:sz="4" w:space="0" w:color="auto"/>
              <w:right w:val="nil"/>
            </w:tcBorders>
            <w:shd w:val="clear" w:color="000000" w:fill="FFFFFF"/>
            <w:noWrap/>
            <w:vAlign w:val="center"/>
            <w:hideMark/>
          </w:tcPr>
          <w:p w14:paraId="6270B86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w:t>
            </w:r>
          </w:p>
        </w:tc>
        <w:tc>
          <w:tcPr>
            <w:tcW w:w="556" w:type="pct"/>
            <w:tcBorders>
              <w:top w:val="nil"/>
              <w:left w:val="nil"/>
              <w:bottom w:val="single" w:sz="4" w:space="0" w:color="auto"/>
              <w:right w:val="nil"/>
            </w:tcBorders>
            <w:shd w:val="clear" w:color="000000" w:fill="FFFFFF"/>
            <w:noWrap/>
            <w:vAlign w:val="center"/>
            <w:hideMark/>
          </w:tcPr>
          <w:p w14:paraId="195F6B4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single" w:sz="4" w:space="0" w:color="auto"/>
              <w:right w:val="nil"/>
            </w:tcBorders>
            <w:shd w:val="clear" w:color="000000" w:fill="FFFFFF"/>
            <w:noWrap/>
            <w:vAlign w:val="center"/>
            <w:hideMark/>
          </w:tcPr>
          <w:p w14:paraId="7CA3B2D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87" w:type="pct"/>
            <w:tcBorders>
              <w:top w:val="nil"/>
              <w:left w:val="nil"/>
              <w:bottom w:val="single" w:sz="4" w:space="0" w:color="auto"/>
              <w:right w:val="single" w:sz="4" w:space="0" w:color="auto"/>
            </w:tcBorders>
            <w:shd w:val="clear" w:color="000000" w:fill="FFFFFF"/>
            <w:noWrap/>
            <w:vAlign w:val="center"/>
            <w:hideMark/>
          </w:tcPr>
          <w:p w14:paraId="2F120FA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single" w:sz="4" w:space="0" w:color="auto"/>
              <w:right w:val="nil"/>
            </w:tcBorders>
            <w:shd w:val="clear" w:color="000000" w:fill="FFFFFF"/>
            <w:noWrap/>
            <w:vAlign w:val="center"/>
            <w:hideMark/>
          </w:tcPr>
          <w:p w14:paraId="62EFFA4C"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367</w:t>
            </w:r>
          </w:p>
        </w:tc>
        <w:tc>
          <w:tcPr>
            <w:tcW w:w="481" w:type="pct"/>
            <w:tcBorders>
              <w:top w:val="nil"/>
              <w:left w:val="single" w:sz="4" w:space="0" w:color="auto"/>
              <w:bottom w:val="single" w:sz="4" w:space="0" w:color="auto"/>
              <w:right w:val="single" w:sz="4" w:space="0" w:color="auto"/>
            </w:tcBorders>
            <w:shd w:val="clear" w:color="000000" w:fill="FFFFFF"/>
            <w:noWrap/>
            <w:vAlign w:val="center"/>
            <w:hideMark/>
          </w:tcPr>
          <w:p w14:paraId="2B62140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632C0B" w:rsidRPr="00650EE4" w14:paraId="4C50D3EC" w14:textId="77777777" w:rsidTr="00A03881">
        <w:tc>
          <w:tcPr>
            <w:tcW w:w="1026" w:type="pct"/>
            <w:tcBorders>
              <w:top w:val="single" w:sz="4" w:space="0" w:color="auto"/>
              <w:left w:val="single" w:sz="4" w:space="0" w:color="auto"/>
              <w:bottom w:val="nil"/>
              <w:right w:val="single" w:sz="4" w:space="0" w:color="auto"/>
            </w:tcBorders>
            <w:shd w:val="clear" w:color="000000" w:fill="FFFFFF"/>
            <w:noWrap/>
            <w:vAlign w:val="center"/>
            <w:hideMark/>
          </w:tcPr>
          <w:p w14:paraId="57CED07F" w14:textId="77777777" w:rsidR="00632C0B" w:rsidRPr="00650EE4" w:rsidRDefault="00632C0B" w:rsidP="0001744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9" w:type="pct"/>
            <w:tcBorders>
              <w:top w:val="nil"/>
              <w:left w:val="nil"/>
              <w:bottom w:val="nil"/>
              <w:right w:val="nil"/>
            </w:tcBorders>
            <w:shd w:val="clear" w:color="000000" w:fill="FFFFFF"/>
            <w:noWrap/>
            <w:vAlign w:val="center"/>
            <w:hideMark/>
          </w:tcPr>
          <w:p w14:paraId="34217D5E"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31.591</w:t>
            </w:r>
          </w:p>
        </w:tc>
        <w:tc>
          <w:tcPr>
            <w:tcW w:w="460" w:type="pct"/>
            <w:tcBorders>
              <w:top w:val="nil"/>
              <w:left w:val="nil"/>
              <w:bottom w:val="nil"/>
              <w:right w:val="nil"/>
            </w:tcBorders>
            <w:shd w:val="clear" w:color="000000" w:fill="FFFFFF"/>
            <w:noWrap/>
            <w:vAlign w:val="center"/>
            <w:hideMark/>
          </w:tcPr>
          <w:p w14:paraId="03D341D7"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5.379</w:t>
            </w:r>
          </w:p>
        </w:tc>
        <w:tc>
          <w:tcPr>
            <w:tcW w:w="486" w:type="pct"/>
            <w:tcBorders>
              <w:top w:val="nil"/>
              <w:left w:val="nil"/>
              <w:bottom w:val="nil"/>
              <w:right w:val="nil"/>
            </w:tcBorders>
            <w:shd w:val="clear" w:color="000000" w:fill="FFFFFF"/>
            <w:noWrap/>
            <w:vAlign w:val="center"/>
            <w:hideMark/>
          </w:tcPr>
          <w:p w14:paraId="5A917B8B"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3.411</w:t>
            </w:r>
          </w:p>
        </w:tc>
        <w:tc>
          <w:tcPr>
            <w:tcW w:w="556" w:type="pct"/>
            <w:tcBorders>
              <w:top w:val="nil"/>
              <w:left w:val="nil"/>
              <w:bottom w:val="nil"/>
              <w:right w:val="nil"/>
            </w:tcBorders>
            <w:shd w:val="clear" w:color="000000" w:fill="FFFFFF"/>
            <w:noWrap/>
            <w:vAlign w:val="center"/>
            <w:hideMark/>
          </w:tcPr>
          <w:p w14:paraId="1A3D644E"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336</w:t>
            </w:r>
          </w:p>
        </w:tc>
        <w:tc>
          <w:tcPr>
            <w:tcW w:w="488" w:type="pct"/>
            <w:tcBorders>
              <w:top w:val="nil"/>
              <w:left w:val="nil"/>
              <w:bottom w:val="nil"/>
              <w:right w:val="nil"/>
            </w:tcBorders>
            <w:shd w:val="clear" w:color="000000" w:fill="FFFFFF"/>
            <w:noWrap/>
            <w:vAlign w:val="center"/>
            <w:hideMark/>
          </w:tcPr>
          <w:p w14:paraId="403DD1E3"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84</w:t>
            </w:r>
          </w:p>
        </w:tc>
        <w:tc>
          <w:tcPr>
            <w:tcW w:w="487" w:type="pct"/>
            <w:tcBorders>
              <w:top w:val="nil"/>
              <w:left w:val="nil"/>
              <w:bottom w:val="nil"/>
              <w:right w:val="single" w:sz="4" w:space="0" w:color="auto"/>
            </w:tcBorders>
            <w:shd w:val="clear" w:color="000000" w:fill="FFFFFF"/>
            <w:noWrap/>
            <w:vAlign w:val="center"/>
            <w:hideMark/>
          </w:tcPr>
          <w:p w14:paraId="1EA9CB3B"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w:t>
            </w:r>
          </w:p>
        </w:tc>
        <w:tc>
          <w:tcPr>
            <w:tcW w:w="487" w:type="pct"/>
            <w:tcBorders>
              <w:top w:val="nil"/>
              <w:left w:val="nil"/>
              <w:bottom w:val="nil"/>
              <w:right w:val="nil"/>
            </w:tcBorders>
            <w:shd w:val="clear" w:color="000000" w:fill="FFFFFF"/>
            <w:noWrap/>
            <w:vAlign w:val="center"/>
            <w:hideMark/>
          </w:tcPr>
          <w:p w14:paraId="72E66122"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40.815</w:t>
            </w:r>
          </w:p>
        </w:tc>
        <w:tc>
          <w:tcPr>
            <w:tcW w:w="481" w:type="pct"/>
            <w:tcBorders>
              <w:top w:val="nil"/>
              <w:left w:val="single" w:sz="4" w:space="0" w:color="auto"/>
              <w:bottom w:val="nil"/>
              <w:right w:val="single" w:sz="4" w:space="0" w:color="auto"/>
            </w:tcBorders>
            <w:shd w:val="clear" w:color="000000" w:fill="FFFFFF"/>
            <w:noWrap/>
            <w:vAlign w:val="center"/>
            <w:hideMark/>
          </w:tcPr>
          <w:p w14:paraId="0B29593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32C0B" w:rsidRPr="00650EE4" w14:paraId="7670EAC2" w14:textId="77777777" w:rsidTr="00A03881">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ED402"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29" w:type="pct"/>
            <w:tcBorders>
              <w:top w:val="single" w:sz="4" w:space="0" w:color="auto"/>
              <w:left w:val="nil"/>
              <w:bottom w:val="single" w:sz="4" w:space="0" w:color="auto"/>
              <w:right w:val="nil"/>
            </w:tcBorders>
            <w:shd w:val="clear" w:color="000000" w:fill="FFFFFF"/>
            <w:noWrap/>
            <w:vAlign w:val="center"/>
            <w:hideMark/>
          </w:tcPr>
          <w:p w14:paraId="2678315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460" w:type="pct"/>
            <w:tcBorders>
              <w:top w:val="single" w:sz="4" w:space="0" w:color="auto"/>
              <w:left w:val="nil"/>
              <w:bottom w:val="single" w:sz="4" w:space="0" w:color="auto"/>
              <w:right w:val="nil"/>
            </w:tcBorders>
            <w:shd w:val="clear" w:color="000000" w:fill="FFFFFF"/>
            <w:noWrap/>
            <w:vAlign w:val="center"/>
            <w:hideMark/>
          </w:tcPr>
          <w:p w14:paraId="6C0882B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86" w:type="pct"/>
            <w:tcBorders>
              <w:top w:val="single" w:sz="4" w:space="0" w:color="auto"/>
              <w:left w:val="nil"/>
              <w:bottom w:val="single" w:sz="4" w:space="0" w:color="auto"/>
              <w:right w:val="nil"/>
            </w:tcBorders>
            <w:shd w:val="clear" w:color="000000" w:fill="FFFFFF"/>
            <w:noWrap/>
            <w:vAlign w:val="center"/>
            <w:hideMark/>
          </w:tcPr>
          <w:p w14:paraId="1D8B3FE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56" w:type="pct"/>
            <w:tcBorders>
              <w:top w:val="single" w:sz="4" w:space="0" w:color="auto"/>
              <w:left w:val="nil"/>
              <w:bottom w:val="single" w:sz="4" w:space="0" w:color="auto"/>
              <w:right w:val="nil"/>
            </w:tcBorders>
            <w:shd w:val="clear" w:color="000000" w:fill="FFFFFF"/>
            <w:noWrap/>
            <w:vAlign w:val="center"/>
            <w:hideMark/>
          </w:tcPr>
          <w:p w14:paraId="021E8AC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c>
          <w:tcPr>
            <w:tcW w:w="488" w:type="pct"/>
            <w:tcBorders>
              <w:top w:val="single" w:sz="4" w:space="0" w:color="auto"/>
              <w:left w:val="nil"/>
              <w:bottom w:val="single" w:sz="4" w:space="0" w:color="auto"/>
              <w:right w:val="nil"/>
            </w:tcBorders>
            <w:shd w:val="clear" w:color="000000" w:fill="FFFFFF"/>
            <w:noWrap/>
            <w:vAlign w:val="center"/>
            <w:hideMark/>
          </w:tcPr>
          <w:p w14:paraId="68BDFD2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w:t>
            </w:r>
          </w:p>
        </w:tc>
        <w:tc>
          <w:tcPr>
            <w:tcW w:w="487" w:type="pct"/>
            <w:tcBorders>
              <w:top w:val="single" w:sz="4" w:space="0" w:color="auto"/>
              <w:left w:val="nil"/>
              <w:bottom w:val="single" w:sz="4" w:space="0" w:color="auto"/>
              <w:right w:val="single" w:sz="4" w:space="0" w:color="auto"/>
            </w:tcBorders>
            <w:shd w:val="clear" w:color="000000" w:fill="FFFFFF"/>
            <w:noWrap/>
            <w:vAlign w:val="center"/>
            <w:hideMark/>
          </w:tcPr>
          <w:p w14:paraId="5BA5C8B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0,03%</w:t>
            </w:r>
          </w:p>
        </w:tc>
        <w:tc>
          <w:tcPr>
            <w:tcW w:w="487" w:type="pct"/>
            <w:tcBorders>
              <w:top w:val="single" w:sz="4" w:space="0" w:color="auto"/>
              <w:left w:val="nil"/>
              <w:bottom w:val="single" w:sz="4" w:space="0" w:color="auto"/>
              <w:right w:val="nil"/>
            </w:tcBorders>
            <w:shd w:val="clear" w:color="000000" w:fill="FFFFFF"/>
            <w:noWrap/>
            <w:vAlign w:val="center"/>
            <w:hideMark/>
          </w:tcPr>
          <w:p w14:paraId="0211F58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4850D"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64EB1DA9" w14:textId="012E63F0" w:rsidR="00632C0B" w:rsidRPr="00650EE4" w:rsidRDefault="00632C0B" w:rsidP="00632C0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Studijos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0"/>
        </w:rPr>
        <w:t>autoriai</w:t>
      </w:r>
    </w:p>
    <w:p w14:paraId="0B2BE064" w14:textId="77777777" w:rsidR="00632C0B" w:rsidRPr="00650EE4" w:rsidRDefault="00632C0B" w:rsidP="009F3DF8">
      <w:pPr>
        <w:spacing w:line="240" w:lineRule="auto"/>
        <w:jc w:val="both"/>
        <w:rPr>
          <w:rFonts w:ascii="Times New Roman" w:hAnsi="Times New Roman"/>
          <w:color w:val="000000" w:themeColor="text1"/>
          <w:szCs w:val="22"/>
        </w:rPr>
      </w:pPr>
    </w:p>
    <w:p w14:paraId="78034F91" w14:textId="46FE022C" w:rsidR="001E614D" w:rsidRPr="00650EE4" w:rsidRDefault="00917260" w:rsidP="00917260">
      <w:pPr>
        <w:spacing w:line="240" w:lineRule="auto"/>
        <w:jc w:val="both"/>
        <w:rPr>
          <w:rFonts w:ascii="Times New Roman" w:eastAsiaTheme="minorHAnsi" w:hAnsi="Times New Roman"/>
          <w:b/>
          <w:iCs/>
          <w:color w:val="auto"/>
          <w:szCs w:val="22"/>
          <w:lang w:eastAsia="lt-LT"/>
        </w:rPr>
      </w:pPr>
      <w:r w:rsidRPr="00650EE4">
        <w:rPr>
          <w:rFonts w:ascii="Times New Roman" w:hAnsi="Times New Roman"/>
          <w:color w:val="000000" w:themeColor="text1"/>
          <w:szCs w:val="22"/>
        </w:rPr>
        <w:t xml:space="preserve">Prasčiausio energinio naudingumo pastatų pirminės energijos vartojimas </w:t>
      </w:r>
      <w:proofErr w:type="spellStart"/>
      <w:r w:rsidRPr="00650EE4">
        <w:rPr>
          <w:rFonts w:ascii="Times New Roman" w:hAnsi="Times New Roman"/>
          <w:szCs w:val="22"/>
        </w:rPr>
        <w:t>kWh</w:t>
      </w:r>
      <w:proofErr w:type="spellEnd"/>
      <w:r w:rsidRPr="00650EE4">
        <w:rPr>
          <w:rFonts w:ascii="Times New Roman" w:hAnsi="Times New Roman"/>
          <w:szCs w:val="22"/>
        </w:rPr>
        <w:t>/m</w:t>
      </w:r>
      <w:r w:rsidRPr="00650EE4">
        <w:rPr>
          <w:rFonts w:ascii="Times New Roman" w:hAnsi="Times New Roman"/>
          <w:szCs w:val="22"/>
          <w:vertAlign w:val="superscript"/>
        </w:rPr>
        <w:t xml:space="preserve">2 </w:t>
      </w:r>
      <w:r w:rsidRPr="00650EE4">
        <w:rPr>
          <w:rFonts w:ascii="Times New Roman" w:hAnsi="Times New Roman"/>
          <w:color w:val="000000" w:themeColor="text1"/>
          <w:szCs w:val="22"/>
        </w:rPr>
        <w:t xml:space="preserve"> pateikiamas lentelėje žemiau.</w:t>
      </w:r>
    </w:p>
    <w:p w14:paraId="37BC4BDF" w14:textId="77777777" w:rsidR="001E614D" w:rsidRPr="00650EE4" w:rsidRDefault="001E614D" w:rsidP="00631BA6">
      <w:pPr>
        <w:pStyle w:val="TESlentelspavadinimas"/>
        <w:rPr>
          <w:noProof w:val="0"/>
        </w:rPr>
      </w:pPr>
    </w:p>
    <w:p w14:paraId="066A9F98" w14:textId="77777777" w:rsidR="00A306BC" w:rsidRPr="00650EE4" w:rsidRDefault="00A306BC">
      <w:pPr>
        <w:spacing w:after="240"/>
        <w:rPr>
          <w:rFonts w:ascii="Times New Roman" w:eastAsiaTheme="minorHAnsi" w:hAnsi="Times New Roman"/>
          <w:bCs/>
          <w:i/>
          <w:color w:val="000000" w:themeColor="text1"/>
          <w:sz w:val="20"/>
          <w:szCs w:val="20"/>
        </w:rPr>
      </w:pPr>
      <w:r w:rsidRPr="00650EE4">
        <w:br w:type="page"/>
      </w:r>
    </w:p>
    <w:p w14:paraId="5ABF5D1D" w14:textId="1A8549BD" w:rsidR="004113FB"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74" w:name="_Toc67925210"/>
      <w:r w:rsidR="007744C1">
        <w:t>27</w:t>
      </w:r>
      <w:r w:rsidRPr="00650EE4">
        <w:rPr>
          <w:noProof w:val="0"/>
        </w:rPr>
        <w:fldChar w:fldCharType="end"/>
      </w:r>
      <w:r w:rsidR="001E6DEB" w:rsidRPr="00650EE4">
        <w:rPr>
          <w:noProof w:val="0"/>
        </w:rPr>
        <w:t xml:space="preserve"> lentelė</w:t>
      </w:r>
      <w:r w:rsidR="00C06583" w:rsidRPr="00650EE4">
        <w:rPr>
          <w:noProof w:val="0"/>
        </w:rPr>
        <w:t xml:space="preserve">. Pastatų energijos vidutinis vartojimas pagal paskirtį ir </w:t>
      </w:r>
      <w:r w:rsidR="00D75E7D" w:rsidRPr="00650EE4">
        <w:rPr>
          <w:noProof w:val="0"/>
        </w:rPr>
        <w:t>ENK</w:t>
      </w:r>
      <w:r w:rsidR="00C06583" w:rsidRPr="00650EE4">
        <w:rPr>
          <w:noProof w:val="0"/>
        </w:rPr>
        <w:t xml:space="preserve"> (</w:t>
      </w:r>
      <w:proofErr w:type="spellStart"/>
      <w:r w:rsidR="00C06583" w:rsidRPr="00650EE4">
        <w:rPr>
          <w:noProof w:val="0"/>
        </w:rPr>
        <w:t>kWh</w:t>
      </w:r>
      <w:proofErr w:type="spellEnd"/>
      <w:r w:rsidR="00C06583" w:rsidRPr="00650EE4">
        <w:rPr>
          <w:noProof w:val="0"/>
        </w:rPr>
        <w:t>/m</w:t>
      </w:r>
      <w:r w:rsidR="00C06583" w:rsidRPr="00650EE4">
        <w:rPr>
          <w:noProof w:val="0"/>
          <w:vertAlign w:val="superscript"/>
        </w:rPr>
        <w:t>2</w:t>
      </w:r>
      <w:r w:rsidR="00834A2A" w:rsidRPr="00650EE4">
        <w:rPr>
          <w:noProof w:val="0"/>
        </w:rPr>
        <w:t xml:space="preserve"> per metus</w:t>
      </w:r>
      <w:r w:rsidR="00C06583" w:rsidRPr="00650EE4">
        <w:rPr>
          <w:noProof w:val="0"/>
        </w:rPr>
        <w:t>)</w:t>
      </w:r>
      <w:bookmarkEnd w:id="74"/>
    </w:p>
    <w:tbl>
      <w:tblPr>
        <w:tblW w:w="5000" w:type="pct"/>
        <w:tblLook w:val="04A0" w:firstRow="1" w:lastRow="0" w:firstColumn="1" w:lastColumn="0" w:noHBand="0" w:noVBand="1"/>
      </w:tblPr>
      <w:tblGrid>
        <w:gridCol w:w="2170"/>
        <w:gridCol w:w="1448"/>
        <w:gridCol w:w="1159"/>
        <w:gridCol w:w="1159"/>
        <w:gridCol w:w="1159"/>
        <w:gridCol w:w="1100"/>
        <w:gridCol w:w="1114"/>
        <w:gridCol w:w="1111"/>
      </w:tblGrid>
      <w:tr w:rsidR="00115CBF" w:rsidRPr="00650EE4" w14:paraId="59EB2E30" w14:textId="77777777" w:rsidTr="008247E3">
        <w:tc>
          <w:tcPr>
            <w:tcW w:w="2122" w:type="dxa"/>
            <w:vMerge w:val="restart"/>
            <w:tcBorders>
              <w:top w:val="single" w:sz="4" w:space="0" w:color="auto"/>
              <w:left w:val="single" w:sz="4" w:space="0" w:color="auto"/>
              <w:bottom w:val="nil"/>
              <w:right w:val="nil"/>
            </w:tcBorders>
            <w:shd w:val="clear" w:color="000000" w:fill="FFFFFF"/>
            <w:vAlign w:val="center"/>
            <w:hideMark/>
          </w:tcPr>
          <w:p w14:paraId="573D4774"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Grupė</w:t>
            </w:r>
          </w:p>
        </w:tc>
        <w:tc>
          <w:tcPr>
            <w:tcW w:w="698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4EB1118" w14:textId="02829461"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Energ</w:t>
            </w:r>
            <w:r w:rsidR="004442F2" w:rsidRPr="00650EE4">
              <w:rPr>
                <w:rFonts w:ascii="Times New Roman" w:eastAsia="Times New Roman" w:hAnsi="Times New Roman"/>
                <w:b/>
                <w:bCs/>
                <w:sz w:val="20"/>
                <w:szCs w:val="20"/>
                <w:lang w:eastAsia="lt-LT"/>
              </w:rPr>
              <w:t>inio naudingumo</w:t>
            </w:r>
            <w:r w:rsidRPr="00650EE4">
              <w:rPr>
                <w:rFonts w:ascii="Times New Roman" w:eastAsia="Times New Roman" w:hAnsi="Times New Roman"/>
                <w:b/>
                <w:bCs/>
                <w:sz w:val="20"/>
                <w:szCs w:val="20"/>
                <w:lang w:eastAsia="lt-LT"/>
              </w:rPr>
              <w:t xml:space="preserve"> klasė</w:t>
            </w:r>
          </w:p>
        </w:tc>
        <w:tc>
          <w:tcPr>
            <w:tcW w:w="1087" w:type="dxa"/>
            <w:vMerge w:val="restart"/>
            <w:tcBorders>
              <w:top w:val="single" w:sz="4" w:space="0" w:color="auto"/>
              <w:left w:val="nil"/>
              <w:bottom w:val="nil"/>
              <w:right w:val="single" w:sz="4" w:space="0" w:color="auto"/>
            </w:tcBorders>
            <w:shd w:val="clear" w:color="000000" w:fill="FFFFFF"/>
            <w:vAlign w:val="center"/>
            <w:hideMark/>
          </w:tcPr>
          <w:p w14:paraId="28FBAB66"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Vidurkis</w:t>
            </w:r>
          </w:p>
        </w:tc>
      </w:tr>
      <w:tr w:rsidR="00115CBF" w:rsidRPr="00650EE4" w14:paraId="62921541" w14:textId="77777777" w:rsidTr="008247E3">
        <w:tc>
          <w:tcPr>
            <w:tcW w:w="2122" w:type="dxa"/>
            <w:vMerge/>
            <w:tcBorders>
              <w:top w:val="single" w:sz="4" w:space="0" w:color="auto"/>
              <w:left w:val="single" w:sz="4" w:space="0" w:color="auto"/>
              <w:bottom w:val="nil"/>
              <w:right w:val="nil"/>
            </w:tcBorders>
            <w:vAlign w:val="center"/>
            <w:hideMark/>
          </w:tcPr>
          <w:p w14:paraId="2E57C1E1" w14:textId="77777777" w:rsidR="00115CBF" w:rsidRPr="00650EE4" w:rsidRDefault="00115CBF" w:rsidP="00115CBF">
            <w:pPr>
              <w:spacing w:line="240" w:lineRule="auto"/>
              <w:rPr>
                <w:rFonts w:ascii="Times New Roman" w:eastAsia="Times New Roman" w:hAnsi="Times New Roman"/>
                <w:b/>
                <w:bCs/>
                <w:sz w:val="20"/>
                <w:szCs w:val="20"/>
                <w:lang w:eastAsia="lt-LT"/>
              </w:rPr>
            </w:pPr>
          </w:p>
        </w:tc>
        <w:tc>
          <w:tcPr>
            <w:tcW w:w="1417" w:type="dxa"/>
            <w:tcBorders>
              <w:top w:val="nil"/>
              <w:left w:val="single" w:sz="4" w:space="0" w:color="auto"/>
              <w:bottom w:val="nil"/>
              <w:right w:val="nil"/>
            </w:tcBorders>
            <w:shd w:val="clear" w:color="000000" w:fill="FFFFFF"/>
            <w:noWrap/>
            <w:vAlign w:val="center"/>
            <w:hideMark/>
          </w:tcPr>
          <w:p w14:paraId="77B5916D" w14:textId="0C0C9084" w:rsidR="00115CBF" w:rsidRPr="00650EE4" w:rsidRDefault="007F357E"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w:t>
            </w:r>
          </w:p>
        </w:tc>
        <w:tc>
          <w:tcPr>
            <w:tcW w:w="1134" w:type="dxa"/>
            <w:tcBorders>
              <w:top w:val="nil"/>
              <w:left w:val="nil"/>
              <w:bottom w:val="nil"/>
              <w:right w:val="nil"/>
            </w:tcBorders>
            <w:shd w:val="clear" w:color="000000" w:fill="FFFFFF"/>
            <w:noWrap/>
            <w:vAlign w:val="center"/>
            <w:hideMark/>
          </w:tcPr>
          <w:p w14:paraId="0B9907C0"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C</w:t>
            </w:r>
          </w:p>
        </w:tc>
        <w:tc>
          <w:tcPr>
            <w:tcW w:w="1134" w:type="dxa"/>
            <w:tcBorders>
              <w:top w:val="nil"/>
              <w:left w:val="nil"/>
              <w:bottom w:val="nil"/>
              <w:right w:val="nil"/>
            </w:tcBorders>
            <w:shd w:val="clear" w:color="000000" w:fill="FFFFFF"/>
            <w:noWrap/>
            <w:vAlign w:val="center"/>
            <w:hideMark/>
          </w:tcPr>
          <w:p w14:paraId="08CAFBB0"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B</w:t>
            </w:r>
          </w:p>
        </w:tc>
        <w:tc>
          <w:tcPr>
            <w:tcW w:w="1134" w:type="dxa"/>
            <w:tcBorders>
              <w:top w:val="nil"/>
              <w:left w:val="nil"/>
              <w:bottom w:val="nil"/>
              <w:right w:val="nil"/>
            </w:tcBorders>
            <w:shd w:val="clear" w:color="000000" w:fill="FFFFFF"/>
            <w:noWrap/>
            <w:vAlign w:val="center"/>
            <w:hideMark/>
          </w:tcPr>
          <w:p w14:paraId="6E26457C"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076" w:type="dxa"/>
            <w:tcBorders>
              <w:top w:val="nil"/>
              <w:left w:val="nil"/>
              <w:bottom w:val="nil"/>
              <w:right w:val="nil"/>
            </w:tcBorders>
            <w:shd w:val="clear" w:color="000000" w:fill="FFFFFF"/>
            <w:noWrap/>
            <w:vAlign w:val="center"/>
            <w:hideMark/>
          </w:tcPr>
          <w:p w14:paraId="4D4488E0"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090" w:type="dxa"/>
            <w:tcBorders>
              <w:top w:val="nil"/>
              <w:left w:val="nil"/>
              <w:bottom w:val="nil"/>
              <w:right w:val="single" w:sz="4" w:space="0" w:color="auto"/>
            </w:tcBorders>
            <w:shd w:val="clear" w:color="000000" w:fill="FFFFFF"/>
            <w:noWrap/>
            <w:vAlign w:val="center"/>
            <w:hideMark/>
          </w:tcPr>
          <w:p w14:paraId="5943E9B1"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087" w:type="dxa"/>
            <w:vMerge/>
            <w:tcBorders>
              <w:top w:val="single" w:sz="4" w:space="0" w:color="auto"/>
              <w:left w:val="nil"/>
              <w:bottom w:val="nil"/>
              <w:right w:val="single" w:sz="4" w:space="0" w:color="auto"/>
            </w:tcBorders>
            <w:vAlign w:val="center"/>
            <w:hideMark/>
          </w:tcPr>
          <w:p w14:paraId="1D690FDB" w14:textId="77777777" w:rsidR="00115CBF" w:rsidRPr="00650EE4" w:rsidRDefault="00115CBF" w:rsidP="00115CBF">
            <w:pPr>
              <w:spacing w:line="240" w:lineRule="auto"/>
              <w:rPr>
                <w:rFonts w:ascii="Times New Roman" w:eastAsia="Times New Roman" w:hAnsi="Times New Roman"/>
                <w:b/>
                <w:bCs/>
                <w:sz w:val="20"/>
                <w:szCs w:val="20"/>
                <w:lang w:eastAsia="lt-LT"/>
              </w:rPr>
            </w:pPr>
          </w:p>
        </w:tc>
      </w:tr>
      <w:tr w:rsidR="00115CBF" w:rsidRPr="00650EE4" w14:paraId="39EF943E" w14:textId="77777777" w:rsidTr="008247E3">
        <w:tc>
          <w:tcPr>
            <w:tcW w:w="2122" w:type="dxa"/>
            <w:tcBorders>
              <w:top w:val="single" w:sz="4" w:space="0" w:color="auto"/>
              <w:left w:val="single" w:sz="4" w:space="0" w:color="auto"/>
              <w:bottom w:val="nil"/>
              <w:right w:val="nil"/>
            </w:tcBorders>
            <w:shd w:val="clear" w:color="000000" w:fill="F2F2F2"/>
            <w:noWrap/>
            <w:vAlign w:val="center"/>
            <w:hideMark/>
          </w:tcPr>
          <w:p w14:paraId="19465082"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1.Gyvenamieji</w:t>
            </w:r>
          </w:p>
        </w:tc>
        <w:tc>
          <w:tcPr>
            <w:tcW w:w="1417" w:type="dxa"/>
            <w:tcBorders>
              <w:top w:val="single" w:sz="4" w:space="0" w:color="auto"/>
              <w:left w:val="single" w:sz="4" w:space="0" w:color="auto"/>
              <w:bottom w:val="nil"/>
              <w:right w:val="nil"/>
            </w:tcBorders>
            <w:shd w:val="clear" w:color="000000" w:fill="F2F2F2"/>
            <w:noWrap/>
            <w:vAlign w:val="center"/>
            <w:hideMark/>
          </w:tcPr>
          <w:p w14:paraId="398B424D"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single" w:sz="4" w:space="0" w:color="auto"/>
              <w:left w:val="nil"/>
              <w:bottom w:val="nil"/>
              <w:right w:val="nil"/>
            </w:tcBorders>
            <w:shd w:val="clear" w:color="000000" w:fill="F2F2F2"/>
            <w:noWrap/>
            <w:vAlign w:val="center"/>
            <w:hideMark/>
          </w:tcPr>
          <w:p w14:paraId="2E7B4ADB"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single" w:sz="4" w:space="0" w:color="auto"/>
              <w:left w:val="nil"/>
              <w:bottom w:val="nil"/>
              <w:right w:val="nil"/>
            </w:tcBorders>
            <w:shd w:val="clear" w:color="000000" w:fill="F2F2F2"/>
            <w:noWrap/>
            <w:vAlign w:val="center"/>
            <w:hideMark/>
          </w:tcPr>
          <w:p w14:paraId="4AF386F4"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single" w:sz="4" w:space="0" w:color="auto"/>
              <w:left w:val="nil"/>
              <w:bottom w:val="nil"/>
              <w:right w:val="nil"/>
            </w:tcBorders>
            <w:shd w:val="clear" w:color="000000" w:fill="F2F2F2"/>
            <w:noWrap/>
            <w:vAlign w:val="center"/>
            <w:hideMark/>
          </w:tcPr>
          <w:p w14:paraId="7B8D1ED8"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76" w:type="dxa"/>
            <w:tcBorders>
              <w:top w:val="single" w:sz="4" w:space="0" w:color="auto"/>
              <w:left w:val="nil"/>
              <w:bottom w:val="nil"/>
              <w:right w:val="nil"/>
            </w:tcBorders>
            <w:shd w:val="clear" w:color="000000" w:fill="F2F2F2"/>
            <w:noWrap/>
            <w:vAlign w:val="center"/>
            <w:hideMark/>
          </w:tcPr>
          <w:p w14:paraId="6FE54D5C"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90" w:type="dxa"/>
            <w:tcBorders>
              <w:top w:val="single" w:sz="4" w:space="0" w:color="auto"/>
              <w:left w:val="nil"/>
              <w:bottom w:val="nil"/>
              <w:right w:val="single" w:sz="4" w:space="0" w:color="auto"/>
            </w:tcBorders>
            <w:shd w:val="clear" w:color="000000" w:fill="F2F2F2"/>
            <w:noWrap/>
            <w:vAlign w:val="center"/>
            <w:hideMark/>
          </w:tcPr>
          <w:p w14:paraId="4AD5BD3B"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87" w:type="dxa"/>
            <w:tcBorders>
              <w:top w:val="single" w:sz="4" w:space="0" w:color="auto"/>
              <w:left w:val="nil"/>
              <w:bottom w:val="nil"/>
              <w:right w:val="single" w:sz="4" w:space="0" w:color="auto"/>
            </w:tcBorders>
            <w:shd w:val="clear" w:color="000000" w:fill="F2F2F2"/>
            <w:noWrap/>
            <w:vAlign w:val="center"/>
            <w:hideMark/>
          </w:tcPr>
          <w:p w14:paraId="04C94F30"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r>
      <w:tr w:rsidR="00115CBF" w:rsidRPr="00650EE4" w14:paraId="71169ED7" w14:textId="77777777" w:rsidTr="008247E3">
        <w:tc>
          <w:tcPr>
            <w:tcW w:w="2122" w:type="dxa"/>
            <w:tcBorders>
              <w:top w:val="nil"/>
              <w:left w:val="single" w:sz="4" w:space="0" w:color="auto"/>
              <w:bottom w:val="nil"/>
              <w:right w:val="nil"/>
            </w:tcBorders>
            <w:shd w:val="clear" w:color="000000" w:fill="FFFFFF"/>
            <w:noWrap/>
            <w:vAlign w:val="center"/>
            <w:hideMark/>
          </w:tcPr>
          <w:p w14:paraId="3716E404"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1.1.Individualūs</w:t>
            </w:r>
          </w:p>
        </w:tc>
        <w:tc>
          <w:tcPr>
            <w:tcW w:w="1417" w:type="dxa"/>
            <w:tcBorders>
              <w:top w:val="nil"/>
              <w:left w:val="single" w:sz="4" w:space="0" w:color="auto"/>
              <w:bottom w:val="nil"/>
              <w:right w:val="nil"/>
            </w:tcBorders>
            <w:shd w:val="clear" w:color="000000" w:fill="F97D7F"/>
            <w:noWrap/>
            <w:vAlign w:val="center"/>
            <w:hideMark/>
          </w:tcPr>
          <w:p w14:paraId="043650F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258</w:t>
            </w:r>
          </w:p>
        </w:tc>
        <w:tc>
          <w:tcPr>
            <w:tcW w:w="1134" w:type="dxa"/>
            <w:tcBorders>
              <w:top w:val="nil"/>
              <w:left w:val="nil"/>
              <w:bottom w:val="nil"/>
              <w:right w:val="nil"/>
            </w:tcBorders>
            <w:shd w:val="clear" w:color="000000" w:fill="EAEFF8"/>
            <w:noWrap/>
            <w:vAlign w:val="center"/>
            <w:hideMark/>
          </w:tcPr>
          <w:p w14:paraId="32CCA93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129</w:t>
            </w:r>
          </w:p>
        </w:tc>
        <w:tc>
          <w:tcPr>
            <w:tcW w:w="1134" w:type="dxa"/>
            <w:tcBorders>
              <w:top w:val="nil"/>
              <w:left w:val="nil"/>
              <w:bottom w:val="nil"/>
              <w:right w:val="nil"/>
            </w:tcBorders>
            <w:shd w:val="clear" w:color="000000" w:fill="EDF2FA"/>
            <w:noWrap/>
            <w:vAlign w:val="center"/>
            <w:hideMark/>
          </w:tcPr>
          <w:p w14:paraId="708541A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131</w:t>
            </w:r>
          </w:p>
        </w:tc>
        <w:tc>
          <w:tcPr>
            <w:tcW w:w="1134" w:type="dxa"/>
            <w:tcBorders>
              <w:top w:val="nil"/>
              <w:left w:val="nil"/>
              <w:bottom w:val="nil"/>
              <w:right w:val="nil"/>
            </w:tcBorders>
            <w:shd w:val="clear" w:color="000000" w:fill="B5CAE6"/>
            <w:noWrap/>
            <w:vAlign w:val="center"/>
            <w:hideMark/>
          </w:tcPr>
          <w:p w14:paraId="4334A239"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110</w:t>
            </w:r>
          </w:p>
        </w:tc>
        <w:tc>
          <w:tcPr>
            <w:tcW w:w="1076" w:type="dxa"/>
            <w:tcBorders>
              <w:top w:val="nil"/>
              <w:left w:val="nil"/>
              <w:bottom w:val="nil"/>
              <w:right w:val="nil"/>
            </w:tcBorders>
            <w:shd w:val="clear" w:color="000000" w:fill="9BB8DD"/>
            <w:noWrap/>
            <w:vAlign w:val="center"/>
            <w:hideMark/>
          </w:tcPr>
          <w:p w14:paraId="5540369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1090" w:type="dxa"/>
            <w:tcBorders>
              <w:top w:val="nil"/>
              <w:left w:val="nil"/>
              <w:bottom w:val="nil"/>
              <w:right w:val="single" w:sz="4" w:space="0" w:color="auto"/>
            </w:tcBorders>
            <w:shd w:val="clear" w:color="000000" w:fill="5A8AC6"/>
            <w:noWrap/>
            <w:vAlign w:val="center"/>
            <w:hideMark/>
          </w:tcPr>
          <w:p w14:paraId="1B7BA03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78</w:t>
            </w:r>
          </w:p>
        </w:tc>
        <w:tc>
          <w:tcPr>
            <w:tcW w:w="1087" w:type="dxa"/>
            <w:tcBorders>
              <w:top w:val="nil"/>
              <w:left w:val="nil"/>
              <w:bottom w:val="nil"/>
              <w:right w:val="single" w:sz="4" w:space="0" w:color="auto"/>
            </w:tcBorders>
            <w:shd w:val="clear" w:color="000000" w:fill="FFFFFF"/>
            <w:noWrap/>
            <w:vAlign w:val="center"/>
            <w:hideMark/>
          </w:tcPr>
          <w:p w14:paraId="70BF2C62"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199</w:t>
            </w:r>
          </w:p>
        </w:tc>
      </w:tr>
      <w:tr w:rsidR="00115CBF" w:rsidRPr="00650EE4" w14:paraId="25161C4C" w14:textId="77777777" w:rsidTr="008247E3">
        <w:tc>
          <w:tcPr>
            <w:tcW w:w="2122" w:type="dxa"/>
            <w:tcBorders>
              <w:top w:val="nil"/>
              <w:left w:val="single" w:sz="4" w:space="0" w:color="auto"/>
              <w:bottom w:val="single" w:sz="4" w:space="0" w:color="auto"/>
              <w:right w:val="nil"/>
            </w:tcBorders>
            <w:shd w:val="clear" w:color="000000" w:fill="FFFFFF"/>
            <w:noWrap/>
            <w:vAlign w:val="center"/>
            <w:hideMark/>
          </w:tcPr>
          <w:p w14:paraId="0BD88609"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1.2.Daugiabučiai</w:t>
            </w:r>
          </w:p>
        </w:tc>
        <w:tc>
          <w:tcPr>
            <w:tcW w:w="1417" w:type="dxa"/>
            <w:tcBorders>
              <w:top w:val="nil"/>
              <w:left w:val="single" w:sz="4" w:space="0" w:color="auto"/>
              <w:bottom w:val="single" w:sz="4" w:space="0" w:color="auto"/>
              <w:right w:val="nil"/>
            </w:tcBorders>
            <w:shd w:val="clear" w:color="000000" w:fill="FA9EA1"/>
            <w:noWrap/>
            <w:vAlign w:val="center"/>
            <w:hideMark/>
          </w:tcPr>
          <w:p w14:paraId="0C9AB85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226</w:t>
            </w:r>
          </w:p>
        </w:tc>
        <w:tc>
          <w:tcPr>
            <w:tcW w:w="1134" w:type="dxa"/>
            <w:tcBorders>
              <w:top w:val="nil"/>
              <w:left w:val="nil"/>
              <w:bottom w:val="single" w:sz="4" w:space="0" w:color="auto"/>
              <w:right w:val="nil"/>
            </w:tcBorders>
            <w:shd w:val="clear" w:color="000000" w:fill="FCF3F6"/>
            <w:noWrap/>
            <w:vAlign w:val="center"/>
            <w:hideMark/>
          </w:tcPr>
          <w:p w14:paraId="269F073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145</w:t>
            </w:r>
          </w:p>
        </w:tc>
        <w:tc>
          <w:tcPr>
            <w:tcW w:w="1134" w:type="dxa"/>
            <w:tcBorders>
              <w:top w:val="nil"/>
              <w:left w:val="nil"/>
              <w:bottom w:val="single" w:sz="4" w:space="0" w:color="auto"/>
              <w:right w:val="nil"/>
            </w:tcBorders>
            <w:shd w:val="clear" w:color="000000" w:fill="FCF7FA"/>
            <w:noWrap/>
            <w:vAlign w:val="center"/>
            <w:hideMark/>
          </w:tcPr>
          <w:p w14:paraId="3DE3F35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141</w:t>
            </w:r>
          </w:p>
        </w:tc>
        <w:tc>
          <w:tcPr>
            <w:tcW w:w="1134" w:type="dxa"/>
            <w:tcBorders>
              <w:top w:val="nil"/>
              <w:left w:val="nil"/>
              <w:bottom w:val="single" w:sz="4" w:space="0" w:color="auto"/>
              <w:right w:val="nil"/>
            </w:tcBorders>
            <w:shd w:val="clear" w:color="000000" w:fill="B2C8E5"/>
            <w:noWrap/>
            <w:vAlign w:val="center"/>
            <w:hideMark/>
          </w:tcPr>
          <w:p w14:paraId="6CFB12D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110</w:t>
            </w:r>
          </w:p>
        </w:tc>
        <w:tc>
          <w:tcPr>
            <w:tcW w:w="1076" w:type="dxa"/>
            <w:tcBorders>
              <w:top w:val="nil"/>
              <w:left w:val="nil"/>
              <w:bottom w:val="single" w:sz="4" w:space="0" w:color="auto"/>
              <w:right w:val="nil"/>
            </w:tcBorders>
            <w:shd w:val="clear" w:color="000000" w:fill="9BB8DD"/>
            <w:noWrap/>
            <w:vAlign w:val="center"/>
            <w:hideMark/>
          </w:tcPr>
          <w:p w14:paraId="770EB1D2"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1090" w:type="dxa"/>
            <w:tcBorders>
              <w:top w:val="nil"/>
              <w:left w:val="nil"/>
              <w:bottom w:val="single" w:sz="4" w:space="0" w:color="auto"/>
              <w:right w:val="single" w:sz="4" w:space="0" w:color="auto"/>
            </w:tcBorders>
            <w:shd w:val="clear" w:color="000000" w:fill="A3BDDF"/>
            <w:noWrap/>
            <w:vAlign w:val="center"/>
            <w:hideMark/>
          </w:tcPr>
          <w:p w14:paraId="09C8BEE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104</w:t>
            </w:r>
          </w:p>
        </w:tc>
        <w:tc>
          <w:tcPr>
            <w:tcW w:w="1087" w:type="dxa"/>
            <w:tcBorders>
              <w:top w:val="nil"/>
              <w:left w:val="nil"/>
              <w:bottom w:val="single" w:sz="4" w:space="0" w:color="auto"/>
              <w:right w:val="single" w:sz="4" w:space="0" w:color="auto"/>
            </w:tcBorders>
            <w:shd w:val="clear" w:color="000000" w:fill="FFFFFF"/>
            <w:noWrap/>
            <w:vAlign w:val="center"/>
            <w:hideMark/>
          </w:tcPr>
          <w:p w14:paraId="75504FE6"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201</w:t>
            </w:r>
          </w:p>
        </w:tc>
      </w:tr>
      <w:tr w:rsidR="00115CBF" w:rsidRPr="00650EE4" w14:paraId="352F093F" w14:textId="77777777" w:rsidTr="008247E3">
        <w:tc>
          <w:tcPr>
            <w:tcW w:w="2122" w:type="dxa"/>
            <w:tcBorders>
              <w:top w:val="nil"/>
              <w:left w:val="single" w:sz="4" w:space="0" w:color="auto"/>
              <w:bottom w:val="nil"/>
              <w:right w:val="nil"/>
            </w:tcBorders>
            <w:shd w:val="clear" w:color="000000" w:fill="F2F2F2"/>
            <w:noWrap/>
            <w:vAlign w:val="center"/>
            <w:hideMark/>
          </w:tcPr>
          <w:p w14:paraId="5C485F42"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2.Negyvenamieji</w:t>
            </w:r>
          </w:p>
        </w:tc>
        <w:tc>
          <w:tcPr>
            <w:tcW w:w="1417" w:type="dxa"/>
            <w:tcBorders>
              <w:top w:val="nil"/>
              <w:left w:val="single" w:sz="4" w:space="0" w:color="auto"/>
              <w:bottom w:val="nil"/>
              <w:right w:val="nil"/>
            </w:tcBorders>
            <w:shd w:val="clear" w:color="000000" w:fill="F2F2F2"/>
            <w:noWrap/>
            <w:vAlign w:val="center"/>
            <w:hideMark/>
          </w:tcPr>
          <w:p w14:paraId="5F7B4409"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nil"/>
              <w:left w:val="nil"/>
              <w:bottom w:val="nil"/>
              <w:right w:val="nil"/>
            </w:tcBorders>
            <w:shd w:val="clear" w:color="000000" w:fill="F2F2F2"/>
            <w:noWrap/>
            <w:vAlign w:val="center"/>
            <w:hideMark/>
          </w:tcPr>
          <w:p w14:paraId="16EDFE0A"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nil"/>
              <w:left w:val="nil"/>
              <w:bottom w:val="nil"/>
              <w:right w:val="nil"/>
            </w:tcBorders>
            <w:shd w:val="clear" w:color="000000" w:fill="F2F2F2"/>
            <w:noWrap/>
            <w:vAlign w:val="center"/>
            <w:hideMark/>
          </w:tcPr>
          <w:p w14:paraId="43378745"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nil"/>
              <w:left w:val="nil"/>
              <w:bottom w:val="nil"/>
              <w:right w:val="nil"/>
            </w:tcBorders>
            <w:shd w:val="clear" w:color="000000" w:fill="F2F2F2"/>
            <w:noWrap/>
            <w:vAlign w:val="center"/>
            <w:hideMark/>
          </w:tcPr>
          <w:p w14:paraId="444D4067"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76" w:type="dxa"/>
            <w:tcBorders>
              <w:top w:val="nil"/>
              <w:left w:val="nil"/>
              <w:bottom w:val="nil"/>
              <w:right w:val="nil"/>
            </w:tcBorders>
            <w:shd w:val="clear" w:color="000000" w:fill="F2F2F2"/>
            <w:noWrap/>
            <w:vAlign w:val="center"/>
            <w:hideMark/>
          </w:tcPr>
          <w:p w14:paraId="62AC7D31"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90" w:type="dxa"/>
            <w:tcBorders>
              <w:top w:val="nil"/>
              <w:left w:val="nil"/>
              <w:bottom w:val="nil"/>
              <w:right w:val="single" w:sz="4" w:space="0" w:color="auto"/>
            </w:tcBorders>
            <w:shd w:val="clear" w:color="000000" w:fill="F2F2F2"/>
            <w:noWrap/>
            <w:vAlign w:val="center"/>
            <w:hideMark/>
          </w:tcPr>
          <w:p w14:paraId="0E4BAF79"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87" w:type="dxa"/>
            <w:tcBorders>
              <w:top w:val="nil"/>
              <w:left w:val="nil"/>
              <w:bottom w:val="nil"/>
              <w:right w:val="single" w:sz="4" w:space="0" w:color="auto"/>
            </w:tcBorders>
            <w:shd w:val="clear" w:color="000000" w:fill="F2F2F2"/>
            <w:noWrap/>
            <w:vAlign w:val="center"/>
            <w:hideMark/>
          </w:tcPr>
          <w:p w14:paraId="0897734D"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r>
      <w:tr w:rsidR="00115CBF" w:rsidRPr="00650EE4" w14:paraId="0D099268" w14:textId="77777777" w:rsidTr="008247E3">
        <w:tc>
          <w:tcPr>
            <w:tcW w:w="2122" w:type="dxa"/>
            <w:tcBorders>
              <w:top w:val="nil"/>
              <w:left w:val="single" w:sz="4" w:space="0" w:color="auto"/>
              <w:bottom w:val="nil"/>
              <w:right w:val="nil"/>
            </w:tcBorders>
            <w:shd w:val="clear" w:color="000000" w:fill="FFFFFF"/>
            <w:noWrap/>
            <w:vAlign w:val="center"/>
            <w:hideMark/>
          </w:tcPr>
          <w:p w14:paraId="6882792C"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2.1.Pramonės</w:t>
            </w:r>
          </w:p>
        </w:tc>
        <w:tc>
          <w:tcPr>
            <w:tcW w:w="1417" w:type="dxa"/>
            <w:tcBorders>
              <w:top w:val="nil"/>
              <w:left w:val="single" w:sz="4" w:space="0" w:color="auto"/>
              <w:bottom w:val="nil"/>
              <w:right w:val="nil"/>
            </w:tcBorders>
            <w:shd w:val="clear" w:color="000000" w:fill="FA9FA2"/>
            <w:noWrap/>
            <w:vAlign w:val="center"/>
            <w:hideMark/>
          </w:tcPr>
          <w:p w14:paraId="706F6B2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225</w:t>
            </w:r>
          </w:p>
        </w:tc>
        <w:tc>
          <w:tcPr>
            <w:tcW w:w="1134" w:type="dxa"/>
            <w:tcBorders>
              <w:top w:val="nil"/>
              <w:left w:val="nil"/>
              <w:bottom w:val="nil"/>
              <w:right w:val="nil"/>
            </w:tcBorders>
            <w:shd w:val="clear" w:color="000000" w:fill="E8EDF7"/>
            <w:noWrap/>
            <w:vAlign w:val="center"/>
            <w:hideMark/>
          </w:tcPr>
          <w:p w14:paraId="7D6F36D2"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129</w:t>
            </w:r>
          </w:p>
        </w:tc>
        <w:tc>
          <w:tcPr>
            <w:tcW w:w="1134" w:type="dxa"/>
            <w:tcBorders>
              <w:top w:val="nil"/>
              <w:left w:val="nil"/>
              <w:bottom w:val="nil"/>
              <w:right w:val="nil"/>
            </w:tcBorders>
            <w:shd w:val="clear" w:color="000000" w:fill="ACC3E2"/>
            <w:noWrap/>
            <w:vAlign w:val="center"/>
            <w:hideMark/>
          </w:tcPr>
          <w:p w14:paraId="2E970D3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107</w:t>
            </w:r>
          </w:p>
        </w:tc>
        <w:tc>
          <w:tcPr>
            <w:tcW w:w="1134" w:type="dxa"/>
            <w:tcBorders>
              <w:top w:val="nil"/>
              <w:left w:val="nil"/>
              <w:bottom w:val="nil"/>
              <w:right w:val="nil"/>
            </w:tcBorders>
            <w:shd w:val="clear" w:color="000000" w:fill="8CADD7"/>
            <w:noWrap/>
            <w:vAlign w:val="center"/>
            <w:hideMark/>
          </w:tcPr>
          <w:p w14:paraId="73E2418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96</w:t>
            </w:r>
          </w:p>
        </w:tc>
        <w:tc>
          <w:tcPr>
            <w:tcW w:w="1076" w:type="dxa"/>
            <w:tcBorders>
              <w:top w:val="nil"/>
              <w:left w:val="nil"/>
              <w:bottom w:val="nil"/>
              <w:right w:val="nil"/>
            </w:tcBorders>
            <w:shd w:val="clear" w:color="000000" w:fill="7EA3D2"/>
            <w:noWrap/>
            <w:vAlign w:val="center"/>
            <w:hideMark/>
          </w:tcPr>
          <w:p w14:paraId="49F9D13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w:t>
            </w:r>
          </w:p>
        </w:tc>
        <w:tc>
          <w:tcPr>
            <w:tcW w:w="1090" w:type="dxa"/>
            <w:tcBorders>
              <w:top w:val="nil"/>
              <w:left w:val="nil"/>
              <w:bottom w:val="nil"/>
              <w:right w:val="single" w:sz="4" w:space="0" w:color="auto"/>
            </w:tcBorders>
            <w:shd w:val="clear" w:color="000000" w:fill="D4E0F1"/>
            <w:noWrap/>
            <w:vAlign w:val="center"/>
            <w:hideMark/>
          </w:tcPr>
          <w:p w14:paraId="0FDCACF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122</w:t>
            </w:r>
          </w:p>
        </w:tc>
        <w:tc>
          <w:tcPr>
            <w:tcW w:w="1087" w:type="dxa"/>
            <w:tcBorders>
              <w:top w:val="nil"/>
              <w:left w:val="nil"/>
              <w:bottom w:val="nil"/>
              <w:right w:val="single" w:sz="4" w:space="0" w:color="auto"/>
            </w:tcBorders>
            <w:shd w:val="clear" w:color="000000" w:fill="FFFFFF"/>
            <w:noWrap/>
            <w:vAlign w:val="center"/>
            <w:hideMark/>
          </w:tcPr>
          <w:p w14:paraId="1FE41BC2"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205</w:t>
            </w:r>
          </w:p>
        </w:tc>
      </w:tr>
      <w:tr w:rsidR="00115CBF" w:rsidRPr="00650EE4" w14:paraId="6A87C7BA" w14:textId="77777777" w:rsidTr="008247E3">
        <w:tc>
          <w:tcPr>
            <w:tcW w:w="2122" w:type="dxa"/>
            <w:tcBorders>
              <w:top w:val="nil"/>
              <w:left w:val="single" w:sz="4" w:space="0" w:color="auto"/>
              <w:bottom w:val="nil"/>
              <w:right w:val="nil"/>
            </w:tcBorders>
            <w:shd w:val="clear" w:color="000000" w:fill="FFFFFF"/>
            <w:noWrap/>
            <w:vAlign w:val="center"/>
            <w:hideMark/>
          </w:tcPr>
          <w:p w14:paraId="43426AB6"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2.2.Administraciniai</w:t>
            </w:r>
          </w:p>
        </w:tc>
        <w:tc>
          <w:tcPr>
            <w:tcW w:w="1417" w:type="dxa"/>
            <w:tcBorders>
              <w:top w:val="nil"/>
              <w:left w:val="single" w:sz="4" w:space="0" w:color="auto"/>
              <w:bottom w:val="nil"/>
              <w:right w:val="nil"/>
            </w:tcBorders>
            <w:shd w:val="clear" w:color="000000" w:fill="F98C8E"/>
            <w:noWrap/>
            <w:vAlign w:val="center"/>
            <w:hideMark/>
          </w:tcPr>
          <w:p w14:paraId="6604942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243</w:t>
            </w:r>
          </w:p>
        </w:tc>
        <w:tc>
          <w:tcPr>
            <w:tcW w:w="1134" w:type="dxa"/>
            <w:tcBorders>
              <w:top w:val="nil"/>
              <w:left w:val="nil"/>
              <w:bottom w:val="nil"/>
              <w:right w:val="nil"/>
            </w:tcBorders>
            <w:shd w:val="clear" w:color="000000" w:fill="FCEBEE"/>
            <w:noWrap/>
            <w:vAlign w:val="center"/>
            <w:hideMark/>
          </w:tcPr>
          <w:p w14:paraId="58B51D7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153</w:t>
            </w:r>
          </w:p>
        </w:tc>
        <w:tc>
          <w:tcPr>
            <w:tcW w:w="1134" w:type="dxa"/>
            <w:tcBorders>
              <w:top w:val="nil"/>
              <w:left w:val="nil"/>
              <w:bottom w:val="nil"/>
              <w:right w:val="nil"/>
            </w:tcBorders>
            <w:shd w:val="clear" w:color="000000" w:fill="F8F9FD"/>
            <w:noWrap/>
            <w:vAlign w:val="center"/>
            <w:hideMark/>
          </w:tcPr>
          <w:p w14:paraId="37387B5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134</w:t>
            </w:r>
          </w:p>
        </w:tc>
        <w:tc>
          <w:tcPr>
            <w:tcW w:w="1134" w:type="dxa"/>
            <w:tcBorders>
              <w:top w:val="nil"/>
              <w:left w:val="nil"/>
              <w:bottom w:val="nil"/>
              <w:right w:val="nil"/>
            </w:tcBorders>
            <w:shd w:val="clear" w:color="000000" w:fill="C8D7EC"/>
            <w:noWrap/>
            <w:vAlign w:val="center"/>
            <w:hideMark/>
          </w:tcPr>
          <w:p w14:paraId="0CE1281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117</w:t>
            </w:r>
          </w:p>
        </w:tc>
        <w:tc>
          <w:tcPr>
            <w:tcW w:w="1076" w:type="dxa"/>
            <w:tcBorders>
              <w:top w:val="nil"/>
              <w:left w:val="nil"/>
              <w:bottom w:val="nil"/>
              <w:right w:val="nil"/>
            </w:tcBorders>
            <w:shd w:val="clear" w:color="000000" w:fill="C9D8ED"/>
            <w:noWrap/>
            <w:vAlign w:val="center"/>
            <w:hideMark/>
          </w:tcPr>
          <w:p w14:paraId="34CB4ED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118</w:t>
            </w:r>
          </w:p>
        </w:tc>
        <w:tc>
          <w:tcPr>
            <w:tcW w:w="1090" w:type="dxa"/>
            <w:tcBorders>
              <w:top w:val="nil"/>
              <w:left w:val="nil"/>
              <w:bottom w:val="nil"/>
              <w:right w:val="single" w:sz="4" w:space="0" w:color="auto"/>
            </w:tcBorders>
            <w:shd w:val="clear" w:color="000000" w:fill="FFFFFF"/>
            <w:noWrap/>
            <w:vAlign w:val="center"/>
            <w:hideMark/>
          </w:tcPr>
          <w:p w14:paraId="769BBA0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4F3CCCC0"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216</w:t>
            </w:r>
          </w:p>
        </w:tc>
      </w:tr>
      <w:tr w:rsidR="00115CBF" w:rsidRPr="00650EE4" w14:paraId="55AFBABA" w14:textId="77777777" w:rsidTr="008247E3">
        <w:tc>
          <w:tcPr>
            <w:tcW w:w="2122" w:type="dxa"/>
            <w:tcBorders>
              <w:top w:val="nil"/>
              <w:left w:val="single" w:sz="4" w:space="0" w:color="auto"/>
              <w:bottom w:val="nil"/>
              <w:right w:val="nil"/>
            </w:tcBorders>
            <w:shd w:val="clear" w:color="000000" w:fill="FFFFFF"/>
            <w:noWrap/>
            <w:vAlign w:val="center"/>
            <w:hideMark/>
          </w:tcPr>
          <w:p w14:paraId="76060C93"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2.3.Mokslo</w:t>
            </w:r>
          </w:p>
        </w:tc>
        <w:tc>
          <w:tcPr>
            <w:tcW w:w="1417" w:type="dxa"/>
            <w:tcBorders>
              <w:top w:val="nil"/>
              <w:left w:val="single" w:sz="4" w:space="0" w:color="auto"/>
              <w:bottom w:val="nil"/>
              <w:right w:val="nil"/>
            </w:tcBorders>
            <w:shd w:val="clear" w:color="000000" w:fill="FAA1A4"/>
            <w:noWrap/>
            <w:vAlign w:val="center"/>
            <w:hideMark/>
          </w:tcPr>
          <w:p w14:paraId="611D53B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223</w:t>
            </w:r>
          </w:p>
        </w:tc>
        <w:tc>
          <w:tcPr>
            <w:tcW w:w="1134" w:type="dxa"/>
            <w:tcBorders>
              <w:top w:val="nil"/>
              <w:left w:val="nil"/>
              <w:bottom w:val="nil"/>
              <w:right w:val="nil"/>
            </w:tcBorders>
            <w:shd w:val="clear" w:color="000000" w:fill="F2F5FB"/>
            <w:noWrap/>
            <w:vAlign w:val="center"/>
            <w:hideMark/>
          </w:tcPr>
          <w:p w14:paraId="3D219E79"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134" w:type="dxa"/>
            <w:tcBorders>
              <w:top w:val="nil"/>
              <w:left w:val="nil"/>
              <w:bottom w:val="nil"/>
              <w:right w:val="nil"/>
            </w:tcBorders>
            <w:shd w:val="clear" w:color="000000" w:fill="BED1E9"/>
            <w:noWrap/>
            <w:vAlign w:val="center"/>
            <w:hideMark/>
          </w:tcPr>
          <w:p w14:paraId="4DC95F9F"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134" w:type="dxa"/>
            <w:tcBorders>
              <w:top w:val="nil"/>
              <w:left w:val="nil"/>
              <w:bottom w:val="nil"/>
              <w:right w:val="nil"/>
            </w:tcBorders>
            <w:shd w:val="clear" w:color="000000" w:fill="8AABD6"/>
            <w:noWrap/>
            <w:vAlign w:val="center"/>
            <w:hideMark/>
          </w:tcPr>
          <w:p w14:paraId="4166448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076" w:type="dxa"/>
            <w:tcBorders>
              <w:top w:val="nil"/>
              <w:left w:val="nil"/>
              <w:bottom w:val="nil"/>
              <w:right w:val="nil"/>
            </w:tcBorders>
            <w:shd w:val="clear" w:color="000000" w:fill="97B5DB"/>
            <w:noWrap/>
            <w:vAlign w:val="center"/>
            <w:hideMark/>
          </w:tcPr>
          <w:p w14:paraId="0B5FF33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100</w:t>
            </w:r>
          </w:p>
        </w:tc>
        <w:tc>
          <w:tcPr>
            <w:tcW w:w="1090" w:type="dxa"/>
            <w:tcBorders>
              <w:top w:val="nil"/>
              <w:left w:val="nil"/>
              <w:bottom w:val="nil"/>
              <w:right w:val="single" w:sz="4" w:space="0" w:color="auto"/>
            </w:tcBorders>
            <w:shd w:val="clear" w:color="000000" w:fill="FFFFFF"/>
            <w:noWrap/>
            <w:vAlign w:val="center"/>
            <w:hideMark/>
          </w:tcPr>
          <w:p w14:paraId="7B026EB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275DD48C"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188</w:t>
            </w:r>
          </w:p>
        </w:tc>
      </w:tr>
      <w:tr w:rsidR="00115CBF" w:rsidRPr="00650EE4" w14:paraId="056D57CF" w14:textId="77777777" w:rsidTr="008247E3">
        <w:tc>
          <w:tcPr>
            <w:tcW w:w="2122" w:type="dxa"/>
            <w:tcBorders>
              <w:top w:val="nil"/>
              <w:left w:val="single" w:sz="4" w:space="0" w:color="auto"/>
              <w:bottom w:val="nil"/>
              <w:right w:val="nil"/>
            </w:tcBorders>
            <w:shd w:val="clear" w:color="000000" w:fill="FFFFFF"/>
            <w:noWrap/>
            <w:vAlign w:val="center"/>
            <w:hideMark/>
          </w:tcPr>
          <w:p w14:paraId="519B506E"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2.4.Prekybos</w:t>
            </w:r>
          </w:p>
        </w:tc>
        <w:tc>
          <w:tcPr>
            <w:tcW w:w="1417" w:type="dxa"/>
            <w:tcBorders>
              <w:top w:val="nil"/>
              <w:left w:val="single" w:sz="4" w:space="0" w:color="auto"/>
              <w:bottom w:val="nil"/>
              <w:right w:val="nil"/>
            </w:tcBorders>
            <w:shd w:val="clear" w:color="000000" w:fill="F98A8C"/>
            <w:noWrap/>
            <w:vAlign w:val="center"/>
            <w:hideMark/>
          </w:tcPr>
          <w:p w14:paraId="4E69642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245</w:t>
            </w:r>
          </w:p>
        </w:tc>
        <w:tc>
          <w:tcPr>
            <w:tcW w:w="1134" w:type="dxa"/>
            <w:tcBorders>
              <w:top w:val="nil"/>
              <w:left w:val="nil"/>
              <w:bottom w:val="nil"/>
              <w:right w:val="nil"/>
            </w:tcBorders>
            <w:shd w:val="clear" w:color="000000" w:fill="FCE8EB"/>
            <w:noWrap/>
            <w:vAlign w:val="center"/>
            <w:hideMark/>
          </w:tcPr>
          <w:p w14:paraId="3C33FDFD"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155</w:t>
            </w:r>
          </w:p>
        </w:tc>
        <w:tc>
          <w:tcPr>
            <w:tcW w:w="1134" w:type="dxa"/>
            <w:tcBorders>
              <w:top w:val="nil"/>
              <w:left w:val="nil"/>
              <w:bottom w:val="nil"/>
              <w:right w:val="nil"/>
            </w:tcBorders>
            <w:shd w:val="clear" w:color="000000" w:fill="FCFBFE"/>
            <w:noWrap/>
            <w:vAlign w:val="center"/>
            <w:hideMark/>
          </w:tcPr>
          <w:p w14:paraId="31A3BA3D"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137</w:t>
            </w:r>
          </w:p>
        </w:tc>
        <w:tc>
          <w:tcPr>
            <w:tcW w:w="1134" w:type="dxa"/>
            <w:tcBorders>
              <w:top w:val="nil"/>
              <w:left w:val="nil"/>
              <w:bottom w:val="nil"/>
              <w:right w:val="nil"/>
            </w:tcBorders>
            <w:shd w:val="clear" w:color="000000" w:fill="CEDCEF"/>
            <w:noWrap/>
            <w:vAlign w:val="center"/>
            <w:hideMark/>
          </w:tcPr>
          <w:p w14:paraId="712C7C2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120</w:t>
            </w:r>
          </w:p>
        </w:tc>
        <w:tc>
          <w:tcPr>
            <w:tcW w:w="1076" w:type="dxa"/>
            <w:tcBorders>
              <w:top w:val="nil"/>
              <w:left w:val="nil"/>
              <w:bottom w:val="nil"/>
              <w:right w:val="nil"/>
            </w:tcBorders>
            <w:shd w:val="clear" w:color="000000" w:fill="D1DEF0"/>
            <w:noWrap/>
            <w:vAlign w:val="center"/>
            <w:hideMark/>
          </w:tcPr>
          <w:p w14:paraId="52A363F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121</w:t>
            </w:r>
          </w:p>
        </w:tc>
        <w:tc>
          <w:tcPr>
            <w:tcW w:w="1090" w:type="dxa"/>
            <w:tcBorders>
              <w:top w:val="nil"/>
              <w:left w:val="nil"/>
              <w:bottom w:val="nil"/>
              <w:right w:val="single" w:sz="4" w:space="0" w:color="auto"/>
            </w:tcBorders>
            <w:shd w:val="clear" w:color="000000" w:fill="C4D4EB"/>
            <w:noWrap/>
            <w:vAlign w:val="center"/>
            <w:hideMark/>
          </w:tcPr>
          <w:p w14:paraId="613DFFE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116</w:t>
            </w:r>
          </w:p>
        </w:tc>
        <w:tc>
          <w:tcPr>
            <w:tcW w:w="1087" w:type="dxa"/>
            <w:tcBorders>
              <w:top w:val="nil"/>
              <w:left w:val="nil"/>
              <w:bottom w:val="nil"/>
              <w:right w:val="single" w:sz="4" w:space="0" w:color="auto"/>
            </w:tcBorders>
            <w:shd w:val="clear" w:color="000000" w:fill="FFFFFF"/>
            <w:noWrap/>
            <w:vAlign w:val="center"/>
            <w:hideMark/>
          </w:tcPr>
          <w:p w14:paraId="228FE5BD"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193</w:t>
            </w:r>
          </w:p>
        </w:tc>
      </w:tr>
      <w:tr w:rsidR="00115CBF" w:rsidRPr="00650EE4" w14:paraId="49E91F6A" w14:textId="77777777" w:rsidTr="008247E3">
        <w:tc>
          <w:tcPr>
            <w:tcW w:w="2122" w:type="dxa"/>
            <w:tcBorders>
              <w:top w:val="nil"/>
              <w:left w:val="single" w:sz="4" w:space="0" w:color="auto"/>
              <w:bottom w:val="nil"/>
              <w:right w:val="nil"/>
            </w:tcBorders>
            <w:shd w:val="clear" w:color="000000" w:fill="FFFFFF"/>
            <w:noWrap/>
            <w:vAlign w:val="center"/>
            <w:hideMark/>
          </w:tcPr>
          <w:p w14:paraId="4ECE5300"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2.5.Gydymo</w:t>
            </w:r>
          </w:p>
        </w:tc>
        <w:tc>
          <w:tcPr>
            <w:tcW w:w="1417" w:type="dxa"/>
            <w:tcBorders>
              <w:top w:val="nil"/>
              <w:left w:val="single" w:sz="4" w:space="0" w:color="auto"/>
              <w:bottom w:val="nil"/>
              <w:right w:val="nil"/>
            </w:tcBorders>
            <w:shd w:val="clear" w:color="000000" w:fill="F97577"/>
            <w:noWrap/>
            <w:vAlign w:val="center"/>
            <w:hideMark/>
          </w:tcPr>
          <w:p w14:paraId="5C5306AF"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266</w:t>
            </w:r>
          </w:p>
        </w:tc>
        <w:tc>
          <w:tcPr>
            <w:tcW w:w="1134" w:type="dxa"/>
            <w:tcBorders>
              <w:top w:val="nil"/>
              <w:left w:val="nil"/>
              <w:bottom w:val="nil"/>
              <w:right w:val="nil"/>
            </w:tcBorders>
            <w:shd w:val="clear" w:color="000000" w:fill="FBD5D7"/>
            <w:noWrap/>
            <w:vAlign w:val="center"/>
            <w:hideMark/>
          </w:tcPr>
          <w:p w14:paraId="78343FB0"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174</w:t>
            </w:r>
          </w:p>
        </w:tc>
        <w:tc>
          <w:tcPr>
            <w:tcW w:w="1134" w:type="dxa"/>
            <w:tcBorders>
              <w:top w:val="nil"/>
              <w:left w:val="nil"/>
              <w:bottom w:val="nil"/>
              <w:right w:val="nil"/>
            </w:tcBorders>
            <w:shd w:val="clear" w:color="000000" w:fill="FCE7EA"/>
            <w:noWrap/>
            <w:vAlign w:val="center"/>
            <w:hideMark/>
          </w:tcPr>
          <w:p w14:paraId="077C342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156</w:t>
            </w:r>
          </w:p>
        </w:tc>
        <w:tc>
          <w:tcPr>
            <w:tcW w:w="1134" w:type="dxa"/>
            <w:tcBorders>
              <w:top w:val="nil"/>
              <w:left w:val="nil"/>
              <w:bottom w:val="nil"/>
              <w:right w:val="nil"/>
            </w:tcBorders>
            <w:shd w:val="clear" w:color="000000" w:fill="FCFCFF"/>
            <w:noWrap/>
            <w:vAlign w:val="center"/>
            <w:hideMark/>
          </w:tcPr>
          <w:p w14:paraId="42E9A7B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w:t>
            </w:r>
          </w:p>
        </w:tc>
        <w:tc>
          <w:tcPr>
            <w:tcW w:w="1076" w:type="dxa"/>
            <w:tcBorders>
              <w:top w:val="nil"/>
              <w:left w:val="nil"/>
              <w:bottom w:val="nil"/>
              <w:right w:val="nil"/>
            </w:tcBorders>
            <w:shd w:val="clear" w:color="000000" w:fill="FCFCFF"/>
            <w:noWrap/>
            <w:vAlign w:val="center"/>
            <w:hideMark/>
          </w:tcPr>
          <w:p w14:paraId="18D2FDE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w:t>
            </w:r>
          </w:p>
        </w:tc>
        <w:tc>
          <w:tcPr>
            <w:tcW w:w="1090" w:type="dxa"/>
            <w:tcBorders>
              <w:top w:val="nil"/>
              <w:left w:val="nil"/>
              <w:bottom w:val="nil"/>
              <w:right w:val="single" w:sz="4" w:space="0" w:color="auto"/>
            </w:tcBorders>
            <w:shd w:val="clear" w:color="000000" w:fill="F0F4FB"/>
            <w:noWrap/>
            <w:vAlign w:val="center"/>
            <w:hideMark/>
          </w:tcPr>
          <w:p w14:paraId="71626CA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087" w:type="dxa"/>
            <w:tcBorders>
              <w:top w:val="nil"/>
              <w:left w:val="nil"/>
              <w:bottom w:val="nil"/>
              <w:right w:val="single" w:sz="4" w:space="0" w:color="auto"/>
            </w:tcBorders>
            <w:shd w:val="clear" w:color="000000" w:fill="FFFFFF"/>
            <w:noWrap/>
            <w:vAlign w:val="center"/>
            <w:hideMark/>
          </w:tcPr>
          <w:p w14:paraId="67EEA97D"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221</w:t>
            </w:r>
          </w:p>
        </w:tc>
      </w:tr>
      <w:tr w:rsidR="00115CBF" w:rsidRPr="00650EE4" w14:paraId="3C464331" w14:textId="77777777" w:rsidTr="008247E3">
        <w:tc>
          <w:tcPr>
            <w:tcW w:w="2122" w:type="dxa"/>
            <w:tcBorders>
              <w:top w:val="nil"/>
              <w:left w:val="single" w:sz="4" w:space="0" w:color="auto"/>
              <w:bottom w:val="nil"/>
              <w:right w:val="nil"/>
            </w:tcBorders>
            <w:shd w:val="clear" w:color="000000" w:fill="FFFFFF"/>
            <w:noWrap/>
            <w:vAlign w:val="center"/>
            <w:hideMark/>
          </w:tcPr>
          <w:p w14:paraId="0F66FAC8"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2.6.Kultūros</w:t>
            </w:r>
          </w:p>
        </w:tc>
        <w:tc>
          <w:tcPr>
            <w:tcW w:w="1417" w:type="dxa"/>
            <w:tcBorders>
              <w:top w:val="nil"/>
              <w:left w:val="single" w:sz="4" w:space="0" w:color="auto"/>
              <w:bottom w:val="nil"/>
              <w:right w:val="nil"/>
            </w:tcBorders>
            <w:shd w:val="clear" w:color="000000" w:fill="F97476"/>
            <w:noWrap/>
            <w:vAlign w:val="center"/>
            <w:hideMark/>
          </w:tcPr>
          <w:p w14:paraId="7CAF72E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267</w:t>
            </w:r>
          </w:p>
        </w:tc>
        <w:tc>
          <w:tcPr>
            <w:tcW w:w="1134" w:type="dxa"/>
            <w:tcBorders>
              <w:top w:val="nil"/>
              <w:left w:val="nil"/>
              <w:bottom w:val="nil"/>
              <w:right w:val="nil"/>
            </w:tcBorders>
            <w:shd w:val="clear" w:color="000000" w:fill="FAB3B5"/>
            <w:noWrap/>
            <w:vAlign w:val="center"/>
            <w:hideMark/>
          </w:tcPr>
          <w:p w14:paraId="71D7836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207</w:t>
            </w:r>
          </w:p>
        </w:tc>
        <w:tc>
          <w:tcPr>
            <w:tcW w:w="1134" w:type="dxa"/>
            <w:tcBorders>
              <w:top w:val="nil"/>
              <w:left w:val="nil"/>
              <w:bottom w:val="nil"/>
              <w:right w:val="nil"/>
            </w:tcBorders>
            <w:shd w:val="clear" w:color="000000" w:fill="FBCBCE"/>
            <w:noWrap/>
            <w:vAlign w:val="center"/>
            <w:hideMark/>
          </w:tcPr>
          <w:p w14:paraId="73D9A3F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183</w:t>
            </w:r>
          </w:p>
        </w:tc>
        <w:tc>
          <w:tcPr>
            <w:tcW w:w="1134" w:type="dxa"/>
            <w:tcBorders>
              <w:top w:val="nil"/>
              <w:left w:val="nil"/>
              <w:bottom w:val="nil"/>
              <w:right w:val="nil"/>
            </w:tcBorders>
            <w:shd w:val="clear" w:color="000000" w:fill="FCF4F7"/>
            <w:noWrap/>
            <w:vAlign w:val="center"/>
            <w:hideMark/>
          </w:tcPr>
          <w:p w14:paraId="7F7443E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144</w:t>
            </w:r>
          </w:p>
        </w:tc>
        <w:tc>
          <w:tcPr>
            <w:tcW w:w="1076" w:type="dxa"/>
            <w:tcBorders>
              <w:top w:val="nil"/>
              <w:left w:val="nil"/>
              <w:bottom w:val="nil"/>
              <w:right w:val="nil"/>
            </w:tcBorders>
            <w:shd w:val="clear" w:color="000000" w:fill="F3F5FB"/>
            <w:noWrap/>
            <w:vAlign w:val="center"/>
            <w:hideMark/>
          </w:tcPr>
          <w:p w14:paraId="2A5EA50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133</w:t>
            </w:r>
          </w:p>
        </w:tc>
        <w:tc>
          <w:tcPr>
            <w:tcW w:w="1090" w:type="dxa"/>
            <w:tcBorders>
              <w:top w:val="nil"/>
              <w:left w:val="nil"/>
              <w:bottom w:val="nil"/>
              <w:right w:val="single" w:sz="4" w:space="0" w:color="auto"/>
            </w:tcBorders>
            <w:shd w:val="clear" w:color="000000" w:fill="FBC1C3"/>
            <w:noWrap/>
            <w:vAlign w:val="center"/>
            <w:hideMark/>
          </w:tcPr>
          <w:p w14:paraId="0BEEC85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193</w:t>
            </w:r>
          </w:p>
        </w:tc>
        <w:tc>
          <w:tcPr>
            <w:tcW w:w="1087" w:type="dxa"/>
            <w:tcBorders>
              <w:top w:val="nil"/>
              <w:left w:val="nil"/>
              <w:bottom w:val="nil"/>
              <w:right w:val="single" w:sz="4" w:space="0" w:color="auto"/>
            </w:tcBorders>
            <w:shd w:val="clear" w:color="000000" w:fill="FFFFFF"/>
            <w:noWrap/>
            <w:vAlign w:val="center"/>
            <w:hideMark/>
          </w:tcPr>
          <w:p w14:paraId="6288FC5C"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227</w:t>
            </w:r>
          </w:p>
        </w:tc>
      </w:tr>
      <w:tr w:rsidR="00115CBF" w:rsidRPr="00650EE4" w14:paraId="6D362E0B" w14:textId="77777777" w:rsidTr="008247E3">
        <w:tc>
          <w:tcPr>
            <w:tcW w:w="2122" w:type="dxa"/>
            <w:tcBorders>
              <w:top w:val="nil"/>
              <w:left w:val="single" w:sz="4" w:space="0" w:color="auto"/>
              <w:bottom w:val="nil"/>
              <w:right w:val="nil"/>
            </w:tcBorders>
            <w:shd w:val="clear" w:color="000000" w:fill="FFFFFF"/>
            <w:noWrap/>
            <w:vAlign w:val="center"/>
            <w:hideMark/>
          </w:tcPr>
          <w:p w14:paraId="6E8C8C9C"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2.7.Apgyvendinimo</w:t>
            </w:r>
          </w:p>
        </w:tc>
        <w:tc>
          <w:tcPr>
            <w:tcW w:w="1417" w:type="dxa"/>
            <w:tcBorders>
              <w:top w:val="nil"/>
              <w:left w:val="single" w:sz="4" w:space="0" w:color="auto"/>
              <w:bottom w:val="nil"/>
              <w:right w:val="nil"/>
            </w:tcBorders>
            <w:shd w:val="clear" w:color="000000" w:fill="FA8F92"/>
            <w:noWrap/>
            <w:vAlign w:val="center"/>
            <w:hideMark/>
          </w:tcPr>
          <w:p w14:paraId="20FB266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240</w:t>
            </w:r>
          </w:p>
        </w:tc>
        <w:tc>
          <w:tcPr>
            <w:tcW w:w="1134" w:type="dxa"/>
            <w:tcBorders>
              <w:top w:val="nil"/>
              <w:left w:val="nil"/>
              <w:bottom w:val="nil"/>
              <w:right w:val="nil"/>
            </w:tcBorders>
            <w:shd w:val="clear" w:color="000000" w:fill="FCECEF"/>
            <w:noWrap/>
            <w:vAlign w:val="center"/>
            <w:hideMark/>
          </w:tcPr>
          <w:p w14:paraId="5DFCD5E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151</w:t>
            </w:r>
          </w:p>
        </w:tc>
        <w:tc>
          <w:tcPr>
            <w:tcW w:w="1134" w:type="dxa"/>
            <w:tcBorders>
              <w:top w:val="nil"/>
              <w:left w:val="nil"/>
              <w:bottom w:val="nil"/>
              <w:right w:val="nil"/>
            </w:tcBorders>
            <w:shd w:val="clear" w:color="000000" w:fill="F2F5FB"/>
            <w:noWrap/>
            <w:vAlign w:val="center"/>
            <w:hideMark/>
          </w:tcPr>
          <w:p w14:paraId="47A7816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134" w:type="dxa"/>
            <w:tcBorders>
              <w:top w:val="nil"/>
              <w:left w:val="nil"/>
              <w:bottom w:val="nil"/>
              <w:right w:val="nil"/>
            </w:tcBorders>
            <w:shd w:val="clear" w:color="000000" w:fill="BACDE7"/>
            <w:noWrap/>
            <w:vAlign w:val="center"/>
            <w:hideMark/>
          </w:tcPr>
          <w:p w14:paraId="001CD90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112</w:t>
            </w:r>
          </w:p>
        </w:tc>
        <w:tc>
          <w:tcPr>
            <w:tcW w:w="1076" w:type="dxa"/>
            <w:tcBorders>
              <w:top w:val="nil"/>
              <w:left w:val="nil"/>
              <w:bottom w:val="nil"/>
              <w:right w:val="nil"/>
            </w:tcBorders>
            <w:shd w:val="clear" w:color="000000" w:fill="BED0E9"/>
            <w:noWrap/>
            <w:vAlign w:val="center"/>
            <w:hideMark/>
          </w:tcPr>
          <w:p w14:paraId="6DBF0F1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090" w:type="dxa"/>
            <w:tcBorders>
              <w:top w:val="nil"/>
              <w:left w:val="nil"/>
              <w:bottom w:val="nil"/>
              <w:right w:val="single" w:sz="4" w:space="0" w:color="auto"/>
            </w:tcBorders>
            <w:shd w:val="clear" w:color="000000" w:fill="FFFFFF"/>
            <w:noWrap/>
            <w:vAlign w:val="center"/>
            <w:hideMark/>
          </w:tcPr>
          <w:p w14:paraId="55B23FD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32471D27"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221</w:t>
            </w:r>
          </w:p>
        </w:tc>
      </w:tr>
      <w:tr w:rsidR="00115CBF" w:rsidRPr="00650EE4" w14:paraId="6F081D2A" w14:textId="77777777" w:rsidTr="008247E3">
        <w:tc>
          <w:tcPr>
            <w:tcW w:w="2122" w:type="dxa"/>
            <w:tcBorders>
              <w:top w:val="nil"/>
              <w:left w:val="single" w:sz="4" w:space="0" w:color="auto"/>
              <w:bottom w:val="nil"/>
              <w:right w:val="nil"/>
            </w:tcBorders>
            <w:shd w:val="clear" w:color="000000" w:fill="FFFFFF"/>
            <w:noWrap/>
            <w:vAlign w:val="center"/>
            <w:hideMark/>
          </w:tcPr>
          <w:p w14:paraId="529143C5"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2.8.Paslaugų</w:t>
            </w:r>
          </w:p>
        </w:tc>
        <w:tc>
          <w:tcPr>
            <w:tcW w:w="1417" w:type="dxa"/>
            <w:tcBorders>
              <w:top w:val="nil"/>
              <w:left w:val="single" w:sz="4" w:space="0" w:color="auto"/>
              <w:bottom w:val="nil"/>
              <w:right w:val="nil"/>
            </w:tcBorders>
            <w:shd w:val="clear" w:color="000000" w:fill="F8696B"/>
            <w:noWrap/>
            <w:vAlign w:val="center"/>
            <w:hideMark/>
          </w:tcPr>
          <w:p w14:paraId="29E1CC70"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277</w:t>
            </w:r>
          </w:p>
        </w:tc>
        <w:tc>
          <w:tcPr>
            <w:tcW w:w="1134" w:type="dxa"/>
            <w:tcBorders>
              <w:top w:val="nil"/>
              <w:left w:val="nil"/>
              <w:bottom w:val="nil"/>
              <w:right w:val="nil"/>
            </w:tcBorders>
            <w:shd w:val="clear" w:color="000000" w:fill="FBD6D8"/>
            <w:noWrap/>
            <w:vAlign w:val="center"/>
            <w:hideMark/>
          </w:tcPr>
          <w:p w14:paraId="566C9F6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173</w:t>
            </w:r>
          </w:p>
        </w:tc>
        <w:tc>
          <w:tcPr>
            <w:tcW w:w="1134" w:type="dxa"/>
            <w:tcBorders>
              <w:top w:val="nil"/>
              <w:left w:val="nil"/>
              <w:bottom w:val="nil"/>
              <w:right w:val="nil"/>
            </w:tcBorders>
            <w:shd w:val="clear" w:color="000000" w:fill="FCF8FB"/>
            <w:noWrap/>
            <w:vAlign w:val="center"/>
            <w:hideMark/>
          </w:tcPr>
          <w:p w14:paraId="202D286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140</w:t>
            </w:r>
          </w:p>
        </w:tc>
        <w:tc>
          <w:tcPr>
            <w:tcW w:w="1134" w:type="dxa"/>
            <w:tcBorders>
              <w:top w:val="nil"/>
              <w:left w:val="nil"/>
              <w:bottom w:val="nil"/>
              <w:right w:val="nil"/>
            </w:tcBorders>
            <w:shd w:val="clear" w:color="000000" w:fill="DFE7F4"/>
            <w:noWrap/>
            <w:vAlign w:val="center"/>
            <w:hideMark/>
          </w:tcPr>
          <w:p w14:paraId="7F73273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125</w:t>
            </w:r>
          </w:p>
        </w:tc>
        <w:tc>
          <w:tcPr>
            <w:tcW w:w="1076" w:type="dxa"/>
            <w:tcBorders>
              <w:top w:val="nil"/>
              <w:left w:val="nil"/>
              <w:bottom w:val="nil"/>
              <w:right w:val="nil"/>
            </w:tcBorders>
            <w:shd w:val="clear" w:color="000000" w:fill="CEDBEE"/>
            <w:noWrap/>
            <w:vAlign w:val="center"/>
            <w:hideMark/>
          </w:tcPr>
          <w:p w14:paraId="7FB5681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119</w:t>
            </w:r>
          </w:p>
        </w:tc>
        <w:tc>
          <w:tcPr>
            <w:tcW w:w="1090" w:type="dxa"/>
            <w:tcBorders>
              <w:top w:val="nil"/>
              <w:left w:val="nil"/>
              <w:bottom w:val="nil"/>
              <w:right w:val="single" w:sz="4" w:space="0" w:color="auto"/>
            </w:tcBorders>
            <w:shd w:val="clear" w:color="000000" w:fill="FFFFFF"/>
            <w:noWrap/>
            <w:vAlign w:val="center"/>
            <w:hideMark/>
          </w:tcPr>
          <w:p w14:paraId="6D6709D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24F1E5C3"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244</w:t>
            </w:r>
          </w:p>
        </w:tc>
      </w:tr>
      <w:tr w:rsidR="00115CBF" w:rsidRPr="00650EE4" w14:paraId="3705E405" w14:textId="77777777" w:rsidTr="008247E3">
        <w:tc>
          <w:tcPr>
            <w:tcW w:w="2122" w:type="dxa"/>
            <w:tcBorders>
              <w:top w:val="nil"/>
              <w:left w:val="single" w:sz="4" w:space="0" w:color="auto"/>
              <w:bottom w:val="nil"/>
              <w:right w:val="nil"/>
            </w:tcBorders>
            <w:shd w:val="clear" w:color="000000" w:fill="FFFFFF"/>
            <w:noWrap/>
            <w:vAlign w:val="center"/>
            <w:hideMark/>
          </w:tcPr>
          <w:p w14:paraId="2553BE5C"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2.9.Kita</w:t>
            </w:r>
          </w:p>
        </w:tc>
        <w:tc>
          <w:tcPr>
            <w:tcW w:w="1417" w:type="dxa"/>
            <w:tcBorders>
              <w:top w:val="nil"/>
              <w:left w:val="single" w:sz="4" w:space="0" w:color="auto"/>
              <w:bottom w:val="nil"/>
              <w:right w:val="nil"/>
            </w:tcBorders>
            <w:shd w:val="clear" w:color="000000" w:fill="F97C7E"/>
            <w:noWrap/>
            <w:vAlign w:val="center"/>
            <w:hideMark/>
          </w:tcPr>
          <w:p w14:paraId="18BA8AB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259</w:t>
            </w:r>
          </w:p>
        </w:tc>
        <w:tc>
          <w:tcPr>
            <w:tcW w:w="1134" w:type="dxa"/>
            <w:tcBorders>
              <w:top w:val="nil"/>
              <w:left w:val="nil"/>
              <w:bottom w:val="nil"/>
              <w:right w:val="nil"/>
            </w:tcBorders>
            <w:shd w:val="clear" w:color="000000" w:fill="FBBDC0"/>
            <w:noWrap/>
            <w:vAlign w:val="center"/>
            <w:hideMark/>
          </w:tcPr>
          <w:p w14:paraId="476775C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196</w:t>
            </w:r>
          </w:p>
        </w:tc>
        <w:tc>
          <w:tcPr>
            <w:tcW w:w="1134" w:type="dxa"/>
            <w:tcBorders>
              <w:top w:val="nil"/>
              <w:left w:val="nil"/>
              <w:bottom w:val="nil"/>
              <w:right w:val="nil"/>
            </w:tcBorders>
            <w:shd w:val="clear" w:color="000000" w:fill="FBC3C6"/>
            <w:noWrap/>
            <w:vAlign w:val="center"/>
            <w:hideMark/>
          </w:tcPr>
          <w:p w14:paraId="671E261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191</w:t>
            </w:r>
          </w:p>
        </w:tc>
        <w:tc>
          <w:tcPr>
            <w:tcW w:w="1134" w:type="dxa"/>
            <w:tcBorders>
              <w:top w:val="nil"/>
              <w:left w:val="nil"/>
              <w:bottom w:val="nil"/>
              <w:right w:val="nil"/>
            </w:tcBorders>
            <w:shd w:val="clear" w:color="000000" w:fill="FCF5F8"/>
            <w:noWrap/>
            <w:vAlign w:val="center"/>
            <w:hideMark/>
          </w:tcPr>
          <w:p w14:paraId="0AA80F2F"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142</w:t>
            </w:r>
          </w:p>
        </w:tc>
        <w:tc>
          <w:tcPr>
            <w:tcW w:w="1076" w:type="dxa"/>
            <w:tcBorders>
              <w:top w:val="nil"/>
              <w:left w:val="nil"/>
              <w:bottom w:val="nil"/>
              <w:right w:val="nil"/>
            </w:tcBorders>
            <w:shd w:val="clear" w:color="000000" w:fill="FBC9CC"/>
            <w:noWrap/>
            <w:vAlign w:val="center"/>
            <w:hideMark/>
          </w:tcPr>
          <w:p w14:paraId="6C5B34D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185</w:t>
            </w:r>
          </w:p>
        </w:tc>
        <w:tc>
          <w:tcPr>
            <w:tcW w:w="1090" w:type="dxa"/>
            <w:tcBorders>
              <w:top w:val="nil"/>
              <w:left w:val="nil"/>
              <w:bottom w:val="nil"/>
              <w:right w:val="single" w:sz="4" w:space="0" w:color="auto"/>
            </w:tcBorders>
            <w:shd w:val="clear" w:color="000000" w:fill="FFFFFF"/>
            <w:noWrap/>
            <w:vAlign w:val="center"/>
            <w:hideMark/>
          </w:tcPr>
          <w:p w14:paraId="02073A35"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6A50C0EB"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231</w:t>
            </w:r>
          </w:p>
        </w:tc>
      </w:tr>
      <w:tr w:rsidR="00115CBF" w:rsidRPr="00650EE4" w14:paraId="46FD7276" w14:textId="77777777" w:rsidTr="008247E3">
        <w:tc>
          <w:tcPr>
            <w:tcW w:w="2122" w:type="dxa"/>
            <w:tcBorders>
              <w:top w:val="single" w:sz="4" w:space="0" w:color="auto"/>
              <w:left w:val="single" w:sz="4" w:space="0" w:color="auto"/>
              <w:bottom w:val="single" w:sz="4" w:space="0" w:color="auto"/>
              <w:right w:val="nil"/>
            </w:tcBorders>
            <w:shd w:val="clear" w:color="000000" w:fill="FFFFFF"/>
            <w:noWrap/>
            <w:vAlign w:val="center"/>
            <w:hideMark/>
          </w:tcPr>
          <w:p w14:paraId="78096CD4" w14:textId="77777777" w:rsidR="00115CBF" w:rsidRPr="00650EE4" w:rsidRDefault="00115CBF" w:rsidP="00115CBF">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Vidurkis</w:t>
            </w:r>
          </w:p>
        </w:tc>
        <w:tc>
          <w:tcPr>
            <w:tcW w:w="1417" w:type="dxa"/>
            <w:tcBorders>
              <w:top w:val="single" w:sz="4" w:space="0" w:color="auto"/>
              <w:left w:val="single" w:sz="4" w:space="0" w:color="auto"/>
              <w:bottom w:val="single" w:sz="4" w:space="0" w:color="auto"/>
              <w:right w:val="nil"/>
            </w:tcBorders>
            <w:shd w:val="clear" w:color="000000" w:fill="FFFFFF"/>
            <w:noWrap/>
            <w:vAlign w:val="center"/>
            <w:hideMark/>
          </w:tcPr>
          <w:p w14:paraId="1CA0F921"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238</w:t>
            </w:r>
          </w:p>
        </w:tc>
        <w:tc>
          <w:tcPr>
            <w:tcW w:w="1134" w:type="dxa"/>
            <w:tcBorders>
              <w:top w:val="single" w:sz="4" w:space="0" w:color="auto"/>
              <w:left w:val="nil"/>
              <w:bottom w:val="single" w:sz="4" w:space="0" w:color="auto"/>
              <w:right w:val="nil"/>
            </w:tcBorders>
            <w:shd w:val="clear" w:color="000000" w:fill="FFFFFF"/>
            <w:noWrap/>
            <w:vAlign w:val="center"/>
            <w:hideMark/>
          </w:tcPr>
          <w:p w14:paraId="6682210E"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136</w:t>
            </w:r>
          </w:p>
        </w:tc>
        <w:tc>
          <w:tcPr>
            <w:tcW w:w="1134" w:type="dxa"/>
            <w:tcBorders>
              <w:top w:val="single" w:sz="4" w:space="0" w:color="auto"/>
              <w:left w:val="nil"/>
              <w:bottom w:val="single" w:sz="4" w:space="0" w:color="auto"/>
              <w:right w:val="nil"/>
            </w:tcBorders>
            <w:shd w:val="clear" w:color="000000" w:fill="FFFFFF"/>
            <w:noWrap/>
            <w:vAlign w:val="center"/>
            <w:hideMark/>
          </w:tcPr>
          <w:p w14:paraId="293B0D86"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134</w:t>
            </w:r>
          </w:p>
        </w:tc>
        <w:tc>
          <w:tcPr>
            <w:tcW w:w="1134" w:type="dxa"/>
            <w:tcBorders>
              <w:top w:val="single" w:sz="4" w:space="0" w:color="auto"/>
              <w:left w:val="nil"/>
              <w:bottom w:val="single" w:sz="4" w:space="0" w:color="auto"/>
              <w:right w:val="nil"/>
            </w:tcBorders>
            <w:shd w:val="clear" w:color="000000" w:fill="FFFFFF"/>
            <w:noWrap/>
            <w:vAlign w:val="center"/>
            <w:hideMark/>
          </w:tcPr>
          <w:p w14:paraId="598295AF"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110</w:t>
            </w:r>
          </w:p>
        </w:tc>
        <w:tc>
          <w:tcPr>
            <w:tcW w:w="1076" w:type="dxa"/>
            <w:tcBorders>
              <w:top w:val="single" w:sz="4" w:space="0" w:color="auto"/>
              <w:left w:val="nil"/>
              <w:bottom w:val="single" w:sz="4" w:space="0" w:color="auto"/>
              <w:right w:val="nil"/>
            </w:tcBorders>
            <w:shd w:val="clear" w:color="000000" w:fill="FFFFFF"/>
            <w:noWrap/>
            <w:vAlign w:val="center"/>
            <w:hideMark/>
          </w:tcPr>
          <w:p w14:paraId="01B549C6"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107</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14:paraId="22DBD353"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119</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6646D8F1"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r>
    </w:tbl>
    <w:p w14:paraId="777595B2" w14:textId="3E4DCB89" w:rsidR="00554ED4" w:rsidRPr="00650EE4" w:rsidRDefault="00554ED4" w:rsidP="00554ED4">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9D68D2" w:rsidRPr="009D68D2">
        <w:rPr>
          <w:rFonts w:ascii="Times New Roman" w:hAnsi="Times New Roman"/>
          <w:i/>
          <w:iCs/>
          <w:color w:val="auto"/>
          <w:sz w:val="20"/>
          <w:szCs w:val="20"/>
        </w:rPr>
        <w:t xml:space="preserve"> </w:t>
      </w:r>
      <w:r w:rsidR="009D68D2">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65C8287E" w14:textId="77777777" w:rsidR="009677EA" w:rsidRPr="00650EE4" w:rsidRDefault="009677EA" w:rsidP="00DE4498">
      <w:pPr>
        <w:spacing w:line="240" w:lineRule="auto"/>
        <w:jc w:val="both"/>
        <w:rPr>
          <w:rFonts w:ascii="Times New Roman" w:hAnsi="Times New Roman"/>
          <w:color w:val="000000" w:themeColor="text1"/>
          <w:szCs w:val="22"/>
        </w:rPr>
      </w:pPr>
    </w:p>
    <w:p w14:paraId="7B34CDEF" w14:textId="7C924120" w:rsidR="00D25D87" w:rsidRPr="00650EE4" w:rsidRDefault="00917260" w:rsidP="00DE4498">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w:t>
      </w:r>
      <w:r w:rsidR="00D25D87" w:rsidRPr="00650EE4">
        <w:rPr>
          <w:rFonts w:ascii="Times New Roman" w:hAnsi="Times New Roman"/>
          <w:color w:val="000000" w:themeColor="text1"/>
          <w:szCs w:val="22"/>
        </w:rPr>
        <w:t xml:space="preserve"> duomenis galima pastebėti, kad</w:t>
      </w:r>
      <w:r w:rsidR="00AF27DC" w:rsidRPr="00650EE4">
        <w:rPr>
          <w:rFonts w:ascii="Times New Roman" w:hAnsi="Times New Roman"/>
          <w:color w:val="000000" w:themeColor="text1"/>
          <w:szCs w:val="22"/>
        </w:rPr>
        <w:t xml:space="preserve"> ž</w:t>
      </w:r>
      <w:r w:rsidR="00D25D87" w:rsidRPr="00650EE4">
        <w:rPr>
          <w:rFonts w:ascii="Times New Roman" w:hAnsi="Times New Roman"/>
          <w:color w:val="000000" w:themeColor="text1"/>
          <w:szCs w:val="22"/>
        </w:rPr>
        <w:t xml:space="preserve">emesnio nei C </w:t>
      </w:r>
      <w:r w:rsidR="00AF27DC" w:rsidRPr="00650EE4">
        <w:rPr>
          <w:rFonts w:ascii="Times New Roman" w:hAnsi="Times New Roman"/>
          <w:color w:val="000000" w:themeColor="text1"/>
          <w:szCs w:val="22"/>
        </w:rPr>
        <w:t xml:space="preserve">energinio naudingumo </w:t>
      </w:r>
      <w:r w:rsidR="00D25D87" w:rsidRPr="00650EE4">
        <w:rPr>
          <w:rFonts w:ascii="Times New Roman" w:hAnsi="Times New Roman"/>
          <w:color w:val="000000" w:themeColor="text1"/>
          <w:szCs w:val="22"/>
        </w:rPr>
        <w:t>klasės individualūs namai</w:t>
      </w:r>
      <w:r w:rsidR="0053529F" w:rsidRPr="00650EE4">
        <w:rPr>
          <w:rFonts w:ascii="Times New Roman" w:hAnsi="Times New Roman"/>
          <w:color w:val="000000" w:themeColor="text1"/>
          <w:szCs w:val="22"/>
        </w:rPr>
        <w:t xml:space="preserve">, daugiabučiai ir pramonės pastatai yra </w:t>
      </w:r>
      <w:r w:rsidR="00D25D87" w:rsidRPr="00650EE4">
        <w:rPr>
          <w:rFonts w:ascii="Times New Roman" w:hAnsi="Times New Roman"/>
          <w:color w:val="000000" w:themeColor="text1"/>
          <w:szCs w:val="22"/>
        </w:rPr>
        <w:t>daugiausia</w:t>
      </w:r>
      <w:r w:rsidR="00AF27DC" w:rsidRPr="00650EE4">
        <w:rPr>
          <w:rFonts w:ascii="Times New Roman" w:hAnsi="Times New Roman"/>
          <w:color w:val="000000" w:themeColor="text1"/>
          <w:szCs w:val="22"/>
        </w:rPr>
        <w:t>i energijos</w:t>
      </w:r>
      <w:r w:rsidR="00D25D87" w:rsidRPr="00650EE4">
        <w:rPr>
          <w:rFonts w:ascii="Times New Roman" w:hAnsi="Times New Roman"/>
          <w:color w:val="000000" w:themeColor="text1"/>
          <w:szCs w:val="22"/>
        </w:rPr>
        <w:t xml:space="preserve"> vartojantis </w:t>
      </w:r>
      <w:r w:rsidR="0053529F" w:rsidRPr="00650EE4">
        <w:rPr>
          <w:rFonts w:ascii="Times New Roman" w:hAnsi="Times New Roman"/>
          <w:color w:val="000000" w:themeColor="text1"/>
          <w:szCs w:val="22"/>
        </w:rPr>
        <w:t>žemiausio energinio efektyvumo segmentas</w:t>
      </w:r>
      <w:r w:rsidR="00890A4A" w:rsidRPr="00650EE4">
        <w:rPr>
          <w:rFonts w:ascii="Times New Roman" w:hAnsi="Times New Roman"/>
          <w:color w:val="000000" w:themeColor="text1"/>
          <w:szCs w:val="22"/>
        </w:rPr>
        <w:t>.</w:t>
      </w:r>
      <w:r w:rsidR="00CC51D7" w:rsidRPr="00650EE4">
        <w:rPr>
          <w:rFonts w:ascii="Times New Roman" w:hAnsi="Times New Roman"/>
          <w:color w:val="000000" w:themeColor="text1"/>
          <w:szCs w:val="22"/>
        </w:rPr>
        <w:t xml:space="preserve"> Atitinkamai, vertinama, kad tai yra priori</w:t>
      </w:r>
      <w:r w:rsidR="00C72C1E" w:rsidRPr="00650EE4">
        <w:rPr>
          <w:rFonts w:ascii="Times New Roman" w:hAnsi="Times New Roman"/>
          <w:color w:val="000000" w:themeColor="text1"/>
          <w:szCs w:val="22"/>
        </w:rPr>
        <w:t>tetinis</w:t>
      </w:r>
      <w:r w:rsidR="00CC51D7" w:rsidRPr="00650EE4">
        <w:rPr>
          <w:rFonts w:ascii="Times New Roman" w:hAnsi="Times New Roman"/>
          <w:color w:val="000000" w:themeColor="text1"/>
          <w:szCs w:val="22"/>
        </w:rPr>
        <w:t xml:space="preserve"> segmentas IRS kontekste. Tikėtina, kad būtent šio segmento r</w:t>
      </w:r>
      <w:r w:rsidR="00066CDB" w:rsidRPr="00650EE4">
        <w:rPr>
          <w:rFonts w:ascii="Times New Roman" w:hAnsi="Times New Roman"/>
          <w:color w:val="000000" w:themeColor="text1"/>
          <w:szCs w:val="22"/>
        </w:rPr>
        <w:t>enovacija leistų pasiekti didžiausius energ</w:t>
      </w:r>
      <w:r w:rsidR="00C72C1E" w:rsidRPr="00650EE4">
        <w:rPr>
          <w:rFonts w:ascii="Times New Roman" w:hAnsi="Times New Roman"/>
          <w:color w:val="000000" w:themeColor="text1"/>
          <w:szCs w:val="22"/>
        </w:rPr>
        <w:t>inius</w:t>
      </w:r>
      <w:r w:rsidR="00066CDB" w:rsidRPr="00650EE4">
        <w:rPr>
          <w:rFonts w:ascii="Times New Roman" w:hAnsi="Times New Roman"/>
          <w:color w:val="000000" w:themeColor="text1"/>
          <w:szCs w:val="22"/>
        </w:rPr>
        <w:t xml:space="preserve"> sutaupymus per atliktą investiciją sumą</w:t>
      </w:r>
      <w:r w:rsidR="008C342A" w:rsidRPr="00650EE4">
        <w:rPr>
          <w:rFonts w:ascii="Times New Roman" w:hAnsi="Times New Roman"/>
          <w:color w:val="000000" w:themeColor="text1"/>
          <w:szCs w:val="22"/>
        </w:rPr>
        <w:t>.</w:t>
      </w:r>
    </w:p>
    <w:p w14:paraId="655ED4FE" w14:textId="43794C15" w:rsidR="0042232F" w:rsidRPr="00650EE4" w:rsidRDefault="0042232F" w:rsidP="00883EAD">
      <w:pPr>
        <w:spacing w:after="120"/>
        <w:rPr>
          <w:rFonts w:ascii="Times New Roman" w:hAnsi="Times New Roman"/>
          <w:color w:val="000000" w:themeColor="text1"/>
          <w:szCs w:val="22"/>
        </w:rPr>
      </w:pPr>
    </w:p>
    <w:p w14:paraId="112CAA3E" w14:textId="772D7306" w:rsidR="00E56D7B" w:rsidRPr="00650EE4" w:rsidRDefault="00E56D7B" w:rsidP="00E56D7B">
      <w:pPr>
        <w:pStyle w:val="Antrastes31"/>
        <w:numPr>
          <w:ilvl w:val="2"/>
          <w:numId w:val="4"/>
        </w:numPr>
        <w:spacing w:before="120"/>
        <w:ind w:left="720" w:hanging="720"/>
        <w:rPr>
          <w:rFonts w:ascii="Times New Roman" w:hAnsi="Times New Roman"/>
          <w:color w:val="000000" w:themeColor="text1"/>
          <w:sz w:val="24"/>
          <w:szCs w:val="24"/>
          <w:lang w:val="lt-LT"/>
        </w:rPr>
      </w:pPr>
      <w:bookmarkStart w:id="75" w:name="_Toc67925118"/>
      <w:r w:rsidRPr="00650EE4">
        <w:rPr>
          <w:rFonts w:ascii="Times New Roman" w:hAnsi="Times New Roman"/>
          <w:color w:val="000000" w:themeColor="text1"/>
          <w:sz w:val="24"/>
          <w:szCs w:val="24"/>
          <w:lang w:val="lt-LT"/>
        </w:rPr>
        <w:t xml:space="preserve">Apleisti </w:t>
      </w:r>
      <w:r w:rsidR="00AC078A" w:rsidRPr="00650EE4">
        <w:rPr>
          <w:rFonts w:ascii="Times New Roman" w:hAnsi="Times New Roman"/>
          <w:color w:val="000000" w:themeColor="text1"/>
          <w:sz w:val="24"/>
          <w:szCs w:val="24"/>
          <w:lang w:val="lt-LT"/>
        </w:rPr>
        <w:t xml:space="preserve">ir nešildomi </w:t>
      </w:r>
      <w:r w:rsidRPr="00650EE4">
        <w:rPr>
          <w:rFonts w:ascii="Times New Roman" w:hAnsi="Times New Roman"/>
          <w:color w:val="000000" w:themeColor="text1"/>
          <w:sz w:val="24"/>
          <w:szCs w:val="24"/>
          <w:lang w:val="lt-LT"/>
        </w:rPr>
        <w:t>pastatai</w:t>
      </w:r>
      <w:bookmarkEnd w:id="75"/>
    </w:p>
    <w:p w14:paraId="3C039AAF" w14:textId="24EFAD53" w:rsidR="00AC078A" w:rsidRPr="00650EE4" w:rsidRDefault="007C1ABD" w:rsidP="00BF7E8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R</w:t>
      </w:r>
      <w:r w:rsidR="00007E8C" w:rsidRPr="00650EE4">
        <w:rPr>
          <w:rFonts w:ascii="Times New Roman" w:hAnsi="Times New Roman"/>
          <w:color w:val="000000" w:themeColor="text1"/>
          <w:szCs w:val="22"/>
        </w:rPr>
        <w:t>eikšmingas</w:t>
      </w:r>
      <w:r w:rsidR="00050ED5">
        <w:rPr>
          <w:rFonts w:ascii="Times New Roman" w:hAnsi="Times New Roman"/>
          <w:color w:val="000000" w:themeColor="text1"/>
          <w:szCs w:val="22"/>
        </w:rPr>
        <w:t xml:space="preserve"> p</w:t>
      </w:r>
      <w:r w:rsidR="00890A4A" w:rsidRPr="00650EE4">
        <w:rPr>
          <w:rFonts w:ascii="Times New Roman" w:hAnsi="Times New Roman"/>
          <w:color w:val="000000" w:themeColor="text1"/>
          <w:szCs w:val="22"/>
        </w:rPr>
        <w:t xml:space="preserve">astatų fondo </w:t>
      </w:r>
      <w:r w:rsidR="00007E8C" w:rsidRPr="00650EE4">
        <w:rPr>
          <w:rFonts w:ascii="Times New Roman" w:hAnsi="Times New Roman"/>
          <w:color w:val="000000" w:themeColor="text1"/>
          <w:szCs w:val="22"/>
        </w:rPr>
        <w:t xml:space="preserve">segmentas – apleisti ir nešildomi pastatai. </w:t>
      </w:r>
      <w:r w:rsidR="00944104" w:rsidRPr="00650EE4">
        <w:rPr>
          <w:rFonts w:ascii="Times New Roman" w:hAnsi="Times New Roman"/>
          <w:color w:val="000000" w:themeColor="text1"/>
          <w:szCs w:val="22"/>
        </w:rPr>
        <w:t xml:space="preserve">Šis segmentas svarbus, </w:t>
      </w:r>
      <w:r w:rsidRPr="00650EE4">
        <w:rPr>
          <w:rFonts w:ascii="Times New Roman" w:hAnsi="Times New Roman"/>
          <w:color w:val="000000" w:themeColor="text1"/>
          <w:szCs w:val="22"/>
        </w:rPr>
        <w:t>kadangi</w:t>
      </w:r>
      <w:r w:rsidR="004574A8" w:rsidRPr="00650EE4">
        <w:rPr>
          <w:rFonts w:ascii="Times New Roman" w:hAnsi="Times New Roman"/>
          <w:color w:val="000000" w:themeColor="text1"/>
          <w:szCs w:val="22"/>
        </w:rPr>
        <w:t xml:space="preserve"> nors pastatai potencialiai yra tinkami naudoti, tačiau faktiškai </w:t>
      </w:r>
      <w:r w:rsidR="00AF7804" w:rsidRPr="00650EE4">
        <w:rPr>
          <w:rFonts w:ascii="Times New Roman" w:hAnsi="Times New Roman"/>
          <w:color w:val="000000" w:themeColor="text1"/>
          <w:szCs w:val="22"/>
        </w:rPr>
        <w:tab/>
      </w:r>
      <w:r w:rsidR="004574A8" w:rsidRPr="00650EE4">
        <w:rPr>
          <w:rFonts w:ascii="Times New Roman" w:hAnsi="Times New Roman"/>
          <w:color w:val="000000" w:themeColor="text1"/>
          <w:szCs w:val="22"/>
        </w:rPr>
        <w:t>nevartoja (arba vartoja labai mažai) energijos, t.y. jie neturėtų atsispindėti pastatų fondo energijos vartojime ir atitinkamai būti reikšminga renovacijos plano dalis.</w:t>
      </w:r>
    </w:p>
    <w:p w14:paraId="08ED6E36" w14:textId="1F065F51" w:rsidR="00007E8C" w:rsidRPr="00650EE4" w:rsidRDefault="00007E8C" w:rsidP="00BF7E8C">
      <w:pPr>
        <w:spacing w:line="240" w:lineRule="auto"/>
        <w:jc w:val="both"/>
        <w:rPr>
          <w:rFonts w:ascii="Times New Roman" w:hAnsi="Times New Roman"/>
          <w:color w:val="000000" w:themeColor="text1"/>
          <w:szCs w:val="22"/>
        </w:rPr>
      </w:pPr>
    </w:p>
    <w:p w14:paraId="1666A033" w14:textId="340B4FA3" w:rsidR="00A10964" w:rsidRPr="00650EE4" w:rsidRDefault="00A10964" w:rsidP="00BF7E8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Reikšmingiausia </w:t>
      </w:r>
      <w:r w:rsidR="004574A8" w:rsidRPr="00650EE4">
        <w:rPr>
          <w:rFonts w:ascii="Times New Roman" w:hAnsi="Times New Roman"/>
          <w:color w:val="000000" w:themeColor="text1"/>
          <w:szCs w:val="22"/>
        </w:rPr>
        <w:t xml:space="preserve">šių pastatų </w:t>
      </w:r>
      <w:r w:rsidRPr="00650EE4">
        <w:rPr>
          <w:rFonts w:ascii="Times New Roman" w:hAnsi="Times New Roman"/>
          <w:color w:val="000000" w:themeColor="text1"/>
          <w:szCs w:val="22"/>
        </w:rPr>
        <w:t xml:space="preserve">dalis – </w:t>
      </w:r>
      <w:r w:rsidR="009B57FF" w:rsidRPr="00650EE4">
        <w:rPr>
          <w:rFonts w:ascii="Times New Roman" w:hAnsi="Times New Roman"/>
          <w:color w:val="000000" w:themeColor="text1"/>
          <w:szCs w:val="22"/>
        </w:rPr>
        <w:t xml:space="preserve">dėl </w:t>
      </w:r>
      <w:r w:rsidR="004574A8" w:rsidRPr="00650EE4">
        <w:rPr>
          <w:rFonts w:ascii="Times New Roman" w:hAnsi="Times New Roman"/>
          <w:color w:val="000000" w:themeColor="text1"/>
          <w:szCs w:val="22"/>
        </w:rPr>
        <w:t>vietinės (iš rajonų į miestus) ir tarptautinės (į kitas valstybes) m</w:t>
      </w:r>
      <w:r w:rsidR="009B57FF" w:rsidRPr="00650EE4">
        <w:rPr>
          <w:rFonts w:ascii="Times New Roman" w:hAnsi="Times New Roman"/>
          <w:color w:val="000000" w:themeColor="text1"/>
          <w:szCs w:val="22"/>
        </w:rPr>
        <w:t>igracijos nenaudojami pastatai.</w:t>
      </w:r>
      <w:r w:rsidR="004574A8" w:rsidRPr="00650EE4">
        <w:rPr>
          <w:rFonts w:ascii="Times New Roman" w:hAnsi="Times New Roman"/>
          <w:color w:val="000000" w:themeColor="text1"/>
          <w:szCs w:val="22"/>
        </w:rPr>
        <w:t xml:space="preserve"> Svarbu pažymėti, kad nors migracijos mastai </w:t>
      </w:r>
      <w:r w:rsidR="00462618" w:rsidRPr="00650EE4">
        <w:rPr>
          <w:rFonts w:ascii="Times New Roman" w:hAnsi="Times New Roman"/>
          <w:color w:val="000000" w:themeColor="text1"/>
          <w:szCs w:val="22"/>
        </w:rPr>
        <w:t>reikšmingai</w:t>
      </w:r>
      <w:r w:rsidR="004574A8" w:rsidRPr="00650EE4">
        <w:rPr>
          <w:rFonts w:ascii="Times New Roman" w:hAnsi="Times New Roman"/>
          <w:color w:val="000000" w:themeColor="text1"/>
          <w:szCs w:val="22"/>
        </w:rPr>
        <w:t xml:space="preserve"> didėjo, nėra duomenų apie jos įtaką pastatų naudojimui ir (arba) šildymui.</w:t>
      </w:r>
    </w:p>
    <w:p w14:paraId="31C169B3" w14:textId="77777777" w:rsidR="00A10964" w:rsidRPr="00650EE4" w:rsidRDefault="00A10964" w:rsidP="00BF7E8C">
      <w:pPr>
        <w:spacing w:line="240" w:lineRule="auto"/>
        <w:jc w:val="both"/>
        <w:rPr>
          <w:rFonts w:ascii="Times New Roman" w:hAnsi="Times New Roman"/>
          <w:color w:val="000000" w:themeColor="text1"/>
          <w:szCs w:val="22"/>
        </w:rPr>
      </w:pPr>
    </w:p>
    <w:p w14:paraId="1E4C162F" w14:textId="39FDBD7F" w:rsidR="00C3632D" w:rsidRPr="00650EE4" w:rsidRDefault="00A10964" w:rsidP="00BF7E8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Likusi d</w:t>
      </w:r>
      <w:r w:rsidR="00C3632D" w:rsidRPr="00650EE4">
        <w:rPr>
          <w:rFonts w:ascii="Times New Roman" w:hAnsi="Times New Roman"/>
          <w:color w:val="000000" w:themeColor="text1"/>
          <w:szCs w:val="22"/>
        </w:rPr>
        <w:t>alis tokių pastatų patenka į savininkų netur</w:t>
      </w:r>
      <w:r w:rsidR="00CD5AE4" w:rsidRPr="00650EE4">
        <w:rPr>
          <w:rFonts w:ascii="Times New Roman" w:hAnsi="Times New Roman"/>
          <w:color w:val="000000" w:themeColor="text1"/>
          <w:szCs w:val="22"/>
        </w:rPr>
        <w:t>i</w:t>
      </w:r>
      <w:r w:rsidR="00CB543F" w:rsidRPr="00650EE4">
        <w:rPr>
          <w:rFonts w:ascii="Times New Roman" w:hAnsi="Times New Roman"/>
          <w:color w:val="000000" w:themeColor="text1"/>
          <w:szCs w:val="22"/>
        </w:rPr>
        <w:t>n</w:t>
      </w:r>
      <w:r w:rsidR="00C3632D" w:rsidRPr="00650EE4">
        <w:rPr>
          <w:rFonts w:ascii="Times New Roman" w:hAnsi="Times New Roman"/>
          <w:color w:val="000000" w:themeColor="text1"/>
          <w:szCs w:val="22"/>
        </w:rPr>
        <w:t>čių pastatų kategoriją, kurių apskaitos, saugojimo, realizavimo tvarka nustatyta Bešeimininkio, konfiskuoto, valstybės paveldėto, valstybei perduoto turto, daiktinių įrodymų, lobių ir radinių perdavimo, apskaitymo, saugojimo, realizavimo, grąžinimo ir pripažinimo atliekomis taisyklėse</w:t>
      </w:r>
      <w:r w:rsidR="00A64EDC" w:rsidRPr="00650EE4">
        <w:rPr>
          <w:rStyle w:val="FootnoteReference"/>
          <w:rFonts w:ascii="Times New Roman" w:hAnsi="Times New Roman"/>
          <w:color w:val="000000" w:themeColor="text1"/>
          <w:szCs w:val="22"/>
        </w:rPr>
        <w:footnoteReference w:id="10"/>
      </w:r>
      <w:r w:rsidR="00C3632D" w:rsidRPr="00650EE4">
        <w:rPr>
          <w:rFonts w:ascii="Times New Roman" w:hAnsi="Times New Roman"/>
          <w:color w:val="000000" w:themeColor="text1"/>
          <w:szCs w:val="22"/>
        </w:rPr>
        <w:t xml:space="preserve">. </w:t>
      </w:r>
      <w:r w:rsidR="00944104" w:rsidRPr="00650EE4">
        <w:rPr>
          <w:rFonts w:ascii="Times New Roman" w:hAnsi="Times New Roman"/>
          <w:color w:val="000000" w:themeColor="text1"/>
          <w:szCs w:val="22"/>
        </w:rPr>
        <w:t>Pagal jas tokių pastatų sąrašus sudaro savivaldybės</w:t>
      </w:r>
      <w:r w:rsidR="00CB543F" w:rsidRPr="00650EE4">
        <w:rPr>
          <w:rFonts w:ascii="Times New Roman" w:hAnsi="Times New Roman"/>
          <w:color w:val="000000" w:themeColor="text1"/>
          <w:szCs w:val="22"/>
        </w:rPr>
        <w:t>.</w:t>
      </w:r>
    </w:p>
    <w:p w14:paraId="2CA74658" w14:textId="1A7C6E3A" w:rsidR="00CB543F" w:rsidRPr="00650EE4" w:rsidRDefault="00CB543F" w:rsidP="00BF7E8C">
      <w:pPr>
        <w:spacing w:line="240" w:lineRule="auto"/>
        <w:jc w:val="both"/>
        <w:rPr>
          <w:rFonts w:ascii="Times New Roman" w:hAnsi="Times New Roman"/>
          <w:color w:val="000000" w:themeColor="text1"/>
          <w:szCs w:val="22"/>
        </w:rPr>
      </w:pPr>
    </w:p>
    <w:p w14:paraId="61C0C44A" w14:textId="73FEB172" w:rsidR="00AC078A" w:rsidRPr="00650EE4" w:rsidRDefault="007A52B6" w:rsidP="00BF7E8C">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Lentelėje žemiau pateikiami p</w:t>
      </w:r>
      <w:r w:rsidR="00007E8C" w:rsidRPr="00650EE4">
        <w:rPr>
          <w:rFonts w:ascii="Times New Roman" w:hAnsi="Times New Roman"/>
          <w:color w:val="000000" w:themeColor="text1"/>
          <w:szCs w:val="22"/>
        </w:rPr>
        <w:t>astatų fondo koregavimai, t.y. pastatų fondo sumažinimas, įvertinant potencialiai nenaudojamus ir (arba) nešildomus pastatus.</w:t>
      </w:r>
    </w:p>
    <w:p w14:paraId="6CE7EC79" w14:textId="1867D8EB" w:rsidR="006348FB" w:rsidRPr="00650EE4" w:rsidRDefault="006348FB" w:rsidP="00BF7E8C">
      <w:pPr>
        <w:spacing w:line="240" w:lineRule="auto"/>
        <w:jc w:val="both"/>
        <w:rPr>
          <w:rFonts w:ascii="Times New Roman" w:hAnsi="Times New Roman"/>
          <w:color w:val="000000" w:themeColor="text1"/>
          <w:szCs w:val="22"/>
        </w:rPr>
      </w:pPr>
    </w:p>
    <w:p w14:paraId="4B53D04A" w14:textId="2462D5B9" w:rsidR="006348F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76" w:name="_Toc67925211"/>
      <w:r w:rsidR="007744C1">
        <w:t>28</w:t>
      </w:r>
      <w:r w:rsidRPr="00650EE4">
        <w:rPr>
          <w:noProof w:val="0"/>
        </w:rPr>
        <w:fldChar w:fldCharType="end"/>
      </w:r>
      <w:r w:rsidR="006348FB" w:rsidRPr="00650EE4">
        <w:rPr>
          <w:noProof w:val="0"/>
        </w:rPr>
        <w:t xml:space="preserve"> lentelė. Pastatų fondo koregavimas –</w:t>
      </w:r>
      <w:r w:rsidR="00D75E7D" w:rsidRPr="00650EE4">
        <w:rPr>
          <w:noProof w:val="0"/>
        </w:rPr>
        <w:t xml:space="preserve"> nenaudojamų ir (arba) nešildomi</w:t>
      </w:r>
      <w:r w:rsidR="006348FB" w:rsidRPr="00650EE4">
        <w:rPr>
          <w:noProof w:val="0"/>
        </w:rPr>
        <w:t xml:space="preserve"> pastat</w:t>
      </w:r>
      <w:r w:rsidR="00D75E7D" w:rsidRPr="00650EE4">
        <w:rPr>
          <w:noProof w:val="0"/>
        </w:rPr>
        <w:t>ai</w:t>
      </w:r>
      <w:bookmarkEnd w:id="76"/>
    </w:p>
    <w:tbl>
      <w:tblPr>
        <w:tblW w:w="5000" w:type="pct"/>
        <w:tblLook w:val="04A0" w:firstRow="1" w:lastRow="0" w:firstColumn="1" w:lastColumn="0" w:noHBand="0" w:noVBand="1"/>
      </w:tblPr>
      <w:tblGrid>
        <w:gridCol w:w="2196"/>
        <w:gridCol w:w="2031"/>
        <w:gridCol w:w="1947"/>
        <w:gridCol w:w="2065"/>
        <w:gridCol w:w="2181"/>
      </w:tblGrid>
      <w:tr w:rsidR="002300F6" w:rsidRPr="00650EE4" w14:paraId="5336734B" w14:textId="2A4FF4BB"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EF3BC" w14:textId="0B3C0A46"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Statybos metai</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2C2C" w14:textId="3C3237E8"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Daugiabučiai</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bottom"/>
          </w:tcPr>
          <w:p w14:paraId="775049F5" w14:textId="210DCDD4"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Individualūs</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574EEA0F" w14:textId="0C50F2A2"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Sandėliavimo</w:t>
            </w:r>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586C6580" w14:textId="358B624E"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Kiti negyvenamieji</w:t>
            </w:r>
          </w:p>
        </w:tc>
      </w:tr>
      <w:tr w:rsidR="002300F6" w:rsidRPr="00650EE4" w14:paraId="0EFCEA8C" w14:textId="517EC8D9"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5D0F3" w14:textId="1DE517D6"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iki 1900</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DAEA6" w14:textId="78D024DC"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bottom"/>
          </w:tcPr>
          <w:p w14:paraId="5E12153B" w14:textId="64230DFF"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76C56D3E" w14:textId="2FDCD611"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07EC1583" w14:textId="30AFECCB"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r>
      <w:tr w:rsidR="002300F6" w:rsidRPr="00650EE4" w14:paraId="19867D4C" w14:textId="0701EC8E"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DFE2"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1901-1960</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706A3"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468A8274" w14:textId="25263B8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136C12C6" w14:textId="142EC6EE"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40%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6FDCAC45" w14:textId="681BEDCD"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r>
      <w:tr w:rsidR="002300F6" w:rsidRPr="00650EE4" w14:paraId="76415ABF" w14:textId="7FC9C51B"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9D88"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1961-1992</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F0BB7"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15DD8205" w14:textId="46C56BF3"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3AD32B8C" w14:textId="61925946"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30%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7A9B8854" w14:textId="127ECB4F"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r>
      <w:tr w:rsidR="002300F6" w:rsidRPr="00650EE4" w14:paraId="20E87F23" w14:textId="3BC9F188"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ED0C7" w14:textId="454DC2F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1993-2005</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C4966" w14:textId="572417C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22C92733"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8D13C0D" w14:textId="1FDE54D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20%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4D43C15A" w14:textId="254A5684"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r>
      <w:tr w:rsidR="002300F6" w:rsidRPr="00650EE4" w14:paraId="53A40A18" w14:textId="3B5D7675"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138EA" w14:textId="533C4A2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2006-2014</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1591B" w14:textId="1EB11E1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65E7593C"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6B503EA1" w14:textId="1E16A3AE"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0B963B67" w14:textId="2FE5BE0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r>
    </w:tbl>
    <w:p w14:paraId="20173104" w14:textId="7958EFC9" w:rsidR="00CB1BCE" w:rsidRPr="00650EE4" w:rsidRDefault="00CB1BCE" w:rsidP="00CB1BCE">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2334F6C7" w14:textId="11D95340" w:rsidR="0053529F" w:rsidRPr="00650EE4" w:rsidRDefault="0053529F">
      <w:pPr>
        <w:spacing w:after="240"/>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br w:type="page"/>
      </w:r>
    </w:p>
    <w:p w14:paraId="30FCDDCF" w14:textId="7B38DAC6" w:rsidR="00877BD5" w:rsidRPr="00650EE4" w:rsidRDefault="00357BF9" w:rsidP="006B52E7">
      <w:pPr>
        <w:pStyle w:val="Antrastes31"/>
        <w:numPr>
          <w:ilvl w:val="2"/>
          <w:numId w:val="4"/>
        </w:numPr>
        <w:spacing w:before="120"/>
        <w:ind w:left="720" w:hanging="720"/>
        <w:rPr>
          <w:rFonts w:ascii="Times New Roman" w:hAnsi="Times New Roman"/>
          <w:color w:val="000000" w:themeColor="text1"/>
          <w:sz w:val="24"/>
          <w:szCs w:val="24"/>
          <w:lang w:val="lt-LT"/>
        </w:rPr>
      </w:pPr>
      <w:bookmarkStart w:id="77" w:name="_Toc67925119"/>
      <w:r w:rsidRPr="00650EE4">
        <w:rPr>
          <w:rFonts w:ascii="Times New Roman" w:hAnsi="Times New Roman"/>
          <w:color w:val="000000" w:themeColor="text1"/>
          <w:sz w:val="24"/>
          <w:szCs w:val="24"/>
          <w:lang w:val="lt-LT"/>
        </w:rPr>
        <w:lastRenderedPageBreak/>
        <w:t>Energijos beveik nevartojantys pastatai</w:t>
      </w:r>
      <w:bookmarkEnd w:id="77"/>
    </w:p>
    <w:p w14:paraId="3F0CB1E3" w14:textId="3198F1C3" w:rsidR="00BC2D25" w:rsidRPr="00650EE4" w:rsidRDefault="00BC2D25" w:rsidP="005B491F">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Pagal šiuo metu galiojančius teisės aktus, Lietuvoje beveik energijos nevartoja</w:t>
      </w:r>
      <w:r w:rsidR="004E39DF" w:rsidRPr="00650EE4">
        <w:rPr>
          <w:rFonts w:ascii="Times New Roman" w:hAnsi="Times New Roman"/>
          <w:color w:val="000000" w:themeColor="text1"/>
          <w:szCs w:val="22"/>
        </w:rPr>
        <w:t>nčiais</w:t>
      </w:r>
      <w:r w:rsidRPr="00650EE4">
        <w:rPr>
          <w:rFonts w:ascii="Times New Roman" w:hAnsi="Times New Roman"/>
          <w:color w:val="000000" w:themeColor="text1"/>
          <w:szCs w:val="22"/>
        </w:rPr>
        <w:t xml:space="preserve"> pastatai</w:t>
      </w:r>
      <w:r w:rsidR="005B491F" w:rsidRPr="00650EE4">
        <w:rPr>
          <w:rFonts w:ascii="Times New Roman" w:hAnsi="Times New Roman"/>
          <w:color w:val="000000" w:themeColor="text1"/>
          <w:szCs w:val="22"/>
        </w:rPr>
        <w:t>s yra laikomi pastatai</w:t>
      </w:r>
      <w:r w:rsidRPr="00650EE4">
        <w:rPr>
          <w:rFonts w:ascii="Times New Roman" w:hAnsi="Times New Roman"/>
          <w:color w:val="000000" w:themeColor="text1"/>
          <w:szCs w:val="22"/>
        </w:rPr>
        <w:t xml:space="preserve"> atitinkantys A++ energinio n</w:t>
      </w:r>
      <w:r w:rsidR="005B491F" w:rsidRPr="00650EE4">
        <w:rPr>
          <w:rFonts w:ascii="Times New Roman" w:hAnsi="Times New Roman"/>
          <w:color w:val="000000" w:themeColor="text1"/>
          <w:szCs w:val="22"/>
        </w:rPr>
        <w:t xml:space="preserve">audingumo klasės reikalavimus: </w:t>
      </w:r>
    </w:p>
    <w:p w14:paraId="26AC36D1" w14:textId="4859EF0B" w:rsidR="00BC2D25" w:rsidRPr="00650EE4" w:rsidRDefault="00BC2D25" w:rsidP="005B491F">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Pagal Statybos įstatymo 51 str. 5 punktą: „5. &lt;...&gt; Nuo 2019 m. sausio 1 d. valstybės ir savivaldybių institucijų, įstaigų ir įmonių statomi nauji, o nuo 2021 m. sausio 1 d. – visi statomi nauji pastatai turi būti energijos beveik nevartojantys pastatai, kaip jie suprantami pagal Lietuvos Respublikos atsinaujinančių išteklių energetikos įstatymą. Reikalavimus energijos beveik nevartojantiems pastatams nustato Vyriausybė arba jos įgaliotos institucijos. &lt;...&gt;“</w:t>
      </w:r>
      <w:r w:rsidR="0084309E" w:rsidRPr="00650EE4">
        <w:rPr>
          <w:rFonts w:ascii="Times New Roman" w:hAnsi="Times New Roman"/>
          <w:color w:val="000000" w:themeColor="text1"/>
          <w:szCs w:val="22"/>
        </w:rPr>
        <w:t>;</w:t>
      </w:r>
    </w:p>
    <w:p w14:paraId="37BFA8F2" w14:textId="599BFA5B" w:rsidR="00BC2D25" w:rsidRPr="00650EE4" w:rsidRDefault="00BC2D25" w:rsidP="005B491F">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Pagal STR 2.01.02:2016 „Pastatų energinio naudingumo projektavimas ir sertifikavimas“ 4.17. punktą „energijos beveik nevartojantys pastatai – pastatai, atitinkantys Reglamento reikalavimus A++ energinio naudingumo klasės pastatams, t. y. labai aukšto energinio naudingumo pastatai, kuriuose energijos sunaudojimas beveik lygus nuliui arba energijos sunaudojimas labai mažas; didžiąją sunaudojamos energijos dalį sudaro atsinaujinančių išteklių energija, įskaitant vietoje ar netoliese pagamintą atsinaujinančių išteklių energiją;“</w:t>
      </w:r>
    </w:p>
    <w:p w14:paraId="4EC12E85" w14:textId="6B569E31" w:rsidR="00BC2D25" w:rsidRPr="00650EE4" w:rsidRDefault="00BC2D25" w:rsidP="005B491F">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Pagal STR 2.01.02:2016 „Pastatų energinio naudingumo projektavimas ir sertifikavimas“ 21. punktą „Statomų pastatų, kuriems prašymas išduoti leidimą statyti naują statinį pateiktas po 2021 m. sausio 1 d., kai statybą leidžiantys dokumentai neprivalomi, – statybos darbai pradėti po 2021 m. sausio 1 d., energinio naudingumo klasė turi būti ne žemesnė kaip A++“.</w:t>
      </w:r>
    </w:p>
    <w:p w14:paraId="74FF9C95" w14:textId="77777777" w:rsidR="00BC2D25" w:rsidRPr="00650EE4" w:rsidRDefault="00BC2D25" w:rsidP="00432D9B">
      <w:pPr>
        <w:spacing w:line="240" w:lineRule="auto"/>
        <w:jc w:val="both"/>
        <w:rPr>
          <w:rFonts w:ascii="Times New Roman" w:hAnsi="Times New Roman"/>
          <w:color w:val="000000" w:themeColor="text1"/>
          <w:szCs w:val="22"/>
        </w:rPr>
      </w:pPr>
    </w:p>
    <w:p w14:paraId="24FE669F" w14:textId="0AB0A703" w:rsidR="004110DB" w:rsidRPr="00650EE4" w:rsidRDefault="00432D9B" w:rsidP="00A306B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R</w:t>
      </w:r>
      <w:r w:rsidR="006F12DF" w:rsidRPr="00650EE4">
        <w:rPr>
          <w:rFonts w:ascii="Times New Roman" w:hAnsi="Times New Roman"/>
          <w:color w:val="000000" w:themeColor="text1"/>
          <w:szCs w:val="22"/>
        </w:rPr>
        <w:t>emiantis</w:t>
      </w:r>
      <w:r w:rsidR="00BC2D25" w:rsidRPr="00650EE4">
        <w:rPr>
          <w:rFonts w:ascii="Times New Roman" w:hAnsi="Times New Roman"/>
          <w:color w:val="000000" w:themeColor="text1"/>
          <w:szCs w:val="22"/>
        </w:rPr>
        <w:t xml:space="preserve"> SPSC </w:t>
      </w:r>
      <w:r w:rsidR="006F12DF" w:rsidRPr="00650EE4">
        <w:rPr>
          <w:rFonts w:ascii="Times New Roman" w:hAnsi="Times New Roman"/>
          <w:color w:val="000000" w:themeColor="text1"/>
          <w:szCs w:val="22"/>
        </w:rPr>
        <w:t>duomenų registro</w:t>
      </w:r>
      <w:r w:rsidR="00D430AF" w:rsidRPr="00650EE4">
        <w:rPr>
          <w:rStyle w:val="FootnoteReference"/>
          <w:rFonts w:ascii="Times New Roman" w:hAnsi="Times New Roman"/>
          <w:color w:val="000000" w:themeColor="text1"/>
          <w:szCs w:val="22"/>
        </w:rPr>
        <w:footnoteReference w:id="11"/>
      </w:r>
      <w:r w:rsidR="006F12DF" w:rsidRPr="00650EE4">
        <w:rPr>
          <w:rFonts w:ascii="Times New Roman" w:hAnsi="Times New Roman"/>
          <w:color w:val="000000" w:themeColor="text1"/>
          <w:szCs w:val="22"/>
        </w:rPr>
        <w:t xml:space="preserve"> </w:t>
      </w:r>
      <w:r w:rsidR="00BC2D25" w:rsidRPr="00650EE4">
        <w:rPr>
          <w:rFonts w:ascii="Times New Roman" w:hAnsi="Times New Roman"/>
          <w:color w:val="000000" w:themeColor="text1"/>
          <w:szCs w:val="22"/>
        </w:rPr>
        <w:t xml:space="preserve">2020 m. sausio </w:t>
      </w:r>
      <w:r w:rsidR="00556EA2" w:rsidRPr="00650EE4">
        <w:rPr>
          <w:rFonts w:ascii="Times New Roman" w:hAnsi="Times New Roman"/>
          <w:color w:val="000000" w:themeColor="text1"/>
          <w:szCs w:val="22"/>
        </w:rPr>
        <w:t>mėn.</w:t>
      </w:r>
      <w:r w:rsidR="00BC2D25" w:rsidRPr="00650EE4">
        <w:rPr>
          <w:rFonts w:ascii="Times New Roman" w:hAnsi="Times New Roman"/>
          <w:color w:val="000000" w:themeColor="text1"/>
          <w:szCs w:val="22"/>
        </w:rPr>
        <w:t xml:space="preserve"> duomen</w:t>
      </w:r>
      <w:r w:rsidR="001C16C5" w:rsidRPr="00650EE4">
        <w:rPr>
          <w:rFonts w:ascii="Times New Roman" w:hAnsi="Times New Roman"/>
          <w:color w:val="000000" w:themeColor="text1"/>
          <w:szCs w:val="22"/>
        </w:rPr>
        <w:t>imis</w:t>
      </w:r>
      <w:r w:rsidRPr="00650EE4">
        <w:rPr>
          <w:rFonts w:ascii="Times New Roman" w:hAnsi="Times New Roman"/>
          <w:color w:val="000000" w:themeColor="text1"/>
          <w:szCs w:val="22"/>
        </w:rPr>
        <w:t xml:space="preserve"> </w:t>
      </w:r>
      <w:r w:rsidR="005B491F" w:rsidRPr="00650EE4">
        <w:rPr>
          <w:rFonts w:ascii="Times New Roman" w:hAnsi="Times New Roman"/>
          <w:color w:val="000000" w:themeColor="text1"/>
          <w:szCs w:val="22"/>
        </w:rPr>
        <w:t>Lietuvoje sertifikuoti</w:t>
      </w:r>
      <w:r w:rsidR="00BC2D25" w:rsidRPr="00650EE4">
        <w:rPr>
          <w:rFonts w:ascii="Times New Roman" w:hAnsi="Times New Roman"/>
          <w:color w:val="000000" w:themeColor="text1"/>
          <w:szCs w:val="22"/>
        </w:rPr>
        <w:t xml:space="preserve"> 46 A++ energinio naudingumo klasės pastatai. Bendras šių pastatų plotas yra 149 tūks</w:t>
      </w:r>
      <w:r w:rsidR="00556EA2" w:rsidRPr="00650EE4">
        <w:rPr>
          <w:rFonts w:ascii="Times New Roman" w:hAnsi="Times New Roman"/>
          <w:color w:val="000000" w:themeColor="text1"/>
          <w:szCs w:val="22"/>
        </w:rPr>
        <w:t>t</w:t>
      </w:r>
      <w:r w:rsidR="00BC2D25" w:rsidRPr="00650EE4">
        <w:rPr>
          <w:rFonts w:ascii="Times New Roman" w:hAnsi="Times New Roman"/>
          <w:color w:val="000000" w:themeColor="text1"/>
          <w:szCs w:val="22"/>
        </w:rPr>
        <w:t>. m</w:t>
      </w:r>
      <w:r w:rsidR="00BC2D25" w:rsidRPr="00650EE4">
        <w:rPr>
          <w:rFonts w:ascii="Times New Roman" w:hAnsi="Times New Roman"/>
          <w:color w:val="000000" w:themeColor="text1"/>
          <w:szCs w:val="22"/>
          <w:vertAlign w:val="superscript"/>
        </w:rPr>
        <w:t>2</w:t>
      </w:r>
      <w:r w:rsidR="00BC2D25" w:rsidRPr="00650EE4">
        <w:rPr>
          <w:rFonts w:ascii="Times New Roman" w:hAnsi="Times New Roman"/>
          <w:color w:val="000000" w:themeColor="text1"/>
          <w:szCs w:val="22"/>
        </w:rPr>
        <w:t>. Daugiausia A++ energinio naudingumo klasės pastatų yra Vilniaus (16 pastatų), Kauno (10 pastatų) ir Klaipėdos (5 pastatai)</w:t>
      </w:r>
      <w:r w:rsidR="00A17ACA" w:rsidRPr="00650EE4">
        <w:rPr>
          <w:rFonts w:ascii="Times New Roman" w:hAnsi="Times New Roman"/>
          <w:color w:val="000000" w:themeColor="text1"/>
          <w:szCs w:val="22"/>
        </w:rPr>
        <w:t xml:space="preserve"> apskrityse</w:t>
      </w:r>
      <w:r w:rsidR="00A306BC" w:rsidRPr="00650EE4">
        <w:rPr>
          <w:rFonts w:ascii="Times New Roman" w:hAnsi="Times New Roman"/>
          <w:color w:val="000000" w:themeColor="text1"/>
          <w:szCs w:val="22"/>
        </w:rPr>
        <w:t xml:space="preserve">. </w:t>
      </w:r>
    </w:p>
    <w:p w14:paraId="3603D1DE" w14:textId="77777777" w:rsidR="00A306BC" w:rsidRPr="00650EE4" w:rsidRDefault="00A306BC" w:rsidP="00A306BC">
      <w:pPr>
        <w:spacing w:line="240" w:lineRule="auto"/>
        <w:jc w:val="both"/>
        <w:rPr>
          <w:rFonts w:ascii="Times New Roman" w:hAnsi="Times New Roman"/>
          <w:color w:val="000000" w:themeColor="text1"/>
          <w:szCs w:val="22"/>
        </w:rPr>
      </w:pPr>
    </w:p>
    <w:p w14:paraId="62B777B4" w14:textId="453E3DAA" w:rsidR="00E85447"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78" w:name="_Toc67925261"/>
      <w:r w:rsidR="007744C1">
        <w:t>13</w:t>
      </w:r>
      <w:r w:rsidRPr="00650EE4">
        <w:rPr>
          <w:noProof w:val="0"/>
        </w:rPr>
        <w:fldChar w:fldCharType="end"/>
      </w:r>
      <w:r w:rsidR="00F57D16" w:rsidRPr="00650EE4">
        <w:rPr>
          <w:noProof w:val="0"/>
        </w:rPr>
        <w:t xml:space="preserve"> paveikslas</w:t>
      </w:r>
      <w:r w:rsidR="00663A67" w:rsidRPr="00650EE4">
        <w:rPr>
          <w:noProof w:val="0"/>
        </w:rPr>
        <w:t xml:space="preserve">. </w:t>
      </w:r>
      <w:r w:rsidR="00C81035" w:rsidRPr="00650EE4">
        <w:rPr>
          <w:noProof w:val="0"/>
        </w:rPr>
        <w:t xml:space="preserve">A++ energinio naudingumo klasės pastatų skaičius pagal </w:t>
      </w:r>
      <w:r w:rsidR="005C750C" w:rsidRPr="00650EE4">
        <w:rPr>
          <w:noProof w:val="0"/>
        </w:rPr>
        <w:t xml:space="preserve">pastatų </w:t>
      </w:r>
      <w:r w:rsidR="00C81035" w:rsidRPr="00650EE4">
        <w:rPr>
          <w:noProof w:val="0"/>
        </w:rPr>
        <w:t xml:space="preserve">paskirtį </w:t>
      </w:r>
      <w:r w:rsidR="009677EA" w:rsidRPr="00650EE4">
        <w:rPr>
          <w:noProof w:val="0"/>
        </w:rPr>
        <w:t>(</w:t>
      </w:r>
      <w:r w:rsidR="007C141C" w:rsidRPr="00650EE4">
        <w:rPr>
          <w:noProof w:val="0"/>
        </w:rPr>
        <w:t>vnt.</w:t>
      </w:r>
      <w:r w:rsidR="009677EA" w:rsidRPr="00650EE4">
        <w:rPr>
          <w:noProof w:val="0"/>
        </w:rPr>
        <w:t>)</w:t>
      </w:r>
      <w:bookmarkEnd w:id="78"/>
    </w:p>
    <w:p w14:paraId="33719E70" w14:textId="0ED96C9F" w:rsidR="00347983" w:rsidRPr="00650EE4" w:rsidRDefault="00DA63F0" w:rsidP="00C81035">
      <w:pPr>
        <w:pStyle w:val="Caption"/>
        <w:spacing w:before="0"/>
        <w:jc w:val="left"/>
        <w:rPr>
          <w:rFonts w:ascii="Times New Roman" w:hAnsi="Times New Roman"/>
          <w:color w:val="000000" w:themeColor="text1"/>
          <w:sz w:val="24"/>
          <w:szCs w:val="24"/>
        </w:rPr>
      </w:pPr>
      <w:r w:rsidRPr="00650EE4">
        <w:rPr>
          <w:rFonts w:ascii="Times New Roman" w:hAnsi="Times New Roman"/>
          <w:noProof/>
          <w:color w:val="000000" w:themeColor="text1"/>
        </w:rPr>
        <w:drawing>
          <wp:inline distT="0" distB="0" distL="0" distR="0" wp14:anchorId="4628C09D" wp14:editId="0AF45AC1">
            <wp:extent cx="6479540" cy="2404287"/>
            <wp:effectExtent l="0" t="0" r="16510" b="15240"/>
            <wp:docPr id="8" name="Chart 8">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F62663-8836-406E-B0B1-4AE651634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FCBF2D" w14:textId="32C5200B" w:rsidR="00554ED4" w:rsidRPr="00650EE4" w:rsidRDefault="00554ED4" w:rsidP="00554ED4">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534AF8" w:rsidRPr="00650EE4">
        <w:rPr>
          <w:rFonts w:ascii="Times New Roman" w:eastAsia="Times New Roman" w:hAnsi="Times New Roman"/>
          <w:i/>
          <w:color w:val="000000" w:themeColor="text1"/>
          <w:sz w:val="20"/>
          <w:szCs w:val="28"/>
        </w:rPr>
        <w:t>SPSC duomenų registras.</w:t>
      </w:r>
    </w:p>
    <w:p w14:paraId="5D2EA74E" w14:textId="22D4F22F" w:rsidR="00051E2B" w:rsidRPr="00650EE4" w:rsidRDefault="00051E2B" w:rsidP="00BF7E8C">
      <w:pPr>
        <w:spacing w:line="240" w:lineRule="auto"/>
        <w:jc w:val="both"/>
        <w:rPr>
          <w:rFonts w:ascii="Times New Roman" w:hAnsi="Times New Roman"/>
          <w:color w:val="000000" w:themeColor="text1"/>
          <w:sz w:val="24"/>
          <w:szCs w:val="24"/>
        </w:rPr>
      </w:pPr>
    </w:p>
    <w:p w14:paraId="54CDF853" w14:textId="0CBF96B6" w:rsidR="00051E2B" w:rsidRPr="00650EE4" w:rsidRDefault="00CD6A4B" w:rsidP="006B52E7">
      <w:pPr>
        <w:pStyle w:val="Antrastes31"/>
        <w:numPr>
          <w:ilvl w:val="2"/>
          <w:numId w:val="4"/>
        </w:numPr>
        <w:spacing w:before="120"/>
        <w:ind w:left="720" w:hanging="720"/>
        <w:rPr>
          <w:rFonts w:ascii="Times New Roman" w:hAnsi="Times New Roman"/>
          <w:color w:val="000000" w:themeColor="text1"/>
          <w:sz w:val="24"/>
          <w:szCs w:val="24"/>
          <w:lang w:val="lt-LT"/>
        </w:rPr>
      </w:pPr>
      <w:bookmarkStart w:id="79" w:name="_Toc67925120"/>
      <w:r w:rsidRPr="00650EE4">
        <w:rPr>
          <w:rFonts w:ascii="Times New Roman" w:hAnsi="Times New Roman"/>
          <w:color w:val="000000" w:themeColor="text1"/>
          <w:sz w:val="24"/>
          <w:szCs w:val="24"/>
          <w:lang w:val="lt-LT"/>
        </w:rPr>
        <w:t>Renovuoti pastatai</w:t>
      </w:r>
      <w:bookmarkEnd w:id="79"/>
    </w:p>
    <w:p w14:paraId="3E70C084" w14:textId="12E1571B" w:rsidR="005B491F" w:rsidRPr="00650EE4" w:rsidRDefault="00C47366" w:rsidP="0056326A">
      <w:pPr>
        <w:jc w:val="both"/>
        <w:rPr>
          <w:rFonts w:ascii="Times New Roman" w:hAnsi="Times New Roman"/>
          <w:szCs w:val="22"/>
        </w:rPr>
      </w:pPr>
      <w:r w:rsidRPr="00650EE4">
        <w:rPr>
          <w:rFonts w:ascii="Times New Roman" w:hAnsi="Times New Roman"/>
          <w:bCs/>
          <w:szCs w:val="22"/>
        </w:rPr>
        <w:t xml:space="preserve">Sisteminės, valstybės lygmeniu vykdomos pastatų renovacijos pradžia galima </w:t>
      </w:r>
      <w:r w:rsidR="00E52D6B" w:rsidRPr="00650EE4">
        <w:rPr>
          <w:rFonts w:ascii="Times New Roman" w:hAnsi="Times New Roman"/>
          <w:bCs/>
          <w:szCs w:val="22"/>
        </w:rPr>
        <w:t>laikyti 1996 m., p</w:t>
      </w:r>
      <w:r w:rsidR="00E52D6B" w:rsidRPr="00650EE4">
        <w:rPr>
          <w:rFonts w:ascii="Times New Roman" w:hAnsi="Times New Roman"/>
          <w:szCs w:val="22"/>
        </w:rPr>
        <w:t>agal sutartį su Pasaulio banku, įgyvendintą energijos taupymo būste demonstracinį projektą. Informacija apie šį ir vėle</w:t>
      </w:r>
      <w:r w:rsidR="007778C6" w:rsidRPr="00650EE4">
        <w:rPr>
          <w:rFonts w:ascii="Times New Roman" w:hAnsi="Times New Roman"/>
          <w:szCs w:val="22"/>
        </w:rPr>
        <w:t>s</w:t>
      </w:r>
      <w:r w:rsidR="00E52D6B" w:rsidRPr="00650EE4">
        <w:rPr>
          <w:rFonts w:ascii="Times New Roman" w:hAnsi="Times New Roman"/>
          <w:szCs w:val="22"/>
        </w:rPr>
        <w:t xml:space="preserve">nius pastatų renovacijos etapus pateikiama žemiau.  </w:t>
      </w:r>
    </w:p>
    <w:p w14:paraId="5602F8D8" w14:textId="77777777" w:rsidR="00C47366" w:rsidRPr="00650EE4" w:rsidRDefault="00C47366" w:rsidP="0056326A">
      <w:pPr>
        <w:jc w:val="both"/>
        <w:rPr>
          <w:rFonts w:ascii="Times New Roman" w:hAnsi="Times New Roman"/>
          <w:b/>
          <w:bCs/>
          <w:szCs w:val="22"/>
        </w:rPr>
      </w:pPr>
    </w:p>
    <w:p w14:paraId="0D891C9D" w14:textId="4417B60A" w:rsidR="00881029" w:rsidRPr="00650EE4" w:rsidRDefault="00881029" w:rsidP="0056326A">
      <w:pPr>
        <w:jc w:val="both"/>
        <w:rPr>
          <w:rFonts w:ascii="Times New Roman" w:hAnsi="Times New Roman"/>
          <w:b/>
          <w:bCs/>
          <w:szCs w:val="22"/>
        </w:rPr>
      </w:pPr>
      <w:r w:rsidRPr="00650EE4">
        <w:rPr>
          <w:rFonts w:ascii="Times New Roman" w:hAnsi="Times New Roman"/>
          <w:b/>
          <w:bCs/>
          <w:szCs w:val="22"/>
        </w:rPr>
        <w:t>Energijos taupymo būste demonstracini projektas (1996-2003)</w:t>
      </w:r>
    </w:p>
    <w:p w14:paraId="15E52504" w14:textId="3E79D54E" w:rsidR="00881029" w:rsidRPr="00650EE4" w:rsidRDefault="00881029" w:rsidP="0056326A">
      <w:pPr>
        <w:jc w:val="both"/>
        <w:rPr>
          <w:rFonts w:ascii="Times New Roman" w:hAnsi="Times New Roman"/>
          <w:szCs w:val="22"/>
        </w:rPr>
      </w:pPr>
      <w:r w:rsidRPr="00650EE4">
        <w:rPr>
          <w:rFonts w:ascii="Times New Roman" w:hAnsi="Times New Roman"/>
          <w:szCs w:val="22"/>
        </w:rPr>
        <w:t xml:space="preserve">Pagal sutartį su Pasaulio banku 1996–2003 metais buvo įgyvendinamas energijos taupymo būste demonstracinis projektas – Pasaulio banko įsteigto apyvartinio fondo lėšomis finansuoti daugiabučių namų atnaujinimo projektai, skirti energijai taupyti (šilumos punktams ir šildymo sistemoms modernizuoti, langams ir lauko durims keisti, </w:t>
      </w:r>
      <w:r w:rsidRPr="00650EE4">
        <w:rPr>
          <w:rFonts w:ascii="Times New Roman" w:hAnsi="Times New Roman"/>
          <w:szCs w:val="22"/>
        </w:rPr>
        <w:lastRenderedPageBreak/>
        <w:t>stogams ir sienoms šiltinti ir panašiai). Iš Lietuvos Respublikos valstybės biudžeto kompensuota 30 procentų investicijų. Pagal šį projektą iš dalies atnaujinta (be sienų šiltinimo) daugiau kaip 700 daugiabučių namų, investuota per 70 mln. litų, šiluminės energijos sąnaudos šiuose pastatuose sumažintos apie 24 procentus.</w:t>
      </w:r>
    </w:p>
    <w:p w14:paraId="741AD7D2" w14:textId="77777777" w:rsidR="00881029" w:rsidRPr="00650EE4" w:rsidRDefault="00881029" w:rsidP="0056326A">
      <w:pPr>
        <w:jc w:val="both"/>
        <w:rPr>
          <w:rFonts w:ascii="Times New Roman" w:hAnsi="Times New Roman"/>
          <w:b/>
          <w:bCs/>
          <w:szCs w:val="22"/>
        </w:rPr>
      </w:pPr>
    </w:p>
    <w:p w14:paraId="61207E47" w14:textId="61A5A3F1" w:rsidR="00881029" w:rsidRPr="00650EE4" w:rsidRDefault="00881029" w:rsidP="0056326A">
      <w:pPr>
        <w:jc w:val="both"/>
        <w:rPr>
          <w:rFonts w:ascii="Times New Roman" w:hAnsi="Times New Roman"/>
          <w:b/>
          <w:bCs/>
          <w:szCs w:val="22"/>
        </w:rPr>
      </w:pPr>
      <w:r w:rsidRPr="00650EE4">
        <w:rPr>
          <w:rFonts w:ascii="Times New Roman" w:hAnsi="Times New Roman"/>
          <w:b/>
          <w:bCs/>
          <w:szCs w:val="22"/>
        </w:rPr>
        <w:t>Daugiabučių namų atnaujinimas pirmiausia didinant jų energijos vartojimo efektyvumą (2007-2013)</w:t>
      </w:r>
    </w:p>
    <w:p w14:paraId="6E9436C4" w14:textId="77777777" w:rsidR="0056326A" w:rsidRPr="00650EE4" w:rsidRDefault="00881029" w:rsidP="0056326A">
      <w:pPr>
        <w:jc w:val="both"/>
        <w:rPr>
          <w:rFonts w:ascii="Times New Roman" w:hAnsi="Times New Roman"/>
          <w:szCs w:val="22"/>
        </w:rPr>
      </w:pPr>
      <w:r w:rsidRPr="00650EE4">
        <w:rPr>
          <w:rFonts w:ascii="Times New Roman" w:hAnsi="Times New Roman"/>
          <w:szCs w:val="22"/>
        </w:rPr>
        <w:t>Daugiabučių namų atnaujinimas finansuotas ir pagal 2007–2013 metų Sanglaudos skatinimo veiksmų programos 1 prioriteto „Vietinė ir urbanistinė plėtra, kultūros paveldo ir gamtos išsaugojimas bei pritaikymas turizmo plėtrai“ įgyvendinimo priemonę VP3-1.1-VRM-03-R „Daugiabučių namų atnaujinimas pirmiausia didinant jų energijos vartojimo efektyvumą“ (atsakinga Lietuvos Respublikos vidaus reikalų ministerija). Šiai priemonei skirta 163,471 mln. litų. Lėšos paskirstytos savivaldybėms, kurios pagal Lietuvos Respublikos Vyriausybės 2007 m. sausio 31 d. nutarimą Nr. 112 „Dėl probleminių teritorijų“ priskirtos probleminėms teritorijoms. Iki 2013 metų atnaujinta apie 150 daugiabučių namų</w:t>
      </w:r>
      <w:r w:rsidR="00884BA6" w:rsidRPr="00650EE4">
        <w:rPr>
          <w:rFonts w:ascii="Times New Roman" w:hAnsi="Times New Roman"/>
          <w:szCs w:val="22"/>
        </w:rPr>
        <w:t>.</w:t>
      </w:r>
    </w:p>
    <w:p w14:paraId="4A5CE350" w14:textId="4705E607" w:rsidR="00E57E38" w:rsidRPr="00650EE4" w:rsidRDefault="00E57E38" w:rsidP="0056326A">
      <w:pPr>
        <w:jc w:val="both"/>
        <w:rPr>
          <w:rFonts w:ascii="Times New Roman" w:hAnsi="Times New Roman"/>
          <w:b/>
          <w:bCs/>
          <w:szCs w:val="22"/>
        </w:rPr>
      </w:pPr>
    </w:p>
    <w:p w14:paraId="5583AFE8" w14:textId="0A53C297" w:rsidR="00881029" w:rsidRPr="00650EE4" w:rsidRDefault="00881029" w:rsidP="0056326A">
      <w:pPr>
        <w:jc w:val="both"/>
        <w:rPr>
          <w:rFonts w:ascii="Times New Roman" w:hAnsi="Times New Roman"/>
          <w:b/>
          <w:bCs/>
          <w:szCs w:val="22"/>
        </w:rPr>
      </w:pPr>
      <w:r w:rsidRPr="00650EE4">
        <w:rPr>
          <w:rFonts w:ascii="Times New Roman" w:hAnsi="Times New Roman"/>
          <w:b/>
          <w:bCs/>
          <w:szCs w:val="22"/>
        </w:rPr>
        <w:t>Daugiabučių atnaujinimo programa (2013-</w:t>
      </w:r>
      <w:r w:rsidR="0082065C" w:rsidRPr="00650EE4">
        <w:rPr>
          <w:rFonts w:ascii="Times New Roman" w:hAnsi="Times New Roman"/>
          <w:b/>
          <w:bCs/>
          <w:szCs w:val="22"/>
        </w:rPr>
        <w:t>2020</w:t>
      </w:r>
      <w:r w:rsidRPr="00650EE4">
        <w:rPr>
          <w:rFonts w:ascii="Times New Roman" w:hAnsi="Times New Roman"/>
          <w:b/>
          <w:bCs/>
          <w:szCs w:val="22"/>
        </w:rPr>
        <w:t>)</w:t>
      </w:r>
    </w:p>
    <w:p w14:paraId="1C8B1A04" w14:textId="155192F2" w:rsidR="00BF1AC5" w:rsidRPr="00650EE4" w:rsidRDefault="00BF1AC5" w:rsidP="0056326A">
      <w:pPr>
        <w:jc w:val="both"/>
        <w:rPr>
          <w:rFonts w:ascii="Times New Roman" w:hAnsi="Times New Roman"/>
          <w:szCs w:val="22"/>
        </w:rPr>
      </w:pPr>
      <w:r w:rsidRPr="00650EE4">
        <w:rPr>
          <w:rFonts w:ascii="Times New Roman" w:hAnsi="Times New Roman"/>
          <w:szCs w:val="22"/>
        </w:rPr>
        <w:t xml:space="preserve">Įgyvendinant daugiabučių namų atnaujinimo programą, nuo 2013 m. iki 2020 m. </w:t>
      </w:r>
      <w:r w:rsidR="00EF5735">
        <w:rPr>
          <w:rFonts w:ascii="Times New Roman" w:hAnsi="Times New Roman"/>
          <w:szCs w:val="22"/>
        </w:rPr>
        <w:t>lapkričio mėn</w:t>
      </w:r>
      <w:r w:rsidRPr="00650EE4">
        <w:rPr>
          <w:rFonts w:ascii="Times New Roman" w:hAnsi="Times New Roman"/>
          <w:szCs w:val="22"/>
        </w:rPr>
        <w:t xml:space="preserve">. šalyje atnaujint </w:t>
      </w:r>
      <w:r w:rsidR="005567C4" w:rsidRPr="00650EE4">
        <w:rPr>
          <w:rFonts w:ascii="Times New Roman" w:hAnsi="Times New Roman"/>
          <w:szCs w:val="22"/>
        </w:rPr>
        <w:t>2</w:t>
      </w:r>
      <w:r w:rsidR="005567C4">
        <w:rPr>
          <w:rFonts w:ascii="Times New Roman" w:hAnsi="Times New Roman"/>
          <w:szCs w:val="22"/>
        </w:rPr>
        <w:t>631</w:t>
      </w:r>
      <w:r w:rsidR="005567C4" w:rsidRPr="00650EE4">
        <w:rPr>
          <w:rFonts w:ascii="Times New Roman" w:hAnsi="Times New Roman"/>
          <w:szCs w:val="22"/>
        </w:rPr>
        <w:t xml:space="preserve"> </w:t>
      </w:r>
      <w:r w:rsidRPr="00650EE4">
        <w:rPr>
          <w:rFonts w:ascii="Times New Roman" w:hAnsi="Times New Roman"/>
          <w:szCs w:val="22"/>
        </w:rPr>
        <w:t>daugiabu</w:t>
      </w:r>
      <w:r w:rsidR="005567C4">
        <w:rPr>
          <w:rFonts w:ascii="Times New Roman" w:hAnsi="Times New Roman"/>
          <w:szCs w:val="22"/>
        </w:rPr>
        <w:t>tis namas</w:t>
      </w:r>
      <w:r w:rsidR="00EF5735">
        <w:rPr>
          <w:rFonts w:ascii="Times New Roman" w:hAnsi="Times New Roman"/>
          <w:szCs w:val="22"/>
        </w:rPr>
        <w:t xml:space="preserve"> (dar 419 daugiabučių renovuota iki </w:t>
      </w:r>
      <w:r w:rsidR="00EF5735">
        <w:rPr>
          <w:rFonts w:ascii="Times New Roman" w:hAnsi="Times New Roman"/>
          <w:szCs w:val="22"/>
          <w:lang w:val="en-GB"/>
        </w:rPr>
        <w:t>2013 m.</w:t>
      </w:r>
      <w:r w:rsidR="00CE66B8">
        <w:rPr>
          <w:rFonts w:ascii="Times New Roman" w:hAnsi="Times New Roman"/>
          <w:szCs w:val="22"/>
          <w:lang w:val="en-GB"/>
        </w:rPr>
        <w:t>)</w:t>
      </w:r>
      <w:r w:rsidRPr="00650EE4">
        <w:rPr>
          <w:rFonts w:ascii="Times New Roman" w:hAnsi="Times New Roman"/>
          <w:szCs w:val="22"/>
        </w:rPr>
        <w:t>, investicijos siekia apie 7</w:t>
      </w:r>
      <w:r w:rsidR="00EF5735">
        <w:rPr>
          <w:rFonts w:ascii="Times New Roman" w:hAnsi="Times New Roman"/>
          <w:szCs w:val="22"/>
          <w:lang w:val="en-GB"/>
        </w:rPr>
        <w:t>5</w:t>
      </w:r>
      <w:r w:rsidRPr="00650EE4">
        <w:rPr>
          <w:rFonts w:ascii="Times New Roman" w:hAnsi="Times New Roman"/>
          <w:szCs w:val="22"/>
        </w:rPr>
        <w:t xml:space="preserve">0 mln. </w:t>
      </w:r>
      <w:proofErr w:type="spellStart"/>
      <w:r w:rsidRPr="00650EE4">
        <w:rPr>
          <w:rFonts w:ascii="Times New Roman" w:hAnsi="Times New Roman"/>
          <w:szCs w:val="22"/>
        </w:rPr>
        <w:t>Eur</w:t>
      </w:r>
      <w:proofErr w:type="spellEnd"/>
      <w:r w:rsidRPr="00650EE4">
        <w:rPr>
          <w:rFonts w:ascii="Times New Roman" w:hAnsi="Times New Roman"/>
          <w:szCs w:val="22"/>
        </w:rPr>
        <w:t xml:space="preserve">, t.y. vidutiniškai 290 tūkst. </w:t>
      </w:r>
      <w:proofErr w:type="spellStart"/>
      <w:r w:rsidRPr="00650EE4">
        <w:rPr>
          <w:rFonts w:ascii="Times New Roman" w:hAnsi="Times New Roman"/>
          <w:szCs w:val="22"/>
        </w:rPr>
        <w:t>Eur</w:t>
      </w:r>
      <w:proofErr w:type="spellEnd"/>
      <w:r w:rsidRPr="00650EE4">
        <w:rPr>
          <w:rFonts w:ascii="Times New Roman" w:hAnsi="Times New Roman"/>
          <w:szCs w:val="22"/>
        </w:rPr>
        <w:t xml:space="preserve"> vieno daugiabučio renovacijai, kai Lietuvoje viso yra 37.136 daugiabučiai pastatyti iki 1993 m., t.y. renovuota </w:t>
      </w:r>
      <w:r w:rsidR="00CE66B8">
        <w:rPr>
          <w:rFonts w:ascii="Times New Roman" w:hAnsi="Times New Roman"/>
          <w:szCs w:val="22"/>
        </w:rPr>
        <w:t>8</w:t>
      </w:r>
      <w:r w:rsidRPr="00650EE4">
        <w:rPr>
          <w:rFonts w:ascii="Times New Roman" w:hAnsi="Times New Roman"/>
          <w:szCs w:val="22"/>
        </w:rPr>
        <w:t xml:space="preserve"> proc. daugiabučių. </w:t>
      </w:r>
    </w:p>
    <w:p w14:paraId="1F71C094" w14:textId="77777777" w:rsidR="00BF1AC5" w:rsidRPr="00650EE4" w:rsidRDefault="00BF1AC5" w:rsidP="0056326A">
      <w:pPr>
        <w:jc w:val="both"/>
        <w:rPr>
          <w:rFonts w:ascii="Times New Roman" w:hAnsi="Times New Roman"/>
          <w:szCs w:val="22"/>
        </w:rPr>
      </w:pPr>
    </w:p>
    <w:p w14:paraId="69F5BF49" w14:textId="7CB118C6" w:rsidR="00BF1AC5" w:rsidRPr="00650EE4" w:rsidRDefault="00BF1AC5" w:rsidP="0056326A">
      <w:pPr>
        <w:jc w:val="both"/>
        <w:rPr>
          <w:rFonts w:ascii="Times New Roman" w:hAnsi="Times New Roman"/>
          <w:szCs w:val="22"/>
        </w:rPr>
      </w:pPr>
      <w:r w:rsidRPr="00650EE4">
        <w:rPr>
          <w:rFonts w:ascii="Times New Roman" w:hAnsi="Times New Roman"/>
          <w:szCs w:val="22"/>
        </w:rPr>
        <w:t xml:space="preserve">2020 m. </w:t>
      </w:r>
      <w:r w:rsidR="009D68D2">
        <w:rPr>
          <w:rFonts w:ascii="Times New Roman" w:hAnsi="Times New Roman"/>
          <w:szCs w:val="22"/>
        </w:rPr>
        <w:t>lapkričio mėn.</w:t>
      </w:r>
      <w:r w:rsidRPr="00650EE4">
        <w:rPr>
          <w:rFonts w:ascii="Times New Roman" w:hAnsi="Times New Roman"/>
          <w:szCs w:val="22"/>
        </w:rPr>
        <w:t xml:space="preserve"> šalyje buvo vykdoma </w:t>
      </w:r>
      <w:r w:rsidR="009D68D2">
        <w:rPr>
          <w:rFonts w:ascii="Times New Roman" w:hAnsi="Times New Roman"/>
          <w:szCs w:val="22"/>
          <w:lang w:val="en-GB"/>
        </w:rPr>
        <w:t>513</w:t>
      </w:r>
      <w:r w:rsidR="009D68D2" w:rsidRPr="00650EE4">
        <w:rPr>
          <w:rFonts w:ascii="Times New Roman" w:hAnsi="Times New Roman"/>
          <w:szCs w:val="22"/>
        </w:rPr>
        <w:t xml:space="preserve"> </w:t>
      </w:r>
      <w:r w:rsidRPr="00650EE4">
        <w:rPr>
          <w:rFonts w:ascii="Times New Roman" w:hAnsi="Times New Roman"/>
          <w:szCs w:val="22"/>
        </w:rPr>
        <w:t xml:space="preserve">daugiabučių </w:t>
      </w:r>
      <w:r w:rsidR="00EF5735">
        <w:rPr>
          <w:rFonts w:ascii="Times New Roman" w:hAnsi="Times New Roman"/>
          <w:szCs w:val="22"/>
        </w:rPr>
        <w:t xml:space="preserve">namų </w:t>
      </w:r>
      <w:r w:rsidRPr="00650EE4">
        <w:rPr>
          <w:rFonts w:ascii="Times New Roman" w:hAnsi="Times New Roman"/>
          <w:szCs w:val="22"/>
        </w:rPr>
        <w:t>atnaujinimo projekt</w:t>
      </w:r>
      <w:r w:rsidR="005567C4">
        <w:rPr>
          <w:rFonts w:ascii="Times New Roman" w:hAnsi="Times New Roman"/>
          <w:szCs w:val="22"/>
        </w:rPr>
        <w:t>ų</w:t>
      </w:r>
      <w:r w:rsidRPr="00650EE4">
        <w:rPr>
          <w:rFonts w:ascii="Times New Roman" w:hAnsi="Times New Roman"/>
          <w:szCs w:val="22"/>
        </w:rPr>
        <w:t>. Daugiabučių renovacijos mastai iš pradžių buvo maži dėl gyventojų mažo įsitraukimo į renovacijos procesą, vėliau buvo susidurta su finansavimo vėlavimu bei trūkumu</w:t>
      </w:r>
      <w:r w:rsidR="009D68D2">
        <w:rPr>
          <w:rFonts w:ascii="Times New Roman" w:hAnsi="Times New Roman"/>
          <w:szCs w:val="22"/>
        </w:rPr>
        <w:t>.</w:t>
      </w:r>
      <w:r w:rsidRPr="00650EE4">
        <w:rPr>
          <w:rFonts w:ascii="Times New Roman" w:hAnsi="Times New Roman"/>
          <w:szCs w:val="22"/>
        </w:rPr>
        <w:t xml:space="preserve"> </w:t>
      </w:r>
      <w:r w:rsidR="009D68D2">
        <w:rPr>
          <w:rFonts w:ascii="Times New Roman" w:hAnsi="Times New Roman"/>
          <w:szCs w:val="22"/>
        </w:rPr>
        <w:t>D</w:t>
      </w:r>
      <w:r w:rsidRPr="00650EE4">
        <w:rPr>
          <w:rFonts w:ascii="Times New Roman" w:hAnsi="Times New Roman"/>
          <w:szCs w:val="22"/>
        </w:rPr>
        <w:t>abar renovuojami didesni daugiabučiai pastatai (turintys daugiau butų), kurių investicijos didesnės</w:t>
      </w:r>
      <w:r w:rsidR="0082065C" w:rsidRPr="00650EE4">
        <w:rPr>
          <w:rFonts w:ascii="Times New Roman" w:hAnsi="Times New Roman"/>
          <w:szCs w:val="22"/>
        </w:rPr>
        <w:t>.</w:t>
      </w:r>
    </w:p>
    <w:p w14:paraId="1EEB4DBC" w14:textId="4411E489" w:rsidR="0082065C" w:rsidRPr="00650EE4" w:rsidRDefault="0082065C" w:rsidP="0056326A">
      <w:pPr>
        <w:jc w:val="both"/>
        <w:rPr>
          <w:rFonts w:ascii="Times New Roman" w:hAnsi="Times New Roman"/>
          <w:szCs w:val="22"/>
        </w:rPr>
      </w:pPr>
    </w:p>
    <w:p w14:paraId="7D79414B" w14:textId="60A67EB2" w:rsidR="0082065C" w:rsidRPr="00650EE4" w:rsidRDefault="00B60DC6" w:rsidP="0056326A">
      <w:pPr>
        <w:jc w:val="both"/>
        <w:rPr>
          <w:rFonts w:ascii="Times New Roman" w:hAnsi="Times New Roman"/>
          <w:szCs w:val="22"/>
        </w:rPr>
      </w:pPr>
      <w:r>
        <w:rPr>
          <w:rFonts w:ascii="Times New Roman" w:hAnsi="Times New Roman"/>
          <w:szCs w:val="22"/>
        </w:rPr>
        <w:t>I</w:t>
      </w:r>
      <w:r w:rsidR="00E00B81">
        <w:rPr>
          <w:rFonts w:ascii="Times New Roman" w:hAnsi="Times New Roman"/>
          <w:szCs w:val="22"/>
        </w:rPr>
        <w:t xml:space="preserve">š viso </w:t>
      </w:r>
      <w:r w:rsidR="0082065C" w:rsidRPr="00650EE4">
        <w:rPr>
          <w:rFonts w:ascii="Times New Roman" w:hAnsi="Times New Roman"/>
          <w:szCs w:val="22"/>
        </w:rPr>
        <w:t xml:space="preserve">2020 metais </w:t>
      </w:r>
      <w:r>
        <w:rPr>
          <w:rFonts w:ascii="Times New Roman" w:hAnsi="Times New Roman"/>
          <w:szCs w:val="22"/>
        </w:rPr>
        <w:t>renovuota</w:t>
      </w:r>
      <w:r w:rsidR="0082065C" w:rsidRPr="00650EE4">
        <w:rPr>
          <w:rFonts w:ascii="Times New Roman" w:hAnsi="Times New Roman"/>
          <w:szCs w:val="22"/>
        </w:rPr>
        <w:t xml:space="preserve"> </w:t>
      </w:r>
      <w:r>
        <w:rPr>
          <w:rFonts w:ascii="Times New Roman" w:hAnsi="Times New Roman"/>
          <w:szCs w:val="22"/>
          <w:lang w:val="en-GB"/>
        </w:rPr>
        <w:t xml:space="preserve">304 </w:t>
      </w:r>
      <w:r w:rsidRPr="00EF5F1B">
        <w:rPr>
          <w:rFonts w:ascii="Times New Roman" w:hAnsi="Times New Roman"/>
          <w:szCs w:val="22"/>
        </w:rPr>
        <w:t>daugiabučiai</w:t>
      </w:r>
      <w:r>
        <w:rPr>
          <w:rFonts w:ascii="Times New Roman" w:hAnsi="Times New Roman"/>
          <w:szCs w:val="22"/>
        </w:rPr>
        <w:t xml:space="preserve"> gyvenamieji pastatai</w:t>
      </w:r>
      <w:r w:rsidR="0082065C" w:rsidRPr="00650EE4">
        <w:rPr>
          <w:rFonts w:ascii="Times New Roman" w:hAnsi="Times New Roman"/>
          <w:szCs w:val="22"/>
        </w:rPr>
        <w:t>.</w:t>
      </w:r>
    </w:p>
    <w:p w14:paraId="654358BF" w14:textId="77777777" w:rsidR="00DC668A" w:rsidRPr="00650EE4" w:rsidRDefault="00DC668A" w:rsidP="0056326A">
      <w:pPr>
        <w:jc w:val="both"/>
        <w:rPr>
          <w:rFonts w:ascii="Times New Roman" w:hAnsi="Times New Roman"/>
          <w:szCs w:val="22"/>
        </w:rPr>
      </w:pPr>
    </w:p>
    <w:p w14:paraId="1F48CAB6" w14:textId="265F1872" w:rsidR="00BF1AC5" w:rsidRPr="00EF5F1B" w:rsidRDefault="00195386" w:rsidP="00EF5F1B">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80" w:name="_Toc67925262"/>
      <w:r w:rsidR="007744C1">
        <w:t>14</w:t>
      </w:r>
      <w:r w:rsidRPr="00650EE4">
        <w:rPr>
          <w:noProof w:val="0"/>
        </w:rPr>
        <w:fldChar w:fldCharType="end"/>
      </w:r>
      <w:r w:rsidR="00747100" w:rsidRPr="00650EE4">
        <w:rPr>
          <w:noProof w:val="0"/>
        </w:rPr>
        <w:t xml:space="preserve"> paveikslas. </w:t>
      </w:r>
      <w:r w:rsidR="00BF1AC5" w:rsidRPr="00650EE4">
        <w:rPr>
          <w:noProof w:val="0"/>
        </w:rPr>
        <w:t>Lietuvoje renovuotų daugiabučių skaičius 201</w:t>
      </w:r>
      <w:r w:rsidR="00EF5F1B">
        <w:rPr>
          <w:noProof w:val="0"/>
        </w:rPr>
        <w:t>3-2020</w:t>
      </w:r>
      <w:r w:rsidR="00BF1AC5" w:rsidRPr="00650EE4">
        <w:rPr>
          <w:noProof w:val="0"/>
        </w:rPr>
        <w:t xml:space="preserve"> m. </w:t>
      </w:r>
      <w:r w:rsidR="00355091" w:rsidRPr="00650EE4">
        <w:rPr>
          <w:noProof w:val="0"/>
        </w:rPr>
        <w:t>(</w:t>
      </w:r>
      <w:r w:rsidR="00BF1AC5" w:rsidRPr="00650EE4">
        <w:rPr>
          <w:noProof w:val="0"/>
        </w:rPr>
        <w:t>vnt.</w:t>
      </w:r>
      <w:r w:rsidR="00355091" w:rsidRPr="00650EE4">
        <w:rPr>
          <w:noProof w:val="0"/>
        </w:rPr>
        <w:t>)</w:t>
      </w:r>
      <w:bookmarkEnd w:id="80"/>
    </w:p>
    <w:p w14:paraId="6E5757F7" w14:textId="65F9DF21" w:rsidR="00B60DC6" w:rsidRPr="00650EE4" w:rsidRDefault="00B60DC6" w:rsidP="00BF1AC5">
      <w:pPr>
        <w:jc w:val="both"/>
        <w:rPr>
          <w:rFonts w:ascii="Times New Roman" w:hAnsi="Times New Roman"/>
          <w:sz w:val="24"/>
          <w:szCs w:val="24"/>
        </w:rPr>
      </w:pPr>
      <w:r>
        <w:rPr>
          <w:noProof/>
          <w:lang w:eastAsia="lt-LT"/>
        </w:rPr>
        <w:drawing>
          <wp:inline distT="0" distB="0" distL="0" distR="0" wp14:anchorId="3DF1D0C7" wp14:editId="34E9D328">
            <wp:extent cx="6687047" cy="2321781"/>
            <wp:effectExtent l="0" t="0" r="1905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95731F" w14:textId="6ECFE05C" w:rsidR="00BF1AC5" w:rsidRPr="00650EE4" w:rsidRDefault="00BF1AC5" w:rsidP="00E52D6B">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BETA </w:t>
      </w:r>
    </w:p>
    <w:p w14:paraId="167E90E4" w14:textId="28DB3AF0" w:rsidR="00BF1AC5" w:rsidRPr="00650EE4" w:rsidRDefault="00BF1AC5" w:rsidP="00BF1AC5">
      <w:pPr>
        <w:jc w:val="both"/>
        <w:rPr>
          <w:rFonts w:ascii="Times New Roman" w:hAnsi="Times New Roman"/>
          <w:szCs w:val="22"/>
        </w:rPr>
      </w:pPr>
    </w:p>
    <w:p w14:paraId="6144F9E9" w14:textId="5EAB88E3" w:rsidR="00E67601" w:rsidRPr="00650EE4" w:rsidRDefault="00E67601" w:rsidP="00AA1089">
      <w:pPr>
        <w:spacing w:after="120"/>
        <w:jc w:val="both"/>
        <w:rPr>
          <w:rFonts w:ascii="Times New Roman" w:hAnsi="Times New Roman"/>
          <w:b/>
          <w:bCs/>
          <w:szCs w:val="22"/>
        </w:rPr>
      </w:pPr>
      <w:r w:rsidRPr="00650EE4">
        <w:rPr>
          <w:rFonts w:ascii="Times New Roman" w:hAnsi="Times New Roman"/>
          <w:b/>
          <w:bCs/>
          <w:szCs w:val="22"/>
        </w:rPr>
        <w:t>Gyventojų iniciatyva taikytos priemonės</w:t>
      </w:r>
    </w:p>
    <w:p w14:paraId="29660188" w14:textId="19A7E2FA" w:rsidR="00E67601" w:rsidRPr="00650EE4" w:rsidRDefault="00E67601" w:rsidP="000D66CF">
      <w:pPr>
        <w:shd w:val="clear" w:color="auto" w:fill="FFFFFF" w:themeFill="background1"/>
        <w:jc w:val="both"/>
        <w:rPr>
          <w:rFonts w:ascii="Times New Roman" w:hAnsi="Times New Roman"/>
          <w:szCs w:val="22"/>
          <w:highlight w:val="lightGray"/>
        </w:rPr>
      </w:pPr>
      <w:r w:rsidRPr="00650EE4">
        <w:rPr>
          <w:rFonts w:ascii="Times New Roman" w:hAnsi="Times New Roman"/>
          <w:szCs w:val="22"/>
        </w:rPr>
        <w:t xml:space="preserve">Pastatų savininkai taip pat renovuojasi ir savo iniciatyva. Lentelėje žemiau pateikiama </w:t>
      </w:r>
      <w:r w:rsidR="00F21BD4" w:rsidRPr="00650EE4">
        <w:rPr>
          <w:rFonts w:ascii="Times New Roman" w:hAnsi="Times New Roman"/>
          <w:szCs w:val="22"/>
        </w:rPr>
        <w:t>informacija</w:t>
      </w:r>
      <w:r w:rsidRPr="00650EE4">
        <w:rPr>
          <w:rFonts w:ascii="Times New Roman" w:hAnsi="Times New Roman"/>
          <w:szCs w:val="22"/>
        </w:rPr>
        <w:t xml:space="preserve"> apie namų ūkiuose pritaikytas renovacijos priemones.</w:t>
      </w:r>
    </w:p>
    <w:p w14:paraId="3CA18CA1" w14:textId="77777777" w:rsidR="00E67601" w:rsidRPr="00650EE4" w:rsidRDefault="00E67601" w:rsidP="000D66CF">
      <w:pPr>
        <w:shd w:val="clear" w:color="auto" w:fill="FFFFFF" w:themeFill="background1"/>
        <w:jc w:val="both"/>
        <w:rPr>
          <w:rFonts w:ascii="Times New Roman" w:hAnsi="Times New Roman"/>
          <w:szCs w:val="22"/>
          <w:highlight w:val="lightGray"/>
        </w:rPr>
      </w:pPr>
    </w:p>
    <w:p w14:paraId="73ADDC3E" w14:textId="77777777" w:rsidR="00A306BC" w:rsidRPr="00D354CF" w:rsidRDefault="00A306BC">
      <w:pPr>
        <w:spacing w:after="240"/>
        <w:rPr>
          <w:rFonts w:ascii="Times New Roman" w:eastAsiaTheme="minorHAnsi" w:hAnsi="Times New Roman"/>
          <w:bCs/>
          <w:i/>
          <w:color w:val="000000" w:themeColor="text1"/>
          <w:sz w:val="20"/>
          <w:szCs w:val="20"/>
          <w:lang w:val="en-GB"/>
        </w:rPr>
      </w:pPr>
      <w:r w:rsidRPr="00650EE4">
        <w:br w:type="page"/>
      </w:r>
    </w:p>
    <w:p w14:paraId="2000A550" w14:textId="11F41AC2" w:rsidR="00E67601"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81" w:name="_Toc67925212"/>
      <w:r w:rsidR="007744C1">
        <w:t>29</w:t>
      </w:r>
      <w:r w:rsidRPr="00650EE4">
        <w:rPr>
          <w:noProof w:val="0"/>
        </w:rPr>
        <w:fldChar w:fldCharType="end"/>
      </w:r>
      <w:r w:rsidR="00E67601" w:rsidRPr="00650EE4">
        <w:rPr>
          <w:noProof w:val="0"/>
        </w:rPr>
        <w:t xml:space="preserve"> lentelė. </w:t>
      </w:r>
      <w:r w:rsidR="00A306BC" w:rsidRPr="00650EE4">
        <w:rPr>
          <w:noProof w:val="0"/>
        </w:rPr>
        <w:t>Dalinai r</w:t>
      </w:r>
      <w:r w:rsidR="00E67601" w:rsidRPr="00650EE4">
        <w:rPr>
          <w:noProof w:val="0"/>
        </w:rPr>
        <w:t>enovuoti būstai (energijos suvartojimo tyrimo informacija), proc.</w:t>
      </w:r>
      <w:bookmarkEnd w:id="81"/>
    </w:p>
    <w:tbl>
      <w:tblPr>
        <w:tblW w:w="5000" w:type="pct"/>
        <w:tblLook w:val="04A0" w:firstRow="1" w:lastRow="0" w:firstColumn="1" w:lastColumn="0" w:noHBand="0" w:noVBand="1"/>
      </w:tblPr>
      <w:tblGrid>
        <w:gridCol w:w="1488"/>
        <w:gridCol w:w="4312"/>
        <w:gridCol w:w="2309"/>
        <w:gridCol w:w="2311"/>
      </w:tblGrid>
      <w:tr w:rsidR="00E67601" w:rsidRPr="00650EE4" w14:paraId="1F63B3E2" w14:textId="77777777" w:rsidTr="00F1143C">
        <w:trPr>
          <w:tblHeader/>
        </w:trPr>
        <w:tc>
          <w:tcPr>
            <w:tcW w:w="14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B8D106" w14:textId="77777777" w:rsidR="00E67601" w:rsidRPr="00650EE4" w:rsidRDefault="00E67601" w:rsidP="00E52D6B">
            <w:pPr>
              <w:spacing w:line="240" w:lineRule="auto"/>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Vietovė</w:t>
            </w:r>
          </w:p>
        </w:tc>
        <w:tc>
          <w:tcPr>
            <w:tcW w:w="42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37B063" w14:textId="62D5BC18" w:rsidR="00E67601" w:rsidRPr="00650EE4" w:rsidRDefault="00E52D6B" w:rsidP="00E52D6B">
            <w:pPr>
              <w:spacing w:line="240" w:lineRule="auto"/>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Įgyvendinta prie</w:t>
            </w:r>
            <w:r w:rsidR="00E67601" w:rsidRPr="00650EE4">
              <w:rPr>
                <w:rFonts w:ascii="Times New Roman" w:eastAsia="Times New Roman" w:hAnsi="Times New Roman"/>
                <w:b/>
                <w:bCs/>
                <w:color w:val="auto"/>
                <w:sz w:val="20"/>
                <w:szCs w:val="20"/>
                <w:lang w:eastAsia="lt-LT"/>
              </w:rPr>
              <w:t>monė</w:t>
            </w:r>
          </w:p>
        </w:tc>
        <w:tc>
          <w:tcPr>
            <w:tcW w:w="452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76C4AC" w14:textId="77777777" w:rsidR="00E67601" w:rsidRPr="00650EE4" w:rsidRDefault="00E67601" w:rsidP="00E6760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Metai</w:t>
            </w:r>
          </w:p>
        </w:tc>
      </w:tr>
      <w:tr w:rsidR="00E67601" w:rsidRPr="00650EE4" w14:paraId="2B274F5B" w14:textId="77777777" w:rsidTr="00F1143C">
        <w:trPr>
          <w:tblHeader/>
        </w:trPr>
        <w:tc>
          <w:tcPr>
            <w:tcW w:w="1456" w:type="dxa"/>
            <w:vMerge/>
            <w:tcBorders>
              <w:top w:val="single" w:sz="4" w:space="0" w:color="auto"/>
              <w:left w:val="single" w:sz="4" w:space="0" w:color="auto"/>
              <w:bottom w:val="single" w:sz="4" w:space="0" w:color="auto"/>
              <w:right w:val="single" w:sz="4" w:space="0" w:color="auto"/>
            </w:tcBorders>
            <w:vAlign w:val="center"/>
            <w:hideMark/>
          </w:tcPr>
          <w:p w14:paraId="4EF89DD2" w14:textId="77777777" w:rsidR="00E67601" w:rsidRPr="00650EE4" w:rsidRDefault="00E67601" w:rsidP="00E67601">
            <w:pPr>
              <w:spacing w:line="240" w:lineRule="auto"/>
              <w:rPr>
                <w:rFonts w:ascii="Times New Roman" w:eastAsia="Times New Roman" w:hAnsi="Times New Roman"/>
                <w:b/>
                <w:bCs/>
                <w:color w:val="auto"/>
                <w:sz w:val="20"/>
                <w:szCs w:val="20"/>
                <w:lang w:eastAsia="lt-LT"/>
              </w:rPr>
            </w:pPr>
          </w:p>
        </w:tc>
        <w:tc>
          <w:tcPr>
            <w:tcW w:w="4218" w:type="dxa"/>
            <w:vMerge/>
            <w:tcBorders>
              <w:top w:val="single" w:sz="4" w:space="0" w:color="auto"/>
              <w:left w:val="single" w:sz="4" w:space="0" w:color="auto"/>
              <w:bottom w:val="single" w:sz="4" w:space="0" w:color="auto"/>
              <w:right w:val="single" w:sz="4" w:space="0" w:color="auto"/>
            </w:tcBorders>
            <w:vAlign w:val="center"/>
            <w:hideMark/>
          </w:tcPr>
          <w:p w14:paraId="32CB6E63" w14:textId="77777777" w:rsidR="00E67601" w:rsidRPr="00650EE4" w:rsidRDefault="00E67601" w:rsidP="00E67601">
            <w:pPr>
              <w:spacing w:line="240" w:lineRule="auto"/>
              <w:rPr>
                <w:rFonts w:ascii="Times New Roman" w:eastAsia="Times New Roman" w:hAnsi="Times New Roman"/>
                <w:b/>
                <w:bCs/>
                <w:color w:val="auto"/>
                <w:sz w:val="20"/>
                <w:szCs w:val="20"/>
                <w:lang w:eastAsia="lt-LT"/>
              </w:rPr>
            </w:pPr>
          </w:p>
        </w:tc>
        <w:tc>
          <w:tcPr>
            <w:tcW w:w="2259" w:type="dxa"/>
            <w:tcBorders>
              <w:top w:val="nil"/>
              <w:left w:val="nil"/>
              <w:bottom w:val="single" w:sz="4" w:space="0" w:color="auto"/>
              <w:right w:val="single" w:sz="4" w:space="0" w:color="auto"/>
            </w:tcBorders>
            <w:shd w:val="clear" w:color="000000" w:fill="FFFFFF"/>
            <w:vAlign w:val="center"/>
            <w:hideMark/>
          </w:tcPr>
          <w:p w14:paraId="4156916C" w14:textId="77777777" w:rsidR="00E67601" w:rsidRPr="00650EE4" w:rsidRDefault="00E67601" w:rsidP="00E6760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2009</w:t>
            </w:r>
          </w:p>
        </w:tc>
        <w:tc>
          <w:tcPr>
            <w:tcW w:w="2261" w:type="dxa"/>
            <w:tcBorders>
              <w:top w:val="nil"/>
              <w:left w:val="nil"/>
              <w:bottom w:val="single" w:sz="4" w:space="0" w:color="auto"/>
              <w:right w:val="single" w:sz="4" w:space="0" w:color="auto"/>
            </w:tcBorders>
            <w:shd w:val="clear" w:color="000000" w:fill="FFFFFF"/>
            <w:vAlign w:val="center"/>
            <w:hideMark/>
          </w:tcPr>
          <w:p w14:paraId="3115C4B0" w14:textId="77777777" w:rsidR="00E67601" w:rsidRPr="00650EE4" w:rsidRDefault="00E67601" w:rsidP="00E6760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2018</w:t>
            </w:r>
          </w:p>
        </w:tc>
      </w:tr>
      <w:tr w:rsidR="00E67601" w:rsidRPr="00650EE4" w14:paraId="178E9E39" w14:textId="77777777" w:rsidTr="00F1143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1C3179"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Miestas</w:t>
            </w:r>
          </w:p>
        </w:tc>
        <w:tc>
          <w:tcPr>
            <w:tcW w:w="4218" w:type="dxa"/>
            <w:tcBorders>
              <w:top w:val="nil"/>
              <w:left w:val="nil"/>
              <w:bottom w:val="single" w:sz="4" w:space="0" w:color="auto"/>
              <w:right w:val="single" w:sz="4" w:space="0" w:color="auto"/>
            </w:tcBorders>
            <w:shd w:val="clear" w:color="000000" w:fill="FFFFFF"/>
            <w:vAlign w:val="center"/>
            <w:hideMark/>
          </w:tcPr>
          <w:p w14:paraId="3AA2B983"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Pakeista šildymo sistema ar jos dalis</w:t>
            </w:r>
          </w:p>
        </w:tc>
        <w:tc>
          <w:tcPr>
            <w:tcW w:w="2259" w:type="dxa"/>
            <w:tcBorders>
              <w:top w:val="nil"/>
              <w:left w:val="nil"/>
              <w:bottom w:val="single" w:sz="4" w:space="0" w:color="auto"/>
              <w:right w:val="single" w:sz="4" w:space="0" w:color="auto"/>
            </w:tcBorders>
            <w:shd w:val="clear" w:color="000000" w:fill="FFFFFF"/>
            <w:vAlign w:val="center"/>
            <w:hideMark/>
          </w:tcPr>
          <w:p w14:paraId="0FB3A62B"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25,1</w:t>
            </w:r>
          </w:p>
        </w:tc>
        <w:tc>
          <w:tcPr>
            <w:tcW w:w="2261" w:type="dxa"/>
            <w:tcBorders>
              <w:top w:val="nil"/>
              <w:left w:val="nil"/>
              <w:bottom w:val="single" w:sz="4" w:space="0" w:color="auto"/>
              <w:right w:val="single" w:sz="4" w:space="0" w:color="auto"/>
            </w:tcBorders>
            <w:shd w:val="clear" w:color="000000" w:fill="FFFFFF"/>
            <w:vAlign w:val="center"/>
            <w:hideMark/>
          </w:tcPr>
          <w:p w14:paraId="79FA6F5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28,9</w:t>
            </w:r>
          </w:p>
        </w:tc>
      </w:tr>
      <w:tr w:rsidR="00E67601" w:rsidRPr="00650EE4" w14:paraId="40BC0DF7"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5558B1F8"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46B058F3"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Apšiltintos išorinės namo sienos</w:t>
            </w:r>
          </w:p>
        </w:tc>
        <w:tc>
          <w:tcPr>
            <w:tcW w:w="2259" w:type="dxa"/>
            <w:tcBorders>
              <w:top w:val="nil"/>
              <w:left w:val="nil"/>
              <w:bottom w:val="single" w:sz="4" w:space="0" w:color="auto"/>
              <w:right w:val="single" w:sz="4" w:space="0" w:color="auto"/>
            </w:tcBorders>
            <w:shd w:val="clear" w:color="000000" w:fill="FFFFFF"/>
            <w:vAlign w:val="center"/>
            <w:hideMark/>
          </w:tcPr>
          <w:p w14:paraId="765144A8"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12,3</w:t>
            </w:r>
          </w:p>
        </w:tc>
        <w:tc>
          <w:tcPr>
            <w:tcW w:w="2261" w:type="dxa"/>
            <w:tcBorders>
              <w:top w:val="nil"/>
              <w:left w:val="nil"/>
              <w:bottom w:val="single" w:sz="4" w:space="0" w:color="auto"/>
              <w:right w:val="single" w:sz="4" w:space="0" w:color="auto"/>
            </w:tcBorders>
            <w:shd w:val="clear" w:color="000000" w:fill="FFFFFF"/>
            <w:vAlign w:val="center"/>
            <w:hideMark/>
          </w:tcPr>
          <w:p w14:paraId="26C3CDD4"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22,5</w:t>
            </w:r>
          </w:p>
        </w:tc>
      </w:tr>
      <w:tr w:rsidR="00E67601" w:rsidRPr="00650EE4" w14:paraId="6A225F19"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09708F4E"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3E365D42"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Renovuotas ir (ar) apšiltintas stogas</w:t>
            </w:r>
          </w:p>
        </w:tc>
        <w:tc>
          <w:tcPr>
            <w:tcW w:w="2259" w:type="dxa"/>
            <w:tcBorders>
              <w:top w:val="nil"/>
              <w:left w:val="nil"/>
              <w:bottom w:val="single" w:sz="4" w:space="0" w:color="auto"/>
              <w:right w:val="single" w:sz="4" w:space="0" w:color="auto"/>
            </w:tcBorders>
            <w:shd w:val="clear" w:color="000000" w:fill="FFFFFF"/>
            <w:vAlign w:val="center"/>
            <w:hideMark/>
          </w:tcPr>
          <w:p w14:paraId="46A4701D"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36,3</w:t>
            </w:r>
          </w:p>
        </w:tc>
        <w:tc>
          <w:tcPr>
            <w:tcW w:w="2261" w:type="dxa"/>
            <w:tcBorders>
              <w:top w:val="nil"/>
              <w:left w:val="nil"/>
              <w:bottom w:val="single" w:sz="4" w:space="0" w:color="auto"/>
              <w:right w:val="single" w:sz="4" w:space="0" w:color="auto"/>
            </w:tcBorders>
            <w:shd w:val="clear" w:color="000000" w:fill="FFFFFF"/>
            <w:vAlign w:val="center"/>
            <w:hideMark/>
          </w:tcPr>
          <w:p w14:paraId="2D6DD8C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32,4</w:t>
            </w:r>
          </w:p>
        </w:tc>
      </w:tr>
      <w:tr w:rsidR="00E67601" w:rsidRPr="00650EE4" w14:paraId="74FC1B59"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43A7383E"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01258D86"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Pakeisti langai</w:t>
            </w:r>
          </w:p>
        </w:tc>
        <w:tc>
          <w:tcPr>
            <w:tcW w:w="2259" w:type="dxa"/>
            <w:tcBorders>
              <w:top w:val="nil"/>
              <w:left w:val="nil"/>
              <w:bottom w:val="single" w:sz="4" w:space="0" w:color="auto"/>
              <w:right w:val="single" w:sz="4" w:space="0" w:color="auto"/>
            </w:tcBorders>
            <w:shd w:val="clear" w:color="000000" w:fill="FFFFFF"/>
            <w:vAlign w:val="center"/>
            <w:hideMark/>
          </w:tcPr>
          <w:p w14:paraId="18B30FD8"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86,6</w:t>
            </w:r>
          </w:p>
        </w:tc>
        <w:tc>
          <w:tcPr>
            <w:tcW w:w="2261" w:type="dxa"/>
            <w:tcBorders>
              <w:top w:val="nil"/>
              <w:left w:val="nil"/>
              <w:bottom w:val="single" w:sz="4" w:space="0" w:color="auto"/>
              <w:right w:val="single" w:sz="4" w:space="0" w:color="auto"/>
            </w:tcBorders>
            <w:shd w:val="clear" w:color="000000" w:fill="FFFFFF"/>
            <w:vAlign w:val="center"/>
            <w:hideMark/>
          </w:tcPr>
          <w:p w14:paraId="287393DC"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96</w:t>
            </w:r>
          </w:p>
        </w:tc>
      </w:tr>
      <w:tr w:rsidR="00E67601" w:rsidRPr="00650EE4" w14:paraId="3CF248DB" w14:textId="77777777" w:rsidTr="00F1143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B22547"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Kaimas</w:t>
            </w:r>
          </w:p>
        </w:tc>
        <w:tc>
          <w:tcPr>
            <w:tcW w:w="4218" w:type="dxa"/>
            <w:tcBorders>
              <w:top w:val="nil"/>
              <w:left w:val="nil"/>
              <w:bottom w:val="single" w:sz="4" w:space="0" w:color="auto"/>
              <w:right w:val="single" w:sz="4" w:space="0" w:color="auto"/>
            </w:tcBorders>
            <w:shd w:val="clear" w:color="000000" w:fill="FFFFFF"/>
            <w:vAlign w:val="center"/>
            <w:hideMark/>
          </w:tcPr>
          <w:p w14:paraId="7B4CBAEE"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Pakeista šildymo sistema ar jos dalis</w:t>
            </w:r>
          </w:p>
        </w:tc>
        <w:tc>
          <w:tcPr>
            <w:tcW w:w="2259" w:type="dxa"/>
            <w:tcBorders>
              <w:top w:val="nil"/>
              <w:left w:val="nil"/>
              <w:bottom w:val="single" w:sz="4" w:space="0" w:color="auto"/>
              <w:right w:val="single" w:sz="4" w:space="0" w:color="auto"/>
            </w:tcBorders>
            <w:shd w:val="clear" w:color="000000" w:fill="FFFFFF"/>
            <w:vAlign w:val="center"/>
            <w:hideMark/>
          </w:tcPr>
          <w:p w14:paraId="49AC27C2"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w:t>
            </w:r>
          </w:p>
        </w:tc>
        <w:tc>
          <w:tcPr>
            <w:tcW w:w="2261" w:type="dxa"/>
            <w:tcBorders>
              <w:top w:val="nil"/>
              <w:left w:val="nil"/>
              <w:bottom w:val="single" w:sz="4" w:space="0" w:color="auto"/>
              <w:right w:val="single" w:sz="4" w:space="0" w:color="auto"/>
            </w:tcBorders>
            <w:shd w:val="clear" w:color="000000" w:fill="FFFFFF"/>
            <w:vAlign w:val="center"/>
            <w:hideMark/>
          </w:tcPr>
          <w:p w14:paraId="6C7E1B82"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44</w:t>
            </w:r>
          </w:p>
        </w:tc>
      </w:tr>
      <w:tr w:rsidR="00E67601" w:rsidRPr="00650EE4" w14:paraId="59F5D68B"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35E1D280"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33554348"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Apšiltintos išorinės namo sienos</w:t>
            </w:r>
          </w:p>
        </w:tc>
        <w:tc>
          <w:tcPr>
            <w:tcW w:w="2259" w:type="dxa"/>
            <w:tcBorders>
              <w:top w:val="nil"/>
              <w:left w:val="nil"/>
              <w:bottom w:val="single" w:sz="4" w:space="0" w:color="auto"/>
              <w:right w:val="single" w:sz="4" w:space="0" w:color="auto"/>
            </w:tcBorders>
            <w:shd w:val="clear" w:color="000000" w:fill="FFFFFF"/>
            <w:vAlign w:val="center"/>
            <w:hideMark/>
          </w:tcPr>
          <w:p w14:paraId="6902DF45"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24,6</w:t>
            </w:r>
          </w:p>
        </w:tc>
        <w:tc>
          <w:tcPr>
            <w:tcW w:w="2261" w:type="dxa"/>
            <w:tcBorders>
              <w:top w:val="nil"/>
              <w:left w:val="nil"/>
              <w:bottom w:val="single" w:sz="4" w:space="0" w:color="auto"/>
              <w:right w:val="single" w:sz="4" w:space="0" w:color="auto"/>
            </w:tcBorders>
            <w:shd w:val="clear" w:color="000000" w:fill="FFFFFF"/>
            <w:vAlign w:val="center"/>
            <w:hideMark/>
          </w:tcPr>
          <w:p w14:paraId="2E3C4A2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31,8</w:t>
            </w:r>
          </w:p>
        </w:tc>
      </w:tr>
      <w:tr w:rsidR="00E67601" w:rsidRPr="00650EE4" w14:paraId="3C7B87DA"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47346F8F"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41A88B5A"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Renovuotas ir (ar) apšiltintas stogas</w:t>
            </w:r>
          </w:p>
        </w:tc>
        <w:tc>
          <w:tcPr>
            <w:tcW w:w="2259" w:type="dxa"/>
            <w:tcBorders>
              <w:top w:val="nil"/>
              <w:left w:val="nil"/>
              <w:bottom w:val="single" w:sz="4" w:space="0" w:color="auto"/>
              <w:right w:val="single" w:sz="4" w:space="0" w:color="auto"/>
            </w:tcBorders>
            <w:shd w:val="clear" w:color="000000" w:fill="FFFFFF"/>
            <w:vAlign w:val="center"/>
            <w:hideMark/>
          </w:tcPr>
          <w:p w14:paraId="79F6E3B1"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25,5</w:t>
            </w:r>
          </w:p>
        </w:tc>
        <w:tc>
          <w:tcPr>
            <w:tcW w:w="2261" w:type="dxa"/>
            <w:tcBorders>
              <w:top w:val="nil"/>
              <w:left w:val="nil"/>
              <w:bottom w:val="single" w:sz="4" w:space="0" w:color="auto"/>
              <w:right w:val="single" w:sz="4" w:space="0" w:color="auto"/>
            </w:tcBorders>
            <w:shd w:val="clear" w:color="000000" w:fill="FFFFFF"/>
            <w:vAlign w:val="center"/>
            <w:hideMark/>
          </w:tcPr>
          <w:p w14:paraId="0F8A0201"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37,2</w:t>
            </w:r>
          </w:p>
        </w:tc>
      </w:tr>
      <w:tr w:rsidR="00E67601" w:rsidRPr="00650EE4" w14:paraId="6F8DE617"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6A178578"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23682D2E"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Pakeisti langai</w:t>
            </w:r>
          </w:p>
        </w:tc>
        <w:tc>
          <w:tcPr>
            <w:tcW w:w="2259" w:type="dxa"/>
            <w:tcBorders>
              <w:top w:val="nil"/>
              <w:left w:val="nil"/>
              <w:bottom w:val="single" w:sz="4" w:space="0" w:color="auto"/>
              <w:right w:val="single" w:sz="4" w:space="0" w:color="auto"/>
            </w:tcBorders>
            <w:shd w:val="clear" w:color="000000" w:fill="FFFFFF"/>
            <w:vAlign w:val="center"/>
            <w:hideMark/>
          </w:tcPr>
          <w:p w14:paraId="6E99F65B"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90,5</w:t>
            </w:r>
          </w:p>
        </w:tc>
        <w:tc>
          <w:tcPr>
            <w:tcW w:w="2261" w:type="dxa"/>
            <w:tcBorders>
              <w:top w:val="nil"/>
              <w:left w:val="nil"/>
              <w:bottom w:val="single" w:sz="4" w:space="0" w:color="auto"/>
              <w:right w:val="single" w:sz="4" w:space="0" w:color="auto"/>
            </w:tcBorders>
            <w:shd w:val="clear" w:color="000000" w:fill="FFFFFF"/>
            <w:vAlign w:val="center"/>
            <w:hideMark/>
          </w:tcPr>
          <w:p w14:paraId="238CE730"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95</w:t>
            </w:r>
          </w:p>
        </w:tc>
      </w:tr>
      <w:tr w:rsidR="00E67601" w:rsidRPr="00650EE4" w14:paraId="4037456D" w14:textId="77777777" w:rsidTr="00F1143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C0EF67"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Miestas ir kaimas</w:t>
            </w:r>
          </w:p>
        </w:tc>
        <w:tc>
          <w:tcPr>
            <w:tcW w:w="4218" w:type="dxa"/>
            <w:tcBorders>
              <w:top w:val="nil"/>
              <w:left w:val="nil"/>
              <w:bottom w:val="single" w:sz="4" w:space="0" w:color="auto"/>
              <w:right w:val="single" w:sz="4" w:space="0" w:color="auto"/>
            </w:tcBorders>
            <w:shd w:val="clear" w:color="000000" w:fill="FFFFFF"/>
            <w:vAlign w:val="center"/>
            <w:hideMark/>
          </w:tcPr>
          <w:p w14:paraId="51ACFD63"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Pakeista šildymo sistema ar jos dalis</w:t>
            </w:r>
          </w:p>
        </w:tc>
        <w:tc>
          <w:tcPr>
            <w:tcW w:w="2259" w:type="dxa"/>
            <w:tcBorders>
              <w:top w:val="nil"/>
              <w:left w:val="nil"/>
              <w:bottom w:val="single" w:sz="4" w:space="0" w:color="auto"/>
              <w:right w:val="single" w:sz="4" w:space="0" w:color="auto"/>
            </w:tcBorders>
            <w:shd w:val="clear" w:color="000000" w:fill="FFFFFF"/>
            <w:vAlign w:val="center"/>
            <w:hideMark/>
          </w:tcPr>
          <w:p w14:paraId="748196EE"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28,1</w:t>
            </w:r>
          </w:p>
        </w:tc>
        <w:tc>
          <w:tcPr>
            <w:tcW w:w="2261" w:type="dxa"/>
            <w:tcBorders>
              <w:top w:val="nil"/>
              <w:left w:val="nil"/>
              <w:bottom w:val="single" w:sz="4" w:space="0" w:color="auto"/>
              <w:right w:val="single" w:sz="4" w:space="0" w:color="auto"/>
            </w:tcBorders>
            <w:shd w:val="clear" w:color="000000" w:fill="FFFFFF"/>
            <w:vAlign w:val="center"/>
            <w:hideMark/>
          </w:tcPr>
          <w:p w14:paraId="2A880BBE"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33,8</w:t>
            </w:r>
          </w:p>
        </w:tc>
      </w:tr>
      <w:tr w:rsidR="00E67601" w:rsidRPr="00650EE4" w14:paraId="3F9D67E0"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236F326D"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7BEE528A"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Apšiltintos išorinės namo sienos</w:t>
            </w:r>
          </w:p>
        </w:tc>
        <w:tc>
          <w:tcPr>
            <w:tcW w:w="2259" w:type="dxa"/>
            <w:tcBorders>
              <w:top w:val="nil"/>
              <w:left w:val="nil"/>
              <w:bottom w:val="single" w:sz="4" w:space="0" w:color="auto"/>
              <w:right w:val="single" w:sz="4" w:space="0" w:color="auto"/>
            </w:tcBorders>
            <w:shd w:val="clear" w:color="000000" w:fill="FFFFFF"/>
            <w:vAlign w:val="center"/>
            <w:hideMark/>
          </w:tcPr>
          <w:p w14:paraId="00E17B43"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15,7</w:t>
            </w:r>
          </w:p>
        </w:tc>
        <w:tc>
          <w:tcPr>
            <w:tcW w:w="2261" w:type="dxa"/>
            <w:tcBorders>
              <w:top w:val="nil"/>
              <w:left w:val="nil"/>
              <w:bottom w:val="single" w:sz="4" w:space="0" w:color="auto"/>
              <w:right w:val="single" w:sz="4" w:space="0" w:color="auto"/>
            </w:tcBorders>
            <w:shd w:val="clear" w:color="000000" w:fill="FFFFFF"/>
            <w:vAlign w:val="center"/>
            <w:hideMark/>
          </w:tcPr>
          <w:p w14:paraId="65426805"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25,5</w:t>
            </w:r>
          </w:p>
        </w:tc>
      </w:tr>
      <w:tr w:rsidR="00E67601" w:rsidRPr="00650EE4" w14:paraId="4D3F263A"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14A6DC70"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606362EB"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Renovuotas ir (ar) apšiltintas stogas</w:t>
            </w:r>
          </w:p>
        </w:tc>
        <w:tc>
          <w:tcPr>
            <w:tcW w:w="2259" w:type="dxa"/>
            <w:tcBorders>
              <w:top w:val="nil"/>
              <w:left w:val="nil"/>
              <w:bottom w:val="single" w:sz="4" w:space="0" w:color="auto"/>
              <w:right w:val="single" w:sz="4" w:space="0" w:color="auto"/>
            </w:tcBorders>
            <w:shd w:val="clear" w:color="000000" w:fill="FFFFFF"/>
            <w:vAlign w:val="center"/>
            <w:hideMark/>
          </w:tcPr>
          <w:p w14:paraId="5FD6ADFB"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33,3</w:t>
            </w:r>
          </w:p>
        </w:tc>
        <w:tc>
          <w:tcPr>
            <w:tcW w:w="2261" w:type="dxa"/>
            <w:tcBorders>
              <w:top w:val="nil"/>
              <w:left w:val="nil"/>
              <w:bottom w:val="single" w:sz="4" w:space="0" w:color="auto"/>
              <w:right w:val="single" w:sz="4" w:space="0" w:color="auto"/>
            </w:tcBorders>
            <w:shd w:val="clear" w:color="000000" w:fill="FFFFFF"/>
            <w:vAlign w:val="center"/>
            <w:hideMark/>
          </w:tcPr>
          <w:p w14:paraId="49DD6381"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33,9</w:t>
            </w:r>
          </w:p>
        </w:tc>
      </w:tr>
      <w:tr w:rsidR="00E67601" w:rsidRPr="00650EE4" w14:paraId="0FA5E0FE"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0AAA5B29"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4477F070"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Pakeisti langai</w:t>
            </w:r>
          </w:p>
        </w:tc>
        <w:tc>
          <w:tcPr>
            <w:tcW w:w="2259" w:type="dxa"/>
            <w:tcBorders>
              <w:top w:val="nil"/>
              <w:left w:val="nil"/>
              <w:bottom w:val="single" w:sz="4" w:space="0" w:color="auto"/>
              <w:right w:val="single" w:sz="4" w:space="0" w:color="auto"/>
            </w:tcBorders>
            <w:shd w:val="clear" w:color="000000" w:fill="FFFFFF"/>
            <w:vAlign w:val="center"/>
            <w:hideMark/>
          </w:tcPr>
          <w:p w14:paraId="484FC98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87,7</w:t>
            </w:r>
          </w:p>
        </w:tc>
        <w:tc>
          <w:tcPr>
            <w:tcW w:w="2261" w:type="dxa"/>
            <w:tcBorders>
              <w:top w:val="nil"/>
              <w:left w:val="nil"/>
              <w:bottom w:val="single" w:sz="4" w:space="0" w:color="auto"/>
              <w:right w:val="single" w:sz="4" w:space="0" w:color="auto"/>
            </w:tcBorders>
            <w:shd w:val="clear" w:color="000000" w:fill="FFFFFF"/>
            <w:vAlign w:val="center"/>
            <w:hideMark/>
          </w:tcPr>
          <w:p w14:paraId="37F3663C"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95,7</w:t>
            </w:r>
          </w:p>
        </w:tc>
      </w:tr>
    </w:tbl>
    <w:p w14:paraId="3F243149" w14:textId="1856705C" w:rsidR="00E52D6B" w:rsidRPr="00650EE4" w:rsidRDefault="00E52D6B" w:rsidP="00E52D6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047E72" w:rsidRPr="00650EE4">
        <w:rPr>
          <w:rFonts w:ascii="Times New Roman" w:eastAsia="Times New Roman" w:hAnsi="Times New Roman"/>
          <w:i/>
          <w:color w:val="000000" w:themeColor="text1"/>
          <w:sz w:val="20"/>
          <w:szCs w:val="20"/>
        </w:rPr>
        <w:t>Statistikos departamentas</w:t>
      </w:r>
    </w:p>
    <w:p w14:paraId="078D971E" w14:textId="77777777" w:rsidR="00C47366" w:rsidRPr="00650EE4" w:rsidRDefault="00C47366" w:rsidP="00BF1AC5">
      <w:pPr>
        <w:jc w:val="both"/>
        <w:rPr>
          <w:rFonts w:ascii="Times New Roman" w:hAnsi="Times New Roman"/>
          <w:sz w:val="24"/>
          <w:szCs w:val="24"/>
        </w:rPr>
      </w:pPr>
    </w:p>
    <w:p w14:paraId="75DEB489" w14:textId="77777777" w:rsidR="00E52D6B" w:rsidRPr="00650EE4" w:rsidRDefault="00E52D6B" w:rsidP="00E52D6B">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7BC0E620" w14:textId="68909F7D" w:rsidR="00E52D6B" w:rsidRPr="00650EE4" w:rsidRDefault="00050ED5" w:rsidP="00E52D6B">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r</w:t>
      </w:r>
      <w:r w:rsidR="00E52D6B" w:rsidRPr="00650EE4">
        <w:rPr>
          <w:rFonts w:ascii="Times New Roman" w:hAnsi="Times New Roman"/>
          <w:color w:val="000000" w:themeColor="text1"/>
          <w:szCs w:val="22"/>
        </w:rPr>
        <w:t xml:space="preserve">eikšminga dalis individualių ūkių yra renovavęsi </w:t>
      </w:r>
      <w:r w:rsidR="009955F1" w:rsidRPr="00650EE4">
        <w:rPr>
          <w:rFonts w:ascii="Times New Roman" w:hAnsi="Times New Roman"/>
          <w:color w:val="000000" w:themeColor="text1"/>
          <w:szCs w:val="22"/>
        </w:rPr>
        <w:t xml:space="preserve">ūkio būdu </w:t>
      </w:r>
      <w:r w:rsidR="00E52D6B" w:rsidRPr="00650EE4">
        <w:rPr>
          <w:rFonts w:ascii="Times New Roman" w:hAnsi="Times New Roman"/>
          <w:color w:val="000000" w:themeColor="text1"/>
          <w:szCs w:val="22"/>
        </w:rPr>
        <w:t>(dė</w:t>
      </w:r>
      <w:r w:rsidR="009955F1" w:rsidRPr="00650EE4">
        <w:rPr>
          <w:rFonts w:ascii="Times New Roman" w:hAnsi="Times New Roman"/>
          <w:color w:val="000000" w:themeColor="text1"/>
          <w:szCs w:val="22"/>
        </w:rPr>
        <w:t xml:space="preserve">l to </w:t>
      </w:r>
      <w:r w:rsidR="00CE6CC6" w:rsidRPr="00650EE4">
        <w:rPr>
          <w:rFonts w:ascii="Times New Roman" w:hAnsi="Times New Roman"/>
          <w:color w:val="000000" w:themeColor="text1"/>
          <w:szCs w:val="22"/>
        </w:rPr>
        <w:t xml:space="preserve">patikslinta energinio naudingumo klasė/ sumažintas </w:t>
      </w:r>
      <w:r w:rsidR="009955F1" w:rsidRPr="00650EE4">
        <w:rPr>
          <w:rFonts w:ascii="Times New Roman" w:hAnsi="Times New Roman"/>
          <w:color w:val="000000" w:themeColor="text1"/>
          <w:szCs w:val="22"/>
        </w:rPr>
        <w:t xml:space="preserve">skaičiuotinas </w:t>
      </w:r>
      <w:r w:rsidR="00CE6CC6" w:rsidRPr="00650EE4">
        <w:rPr>
          <w:rFonts w:ascii="Times New Roman" w:hAnsi="Times New Roman"/>
          <w:color w:val="000000" w:themeColor="text1"/>
          <w:szCs w:val="22"/>
        </w:rPr>
        <w:t xml:space="preserve">energijos </w:t>
      </w:r>
      <w:r w:rsidR="009955F1" w:rsidRPr="00650EE4">
        <w:rPr>
          <w:rFonts w:ascii="Times New Roman" w:hAnsi="Times New Roman"/>
          <w:color w:val="000000" w:themeColor="text1"/>
          <w:szCs w:val="22"/>
        </w:rPr>
        <w:t>vartojimas</w:t>
      </w:r>
      <w:r w:rsidR="00E52D6B" w:rsidRPr="00650EE4">
        <w:rPr>
          <w:rFonts w:ascii="Times New Roman" w:hAnsi="Times New Roman"/>
          <w:color w:val="000000" w:themeColor="text1"/>
          <w:szCs w:val="22"/>
        </w:rPr>
        <w:t>).</w:t>
      </w:r>
    </w:p>
    <w:p w14:paraId="32494B4B" w14:textId="27E206CD" w:rsidR="00E52D6B" w:rsidRPr="00650EE4" w:rsidRDefault="00050ED5" w:rsidP="00034697">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d</w:t>
      </w:r>
      <w:r w:rsidR="009955F1" w:rsidRPr="00650EE4">
        <w:rPr>
          <w:rFonts w:ascii="Times New Roman" w:hAnsi="Times New Roman"/>
          <w:color w:val="000000" w:themeColor="text1"/>
          <w:szCs w:val="22"/>
        </w:rPr>
        <w:t xml:space="preserve">augiabučių renovacija įgauna pagreitį, bet šiuo metu vis dar atsilieka nuo siektinų apimčių </w:t>
      </w:r>
      <w:r w:rsidR="00E0431D" w:rsidRPr="00650EE4">
        <w:rPr>
          <w:rFonts w:ascii="Times New Roman" w:hAnsi="Times New Roman"/>
          <w:color w:val="000000" w:themeColor="text1"/>
          <w:szCs w:val="22"/>
        </w:rPr>
        <w:t xml:space="preserve">(detalesnė </w:t>
      </w:r>
      <w:r w:rsidR="00E0431D" w:rsidRPr="00650EE4">
        <w:rPr>
          <w:rFonts w:ascii="Times New Roman" w:hAnsi="Times New Roman"/>
          <w:szCs w:val="22"/>
        </w:rPr>
        <w:t xml:space="preserve">trikdžių ir barjerų apžvalga pateikiama </w:t>
      </w:r>
      <w:r w:rsidR="005567C4">
        <w:rPr>
          <w:rFonts w:ascii="Times New Roman" w:hAnsi="Times New Roman"/>
          <w:szCs w:val="22"/>
          <w:lang w:val="en-GB"/>
        </w:rPr>
        <w:t>4</w:t>
      </w:r>
      <w:r w:rsidR="00E0431D" w:rsidRPr="00650EE4">
        <w:rPr>
          <w:rFonts w:ascii="Times New Roman" w:hAnsi="Times New Roman"/>
          <w:szCs w:val="22"/>
        </w:rPr>
        <w:t xml:space="preserve"> skyriuje). </w:t>
      </w:r>
    </w:p>
    <w:p w14:paraId="170A0140" w14:textId="4FE5678E" w:rsidR="00E52D6B" w:rsidRPr="00650EE4" w:rsidRDefault="00E52D6B" w:rsidP="00BF1AC5">
      <w:pPr>
        <w:jc w:val="both"/>
        <w:rPr>
          <w:rFonts w:ascii="Times New Roman" w:hAnsi="Times New Roman"/>
          <w:szCs w:val="22"/>
        </w:rPr>
      </w:pPr>
    </w:p>
    <w:p w14:paraId="77D16BEE" w14:textId="58ABA260" w:rsidR="000166C9" w:rsidRPr="00650EE4" w:rsidRDefault="000166C9" w:rsidP="000166C9">
      <w:pPr>
        <w:pStyle w:val="Antrastes31"/>
        <w:numPr>
          <w:ilvl w:val="2"/>
          <w:numId w:val="4"/>
        </w:numPr>
        <w:spacing w:before="120"/>
        <w:ind w:left="720" w:hanging="720"/>
        <w:rPr>
          <w:rFonts w:ascii="Times New Roman" w:hAnsi="Times New Roman"/>
          <w:color w:val="000000" w:themeColor="text1"/>
          <w:sz w:val="24"/>
          <w:szCs w:val="24"/>
          <w:lang w:val="lt-LT"/>
        </w:rPr>
      </w:pPr>
      <w:bookmarkStart w:id="82" w:name="_Toc67925121"/>
      <w:r w:rsidRPr="00650EE4">
        <w:rPr>
          <w:rFonts w:ascii="Times New Roman" w:hAnsi="Times New Roman"/>
          <w:color w:val="000000" w:themeColor="text1"/>
          <w:sz w:val="24"/>
          <w:szCs w:val="24"/>
          <w:lang w:val="lt-LT"/>
        </w:rPr>
        <w:t>Viešieji pastatai</w:t>
      </w:r>
      <w:bookmarkEnd w:id="82"/>
    </w:p>
    <w:p w14:paraId="53AEA25F" w14:textId="35A60925" w:rsidR="00976B8D" w:rsidRPr="00650EE4" w:rsidRDefault="00976B8D" w:rsidP="00976B8D">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Lentelėse žemiau pateikiama Viešiesiems subjektams</w:t>
      </w:r>
      <w:r w:rsidR="00CB1449" w:rsidRPr="00650EE4">
        <w:rPr>
          <w:rFonts w:ascii="Times New Roman" w:hAnsi="Times New Roman"/>
          <w:color w:val="000000" w:themeColor="text1"/>
          <w:szCs w:val="22"/>
        </w:rPr>
        <w:t xml:space="preserve"> (valstybei ir savivaldybėms)</w:t>
      </w:r>
      <w:r w:rsidRPr="00650EE4">
        <w:rPr>
          <w:rFonts w:ascii="Times New Roman" w:hAnsi="Times New Roman"/>
          <w:color w:val="000000" w:themeColor="text1"/>
          <w:szCs w:val="22"/>
        </w:rPr>
        <w:t xml:space="preserve"> priklausančių pastatų apžvalga.</w:t>
      </w:r>
    </w:p>
    <w:p w14:paraId="6D97EABB" w14:textId="77777777" w:rsidR="00976B8D" w:rsidRPr="00650EE4" w:rsidRDefault="00976B8D" w:rsidP="00976B8D">
      <w:pPr>
        <w:pStyle w:val="Pagrindinispaprastastekstas"/>
        <w:rPr>
          <w:rFonts w:ascii="Times New Roman" w:hAnsi="Times New Roman"/>
          <w:sz w:val="20"/>
          <w:szCs w:val="22"/>
        </w:rPr>
      </w:pPr>
    </w:p>
    <w:p w14:paraId="7814E810" w14:textId="2FDBA2BD" w:rsidR="00976B8D" w:rsidRPr="00650EE4" w:rsidRDefault="00976B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83" w:name="_Toc67925213"/>
      <w:r w:rsidR="007744C1">
        <w:t>30</w:t>
      </w:r>
      <w:r w:rsidRPr="00650EE4">
        <w:rPr>
          <w:noProof w:val="0"/>
        </w:rPr>
        <w:fldChar w:fldCharType="end"/>
      </w:r>
      <w:r w:rsidRPr="00650EE4">
        <w:rPr>
          <w:noProof w:val="0"/>
        </w:rPr>
        <w:t xml:space="preserve"> lentelė. Viešųjų pastatų skaičius pagal grupes ir energinio naudingumo klasę</w:t>
      </w:r>
      <w:r w:rsidR="007350CE" w:rsidRPr="00650EE4">
        <w:rPr>
          <w:noProof w:val="0"/>
        </w:rPr>
        <w:t xml:space="preserve"> (vnt.)</w:t>
      </w:r>
      <w:bookmarkEnd w:id="83"/>
    </w:p>
    <w:tbl>
      <w:tblPr>
        <w:tblW w:w="10099" w:type="dxa"/>
        <w:tblLook w:val="04A0" w:firstRow="1" w:lastRow="0" w:firstColumn="1" w:lastColumn="0" w:noHBand="0" w:noVBand="1"/>
      </w:tblPr>
      <w:tblGrid>
        <w:gridCol w:w="2972"/>
        <w:gridCol w:w="960"/>
        <w:gridCol w:w="960"/>
        <w:gridCol w:w="960"/>
        <w:gridCol w:w="960"/>
        <w:gridCol w:w="960"/>
        <w:gridCol w:w="960"/>
        <w:gridCol w:w="1367"/>
      </w:tblGrid>
      <w:tr w:rsidR="00976B8D" w:rsidRPr="00650EE4" w14:paraId="23021BD5" w14:textId="77777777" w:rsidTr="00115A00">
        <w:tc>
          <w:tcPr>
            <w:tcW w:w="2972" w:type="dxa"/>
            <w:vMerge w:val="restart"/>
            <w:tcBorders>
              <w:top w:val="single" w:sz="4" w:space="0" w:color="auto"/>
              <w:left w:val="single" w:sz="4" w:space="0" w:color="auto"/>
              <w:bottom w:val="nil"/>
              <w:right w:val="nil"/>
            </w:tcBorders>
            <w:shd w:val="clear" w:color="000000" w:fill="FFFFFF"/>
            <w:vAlign w:val="center"/>
            <w:hideMark/>
          </w:tcPr>
          <w:p w14:paraId="5517AFD0"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840"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8C09E1A"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607DEF42"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A50B06F"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c>
          <w:tcPr>
            <w:tcW w:w="1367" w:type="dxa"/>
            <w:vMerge w:val="restart"/>
            <w:tcBorders>
              <w:top w:val="single" w:sz="4" w:space="0" w:color="auto"/>
              <w:left w:val="single" w:sz="4" w:space="0" w:color="auto"/>
              <w:right w:val="single" w:sz="4" w:space="0" w:color="auto"/>
            </w:tcBorders>
            <w:shd w:val="clear" w:color="000000" w:fill="FFFFFF"/>
          </w:tcPr>
          <w:p w14:paraId="648D7D05"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 viso fondo, proc.</w:t>
            </w:r>
          </w:p>
        </w:tc>
      </w:tr>
      <w:tr w:rsidR="00976B8D" w:rsidRPr="00650EE4" w14:paraId="120297D1" w14:textId="77777777" w:rsidTr="00115A00">
        <w:tc>
          <w:tcPr>
            <w:tcW w:w="2972" w:type="dxa"/>
            <w:vMerge/>
            <w:tcBorders>
              <w:top w:val="single" w:sz="4" w:space="0" w:color="auto"/>
              <w:left w:val="single" w:sz="4" w:space="0" w:color="auto"/>
              <w:bottom w:val="nil"/>
              <w:right w:val="nil"/>
            </w:tcBorders>
            <w:vAlign w:val="center"/>
            <w:hideMark/>
          </w:tcPr>
          <w:p w14:paraId="22F28D40"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tcBorders>
              <w:top w:val="nil"/>
              <w:left w:val="single" w:sz="4" w:space="0" w:color="auto"/>
              <w:bottom w:val="nil"/>
              <w:right w:val="nil"/>
            </w:tcBorders>
            <w:shd w:val="clear" w:color="000000" w:fill="FFFFFF"/>
            <w:vAlign w:val="center"/>
            <w:hideMark/>
          </w:tcPr>
          <w:p w14:paraId="4E21A60B"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960" w:type="dxa"/>
            <w:tcBorders>
              <w:top w:val="nil"/>
              <w:left w:val="nil"/>
              <w:bottom w:val="nil"/>
              <w:right w:val="nil"/>
            </w:tcBorders>
            <w:shd w:val="clear" w:color="000000" w:fill="FFFFFF"/>
            <w:vAlign w:val="center"/>
            <w:hideMark/>
          </w:tcPr>
          <w:p w14:paraId="7BEBCD02"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960" w:type="dxa"/>
            <w:tcBorders>
              <w:top w:val="nil"/>
              <w:left w:val="nil"/>
              <w:bottom w:val="nil"/>
              <w:right w:val="nil"/>
            </w:tcBorders>
            <w:shd w:val="clear" w:color="000000" w:fill="FFFFFF"/>
            <w:vAlign w:val="center"/>
            <w:hideMark/>
          </w:tcPr>
          <w:p w14:paraId="2024BDD7"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960" w:type="dxa"/>
            <w:tcBorders>
              <w:top w:val="nil"/>
              <w:left w:val="nil"/>
              <w:bottom w:val="nil"/>
              <w:right w:val="nil"/>
            </w:tcBorders>
            <w:shd w:val="clear" w:color="000000" w:fill="FFFFFF"/>
            <w:vAlign w:val="center"/>
            <w:hideMark/>
          </w:tcPr>
          <w:p w14:paraId="3C939B2D"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960" w:type="dxa"/>
            <w:vMerge/>
            <w:tcBorders>
              <w:top w:val="single" w:sz="4" w:space="0" w:color="auto"/>
              <w:left w:val="single" w:sz="4" w:space="0" w:color="auto"/>
              <w:bottom w:val="nil"/>
              <w:right w:val="single" w:sz="4" w:space="0" w:color="auto"/>
            </w:tcBorders>
            <w:vAlign w:val="center"/>
            <w:hideMark/>
          </w:tcPr>
          <w:p w14:paraId="05B4DE6D"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06C59D3F" w14:textId="77777777" w:rsidR="00976B8D" w:rsidRPr="00650EE4" w:rsidRDefault="00976B8D" w:rsidP="00A67C41">
            <w:pPr>
              <w:spacing w:line="240" w:lineRule="auto"/>
              <w:rPr>
                <w:rFonts w:ascii="Times New Roman" w:eastAsia="Times New Roman" w:hAnsi="Times New Roman"/>
                <w:b/>
                <w:bCs/>
                <w:sz w:val="20"/>
                <w:szCs w:val="20"/>
              </w:rPr>
            </w:pPr>
          </w:p>
        </w:tc>
        <w:tc>
          <w:tcPr>
            <w:tcW w:w="1367" w:type="dxa"/>
            <w:vMerge/>
            <w:tcBorders>
              <w:left w:val="single" w:sz="4" w:space="0" w:color="auto"/>
              <w:bottom w:val="nil"/>
              <w:right w:val="single" w:sz="4" w:space="0" w:color="auto"/>
            </w:tcBorders>
          </w:tcPr>
          <w:p w14:paraId="662E1C5A" w14:textId="77777777" w:rsidR="00976B8D" w:rsidRPr="00650EE4" w:rsidRDefault="00976B8D" w:rsidP="00A67C41">
            <w:pPr>
              <w:spacing w:line="240" w:lineRule="auto"/>
              <w:rPr>
                <w:rFonts w:ascii="Times New Roman" w:eastAsia="Times New Roman" w:hAnsi="Times New Roman"/>
                <w:b/>
                <w:bCs/>
                <w:sz w:val="20"/>
                <w:szCs w:val="20"/>
              </w:rPr>
            </w:pPr>
          </w:p>
        </w:tc>
      </w:tr>
      <w:tr w:rsidR="00976B8D" w:rsidRPr="00650EE4" w14:paraId="42534EF4" w14:textId="77777777" w:rsidTr="00115A00">
        <w:tc>
          <w:tcPr>
            <w:tcW w:w="2972" w:type="dxa"/>
            <w:tcBorders>
              <w:top w:val="single" w:sz="4" w:space="0" w:color="auto"/>
              <w:left w:val="single" w:sz="4" w:space="0" w:color="auto"/>
              <w:bottom w:val="nil"/>
              <w:right w:val="single" w:sz="4" w:space="0" w:color="auto"/>
            </w:tcBorders>
            <w:shd w:val="clear" w:color="000000" w:fill="FFFFFF"/>
            <w:noWrap/>
            <w:vAlign w:val="center"/>
            <w:hideMark/>
          </w:tcPr>
          <w:p w14:paraId="0886EEB7" w14:textId="23C40F99" w:rsidR="00976B8D" w:rsidRPr="00650EE4" w:rsidRDefault="00F84B1E"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Individualūs</w:t>
            </w:r>
          </w:p>
        </w:tc>
        <w:tc>
          <w:tcPr>
            <w:tcW w:w="960" w:type="dxa"/>
            <w:tcBorders>
              <w:top w:val="single" w:sz="4" w:space="0" w:color="auto"/>
              <w:left w:val="nil"/>
              <w:bottom w:val="nil"/>
              <w:right w:val="nil"/>
            </w:tcBorders>
            <w:shd w:val="clear" w:color="000000" w:fill="FFFFFF"/>
            <w:noWrap/>
            <w:vAlign w:val="center"/>
            <w:hideMark/>
          </w:tcPr>
          <w:p w14:paraId="3B80A864"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1.487</w:t>
            </w:r>
          </w:p>
        </w:tc>
        <w:tc>
          <w:tcPr>
            <w:tcW w:w="960" w:type="dxa"/>
            <w:tcBorders>
              <w:top w:val="single" w:sz="4" w:space="0" w:color="auto"/>
              <w:left w:val="nil"/>
              <w:bottom w:val="nil"/>
              <w:right w:val="nil"/>
            </w:tcBorders>
            <w:shd w:val="clear" w:color="000000" w:fill="FFFFFF"/>
            <w:noWrap/>
            <w:vAlign w:val="center"/>
            <w:hideMark/>
          </w:tcPr>
          <w:p w14:paraId="51C8C9DC"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611</w:t>
            </w:r>
          </w:p>
        </w:tc>
        <w:tc>
          <w:tcPr>
            <w:tcW w:w="960" w:type="dxa"/>
            <w:tcBorders>
              <w:top w:val="single" w:sz="4" w:space="0" w:color="auto"/>
              <w:left w:val="nil"/>
              <w:bottom w:val="nil"/>
              <w:right w:val="nil"/>
            </w:tcBorders>
            <w:shd w:val="clear" w:color="000000" w:fill="FFFFFF"/>
            <w:noWrap/>
            <w:vAlign w:val="center"/>
            <w:hideMark/>
          </w:tcPr>
          <w:p w14:paraId="1EF4EC58"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16</w:t>
            </w:r>
          </w:p>
        </w:tc>
        <w:tc>
          <w:tcPr>
            <w:tcW w:w="960" w:type="dxa"/>
            <w:tcBorders>
              <w:top w:val="single" w:sz="4" w:space="0" w:color="auto"/>
              <w:left w:val="nil"/>
              <w:bottom w:val="nil"/>
              <w:right w:val="nil"/>
            </w:tcBorders>
            <w:shd w:val="clear" w:color="000000" w:fill="FFFFFF"/>
            <w:noWrap/>
            <w:vAlign w:val="center"/>
            <w:hideMark/>
          </w:tcPr>
          <w:p w14:paraId="351BA344"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0053437F"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2.115</w:t>
            </w:r>
          </w:p>
        </w:tc>
        <w:tc>
          <w:tcPr>
            <w:tcW w:w="960" w:type="dxa"/>
            <w:tcBorders>
              <w:top w:val="single" w:sz="4" w:space="0" w:color="auto"/>
              <w:left w:val="nil"/>
              <w:bottom w:val="nil"/>
              <w:right w:val="single" w:sz="4" w:space="0" w:color="auto"/>
            </w:tcBorders>
            <w:shd w:val="clear" w:color="000000" w:fill="FFFFFF"/>
            <w:noWrap/>
            <w:vAlign w:val="center"/>
            <w:hideMark/>
          </w:tcPr>
          <w:p w14:paraId="1550FFC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13%</w:t>
            </w:r>
          </w:p>
        </w:tc>
        <w:tc>
          <w:tcPr>
            <w:tcW w:w="1367" w:type="dxa"/>
            <w:tcBorders>
              <w:top w:val="single" w:sz="4" w:space="0" w:color="auto"/>
              <w:left w:val="nil"/>
              <w:bottom w:val="nil"/>
              <w:right w:val="single" w:sz="4" w:space="0" w:color="auto"/>
            </w:tcBorders>
            <w:shd w:val="clear" w:color="000000" w:fill="FFFFFF"/>
          </w:tcPr>
          <w:p w14:paraId="5F72632B" w14:textId="4BEF2553" w:rsidR="00976B8D" w:rsidRPr="00650EE4" w:rsidRDefault="00F84B1E"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0,4%</w:t>
            </w:r>
          </w:p>
        </w:tc>
      </w:tr>
      <w:tr w:rsidR="00976B8D" w:rsidRPr="00650EE4" w14:paraId="3B508205"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1108CCFF" w14:textId="77777777" w:rsidR="00976B8D" w:rsidRPr="00650EE4" w:rsidRDefault="00976B8D"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Daugiabučiai</w:t>
            </w:r>
          </w:p>
        </w:tc>
        <w:tc>
          <w:tcPr>
            <w:tcW w:w="960" w:type="dxa"/>
            <w:tcBorders>
              <w:top w:val="nil"/>
              <w:left w:val="nil"/>
              <w:bottom w:val="nil"/>
              <w:right w:val="nil"/>
            </w:tcBorders>
            <w:shd w:val="clear" w:color="000000" w:fill="FFFFFF"/>
            <w:noWrap/>
            <w:vAlign w:val="center"/>
            <w:hideMark/>
          </w:tcPr>
          <w:p w14:paraId="19AD0AC3"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566</w:t>
            </w:r>
          </w:p>
        </w:tc>
        <w:tc>
          <w:tcPr>
            <w:tcW w:w="960" w:type="dxa"/>
            <w:tcBorders>
              <w:top w:val="nil"/>
              <w:left w:val="nil"/>
              <w:bottom w:val="nil"/>
              <w:right w:val="nil"/>
            </w:tcBorders>
            <w:shd w:val="clear" w:color="000000" w:fill="FFFFFF"/>
            <w:noWrap/>
            <w:vAlign w:val="center"/>
            <w:hideMark/>
          </w:tcPr>
          <w:p w14:paraId="1E829031"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147</w:t>
            </w:r>
          </w:p>
        </w:tc>
        <w:tc>
          <w:tcPr>
            <w:tcW w:w="960" w:type="dxa"/>
            <w:tcBorders>
              <w:top w:val="nil"/>
              <w:left w:val="nil"/>
              <w:bottom w:val="nil"/>
              <w:right w:val="nil"/>
            </w:tcBorders>
            <w:shd w:val="clear" w:color="000000" w:fill="FFFFFF"/>
            <w:noWrap/>
            <w:vAlign w:val="center"/>
            <w:hideMark/>
          </w:tcPr>
          <w:p w14:paraId="11E267DE"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90</w:t>
            </w:r>
          </w:p>
        </w:tc>
        <w:tc>
          <w:tcPr>
            <w:tcW w:w="960" w:type="dxa"/>
            <w:tcBorders>
              <w:top w:val="nil"/>
              <w:left w:val="nil"/>
              <w:bottom w:val="nil"/>
              <w:right w:val="nil"/>
            </w:tcBorders>
            <w:shd w:val="clear" w:color="000000" w:fill="FFFFFF"/>
            <w:noWrap/>
            <w:vAlign w:val="center"/>
            <w:hideMark/>
          </w:tcPr>
          <w:p w14:paraId="35B76EBD"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11</w:t>
            </w:r>
          </w:p>
        </w:tc>
        <w:tc>
          <w:tcPr>
            <w:tcW w:w="960" w:type="dxa"/>
            <w:tcBorders>
              <w:top w:val="nil"/>
              <w:left w:val="single" w:sz="4" w:space="0" w:color="auto"/>
              <w:bottom w:val="nil"/>
              <w:right w:val="single" w:sz="4" w:space="0" w:color="auto"/>
            </w:tcBorders>
            <w:shd w:val="clear" w:color="000000" w:fill="FFFFFF"/>
            <w:noWrap/>
            <w:vAlign w:val="center"/>
            <w:hideMark/>
          </w:tcPr>
          <w:p w14:paraId="59202040"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814</w:t>
            </w:r>
          </w:p>
        </w:tc>
        <w:tc>
          <w:tcPr>
            <w:tcW w:w="960" w:type="dxa"/>
            <w:tcBorders>
              <w:top w:val="nil"/>
              <w:left w:val="nil"/>
              <w:bottom w:val="nil"/>
              <w:right w:val="single" w:sz="4" w:space="0" w:color="auto"/>
            </w:tcBorders>
            <w:shd w:val="clear" w:color="000000" w:fill="FFFFFF"/>
            <w:noWrap/>
            <w:vAlign w:val="center"/>
            <w:hideMark/>
          </w:tcPr>
          <w:p w14:paraId="40821E0D"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w:t>
            </w:r>
          </w:p>
        </w:tc>
        <w:tc>
          <w:tcPr>
            <w:tcW w:w="1367" w:type="dxa"/>
            <w:tcBorders>
              <w:top w:val="nil"/>
              <w:left w:val="nil"/>
              <w:bottom w:val="nil"/>
              <w:right w:val="single" w:sz="4" w:space="0" w:color="auto"/>
            </w:tcBorders>
            <w:shd w:val="clear" w:color="000000" w:fill="FFFFFF"/>
          </w:tcPr>
          <w:p w14:paraId="5AC7BAA7" w14:textId="7A760927" w:rsidR="00976B8D" w:rsidRPr="00650EE4" w:rsidRDefault="00F84B1E"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r>
      <w:tr w:rsidR="00976B8D" w:rsidRPr="00650EE4" w14:paraId="753ADED6"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1A98BC21"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w:t>
            </w:r>
          </w:p>
        </w:tc>
        <w:tc>
          <w:tcPr>
            <w:tcW w:w="960" w:type="dxa"/>
            <w:tcBorders>
              <w:top w:val="nil"/>
              <w:left w:val="nil"/>
              <w:bottom w:val="nil"/>
              <w:right w:val="nil"/>
            </w:tcBorders>
            <w:shd w:val="clear" w:color="000000" w:fill="FFFFFF"/>
            <w:noWrap/>
            <w:vAlign w:val="center"/>
            <w:hideMark/>
          </w:tcPr>
          <w:p w14:paraId="70760E4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3.073</w:t>
            </w:r>
          </w:p>
        </w:tc>
        <w:tc>
          <w:tcPr>
            <w:tcW w:w="960" w:type="dxa"/>
            <w:tcBorders>
              <w:top w:val="nil"/>
              <w:left w:val="nil"/>
              <w:bottom w:val="nil"/>
              <w:right w:val="nil"/>
            </w:tcBorders>
            <w:shd w:val="clear" w:color="000000" w:fill="FFFFFF"/>
            <w:noWrap/>
            <w:vAlign w:val="center"/>
            <w:hideMark/>
          </w:tcPr>
          <w:p w14:paraId="7C0FE21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w:t>
            </w:r>
          </w:p>
        </w:tc>
        <w:tc>
          <w:tcPr>
            <w:tcW w:w="960" w:type="dxa"/>
            <w:tcBorders>
              <w:top w:val="nil"/>
              <w:left w:val="nil"/>
              <w:bottom w:val="nil"/>
              <w:right w:val="nil"/>
            </w:tcBorders>
            <w:shd w:val="clear" w:color="000000" w:fill="FFFFFF"/>
            <w:noWrap/>
            <w:vAlign w:val="center"/>
            <w:hideMark/>
          </w:tcPr>
          <w:p w14:paraId="08623E4B"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960" w:type="dxa"/>
            <w:tcBorders>
              <w:top w:val="nil"/>
              <w:left w:val="nil"/>
              <w:bottom w:val="nil"/>
              <w:right w:val="nil"/>
            </w:tcBorders>
            <w:shd w:val="clear" w:color="000000" w:fill="FFFFFF"/>
            <w:noWrap/>
            <w:vAlign w:val="center"/>
            <w:hideMark/>
          </w:tcPr>
          <w:p w14:paraId="3BFC68F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960" w:type="dxa"/>
            <w:tcBorders>
              <w:top w:val="nil"/>
              <w:left w:val="single" w:sz="4" w:space="0" w:color="auto"/>
              <w:bottom w:val="nil"/>
              <w:right w:val="single" w:sz="4" w:space="0" w:color="auto"/>
            </w:tcBorders>
            <w:shd w:val="clear" w:color="000000" w:fill="FFFFFF"/>
            <w:noWrap/>
            <w:vAlign w:val="center"/>
            <w:hideMark/>
          </w:tcPr>
          <w:p w14:paraId="5D5280AC"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3.270</w:t>
            </w:r>
          </w:p>
        </w:tc>
        <w:tc>
          <w:tcPr>
            <w:tcW w:w="960" w:type="dxa"/>
            <w:tcBorders>
              <w:top w:val="nil"/>
              <w:left w:val="nil"/>
              <w:bottom w:val="nil"/>
              <w:right w:val="single" w:sz="4" w:space="0" w:color="auto"/>
            </w:tcBorders>
            <w:shd w:val="clear" w:color="000000" w:fill="FFFFFF"/>
            <w:noWrap/>
            <w:vAlign w:val="center"/>
            <w:hideMark/>
          </w:tcPr>
          <w:p w14:paraId="411F3D3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1367" w:type="dxa"/>
            <w:tcBorders>
              <w:top w:val="nil"/>
              <w:left w:val="nil"/>
              <w:bottom w:val="nil"/>
              <w:right w:val="single" w:sz="4" w:space="0" w:color="auto"/>
            </w:tcBorders>
            <w:shd w:val="clear" w:color="000000" w:fill="FFFFFF"/>
          </w:tcPr>
          <w:p w14:paraId="667D6FE7" w14:textId="3D10F162" w:rsidR="00976B8D" w:rsidRPr="00650EE4" w:rsidRDefault="00F84B1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976B8D" w:rsidRPr="00650EE4" w14:paraId="695AAED0"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E83A37D"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960" w:type="dxa"/>
            <w:tcBorders>
              <w:top w:val="nil"/>
              <w:left w:val="nil"/>
              <w:bottom w:val="single" w:sz="4" w:space="0" w:color="auto"/>
              <w:right w:val="nil"/>
            </w:tcBorders>
            <w:shd w:val="clear" w:color="000000" w:fill="FFFFFF"/>
            <w:noWrap/>
            <w:vAlign w:val="center"/>
            <w:hideMark/>
          </w:tcPr>
          <w:p w14:paraId="4B23D40B"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8.259</w:t>
            </w:r>
          </w:p>
        </w:tc>
        <w:tc>
          <w:tcPr>
            <w:tcW w:w="960" w:type="dxa"/>
            <w:tcBorders>
              <w:top w:val="nil"/>
              <w:left w:val="nil"/>
              <w:bottom w:val="single" w:sz="4" w:space="0" w:color="auto"/>
              <w:right w:val="nil"/>
            </w:tcBorders>
            <w:shd w:val="clear" w:color="000000" w:fill="FFFFFF"/>
            <w:noWrap/>
            <w:vAlign w:val="center"/>
            <w:hideMark/>
          </w:tcPr>
          <w:p w14:paraId="388A778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1.235</w:t>
            </w:r>
          </w:p>
        </w:tc>
        <w:tc>
          <w:tcPr>
            <w:tcW w:w="960" w:type="dxa"/>
            <w:tcBorders>
              <w:top w:val="nil"/>
              <w:left w:val="nil"/>
              <w:bottom w:val="single" w:sz="4" w:space="0" w:color="auto"/>
              <w:right w:val="nil"/>
            </w:tcBorders>
            <w:shd w:val="clear" w:color="000000" w:fill="FFFFFF"/>
            <w:noWrap/>
            <w:vAlign w:val="center"/>
            <w:hideMark/>
          </w:tcPr>
          <w:p w14:paraId="33190FA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819</w:t>
            </w:r>
          </w:p>
        </w:tc>
        <w:tc>
          <w:tcPr>
            <w:tcW w:w="960" w:type="dxa"/>
            <w:tcBorders>
              <w:top w:val="nil"/>
              <w:left w:val="nil"/>
              <w:bottom w:val="single" w:sz="4" w:space="0" w:color="auto"/>
              <w:right w:val="nil"/>
            </w:tcBorders>
            <w:shd w:val="clear" w:color="000000" w:fill="FFFFFF"/>
            <w:noWrap/>
            <w:vAlign w:val="center"/>
            <w:hideMark/>
          </w:tcPr>
          <w:p w14:paraId="637937D4"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5F9D87"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10.350</w:t>
            </w:r>
          </w:p>
        </w:tc>
        <w:tc>
          <w:tcPr>
            <w:tcW w:w="960" w:type="dxa"/>
            <w:tcBorders>
              <w:top w:val="nil"/>
              <w:left w:val="nil"/>
              <w:bottom w:val="single" w:sz="4" w:space="0" w:color="auto"/>
              <w:right w:val="single" w:sz="4" w:space="0" w:color="auto"/>
            </w:tcBorders>
            <w:shd w:val="clear" w:color="000000" w:fill="FFFFFF"/>
            <w:noWrap/>
            <w:vAlign w:val="center"/>
            <w:hideMark/>
          </w:tcPr>
          <w:p w14:paraId="3B2B11E5"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1367" w:type="dxa"/>
            <w:tcBorders>
              <w:top w:val="nil"/>
              <w:left w:val="nil"/>
              <w:bottom w:val="single" w:sz="4" w:space="0" w:color="auto"/>
              <w:right w:val="single" w:sz="4" w:space="0" w:color="auto"/>
            </w:tcBorders>
            <w:shd w:val="clear" w:color="000000" w:fill="FFFFFF"/>
          </w:tcPr>
          <w:p w14:paraId="7E5A4D76" w14:textId="62E2C3AE" w:rsidR="00976B8D" w:rsidRPr="00650EE4" w:rsidRDefault="00F84B1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r>
      <w:tr w:rsidR="00976B8D" w:rsidRPr="00650EE4" w14:paraId="67B7650B"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6F140A5" w14:textId="77777777" w:rsidR="00976B8D" w:rsidRPr="00650EE4" w:rsidRDefault="00976B8D" w:rsidP="00A67C4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tcBorders>
              <w:top w:val="nil"/>
              <w:left w:val="nil"/>
              <w:bottom w:val="single" w:sz="4" w:space="0" w:color="auto"/>
              <w:right w:val="nil"/>
            </w:tcBorders>
            <w:shd w:val="clear" w:color="000000" w:fill="FFFFFF"/>
            <w:noWrap/>
            <w:vAlign w:val="center"/>
            <w:hideMark/>
          </w:tcPr>
          <w:p w14:paraId="0049E70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13.385</w:t>
            </w:r>
          </w:p>
        </w:tc>
        <w:tc>
          <w:tcPr>
            <w:tcW w:w="960" w:type="dxa"/>
            <w:tcBorders>
              <w:top w:val="nil"/>
              <w:left w:val="nil"/>
              <w:bottom w:val="single" w:sz="4" w:space="0" w:color="auto"/>
              <w:right w:val="nil"/>
            </w:tcBorders>
            <w:shd w:val="clear" w:color="000000" w:fill="FFFFFF"/>
            <w:noWrap/>
            <w:vAlign w:val="center"/>
            <w:hideMark/>
          </w:tcPr>
          <w:p w14:paraId="2E313018"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2.113</w:t>
            </w:r>
          </w:p>
        </w:tc>
        <w:tc>
          <w:tcPr>
            <w:tcW w:w="960" w:type="dxa"/>
            <w:tcBorders>
              <w:top w:val="nil"/>
              <w:left w:val="nil"/>
              <w:bottom w:val="single" w:sz="4" w:space="0" w:color="auto"/>
              <w:right w:val="nil"/>
            </w:tcBorders>
            <w:shd w:val="clear" w:color="000000" w:fill="FFFFFF"/>
            <w:noWrap/>
            <w:vAlign w:val="center"/>
            <w:hideMark/>
          </w:tcPr>
          <w:p w14:paraId="300ECACF"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1.002</w:t>
            </w:r>
          </w:p>
        </w:tc>
        <w:tc>
          <w:tcPr>
            <w:tcW w:w="960" w:type="dxa"/>
            <w:tcBorders>
              <w:top w:val="nil"/>
              <w:left w:val="nil"/>
              <w:bottom w:val="single" w:sz="4" w:space="0" w:color="auto"/>
              <w:right w:val="nil"/>
            </w:tcBorders>
            <w:shd w:val="clear" w:color="000000" w:fill="FFFFFF"/>
            <w:noWrap/>
            <w:vAlign w:val="center"/>
            <w:hideMark/>
          </w:tcPr>
          <w:p w14:paraId="42873101"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6FC9F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16.549</w:t>
            </w:r>
          </w:p>
        </w:tc>
        <w:tc>
          <w:tcPr>
            <w:tcW w:w="960" w:type="dxa"/>
            <w:tcBorders>
              <w:top w:val="nil"/>
              <w:left w:val="nil"/>
              <w:bottom w:val="single" w:sz="4" w:space="0" w:color="auto"/>
              <w:right w:val="single" w:sz="4" w:space="0" w:color="auto"/>
            </w:tcBorders>
            <w:shd w:val="clear" w:color="000000" w:fill="FFFFFF"/>
            <w:noWrap/>
            <w:vAlign w:val="center"/>
            <w:hideMark/>
          </w:tcPr>
          <w:p w14:paraId="76A47B1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367" w:type="dxa"/>
            <w:tcBorders>
              <w:top w:val="nil"/>
              <w:left w:val="nil"/>
              <w:bottom w:val="single" w:sz="4" w:space="0" w:color="auto"/>
              <w:right w:val="single" w:sz="4" w:space="0" w:color="auto"/>
            </w:tcBorders>
            <w:shd w:val="clear" w:color="000000" w:fill="FFFFFF"/>
          </w:tcPr>
          <w:p w14:paraId="1F144568" w14:textId="4251D983" w:rsidR="00976B8D" w:rsidRPr="00650EE4" w:rsidRDefault="00FF5455"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976B8D" w:rsidRPr="00650EE4" w14:paraId="00198662"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1AC5508"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960" w:type="dxa"/>
            <w:tcBorders>
              <w:top w:val="nil"/>
              <w:left w:val="nil"/>
              <w:bottom w:val="single" w:sz="4" w:space="0" w:color="auto"/>
              <w:right w:val="nil"/>
            </w:tcBorders>
            <w:shd w:val="clear" w:color="000000" w:fill="FFFFFF"/>
            <w:noWrap/>
            <w:vAlign w:val="center"/>
            <w:hideMark/>
          </w:tcPr>
          <w:p w14:paraId="4B46B4F3"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960" w:type="dxa"/>
            <w:tcBorders>
              <w:top w:val="nil"/>
              <w:left w:val="nil"/>
              <w:bottom w:val="single" w:sz="4" w:space="0" w:color="auto"/>
              <w:right w:val="nil"/>
            </w:tcBorders>
            <w:shd w:val="clear" w:color="000000" w:fill="FFFFFF"/>
            <w:noWrap/>
            <w:vAlign w:val="center"/>
            <w:hideMark/>
          </w:tcPr>
          <w:p w14:paraId="7298AC16"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960" w:type="dxa"/>
            <w:tcBorders>
              <w:top w:val="nil"/>
              <w:left w:val="nil"/>
              <w:bottom w:val="single" w:sz="4" w:space="0" w:color="auto"/>
              <w:right w:val="nil"/>
            </w:tcBorders>
            <w:shd w:val="clear" w:color="000000" w:fill="FFFFFF"/>
            <w:noWrap/>
            <w:vAlign w:val="center"/>
            <w:hideMark/>
          </w:tcPr>
          <w:p w14:paraId="660EC8B8"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960" w:type="dxa"/>
            <w:tcBorders>
              <w:top w:val="nil"/>
              <w:left w:val="nil"/>
              <w:bottom w:val="single" w:sz="4" w:space="0" w:color="auto"/>
              <w:right w:val="nil"/>
            </w:tcBorders>
            <w:shd w:val="clear" w:color="000000" w:fill="FFFFFF"/>
            <w:noWrap/>
            <w:vAlign w:val="center"/>
            <w:hideMark/>
          </w:tcPr>
          <w:p w14:paraId="60371714"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7D4B1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2DB739C7"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367" w:type="dxa"/>
            <w:tcBorders>
              <w:top w:val="nil"/>
              <w:left w:val="nil"/>
              <w:bottom w:val="single" w:sz="4" w:space="0" w:color="auto"/>
              <w:right w:val="single" w:sz="4" w:space="0" w:color="auto"/>
            </w:tcBorders>
            <w:shd w:val="clear" w:color="000000" w:fill="FFFFFF"/>
          </w:tcPr>
          <w:p w14:paraId="69306181" w14:textId="77777777" w:rsidR="00976B8D" w:rsidRPr="00650EE4" w:rsidRDefault="00976B8D" w:rsidP="00A67C41">
            <w:pPr>
              <w:spacing w:line="240" w:lineRule="auto"/>
              <w:rPr>
                <w:rFonts w:ascii="Times New Roman" w:eastAsia="Times New Roman" w:hAnsi="Times New Roman"/>
                <w:sz w:val="20"/>
                <w:szCs w:val="20"/>
              </w:rPr>
            </w:pPr>
          </w:p>
        </w:tc>
      </w:tr>
    </w:tbl>
    <w:p w14:paraId="6E44FC05" w14:textId="77777777" w:rsidR="00976B8D" w:rsidRPr="00650EE4" w:rsidRDefault="00976B8D" w:rsidP="00976B8D">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NTR duomenys (2019.12.31)</w:t>
      </w:r>
    </w:p>
    <w:p w14:paraId="67854247" w14:textId="77777777" w:rsidR="00976B8D" w:rsidRPr="00650EE4" w:rsidRDefault="00976B8D" w:rsidP="00976B8D">
      <w:pPr>
        <w:pStyle w:val="Pagrindinispaprastastekstas"/>
        <w:rPr>
          <w:rFonts w:ascii="Times New Roman" w:hAnsi="Times New Roman"/>
        </w:rPr>
      </w:pPr>
    </w:p>
    <w:p w14:paraId="7E4C8C02" w14:textId="476188B6" w:rsidR="00976B8D" w:rsidRPr="00650EE4" w:rsidRDefault="00976B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84" w:name="_Toc67925214"/>
      <w:r w:rsidR="007744C1">
        <w:t>31</w:t>
      </w:r>
      <w:r w:rsidRPr="00650EE4">
        <w:rPr>
          <w:noProof w:val="0"/>
        </w:rPr>
        <w:fldChar w:fldCharType="end"/>
      </w:r>
      <w:r w:rsidRPr="00650EE4">
        <w:rPr>
          <w:noProof w:val="0"/>
        </w:rPr>
        <w:t xml:space="preserve"> lentelė. Viešųjų pastatų plotas pagal grupes ir energinio naudingumo klasę</w:t>
      </w:r>
      <w:r w:rsidR="007350CE" w:rsidRPr="00650EE4">
        <w:rPr>
          <w:noProof w:val="0"/>
        </w:rPr>
        <w:t xml:space="preserve"> (tūkst. m</w:t>
      </w:r>
      <w:r w:rsidR="007350CE" w:rsidRPr="00650EE4">
        <w:rPr>
          <w:noProof w:val="0"/>
          <w:vertAlign w:val="superscript"/>
        </w:rPr>
        <w:t>2</w:t>
      </w:r>
      <w:r w:rsidR="007350CE" w:rsidRPr="00650EE4">
        <w:rPr>
          <w:noProof w:val="0"/>
        </w:rPr>
        <w:t>)</w:t>
      </w:r>
      <w:bookmarkEnd w:id="84"/>
    </w:p>
    <w:tbl>
      <w:tblPr>
        <w:tblW w:w="10171" w:type="dxa"/>
        <w:tblLook w:val="04A0" w:firstRow="1" w:lastRow="0" w:firstColumn="1" w:lastColumn="0" w:noHBand="0" w:noVBand="1"/>
      </w:tblPr>
      <w:tblGrid>
        <w:gridCol w:w="2972"/>
        <w:gridCol w:w="1032"/>
        <w:gridCol w:w="960"/>
        <w:gridCol w:w="960"/>
        <w:gridCol w:w="960"/>
        <w:gridCol w:w="960"/>
        <w:gridCol w:w="960"/>
        <w:gridCol w:w="1367"/>
      </w:tblGrid>
      <w:tr w:rsidR="00976B8D" w:rsidRPr="00650EE4" w14:paraId="34F62FD1" w14:textId="77777777" w:rsidTr="00115A00">
        <w:tc>
          <w:tcPr>
            <w:tcW w:w="2972" w:type="dxa"/>
            <w:vMerge w:val="restart"/>
            <w:tcBorders>
              <w:top w:val="single" w:sz="4" w:space="0" w:color="auto"/>
              <w:left w:val="single" w:sz="4" w:space="0" w:color="auto"/>
              <w:bottom w:val="nil"/>
              <w:right w:val="nil"/>
            </w:tcBorders>
            <w:shd w:val="clear" w:color="000000" w:fill="FFFFFF"/>
            <w:vAlign w:val="center"/>
            <w:hideMark/>
          </w:tcPr>
          <w:p w14:paraId="59A43058"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912"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ADF977C"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3EC318A9"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D95D01A"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c>
          <w:tcPr>
            <w:tcW w:w="1367" w:type="dxa"/>
            <w:vMerge w:val="restart"/>
            <w:tcBorders>
              <w:top w:val="single" w:sz="4" w:space="0" w:color="auto"/>
              <w:left w:val="single" w:sz="4" w:space="0" w:color="auto"/>
              <w:right w:val="single" w:sz="4" w:space="0" w:color="auto"/>
            </w:tcBorders>
            <w:shd w:val="clear" w:color="000000" w:fill="FFFFFF"/>
          </w:tcPr>
          <w:p w14:paraId="575D64F0"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 viso fondo, proc.</w:t>
            </w:r>
          </w:p>
        </w:tc>
      </w:tr>
      <w:tr w:rsidR="00976B8D" w:rsidRPr="00650EE4" w14:paraId="4E1335F6" w14:textId="77777777" w:rsidTr="00115A00">
        <w:tc>
          <w:tcPr>
            <w:tcW w:w="2972" w:type="dxa"/>
            <w:vMerge/>
            <w:tcBorders>
              <w:top w:val="single" w:sz="4" w:space="0" w:color="auto"/>
              <w:left w:val="single" w:sz="4" w:space="0" w:color="auto"/>
              <w:bottom w:val="nil"/>
              <w:right w:val="nil"/>
            </w:tcBorders>
            <w:vAlign w:val="center"/>
            <w:hideMark/>
          </w:tcPr>
          <w:p w14:paraId="63953C97" w14:textId="77777777" w:rsidR="00976B8D" w:rsidRPr="00650EE4" w:rsidRDefault="00976B8D" w:rsidP="00A67C41">
            <w:pPr>
              <w:spacing w:line="240" w:lineRule="auto"/>
              <w:rPr>
                <w:rFonts w:ascii="Times New Roman" w:eastAsia="Times New Roman" w:hAnsi="Times New Roman"/>
                <w:b/>
                <w:bCs/>
                <w:sz w:val="20"/>
                <w:szCs w:val="20"/>
              </w:rPr>
            </w:pPr>
          </w:p>
        </w:tc>
        <w:tc>
          <w:tcPr>
            <w:tcW w:w="1032" w:type="dxa"/>
            <w:tcBorders>
              <w:top w:val="nil"/>
              <w:left w:val="single" w:sz="4" w:space="0" w:color="auto"/>
              <w:bottom w:val="nil"/>
              <w:right w:val="nil"/>
            </w:tcBorders>
            <w:shd w:val="clear" w:color="000000" w:fill="FFFFFF"/>
            <w:vAlign w:val="center"/>
            <w:hideMark/>
          </w:tcPr>
          <w:p w14:paraId="6F425A9F"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960" w:type="dxa"/>
            <w:tcBorders>
              <w:top w:val="nil"/>
              <w:left w:val="nil"/>
              <w:bottom w:val="nil"/>
              <w:right w:val="nil"/>
            </w:tcBorders>
            <w:shd w:val="clear" w:color="000000" w:fill="FFFFFF"/>
            <w:vAlign w:val="center"/>
            <w:hideMark/>
          </w:tcPr>
          <w:p w14:paraId="5F9B89EF"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960" w:type="dxa"/>
            <w:tcBorders>
              <w:top w:val="nil"/>
              <w:left w:val="nil"/>
              <w:bottom w:val="nil"/>
              <w:right w:val="nil"/>
            </w:tcBorders>
            <w:shd w:val="clear" w:color="000000" w:fill="FFFFFF"/>
            <w:vAlign w:val="center"/>
            <w:hideMark/>
          </w:tcPr>
          <w:p w14:paraId="6D077F8C"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960" w:type="dxa"/>
            <w:tcBorders>
              <w:top w:val="nil"/>
              <w:left w:val="nil"/>
              <w:bottom w:val="nil"/>
              <w:right w:val="nil"/>
            </w:tcBorders>
            <w:shd w:val="clear" w:color="000000" w:fill="FFFFFF"/>
            <w:vAlign w:val="center"/>
            <w:hideMark/>
          </w:tcPr>
          <w:p w14:paraId="53B50303"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960" w:type="dxa"/>
            <w:vMerge/>
            <w:tcBorders>
              <w:top w:val="single" w:sz="4" w:space="0" w:color="auto"/>
              <w:left w:val="single" w:sz="4" w:space="0" w:color="auto"/>
              <w:bottom w:val="nil"/>
              <w:right w:val="single" w:sz="4" w:space="0" w:color="auto"/>
            </w:tcBorders>
            <w:vAlign w:val="center"/>
            <w:hideMark/>
          </w:tcPr>
          <w:p w14:paraId="62416C52"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02E564A7" w14:textId="77777777" w:rsidR="00976B8D" w:rsidRPr="00650EE4" w:rsidRDefault="00976B8D" w:rsidP="00A67C41">
            <w:pPr>
              <w:spacing w:line="240" w:lineRule="auto"/>
              <w:rPr>
                <w:rFonts w:ascii="Times New Roman" w:eastAsia="Times New Roman" w:hAnsi="Times New Roman"/>
                <w:b/>
                <w:bCs/>
                <w:sz w:val="20"/>
                <w:szCs w:val="20"/>
              </w:rPr>
            </w:pPr>
          </w:p>
        </w:tc>
        <w:tc>
          <w:tcPr>
            <w:tcW w:w="1367" w:type="dxa"/>
            <w:vMerge/>
            <w:tcBorders>
              <w:left w:val="single" w:sz="4" w:space="0" w:color="auto"/>
              <w:bottom w:val="nil"/>
              <w:right w:val="single" w:sz="4" w:space="0" w:color="auto"/>
            </w:tcBorders>
          </w:tcPr>
          <w:p w14:paraId="35530C7F" w14:textId="77777777" w:rsidR="00976B8D" w:rsidRPr="00650EE4" w:rsidRDefault="00976B8D" w:rsidP="00A67C41">
            <w:pPr>
              <w:spacing w:line="240" w:lineRule="auto"/>
              <w:rPr>
                <w:rFonts w:ascii="Times New Roman" w:eastAsia="Times New Roman" w:hAnsi="Times New Roman"/>
                <w:b/>
                <w:bCs/>
                <w:sz w:val="20"/>
                <w:szCs w:val="20"/>
              </w:rPr>
            </w:pPr>
          </w:p>
        </w:tc>
      </w:tr>
      <w:tr w:rsidR="00976B8D" w:rsidRPr="00650EE4" w14:paraId="4AAFC54A" w14:textId="77777777" w:rsidTr="00115A00">
        <w:trPr>
          <w:trHeight w:val="91"/>
        </w:trPr>
        <w:tc>
          <w:tcPr>
            <w:tcW w:w="2972" w:type="dxa"/>
            <w:tcBorders>
              <w:top w:val="single" w:sz="4" w:space="0" w:color="auto"/>
              <w:left w:val="single" w:sz="4" w:space="0" w:color="auto"/>
              <w:bottom w:val="nil"/>
              <w:right w:val="single" w:sz="4" w:space="0" w:color="auto"/>
            </w:tcBorders>
            <w:shd w:val="clear" w:color="000000" w:fill="FFFFFF"/>
            <w:noWrap/>
            <w:vAlign w:val="center"/>
            <w:hideMark/>
          </w:tcPr>
          <w:p w14:paraId="5209F655" w14:textId="1CA6AD80" w:rsidR="00976B8D" w:rsidRPr="00650EE4" w:rsidRDefault="00F84B1E"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Individualūs</w:t>
            </w:r>
          </w:p>
        </w:tc>
        <w:tc>
          <w:tcPr>
            <w:tcW w:w="1032" w:type="dxa"/>
            <w:tcBorders>
              <w:top w:val="single" w:sz="4" w:space="0" w:color="auto"/>
              <w:left w:val="nil"/>
              <w:bottom w:val="nil"/>
              <w:right w:val="nil"/>
            </w:tcBorders>
            <w:shd w:val="clear" w:color="000000" w:fill="FFFFFF"/>
            <w:noWrap/>
            <w:vAlign w:val="center"/>
            <w:hideMark/>
          </w:tcPr>
          <w:p w14:paraId="633BFE28"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185</w:t>
            </w:r>
          </w:p>
        </w:tc>
        <w:tc>
          <w:tcPr>
            <w:tcW w:w="960" w:type="dxa"/>
            <w:tcBorders>
              <w:top w:val="single" w:sz="4" w:space="0" w:color="auto"/>
              <w:left w:val="nil"/>
              <w:bottom w:val="nil"/>
              <w:right w:val="nil"/>
            </w:tcBorders>
            <w:shd w:val="clear" w:color="000000" w:fill="FFFFFF"/>
            <w:noWrap/>
            <w:vAlign w:val="center"/>
            <w:hideMark/>
          </w:tcPr>
          <w:p w14:paraId="0F923839"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75</w:t>
            </w:r>
          </w:p>
        </w:tc>
        <w:tc>
          <w:tcPr>
            <w:tcW w:w="960" w:type="dxa"/>
            <w:tcBorders>
              <w:top w:val="single" w:sz="4" w:space="0" w:color="auto"/>
              <w:left w:val="nil"/>
              <w:bottom w:val="nil"/>
              <w:right w:val="nil"/>
            </w:tcBorders>
            <w:shd w:val="clear" w:color="000000" w:fill="FFFFFF"/>
            <w:noWrap/>
            <w:vAlign w:val="center"/>
            <w:hideMark/>
          </w:tcPr>
          <w:p w14:paraId="7783A790"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w:t>
            </w:r>
          </w:p>
        </w:tc>
        <w:tc>
          <w:tcPr>
            <w:tcW w:w="960" w:type="dxa"/>
            <w:tcBorders>
              <w:top w:val="single" w:sz="4" w:space="0" w:color="auto"/>
              <w:left w:val="nil"/>
              <w:bottom w:val="nil"/>
              <w:right w:val="nil"/>
            </w:tcBorders>
            <w:shd w:val="clear" w:color="000000" w:fill="FFFFFF"/>
            <w:noWrap/>
            <w:vAlign w:val="center"/>
            <w:hideMark/>
          </w:tcPr>
          <w:p w14:paraId="10C03CB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39E72190"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262</w:t>
            </w:r>
          </w:p>
        </w:tc>
        <w:tc>
          <w:tcPr>
            <w:tcW w:w="960" w:type="dxa"/>
            <w:tcBorders>
              <w:top w:val="single" w:sz="4" w:space="0" w:color="auto"/>
              <w:left w:val="nil"/>
              <w:bottom w:val="nil"/>
              <w:right w:val="single" w:sz="4" w:space="0" w:color="auto"/>
            </w:tcBorders>
            <w:shd w:val="clear" w:color="000000" w:fill="FFFFFF"/>
            <w:noWrap/>
            <w:vAlign w:val="center"/>
            <w:hideMark/>
          </w:tcPr>
          <w:p w14:paraId="72FF514C"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c>
          <w:tcPr>
            <w:tcW w:w="1367" w:type="dxa"/>
            <w:tcBorders>
              <w:top w:val="single" w:sz="4" w:space="0" w:color="auto"/>
              <w:left w:val="nil"/>
              <w:bottom w:val="nil"/>
              <w:right w:val="single" w:sz="4" w:space="0" w:color="auto"/>
            </w:tcBorders>
            <w:shd w:val="clear" w:color="000000" w:fill="FFFFFF"/>
          </w:tcPr>
          <w:p w14:paraId="47DED575" w14:textId="5BBD8946" w:rsidR="009955BE" w:rsidRPr="00650EE4" w:rsidRDefault="009955BE" w:rsidP="009955BE">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0,4%</w:t>
            </w:r>
          </w:p>
        </w:tc>
      </w:tr>
      <w:tr w:rsidR="00976B8D" w:rsidRPr="00650EE4" w14:paraId="2507BB02"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54309547" w14:textId="77777777" w:rsidR="00976B8D" w:rsidRPr="00650EE4" w:rsidRDefault="00976B8D"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Daugiabučiai</w:t>
            </w:r>
          </w:p>
        </w:tc>
        <w:tc>
          <w:tcPr>
            <w:tcW w:w="1032" w:type="dxa"/>
            <w:tcBorders>
              <w:top w:val="nil"/>
              <w:left w:val="nil"/>
              <w:bottom w:val="nil"/>
              <w:right w:val="nil"/>
            </w:tcBorders>
            <w:shd w:val="clear" w:color="000000" w:fill="FFFFFF"/>
            <w:noWrap/>
            <w:vAlign w:val="center"/>
            <w:hideMark/>
          </w:tcPr>
          <w:p w14:paraId="66DBA61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868</w:t>
            </w:r>
          </w:p>
        </w:tc>
        <w:tc>
          <w:tcPr>
            <w:tcW w:w="960" w:type="dxa"/>
            <w:tcBorders>
              <w:top w:val="nil"/>
              <w:left w:val="nil"/>
              <w:bottom w:val="nil"/>
              <w:right w:val="nil"/>
            </w:tcBorders>
            <w:shd w:val="clear" w:color="000000" w:fill="FFFFFF"/>
            <w:noWrap/>
            <w:vAlign w:val="center"/>
            <w:hideMark/>
          </w:tcPr>
          <w:p w14:paraId="1380F198"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222</w:t>
            </w:r>
          </w:p>
        </w:tc>
        <w:tc>
          <w:tcPr>
            <w:tcW w:w="960" w:type="dxa"/>
            <w:tcBorders>
              <w:top w:val="nil"/>
              <w:left w:val="nil"/>
              <w:bottom w:val="nil"/>
              <w:right w:val="nil"/>
            </w:tcBorders>
            <w:shd w:val="clear" w:color="000000" w:fill="FFFFFF"/>
            <w:noWrap/>
            <w:vAlign w:val="center"/>
            <w:hideMark/>
          </w:tcPr>
          <w:p w14:paraId="54C11122"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147</w:t>
            </w:r>
          </w:p>
        </w:tc>
        <w:tc>
          <w:tcPr>
            <w:tcW w:w="960" w:type="dxa"/>
            <w:tcBorders>
              <w:top w:val="nil"/>
              <w:left w:val="nil"/>
              <w:bottom w:val="nil"/>
              <w:right w:val="nil"/>
            </w:tcBorders>
            <w:shd w:val="clear" w:color="000000" w:fill="FFFFFF"/>
            <w:noWrap/>
            <w:vAlign w:val="center"/>
            <w:hideMark/>
          </w:tcPr>
          <w:p w14:paraId="0DBB390B"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w:t>
            </w:r>
          </w:p>
        </w:tc>
        <w:tc>
          <w:tcPr>
            <w:tcW w:w="960" w:type="dxa"/>
            <w:tcBorders>
              <w:top w:val="nil"/>
              <w:left w:val="single" w:sz="4" w:space="0" w:color="auto"/>
              <w:bottom w:val="nil"/>
              <w:right w:val="single" w:sz="4" w:space="0" w:color="auto"/>
            </w:tcBorders>
            <w:shd w:val="clear" w:color="000000" w:fill="FFFFFF"/>
            <w:noWrap/>
            <w:vAlign w:val="center"/>
            <w:hideMark/>
          </w:tcPr>
          <w:p w14:paraId="62881FDA"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1.242</w:t>
            </w:r>
          </w:p>
        </w:tc>
        <w:tc>
          <w:tcPr>
            <w:tcW w:w="960" w:type="dxa"/>
            <w:tcBorders>
              <w:top w:val="nil"/>
              <w:left w:val="nil"/>
              <w:bottom w:val="nil"/>
              <w:right w:val="single" w:sz="4" w:space="0" w:color="auto"/>
            </w:tcBorders>
            <w:shd w:val="clear" w:color="000000" w:fill="FFFFFF"/>
            <w:noWrap/>
            <w:vAlign w:val="center"/>
            <w:hideMark/>
          </w:tcPr>
          <w:p w14:paraId="1B3AEBA1"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w:t>
            </w:r>
          </w:p>
        </w:tc>
        <w:tc>
          <w:tcPr>
            <w:tcW w:w="1367" w:type="dxa"/>
            <w:tcBorders>
              <w:top w:val="nil"/>
              <w:left w:val="nil"/>
              <w:bottom w:val="nil"/>
              <w:right w:val="single" w:sz="4" w:space="0" w:color="auto"/>
            </w:tcBorders>
            <w:shd w:val="clear" w:color="000000" w:fill="FFFFFF"/>
          </w:tcPr>
          <w:p w14:paraId="3E6E3583" w14:textId="0276350E" w:rsidR="00976B8D" w:rsidRPr="00650EE4" w:rsidRDefault="009955BE"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r>
      <w:tr w:rsidR="00976B8D" w:rsidRPr="00650EE4" w14:paraId="77402D01"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349DFC17"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w:t>
            </w:r>
          </w:p>
        </w:tc>
        <w:tc>
          <w:tcPr>
            <w:tcW w:w="1032" w:type="dxa"/>
            <w:tcBorders>
              <w:top w:val="nil"/>
              <w:left w:val="nil"/>
              <w:bottom w:val="nil"/>
              <w:right w:val="nil"/>
            </w:tcBorders>
            <w:shd w:val="clear" w:color="000000" w:fill="FFFFFF"/>
            <w:noWrap/>
            <w:vAlign w:val="center"/>
            <w:hideMark/>
          </w:tcPr>
          <w:p w14:paraId="2BDCD952"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1.182</w:t>
            </w:r>
          </w:p>
        </w:tc>
        <w:tc>
          <w:tcPr>
            <w:tcW w:w="960" w:type="dxa"/>
            <w:tcBorders>
              <w:top w:val="nil"/>
              <w:left w:val="nil"/>
              <w:bottom w:val="nil"/>
              <w:right w:val="nil"/>
            </w:tcBorders>
            <w:shd w:val="clear" w:color="000000" w:fill="FFFFFF"/>
            <w:noWrap/>
            <w:vAlign w:val="center"/>
            <w:hideMark/>
          </w:tcPr>
          <w:p w14:paraId="5289E5E5"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c>
          <w:tcPr>
            <w:tcW w:w="960" w:type="dxa"/>
            <w:tcBorders>
              <w:top w:val="nil"/>
              <w:left w:val="nil"/>
              <w:bottom w:val="nil"/>
              <w:right w:val="nil"/>
            </w:tcBorders>
            <w:shd w:val="clear" w:color="000000" w:fill="FFFFFF"/>
            <w:noWrap/>
            <w:vAlign w:val="center"/>
            <w:hideMark/>
          </w:tcPr>
          <w:p w14:paraId="0F456A7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w:t>
            </w:r>
          </w:p>
        </w:tc>
        <w:tc>
          <w:tcPr>
            <w:tcW w:w="960" w:type="dxa"/>
            <w:tcBorders>
              <w:top w:val="nil"/>
              <w:left w:val="nil"/>
              <w:bottom w:val="nil"/>
              <w:right w:val="nil"/>
            </w:tcBorders>
            <w:shd w:val="clear" w:color="000000" w:fill="FFFFFF"/>
            <w:noWrap/>
            <w:vAlign w:val="center"/>
            <w:hideMark/>
          </w:tcPr>
          <w:p w14:paraId="7513379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960" w:type="dxa"/>
            <w:tcBorders>
              <w:top w:val="nil"/>
              <w:left w:val="single" w:sz="4" w:space="0" w:color="auto"/>
              <w:bottom w:val="nil"/>
              <w:right w:val="single" w:sz="4" w:space="0" w:color="auto"/>
            </w:tcBorders>
            <w:shd w:val="clear" w:color="000000" w:fill="FFFFFF"/>
            <w:noWrap/>
            <w:vAlign w:val="center"/>
            <w:hideMark/>
          </w:tcPr>
          <w:p w14:paraId="7D498C0D"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1.272</w:t>
            </w:r>
          </w:p>
        </w:tc>
        <w:tc>
          <w:tcPr>
            <w:tcW w:w="960" w:type="dxa"/>
            <w:tcBorders>
              <w:top w:val="nil"/>
              <w:left w:val="nil"/>
              <w:bottom w:val="nil"/>
              <w:right w:val="single" w:sz="4" w:space="0" w:color="auto"/>
            </w:tcBorders>
            <w:shd w:val="clear" w:color="000000" w:fill="FFFFFF"/>
            <w:noWrap/>
            <w:vAlign w:val="center"/>
            <w:hideMark/>
          </w:tcPr>
          <w:p w14:paraId="098EBF0B"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1367" w:type="dxa"/>
            <w:tcBorders>
              <w:top w:val="nil"/>
              <w:left w:val="nil"/>
              <w:bottom w:val="nil"/>
              <w:right w:val="single" w:sz="4" w:space="0" w:color="auto"/>
            </w:tcBorders>
            <w:shd w:val="clear" w:color="000000" w:fill="FFFFFF"/>
          </w:tcPr>
          <w:p w14:paraId="4443C743" w14:textId="5E0EFDC4" w:rsidR="00976B8D" w:rsidRPr="00650EE4" w:rsidRDefault="009955B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976B8D" w:rsidRPr="00650EE4" w14:paraId="31380BB4"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740B6D21"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1032" w:type="dxa"/>
            <w:tcBorders>
              <w:top w:val="nil"/>
              <w:left w:val="nil"/>
              <w:bottom w:val="single" w:sz="4" w:space="0" w:color="auto"/>
              <w:right w:val="nil"/>
            </w:tcBorders>
            <w:shd w:val="clear" w:color="000000" w:fill="FFFFFF"/>
            <w:noWrap/>
            <w:vAlign w:val="center"/>
            <w:hideMark/>
          </w:tcPr>
          <w:p w14:paraId="75668F3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9.123</w:t>
            </w:r>
          </w:p>
        </w:tc>
        <w:tc>
          <w:tcPr>
            <w:tcW w:w="960" w:type="dxa"/>
            <w:tcBorders>
              <w:top w:val="nil"/>
              <w:left w:val="nil"/>
              <w:bottom w:val="single" w:sz="4" w:space="0" w:color="auto"/>
              <w:right w:val="nil"/>
            </w:tcBorders>
            <w:shd w:val="clear" w:color="000000" w:fill="FFFFFF"/>
            <w:noWrap/>
            <w:vAlign w:val="center"/>
            <w:hideMark/>
          </w:tcPr>
          <w:p w14:paraId="7A91E19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2.882</w:t>
            </w:r>
          </w:p>
        </w:tc>
        <w:tc>
          <w:tcPr>
            <w:tcW w:w="960" w:type="dxa"/>
            <w:tcBorders>
              <w:top w:val="nil"/>
              <w:left w:val="nil"/>
              <w:bottom w:val="single" w:sz="4" w:space="0" w:color="auto"/>
              <w:right w:val="nil"/>
            </w:tcBorders>
            <w:shd w:val="clear" w:color="000000" w:fill="FFFFFF"/>
            <w:noWrap/>
            <w:vAlign w:val="center"/>
            <w:hideMark/>
          </w:tcPr>
          <w:p w14:paraId="49873963"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1.999</w:t>
            </w:r>
          </w:p>
        </w:tc>
        <w:tc>
          <w:tcPr>
            <w:tcW w:w="960" w:type="dxa"/>
            <w:tcBorders>
              <w:top w:val="nil"/>
              <w:left w:val="nil"/>
              <w:bottom w:val="single" w:sz="4" w:space="0" w:color="auto"/>
              <w:right w:val="nil"/>
            </w:tcBorders>
            <w:shd w:val="clear" w:color="000000" w:fill="FFFFFF"/>
            <w:noWrap/>
            <w:vAlign w:val="center"/>
            <w:hideMark/>
          </w:tcPr>
          <w:p w14:paraId="63B17057"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2FB098"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14.061</w:t>
            </w:r>
          </w:p>
        </w:tc>
        <w:tc>
          <w:tcPr>
            <w:tcW w:w="960" w:type="dxa"/>
            <w:tcBorders>
              <w:top w:val="nil"/>
              <w:left w:val="nil"/>
              <w:bottom w:val="single" w:sz="4" w:space="0" w:color="auto"/>
              <w:right w:val="single" w:sz="4" w:space="0" w:color="auto"/>
            </w:tcBorders>
            <w:shd w:val="clear" w:color="000000" w:fill="FFFFFF"/>
            <w:noWrap/>
            <w:vAlign w:val="center"/>
            <w:hideMark/>
          </w:tcPr>
          <w:p w14:paraId="25967BC8"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w:t>
            </w:r>
          </w:p>
        </w:tc>
        <w:tc>
          <w:tcPr>
            <w:tcW w:w="1367" w:type="dxa"/>
            <w:tcBorders>
              <w:top w:val="nil"/>
              <w:left w:val="nil"/>
              <w:bottom w:val="single" w:sz="4" w:space="0" w:color="auto"/>
              <w:right w:val="single" w:sz="4" w:space="0" w:color="auto"/>
            </w:tcBorders>
            <w:shd w:val="clear" w:color="000000" w:fill="FFFFFF"/>
          </w:tcPr>
          <w:p w14:paraId="191762DA" w14:textId="293132B0" w:rsidR="00976B8D" w:rsidRPr="00650EE4" w:rsidRDefault="009955B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r>
      <w:tr w:rsidR="00976B8D" w:rsidRPr="00650EE4" w14:paraId="0291C16B"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4E25CF4F" w14:textId="77777777" w:rsidR="00976B8D" w:rsidRPr="00650EE4" w:rsidRDefault="00976B8D" w:rsidP="00A67C4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032" w:type="dxa"/>
            <w:tcBorders>
              <w:top w:val="nil"/>
              <w:left w:val="nil"/>
              <w:bottom w:val="single" w:sz="4" w:space="0" w:color="auto"/>
              <w:right w:val="nil"/>
            </w:tcBorders>
            <w:shd w:val="clear" w:color="000000" w:fill="FFFFFF"/>
            <w:noWrap/>
            <w:vAlign w:val="center"/>
            <w:hideMark/>
          </w:tcPr>
          <w:p w14:paraId="1B8ED827"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11.356</w:t>
            </w:r>
          </w:p>
        </w:tc>
        <w:tc>
          <w:tcPr>
            <w:tcW w:w="960" w:type="dxa"/>
            <w:tcBorders>
              <w:top w:val="nil"/>
              <w:left w:val="nil"/>
              <w:bottom w:val="single" w:sz="4" w:space="0" w:color="auto"/>
              <w:right w:val="nil"/>
            </w:tcBorders>
            <w:shd w:val="clear" w:color="000000" w:fill="FFFFFF"/>
            <w:noWrap/>
            <w:vAlign w:val="center"/>
            <w:hideMark/>
          </w:tcPr>
          <w:p w14:paraId="52070A76"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3.220</w:t>
            </w:r>
          </w:p>
        </w:tc>
        <w:tc>
          <w:tcPr>
            <w:tcW w:w="960" w:type="dxa"/>
            <w:tcBorders>
              <w:top w:val="nil"/>
              <w:left w:val="nil"/>
              <w:bottom w:val="single" w:sz="4" w:space="0" w:color="auto"/>
              <w:right w:val="nil"/>
            </w:tcBorders>
            <w:shd w:val="clear" w:color="000000" w:fill="FFFFFF"/>
            <w:noWrap/>
            <w:vAlign w:val="center"/>
            <w:hideMark/>
          </w:tcPr>
          <w:p w14:paraId="732936D7"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2.197</w:t>
            </w:r>
          </w:p>
        </w:tc>
        <w:tc>
          <w:tcPr>
            <w:tcW w:w="960" w:type="dxa"/>
            <w:tcBorders>
              <w:top w:val="nil"/>
              <w:left w:val="nil"/>
              <w:bottom w:val="single" w:sz="4" w:space="0" w:color="auto"/>
              <w:right w:val="nil"/>
            </w:tcBorders>
            <w:shd w:val="clear" w:color="000000" w:fill="FFFFFF"/>
            <w:noWrap/>
            <w:vAlign w:val="center"/>
            <w:hideMark/>
          </w:tcPr>
          <w:p w14:paraId="0F29DE7A"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64</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448B846"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16.837</w:t>
            </w:r>
          </w:p>
        </w:tc>
        <w:tc>
          <w:tcPr>
            <w:tcW w:w="960" w:type="dxa"/>
            <w:tcBorders>
              <w:top w:val="nil"/>
              <w:left w:val="nil"/>
              <w:bottom w:val="single" w:sz="4" w:space="0" w:color="auto"/>
              <w:right w:val="single" w:sz="4" w:space="0" w:color="auto"/>
            </w:tcBorders>
            <w:shd w:val="clear" w:color="000000" w:fill="FFFFFF"/>
            <w:noWrap/>
            <w:vAlign w:val="center"/>
            <w:hideMark/>
          </w:tcPr>
          <w:p w14:paraId="04D239FD"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367" w:type="dxa"/>
            <w:tcBorders>
              <w:top w:val="nil"/>
              <w:left w:val="nil"/>
              <w:bottom w:val="single" w:sz="4" w:space="0" w:color="auto"/>
              <w:right w:val="single" w:sz="4" w:space="0" w:color="auto"/>
            </w:tcBorders>
            <w:shd w:val="clear" w:color="000000" w:fill="FFFFFF"/>
          </w:tcPr>
          <w:p w14:paraId="1007493F" w14:textId="41062B00" w:rsidR="00976B8D" w:rsidRPr="00650EE4" w:rsidRDefault="009955B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r>
      <w:tr w:rsidR="00976B8D" w:rsidRPr="00650EE4" w14:paraId="6C507D00"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CB5DCF2"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1032" w:type="dxa"/>
            <w:tcBorders>
              <w:top w:val="nil"/>
              <w:left w:val="nil"/>
              <w:bottom w:val="single" w:sz="4" w:space="0" w:color="auto"/>
              <w:right w:val="nil"/>
            </w:tcBorders>
            <w:shd w:val="clear" w:color="000000" w:fill="FFFFFF"/>
            <w:noWrap/>
            <w:vAlign w:val="center"/>
            <w:hideMark/>
          </w:tcPr>
          <w:p w14:paraId="57E9F6C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w:t>
            </w:r>
          </w:p>
        </w:tc>
        <w:tc>
          <w:tcPr>
            <w:tcW w:w="960" w:type="dxa"/>
            <w:tcBorders>
              <w:top w:val="nil"/>
              <w:left w:val="nil"/>
              <w:bottom w:val="single" w:sz="4" w:space="0" w:color="auto"/>
              <w:right w:val="nil"/>
            </w:tcBorders>
            <w:shd w:val="clear" w:color="000000" w:fill="FFFFFF"/>
            <w:noWrap/>
            <w:vAlign w:val="center"/>
            <w:hideMark/>
          </w:tcPr>
          <w:p w14:paraId="45ADDA82"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960" w:type="dxa"/>
            <w:tcBorders>
              <w:top w:val="nil"/>
              <w:left w:val="nil"/>
              <w:bottom w:val="single" w:sz="4" w:space="0" w:color="auto"/>
              <w:right w:val="nil"/>
            </w:tcBorders>
            <w:shd w:val="clear" w:color="000000" w:fill="FFFFFF"/>
            <w:noWrap/>
            <w:vAlign w:val="center"/>
            <w:hideMark/>
          </w:tcPr>
          <w:p w14:paraId="39A4845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960" w:type="dxa"/>
            <w:tcBorders>
              <w:top w:val="nil"/>
              <w:left w:val="nil"/>
              <w:bottom w:val="single" w:sz="4" w:space="0" w:color="auto"/>
              <w:right w:val="nil"/>
            </w:tcBorders>
            <w:shd w:val="clear" w:color="000000" w:fill="FFFFFF"/>
            <w:noWrap/>
            <w:vAlign w:val="center"/>
            <w:hideMark/>
          </w:tcPr>
          <w:p w14:paraId="7776ED8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824229"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2830DFB6"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367" w:type="dxa"/>
            <w:tcBorders>
              <w:top w:val="nil"/>
              <w:left w:val="nil"/>
              <w:bottom w:val="single" w:sz="4" w:space="0" w:color="auto"/>
              <w:right w:val="single" w:sz="4" w:space="0" w:color="auto"/>
            </w:tcBorders>
            <w:shd w:val="clear" w:color="000000" w:fill="FFFFFF"/>
          </w:tcPr>
          <w:p w14:paraId="76030129" w14:textId="77777777" w:rsidR="00976B8D" w:rsidRPr="00650EE4" w:rsidRDefault="00976B8D" w:rsidP="00A67C41">
            <w:pPr>
              <w:spacing w:line="240" w:lineRule="auto"/>
              <w:rPr>
                <w:rFonts w:ascii="Times New Roman" w:eastAsia="Times New Roman" w:hAnsi="Times New Roman"/>
                <w:sz w:val="20"/>
                <w:szCs w:val="20"/>
              </w:rPr>
            </w:pPr>
          </w:p>
        </w:tc>
      </w:tr>
    </w:tbl>
    <w:p w14:paraId="66D8539F" w14:textId="115FDA29" w:rsidR="00976B8D" w:rsidRPr="00650EE4" w:rsidRDefault="00976B8D" w:rsidP="00976B8D">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NTR duomenys (2019.12.31), Studijos</w:t>
      </w:r>
      <w:r w:rsidR="005567C4">
        <w:rPr>
          <w:rFonts w:ascii="Times New Roman" w:eastAsia="Times New Roman" w:hAnsi="Times New Roman"/>
          <w:i/>
          <w:color w:val="000000" w:themeColor="text1"/>
          <w:sz w:val="20"/>
          <w:szCs w:val="28"/>
        </w:rPr>
        <w:t xml:space="preserve"> </w:t>
      </w:r>
      <w:r w:rsidR="005567C4">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140CE6E3" w14:textId="77777777" w:rsidR="00976B8D" w:rsidRPr="00650EE4" w:rsidRDefault="00976B8D" w:rsidP="00976B8D">
      <w:pPr>
        <w:pStyle w:val="Pagrindinispaprastastekstas"/>
        <w:rPr>
          <w:rFonts w:ascii="Times New Roman" w:hAnsi="Times New Roman"/>
        </w:rPr>
      </w:pPr>
    </w:p>
    <w:p w14:paraId="0D4018A4" w14:textId="77777777" w:rsidR="00A306BC" w:rsidRPr="00650EE4" w:rsidRDefault="00A306BC">
      <w:pPr>
        <w:spacing w:after="240"/>
        <w:rPr>
          <w:rFonts w:ascii="Times New Roman" w:eastAsiaTheme="minorHAnsi" w:hAnsi="Times New Roman"/>
          <w:bCs/>
          <w:i/>
          <w:color w:val="000000" w:themeColor="text1"/>
          <w:sz w:val="20"/>
          <w:szCs w:val="20"/>
        </w:rPr>
      </w:pPr>
      <w:r w:rsidRPr="00650EE4">
        <w:br w:type="page"/>
      </w:r>
    </w:p>
    <w:p w14:paraId="4E024A10" w14:textId="250D609C" w:rsidR="00976B8D" w:rsidRPr="00650EE4" w:rsidRDefault="00976B8D"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85" w:name="_Toc67925215"/>
      <w:r w:rsidR="007744C1">
        <w:t>32</w:t>
      </w:r>
      <w:r w:rsidRPr="00650EE4">
        <w:rPr>
          <w:noProof w:val="0"/>
        </w:rPr>
        <w:fldChar w:fldCharType="end"/>
      </w:r>
      <w:r w:rsidRPr="00650EE4">
        <w:rPr>
          <w:noProof w:val="0"/>
        </w:rPr>
        <w:t xml:space="preserve"> lentelė. Viešųjų pastatų pirminės energijos vartojimas pagal grupes ir </w:t>
      </w:r>
      <w:r w:rsidR="00F4660E" w:rsidRPr="00650EE4">
        <w:rPr>
          <w:noProof w:val="0"/>
        </w:rPr>
        <w:t>ENK</w:t>
      </w:r>
      <w:r w:rsidR="005A2552" w:rsidRPr="00650EE4">
        <w:rPr>
          <w:noProof w:val="0"/>
        </w:rPr>
        <w:t xml:space="preserve"> (</w:t>
      </w:r>
      <w:proofErr w:type="spellStart"/>
      <w:r w:rsidR="005A2552" w:rsidRPr="00650EE4">
        <w:rPr>
          <w:noProof w:val="0"/>
        </w:rPr>
        <w:t>GWh</w:t>
      </w:r>
      <w:proofErr w:type="spellEnd"/>
      <w:r w:rsidR="005A2552" w:rsidRPr="00650EE4">
        <w:rPr>
          <w:noProof w:val="0"/>
        </w:rPr>
        <w:t>/metus)</w:t>
      </w:r>
      <w:bookmarkEnd w:id="85"/>
    </w:p>
    <w:tbl>
      <w:tblPr>
        <w:tblW w:w="10099" w:type="dxa"/>
        <w:tblLook w:val="04A0" w:firstRow="1" w:lastRow="0" w:firstColumn="1" w:lastColumn="0" w:noHBand="0" w:noVBand="1"/>
      </w:tblPr>
      <w:tblGrid>
        <w:gridCol w:w="2972"/>
        <w:gridCol w:w="960"/>
        <w:gridCol w:w="960"/>
        <w:gridCol w:w="960"/>
        <w:gridCol w:w="960"/>
        <w:gridCol w:w="960"/>
        <w:gridCol w:w="960"/>
        <w:gridCol w:w="1367"/>
      </w:tblGrid>
      <w:tr w:rsidR="00976B8D" w:rsidRPr="00650EE4" w14:paraId="7689F559" w14:textId="77777777" w:rsidTr="003B5931">
        <w:trPr>
          <w:trHeight w:val="70"/>
        </w:trPr>
        <w:tc>
          <w:tcPr>
            <w:tcW w:w="2972" w:type="dxa"/>
            <w:vMerge w:val="restart"/>
            <w:tcBorders>
              <w:top w:val="single" w:sz="4" w:space="0" w:color="auto"/>
              <w:left w:val="single" w:sz="4" w:space="0" w:color="auto"/>
              <w:bottom w:val="nil"/>
              <w:right w:val="nil"/>
            </w:tcBorders>
            <w:shd w:val="clear" w:color="000000" w:fill="FFFFFF"/>
            <w:vAlign w:val="center"/>
            <w:hideMark/>
          </w:tcPr>
          <w:p w14:paraId="48E0191C"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840"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58302415"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49E51C76"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7581A4BE"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c>
          <w:tcPr>
            <w:tcW w:w="1367" w:type="dxa"/>
            <w:vMerge w:val="restart"/>
            <w:tcBorders>
              <w:top w:val="single" w:sz="4" w:space="0" w:color="auto"/>
              <w:left w:val="single" w:sz="4" w:space="0" w:color="auto"/>
              <w:right w:val="single" w:sz="4" w:space="0" w:color="auto"/>
            </w:tcBorders>
            <w:shd w:val="clear" w:color="000000" w:fill="FFFFFF"/>
          </w:tcPr>
          <w:p w14:paraId="099A10FA"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 viso fondo, proc.</w:t>
            </w:r>
          </w:p>
        </w:tc>
      </w:tr>
      <w:tr w:rsidR="00976B8D" w:rsidRPr="00650EE4" w14:paraId="2A54CBC7" w14:textId="77777777" w:rsidTr="00A67C41">
        <w:trPr>
          <w:trHeight w:val="50"/>
        </w:trPr>
        <w:tc>
          <w:tcPr>
            <w:tcW w:w="2972" w:type="dxa"/>
            <w:vMerge/>
            <w:tcBorders>
              <w:top w:val="single" w:sz="4" w:space="0" w:color="auto"/>
              <w:left w:val="single" w:sz="4" w:space="0" w:color="auto"/>
              <w:bottom w:val="nil"/>
              <w:right w:val="nil"/>
            </w:tcBorders>
            <w:vAlign w:val="center"/>
            <w:hideMark/>
          </w:tcPr>
          <w:p w14:paraId="25964FD2"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tcBorders>
              <w:top w:val="nil"/>
              <w:left w:val="single" w:sz="4" w:space="0" w:color="auto"/>
              <w:bottom w:val="nil"/>
              <w:right w:val="nil"/>
            </w:tcBorders>
            <w:shd w:val="clear" w:color="000000" w:fill="FFFFFF"/>
            <w:vAlign w:val="center"/>
            <w:hideMark/>
          </w:tcPr>
          <w:p w14:paraId="1280E1C4"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960" w:type="dxa"/>
            <w:tcBorders>
              <w:top w:val="nil"/>
              <w:left w:val="nil"/>
              <w:bottom w:val="nil"/>
              <w:right w:val="nil"/>
            </w:tcBorders>
            <w:shd w:val="clear" w:color="000000" w:fill="FFFFFF"/>
            <w:vAlign w:val="center"/>
            <w:hideMark/>
          </w:tcPr>
          <w:p w14:paraId="7561D1B3"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960" w:type="dxa"/>
            <w:tcBorders>
              <w:top w:val="nil"/>
              <w:left w:val="nil"/>
              <w:bottom w:val="nil"/>
              <w:right w:val="nil"/>
            </w:tcBorders>
            <w:shd w:val="clear" w:color="000000" w:fill="FFFFFF"/>
            <w:vAlign w:val="center"/>
            <w:hideMark/>
          </w:tcPr>
          <w:p w14:paraId="44B6B464"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960" w:type="dxa"/>
            <w:tcBorders>
              <w:top w:val="nil"/>
              <w:left w:val="nil"/>
              <w:bottom w:val="nil"/>
              <w:right w:val="nil"/>
            </w:tcBorders>
            <w:shd w:val="clear" w:color="000000" w:fill="FFFFFF"/>
            <w:vAlign w:val="center"/>
            <w:hideMark/>
          </w:tcPr>
          <w:p w14:paraId="30333D9D"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960" w:type="dxa"/>
            <w:vMerge/>
            <w:tcBorders>
              <w:top w:val="single" w:sz="4" w:space="0" w:color="auto"/>
              <w:left w:val="single" w:sz="4" w:space="0" w:color="auto"/>
              <w:bottom w:val="nil"/>
              <w:right w:val="single" w:sz="4" w:space="0" w:color="auto"/>
            </w:tcBorders>
            <w:vAlign w:val="center"/>
            <w:hideMark/>
          </w:tcPr>
          <w:p w14:paraId="38CF8F58"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0DBAFE9C" w14:textId="77777777" w:rsidR="00976B8D" w:rsidRPr="00650EE4" w:rsidRDefault="00976B8D" w:rsidP="00A67C41">
            <w:pPr>
              <w:spacing w:line="240" w:lineRule="auto"/>
              <w:rPr>
                <w:rFonts w:ascii="Times New Roman" w:eastAsia="Times New Roman" w:hAnsi="Times New Roman"/>
                <w:b/>
                <w:bCs/>
                <w:sz w:val="20"/>
                <w:szCs w:val="20"/>
              </w:rPr>
            </w:pPr>
          </w:p>
        </w:tc>
        <w:tc>
          <w:tcPr>
            <w:tcW w:w="1367" w:type="dxa"/>
            <w:vMerge/>
            <w:tcBorders>
              <w:left w:val="single" w:sz="4" w:space="0" w:color="auto"/>
              <w:bottom w:val="nil"/>
              <w:right w:val="single" w:sz="4" w:space="0" w:color="auto"/>
            </w:tcBorders>
          </w:tcPr>
          <w:p w14:paraId="59C65FC4" w14:textId="77777777" w:rsidR="00976B8D" w:rsidRPr="00650EE4" w:rsidRDefault="00976B8D" w:rsidP="00A67C41">
            <w:pPr>
              <w:spacing w:line="240" w:lineRule="auto"/>
              <w:rPr>
                <w:rFonts w:ascii="Times New Roman" w:eastAsia="Times New Roman" w:hAnsi="Times New Roman"/>
                <w:b/>
                <w:bCs/>
                <w:sz w:val="20"/>
                <w:szCs w:val="20"/>
              </w:rPr>
            </w:pPr>
          </w:p>
        </w:tc>
      </w:tr>
      <w:tr w:rsidR="00976B8D" w:rsidRPr="00650EE4" w14:paraId="232B69E3" w14:textId="77777777" w:rsidTr="00D612BA">
        <w:trPr>
          <w:trHeight w:val="70"/>
        </w:trPr>
        <w:tc>
          <w:tcPr>
            <w:tcW w:w="2972" w:type="dxa"/>
            <w:tcBorders>
              <w:top w:val="single" w:sz="4" w:space="0" w:color="auto"/>
              <w:left w:val="single" w:sz="4" w:space="0" w:color="auto"/>
              <w:bottom w:val="nil"/>
              <w:right w:val="single" w:sz="4" w:space="0" w:color="auto"/>
            </w:tcBorders>
            <w:shd w:val="clear" w:color="000000" w:fill="FFFFFF"/>
            <w:noWrap/>
            <w:vAlign w:val="center"/>
            <w:hideMark/>
          </w:tcPr>
          <w:p w14:paraId="121A6883" w14:textId="2B553763" w:rsidR="00976B8D" w:rsidRPr="00650EE4" w:rsidRDefault="00F84B1E"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Individualūs</w:t>
            </w:r>
          </w:p>
        </w:tc>
        <w:tc>
          <w:tcPr>
            <w:tcW w:w="960" w:type="dxa"/>
            <w:tcBorders>
              <w:top w:val="single" w:sz="4" w:space="0" w:color="auto"/>
              <w:left w:val="nil"/>
              <w:bottom w:val="nil"/>
              <w:right w:val="nil"/>
            </w:tcBorders>
            <w:shd w:val="clear" w:color="000000" w:fill="FFFFFF"/>
            <w:noWrap/>
            <w:vAlign w:val="center"/>
            <w:hideMark/>
          </w:tcPr>
          <w:p w14:paraId="1A282D8D"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51</w:t>
            </w:r>
          </w:p>
        </w:tc>
        <w:tc>
          <w:tcPr>
            <w:tcW w:w="960" w:type="dxa"/>
            <w:tcBorders>
              <w:top w:val="single" w:sz="4" w:space="0" w:color="auto"/>
              <w:left w:val="nil"/>
              <w:bottom w:val="nil"/>
              <w:right w:val="nil"/>
            </w:tcBorders>
            <w:shd w:val="clear" w:color="000000" w:fill="FFFFFF"/>
            <w:noWrap/>
            <w:vAlign w:val="center"/>
            <w:hideMark/>
          </w:tcPr>
          <w:p w14:paraId="12684A66"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10</w:t>
            </w:r>
          </w:p>
        </w:tc>
        <w:tc>
          <w:tcPr>
            <w:tcW w:w="960" w:type="dxa"/>
            <w:tcBorders>
              <w:top w:val="single" w:sz="4" w:space="0" w:color="auto"/>
              <w:left w:val="nil"/>
              <w:bottom w:val="nil"/>
              <w:right w:val="nil"/>
            </w:tcBorders>
            <w:shd w:val="clear" w:color="000000" w:fill="FFFFFF"/>
            <w:noWrap/>
            <w:vAlign w:val="center"/>
            <w:hideMark/>
          </w:tcPr>
          <w:p w14:paraId="45FAEC2B"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w:t>
            </w:r>
          </w:p>
        </w:tc>
        <w:tc>
          <w:tcPr>
            <w:tcW w:w="960" w:type="dxa"/>
            <w:tcBorders>
              <w:top w:val="single" w:sz="4" w:space="0" w:color="auto"/>
              <w:left w:val="nil"/>
              <w:bottom w:val="nil"/>
              <w:right w:val="nil"/>
            </w:tcBorders>
            <w:shd w:val="clear" w:color="000000" w:fill="FFFFFF"/>
            <w:noWrap/>
            <w:vAlign w:val="center"/>
            <w:hideMark/>
          </w:tcPr>
          <w:p w14:paraId="4643018A"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39EF5C2"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61</w:t>
            </w:r>
          </w:p>
        </w:tc>
        <w:tc>
          <w:tcPr>
            <w:tcW w:w="960" w:type="dxa"/>
            <w:tcBorders>
              <w:top w:val="single" w:sz="4" w:space="0" w:color="auto"/>
              <w:left w:val="nil"/>
              <w:bottom w:val="nil"/>
              <w:right w:val="single" w:sz="4" w:space="0" w:color="auto"/>
            </w:tcBorders>
            <w:shd w:val="clear" w:color="000000" w:fill="FFFFFF"/>
            <w:noWrap/>
            <w:vAlign w:val="center"/>
            <w:hideMark/>
          </w:tcPr>
          <w:p w14:paraId="5446D929"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c>
          <w:tcPr>
            <w:tcW w:w="1367" w:type="dxa"/>
            <w:tcBorders>
              <w:top w:val="single" w:sz="4" w:space="0" w:color="auto"/>
              <w:left w:val="nil"/>
              <w:bottom w:val="nil"/>
              <w:right w:val="single" w:sz="4" w:space="0" w:color="auto"/>
            </w:tcBorders>
            <w:shd w:val="clear" w:color="000000" w:fill="FFFFFF"/>
          </w:tcPr>
          <w:p w14:paraId="3D05D0E3" w14:textId="1E684609" w:rsidR="00976B8D" w:rsidRPr="00650EE4" w:rsidRDefault="00C16BE4"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0,4%</w:t>
            </w:r>
          </w:p>
        </w:tc>
      </w:tr>
      <w:tr w:rsidR="00976B8D" w:rsidRPr="00650EE4" w14:paraId="7E6F636F" w14:textId="77777777" w:rsidTr="001223A0">
        <w:trPr>
          <w:trHeight w:val="80"/>
        </w:trPr>
        <w:tc>
          <w:tcPr>
            <w:tcW w:w="2972" w:type="dxa"/>
            <w:tcBorders>
              <w:top w:val="nil"/>
              <w:left w:val="single" w:sz="4" w:space="0" w:color="auto"/>
              <w:bottom w:val="nil"/>
              <w:right w:val="single" w:sz="4" w:space="0" w:color="auto"/>
            </w:tcBorders>
            <w:shd w:val="clear" w:color="000000" w:fill="FFFFFF"/>
            <w:noWrap/>
            <w:vAlign w:val="center"/>
            <w:hideMark/>
          </w:tcPr>
          <w:p w14:paraId="5389DFA3" w14:textId="77777777" w:rsidR="00976B8D" w:rsidRPr="00650EE4" w:rsidRDefault="00976B8D"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Daugiabučiai</w:t>
            </w:r>
          </w:p>
        </w:tc>
        <w:tc>
          <w:tcPr>
            <w:tcW w:w="960" w:type="dxa"/>
            <w:tcBorders>
              <w:top w:val="nil"/>
              <w:left w:val="nil"/>
              <w:bottom w:val="nil"/>
              <w:right w:val="nil"/>
            </w:tcBorders>
            <w:shd w:val="clear" w:color="000000" w:fill="FFFFFF"/>
            <w:noWrap/>
            <w:vAlign w:val="center"/>
            <w:hideMark/>
          </w:tcPr>
          <w:p w14:paraId="6B555691"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183</w:t>
            </w:r>
          </w:p>
        </w:tc>
        <w:tc>
          <w:tcPr>
            <w:tcW w:w="960" w:type="dxa"/>
            <w:tcBorders>
              <w:top w:val="nil"/>
              <w:left w:val="nil"/>
              <w:bottom w:val="nil"/>
              <w:right w:val="nil"/>
            </w:tcBorders>
            <w:shd w:val="clear" w:color="000000" w:fill="FFFFFF"/>
            <w:noWrap/>
            <w:vAlign w:val="center"/>
            <w:hideMark/>
          </w:tcPr>
          <w:p w14:paraId="43E6D729"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31</w:t>
            </w:r>
          </w:p>
        </w:tc>
        <w:tc>
          <w:tcPr>
            <w:tcW w:w="960" w:type="dxa"/>
            <w:tcBorders>
              <w:top w:val="nil"/>
              <w:left w:val="nil"/>
              <w:bottom w:val="nil"/>
              <w:right w:val="nil"/>
            </w:tcBorders>
            <w:shd w:val="clear" w:color="000000" w:fill="FFFFFF"/>
            <w:noWrap/>
            <w:vAlign w:val="center"/>
            <w:hideMark/>
          </w:tcPr>
          <w:p w14:paraId="09D91BA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22</w:t>
            </w:r>
          </w:p>
        </w:tc>
        <w:tc>
          <w:tcPr>
            <w:tcW w:w="960" w:type="dxa"/>
            <w:tcBorders>
              <w:top w:val="nil"/>
              <w:left w:val="nil"/>
              <w:bottom w:val="nil"/>
              <w:right w:val="nil"/>
            </w:tcBorders>
            <w:shd w:val="clear" w:color="000000" w:fill="FFFFFF"/>
            <w:noWrap/>
            <w:vAlign w:val="center"/>
            <w:hideMark/>
          </w:tcPr>
          <w:p w14:paraId="6907CF9B"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w:t>
            </w:r>
          </w:p>
        </w:tc>
        <w:tc>
          <w:tcPr>
            <w:tcW w:w="960" w:type="dxa"/>
            <w:tcBorders>
              <w:top w:val="nil"/>
              <w:left w:val="single" w:sz="4" w:space="0" w:color="auto"/>
              <w:bottom w:val="nil"/>
              <w:right w:val="single" w:sz="4" w:space="0" w:color="auto"/>
            </w:tcBorders>
            <w:shd w:val="clear" w:color="000000" w:fill="FFFFFF"/>
            <w:noWrap/>
            <w:vAlign w:val="center"/>
            <w:hideMark/>
          </w:tcPr>
          <w:p w14:paraId="6BB44EA3"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237</w:t>
            </w:r>
          </w:p>
        </w:tc>
        <w:tc>
          <w:tcPr>
            <w:tcW w:w="960" w:type="dxa"/>
            <w:tcBorders>
              <w:top w:val="nil"/>
              <w:left w:val="nil"/>
              <w:bottom w:val="nil"/>
              <w:right w:val="single" w:sz="4" w:space="0" w:color="auto"/>
            </w:tcBorders>
            <w:shd w:val="clear" w:color="000000" w:fill="FFFFFF"/>
            <w:noWrap/>
            <w:vAlign w:val="center"/>
            <w:hideMark/>
          </w:tcPr>
          <w:p w14:paraId="7F39C18A"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w:t>
            </w:r>
          </w:p>
        </w:tc>
        <w:tc>
          <w:tcPr>
            <w:tcW w:w="1367" w:type="dxa"/>
            <w:tcBorders>
              <w:top w:val="nil"/>
              <w:left w:val="nil"/>
              <w:bottom w:val="nil"/>
              <w:right w:val="single" w:sz="4" w:space="0" w:color="auto"/>
            </w:tcBorders>
            <w:shd w:val="clear" w:color="000000" w:fill="FFFFFF"/>
          </w:tcPr>
          <w:p w14:paraId="65C2D4ED" w14:textId="1AC6C0FE" w:rsidR="00976B8D" w:rsidRPr="00650EE4" w:rsidRDefault="00C16BE4"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r>
      <w:tr w:rsidR="00976B8D" w:rsidRPr="00650EE4" w14:paraId="0942FA4C" w14:textId="77777777" w:rsidTr="001223A0">
        <w:trPr>
          <w:trHeight w:val="80"/>
        </w:trPr>
        <w:tc>
          <w:tcPr>
            <w:tcW w:w="2972" w:type="dxa"/>
            <w:tcBorders>
              <w:top w:val="nil"/>
              <w:left w:val="single" w:sz="4" w:space="0" w:color="auto"/>
              <w:bottom w:val="nil"/>
              <w:right w:val="single" w:sz="4" w:space="0" w:color="auto"/>
            </w:tcBorders>
            <w:shd w:val="clear" w:color="000000" w:fill="FFFFFF"/>
            <w:noWrap/>
            <w:vAlign w:val="center"/>
            <w:hideMark/>
          </w:tcPr>
          <w:p w14:paraId="12468347"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w:t>
            </w:r>
          </w:p>
        </w:tc>
        <w:tc>
          <w:tcPr>
            <w:tcW w:w="960" w:type="dxa"/>
            <w:tcBorders>
              <w:top w:val="nil"/>
              <w:left w:val="nil"/>
              <w:bottom w:val="nil"/>
              <w:right w:val="nil"/>
            </w:tcBorders>
            <w:shd w:val="clear" w:color="000000" w:fill="FFFFFF"/>
            <w:noWrap/>
            <w:vAlign w:val="center"/>
            <w:hideMark/>
          </w:tcPr>
          <w:p w14:paraId="3626E846"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240</w:t>
            </w:r>
          </w:p>
        </w:tc>
        <w:tc>
          <w:tcPr>
            <w:tcW w:w="960" w:type="dxa"/>
            <w:tcBorders>
              <w:top w:val="nil"/>
              <w:left w:val="nil"/>
              <w:bottom w:val="nil"/>
              <w:right w:val="nil"/>
            </w:tcBorders>
            <w:shd w:val="clear" w:color="000000" w:fill="FFFFFF"/>
            <w:noWrap/>
            <w:vAlign w:val="center"/>
            <w:hideMark/>
          </w:tcPr>
          <w:p w14:paraId="0DA9A916"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960" w:type="dxa"/>
            <w:tcBorders>
              <w:top w:val="nil"/>
              <w:left w:val="nil"/>
              <w:bottom w:val="nil"/>
              <w:right w:val="nil"/>
            </w:tcBorders>
            <w:shd w:val="clear" w:color="000000" w:fill="FFFFFF"/>
            <w:noWrap/>
            <w:vAlign w:val="center"/>
            <w:hideMark/>
          </w:tcPr>
          <w:p w14:paraId="40C87AC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960" w:type="dxa"/>
            <w:tcBorders>
              <w:top w:val="nil"/>
              <w:left w:val="nil"/>
              <w:bottom w:val="nil"/>
              <w:right w:val="nil"/>
            </w:tcBorders>
            <w:shd w:val="clear" w:color="000000" w:fill="FFFFFF"/>
            <w:noWrap/>
            <w:vAlign w:val="center"/>
            <w:hideMark/>
          </w:tcPr>
          <w:p w14:paraId="661BBAB9"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960" w:type="dxa"/>
            <w:tcBorders>
              <w:top w:val="nil"/>
              <w:left w:val="single" w:sz="4" w:space="0" w:color="auto"/>
              <w:bottom w:val="nil"/>
              <w:right w:val="single" w:sz="4" w:space="0" w:color="auto"/>
            </w:tcBorders>
            <w:shd w:val="clear" w:color="000000" w:fill="FFFFFF"/>
            <w:noWrap/>
            <w:vAlign w:val="center"/>
            <w:hideMark/>
          </w:tcPr>
          <w:p w14:paraId="50D74A82"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252</w:t>
            </w:r>
          </w:p>
        </w:tc>
        <w:tc>
          <w:tcPr>
            <w:tcW w:w="960" w:type="dxa"/>
            <w:tcBorders>
              <w:top w:val="nil"/>
              <w:left w:val="nil"/>
              <w:bottom w:val="nil"/>
              <w:right w:val="single" w:sz="4" w:space="0" w:color="auto"/>
            </w:tcBorders>
            <w:shd w:val="clear" w:color="000000" w:fill="FFFFFF"/>
            <w:noWrap/>
            <w:vAlign w:val="center"/>
            <w:hideMark/>
          </w:tcPr>
          <w:p w14:paraId="6E524E5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1367" w:type="dxa"/>
            <w:tcBorders>
              <w:top w:val="nil"/>
              <w:left w:val="nil"/>
              <w:bottom w:val="nil"/>
              <w:right w:val="single" w:sz="4" w:space="0" w:color="auto"/>
            </w:tcBorders>
            <w:shd w:val="clear" w:color="000000" w:fill="FFFFFF"/>
          </w:tcPr>
          <w:p w14:paraId="669550A0" w14:textId="08E5DC94" w:rsidR="00976B8D" w:rsidRPr="00650EE4" w:rsidRDefault="00C16BE4"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976B8D" w:rsidRPr="00650EE4" w14:paraId="5B249BB7" w14:textId="77777777" w:rsidTr="009868A0">
        <w:trPr>
          <w:trHeight w:val="8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988E5DC"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960" w:type="dxa"/>
            <w:tcBorders>
              <w:top w:val="nil"/>
              <w:left w:val="nil"/>
              <w:bottom w:val="single" w:sz="4" w:space="0" w:color="auto"/>
              <w:right w:val="nil"/>
            </w:tcBorders>
            <w:shd w:val="clear" w:color="000000" w:fill="FFFFFF"/>
            <w:noWrap/>
            <w:vAlign w:val="center"/>
            <w:hideMark/>
          </w:tcPr>
          <w:p w14:paraId="43E7283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2.177</w:t>
            </w:r>
          </w:p>
        </w:tc>
        <w:tc>
          <w:tcPr>
            <w:tcW w:w="960" w:type="dxa"/>
            <w:tcBorders>
              <w:top w:val="nil"/>
              <w:left w:val="nil"/>
              <w:bottom w:val="single" w:sz="4" w:space="0" w:color="auto"/>
              <w:right w:val="nil"/>
            </w:tcBorders>
            <w:shd w:val="clear" w:color="000000" w:fill="FFFFFF"/>
            <w:noWrap/>
            <w:vAlign w:val="center"/>
            <w:hideMark/>
          </w:tcPr>
          <w:p w14:paraId="15FF03D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425</w:t>
            </w:r>
          </w:p>
        </w:tc>
        <w:tc>
          <w:tcPr>
            <w:tcW w:w="960" w:type="dxa"/>
            <w:tcBorders>
              <w:top w:val="nil"/>
              <w:left w:val="nil"/>
              <w:bottom w:val="single" w:sz="4" w:space="0" w:color="auto"/>
              <w:right w:val="nil"/>
            </w:tcBorders>
            <w:shd w:val="clear" w:color="000000" w:fill="FFFFFF"/>
            <w:noWrap/>
            <w:vAlign w:val="center"/>
            <w:hideMark/>
          </w:tcPr>
          <w:p w14:paraId="7343804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274</w:t>
            </w:r>
          </w:p>
        </w:tc>
        <w:tc>
          <w:tcPr>
            <w:tcW w:w="960" w:type="dxa"/>
            <w:tcBorders>
              <w:top w:val="nil"/>
              <w:left w:val="nil"/>
              <w:bottom w:val="single" w:sz="4" w:space="0" w:color="auto"/>
              <w:right w:val="nil"/>
            </w:tcBorders>
            <w:shd w:val="clear" w:color="000000" w:fill="FFFFFF"/>
            <w:noWrap/>
            <w:vAlign w:val="center"/>
            <w:hideMark/>
          </w:tcPr>
          <w:p w14:paraId="7F9E46C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60EA964"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2.884</w:t>
            </w:r>
          </w:p>
        </w:tc>
        <w:tc>
          <w:tcPr>
            <w:tcW w:w="960" w:type="dxa"/>
            <w:tcBorders>
              <w:top w:val="nil"/>
              <w:left w:val="nil"/>
              <w:bottom w:val="single" w:sz="4" w:space="0" w:color="auto"/>
              <w:right w:val="single" w:sz="4" w:space="0" w:color="auto"/>
            </w:tcBorders>
            <w:shd w:val="clear" w:color="000000" w:fill="FFFFFF"/>
            <w:noWrap/>
            <w:vAlign w:val="center"/>
            <w:hideMark/>
          </w:tcPr>
          <w:p w14:paraId="2B8564D4"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w:t>
            </w:r>
          </w:p>
        </w:tc>
        <w:tc>
          <w:tcPr>
            <w:tcW w:w="1367" w:type="dxa"/>
            <w:tcBorders>
              <w:top w:val="nil"/>
              <w:left w:val="nil"/>
              <w:bottom w:val="single" w:sz="4" w:space="0" w:color="auto"/>
              <w:right w:val="single" w:sz="4" w:space="0" w:color="auto"/>
            </w:tcBorders>
            <w:shd w:val="clear" w:color="000000" w:fill="FFFFFF"/>
          </w:tcPr>
          <w:p w14:paraId="3779EA77" w14:textId="6B3C3784" w:rsidR="00976B8D" w:rsidRPr="00650EE4" w:rsidRDefault="00C16BE4"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r>
      <w:tr w:rsidR="00976B8D" w:rsidRPr="00650EE4" w14:paraId="7B314F45" w14:textId="77777777" w:rsidTr="007D3639">
        <w:trPr>
          <w:trHeight w:val="7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6769612" w14:textId="77777777" w:rsidR="00976B8D" w:rsidRPr="00650EE4" w:rsidRDefault="00976B8D" w:rsidP="00A67C4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tcBorders>
              <w:top w:val="nil"/>
              <w:left w:val="nil"/>
              <w:bottom w:val="single" w:sz="4" w:space="0" w:color="auto"/>
              <w:right w:val="nil"/>
            </w:tcBorders>
            <w:shd w:val="clear" w:color="000000" w:fill="FFFFFF"/>
            <w:noWrap/>
            <w:vAlign w:val="center"/>
            <w:hideMark/>
          </w:tcPr>
          <w:p w14:paraId="2E67FB2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2.651</w:t>
            </w:r>
          </w:p>
        </w:tc>
        <w:tc>
          <w:tcPr>
            <w:tcW w:w="960" w:type="dxa"/>
            <w:tcBorders>
              <w:top w:val="nil"/>
              <w:left w:val="nil"/>
              <w:bottom w:val="single" w:sz="4" w:space="0" w:color="auto"/>
              <w:right w:val="nil"/>
            </w:tcBorders>
            <w:shd w:val="clear" w:color="000000" w:fill="FFFFFF"/>
            <w:noWrap/>
            <w:vAlign w:val="center"/>
            <w:hideMark/>
          </w:tcPr>
          <w:p w14:paraId="661B7729"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472</w:t>
            </w:r>
          </w:p>
        </w:tc>
        <w:tc>
          <w:tcPr>
            <w:tcW w:w="960" w:type="dxa"/>
            <w:tcBorders>
              <w:top w:val="nil"/>
              <w:left w:val="nil"/>
              <w:bottom w:val="single" w:sz="4" w:space="0" w:color="auto"/>
              <w:right w:val="nil"/>
            </w:tcBorders>
            <w:shd w:val="clear" w:color="000000" w:fill="FFFFFF"/>
            <w:noWrap/>
            <w:vAlign w:val="center"/>
            <w:hideMark/>
          </w:tcPr>
          <w:p w14:paraId="46B7583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301</w:t>
            </w:r>
          </w:p>
        </w:tc>
        <w:tc>
          <w:tcPr>
            <w:tcW w:w="960" w:type="dxa"/>
            <w:tcBorders>
              <w:top w:val="nil"/>
              <w:left w:val="nil"/>
              <w:bottom w:val="single" w:sz="4" w:space="0" w:color="auto"/>
              <w:right w:val="nil"/>
            </w:tcBorders>
            <w:shd w:val="clear" w:color="000000" w:fill="FFFFFF"/>
            <w:noWrap/>
            <w:vAlign w:val="center"/>
            <w:hideMark/>
          </w:tcPr>
          <w:p w14:paraId="02C09E56"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28706FC"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3.434</w:t>
            </w:r>
          </w:p>
        </w:tc>
        <w:tc>
          <w:tcPr>
            <w:tcW w:w="960" w:type="dxa"/>
            <w:tcBorders>
              <w:top w:val="nil"/>
              <w:left w:val="nil"/>
              <w:bottom w:val="single" w:sz="4" w:space="0" w:color="auto"/>
              <w:right w:val="single" w:sz="4" w:space="0" w:color="auto"/>
            </w:tcBorders>
            <w:shd w:val="clear" w:color="000000" w:fill="FFFFFF"/>
            <w:noWrap/>
            <w:vAlign w:val="center"/>
            <w:hideMark/>
          </w:tcPr>
          <w:p w14:paraId="0123BEC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367" w:type="dxa"/>
            <w:tcBorders>
              <w:top w:val="nil"/>
              <w:left w:val="nil"/>
              <w:bottom w:val="single" w:sz="4" w:space="0" w:color="auto"/>
              <w:right w:val="single" w:sz="4" w:space="0" w:color="auto"/>
            </w:tcBorders>
            <w:shd w:val="clear" w:color="000000" w:fill="FFFFFF"/>
          </w:tcPr>
          <w:p w14:paraId="535B935E" w14:textId="02E12F0B" w:rsidR="00976B8D" w:rsidRPr="00650EE4" w:rsidRDefault="00C16BE4"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r>
      <w:tr w:rsidR="00976B8D" w:rsidRPr="00650EE4" w14:paraId="2D4AC5B3" w14:textId="77777777" w:rsidTr="007D3639">
        <w:trPr>
          <w:trHeight w:val="7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DBAF25E"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960" w:type="dxa"/>
            <w:tcBorders>
              <w:top w:val="nil"/>
              <w:left w:val="nil"/>
              <w:bottom w:val="single" w:sz="4" w:space="0" w:color="auto"/>
              <w:right w:val="nil"/>
            </w:tcBorders>
            <w:shd w:val="clear" w:color="000000" w:fill="FFFFFF"/>
            <w:noWrap/>
            <w:vAlign w:val="center"/>
            <w:hideMark/>
          </w:tcPr>
          <w:p w14:paraId="77F0D3FD"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960" w:type="dxa"/>
            <w:tcBorders>
              <w:top w:val="nil"/>
              <w:left w:val="nil"/>
              <w:bottom w:val="single" w:sz="4" w:space="0" w:color="auto"/>
              <w:right w:val="nil"/>
            </w:tcBorders>
            <w:shd w:val="clear" w:color="000000" w:fill="FFFFFF"/>
            <w:noWrap/>
            <w:vAlign w:val="center"/>
            <w:hideMark/>
          </w:tcPr>
          <w:p w14:paraId="6D019AED"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960" w:type="dxa"/>
            <w:tcBorders>
              <w:top w:val="nil"/>
              <w:left w:val="nil"/>
              <w:bottom w:val="single" w:sz="4" w:space="0" w:color="auto"/>
              <w:right w:val="nil"/>
            </w:tcBorders>
            <w:shd w:val="clear" w:color="000000" w:fill="FFFFFF"/>
            <w:noWrap/>
            <w:vAlign w:val="center"/>
            <w:hideMark/>
          </w:tcPr>
          <w:p w14:paraId="71A1666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960" w:type="dxa"/>
            <w:tcBorders>
              <w:top w:val="nil"/>
              <w:left w:val="nil"/>
              <w:bottom w:val="single" w:sz="4" w:space="0" w:color="auto"/>
              <w:right w:val="nil"/>
            </w:tcBorders>
            <w:shd w:val="clear" w:color="000000" w:fill="FFFFFF"/>
            <w:noWrap/>
            <w:vAlign w:val="center"/>
            <w:hideMark/>
          </w:tcPr>
          <w:p w14:paraId="57E2D523"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4177775"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034E91E2"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367" w:type="dxa"/>
            <w:tcBorders>
              <w:top w:val="nil"/>
              <w:left w:val="nil"/>
              <w:bottom w:val="single" w:sz="4" w:space="0" w:color="auto"/>
              <w:right w:val="single" w:sz="4" w:space="0" w:color="auto"/>
            </w:tcBorders>
            <w:shd w:val="clear" w:color="000000" w:fill="FFFFFF"/>
          </w:tcPr>
          <w:p w14:paraId="783F3E6D" w14:textId="77777777" w:rsidR="00976B8D" w:rsidRPr="00650EE4" w:rsidRDefault="00976B8D" w:rsidP="00A67C41">
            <w:pPr>
              <w:spacing w:line="240" w:lineRule="auto"/>
              <w:rPr>
                <w:rFonts w:ascii="Times New Roman" w:eastAsia="Times New Roman" w:hAnsi="Times New Roman"/>
                <w:sz w:val="20"/>
                <w:szCs w:val="20"/>
              </w:rPr>
            </w:pPr>
          </w:p>
        </w:tc>
      </w:tr>
    </w:tbl>
    <w:p w14:paraId="288F3660" w14:textId="4A5D3A03" w:rsidR="00976B8D" w:rsidRPr="00650EE4" w:rsidRDefault="00976B8D" w:rsidP="00976B8D">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5567C4">
        <w:rPr>
          <w:rFonts w:ascii="Times New Roman" w:eastAsia="Times New Roman" w:hAnsi="Times New Roman"/>
          <w:i/>
          <w:color w:val="000000" w:themeColor="text1"/>
          <w:sz w:val="20"/>
          <w:szCs w:val="28"/>
        </w:rPr>
        <w:t xml:space="preserve"> </w:t>
      </w:r>
      <w:r w:rsidR="005567C4">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1925CC41" w14:textId="77777777" w:rsidR="00976B8D" w:rsidRPr="00650EE4" w:rsidRDefault="00976B8D" w:rsidP="00976B8D">
      <w:pPr>
        <w:pStyle w:val="Pagrindinispaprastastekstas"/>
        <w:rPr>
          <w:rFonts w:ascii="Times New Roman" w:hAnsi="Times New Roman"/>
        </w:rPr>
      </w:pPr>
    </w:p>
    <w:p w14:paraId="5A19A91C" w14:textId="09E825EF" w:rsidR="00976B8D" w:rsidRPr="00650EE4" w:rsidRDefault="00195067" w:rsidP="0074044A">
      <w:pPr>
        <w:spacing w:after="120"/>
        <w:rPr>
          <w:rFonts w:ascii="Times New Roman" w:hAnsi="Times New Roman"/>
          <w:color w:val="000000" w:themeColor="text1"/>
          <w:szCs w:val="28"/>
        </w:rPr>
      </w:pPr>
      <w:r w:rsidRPr="00650EE4">
        <w:rPr>
          <w:rFonts w:ascii="Times New Roman" w:hAnsi="Times New Roman"/>
          <w:color w:val="000000" w:themeColor="text1"/>
          <w:szCs w:val="28"/>
        </w:rPr>
        <w:t xml:space="preserve">Apibendrinant aukščiau pateiktus duomenis galima </w:t>
      </w:r>
      <w:r w:rsidR="00940E08" w:rsidRPr="00650EE4">
        <w:rPr>
          <w:rFonts w:ascii="Times New Roman" w:hAnsi="Times New Roman"/>
          <w:color w:val="000000" w:themeColor="text1"/>
          <w:szCs w:val="28"/>
        </w:rPr>
        <w:t>pastebėti</w:t>
      </w:r>
      <w:r w:rsidRPr="00650EE4">
        <w:rPr>
          <w:rFonts w:ascii="Times New Roman" w:hAnsi="Times New Roman"/>
          <w:color w:val="000000" w:themeColor="text1"/>
          <w:szCs w:val="28"/>
        </w:rPr>
        <w:t>, kad:</w:t>
      </w:r>
    </w:p>
    <w:p w14:paraId="12564D36" w14:textId="4FB4735B" w:rsidR="007F2772" w:rsidRPr="00650EE4" w:rsidRDefault="00050ED5" w:rsidP="007F2772">
      <w:pPr>
        <w:pStyle w:val="Pagrindinispaprastastekstas"/>
        <w:numPr>
          <w:ilvl w:val="0"/>
          <w:numId w:val="10"/>
        </w:numPr>
        <w:spacing w:after="60"/>
        <w:ind w:left="714" w:hanging="357"/>
        <w:rPr>
          <w:rFonts w:ascii="Times New Roman" w:hAnsi="Times New Roman"/>
          <w:szCs w:val="22"/>
        </w:rPr>
      </w:pPr>
      <w:r>
        <w:rPr>
          <w:rFonts w:ascii="Times New Roman" w:hAnsi="Times New Roman"/>
          <w:color w:val="000000" w:themeColor="text1"/>
          <w:szCs w:val="22"/>
        </w:rPr>
        <w:t>v</w:t>
      </w:r>
      <w:r w:rsidR="00195067" w:rsidRPr="00650EE4">
        <w:rPr>
          <w:rFonts w:ascii="Times New Roman" w:hAnsi="Times New Roman"/>
          <w:color w:val="000000" w:themeColor="text1"/>
          <w:szCs w:val="22"/>
        </w:rPr>
        <w:t xml:space="preserve">iešųjų pastatų fondas </w:t>
      </w:r>
      <w:r w:rsidR="00747700" w:rsidRPr="00650EE4">
        <w:rPr>
          <w:rFonts w:ascii="Times New Roman" w:hAnsi="Times New Roman"/>
          <w:color w:val="000000" w:themeColor="text1"/>
          <w:szCs w:val="22"/>
        </w:rPr>
        <w:t>sudaro</w:t>
      </w:r>
      <w:r w:rsidR="00195067" w:rsidRPr="00650EE4">
        <w:rPr>
          <w:rFonts w:ascii="Times New Roman" w:hAnsi="Times New Roman"/>
          <w:color w:val="000000" w:themeColor="text1"/>
          <w:szCs w:val="22"/>
        </w:rPr>
        <w:t xml:space="preserve"> nereikšmingą pastatų fondo dalį – tiek apimtimi (skaičiumi ir plotu), tiek pirminės energijos vartojimu</w:t>
      </w:r>
      <w:r>
        <w:rPr>
          <w:rFonts w:ascii="Times New Roman" w:hAnsi="Times New Roman"/>
          <w:color w:val="000000" w:themeColor="text1"/>
          <w:szCs w:val="22"/>
        </w:rPr>
        <w:t>;</w:t>
      </w:r>
      <w:r w:rsidR="007F2772" w:rsidRPr="00650EE4">
        <w:rPr>
          <w:rFonts w:ascii="Times New Roman" w:hAnsi="Times New Roman"/>
          <w:color w:val="000000" w:themeColor="text1"/>
          <w:szCs w:val="22"/>
        </w:rPr>
        <w:t xml:space="preserve"> </w:t>
      </w:r>
    </w:p>
    <w:p w14:paraId="6450F4F2" w14:textId="7D109D1F" w:rsidR="007F2772" w:rsidRPr="00650EE4" w:rsidRDefault="00050ED5" w:rsidP="007F2772">
      <w:pPr>
        <w:pStyle w:val="Pagrindinispaprastastekstas"/>
        <w:numPr>
          <w:ilvl w:val="0"/>
          <w:numId w:val="10"/>
        </w:numPr>
        <w:spacing w:after="60"/>
        <w:ind w:left="714" w:hanging="357"/>
        <w:rPr>
          <w:rFonts w:ascii="Times New Roman" w:hAnsi="Times New Roman"/>
          <w:szCs w:val="22"/>
        </w:rPr>
      </w:pPr>
      <w:r>
        <w:rPr>
          <w:rFonts w:ascii="Times New Roman" w:hAnsi="Times New Roman"/>
          <w:color w:val="000000" w:themeColor="text1"/>
          <w:szCs w:val="22"/>
        </w:rPr>
        <w:t>d</w:t>
      </w:r>
      <w:r w:rsidR="007F2772" w:rsidRPr="00650EE4">
        <w:rPr>
          <w:rFonts w:ascii="Times New Roman" w:hAnsi="Times New Roman"/>
          <w:color w:val="000000" w:themeColor="text1"/>
          <w:szCs w:val="22"/>
        </w:rPr>
        <w:t>idžioji dalis viešųjų pastatų yra blogiausios energinio naudingumo klasės, taip pat jie sudaro reikšmingą negyvenamųjų pastatų dalį;</w:t>
      </w:r>
    </w:p>
    <w:p w14:paraId="238C4B99" w14:textId="2495C409" w:rsidR="00195067" w:rsidRPr="00650EE4" w:rsidRDefault="00050ED5" w:rsidP="00940E08">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195067" w:rsidRPr="00650EE4">
        <w:rPr>
          <w:rFonts w:ascii="Times New Roman" w:hAnsi="Times New Roman"/>
          <w:color w:val="000000" w:themeColor="text1"/>
          <w:szCs w:val="22"/>
        </w:rPr>
        <w:t xml:space="preserve">titinkamai, </w:t>
      </w:r>
      <w:r w:rsidR="00940E08" w:rsidRPr="00650EE4">
        <w:rPr>
          <w:rFonts w:ascii="Times New Roman" w:hAnsi="Times New Roman"/>
          <w:color w:val="000000" w:themeColor="text1"/>
          <w:szCs w:val="22"/>
        </w:rPr>
        <w:t>viešųjų pastatų renovacija neturėtų reikšmingo poveikio energijos vartojimo mažėjimui šalies mastu;</w:t>
      </w:r>
    </w:p>
    <w:p w14:paraId="41E8E274" w14:textId="4DFC577D" w:rsidR="0025047E" w:rsidRPr="00650EE4" w:rsidRDefault="00C15F48" w:rsidP="00DA0D14">
      <w:pPr>
        <w:pStyle w:val="Pagrindinispaprastastekstas"/>
        <w:numPr>
          <w:ilvl w:val="0"/>
          <w:numId w:val="10"/>
        </w:numPr>
        <w:spacing w:after="60"/>
        <w:ind w:left="714" w:hanging="357"/>
        <w:rPr>
          <w:rFonts w:ascii="Times New Roman" w:hAnsi="Times New Roman"/>
          <w:szCs w:val="22"/>
        </w:rPr>
      </w:pPr>
      <w:r w:rsidRPr="00650EE4">
        <w:rPr>
          <w:rFonts w:ascii="Times New Roman" w:hAnsi="Times New Roman"/>
          <w:color w:val="000000" w:themeColor="text1"/>
          <w:szCs w:val="22"/>
        </w:rPr>
        <w:t>intensyvi ir sėkminga</w:t>
      </w:r>
      <w:r w:rsidR="0025047E" w:rsidRPr="00650EE4">
        <w:rPr>
          <w:rFonts w:ascii="Times New Roman" w:hAnsi="Times New Roman"/>
          <w:color w:val="000000" w:themeColor="text1"/>
          <w:szCs w:val="22"/>
        </w:rPr>
        <w:t xml:space="preserve"> viešųjų pastatų renovacijos galėtų</w:t>
      </w:r>
      <w:r w:rsidRPr="00650EE4">
        <w:rPr>
          <w:rFonts w:ascii="Times New Roman" w:hAnsi="Times New Roman"/>
          <w:color w:val="000000" w:themeColor="text1"/>
          <w:szCs w:val="22"/>
        </w:rPr>
        <w:t xml:space="preserve"> tapti sektinu pavyzdžiu.</w:t>
      </w:r>
    </w:p>
    <w:p w14:paraId="1110CFD2" w14:textId="62C119F3" w:rsidR="00AA5541" w:rsidRPr="00650EE4" w:rsidRDefault="00AA5541">
      <w:pPr>
        <w:spacing w:after="240"/>
        <w:rPr>
          <w:rFonts w:ascii="Times New Roman" w:hAnsi="Times New Roman"/>
          <w:color w:val="auto"/>
          <w:szCs w:val="22"/>
        </w:rPr>
      </w:pPr>
    </w:p>
    <w:p w14:paraId="4F0347F3" w14:textId="275C34D6" w:rsidR="0064148C" w:rsidRPr="00650EE4" w:rsidRDefault="0064148C" w:rsidP="00653EEF">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86" w:name="_Toc67925122"/>
      <w:r w:rsidRPr="00650EE4">
        <w:rPr>
          <w:rFonts w:ascii="Times New Roman" w:hAnsi="Times New Roman"/>
          <w:color w:val="auto"/>
          <w:sz w:val="24"/>
          <w:szCs w:val="24"/>
          <w:lang w:val="lt-LT"/>
        </w:rPr>
        <w:t>Esminiai skyriaus pastebėjimai</w:t>
      </w:r>
      <w:bookmarkEnd w:id="86"/>
    </w:p>
    <w:tbl>
      <w:tblPr>
        <w:tblW w:w="10161" w:type="dxa"/>
        <w:tblBorders>
          <w:left w:val="single" w:sz="36" w:space="0" w:color="EA0D2C"/>
        </w:tblBorders>
        <w:tblLayout w:type="fixed"/>
        <w:tblLook w:val="00A0" w:firstRow="1" w:lastRow="0" w:firstColumn="1" w:lastColumn="0" w:noHBand="0" w:noVBand="0"/>
      </w:tblPr>
      <w:tblGrid>
        <w:gridCol w:w="10161"/>
      </w:tblGrid>
      <w:tr w:rsidR="0064148C" w:rsidRPr="00650EE4" w14:paraId="77B3AA7F" w14:textId="77777777" w:rsidTr="003D42F9">
        <w:tc>
          <w:tcPr>
            <w:tcW w:w="10161" w:type="dxa"/>
            <w:tcBorders>
              <w:left w:val="single" w:sz="36" w:space="0" w:color="002060"/>
            </w:tcBorders>
            <w:shd w:val="clear" w:color="auto" w:fill="F0F0F0"/>
          </w:tcPr>
          <w:p w14:paraId="65BD4D0B" w14:textId="77777777" w:rsidR="00BE24D7" w:rsidRPr="00650EE4" w:rsidRDefault="00BE24D7"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Tik 2 proc. pastatų fondo pastatų (7 proc. ploto) sudaro vieša (savivaldybių ir valstybės) nuosavybė t.y. tik tokią Pastatų fondo transformacijos dalį galima patikimai planuoti ir kontroliuoti iš valstybės perspektyvos. Likusi pastatų savininkų dalis turi pati priimti sprendimą dalyvauti renovacijoje.</w:t>
            </w:r>
          </w:p>
          <w:p w14:paraId="2A41844D" w14:textId="77777777" w:rsidR="00BE24D7" w:rsidRPr="00650EE4" w:rsidRDefault="00BE24D7"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Beveik pusę (45 proc.) Pastatų fondo pagal plotą, sudaro mišri nuosavybė, t.y. kartu tiek vieša, tiek privati, tiek valdomą bendrasavininkių. Šis faktas gali papildomai apsunkinti pastatų savininkų sprendimo priėmimo procesą.</w:t>
            </w:r>
          </w:p>
          <w:p w14:paraId="2E7D47A1" w14:textId="183F1F73" w:rsidR="00BE24D7" w:rsidRPr="00650EE4" w:rsidRDefault="004147B2"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szCs w:val="22"/>
                <w:lang w:val="lt-LT"/>
              </w:rPr>
              <w:t>58</w:t>
            </w:r>
            <w:r w:rsidR="00050ED5">
              <w:rPr>
                <w:rFonts w:ascii="Times New Roman" w:hAnsi="Times New Roman"/>
                <w:szCs w:val="22"/>
                <w:lang w:val="lt-LT"/>
              </w:rPr>
              <w:t xml:space="preserve"> proc. p</w:t>
            </w:r>
            <w:r w:rsidR="00BE24D7" w:rsidRPr="00650EE4">
              <w:rPr>
                <w:rFonts w:ascii="Times New Roman" w:hAnsi="Times New Roman"/>
                <w:szCs w:val="22"/>
                <w:lang w:val="lt-LT"/>
              </w:rPr>
              <w:t>astatų fondo ploto sudaro pastatai pastatyti 1961-1992 m. Šio laikotarpio statybos pastatų architektūrinė ir konstrukcinė įvairovė nėra didelė. Tai sudaro prielaidas kartotiniams (standartiniams) renovacijos sprendimams realizuoti.</w:t>
            </w:r>
          </w:p>
          <w:p w14:paraId="1731B42C" w14:textId="36D83AD1" w:rsidR="00BE24D7" w:rsidRPr="00650EE4" w:rsidRDefault="00050ED5"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szCs w:val="22"/>
                <w:lang w:val="lt-LT"/>
              </w:rPr>
              <w:t>75 proc. p</w:t>
            </w:r>
            <w:r w:rsidR="00BE24D7" w:rsidRPr="00650EE4">
              <w:rPr>
                <w:rFonts w:ascii="Times New Roman" w:hAnsi="Times New Roman"/>
                <w:szCs w:val="22"/>
                <w:lang w:val="lt-LT"/>
              </w:rPr>
              <w:t>astatų fondo ploto pastatyta iki 1992 m. Atitinkamai IRS įgyvendinimo pabaigoje (2050 m.), absoliuti dauguma esamo pastatų fondo bus senesni nei 60 m. ir siekiant juos toliau eksploatuoti bus privalomas jų atnaujinimas (pvz. stogo remontas).</w:t>
            </w:r>
          </w:p>
          <w:p w14:paraId="64BE462F" w14:textId="24767427" w:rsidR="00F242D3" w:rsidRPr="00650EE4" w:rsidRDefault="00050ED5"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szCs w:val="22"/>
                <w:lang w:val="lt-LT"/>
              </w:rPr>
              <w:t>2/3 (63 proc.) visos p</w:t>
            </w:r>
            <w:r w:rsidR="00F242D3" w:rsidRPr="00650EE4">
              <w:rPr>
                <w:rFonts w:ascii="Times New Roman" w:hAnsi="Times New Roman"/>
                <w:szCs w:val="22"/>
                <w:lang w:val="lt-LT"/>
              </w:rPr>
              <w:t>astatų fondo pirminės energijos vartoja gyvenamieji pastatai, 34 proc. - individualūs gyvenamieji namai, 29  proc. – daugiabučiai.</w:t>
            </w:r>
          </w:p>
          <w:p w14:paraId="686EA4C3" w14:textId="2CCBCEA4" w:rsidR="005F748A" w:rsidRPr="00050ED5" w:rsidRDefault="004147B2" w:rsidP="004147B2">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color w:val="000000" w:themeColor="text1"/>
                <w:szCs w:val="22"/>
              </w:rPr>
              <w:t>4/5 (77 proc</w:t>
            </w:r>
            <w:r w:rsidRPr="004147B2">
              <w:rPr>
                <w:rFonts w:ascii="Times New Roman" w:hAnsi="Times New Roman"/>
                <w:color w:val="000000" w:themeColor="text1"/>
                <w:szCs w:val="22"/>
                <w:lang w:val="lt-LT"/>
              </w:rPr>
              <w:t>.) visos pastatų fondo pirminės energijos vartoja D ir žemesnės energ</w:t>
            </w:r>
            <w:r>
              <w:rPr>
                <w:rFonts w:ascii="Times New Roman" w:hAnsi="Times New Roman"/>
                <w:color w:val="000000" w:themeColor="text1"/>
                <w:szCs w:val="22"/>
                <w:lang w:val="lt-LT"/>
              </w:rPr>
              <w:t>inio naudingumo klasės pastatai</w:t>
            </w:r>
            <w:r>
              <w:rPr>
                <w:rFonts w:ascii="Times New Roman" w:hAnsi="Times New Roman"/>
                <w:szCs w:val="22"/>
                <w:lang w:val="lt-LT"/>
              </w:rPr>
              <w:t xml:space="preserve"> </w:t>
            </w:r>
            <w:r w:rsidRPr="00650EE4">
              <w:rPr>
                <w:rFonts w:ascii="Times New Roman" w:hAnsi="Times New Roman"/>
                <w:szCs w:val="22"/>
                <w:lang w:val="lt-LT"/>
              </w:rPr>
              <w:t>–</w:t>
            </w:r>
            <w:r w:rsidR="00050ED5">
              <w:rPr>
                <w:rFonts w:ascii="Times New Roman" w:hAnsi="Times New Roman"/>
                <w:szCs w:val="22"/>
                <w:lang w:val="lt-LT"/>
              </w:rPr>
              <w:t xml:space="preserve"> šis p</w:t>
            </w:r>
            <w:r w:rsidR="00F242D3" w:rsidRPr="00650EE4">
              <w:rPr>
                <w:rFonts w:ascii="Times New Roman" w:hAnsi="Times New Roman"/>
                <w:szCs w:val="22"/>
                <w:lang w:val="lt-LT"/>
              </w:rPr>
              <w:t>astatų fondo segmentas vertinamas kaip prioritetinis IRS kontekste.</w:t>
            </w:r>
          </w:p>
        </w:tc>
      </w:tr>
    </w:tbl>
    <w:p w14:paraId="02248B5E" w14:textId="77777777" w:rsidR="0064148C" w:rsidRPr="00650EE4" w:rsidRDefault="0064148C" w:rsidP="00BF1AC5">
      <w:pPr>
        <w:pStyle w:val="Pagrindinispaprastastekstas"/>
        <w:rPr>
          <w:rFonts w:ascii="Times New Roman" w:hAnsi="Times New Roman"/>
        </w:rPr>
      </w:pPr>
    </w:p>
    <w:p w14:paraId="7C7706CC" w14:textId="3C5296F3" w:rsidR="00895743" w:rsidRPr="00650EE4" w:rsidRDefault="00895743">
      <w:pPr>
        <w:spacing w:after="240"/>
        <w:rPr>
          <w:rFonts w:ascii="Times New Roman" w:hAnsi="Times New Roman"/>
          <w:color w:val="000000" w:themeColor="text1"/>
          <w:sz w:val="24"/>
          <w:szCs w:val="24"/>
        </w:rPr>
      </w:pPr>
      <w:r w:rsidRPr="00650EE4">
        <w:rPr>
          <w:rFonts w:ascii="Times New Roman" w:hAnsi="Times New Roman"/>
          <w:color w:val="000000" w:themeColor="text1"/>
          <w:sz w:val="24"/>
          <w:szCs w:val="24"/>
        </w:rPr>
        <w:br w:type="page"/>
      </w:r>
    </w:p>
    <w:p w14:paraId="3733B629" w14:textId="6C3C41C1" w:rsidR="00175B85" w:rsidRPr="00650EE4" w:rsidRDefault="00BF1AC5" w:rsidP="004F40D8">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 w:val="24"/>
          <w:szCs w:val="24"/>
        </w:rPr>
      </w:pPr>
      <w:bookmarkStart w:id="87" w:name="_Toc67925123"/>
      <w:r w:rsidRPr="00650EE4">
        <w:rPr>
          <w:rFonts w:ascii="Times New Roman" w:hAnsi="Times New Roman"/>
          <w:color w:val="002060"/>
          <w:sz w:val="24"/>
          <w:szCs w:val="24"/>
        </w:rPr>
        <w:lastRenderedPageBreak/>
        <w:t>E</w:t>
      </w:r>
      <w:r w:rsidR="00EA6D24" w:rsidRPr="00650EE4">
        <w:rPr>
          <w:rFonts w:ascii="Times New Roman" w:hAnsi="Times New Roman"/>
          <w:color w:val="002060"/>
          <w:sz w:val="24"/>
          <w:szCs w:val="24"/>
        </w:rPr>
        <w:t>KONOMIŠKAI EFEKTYVI</w:t>
      </w:r>
      <w:r w:rsidR="00D031A3" w:rsidRPr="00650EE4">
        <w:rPr>
          <w:rFonts w:ascii="Times New Roman" w:hAnsi="Times New Roman"/>
          <w:color w:val="002060"/>
          <w:sz w:val="24"/>
          <w:szCs w:val="24"/>
        </w:rPr>
        <w:t>AUSI</w:t>
      </w:r>
      <w:r w:rsidR="002C4D59" w:rsidRPr="00650EE4">
        <w:rPr>
          <w:rFonts w:ascii="Times New Roman" w:hAnsi="Times New Roman"/>
          <w:color w:val="002060"/>
          <w:sz w:val="24"/>
          <w:szCs w:val="24"/>
        </w:rPr>
        <w:t xml:space="preserve"> </w:t>
      </w:r>
      <w:r w:rsidR="00EA6D24" w:rsidRPr="00650EE4">
        <w:rPr>
          <w:rFonts w:ascii="Times New Roman" w:hAnsi="Times New Roman"/>
          <w:color w:val="002060"/>
          <w:sz w:val="24"/>
          <w:szCs w:val="24"/>
        </w:rPr>
        <w:t>RENOVA</w:t>
      </w:r>
      <w:r w:rsidR="0041260E" w:rsidRPr="00650EE4">
        <w:rPr>
          <w:rFonts w:ascii="Times New Roman" w:hAnsi="Times New Roman"/>
          <w:color w:val="002060"/>
          <w:sz w:val="24"/>
          <w:szCs w:val="24"/>
        </w:rPr>
        <w:t>CIJOS BŪD</w:t>
      </w:r>
      <w:r w:rsidR="00D031A3" w:rsidRPr="00650EE4">
        <w:rPr>
          <w:rFonts w:ascii="Times New Roman" w:hAnsi="Times New Roman"/>
          <w:color w:val="002060"/>
          <w:sz w:val="24"/>
          <w:szCs w:val="24"/>
        </w:rPr>
        <w:t>AI</w:t>
      </w:r>
      <w:bookmarkEnd w:id="87"/>
    </w:p>
    <w:p w14:paraId="60D7E502" w14:textId="77777777" w:rsidR="00BF1AC5" w:rsidRPr="00650EE4" w:rsidRDefault="00BF1AC5" w:rsidP="00BF1AC5">
      <w:pPr>
        <w:rPr>
          <w:rFonts w:ascii="Times New Roman" w:hAnsi="Times New Roman"/>
          <w:color w:val="000000" w:themeColor="text1"/>
          <w:lang w:eastAsia="lt-LT"/>
        </w:rPr>
      </w:pPr>
      <w:r w:rsidRPr="00650EE4">
        <w:rPr>
          <w:rFonts w:ascii="Times New Roman" w:hAnsi="Times New Roman"/>
          <w:noProof/>
          <w:color w:val="000000" w:themeColor="text1"/>
          <w:sz w:val="24"/>
          <w:szCs w:val="24"/>
          <w:lang w:eastAsia="lt-LT"/>
        </w:rPr>
        <mc:AlternateContent>
          <mc:Choice Requires="wps">
            <w:drawing>
              <wp:inline distT="0" distB="0" distL="0" distR="0" wp14:anchorId="0BEADC82" wp14:editId="1377BC6E">
                <wp:extent cx="6479540" cy="648118"/>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48118"/>
                        </a:xfrm>
                        <a:prstGeom prst="rect">
                          <a:avLst/>
                        </a:prstGeom>
                        <a:solidFill>
                          <a:schemeClr val="bg1">
                            <a:lumMod val="85000"/>
                          </a:schemeClr>
                        </a:solidFill>
                        <a:ln>
                          <a:noFill/>
                        </a:ln>
                      </wps:spPr>
                      <wps:txbx>
                        <w:txbxContent>
                          <w:p w14:paraId="52C4BEC8" w14:textId="3CAB6A4D" w:rsidR="005E392B" w:rsidRPr="00315966" w:rsidRDefault="005E392B" w:rsidP="00BF1AC5">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 xml:space="preserve">PEND 2a straipsnio 1 dalies b punkte nustatyta, kad </w:t>
                            </w:r>
                            <w:r>
                              <w:rPr>
                                <w:rFonts w:ascii="Times New Roman" w:hAnsi="Times New Roman" w:cs="Times New Roman"/>
                                <w:bCs/>
                                <w:color w:val="000000" w:themeColor="text1"/>
                                <w:sz w:val="22"/>
                              </w:rPr>
                              <w:t xml:space="preserve">„į kiekvieną IRS </w:t>
                            </w:r>
                            <w:r w:rsidRPr="00315966">
                              <w:rPr>
                                <w:rFonts w:ascii="Times New Roman" w:hAnsi="Times New Roman" w:cs="Times New Roman"/>
                                <w:bCs/>
                                <w:color w:val="000000" w:themeColor="text1"/>
                                <w:sz w:val="22"/>
                              </w:rPr>
                              <w:t>įtraukiama nustatyti ekonomiškai efektyvūs renovacijos būdai pagal pastato tipą ir klimato zoną, atsižvelgiant į galimus aktualius inicijavimo momentus, kai taikytina, per pastato gyvavimo ciklą“.</w:t>
                            </w:r>
                          </w:p>
                        </w:txbxContent>
                      </wps:txbx>
                      <wps:bodyPr rot="0" vert="horz" wrap="square" lIns="91440" tIns="45720" rIns="91440" bIns="45720" anchor="t" anchorCtr="0" upright="1">
                        <a:noAutofit/>
                      </wps:bodyPr>
                    </wps:wsp>
                  </a:graphicData>
                </a:graphic>
              </wp:inline>
            </w:drawing>
          </mc:Choice>
          <mc:Fallback>
            <w:pict>
              <v:shape id="Text Box 18" o:spid="_x0000_s1031" type="#_x0000_t202" style="width:510.2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T0GQIAABsEAAAOAAAAZHJzL2Uyb0RvYy54bWysU9uO0zAQfUfiHyy/0yRV2+1GTVdLV4uQ&#10;FhZplw9wHCexcDzGdpuUr2dst6XAG+LF8lx85syZ8eZuGhQ5COsk6IoWs5wSoTk0UncV/fr6+G5N&#10;ifNMN0yBFhU9Ckfvtm/fbEZTijn0oBphCYJoV46mor33pswyx3sxMDcDIzQGW7AD82jaLmssGxF9&#10;UNk8z1fZCLYxFrhwDr0PKUi3Eb9tBffPbeuEJ6qiyM3H08azDme23bCys8z0kp9osH9gMTCpsegF&#10;6oF5RvZW/gU1SG7BQetnHIYM2lZyEXvAbor8j25eemZE7AXFceYik/t/sPzz4YslssHZ4aQ0G3BG&#10;r2Ly5D1MBF2oz2hciWkvBhP9hH7Mjb068wT8myMadj3Tnbi3FsZesAb5FeFldvU04bgAUo+foME6&#10;bO8hAk2tHYJ4KAdBdJzT8TKbwIWjc7W4uV0uMMQxtlqsi0QuY+X5tbHOfxAwkHCpqMXZR3R2eHI+&#10;sGHlOSUUc6Bk8yiVikbYN7FTlhwYbkrdpQ7VfkCqybde5nncF8SJ6xnSI+pvSEoHPA0BORUNnqhE&#10;aD7J4Kd6iqIvzwLX0BxRGgtpQ/FH4aUH+4OSEbezou77nllBifqoUd7bYhG08NFYLG/maNjrSH0d&#10;YZojVEU9Jem68+kL7I2VXY+VUrsa7nEkrYxqhdklVif6uIGx3dNvCSt+bcesX396+xMAAP//AwBQ&#10;SwMEFAAGAAgAAAAhAGciLkLbAAAABgEAAA8AAABkcnMvZG93bnJldi54bWxMj0FLw0AQhe+C/2EZ&#10;wZvdbRAtMZsigqBSBVv1PM1Ok2B2Nuxumthf77YXvQxveMN73xTLyXZiTz60jjXMZwoEceVMy7WG&#10;j83j1QJEiMgGO8ek4YcCLMvzswJz40Z+p/061iKFcMhRQxNjn0sZqoYshpnriZO3c95iTKuvpfE4&#10;pnDbyUypG2mx5dTQYE8PDVXf68FqWPHLM+42i9fDIRvGz6+n2/Ft5bW+vJju70BEmuLfMRzxEzqU&#10;iWnrBjZBdBrSI/E0j57K1DWI7UnNQZaF/I9f/gIAAP//AwBQSwECLQAUAAYACAAAACEAtoM4kv4A&#10;AADhAQAAEwAAAAAAAAAAAAAAAAAAAAAAW0NvbnRlbnRfVHlwZXNdLnhtbFBLAQItABQABgAIAAAA&#10;IQA4/SH/1gAAAJQBAAALAAAAAAAAAAAAAAAAAC8BAABfcmVscy8ucmVsc1BLAQItABQABgAIAAAA&#10;IQAMm2T0GQIAABsEAAAOAAAAAAAAAAAAAAAAAC4CAABkcnMvZTJvRG9jLnhtbFBLAQItABQABgAI&#10;AAAAIQBnIi5C2wAAAAYBAAAPAAAAAAAAAAAAAAAAAHMEAABkcnMvZG93bnJldi54bWxQSwUGAAAA&#10;AAQABADzAAAAewUAAAAA&#10;" fillcolor="#d8d8d8 [2732]" stroked="f">
                <v:textbox>
                  <w:txbxContent>
                    <w:p w14:paraId="52C4BEC8" w14:textId="3CAB6A4D" w:rsidR="005E392B" w:rsidRPr="00315966" w:rsidRDefault="005E392B" w:rsidP="00BF1AC5">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 xml:space="preserve">PEND 2a straipsnio 1 dalies b punkte nustatyta, kad </w:t>
                      </w:r>
                      <w:r>
                        <w:rPr>
                          <w:rFonts w:ascii="Times New Roman" w:hAnsi="Times New Roman" w:cs="Times New Roman"/>
                          <w:bCs/>
                          <w:color w:val="000000" w:themeColor="text1"/>
                          <w:sz w:val="22"/>
                        </w:rPr>
                        <w:t xml:space="preserve">„į kiekvieną IRS </w:t>
                      </w:r>
                      <w:r w:rsidRPr="00315966">
                        <w:rPr>
                          <w:rFonts w:ascii="Times New Roman" w:hAnsi="Times New Roman" w:cs="Times New Roman"/>
                          <w:bCs/>
                          <w:color w:val="000000" w:themeColor="text1"/>
                          <w:sz w:val="22"/>
                        </w:rPr>
                        <w:t>įtraukiama nustatyti ekonomiškai efektyvūs renovacijos būdai pagal pastato tipą ir klimato zoną, atsižvelgiant į galimus aktualius inicijavimo momentus, kai taikytina, per pastato gyvavimo ciklą“.</w:t>
                      </w:r>
                    </w:p>
                  </w:txbxContent>
                </v:textbox>
                <w10:anchorlock/>
              </v:shape>
            </w:pict>
          </mc:Fallback>
        </mc:AlternateContent>
      </w:r>
    </w:p>
    <w:p w14:paraId="55795C36" w14:textId="7A63F85A" w:rsidR="00BF1AC5" w:rsidRPr="00650EE4" w:rsidRDefault="00BF1AC5" w:rsidP="00BF1AC5">
      <w:pPr>
        <w:rPr>
          <w:rFonts w:ascii="Times New Roman" w:hAnsi="Times New Roman"/>
          <w:color w:val="000000" w:themeColor="text1"/>
          <w:szCs w:val="22"/>
          <w:lang w:eastAsia="lt-LT"/>
        </w:rPr>
      </w:pPr>
    </w:p>
    <w:p w14:paraId="7634CD65" w14:textId="77777777" w:rsidR="00461CE9" w:rsidRPr="00650EE4" w:rsidRDefault="00461CE9" w:rsidP="00461CE9">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Efektyviausio renovacijos būdo nustatymas atliktas derinant tarpusavyje 3 pagrindinius vertinimo parametrus:</w:t>
      </w:r>
    </w:p>
    <w:p w14:paraId="62B89EE4" w14:textId="31CC130B" w:rsidR="00461CE9" w:rsidRPr="00650EE4" w:rsidRDefault="00461CE9" w:rsidP="00BD4925">
      <w:pPr>
        <w:pStyle w:val="Pagrindinispaprastastekstas"/>
        <w:numPr>
          <w:ilvl w:val="0"/>
          <w:numId w:val="21"/>
        </w:numPr>
        <w:spacing w:before="120" w:after="60"/>
        <w:rPr>
          <w:rFonts w:ascii="Times New Roman" w:hAnsi="Times New Roman"/>
          <w:color w:val="000000" w:themeColor="text1"/>
          <w:szCs w:val="22"/>
        </w:rPr>
      </w:pPr>
      <w:r w:rsidRPr="00650EE4">
        <w:rPr>
          <w:rFonts w:ascii="Times New Roman" w:hAnsi="Times New Roman"/>
          <w:color w:val="000000" w:themeColor="text1"/>
          <w:szCs w:val="22"/>
        </w:rPr>
        <w:t xml:space="preserve">Finansinį atsipirkimą – modeliuojamas taškas už kurio kiekvienas papildomai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sukuria maž</w:t>
      </w:r>
      <w:r w:rsidR="003D3F10" w:rsidRPr="00650EE4">
        <w:rPr>
          <w:rFonts w:ascii="Times New Roman" w:hAnsi="Times New Roman"/>
          <w:color w:val="000000" w:themeColor="text1"/>
          <w:szCs w:val="22"/>
        </w:rPr>
        <w:t>esnę</w:t>
      </w:r>
      <w:r w:rsidRPr="00650EE4">
        <w:rPr>
          <w:rFonts w:ascii="Times New Roman" w:hAnsi="Times New Roman"/>
          <w:color w:val="000000" w:themeColor="text1"/>
          <w:szCs w:val="22"/>
        </w:rPr>
        <w:t xml:space="preserve"> nei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finansinę naudą (</w:t>
      </w:r>
      <w:r w:rsidR="003D3F10" w:rsidRPr="00650EE4">
        <w:rPr>
          <w:rFonts w:ascii="Times New Roman" w:hAnsi="Times New Roman"/>
          <w:color w:val="000000" w:themeColor="text1"/>
          <w:szCs w:val="22"/>
        </w:rPr>
        <w:t xml:space="preserve">pagal </w:t>
      </w:r>
      <w:r w:rsidRPr="00650EE4">
        <w:rPr>
          <w:rFonts w:ascii="Times New Roman" w:hAnsi="Times New Roman"/>
          <w:color w:val="000000" w:themeColor="text1"/>
          <w:szCs w:val="22"/>
        </w:rPr>
        <w:t>sutaupytą pirminės energijos ir CO</w:t>
      </w:r>
      <w:r w:rsidRPr="00650EE4">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w:t>
      </w:r>
      <w:r w:rsidR="00640A54" w:rsidRPr="00650EE4">
        <w:rPr>
          <w:rFonts w:ascii="Times New Roman" w:hAnsi="Times New Roman"/>
          <w:color w:val="000000" w:themeColor="text1"/>
          <w:szCs w:val="22"/>
        </w:rPr>
        <w:t>ų vertę) pastatų fondo lygmeniu.</w:t>
      </w:r>
    </w:p>
    <w:p w14:paraId="5FB46CC3" w14:textId="02CCDC9D" w:rsidR="00461CE9" w:rsidRPr="00650EE4" w:rsidRDefault="00461CE9" w:rsidP="00BD4925">
      <w:pPr>
        <w:pStyle w:val="Pagrindinispaprastastekstas"/>
        <w:numPr>
          <w:ilvl w:val="0"/>
          <w:numId w:val="21"/>
        </w:numPr>
        <w:spacing w:after="60"/>
        <w:rPr>
          <w:rFonts w:ascii="Times New Roman" w:hAnsi="Times New Roman"/>
          <w:color w:val="000000" w:themeColor="text1"/>
          <w:szCs w:val="22"/>
        </w:rPr>
      </w:pPr>
      <w:r w:rsidRPr="00650EE4">
        <w:rPr>
          <w:rFonts w:ascii="Times New Roman" w:hAnsi="Times New Roman"/>
          <w:color w:val="000000" w:themeColor="text1"/>
          <w:szCs w:val="22"/>
        </w:rPr>
        <w:t xml:space="preserve">Ekonominį atsipirkimą – modeliuojamas taškas už kurio kiekvienas papildomai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sukuria </w:t>
      </w:r>
      <w:r w:rsidR="003C6374" w:rsidRPr="00650EE4">
        <w:rPr>
          <w:rFonts w:ascii="Times New Roman" w:hAnsi="Times New Roman"/>
          <w:color w:val="000000" w:themeColor="text1"/>
          <w:szCs w:val="22"/>
        </w:rPr>
        <w:t xml:space="preserve">mažesnę nei </w:t>
      </w:r>
      <w:r w:rsidRPr="00650EE4">
        <w:rPr>
          <w:rFonts w:ascii="Times New Roman" w:hAnsi="Times New Roman"/>
          <w:color w:val="000000" w:themeColor="text1"/>
          <w:szCs w:val="22"/>
        </w:rPr>
        <w:t xml:space="preserve">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ekonominę naudą (finansinė nauda + BVP padidėjimo vertė + kitų socialinių naud</w:t>
      </w:r>
      <w:r w:rsidR="00640A54" w:rsidRPr="00650EE4">
        <w:rPr>
          <w:rFonts w:ascii="Times New Roman" w:hAnsi="Times New Roman"/>
          <w:color w:val="000000" w:themeColor="text1"/>
          <w:szCs w:val="22"/>
        </w:rPr>
        <w:t>ų vertė) pastatų fondo lygmeniu.</w:t>
      </w:r>
    </w:p>
    <w:p w14:paraId="27BD702C" w14:textId="7272AAC6" w:rsidR="00461CE9" w:rsidRPr="00650EE4" w:rsidRDefault="00461CE9" w:rsidP="00BD4925">
      <w:pPr>
        <w:pStyle w:val="Pagrindinispaprastastekstas"/>
        <w:numPr>
          <w:ilvl w:val="0"/>
          <w:numId w:val="21"/>
        </w:numPr>
        <w:rPr>
          <w:rFonts w:ascii="Times New Roman" w:hAnsi="Times New Roman"/>
          <w:color w:val="000000" w:themeColor="text1"/>
          <w:szCs w:val="22"/>
        </w:rPr>
      </w:pPr>
      <w:r w:rsidRPr="00650EE4">
        <w:rPr>
          <w:rFonts w:ascii="Times New Roman" w:hAnsi="Times New Roman"/>
          <w:color w:val="000000" w:themeColor="text1"/>
          <w:szCs w:val="22"/>
        </w:rPr>
        <w:t>Techninius apribojimus – techninius (inžinerinius) barjerus, dėl kurių pasirinktas ekonomiškai efektyvus renovacijos b</w:t>
      </w:r>
      <w:r w:rsidR="00BD074F" w:rsidRPr="00650EE4">
        <w:rPr>
          <w:rFonts w:ascii="Times New Roman" w:hAnsi="Times New Roman"/>
          <w:color w:val="000000" w:themeColor="text1"/>
          <w:szCs w:val="22"/>
        </w:rPr>
        <w:t>ūdas negalėtų būti įgyvendintas</w:t>
      </w:r>
      <w:r w:rsidRPr="00650EE4">
        <w:rPr>
          <w:rFonts w:ascii="Times New Roman" w:hAnsi="Times New Roman"/>
          <w:color w:val="000000" w:themeColor="text1"/>
          <w:szCs w:val="22"/>
        </w:rPr>
        <w:t xml:space="preserve">. </w:t>
      </w:r>
    </w:p>
    <w:p w14:paraId="7C6CD503" w14:textId="77777777" w:rsidR="00461CE9" w:rsidRPr="00650EE4" w:rsidRDefault="00461CE9" w:rsidP="001D5775">
      <w:pPr>
        <w:spacing w:line="240" w:lineRule="auto"/>
        <w:jc w:val="both"/>
        <w:rPr>
          <w:rFonts w:ascii="Times New Roman" w:hAnsi="Times New Roman"/>
          <w:color w:val="000000" w:themeColor="text1"/>
          <w:szCs w:val="22"/>
        </w:rPr>
      </w:pPr>
    </w:p>
    <w:p w14:paraId="2BD35F55" w14:textId="75B35911" w:rsidR="00BF1AC5" w:rsidRPr="00650EE4" w:rsidRDefault="004B6383" w:rsidP="00BF6DB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E</w:t>
      </w:r>
      <w:r w:rsidR="009B3303" w:rsidRPr="00650EE4">
        <w:rPr>
          <w:rFonts w:ascii="Times New Roman" w:hAnsi="Times New Roman"/>
          <w:color w:val="000000" w:themeColor="text1"/>
          <w:szCs w:val="22"/>
        </w:rPr>
        <w:t>konomiškai efe</w:t>
      </w:r>
      <w:r w:rsidRPr="00650EE4">
        <w:rPr>
          <w:rFonts w:ascii="Times New Roman" w:hAnsi="Times New Roman"/>
          <w:color w:val="000000" w:themeColor="text1"/>
          <w:szCs w:val="22"/>
        </w:rPr>
        <w:t>ktyviausio renovacijos būdo nustatymas atliktas žemiau nurodyta tvarka</w:t>
      </w:r>
      <w:r w:rsidR="00BF1AC5" w:rsidRPr="00650EE4">
        <w:rPr>
          <w:rFonts w:ascii="Times New Roman" w:hAnsi="Times New Roman"/>
          <w:color w:val="000000" w:themeColor="text1"/>
          <w:szCs w:val="22"/>
        </w:rPr>
        <w:t>:</w:t>
      </w:r>
    </w:p>
    <w:p w14:paraId="12F3A602" w14:textId="74F4D1A8" w:rsidR="00BF1AC5" w:rsidRPr="00650EE4" w:rsidRDefault="00BF1AC5"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Renovacijos </w:t>
      </w:r>
      <w:r w:rsidR="00AD5116" w:rsidRPr="00650EE4">
        <w:rPr>
          <w:rFonts w:ascii="Times New Roman" w:hAnsi="Times New Roman"/>
          <w:color w:val="000000" w:themeColor="text1"/>
          <w:szCs w:val="22"/>
        </w:rPr>
        <w:t xml:space="preserve">paketų </w:t>
      </w:r>
      <w:r w:rsidR="004B6383" w:rsidRPr="00650EE4">
        <w:rPr>
          <w:rFonts w:ascii="Times New Roman" w:hAnsi="Times New Roman"/>
          <w:color w:val="000000" w:themeColor="text1"/>
          <w:szCs w:val="22"/>
        </w:rPr>
        <w:t>suformavimas</w:t>
      </w:r>
      <w:r w:rsidRPr="00650EE4">
        <w:rPr>
          <w:rFonts w:ascii="Times New Roman" w:hAnsi="Times New Roman"/>
          <w:color w:val="000000" w:themeColor="text1"/>
          <w:szCs w:val="22"/>
        </w:rPr>
        <w:t xml:space="preserve"> </w:t>
      </w:r>
      <w:r w:rsidR="00BF6DB0" w:rsidRPr="00650EE4">
        <w:rPr>
          <w:rFonts w:ascii="Times New Roman" w:hAnsi="Times New Roman"/>
          <w:color w:val="000000" w:themeColor="text1"/>
          <w:szCs w:val="22"/>
        </w:rPr>
        <w:t>(</w:t>
      </w:r>
      <w:r w:rsidR="00725391">
        <w:rPr>
          <w:rFonts w:ascii="Times New Roman" w:hAnsi="Times New Roman"/>
          <w:color w:val="000000" w:themeColor="text1"/>
          <w:szCs w:val="22"/>
        </w:rPr>
        <w:t>2</w:t>
      </w:r>
      <w:r w:rsidR="00BF6DB0" w:rsidRPr="00650EE4">
        <w:rPr>
          <w:rFonts w:ascii="Times New Roman" w:hAnsi="Times New Roman"/>
          <w:color w:val="000000" w:themeColor="text1"/>
          <w:szCs w:val="22"/>
        </w:rPr>
        <w:t>.1</w:t>
      </w:r>
      <w:r w:rsidR="003E53FA" w:rsidRPr="00650EE4">
        <w:rPr>
          <w:rFonts w:ascii="Times New Roman" w:hAnsi="Times New Roman"/>
          <w:color w:val="000000" w:themeColor="text1"/>
          <w:szCs w:val="22"/>
        </w:rPr>
        <w:t xml:space="preserve"> skyrius)</w:t>
      </w:r>
      <w:r w:rsidR="000B7032" w:rsidRPr="00650EE4">
        <w:rPr>
          <w:rFonts w:ascii="Times New Roman" w:hAnsi="Times New Roman"/>
          <w:color w:val="000000" w:themeColor="text1"/>
          <w:szCs w:val="22"/>
        </w:rPr>
        <w:t>.</w:t>
      </w:r>
    </w:p>
    <w:p w14:paraId="7CB16001" w14:textId="6F1C0F5E" w:rsidR="00B2750B" w:rsidRPr="00650EE4" w:rsidRDefault="00B2750B"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Investicijų kainos nustatymas (</w:t>
      </w:r>
      <w:r w:rsidR="00725391">
        <w:rPr>
          <w:rFonts w:ascii="Times New Roman" w:hAnsi="Times New Roman"/>
          <w:color w:val="000000" w:themeColor="text1"/>
          <w:szCs w:val="22"/>
        </w:rPr>
        <w:t>2</w:t>
      </w:r>
      <w:r w:rsidRPr="00650EE4">
        <w:rPr>
          <w:rFonts w:ascii="Times New Roman" w:hAnsi="Times New Roman"/>
          <w:color w:val="000000" w:themeColor="text1"/>
          <w:szCs w:val="22"/>
        </w:rPr>
        <w:t>.2 skyrius)</w:t>
      </w:r>
      <w:r w:rsidR="000B7032" w:rsidRPr="00650EE4">
        <w:rPr>
          <w:rFonts w:ascii="Times New Roman" w:hAnsi="Times New Roman"/>
          <w:color w:val="000000" w:themeColor="text1"/>
          <w:szCs w:val="22"/>
        </w:rPr>
        <w:t>.</w:t>
      </w:r>
    </w:p>
    <w:p w14:paraId="48152E92" w14:textId="22867439" w:rsidR="00B2750B" w:rsidRPr="00650EE4" w:rsidRDefault="009D62B6"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Energijos ir CO</w:t>
      </w:r>
      <w:r w:rsidRPr="00650EE4">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sutaupymų nustatymas</w:t>
      </w:r>
      <w:r w:rsidR="00213F70"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00213F70" w:rsidRPr="00650EE4">
        <w:rPr>
          <w:rFonts w:ascii="Times New Roman" w:hAnsi="Times New Roman"/>
          <w:color w:val="000000" w:themeColor="text1"/>
          <w:szCs w:val="22"/>
        </w:rPr>
        <w:t>.3 skyrius)</w:t>
      </w:r>
      <w:r w:rsidR="000B7032" w:rsidRPr="00650EE4">
        <w:rPr>
          <w:rFonts w:ascii="Times New Roman" w:hAnsi="Times New Roman"/>
          <w:color w:val="000000" w:themeColor="text1"/>
          <w:szCs w:val="22"/>
        </w:rPr>
        <w:t>.</w:t>
      </w:r>
    </w:p>
    <w:p w14:paraId="546D16C7" w14:textId="1B2577EA" w:rsidR="00751D2E" w:rsidRPr="00650EE4" w:rsidRDefault="00751D2E"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Kitų modeliavimo parametrų nustatymas</w:t>
      </w:r>
      <w:r w:rsidR="00213F70"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00213F70" w:rsidRPr="00650EE4">
        <w:rPr>
          <w:rFonts w:ascii="Times New Roman" w:hAnsi="Times New Roman"/>
          <w:color w:val="000000" w:themeColor="text1"/>
          <w:szCs w:val="22"/>
        </w:rPr>
        <w:t>.4 skyrius)</w:t>
      </w:r>
      <w:r w:rsidR="000B7032" w:rsidRPr="00650EE4">
        <w:rPr>
          <w:rFonts w:ascii="Times New Roman" w:hAnsi="Times New Roman"/>
          <w:color w:val="000000" w:themeColor="text1"/>
          <w:szCs w:val="22"/>
        </w:rPr>
        <w:t>.</w:t>
      </w:r>
    </w:p>
    <w:p w14:paraId="73EE5C01" w14:textId="0776113F" w:rsidR="000B7032" w:rsidRPr="00650EE4" w:rsidRDefault="000B7032"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Modeliavimo algoritmo </w:t>
      </w:r>
      <w:r w:rsidR="00196535" w:rsidRPr="00650EE4">
        <w:rPr>
          <w:rFonts w:ascii="Times New Roman" w:hAnsi="Times New Roman"/>
          <w:color w:val="000000" w:themeColor="text1"/>
          <w:szCs w:val="22"/>
        </w:rPr>
        <w:t>nustatymas (</w:t>
      </w:r>
      <w:r w:rsidR="00725391">
        <w:rPr>
          <w:rFonts w:ascii="Times New Roman" w:hAnsi="Times New Roman"/>
          <w:color w:val="000000" w:themeColor="text1"/>
          <w:szCs w:val="22"/>
        </w:rPr>
        <w:t>2</w:t>
      </w:r>
      <w:r w:rsidR="00196535" w:rsidRPr="00650EE4">
        <w:rPr>
          <w:rFonts w:ascii="Times New Roman" w:hAnsi="Times New Roman"/>
          <w:color w:val="000000" w:themeColor="text1"/>
          <w:szCs w:val="22"/>
        </w:rPr>
        <w:t>.5 skyrius).</w:t>
      </w:r>
    </w:p>
    <w:p w14:paraId="6E0A5576" w14:textId="57804B11" w:rsidR="009D62B6" w:rsidRPr="00650EE4" w:rsidRDefault="009D62B6"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Finansiškai efektyvaus būdo nustatymas</w:t>
      </w:r>
      <w:r w:rsidR="000B7032"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000B7032" w:rsidRPr="00650EE4">
        <w:rPr>
          <w:rFonts w:ascii="Times New Roman" w:hAnsi="Times New Roman"/>
          <w:color w:val="000000" w:themeColor="text1"/>
          <w:szCs w:val="22"/>
        </w:rPr>
        <w:t>.6</w:t>
      </w:r>
      <w:r w:rsidR="00213F70" w:rsidRPr="00650EE4">
        <w:rPr>
          <w:rFonts w:ascii="Times New Roman" w:hAnsi="Times New Roman"/>
          <w:color w:val="000000" w:themeColor="text1"/>
          <w:szCs w:val="22"/>
        </w:rPr>
        <w:t xml:space="preserve"> skyrius)</w:t>
      </w:r>
      <w:r w:rsidR="000B7032" w:rsidRPr="00650EE4">
        <w:rPr>
          <w:rFonts w:ascii="Times New Roman" w:hAnsi="Times New Roman"/>
          <w:color w:val="000000" w:themeColor="text1"/>
          <w:szCs w:val="22"/>
        </w:rPr>
        <w:t>.</w:t>
      </w:r>
    </w:p>
    <w:p w14:paraId="47762D52" w14:textId="6FCCB951" w:rsidR="009D62B6" w:rsidRPr="00650EE4" w:rsidRDefault="00213F70" w:rsidP="009D62B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Ekonomiškai</w:t>
      </w:r>
      <w:r w:rsidR="009D62B6" w:rsidRPr="00650EE4">
        <w:rPr>
          <w:rFonts w:ascii="Times New Roman" w:hAnsi="Times New Roman"/>
          <w:color w:val="000000" w:themeColor="text1"/>
          <w:szCs w:val="22"/>
        </w:rPr>
        <w:t xml:space="preserve"> efektyv</w:t>
      </w:r>
      <w:r w:rsidR="00152AB2" w:rsidRPr="00650EE4">
        <w:rPr>
          <w:rFonts w:ascii="Times New Roman" w:hAnsi="Times New Roman"/>
          <w:color w:val="000000" w:themeColor="text1"/>
          <w:szCs w:val="22"/>
        </w:rPr>
        <w:t>aus</w:t>
      </w:r>
      <w:r w:rsidR="009D62B6" w:rsidRPr="00650EE4">
        <w:rPr>
          <w:rFonts w:ascii="Times New Roman" w:hAnsi="Times New Roman"/>
          <w:color w:val="000000" w:themeColor="text1"/>
          <w:szCs w:val="22"/>
        </w:rPr>
        <w:t xml:space="preserve"> būdo nustatymas</w:t>
      </w:r>
      <w:r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Pr="00650EE4">
        <w:rPr>
          <w:rFonts w:ascii="Times New Roman" w:hAnsi="Times New Roman"/>
          <w:color w:val="000000" w:themeColor="text1"/>
          <w:szCs w:val="22"/>
        </w:rPr>
        <w:t>.</w:t>
      </w:r>
      <w:r w:rsidR="000B7032" w:rsidRPr="00650EE4">
        <w:rPr>
          <w:rFonts w:ascii="Times New Roman" w:hAnsi="Times New Roman"/>
          <w:color w:val="000000" w:themeColor="text1"/>
          <w:szCs w:val="22"/>
        </w:rPr>
        <w:t>7</w:t>
      </w:r>
      <w:r w:rsidRPr="00650EE4">
        <w:rPr>
          <w:rFonts w:ascii="Times New Roman" w:hAnsi="Times New Roman"/>
          <w:color w:val="000000" w:themeColor="text1"/>
          <w:szCs w:val="22"/>
        </w:rPr>
        <w:t xml:space="preserve"> skyrius)</w:t>
      </w:r>
      <w:r w:rsidR="00B22F11" w:rsidRPr="00650EE4">
        <w:rPr>
          <w:rFonts w:ascii="Times New Roman" w:hAnsi="Times New Roman"/>
          <w:color w:val="000000" w:themeColor="text1"/>
          <w:szCs w:val="22"/>
        </w:rPr>
        <w:t>.</w:t>
      </w:r>
    </w:p>
    <w:p w14:paraId="395039D6" w14:textId="1BEE5915" w:rsidR="00295F54" w:rsidRPr="00650EE4" w:rsidRDefault="00295F54" w:rsidP="009D62B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Techninių apribojimų įvertinimas (</w:t>
      </w:r>
      <w:r w:rsidR="00725391">
        <w:rPr>
          <w:rFonts w:ascii="Times New Roman" w:hAnsi="Times New Roman"/>
          <w:color w:val="000000" w:themeColor="text1"/>
          <w:szCs w:val="22"/>
        </w:rPr>
        <w:t>2</w:t>
      </w:r>
      <w:r w:rsidRPr="00650EE4">
        <w:rPr>
          <w:rFonts w:ascii="Times New Roman" w:hAnsi="Times New Roman"/>
          <w:color w:val="000000" w:themeColor="text1"/>
          <w:szCs w:val="22"/>
        </w:rPr>
        <w:t>.</w:t>
      </w:r>
      <w:r w:rsidR="000B7032" w:rsidRPr="00650EE4">
        <w:rPr>
          <w:rFonts w:ascii="Times New Roman" w:hAnsi="Times New Roman"/>
          <w:color w:val="000000" w:themeColor="text1"/>
          <w:szCs w:val="22"/>
        </w:rPr>
        <w:t>8</w:t>
      </w:r>
      <w:r w:rsidRPr="00650EE4">
        <w:rPr>
          <w:rFonts w:ascii="Times New Roman" w:hAnsi="Times New Roman"/>
          <w:color w:val="000000" w:themeColor="text1"/>
          <w:szCs w:val="22"/>
        </w:rPr>
        <w:t xml:space="preserve"> skyrius)</w:t>
      </w:r>
      <w:r w:rsidR="00B22F11" w:rsidRPr="00650EE4">
        <w:rPr>
          <w:rFonts w:ascii="Times New Roman" w:hAnsi="Times New Roman"/>
          <w:color w:val="000000" w:themeColor="text1"/>
          <w:szCs w:val="22"/>
        </w:rPr>
        <w:t>.</w:t>
      </w:r>
    </w:p>
    <w:p w14:paraId="550298A3" w14:textId="21DC2976" w:rsidR="00152AB2" w:rsidRPr="00650EE4" w:rsidRDefault="00152AB2" w:rsidP="001A1B7A">
      <w:pPr>
        <w:pStyle w:val="Pagrindinispaprastastekstas"/>
        <w:numPr>
          <w:ilvl w:val="0"/>
          <w:numId w:val="10"/>
        </w:numPr>
        <w:spacing w:after="480"/>
        <w:ind w:left="714" w:hanging="357"/>
        <w:rPr>
          <w:rFonts w:ascii="Times New Roman" w:hAnsi="Times New Roman"/>
          <w:color w:val="000000" w:themeColor="text1"/>
          <w:szCs w:val="22"/>
        </w:rPr>
      </w:pPr>
      <w:r w:rsidRPr="00650EE4">
        <w:rPr>
          <w:rFonts w:ascii="Times New Roman" w:hAnsi="Times New Roman"/>
          <w:color w:val="000000" w:themeColor="text1"/>
          <w:szCs w:val="22"/>
        </w:rPr>
        <w:t>Inicijavimo momentų įvertinimas (</w:t>
      </w:r>
      <w:r w:rsidR="00725391">
        <w:rPr>
          <w:rFonts w:ascii="Times New Roman" w:hAnsi="Times New Roman"/>
          <w:color w:val="000000" w:themeColor="text1"/>
          <w:szCs w:val="22"/>
        </w:rPr>
        <w:t>2</w:t>
      </w:r>
      <w:r w:rsidRPr="00650EE4">
        <w:rPr>
          <w:rFonts w:ascii="Times New Roman" w:hAnsi="Times New Roman"/>
          <w:color w:val="000000" w:themeColor="text1"/>
          <w:szCs w:val="22"/>
        </w:rPr>
        <w:t>.</w:t>
      </w:r>
      <w:r w:rsidR="00196535" w:rsidRPr="00650EE4">
        <w:rPr>
          <w:rFonts w:ascii="Times New Roman" w:hAnsi="Times New Roman"/>
          <w:color w:val="000000" w:themeColor="text1"/>
          <w:szCs w:val="22"/>
        </w:rPr>
        <w:t>9</w:t>
      </w:r>
      <w:r w:rsidRPr="00650EE4">
        <w:rPr>
          <w:rFonts w:ascii="Times New Roman" w:hAnsi="Times New Roman"/>
          <w:color w:val="000000" w:themeColor="text1"/>
          <w:szCs w:val="22"/>
        </w:rPr>
        <w:t xml:space="preserve"> skyrius)</w:t>
      </w:r>
      <w:r w:rsidR="00B22F11" w:rsidRPr="00650EE4">
        <w:rPr>
          <w:rFonts w:ascii="Times New Roman" w:hAnsi="Times New Roman"/>
          <w:color w:val="000000" w:themeColor="text1"/>
          <w:szCs w:val="22"/>
        </w:rPr>
        <w:t>.</w:t>
      </w:r>
    </w:p>
    <w:p w14:paraId="2EA400BB" w14:textId="22159B3D" w:rsidR="00BF1AC5" w:rsidRPr="00650EE4" w:rsidRDefault="00656DAF" w:rsidP="009E4B9B">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88" w:name="_Toc67925124"/>
      <w:r w:rsidRPr="00650EE4">
        <w:rPr>
          <w:rFonts w:ascii="Times New Roman" w:hAnsi="Times New Roman"/>
          <w:color w:val="auto"/>
          <w:sz w:val="24"/>
          <w:szCs w:val="24"/>
          <w:lang w:val="lt-LT"/>
        </w:rPr>
        <w:t xml:space="preserve">Renovacijos priemonių </w:t>
      </w:r>
      <w:r w:rsidR="00832366" w:rsidRPr="00650EE4">
        <w:rPr>
          <w:rFonts w:ascii="Times New Roman" w:hAnsi="Times New Roman"/>
          <w:color w:val="auto"/>
          <w:sz w:val="24"/>
          <w:szCs w:val="24"/>
          <w:lang w:val="lt-LT"/>
        </w:rPr>
        <w:t>paketai</w:t>
      </w:r>
      <w:bookmarkEnd w:id="88"/>
    </w:p>
    <w:p w14:paraId="4BFA91EA" w14:textId="7B44CD8D" w:rsidR="007C4A64" w:rsidRPr="00650EE4" w:rsidRDefault="00A12E7D" w:rsidP="007C4A64">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 xml:space="preserve">Ekonomiškai efektyviausių renovacijos būdų nustatymui suformuoti renovacijos priemonių paketai. </w:t>
      </w:r>
    </w:p>
    <w:p w14:paraId="66BCA5EE" w14:textId="77777777" w:rsidR="007C4A64" w:rsidRPr="00650EE4" w:rsidRDefault="007C4A64" w:rsidP="007C4A64">
      <w:pPr>
        <w:spacing w:line="240" w:lineRule="auto"/>
        <w:jc w:val="both"/>
        <w:rPr>
          <w:rFonts w:ascii="Times New Roman" w:hAnsi="Times New Roman"/>
          <w:color w:val="000000" w:themeColor="text1"/>
          <w:szCs w:val="22"/>
        </w:rPr>
      </w:pPr>
    </w:p>
    <w:p w14:paraId="6E369930" w14:textId="511A03ED"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Visas tipines renovacijos priemones </w:t>
      </w:r>
      <w:r w:rsidR="00E33F58">
        <w:rPr>
          <w:rFonts w:ascii="Times New Roman" w:hAnsi="Times New Roman"/>
          <w:color w:val="000000" w:themeColor="text1"/>
          <w:szCs w:val="22"/>
        </w:rPr>
        <w:t>galima suskirstyti į dvi grupes</w:t>
      </w:r>
      <w:r w:rsidRPr="00650EE4">
        <w:rPr>
          <w:rFonts w:ascii="Times New Roman" w:hAnsi="Times New Roman"/>
          <w:color w:val="000000" w:themeColor="text1"/>
          <w:szCs w:val="22"/>
        </w:rPr>
        <w:t>:</w:t>
      </w:r>
    </w:p>
    <w:p w14:paraId="3F9FBEB3" w14:textId="77777777" w:rsidR="007C4A64" w:rsidRPr="00650EE4" w:rsidRDefault="007C4A64" w:rsidP="007C4A64">
      <w:pPr>
        <w:pStyle w:val="BodyText"/>
        <w:numPr>
          <w:ilvl w:val="0"/>
          <w:numId w:val="9"/>
        </w:numPr>
        <w:spacing w:before="120" w:after="60"/>
        <w:ind w:left="714" w:hanging="357"/>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Energinio efektyvumo didinimo priemonės (EE);</w:t>
      </w:r>
    </w:p>
    <w:p w14:paraId="6E63A108" w14:textId="77777777" w:rsidR="007C4A64" w:rsidRPr="00650EE4" w:rsidRDefault="007C4A64" w:rsidP="00196535">
      <w:pPr>
        <w:pStyle w:val="BodyText"/>
        <w:numPr>
          <w:ilvl w:val="0"/>
          <w:numId w:val="9"/>
        </w:numPr>
        <w:rPr>
          <w:rFonts w:ascii="Times New Roman" w:hAnsi="Times New Roman"/>
          <w:color w:val="000000" w:themeColor="text1"/>
          <w:szCs w:val="22"/>
          <w:lang w:val="lt-LT"/>
        </w:rPr>
      </w:pPr>
      <w:r w:rsidRPr="00650EE4">
        <w:rPr>
          <w:rFonts w:ascii="Times New Roman" w:hAnsi="Times New Roman"/>
          <w:color w:val="000000" w:themeColor="text1"/>
          <w:szCs w:val="22"/>
          <w:lang w:val="lt-LT"/>
        </w:rPr>
        <w:t>Atsinaujinančių energijos išteklių panaudojimo didinimo priemonės (AEI).</w:t>
      </w:r>
    </w:p>
    <w:p w14:paraId="7F259F19" w14:textId="77777777" w:rsidR="007C4A64" w:rsidRPr="00650EE4" w:rsidRDefault="007C4A64" w:rsidP="007C4A64">
      <w:pPr>
        <w:spacing w:line="240" w:lineRule="auto"/>
        <w:jc w:val="both"/>
        <w:rPr>
          <w:rFonts w:ascii="Times New Roman" w:hAnsi="Times New Roman"/>
          <w:color w:val="000000" w:themeColor="text1"/>
          <w:szCs w:val="22"/>
        </w:rPr>
      </w:pPr>
    </w:p>
    <w:p w14:paraId="61557133" w14:textId="230C6B86" w:rsidR="007C4A64" w:rsidRPr="00650EE4" w:rsidRDefault="007C4A64"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89" w:name="_Toc67925216"/>
      <w:r w:rsidR="007744C1">
        <w:t>33</w:t>
      </w:r>
      <w:r w:rsidRPr="00650EE4">
        <w:rPr>
          <w:noProof w:val="0"/>
        </w:rPr>
        <w:fldChar w:fldCharType="end"/>
      </w:r>
      <w:r w:rsidRPr="00650EE4">
        <w:rPr>
          <w:noProof w:val="0"/>
        </w:rPr>
        <w:t xml:space="preserve"> lentelė. Renovacijos priemonės</w:t>
      </w:r>
      <w:bookmarkEnd w:id="89"/>
    </w:p>
    <w:tbl>
      <w:tblPr>
        <w:tblW w:w="5000" w:type="pct"/>
        <w:tblLook w:val="04A0" w:firstRow="1" w:lastRow="0" w:firstColumn="1" w:lastColumn="0" w:noHBand="0" w:noVBand="1"/>
      </w:tblPr>
      <w:tblGrid>
        <w:gridCol w:w="1022"/>
        <w:gridCol w:w="6843"/>
        <w:gridCol w:w="1408"/>
        <w:gridCol w:w="1147"/>
      </w:tblGrid>
      <w:tr w:rsidR="007C4A64" w:rsidRPr="00650EE4" w14:paraId="603B8B5E" w14:textId="77777777" w:rsidTr="004F0624">
        <w:trPr>
          <w:tblHeader/>
        </w:trPr>
        <w:tc>
          <w:tcPr>
            <w:tcW w:w="1000"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14:paraId="25E499C1"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Eil. Nr.</w:t>
            </w:r>
          </w:p>
        </w:tc>
        <w:tc>
          <w:tcPr>
            <w:tcW w:w="66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EB4DFD"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Renovacijos priemonė</w:t>
            </w:r>
          </w:p>
        </w:tc>
        <w:tc>
          <w:tcPr>
            <w:tcW w:w="249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71BCAAF"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Priemonių grupė</w:t>
            </w:r>
          </w:p>
        </w:tc>
      </w:tr>
      <w:tr w:rsidR="007C4A64" w:rsidRPr="00650EE4" w14:paraId="33B813BA" w14:textId="77777777" w:rsidTr="004F0624">
        <w:trPr>
          <w:tblHeader/>
        </w:trPr>
        <w:tc>
          <w:tcPr>
            <w:tcW w:w="1000" w:type="dxa"/>
            <w:vMerge/>
            <w:tcBorders>
              <w:top w:val="single" w:sz="4" w:space="0" w:color="auto"/>
              <w:left w:val="single" w:sz="4" w:space="0" w:color="auto"/>
              <w:bottom w:val="single" w:sz="4" w:space="0" w:color="000000"/>
              <w:right w:val="nil"/>
            </w:tcBorders>
            <w:vAlign w:val="center"/>
            <w:hideMark/>
          </w:tcPr>
          <w:p w14:paraId="675E6F49" w14:textId="77777777" w:rsidR="007C4A64" w:rsidRPr="00650EE4" w:rsidRDefault="007C4A64" w:rsidP="000C1D71">
            <w:pPr>
              <w:spacing w:line="240" w:lineRule="auto"/>
              <w:rPr>
                <w:rFonts w:ascii="Times New Roman" w:eastAsia="Times New Roman" w:hAnsi="Times New Roman"/>
                <w:b/>
                <w:bCs/>
                <w:color w:val="000000" w:themeColor="text1"/>
                <w:sz w:val="20"/>
                <w:szCs w:val="20"/>
              </w:rPr>
            </w:pPr>
          </w:p>
        </w:tc>
        <w:tc>
          <w:tcPr>
            <w:tcW w:w="6695" w:type="dxa"/>
            <w:vMerge/>
            <w:tcBorders>
              <w:top w:val="single" w:sz="4" w:space="0" w:color="auto"/>
              <w:left w:val="single" w:sz="4" w:space="0" w:color="auto"/>
              <w:bottom w:val="single" w:sz="4" w:space="0" w:color="auto"/>
              <w:right w:val="single" w:sz="4" w:space="0" w:color="auto"/>
            </w:tcBorders>
            <w:vAlign w:val="center"/>
            <w:hideMark/>
          </w:tcPr>
          <w:p w14:paraId="2CE03111" w14:textId="77777777" w:rsidR="007C4A64" w:rsidRPr="00650EE4" w:rsidRDefault="007C4A64" w:rsidP="000C1D71">
            <w:pPr>
              <w:spacing w:line="240" w:lineRule="auto"/>
              <w:rPr>
                <w:rFonts w:ascii="Times New Roman" w:eastAsia="Times New Roman" w:hAnsi="Times New Roman"/>
                <w:b/>
                <w:bCs/>
                <w:color w:val="000000" w:themeColor="text1"/>
                <w:sz w:val="20"/>
                <w:szCs w:val="20"/>
              </w:rPr>
            </w:pPr>
          </w:p>
        </w:tc>
        <w:tc>
          <w:tcPr>
            <w:tcW w:w="1377" w:type="dxa"/>
            <w:tcBorders>
              <w:top w:val="nil"/>
              <w:left w:val="nil"/>
              <w:bottom w:val="single" w:sz="4" w:space="0" w:color="auto"/>
              <w:right w:val="single" w:sz="4" w:space="0" w:color="auto"/>
            </w:tcBorders>
            <w:shd w:val="clear" w:color="000000" w:fill="FFFFFF"/>
            <w:noWrap/>
            <w:vAlign w:val="bottom"/>
            <w:hideMark/>
          </w:tcPr>
          <w:p w14:paraId="2FC72215"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EE</w:t>
            </w:r>
          </w:p>
        </w:tc>
        <w:tc>
          <w:tcPr>
            <w:tcW w:w="1122" w:type="dxa"/>
            <w:tcBorders>
              <w:top w:val="nil"/>
              <w:left w:val="nil"/>
              <w:bottom w:val="single" w:sz="4" w:space="0" w:color="auto"/>
              <w:right w:val="single" w:sz="4" w:space="0" w:color="auto"/>
            </w:tcBorders>
            <w:shd w:val="clear" w:color="000000" w:fill="FFFFFF"/>
            <w:noWrap/>
            <w:vAlign w:val="bottom"/>
          </w:tcPr>
          <w:p w14:paraId="05734F5B"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AEI</w:t>
            </w:r>
          </w:p>
        </w:tc>
      </w:tr>
      <w:tr w:rsidR="007C4A64" w:rsidRPr="00650EE4" w14:paraId="202EF01D"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37D98CD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w:t>
            </w:r>
          </w:p>
        </w:tc>
        <w:tc>
          <w:tcPr>
            <w:tcW w:w="6695" w:type="dxa"/>
            <w:tcBorders>
              <w:top w:val="nil"/>
              <w:left w:val="nil"/>
              <w:bottom w:val="single" w:sz="4" w:space="0" w:color="auto"/>
              <w:right w:val="single" w:sz="4" w:space="0" w:color="auto"/>
            </w:tcBorders>
            <w:shd w:val="clear" w:color="000000" w:fill="FFFFFF"/>
            <w:vAlign w:val="center"/>
            <w:hideMark/>
          </w:tcPr>
          <w:p w14:paraId="2FFD6F92" w14:textId="5D8B7DF9" w:rsidR="007C4A64" w:rsidRPr="00650EE4" w:rsidRDefault="00D1778A"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Šildymo</w:t>
            </w:r>
            <w:r w:rsidR="007C4A64" w:rsidRPr="00650EE4">
              <w:rPr>
                <w:rFonts w:ascii="Times New Roman" w:eastAsia="Times New Roman" w:hAnsi="Times New Roman"/>
                <w:color w:val="000000" w:themeColor="text1"/>
                <w:sz w:val="20"/>
                <w:szCs w:val="20"/>
              </w:rPr>
              <w:t xml:space="preserve"> sistemų modernizavimas</w:t>
            </w:r>
          </w:p>
        </w:tc>
        <w:tc>
          <w:tcPr>
            <w:tcW w:w="1377" w:type="dxa"/>
            <w:tcBorders>
              <w:top w:val="nil"/>
              <w:left w:val="nil"/>
              <w:bottom w:val="single" w:sz="4" w:space="0" w:color="auto"/>
              <w:right w:val="single" w:sz="4" w:space="0" w:color="auto"/>
            </w:tcBorders>
            <w:shd w:val="clear" w:color="000000" w:fill="FFFFFF"/>
            <w:noWrap/>
            <w:vAlign w:val="center"/>
            <w:hideMark/>
          </w:tcPr>
          <w:p w14:paraId="28AE0ED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387CA0B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2FCE67BC"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3BE5BA1"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2.</w:t>
            </w:r>
          </w:p>
        </w:tc>
        <w:tc>
          <w:tcPr>
            <w:tcW w:w="6695" w:type="dxa"/>
            <w:tcBorders>
              <w:top w:val="nil"/>
              <w:left w:val="nil"/>
              <w:bottom w:val="single" w:sz="4" w:space="0" w:color="auto"/>
              <w:right w:val="single" w:sz="4" w:space="0" w:color="auto"/>
            </w:tcBorders>
            <w:shd w:val="clear" w:color="000000" w:fill="FFFFFF"/>
            <w:vAlign w:val="center"/>
            <w:hideMark/>
          </w:tcPr>
          <w:p w14:paraId="78CE1A2F" w14:textId="3601D7A3" w:rsidR="007C4A64" w:rsidRPr="00650EE4" w:rsidRDefault="00504ABC"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xml:space="preserve">Karšto vandens </w:t>
            </w:r>
            <w:r w:rsidR="00D1778A" w:rsidRPr="00650EE4">
              <w:rPr>
                <w:rFonts w:ascii="Times New Roman" w:eastAsia="Times New Roman" w:hAnsi="Times New Roman"/>
                <w:color w:val="000000" w:themeColor="text1"/>
                <w:sz w:val="20"/>
                <w:szCs w:val="20"/>
              </w:rPr>
              <w:t xml:space="preserve">ruošimo </w:t>
            </w:r>
            <w:r w:rsidR="007C4A64" w:rsidRPr="00650EE4">
              <w:rPr>
                <w:rFonts w:ascii="Times New Roman" w:eastAsia="Times New Roman" w:hAnsi="Times New Roman"/>
                <w:color w:val="000000" w:themeColor="text1"/>
                <w:sz w:val="20"/>
                <w:szCs w:val="20"/>
              </w:rPr>
              <w:t>sistemos modernizavimas</w:t>
            </w:r>
          </w:p>
        </w:tc>
        <w:tc>
          <w:tcPr>
            <w:tcW w:w="1377" w:type="dxa"/>
            <w:tcBorders>
              <w:top w:val="nil"/>
              <w:left w:val="nil"/>
              <w:bottom w:val="single" w:sz="4" w:space="0" w:color="auto"/>
              <w:right w:val="single" w:sz="4" w:space="0" w:color="auto"/>
            </w:tcBorders>
            <w:shd w:val="clear" w:color="000000" w:fill="FFFFFF"/>
            <w:noWrap/>
            <w:vAlign w:val="center"/>
            <w:hideMark/>
          </w:tcPr>
          <w:p w14:paraId="15CF7018"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520BF54D"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0E6C3AEC"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1C6E6C31"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3.</w:t>
            </w:r>
          </w:p>
        </w:tc>
        <w:tc>
          <w:tcPr>
            <w:tcW w:w="6695" w:type="dxa"/>
            <w:tcBorders>
              <w:top w:val="nil"/>
              <w:left w:val="nil"/>
              <w:bottom w:val="single" w:sz="4" w:space="0" w:color="auto"/>
              <w:right w:val="single" w:sz="4" w:space="0" w:color="auto"/>
            </w:tcBorders>
            <w:shd w:val="clear" w:color="000000" w:fill="FFFFFF"/>
            <w:vAlign w:val="center"/>
            <w:hideMark/>
          </w:tcPr>
          <w:p w14:paraId="533965EC"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Individualios šilumos apskaitos įrengimas</w:t>
            </w:r>
          </w:p>
        </w:tc>
        <w:tc>
          <w:tcPr>
            <w:tcW w:w="1377" w:type="dxa"/>
            <w:tcBorders>
              <w:top w:val="nil"/>
              <w:left w:val="nil"/>
              <w:bottom w:val="single" w:sz="4" w:space="0" w:color="auto"/>
              <w:right w:val="single" w:sz="4" w:space="0" w:color="auto"/>
            </w:tcBorders>
            <w:shd w:val="clear" w:color="000000" w:fill="FFFFFF"/>
            <w:noWrap/>
            <w:vAlign w:val="center"/>
            <w:hideMark/>
          </w:tcPr>
          <w:p w14:paraId="5C07EB92"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36E51BE7"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664EA363"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691D2694"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4.</w:t>
            </w:r>
          </w:p>
        </w:tc>
        <w:tc>
          <w:tcPr>
            <w:tcW w:w="6695" w:type="dxa"/>
            <w:tcBorders>
              <w:top w:val="nil"/>
              <w:left w:val="nil"/>
              <w:bottom w:val="single" w:sz="4" w:space="0" w:color="auto"/>
              <w:right w:val="single" w:sz="4" w:space="0" w:color="auto"/>
            </w:tcBorders>
            <w:shd w:val="clear" w:color="000000" w:fill="FFFFFF"/>
            <w:vAlign w:val="center"/>
            <w:hideMark/>
          </w:tcPr>
          <w:p w14:paraId="1E5DFA79"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Stogo/palėpės perdangos šiltinimas</w:t>
            </w:r>
          </w:p>
        </w:tc>
        <w:tc>
          <w:tcPr>
            <w:tcW w:w="1377" w:type="dxa"/>
            <w:tcBorders>
              <w:top w:val="nil"/>
              <w:left w:val="nil"/>
              <w:bottom w:val="single" w:sz="4" w:space="0" w:color="auto"/>
              <w:right w:val="single" w:sz="4" w:space="0" w:color="auto"/>
            </w:tcBorders>
            <w:shd w:val="clear" w:color="000000" w:fill="FFFFFF"/>
            <w:noWrap/>
            <w:vAlign w:val="center"/>
            <w:hideMark/>
          </w:tcPr>
          <w:p w14:paraId="165EAD5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492D34C7"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6A425B37"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71DEF8C9"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5.</w:t>
            </w:r>
          </w:p>
        </w:tc>
        <w:tc>
          <w:tcPr>
            <w:tcW w:w="6695" w:type="dxa"/>
            <w:tcBorders>
              <w:top w:val="nil"/>
              <w:left w:val="nil"/>
              <w:bottom w:val="single" w:sz="4" w:space="0" w:color="auto"/>
              <w:right w:val="single" w:sz="4" w:space="0" w:color="auto"/>
            </w:tcBorders>
            <w:shd w:val="clear" w:color="000000" w:fill="FFFFFF"/>
            <w:vAlign w:val="center"/>
            <w:hideMark/>
          </w:tcPr>
          <w:p w14:paraId="11FB1F79"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Fasado sienų ir cokolio šiltinimas</w:t>
            </w:r>
          </w:p>
        </w:tc>
        <w:tc>
          <w:tcPr>
            <w:tcW w:w="1377" w:type="dxa"/>
            <w:tcBorders>
              <w:top w:val="nil"/>
              <w:left w:val="nil"/>
              <w:bottom w:val="single" w:sz="4" w:space="0" w:color="auto"/>
              <w:right w:val="single" w:sz="4" w:space="0" w:color="auto"/>
            </w:tcBorders>
            <w:shd w:val="clear" w:color="000000" w:fill="FFFFFF"/>
            <w:noWrap/>
            <w:vAlign w:val="center"/>
            <w:hideMark/>
          </w:tcPr>
          <w:p w14:paraId="69F32086"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2F339E08"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38886335"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EB243AC"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6.</w:t>
            </w:r>
          </w:p>
        </w:tc>
        <w:tc>
          <w:tcPr>
            <w:tcW w:w="6695" w:type="dxa"/>
            <w:tcBorders>
              <w:top w:val="nil"/>
              <w:left w:val="nil"/>
              <w:bottom w:val="single" w:sz="4" w:space="0" w:color="auto"/>
              <w:right w:val="single" w:sz="4" w:space="0" w:color="auto"/>
            </w:tcBorders>
            <w:shd w:val="clear" w:color="000000" w:fill="FFFFFF"/>
            <w:vAlign w:val="center"/>
            <w:hideMark/>
          </w:tcPr>
          <w:p w14:paraId="67DAC62B"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Balkono/</w:t>
            </w:r>
            <w:proofErr w:type="spellStart"/>
            <w:r w:rsidRPr="00650EE4">
              <w:rPr>
                <w:rFonts w:ascii="Times New Roman" w:eastAsia="Times New Roman" w:hAnsi="Times New Roman"/>
                <w:color w:val="000000" w:themeColor="text1"/>
                <w:sz w:val="20"/>
                <w:szCs w:val="20"/>
              </w:rPr>
              <w:t>lodžijų</w:t>
            </w:r>
            <w:proofErr w:type="spellEnd"/>
            <w:r w:rsidRPr="00650EE4">
              <w:rPr>
                <w:rFonts w:ascii="Times New Roman" w:eastAsia="Times New Roman" w:hAnsi="Times New Roman"/>
                <w:color w:val="000000" w:themeColor="text1"/>
                <w:sz w:val="20"/>
                <w:szCs w:val="20"/>
              </w:rPr>
              <w:t xml:space="preserve"> stiklinimas</w:t>
            </w:r>
          </w:p>
        </w:tc>
        <w:tc>
          <w:tcPr>
            <w:tcW w:w="1377" w:type="dxa"/>
            <w:tcBorders>
              <w:top w:val="nil"/>
              <w:left w:val="nil"/>
              <w:bottom w:val="single" w:sz="4" w:space="0" w:color="auto"/>
              <w:right w:val="single" w:sz="4" w:space="0" w:color="auto"/>
            </w:tcBorders>
            <w:shd w:val="clear" w:color="000000" w:fill="FFFFFF"/>
            <w:noWrap/>
            <w:vAlign w:val="center"/>
            <w:hideMark/>
          </w:tcPr>
          <w:p w14:paraId="4EF151A9"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1AD6ABC5"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1A3F5C32"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6352BC66"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7.</w:t>
            </w:r>
          </w:p>
        </w:tc>
        <w:tc>
          <w:tcPr>
            <w:tcW w:w="6695" w:type="dxa"/>
            <w:tcBorders>
              <w:top w:val="nil"/>
              <w:left w:val="nil"/>
              <w:bottom w:val="single" w:sz="4" w:space="0" w:color="auto"/>
              <w:right w:val="single" w:sz="4" w:space="0" w:color="auto"/>
            </w:tcBorders>
            <w:shd w:val="clear" w:color="000000" w:fill="FFFFFF"/>
            <w:vAlign w:val="center"/>
            <w:hideMark/>
          </w:tcPr>
          <w:p w14:paraId="78126E37" w14:textId="7FBA5B75" w:rsidR="007C4A64" w:rsidRPr="00650EE4" w:rsidRDefault="00504ABC"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xml:space="preserve">Lauko durų </w:t>
            </w:r>
            <w:r w:rsidR="007C4A64" w:rsidRPr="00650EE4">
              <w:rPr>
                <w:rFonts w:ascii="Times New Roman" w:eastAsia="Times New Roman" w:hAnsi="Times New Roman"/>
                <w:color w:val="000000" w:themeColor="text1"/>
                <w:sz w:val="20"/>
                <w:szCs w:val="20"/>
              </w:rPr>
              <w:t>keitimas</w:t>
            </w:r>
          </w:p>
        </w:tc>
        <w:tc>
          <w:tcPr>
            <w:tcW w:w="1377" w:type="dxa"/>
            <w:tcBorders>
              <w:top w:val="nil"/>
              <w:left w:val="nil"/>
              <w:bottom w:val="single" w:sz="4" w:space="0" w:color="auto"/>
              <w:right w:val="single" w:sz="4" w:space="0" w:color="auto"/>
            </w:tcBorders>
            <w:shd w:val="clear" w:color="000000" w:fill="FFFFFF"/>
            <w:noWrap/>
            <w:vAlign w:val="center"/>
            <w:hideMark/>
          </w:tcPr>
          <w:p w14:paraId="761B3A06"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0D8DF6BD"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300D6911"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BC0B219"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8.</w:t>
            </w:r>
          </w:p>
        </w:tc>
        <w:tc>
          <w:tcPr>
            <w:tcW w:w="6695" w:type="dxa"/>
            <w:tcBorders>
              <w:top w:val="nil"/>
              <w:left w:val="nil"/>
              <w:bottom w:val="single" w:sz="4" w:space="0" w:color="auto"/>
              <w:right w:val="single" w:sz="4" w:space="0" w:color="auto"/>
            </w:tcBorders>
            <w:shd w:val="clear" w:color="000000" w:fill="FFFFFF"/>
            <w:vAlign w:val="center"/>
            <w:hideMark/>
          </w:tcPr>
          <w:p w14:paraId="7A7D2AF1"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Langų keitimas</w:t>
            </w:r>
          </w:p>
        </w:tc>
        <w:tc>
          <w:tcPr>
            <w:tcW w:w="1377" w:type="dxa"/>
            <w:tcBorders>
              <w:top w:val="nil"/>
              <w:left w:val="nil"/>
              <w:bottom w:val="single" w:sz="4" w:space="0" w:color="auto"/>
              <w:right w:val="single" w:sz="4" w:space="0" w:color="auto"/>
            </w:tcBorders>
            <w:shd w:val="clear" w:color="000000" w:fill="FFFFFF"/>
            <w:noWrap/>
            <w:vAlign w:val="center"/>
            <w:hideMark/>
          </w:tcPr>
          <w:p w14:paraId="2EE552C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2EA5F74F"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015F3C01"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D848313"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9.</w:t>
            </w:r>
          </w:p>
        </w:tc>
        <w:tc>
          <w:tcPr>
            <w:tcW w:w="6695" w:type="dxa"/>
            <w:tcBorders>
              <w:top w:val="nil"/>
              <w:left w:val="nil"/>
              <w:bottom w:val="single" w:sz="4" w:space="0" w:color="auto"/>
              <w:right w:val="single" w:sz="4" w:space="0" w:color="auto"/>
            </w:tcBorders>
            <w:shd w:val="clear" w:color="000000" w:fill="FFFFFF"/>
            <w:vAlign w:val="center"/>
            <w:hideMark/>
          </w:tcPr>
          <w:p w14:paraId="2FA537D6"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Rūsio perdangos, grindų šiltinimas</w:t>
            </w:r>
          </w:p>
        </w:tc>
        <w:tc>
          <w:tcPr>
            <w:tcW w:w="1377" w:type="dxa"/>
            <w:tcBorders>
              <w:top w:val="nil"/>
              <w:left w:val="nil"/>
              <w:bottom w:val="single" w:sz="4" w:space="0" w:color="auto"/>
              <w:right w:val="single" w:sz="4" w:space="0" w:color="auto"/>
            </w:tcBorders>
            <w:shd w:val="clear" w:color="000000" w:fill="FFFFFF"/>
            <w:noWrap/>
            <w:vAlign w:val="center"/>
            <w:hideMark/>
          </w:tcPr>
          <w:p w14:paraId="705BCE9A"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0D11DD30"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C70792" w:rsidRPr="00650EE4" w14:paraId="4D37F432"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tcPr>
          <w:p w14:paraId="29CE3E60" w14:textId="637201AB"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10.</w:t>
            </w:r>
          </w:p>
        </w:tc>
        <w:tc>
          <w:tcPr>
            <w:tcW w:w="6695" w:type="dxa"/>
            <w:tcBorders>
              <w:top w:val="nil"/>
              <w:left w:val="nil"/>
              <w:bottom w:val="single" w:sz="4" w:space="0" w:color="auto"/>
              <w:right w:val="single" w:sz="4" w:space="0" w:color="auto"/>
            </w:tcBorders>
            <w:shd w:val="clear" w:color="000000" w:fill="FFFFFF"/>
            <w:vAlign w:val="center"/>
          </w:tcPr>
          <w:p w14:paraId="683BBDEB" w14:textId="6D69D946"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Priemonės pastato sandarumo užtikrinimui</w:t>
            </w:r>
          </w:p>
        </w:tc>
        <w:tc>
          <w:tcPr>
            <w:tcW w:w="1377" w:type="dxa"/>
            <w:tcBorders>
              <w:top w:val="nil"/>
              <w:left w:val="nil"/>
              <w:bottom w:val="single" w:sz="4" w:space="0" w:color="auto"/>
              <w:right w:val="single" w:sz="4" w:space="0" w:color="auto"/>
            </w:tcBorders>
            <w:shd w:val="clear" w:color="000000" w:fill="FFFFFF"/>
            <w:noWrap/>
            <w:vAlign w:val="center"/>
          </w:tcPr>
          <w:p w14:paraId="56F1C06E" w14:textId="10C14E11"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1370108F"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p>
        </w:tc>
      </w:tr>
      <w:tr w:rsidR="00C70792" w:rsidRPr="00650EE4" w14:paraId="3A6E9A44"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3D8DA35E" w14:textId="2B539024"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11.</w:t>
            </w:r>
          </w:p>
        </w:tc>
        <w:tc>
          <w:tcPr>
            <w:tcW w:w="6695" w:type="dxa"/>
            <w:tcBorders>
              <w:top w:val="nil"/>
              <w:left w:val="nil"/>
              <w:bottom w:val="single" w:sz="4" w:space="0" w:color="auto"/>
              <w:right w:val="single" w:sz="4" w:space="0" w:color="auto"/>
            </w:tcBorders>
            <w:shd w:val="clear" w:color="000000" w:fill="FFFFFF"/>
            <w:vAlign w:val="center"/>
            <w:hideMark/>
          </w:tcPr>
          <w:p w14:paraId="7DC11F0B"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Katilo keitimas</w:t>
            </w:r>
          </w:p>
        </w:tc>
        <w:tc>
          <w:tcPr>
            <w:tcW w:w="1377" w:type="dxa"/>
            <w:tcBorders>
              <w:top w:val="nil"/>
              <w:left w:val="nil"/>
              <w:bottom w:val="single" w:sz="4" w:space="0" w:color="auto"/>
              <w:right w:val="single" w:sz="4" w:space="0" w:color="auto"/>
            </w:tcBorders>
            <w:shd w:val="clear" w:color="000000" w:fill="FFFFFF"/>
            <w:noWrap/>
            <w:vAlign w:val="center"/>
            <w:hideMark/>
          </w:tcPr>
          <w:p w14:paraId="74D0E2C0"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0C97E666"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37C0F744"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020F9EC" w14:textId="3FCD79A3"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12.</w:t>
            </w:r>
          </w:p>
        </w:tc>
        <w:tc>
          <w:tcPr>
            <w:tcW w:w="6695" w:type="dxa"/>
            <w:tcBorders>
              <w:top w:val="nil"/>
              <w:left w:val="nil"/>
              <w:bottom w:val="single" w:sz="4" w:space="0" w:color="auto"/>
              <w:right w:val="single" w:sz="4" w:space="0" w:color="auto"/>
            </w:tcBorders>
            <w:shd w:val="clear" w:color="000000" w:fill="FFFFFF"/>
            <w:vAlign w:val="center"/>
            <w:hideMark/>
          </w:tcPr>
          <w:p w14:paraId="4C2096B2"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CŠT prijungimas</w:t>
            </w:r>
          </w:p>
        </w:tc>
        <w:tc>
          <w:tcPr>
            <w:tcW w:w="1377" w:type="dxa"/>
            <w:tcBorders>
              <w:top w:val="nil"/>
              <w:left w:val="nil"/>
              <w:bottom w:val="single" w:sz="4" w:space="0" w:color="auto"/>
              <w:right w:val="single" w:sz="4" w:space="0" w:color="auto"/>
            </w:tcBorders>
            <w:shd w:val="clear" w:color="000000" w:fill="FFFFFF"/>
            <w:noWrap/>
            <w:vAlign w:val="bottom"/>
            <w:hideMark/>
          </w:tcPr>
          <w:p w14:paraId="1941FAD7"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1340CB39"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6410041E"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0DAAFF8" w14:textId="48C043C5"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lastRenderedPageBreak/>
              <w:t>13.</w:t>
            </w:r>
          </w:p>
        </w:tc>
        <w:tc>
          <w:tcPr>
            <w:tcW w:w="6695" w:type="dxa"/>
            <w:tcBorders>
              <w:top w:val="nil"/>
              <w:left w:val="nil"/>
              <w:bottom w:val="single" w:sz="4" w:space="0" w:color="auto"/>
              <w:right w:val="single" w:sz="4" w:space="0" w:color="auto"/>
            </w:tcBorders>
            <w:shd w:val="clear" w:color="000000" w:fill="FFFFFF"/>
            <w:vAlign w:val="center"/>
            <w:hideMark/>
          </w:tcPr>
          <w:p w14:paraId="609D5C6A"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Šilumos siurblio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0FEF2581"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647E8061"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4E952043"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557AEEE7" w14:textId="12F4C971"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14.</w:t>
            </w:r>
          </w:p>
        </w:tc>
        <w:tc>
          <w:tcPr>
            <w:tcW w:w="6695" w:type="dxa"/>
            <w:tcBorders>
              <w:top w:val="nil"/>
              <w:left w:val="nil"/>
              <w:bottom w:val="single" w:sz="4" w:space="0" w:color="auto"/>
              <w:right w:val="single" w:sz="4" w:space="0" w:color="auto"/>
            </w:tcBorders>
            <w:shd w:val="clear" w:color="000000" w:fill="FFFFFF"/>
            <w:vAlign w:val="center"/>
            <w:hideMark/>
          </w:tcPr>
          <w:p w14:paraId="682C055B"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Saulės kolektorių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7BD67468"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6D3CBFC0"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29A8AC1D"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A037964" w14:textId="53E0A49A"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15.</w:t>
            </w:r>
          </w:p>
        </w:tc>
        <w:tc>
          <w:tcPr>
            <w:tcW w:w="6695" w:type="dxa"/>
            <w:tcBorders>
              <w:top w:val="nil"/>
              <w:left w:val="nil"/>
              <w:bottom w:val="single" w:sz="4" w:space="0" w:color="auto"/>
              <w:right w:val="single" w:sz="4" w:space="0" w:color="auto"/>
            </w:tcBorders>
            <w:shd w:val="clear" w:color="000000" w:fill="FFFFFF"/>
            <w:vAlign w:val="center"/>
            <w:hideMark/>
          </w:tcPr>
          <w:p w14:paraId="0254BD03"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Fotovoltinių saulės elementų (PV)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07E3BABD"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467FA34D"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52414DD4"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6DF9559" w14:textId="6C179CC2"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16.</w:t>
            </w:r>
          </w:p>
        </w:tc>
        <w:tc>
          <w:tcPr>
            <w:tcW w:w="6695" w:type="dxa"/>
            <w:tcBorders>
              <w:top w:val="nil"/>
              <w:left w:val="nil"/>
              <w:bottom w:val="single" w:sz="4" w:space="0" w:color="auto"/>
              <w:right w:val="single" w:sz="4" w:space="0" w:color="auto"/>
            </w:tcBorders>
            <w:shd w:val="clear" w:color="000000" w:fill="FFFFFF"/>
            <w:vAlign w:val="center"/>
            <w:hideMark/>
          </w:tcPr>
          <w:p w14:paraId="0A7155BF" w14:textId="77777777" w:rsidR="00C70792" w:rsidRPr="00650EE4" w:rsidRDefault="00C70792" w:rsidP="00C70792">
            <w:pPr>
              <w:spacing w:line="240" w:lineRule="auto"/>
              <w:rPr>
                <w:rFonts w:ascii="Times New Roman" w:eastAsia="Times New Roman" w:hAnsi="Times New Roman"/>
                <w:color w:val="000000" w:themeColor="text1"/>
                <w:sz w:val="20"/>
                <w:szCs w:val="20"/>
              </w:rPr>
            </w:pPr>
            <w:proofErr w:type="spellStart"/>
            <w:r w:rsidRPr="00650EE4">
              <w:rPr>
                <w:rFonts w:ascii="Times New Roman" w:eastAsia="Times New Roman" w:hAnsi="Times New Roman"/>
                <w:color w:val="000000" w:themeColor="text1"/>
                <w:sz w:val="20"/>
                <w:szCs w:val="20"/>
              </w:rPr>
              <w:t>Rekuperacijos</w:t>
            </w:r>
            <w:proofErr w:type="spellEnd"/>
            <w:r w:rsidRPr="00650EE4">
              <w:rPr>
                <w:rFonts w:ascii="Times New Roman" w:eastAsia="Times New Roman" w:hAnsi="Times New Roman"/>
                <w:color w:val="000000" w:themeColor="text1"/>
                <w:sz w:val="20"/>
                <w:szCs w:val="20"/>
              </w:rPr>
              <w:t xml:space="preserve">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38F32EC5" w14:textId="26114B48" w:rsidR="00C70792" w:rsidRPr="00650EE4" w:rsidRDefault="00C70792" w:rsidP="00883EAD">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6455FFC0" w14:textId="60E59F22" w:rsidR="00C70792" w:rsidRPr="00650EE4" w:rsidRDefault="00C70792" w:rsidP="00C70792">
            <w:pPr>
              <w:spacing w:line="240" w:lineRule="auto"/>
              <w:jc w:val="center"/>
              <w:rPr>
                <w:rFonts w:ascii="Times New Roman" w:eastAsia="Times New Roman" w:hAnsi="Times New Roman"/>
                <w:color w:val="000000" w:themeColor="text1"/>
                <w:sz w:val="20"/>
                <w:szCs w:val="20"/>
              </w:rPr>
            </w:pPr>
          </w:p>
        </w:tc>
      </w:tr>
      <w:tr w:rsidR="00C70792" w:rsidRPr="00650EE4" w14:paraId="01A766F9"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4E8D029" w14:textId="6416C17A"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17.</w:t>
            </w:r>
          </w:p>
        </w:tc>
        <w:tc>
          <w:tcPr>
            <w:tcW w:w="6695" w:type="dxa"/>
            <w:tcBorders>
              <w:top w:val="nil"/>
              <w:left w:val="nil"/>
              <w:bottom w:val="single" w:sz="4" w:space="0" w:color="auto"/>
              <w:right w:val="single" w:sz="4" w:space="0" w:color="auto"/>
            </w:tcBorders>
            <w:shd w:val="clear" w:color="000000" w:fill="FFFFFF"/>
            <w:noWrap/>
            <w:vAlign w:val="bottom"/>
            <w:hideMark/>
          </w:tcPr>
          <w:p w14:paraId="32868F56"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Vėjo jėgainės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6F3592EE"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7552B99B"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bl>
    <w:p w14:paraId="0E261515" w14:textId="78C52363" w:rsidR="007C4A64" w:rsidRPr="00650EE4" w:rsidRDefault="007C4A64" w:rsidP="001A1B7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2A4FB163" w14:textId="77777777" w:rsidR="00196535" w:rsidRPr="00650EE4" w:rsidRDefault="00196535" w:rsidP="007C4A64">
      <w:pPr>
        <w:spacing w:line="240" w:lineRule="auto"/>
        <w:jc w:val="both"/>
        <w:rPr>
          <w:rFonts w:ascii="Times New Roman" w:hAnsi="Times New Roman"/>
          <w:color w:val="000000" w:themeColor="text1"/>
          <w:szCs w:val="22"/>
        </w:rPr>
      </w:pPr>
    </w:p>
    <w:p w14:paraId="30D47F70"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Bendru atveju, renovacijos priemonės, orientuotos į konkrečius pastato elementus, techniškai gali būti įdiegtos tiek pavieniui, tiek kompleksiškai. IRS kontekste, vertinant pastatą kaip </w:t>
      </w:r>
      <w:proofErr w:type="spellStart"/>
      <w:r w:rsidRPr="00650EE4">
        <w:rPr>
          <w:rFonts w:ascii="Times New Roman" w:hAnsi="Times New Roman"/>
          <w:color w:val="000000" w:themeColor="text1"/>
          <w:szCs w:val="22"/>
        </w:rPr>
        <w:t>inžineriškai</w:t>
      </w:r>
      <w:proofErr w:type="spellEnd"/>
      <w:r w:rsidRPr="00650EE4">
        <w:rPr>
          <w:rFonts w:ascii="Times New Roman" w:hAnsi="Times New Roman"/>
          <w:color w:val="000000" w:themeColor="text1"/>
          <w:szCs w:val="22"/>
        </w:rPr>
        <w:t xml:space="preserve"> vientisą darinį ir atsižvelgiant į sukauptą patirtį įgyvendinant renovacijos projektus, Žaliojo kurso, Rekomendacijų, NECP ir kitų strateginių dokumentų nuostatas, prioritetas teikiamas kompleksiniams, esminiams renovacijos sprendimams („giliai“ renovacijai), apjungiant tiek energinio efektyvumo, tiek AEI panaudojimo didinimo priemones. </w:t>
      </w:r>
    </w:p>
    <w:p w14:paraId="6329B1F8" w14:textId="77777777" w:rsidR="007C4A64" w:rsidRPr="00650EE4" w:rsidRDefault="007C4A64" w:rsidP="007C4A64">
      <w:pPr>
        <w:spacing w:line="240" w:lineRule="auto"/>
        <w:jc w:val="both"/>
        <w:rPr>
          <w:rFonts w:ascii="Times New Roman" w:hAnsi="Times New Roman"/>
          <w:color w:val="000000" w:themeColor="text1"/>
          <w:szCs w:val="22"/>
        </w:rPr>
      </w:pPr>
    </w:p>
    <w:p w14:paraId="519D5F78"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Atitinkamai, efektyviausių renovacijos priemonių vertinimas vyko ne pavienių priemonių, o priemonių paketų lygmeniu. Priemonių paketai suformuoti taip, kad kiekvienas paketas apimtų renovacijos priemones reikalingas konkrečios energinio naudingumo klasės pasiekimui, pradedant C ir baigiant A++ energinio naudingumo klase. </w:t>
      </w:r>
    </w:p>
    <w:p w14:paraId="1D645969" w14:textId="77777777" w:rsidR="007C4A64" w:rsidRPr="00650EE4" w:rsidRDefault="007C4A64" w:rsidP="007C4A64">
      <w:pPr>
        <w:spacing w:line="240" w:lineRule="auto"/>
        <w:jc w:val="both"/>
        <w:rPr>
          <w:rFonts w:ascii="Times New Roman" w:hAnsi="Times New Roman"/>
          <w:color w:val="000000" w:themeColor="text1"/>
          <w:szCs w:val="22"/>
        </w:rPr>
      </w:pPr>
    </w:p>
    <w:p w14:paraId="2DC6CA51"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Minimalūs energinio naudingumo reikalavimai visų paskirčių pastatams Lietuvoje yra nustatyti Statybos techniniame reglamente STR 2.01.02:2016 „Pastatų energinio naudingumo projektavimas ir sertifikavimas“. Svarbu pastebėti, kad:</w:t>
      </w:r>
    </w:p>
    <w:p w14:paraId="3E4C4F9B" w14:textId="3434D348" w:rsidR="007C4A64" w:rsidRPr="00650EE4" w:rsidRDefault="007C4A64" w:rsidP="00BD4925">
      <w:pPr>
        <w:pStyle w:val="ListParagraph"/>
        <w:numPr>
          <w:ilvl w:val="0"/>
          <w:numId w:val="52"/>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STR nenumato konkrečių renovacijos priemonių (darbų), būtinų pasiekti aukštesnę energinio naudingumo klasę. Pastato energinio naudingumo klasė nustatoma pagal techninių rodiklių vertes</w:t>
      </w:r>
      <w:r w:rsidRPr="00650EE4">
        <w:rPr>
          <w:rStyle w:val="FootnoteReference"/>
          <w:rFonts w:ascii="Times New Roman" w:hAnsi="Times New Roman"/>
          <w:color w:val="000000" w:themeColor="text1"/>
          <w:szCs w:val="22"/>
          <w:lang w:val="lt-LT"/>
        </w:rPr>
        <w:footnoteReference w:id="12"/>
      </w:r>
      <w:r w:rsidRPr="00650EE4">
        <w:rPr>
          <w:rFonts w:ascii="Times New Roman" w:hAnsi="Times New Roman"/>
          <w:color w:val="000000" w:themeColor="text1"/>
          <w:szCs w:val="22"/>
          <w:lang w:val="lt-LT"/>
        </w:rPr>
        <w:t xml:space="preserve">. </w:t>
      </w:r>
      <w:r w:rsidR="00A12E7D">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uformuoti paketai vertinti kaip renovacijos priemonių kompleksas, pasiekiantis konkrečios aukštesnės energinio naudingumo klasės reikšmes. Kiekvienam priemonių paketui nustatoma bendra vidutinė investicijų vertė (</w:t>
      </w:r>
      <w:r w:rsidR="00A12E7D">
        <w:rPr>
          <w:rFonts w:ascii="Times New Roman" w:hAnsi="Times New Roman"/>
          <w:color w:val="000000" w:themeColor="text1"/>
          <w:szCs w:val="22"/>
        </w:rPr>
        <w:t>2</w:t>
      </w:r>
      <w:r w:rsidRPr="00650EE4">
        <w:rPr>
          <w:rFonts w:ascii="Times New Roman" w:hAnsi="Times New Roman"/>
          <w:color w:val="000000" w:themeColor="text1"/>
          <w:szCs w:val="22"/>
          <w:lang w:val="lt-LT"/>
        </w:rPr>
        <w:t>.2 skyrius) ir energijos sutaupymas (</w:t>
      </w:r>
      <w:r w:rsidR="00A12E7D">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.3 skyrius).</w:t>
      </w:r>
    </w:p>
    <w:p w14:paraId="1096C068" w14:textId="6AF5C4F2" w:rsidR="007C4A64" w:rsidRPr="00650EE4" w:rsidRDefault="007C4A64" w:rsidP="00BD4925">
      <w:pPr>
        <w:pStyle w:val="ListParagraph"/>
        <w:numPr>
          <w:ilvl w:val="0"/>
          <w:numId w:val="52"/>
        </w:numPr>
        <w:spacing w:line="240" w:lineRule="auto"/>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STR nenumato AEI priemonių visoms energinio naudingumo klasėms. Tačiau siekiant skatinti AEI panaudojimą ir įvertinti AEI investicijų įtaką paketų ekonominiam atsipirkimui, net ir žemesnių klasių priemonių paketai buvo papildyti universaliausiai pastatuose pritaikomomis AEI panaudojimo didinimo priemonėmis: šilumos siurbliais ir foto</w:t>
      </w:r>
      <w:r w:rsidR="005F1063" w:rsidRPr="00650EE4">
        <w:rPr>
          <w:rFonts w:ascii="Times New Roman" w:hAnsi="Times New Roman"/>
          <w:color w:val="000000" w:themeColor="text1"/>
          <w:szCs w:val="22"/>
          <w:lang w:val="lt-LT"/>
        </w:rPr>
        <w:t>voltiniais saulės</w:t>
      </w:r>
      <w:r w:rsidRPr="00650EE4">
        <w:rPr>
          <w:rFonts w:ascii="Times New Roman" w:hAnsi="Times New Roman"/>
          <w:color w:val="000000" w:themeColor="text1"/>
          <w:szCs w:val="22"/>
          <w:lang w:val="lt-LT"/>
        </w:rPr>
        <w:t xml:space="preserve"> elementais (žr. lentelę žemiau).</w:t>
      </w:r>
    </w:p>
    <w:p w14:paraId="02601A1F" w14:textId="77777777" w:rsidR="007C4A64" w:rsidRPr="00650EE4" w:rsidRDefault="007C4A64" w:rsidP="007C4A64">
      <w:pPr>
        <w:spacing w:line="240" w:lineRule="auto"/>
        <w:jc w:val="both"/>
        <w:rPr>
          <w:rFonts w:ascii="Times New Roman" w:hAnsi="Times New Roman"/>
          <w:color w:val="000000" w:themeColor="text1"/>
          <w:szCs w:val="22"/>
        </w:rPr>
      </w:pPr>
    </w:p>
    <w:p w14:paraId="3BD6BD8D" w14:textId="77777777" w:rsidR="007C4A64" w:rsidRPr="00650EE4" w:rsidRDefault="007C4A64" w:rsidP="007C4A64">
      <w:pPr>
        <w:shd w:val="clear" w:color="auto" w:fill="FFFFFF"/>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Nors konkrečios renovacijos priemonės reikalingos siektinos energinio naudingumo klasės pasiekimui gali skirtis priklausomai nuo pastato faktinės būklės, pastato paskirties ir pasirenkamų technologinių sprendimų (pvz., fasado šiltinimo technologijos), tačiau žemiau išskirtų priemonių diegimas pastatuose yra būtinas:</w:t>
      </w:r>
    </w:p>
    <w:p w14:paraId="38329D19" w14:textId="77777777" w:rsidR="007C4A64" w:rsidRPr="00650EE4" w:rsidRDefault="007C4A64" w:rsidP="007C4A64">
      <w:pPr>
        <w:pStyle w:val="BodyText"/>
        <w:numPr>
          <w:ilvl w:val="0"/>
          <w:numId w:val="9"/>
        </w:numPr>
        <w:spacing w:before="120" w:after="60"/>
        <w:ind w:left="714" w:hanging="3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B ir aukštesnės energinio naudingumo klasės: pastato šildymo ir karšto vandens sistemos atnaujinimas visų paskirčių pastatuose.</w:t>
      </w:r>
    </w:p>
    <w:p w14:paraId="08C18E85" w14:textId="77777777" w:rsidR="007C4A64" w:rsidRPr="00650EE4" w:rsidRDefault="007C4A64" w:rsidP="007C4A64">
      <w:pPr>
        <w:pStyle w:val="BodyText"/>
        <w:numPr>
          <w:ilvl w:val="0"/>
          <w:numId w:val="9"/>
        </w:numPr>
        <w:spacing w:before="120" w:after="60"/>
        <w:ind w:left="714" w:hanging="3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 ir A++ energinio naudingumo klasės: Vėdinimo sistemos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įrengimas administracinės, mokslo, gydymo, prekybos, kultūros, viešbučių ir paslaugų paskirties pastatuose.</w:t>
      </w:r>
    </w:p>
    <w:p w14:paraId="04852DE8" w14:textId="77777777" w:rsidR="007C4A64" w:rsidRPr="00650EE4" w:rsidRDefault="007C4A64" w:rsidP="007C4A64">
      <w:pPr>
        <w:pStyle w:val="BodyText"/>
        <w:numPr>
          <w:ilvl w:val="0"/>
          <w:numId w:val="9"/>
        </w:numPr>
        <w:spacing w:before="120"/>
        <w:ind w:left="714" w:hanging="3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 energinio naudingumo klasė: Vėdinimo sistemos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įrengimas visų paskirčių pastatuose; šilumos siurblio ir fotovoltinių saulės elementų įrengimas administracinės, mokslo, gydymo, prekybos, kultūros, viešbučių ir paslaugų paskirties pastatuose.</w:t>
      </w:r>
    </w:p>
    <w:p w14:paraId="043EC97E" w14:textId="77777777" w:rsidR="007C4A64" w:rsidRPr="00650EE4" w:rsidRDefault="007C4A64" w:rsidP="007C4A64">
      <w:pPr>
        <w:spacing w:line="240" w:lineRule="auto"/>
        <w:jc w:val="both"/>
        <w:rPr>
          <w:rFonts w:ascii="Times New Roman" w:hAnsi="Times New Roman"/>
          <w:color w:val="000000" w:themeColor="text1"/>
          <w:szCs w:val="22"/>
        </w:rPr>
      </w:pPr>
    </w:p>
    <w:p w14:paraId="069E2C35" w14:textId="699A3424" w:rsidR="00CA6415" w:rsidRPr="00650EE4" w:rsidRDefault="004446CD" w:rsidP="004446CD">
      <w:pPr>
        <w:spacing w:after="240"/>
        <w:jc w:val="both"/>
        <w:rPr>
          <w:rFonts w:ascii="Times New Roman" w:hAnsi="Times New Roman"/>
        </w:rPr>
      </w:pPr>
      <w:r>
        <w:rPr>
          <w:rFonts w:ascii="Times New Roman" w:hAnsi="Times New Roman"/>
        </w:rPr>
        <w:t>N</w:t>
      </w:r>
      <w:r w:rsidR="00AB34ED" w:rsidRPr="00650EE4">
        <w:rPr>
          <w:rFonts w:ascii="Times New Roman" w:hAnsi="Times New Roman"/>
        </w:rPr>
        <w:t xml:space="preserve">ors vėdinimo sistemos su </w:t>
      </w:r>
      <w:proofErr w:type="spellStart"/>
      <w:r w:rsidR="00AB34ED" w:rsidRPr="00650EE4">
        <w:rPr>
          <w:rFonts w:ascii="Times New Roman" w:hAnsi="Times New Roman"/>
        </w:rPr>
        <w:t>rekuperacija</w:t>
      </w:r>
      <w:proofErr w:type="spellEnd"/>
      <w:r w:rsidR="00AB34ED" w:rsidRPr="00650EE4">
        <w:rPr>
          <w:rFonts w:ascii="Times New Roman" w:hAnsi="Times New Roman"/>
        </w:rPr>
        <w:t xml:space="preserve"> įrengimas būtinas siekiant A++ energinio naudingumo klasės reikalavimų, rekomenduojama mechaninio vėdinimo sistemas su šilumos atgavimu numatyti ir žemesnės energinio naudingumo klasės pastatuose. Siekiant aukštesnių A, A+ ir A++ energinio naudingumo klasių, didėja pastatų sandarumo reikalavimai, sandariuose pastatuose oras nebegali taip lengvai cirkuliuoti kaip senos statybos pastatuose. Dėl šios priežasties didėja patalpų oro užterštumas, CO2 koncentracija, blogėja žmonių savijauta, darbingumas, sveikata.</w:t>
      </w:r>
    </w:p>
    <w:p w14:paraId="36B48970" w14:textId="77777777" w:rsidR="00F73F9C" w:rsidRDefault="00F73F9C">
      <w:pPr>
        <w:spacing w:after="240"/>
        <w:rPr>
          <w:rFonts w:ascii="Times New Roman" w:eastAsiaTheme="minorHAnsi" w:hAnsi="Times New Roman"/>
          <w:bCs/>
          <w:i/>
          <w:color w:val="000000" w:themeColor="text1"/>
          <w:sz w:val="20"/>
          <w:szCs w:val="20"/>
        </w:rPr>
      </w:pPr>
      <w:r>
        <w:br w:type="page"/>
      </w:r>
    </w:p>
    <w:p w14:paraId="4D558FCD" w14:textId="5BCF31C0" w:rsidR="007C4A64" w:rsidRPr="00650EE4" w:rsidRDefault="007C4A64"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90" w:name="_Toc67925217"/>
      <w:r w:rsidR="007744C1">
        <w:t>34</w:t>
      </w:r>
      <w:r w:rsidRPr="00650EE4">
        <w:rPr>
          <w:noProof w:val="0"/>
        </w:rPr>
        <w:fldChar w:fldCharType="end"/>
      </w:r>
      <w:r w:rsidRPr="00650EE4">
        <w:rPr>
          <w:noProof w:val="0"/>
        </w:rPr>
        <w:t xml:space="preserve"> lentelė. Pirminis renovacijos priemonių paketų sąrašas</w:t>
      </w:r>
      <w:bookmarkEnd w:id="90"/>
    </w:p>
    <w:tbl>
      <w:tblPr>
        <w:tblStyle w:val="TableGrid"/>
        <w:tblW w:w="0" w:type="auto"/>
        <w:tblLook w:val="04A0" w:firstRow="1" w:lastRow="0" w:firstColumn="1" w:lastColumn="0" w:noHBand="0" w:noVBand="1"/>
      </w:tblPr>
      <w:tblGrid>
        <w:gridCol w:w="988"/>
        <w:gridCol w:w="9206"/>
      </w:tblGrid>
      <w:tr w:rsidR="004F0624" w:rsidRPr="00650EE4" w14:paraId="13B1A770" w14:textId="77777777" w:rsidTr="00064053">
        <w:tc>
          <w:tcPr>
            <w:tcW w:w="988" w:type="dxa"/>
            <w:vAlign w:val="center"/>
          </w:tcPr>
          <w:p w14:paraId="5DAD214D" w14:textId="7179226A" w:rsidR="004F0624" w:rsidRPr="00650EE4" w:rsidRDefault="004F0624" w:rsidP="00631BA6">
            <w:pPr>
              <w:pStyle w:val="TESlentelspavadinimas"/>
              <w:rPr>
                <w:noProof w:val="0"/>
              </w:rPr>
            </w:pPr>
            <w:r w:rsidRPr="00650EE4">
              <w:rPr>
                <w:noProof w:val="0"/>
              </w:rPr>
              <w:t>Eil. Nr.</w:t>
            </w:r>
          </w:p>
        </w:tc>
        <w:tc>
          <w:tcPr>
            <w:tcW w:w="9206" w:type="dxa"/>
            <w:vAlign w:val="center"/>
          </w:tcPr>
          <w:p w14:paraId="55E37FFB" w14:textId="4F2A2A94" w:rsidR="004F0624" w:rsidRPr="00650EE4" w:rsidRDefault="004F0624" w:rsidP="00631BA6">
            <w:pPr>
              <w:pStyle w:val="TESlentelspavadinimas"/>
              <w:rPr>
                <w:noProof w:val="0"/>
              </w:rPr>
            </w:pPr>
            <w:r w:rsidRPr="00650EE4">
              <w:rPr>
                <w:noProof w:val="0"/>
              </w:rPr>
              <w:t>Renovacijos priemonių paketas</w:t>
            </w:r>
          </w:p>
        </w:tc>
      </w:tr>
      <w:tr w:rsidR="004F0624" w:rsidRPr="00650EE4" w14:paraId="02480204" w14:textId="77777777" w:rsidTr="00C437DC">
        <w:tc>
          <w:tcPr>
            <w:tcW w:w="988" w:type="dxa"/>
            <w:vAlign w:val="center"/>
          </w:tcPr>
          <w:p w14:paraId="217132B4" w14:textId="1FB0432A" w:rsidR="004F0624" w:rsidRPr="00650EE4" w:rsidRDefault="004F0624" w:rsidP="00631BA6">
            <w:pPr>
              <w:pStyle w:val="TESlentelspavadinimas"/>
              <w:rPr>
                <w:noProof w:val="0"/>
              </w:rPr>
            </w:pPr>
            <w:r w:rsidRPr="00650EE4">
              <w:rPr>
                <w:noProof w:val="0"/>
              </w:rPr>
              <w:t>1.</w:t>
            </w:r>
          </w:p>
        </w:tc>
        <w:tc>
          <w:tcPr>
            <w:tcW w:w="9206" w:type="dxa"/>
            <w:vAlign w:val="center"/>
          </w:tcPr>
          <w:p w14:paraId="0EB2F404" w14:textId="480D5C1A" w:rsidR="004F0624" w:rsidRPr="00650EE4" w:rsidRDefault="004F0624" w:rsidP="00631BA6">
            <w:pPr>
              <w:pStyle w:val="TESlentelspavadinimas"/>
              <w:rPr>
                <w:noProof w:val="0"/>
              </w:rPr>
            </w:pPr>
            <w:r w:rsidRPr="00650EE4">
              <w:rPr>
                <w:noProof w:val="0"/>
              </w:rPr>
              <w:t>C klasė</w:t>
            </w:r>
          </w:p>
        </w:tc>
      </w:tr>
      <w:tr w:rsidR="004F0624" w:rsidRPr="00650EE4" w14:paraId="41F0657C" w14:textId="77777777" w:rsidTr="00C437DC">
        <w:tc>
          <w:tcPr>
            <w:tcW w:w="988" w:type="dxa"/>
            <w:vAlign w:val="center"/>
          </w:tcPr>
          <w:p w14:paraId="1F820EA6" w14:textId="439333FA" w:rsidR="004F0624" w:rsidRPr="00650EE4" w:rsidRDefault="004F0624" w:rsidP="00631BA6">
            <w:pPr>
              <w:pStyle w:val="TESlentelspavadinimas"/>
              <w:rPr>
                <w:noProof w:val="0"/>
              </w:rPr>
            </w:pPr>
            <w:r w:rsidRPr="00650EE4">
              <w:rPr>
                <w:noProof w:val="0"/>
              </w:rPr>
              <w:t>2.</w:t>
            </w:r>
          </w:p>
        </w:tc>
        <w:tc>
          <w:tcPr>
            <w:tcW w:w="9206" w:type="dxa"/>
            <w:vAlign w:val="bottom"/>
          </w:tcPr>
          <w:p w14:paraId="5B78BCD0" w14:textId="013DD232" w:rsidR="004F0624" w:rsidRPr="00650EE4" w:rsidRDefault="004F0624" w:rsidP="00631BA6">
            <w:pPr>
              <w:pStyle w:val="TESlentelspavadinimas"/>
              <w:rPr>
                <w:noProof w:val="0"/>
              </w:rPr>
            </w:pPr>
            <w:r w:rsidRPr="00650EE4">
              <w:rPr>
                <w:noProof w:val="0"/>
              </w:rPr>
              <w:t>C klasė + Šilumos siurblys</w:t>
            </w:r>
          </w:p>
        </w:tc>
      </w:tr>
      <w:tr w:rsidR="004F0624" w:rsidRPr="00650EE4" w14:paraId="3F4040F4" w14:textId="77777777" w:rsidTr="00C437DC">
        <w:tc>
          <w:tcPr>
            <w:tcW w:w="988" w:type="dxa"/>
            <w:vAlign w:val="center"/>
          </w:tcPr>
          <w:p w14:paraId="3E720B6E" w14:textId="3BB56982" w:rsidR="004F0624" w:rsidRPr="00650EE4" w:rsidRDefault="004F0624" w:rsidP="00631BA6">
            <w:pPr>
              <w:pStyle w:val="TESlentelspavadinimas"/>
              <w:rPr>
                <w:noProof w:val="0"/>
              </w:rPr>
            </w:pPr>
            <w:r w:rsidRPr="00650EE4">
              <w:rPr>
                <w:noProof w:val="0"/>
              </w:rPr>
              <w:t>3.</w:t>
            </w:r>
          </w:p>
        </w:tc>
        <w:tc>
          <w:tcPr>
            <w:tcW w:w="9206" w:type="dxa"/>
            <w:vAlign w:val="bottom"/>
          </w:tcPr>
          <w:p w14:paraId="382D5C72" w14:textId="399D738C" w:rsidR="004F0624" w:rsidRPr="00650EE4" w:rsidRDefault="004F0624" w:rsidP="00631BA6">
            <w:pPr>
              <w:pStyle w:val="TESlentelspavadinimas"/>
              <w:rPr>
                <w:noProof w:val="0"/>
              </w:rPr>
            </w:pPr>
            <w:r w:rsidRPr="00650EE4">
              <w:rPr>
                <w:noProof w:val="0"/>
              </w:rPr>
              <w:t>C klasė + Šilumos siurblys + Fotovoltiniai (FV) saulės elementai</w:t>
            </w:r>
          </w:p>
        </w:tc>
      </w:tr>
      <w:tr w:rsidR="004F0624" w:rsidRPr="00650EE4" w14:paraId="16AAD4B4" w14:textId="77777777" w:rsidTr="00C437DC">
        <w:tc>
          <w:tcPr>
            <w:tcW w:w="988" w:type="dxa"/>
            <w:vAlign w:val="center"/>
          </w:tcPr>
          <w:p w14:paraId="1F08ABAE" w14:textId="6866A690" w:rsidR="004F0624" w:rsidRPr="00650EE4" w:rsidRDefault="004F0624" w:rsidP="00631BA6">
            <w:pPr>
              <w:pStyle w:val="TESlentelspavadinimas"/>
              <w:rPr>
                <w:noProof w:val="0"/>
              </w:rPr>
            </w:pPr>
            <w:r w:rsidRPr="00650EE4">
              <w:rPr>
                <w:noProof w:val="0"/>
              </w:rPr>
              <w:t>4.</w:t>
            </w:r>
          </w:p>
        </w:tc>
        <w:tc>
          <w:tcPr>
            <w:tcW w:w="9206" w:type="dxa"/>
            <w:vAlign w:val="center"/>
          </w:tcPr>
          <w:p w14:paraId="2AAF004A" w14:textId="4510C0F2" w:rsidR="004F0624" w:rsidRPr="00650EE4" w:rsidRDefault="004F0624" w:rsidP="00631BA6">
            <w:pPr>
              <w:pStyle w:val="TESlentelspavadinimas"/>
              <w:rPr>
                <w:noProof w:val="0"/>
              </w:rPr>
            </w:pPr>
            <w:r w:rsidRPr="00650EE4">
              <w:rPr>
                <w:noProof w:val="0"/>
              </w:rPr>
              <w:t>B klasė</w:t>
            </w:r>
          </w:p>
        </w:tc>
      </w:tr>
      <w:tr w:rsidR="004F0624" w:rsidRPr="00650EE4" w14:paraId="16924B62" w14:textId="77777777" w:rsidTr="00C437DC">
        <w:tc>
          <w:tcPr>
            <w:tcW w:w="988" w:type="dxa"/>
            <w:vAlign w:val="center"/>
          </w:tcPr>
          <w:p w14:paraId="32AEAB3F" w14:textId="2EC6ED90" w:rsidR="004F0624" w:rsidRPr="00650EE4" w:rsidRDefault="004F0624" w:rsidP="00631BA6">
            <w:pPr>
              <w:pStyle w:val="TESlentelspavadinimas"/>
              <w:rPr>
                <w:noProof w:val="0"/>
              </w:rPr>
            </w:pPr>
            <w:r w:rsidRPr="00650EE4">
              <w:rPr>
                <w:noProof w:val="0"/>
              </w:rPr>
              <w:t>5.</w:t>
            </w:r>
          </w:p>
        </w:tc>
        <w:tc>
          <w:tcPr>
            <w:tcW w:w="9206" w:type="dxa"/>
            <w:vAlign w:val="bottom"/>
          </w:tcPr>
          <w:p w14:paraId="71EC7004" w14:textId="20948B80" w:rsidR="004F0624" w:rsidRPr="00650EE4" w:rsidRDefault="004F0624" w:rsidP="00631BA6">
            <w:pPr>
              <w:pStyle w:val="TESlentelspavadinimas"/>
              <w:rPr>
                <w:noProof w:val="0"/>
              </w:rPr>
            </w:pPr>
            <w:r w:rsidRPr="00650EE4">
              <w:rPr>
                <w:noProof w:val="0"/>
              </w:rPr>
              <w:t>B klasė + Šilumos siurblys</w:t>
            </w:r>
          </w:p>
        </w:tc>
      </w:tr>
      <w:tr w:rsidR="004F0624" w:rsidRPr="00650EE4" w14:paraId="4E73F453" w14:textId="77777777" w:rsidTr="00C437DC">
        <w:tc>
          <w:tcPr>
            <w:tcW w:w="988" w:type="dxa"/>
            <w:vAlign w:val="center"/>
          </w:tcPr>
          <w:p w14:paraId="0562A0E2" w14:textId="7DB86D56" w:rsidR="004F0624" w:rsidRPr="00650EE4" w:rsidRDefault="004F0624" w:rsidP="00631BA6">
            <w:pPr>
              <w:pStyle w:val="TESlentelspavadinimas"/>
              <w:rPr>
                <w:noProof w:val="0"/>
              </w:rPr>
            </w:pPr>
            <w:r w:rsidRPr="00650EE4">
              <w:rPr>
                <w:noProof w:val="0"/>
              </w:rPr>
              <w:t>6.</w:t>
            </w:r>
          </w:p>
        </w:tc>
        <w:tc>
          <w:tcPr>
            <w:tcW w:w="9206" w:type="dxa"/>
            <w:vAlign w:val="bottom"/>
          </w:tcPr>
          <w:p w14:paraId="33C2AD02" w14:textId="27477328" w:rsidR="004F0624" w:rsidRPr="00650EE4" w:rsidRDefault="004F0624" w:rsidP="00631BA6">
            <w:pPr>
              <w:pStyle w:val="TESlentelspavadinimas"/>
              <w:rPr>
                <w:noProof w:val="0"/>
              </w:rPr>
            </w:pPr>
            <w:r w:rsidRPr="00650EE4">
              <w:rPr>
                <w:noProof w:val="0"/>
              </w:rPr>
              <w:t>B klasė + Šilumos siurblys + Fotovoltiniai (FV) saulės elementai</w:t>
            </w:r>
          </w:p>
        </w:tc>
      </w:tr>
      <w:tr w:rsidR="004F0624" w:rsidRPr="00650EE4" w14:paraId="5DD9AD68" w14:textId="77777777" w:rsidTr="00C437DC">
        <w:tc>
          <w:tcPr>
            <w:tcW w:w="988" w:type="dxa"/>
            <w:vAlign w:val="center"/>
          </w:tcPr>
          <w:p w14:paraId="6429CD9F" w14:textId="7B198332" w:rsidR="004F0624" w:rsidRPr="00650EE4" w:rsidRDefault="004F0624" w:rsidP="00631BA6">
            <w:pPr>
              <w:pStyle w:val="TESlentelspavadinimas"/>
              <w:rPr>
                <w:noProof w:val="0"/>
              </w:rPr>
            </w:pPr>
            <w:r w:rsidRPr="00650EE4">
              <w:rPr>
                <w:noProof w:val="0"/>
              </w:rPr>
              <w:t>7.</w:t>
            </w:r>
          </w:p>
        </w:tc>
        <w:tc>
          <w:tcPr>
            <w:tcW w:w="9206" w:type="dxa"/>
            <w:vAlign w:val="center"/>
          </w:tcPr>
          <w:p w14:paraId="32C22A33" w14:textId="1CCB01D0" w:rsidR="004F0624" w:rsidRPr="00650EE4" w:rsidRDefault="004F0624" w:rsidP="00631BA6">
            <w:pPr>
              <w:pStyle w:val="TESlentelspavadinimas"/>
              <w:rPr>
                <w:noProof w:val="0"/>
              </w:rPr>
            </w:pPr>
            <w:r w:rsidRPr="00650EE4">
              <w:rPr>
                <w:noProof w:val="0"/>
              </w:rPr>
              <w:t>A klasė</w:t>
            </w:r>
          </w:p>
        </w:tc>
      </w:tr>
      <w:tr w:rsidR="004F0624" w:rsidRPr="00650EE4" w14:paraId="09D812B8" w14:textId="77777777" w:rsidTr="00C437DC">
        <w:tc>
          <w:tcPr>
            <w:tcW w:w="988" w:type="dxa"/>
            <w:vAlign w:val="center"/>
          </w:tcPr>
          <w:p w14:paraId="71C52241" w14:textId="33114ABA" w:rsidR="004F0624" w:rsidRPr="00650EE4" w:rsidRDefault="004F0624" w:rsidP="00631BA6">
            <w:pPr>
              <w:pStyle w:val="TESlentelspavadinimas"/>
              <w:rPr>
                <w:noProof w:val="0"/>
              </w:rPr>
            </w:pPr>
            <w:r w:rsidRPr="00650EE4">
              <w:rPr>
                <w:noProof w:val="0"/>
              </w:rPr>
              <w:t>8.</w:t>
            </w:r>
          </w:p>
        </w:tc>
        <w:tc>
          <w:tcPr>
            <w:tcW w:w="9206" w:type="dxa"/>
            <w:vAlign w:val="bottom"/>
          </w:tcPr>
          <w:p w14:paraId="32BFF99F" w14:textId="396C83F5" w:rsidR="004F0624" w:rsidRPr="00650EE4" w:rsidRDefault="004F0624" w:rsidP="00631BA6">
            <w:pPr>
              <w:pStyle w:val="TESlentelspavadinimas"/>
              <w:rPr>
                <w:noProof w:val="0"/>
              </w:rPr>
            </w:pPr>
            <w:r w:rsidRPr="00650EE4">
              <w:rPr>
                <w:noProof w:val="0"/>
              </w:rPr>
              <w:t>A klasė + Šilumos siurblys</w:t>
            </w:r>
          </w:p>
        </w:tc>
      </w:tr>
      <w:tr w:rsidR="004F0624" w:rsidRPr="00650EE4" w14:paraId="12E6B664" w14:textId="77777777" w:rsidTr="00C437DC">
        <w:tc>
          <w:tcPr>
            <w:tcW w:w="988" w:type="dxa"/>
            <w:vAlign w:val="center"/>
          </w:tcPr>
          <w:p w14:paraId="386DF7C7" w14:textId="130F254C" w:rsidR="004F0624" w:rsidRPr="00650EE4" w:rsidRDefault="004F0624" w:rsidP="00631BA6">
            <w:pPr>
              <w:pStyle w:val="TESlentelspavadinimas"/>
              <w:rPr>
                <w:noProof w:val="0"/>
              </w:rPr>
            </w:pPr>
            <w:r w:rsidRPr="00650EE4">
              <w:rPr>
                <w:noProof w:val="0"/>
              </w:rPr>
              <w:t>9.</w:t>
            </w:r>
          </w:p>
        </w:tc>
        <w:tc>
          <w:tcPr>
            <w:tcW w:w="9206" w:type="dxa"/>
            <w:vAlign w:val="bottom"/>
          </w:tcPr>
          <w:p w14:paraId="6DC753CC" w14:textId="47169F8A" w:rsidR="004F0624" w:rsidRPr="00650EE4" w:rsidRDefault="004F0624" w:rsidP="00631BA6">
            <w:pPr>
              <w:pStyle w:val="TESlentelspavadinimas"/>
              <w:rPr>
                <w:noProof w:val="0"/>
              </w:rPr>
            </w:pPr>
            <w:r w:rsidRPr="00650EE4">
              <w:rPr>
                <w:noProof w:val="0"/>
              </w:rPr>
              <w:t>A klasė + Šilumos siurblys + Fotovoltiniai (FV) saulės elementai</w:t>
            </w:r>
          </w:p>
        </w:tc>
      </w:tr>
      <w:tr w:rsidR="004F0624" w:rsidRPr="00650EE4" w14:paraId="42392621" w14:textId="77777777" w:rsidTr="00C437DC">
        <w:tc>
          <w:tcPr>
            <w:tcW w:w="988" w:type="dxa"/>
            <w:vAlign w:val="center"/>
          </w:tcPr>
          <w:p w14:paraId="1CE00A81" w14:textId="49F33D2F" w:rsidR="004F0624" w:rsidRPr="00650EE4" w:rsidRDefault="004F0624" w:rsidP="00631BA6">
            <w:pPr>
              <w:pStyle w:val="TESlentelspavadinimas"/>
              <w:rPr>
                <w:noProof w:val="0"/>
              </w:rPr>
            </w:pPr>
            <w:r w:rsidRPr="00650EE4">
              <w:rPr>
                <w:noProof w:val="0"/>
              </w:rPr>
              <w:t>10.</w:t>
            </w:r>
          </w:p>
        </w:tc>
        <w:tc>
          <w:tcPr>
            <w:tcW w:w="9206" w:type="dxa"/>
            <w:vAlign w:val="center"/>
          </w:tcPr>
          <w:p w14:paraId="59FFB7C0" w14:textId="137F1BEE" w:rsidR="004F0624" w:rsidRPr="00650EE4" w:rsidRDefault="004F0624" w:rsidP="00631BA6">
            <w:pPr>
              <w:pStyle w:val="TESlentelspavadinimas"/>
              <w:rPr>
                <w:noProof w:val="0"/>
              </w:rPr>
            </w:pPr>
            <w:r w:rsidRPr="00650EE4">
              <w:rPr>
                <w:noProof w:val="0"/>
              </w:rPr>
              <w:t>A+ klasė</w:t>
            </w:r>
          </w:p>
        </w:tc>
      </w:tr>
      <w:tr w:rsidR="004F0624" w:rsidRPr="00650EE4" w14:paraId="23FB5D49" w14:textId="77777777" w:rsidTr="00C437DC">
        <w:tc>
          <w:tcPr>
            <w:tcW w:w="988" w:type="dxa"/>
            <w:vAlign w:val="center"/>
          </w:tcPr>
          <w:p w14:paraId="19B1D599" w14:textId="0E5F2380" w:rsidR="004F0624" w:rsidRPr="00650EE4" w:rsidRDefault="004F0624" w:rsidP="00631BA6">
            <w:pPr>
              <w:pStyle w:val="TESlentelspavadinimas"/>
              <w:rPr>
                <w:noProof w:val="0"/>
              </w:rPr>
            </w:pPr>
            <w:r w:rsidRPr="00650EE4">
              <w:rPr>
                <w:noProof w:val="0"/>
              </w:rPr>
              <w:t>11.</w:t>
            </w:r>
          </w:p>
        </w:tc>
        <w:tc>
          <w:tcPr>
            <w:tcW w:w="9206" w:type="dxa"/>
            <w:vAlign w:val="bottom"/>
          </w:tcPr>
          <w:p w14:paraId="565C0A13" w14:textId="72E19527" w:rsidR="004F0624" w:rsidRPr="00650EE4" w:rsidRDefault="004F0624" w:rsidP="00631BA6">
            <w:pPr>
              <w:pStyle w:val="TESlentelspavadinimas"/>
              <w:rPr>
                <w:noProof w:val="0"/>
              </w:rPr>
            </w:pPr>
            <w:r w:rsidRPr="00650EE4">
              <w:rPr>
                <w:noProof w:val="0"/>
              </w:rPr>
              <w:t>A+ klasė + Šilumos siurblys</w:t>
            </w:r>
          </w:p>
        </w:tc>
      </w:tr>
      <w:tr w:rsidR="004F0624" w:rsidRPr="00650EE4" w14:paraId="15FBAD4B" w14:textId="77777777" w:rsidTr="00C437DC">
        <w:tc>
          <w:tcPr>
            <w:tcW w:w="988" w:type="dxa"/>
            <w:vAlign w:val="center"/>
          </w:tcPr>
          <w:p w14:paraId="15F90F99" w14:textId="5323E716" w:rsidR="004F0624" w:rsidRPr="00650EE4" w:rsidRDefault="004F0624" w:rsidP="00631BA6">
            <w:pPr>
              <w:pStyle w:val="TESlentelspavadinimas"/>
              <w:rPr>
                <w:noProof w:val="0"/>
              </w:rPr>
            </w:pPr>
            <w:r w:rsidRPr="00650EE4">
              <w:rPr>
                <w:noProof w:val="0"/>
              </w:rPr>
              <w:t>12.</w:t>
            </w:r>
          </w:p>
        </w:tc>
        <w:tc>
          <w:tcPr>
            <w:tcW w:w="9206" w:type="dxa"/>
            <w:vAlign w:val="bottom"/>
          </w:tcPr>
          <w:p w14:paraId="0ED82B24" w14:textId="236522D1" w:rsidR="004F0624" w:rsidRPr="00650EE4" w:rsidRDefault="004F0624" w:rsidP="00631BA6">
            <w:pPr>
              <w:pStyle w:val="TESlentelspavadinimas"/>
              <w:rPr>
                <w:noProof w:val="0"/>
              </w:rPr>
            </w:pPr>
            <w:r w:rsidRPr="00650EE4">
              <w:rPr>
                <w:noProof w:val="0"/>
              </w:rPr>
              <w:t>A+ klasė + Šilumos siurblys + Fotovoltiniai (FV) saulės elementai</w:t>
            </w:r>
          </w:p>
        </w:tc>
      </w:tr>
      <w:tr w:rsidR="004F0624" w:rsidRPr="00650EE4" w14:paraId="3D64F10D" w14:textId="77777777" w:rsidTr="00C437DC">
        <w:tc>
          <w:tcPr>
            <w:tcW w:w="988" w:type="dxa"/>
            <w:vAlign w:val="center"/>
          </w:tcPr>
          <w:p w14:paraId="482B5072" w14:textId="79F56E02" w:rsidR="004F0624" w:rsidRPr="00650EE4" w:rsidRDefault="004F0624" w:rsidP="00631BA6">
            <w:pPr>
              <w:pStyle w:val="TESlentelspavadinimas"/>
              <w:rPr>
                <w:noProof w:val="0"/>
              </w:rPr>
            </w:pPr>
            <w:r w:rsidRPr="00650EE4">
              <w:rPr>
                <w:noProof w:val="0"/>
              </w:rPr>
              <w:t>13.</w:t>
            </w:r>
          </w:p>
        </w:tc>
        <w:tc>
          <w:tcPr>
            <w:tcW w:w="9206" w:type="dxa"/>
            <w:vAlign w:val="center"/>
          </w:tcPr>
          <w:p w14:paraId="40BA1283" w14:textId="578A4ADF" w:rsidR="004F0624" w:rsidRPr="00650EE4" w:rsidRDefault="004F0624" w:rsidP="00631BA6">
            <w:pPr>
              <w:pStyle w:val="TESlentelspavadinimas"/>
              <w:rPr>
                <w:noProof w:val="0"/>
              </w:rPr>
            </w:pPr>
            <w:r w:rsidRPr="00650EE4">
              <w:rPr>
                <w:noProof w:val="0"/>
              </w:rPr>
              <w:t>A++ klasė</w:t>
            </w:r>
          </w:p>
        </w:tc>
      </w:tr>
      <w:tr w:rsidR="004F0624" w:rsidRPr="00650EE4" w14:paraId="22333A85" w14:textId="77777777" w:rsidTr="00C437DC">
        <w:tc>
          <w:tcPr>
            <w:tcW w:w="988" w:type="dxa"/>
            <w:vAlign w:val="center"/>
          </w:tcPr>
          <w:p w14:paraId="2B33C0F2" w14:textId="6F67287F" w:rsidR="004F0624" w:rsidRPr="00650EE4" w:rsidRDefault="004F0624" w:rsidP="00631BA6">
            <w:pPr>
              <w:pStyle w:val="TESlentelspavadinimas"/>
              <w:rPr>
                <w:noProof w:val="0"/>
              </w:rPr>
            </w:pPr>
            <w:r w:rsidRPr="00650EE4">
              <w:rPr>
                <w:noProof w:val="0"/>
              </w:rPr>
              <w:t>14.</w:t>
            </w:r>
          </w:p>
        </w:tc>
        <w:tc>
          <w:tcPr>
            <w:tcW w:w="9206" w:type="dxa"/>
            <w:vAlign w:val="bottom"/>
          </w:tcPr>
          <w:p w14:paraId="7B7DBFC7" w14:textId="63898805" w:rsidR="004F0624" w:rsidRPr="00650EE4" w:rsidRDefault="004F0624" w:rsidP="00631BA6">
            <w:pPr>
              <w:pStyle w:val="TESlentelspavadinimas"/>
              <w:rPr>
                <w:noProof w:val="0"/>
              </w:rPr>
            </w:pPr>
            <w:r w:rsidRPr="00650EE4">
              <w:rPr>
                <w:noProof w:val="0"/>
              </w:rPr>
              <w:t>A++ klasė + Šilumos siurblys</w:t>
            </w:r>
          </w:p>
        </w:tc>
      </w:tr>
      <w:tr w:rsidR="004F0624" w:rsidRPr="00650EE4" w14:paraId="4674EBFB" w14:textId="77777777" w:rsidTr="00C437DC">
        <w:tc>
          <w:tcPr>
            <w:tcW w:w="988" w:type="dxa"/>
            <w:vAlign w:val="center"/>
          </w:tcPr>
          <w:p w14:paraId="52706AB8" w14:textId="2E3419A2" w:rsidR="004F0624" w:rsidRPr="00650EE4" w:rsidRDefault="004F0624" w:rsidP="00631BA6">
            <w:pPr>
              <w:pStyle w:val="TESlentelspavadinimas"/>
              <w:rPr>
                <w:noProof w:val="0"/>
              </w:rPr>
            </w:pPr>
            <w:r w:rsidRPr="00650EE4">
              <w:rPr>
                <w:noProof w:val="0"/>
              </w:rPr>
              <w:t>15.</w:t>
            </w:r>
          </w:p>
        </w:tc>
        <w:tc>
          <w:tcPr>
            <w:tcW w:w="9206" w:type="dxa"/>
            <w:vAlign w:val="bottom"/>
          </w:tcPr>
          <w:p w14:paraId="3DBAE877" w14:textId="1FC83252" w:rsidR="004F0624" w:rsidRPr="00650EE4" w:rsidRDefault="004F0624" w:rsidP="00631BA6">
            <w:pPr>
              <w:pStyle w:val="TESlentelspavadinimas"/>
              <w:rPr>
                <w:noProof w:val="0"/>
              </w:rPr>
            </w:pPr>
            <w:r w:rsidRPr="00650EE4">
              <w:rPr>
                <w:noProof w:val="0"/>
              </w:rPr>
              <w:t>A++ klasė + Šilumos siurblys + Fotovoltiniai (FV) saulės elementai</w:t>
            </w:r>
          </w:p>
        </w:tc>
      </w:tr>
    </w:tbl>
    <w:p w14:paraId="675A66A3" w14:textId="141F30A4" w:rsidR="007C4A64" w:rsidRPr="00650EE4" w:rsidRDefault="007C4A64" w:rsidP="007C4A64">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0"/>
        </w:rPr>
        <w:t>autoriai.</w:t>
      </w:r>
    </w:p>
    <w:p w14:paraId="12206ED5" w14:textId="77777777" w:rsidR="007C4A64" w:rsidRPr="00650EE4" w:rsidRDefault="007C4A64" w:rsidP="007C4A64">
      <w:pPr>
        <w:pStyle w:val="Pagrindinispaprastastekstas"/>
        <w:rPr>
          <w:rFonts w:ascii="Times New Roman" w:hAnsi="Times New Roman"/>
          <w:color w:val="000000" w:themeColor="text1"/>
          <w:szCs w:val="22"/>
        </w:rPr>
      </w:pPr>
    </w:p>
    <w:p w14:paraId="01489F46" w14:textId="77777777" w:rsidR="007C4A64" w:rsidRPr="00650EE4" w:rsidRDefault="007C4A64" w:rsidP="007C4A64">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Papildomai, siekiant įvertinti dalinės renovacijos efektyvumą, suformuoti 4 dalinės renovacijos paketai:</w:t>
      </w:r>
    </w:p>
    <w:p w14:paraId="5A12F541" w14:textId="4D378A56"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m</w:t>
      </w:r>
      <w:r w:rsidR="007C4A64" w:rsidRPr="00650EE4">
        <w:rPr>
          <w:rFonts w:ascii="Times New Roman" w:hAnsi="Times New Roman"/>
          <w:color w:val="000000" w:themeColor="text1"/>
          <w:szCs w:val="22"/>
          <w:lang w:val="lt-LT"/>
        </w:rPr>
        <w:t>ažoji renovacija: šildymo ir karšto vandens sistemų modernizavimas;</w:t>
      </w:r>
    </w:p>
    <w:p w14:paraId="24579AA1" w14:textId="5F959C09"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f</w:t>
      </w:r>
      <w:r w:rsidR="007C4A64" w:rsidRPr="00650EE4">
        <w:rPr>
          <w:rFonts w:ascii="Times New Roman" w:hAnsi="Times New Roman"/>
          <w:color w:val="000000" w:themeColor="text1"/>
          <w:szCs w:val="22"/>
          <w:lang w:val="lt-LT"/>
        </w:rPr>
        <w:t>asado šiltinimas (iki C energinio naudingumo klasės reikšmių);</w:t>
      </w:r>
    </w:p>
    <w:p w14:paraId="4FD3D387" w14:textId="74544E74"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s</w:t>
      </w:r>
      <w:r w:rsidR="007C4A64" w:rsidRPr="00650EE4">
        <w:rPr>
          <w:rFonts w:ascii="Times New Roman" w:hAnsi="Times New Roman"/>
          <w:color w:val="000000" w:themeColor="text1"/>
          <w:szCs w:val="22"/>
          <w:lang w:val="lt-LT"/>
        </w:rPr>
        <w:t>togo perdangos šiltinimas (iki C energinio naudingumo klasės reikšmių);</w:t>
      </w:r>
    </w:p>
    <w:p w14:paraId="0C66AEFF" w14:textId="3E570FA1"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l</w:t>
      </w:r>
      <w:r w:rsidR="007C4A64" w:rsidRPr="00650EE4">
        <w:rPr>
          <w:rFonts w:ascii="Times New Roman" w:hAnsi="Times New Roman"/>
          <w:color w:val="000000" w:themeColor="text1"/>
          <w:szCs w:val="22"/>
          <w:lang w:val="lt-LT"/>
        </w:rPr>
        <w:t>angų keitimas (iki C energinio naudingumo klasės reikšmių).</w:t>
      </w:r>
    </w:p>
    <w:p w14:paraId="5A543504" w14:textId="77777777" w:rsidR="007C4A64" w:rsidRPr="00650EE4" w:rsidRDefault="007C4A64" w:rsidP="007C4A64">
      <w:pPr>
        <w:rPr>
          <w:rFonts w:ascii="Times New Roman" w:hAnsi="Times New Roman"/>
          <w:szCs w:val="22"/>
          <w:lang w:eastAsia="lt-LT"/>
        </w:rPr>
      </w:pPr>
    </w:p>
    <w:p w14:paraId="6B82C61F" w14:textId="77777777" w:rsidR="007C4A64" w:rsidRPr="00650EE4" w:rsidRDefault="007C4A64" w:rsidP="007C4A64">
      <w:pPr>
        <w:shd w:val="clear" w:color="auto" w:fill="FFFFFF"/>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Mažosios renovacijos paketą sudaro:</w:t>
      </w:r>
    </w:p>
    <w:p w14:paraId="12F79424" w14:textId="5CDE6F06"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7C4A64" w:rsidRPr="00650EE4">
        <w:rPr>
          <w:rFonts w:ascii="Times New Roman" w:hAnsi="Times New Roman"/>
          <w:color w:val="000000" w:themeColor="text1"/>
          <w:szCs w:val="22"/>
          <w:lang w:val="lt-LT"/>
        </w:rPr>
        <w:t xml:space="preserve">enų </w:t>
      </w:r>
      <w:proofErr w:type="spellStart"/>
      <w:r w:rsidR="007C4A64" w:rsidRPr="00650EE4">
        <w:rPr>
          <w:rFonts w:ascii="Times New Roman" w:hAnsi="Times New Roman"/>
          <w:color w:val="000000" w:themeColor="text1"/>
          <w:szCs w:val="22"/>
          <w:lang w:val="lt-LT"/>
        </w:rPr>
        <w:t>elevatorinių</w:t>
      </w:r>
      <w:proofErr w:type="spellEnd"/>
      <w:r w:rsidR="007C4A64" w:rsidRPr="00650EE4">
        <w:rPr>
          <w:rFonts w:ascii="Times New Roman" w:hAnsi="Times New Roman"/>
          <w:color w:val="000000" w:themeColor="text1"/>
          <w:szCs w:val="22"/>
          <w:lang w:val="lt-LT"/>
        </w:rPr>
        <w:t xml:space="preserve"> šilumos punktų keitimas į naujus automatizuotus šilumos punktus ar senų susidėvėjusių automatinių šilumos punktų, kurie automatiškai nepalaiko užduotos karšto vandens temperatūros pastato vidaus karšto vandens tiekimo sistemoje, atnaujinimas;</w:t>
      </w:r>
    </w:p>
    <w:p w14:paraId="3EFAECBD" w14:textId="6FEA788B"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r</w:t>
      </w:r>
      <w:r w:rsidR="007C4A64" w:rsidRPr="00650EE4">
        <w:rPr>
          <w:rFonts w:ascii="Times New Roman" w:hAnsi="Times New Roman"/>
          <w:color w:val="000000" w:themeColor="text1"/>
          <w:szCs w:val="22"/>
          <w:lang w:val="lt-LT"/>
        </w:rPr>
        <w:t xml:space="preserve">adiatorių keitimas, </w:t>
      </w:r>
      <w:proofErr w:type="spellStart"/>
      <w:r w:rsidR="007C4A64" w:rsidRPr="00650EE4">
        <w:rPr>
          <w:rFonts w:ascii="Times New Roman" w:hAnsi="Times New Roman"/>
          <w:color w:val="000000" w:themeColor="text1"/>
          <w:szCs w:val="22"/>
          <w:lang w:val="lt-LT"/>
        </w:rPr>
        <w:t>termostatinių</w:t>
      </w:r>
      <w:proofErr w:type="spellEnd"/>
      <w:r w:rsidR="007C4A64" w:rsidRPr="00650EE4">
        <w:rPr>
          <w:rFonts w:ascii="Times New Roman" w:hAnsi="Times New Roman"/>
          <w:color w:val="000000" w:themeColor="text1"/>
          <w:szCs w:val="22"/>
          <w:lang w:val="lt-LT"/>
        </w:rPr>
        <w:t xml:space="preserve"> ventilių įrengimas, vamzdynų keitimas, individualių šilumos apskaitos prietaisų ar šilumos daliklių sistemos įrengimas, išmaniosios apskaitos įdiegimas;</w:t>
      </w:r>
    </w:p>
    <w:p w14:paraId="3B58E953" w14:textId="7A77E4C7"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007C4A64" w:rsidRPr="00650EE4">
        <w:rPr>
          <w:rFonts w:ascii="Times New Roman" w:hAnsi="Times New Roman"/>
          <w:color w:val="000000" w:themeColor="text1"/>
          <w:szCs w:val="22"/>
          <w:lang w:val="lt-LT"/>
        </w:rPr>
        <w:t>aršto vandens vamzdynų keitimas ir apšiltinimas, karšto vandens ventilių montavimas karšto vandens cirkuliacinės sistemos stovuose, karšto vandens skaitiklių įrengimas, išmaniosios apskaitos įdiegimas;</w:t>
      </w:r>
    </w:p>
    <w:p w14:paraId="5CFBE6BF" w14:textId="1C13CA87"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š</w:t>
      </w:r>
      <w:r w:rsidR="007C4A64" w:rsidRPr="00650EE4">
        <w:rPr>
          <w:rFonts w:ascii="Times New Roman" w:hAnsi="Times New Roman"/>
          <w:color w:val="000000" w:themeColor="text1"/>
          <w:szCs w:val="22"/>
          <w:lang w:val="lt-LT"/>
        </w:rPr>
        <w:t>ildymo ir karšto vandens sistemų balansavimas.</w:t>
      </w:r>
    </w:p>
    <w:p w14:paraId="46D0262C" w14:textId="77777777" w:rsidR="007C4A64" w:rsidRPr="00650EE4" w:rsidRDefault="007C4A64" w:rsidP="007C4A64">
      <w:pPr>
        <w:spacing w:line="240" w:lineRule="auto"/>
        <w:jc w:val="both"/>
        <w:rPr>
          <w:rFonts w:ascii="Times New Roman" w:hAnsi="Times New Roman"/>
          <w:color w:val="000000" w:themeColor="text1"/>
          <w:szCs w:val="22"/>
        </w:rPr>
      </w:pPr>
    </w:p>
    <w:p w14:paraId="3A553855" w14:textId="7E89852B" w:rsidR="007C4A64" w:rsidRPr="00650EE4" w:rsidRDefault="00396E79"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Tam, kad būtų galima nustatyti reikalingas investicijas ir planuojamus energijos sutaupymus s</w:t>
      </w:r>
      <w:r w:rsidR="007C4A64" w:rsidRPr="00650EE4">
        <w:rPr>
          <w:rFonts w:ascii="Times New Roman" w:hAnsi="Times New Roman"/>
          <w:color w:val="000000" w:themeColor="text1"/>
          <w:szCs w:val="22"/>
        </w:rPr>
        <w:t xml:space="preserve">kirtingo </w:t>
      </w:r>
      <w:r w:rsidRPr="00650EE4">
        <w:rPr>
          <w:rFonts w:ascii="Times New Roman" w:hAnsi="Times New Roman"/>
          <w:color w:val="000000" w:themeColor="text1"/>
          <w:szCs w:val="22"/>
        </w:rPr>
        <w:t xml:space="preserve">energinio naudingumo pastatams, </w:t>
      </w:r>
      <w:r w:rsidR="007C4A64" w:rsidRPr="00650EE4">
        <w:rPr>
          <w:rFonts w:ascii="Times New Roman" w:hAnsi="Times New Roman"/>
          <w:color w:val="000000" w:themeColor="text1"/>
          <w:szCs w:val="22"/>
        </w:rPr>
        <w:t>15 pirminių bazinių renovacijos paketų buvo papildomai suskaidyti į 33 galutinius bazinius renovacijos paketus, atsižvelgiant į pastatų, kuriems renovacijos paketai gali būti taikomi, pradines energinio naudingumo klases</w:t>
      </w:r>
      <w:r w:rsidRPr="00650EE4">
        <w:rPr>
          <w:rFonts w:ascii="Times New Roman" w:hAnsi="Times New Roman"/>
          <w:color w:val="000000" w:themeColor="text1"/>
          <w:szCs w:val="22"/>
        </w:rPr>
        <w:t xml:space="preserve"> (pvz. D </w:t>
      </w:r>
      <w:r w:rsidR="00050C2F" w:rsidRPr="00650EE4">
        <w:rPr>
          <w:rFonts w:ascii="Times New Roman" w:hAnsi="Times New Roman"/>
          <w:color w:val="000000" w:themeColor="text1"/>
          <w:szCs w:val="22"/>
        </w:rPr>
        <w:t xml:space="preserve">ir </w:t>
      </w:r>
      <w:r w:rsidRPr="00650EE4">
        <w:rPr>
          <w:rFonts w:ascii="Times New Roman" w:hAnsi="Times New Roman"/>
          <w:color w:val="000000" w:themeColor="text1"/>
          <w:szCs w:val="22"/>
        </w:rPr>
        <w:t>B</w:t>
      </w:r>
      <w:r w:rsidR="00050C2F" w:rsidRPr="00650EE4">
        <w:rPr>
          <w:rFonts w:ascii="Times New Roman" w:hAnsi="Times New Roman"/>
          <w:color w:val="000000" w:themeColor="text1"/>
          <w:szCs w:val="22"/>
        </w:rPr>
        <w:t xml:space="preserve"> energinio naudingumo</w:t>
      </w:r>
      <w:r w:rsidRPr="00650EE4">
        <w:rPr>
          <w:rFonts w:ascii="Times New Roman" w:hAnsi="Times New Roman"/>
          <w:color w:val="000000" w:themeColor="text1"/>
          <w:szCs w:val="22"/>
        </w:rPr>
        <w:t xml:space="preserve"> klas</w:t>
      </w:r>
      <w:r w:rsidR="00050C2F" w:rsidRPr="00650EE4">
        <w:rPr>
          <w:rFonts w:ascii="Times New Roman" w:hAnsi="Times New Roman"/>
          <w:color w:val="000000" w:themeColor="text1"/>
          <w:szCs w:val="22"/>
        </w:rPr>
        <w:t>ių</w:t>
      </w:r>
      <w:r w:rsidRPr="00650EE4">
        <w:rPr>
          <w:rFonts w:ascii="Times New Roman" w:hAnsi="Times New Roman"/>
          <w:color w:val="000000" w:themeColor="text1"/>
          <w:szCs w:val="22"/>
        </w:rPr>
        <w:t xml:space="preserve"> pastat</w:t>
      </w:r>
      <w:r w:rsidR="00050C2F" w:rsidRPr="00650EE4">
        <w:rPr>
          <w:rFonts w:ascii="Times New Roman" w:hAnsi="Times New Roman"/>
          <w:color w:val="000000" w:themeColor="text1"/>
          <w:szCs w:val="22"/>
        </w:rPr>
        <w:t>ų</w:t>
      </w:r>
      <w:r w:rsidRPr="00650EE4">
        <w:rPr>
          <w:rFonts w:ascii="Times New Roman" w:hAnsi="Times New Roman"/>
          <w:color w:val="000000" w:themeColor="text1"/>
          <w:szCs w:val="22"/>
        </w:rPr>
        <w:t xml:space="preserve"> renovacijai iki A+ klasės reikės skirtingų investicijų ir bus pasiektas skirtingas energijos vartojimo sutaupymas),  </w:t>
      </w:r>
      <w:r w:rsidR="007C4A64" w:rsidRPr="00650EE4">
        <w:rPr>
          <w:rFonts w:ascii="Times New Roman" w:hAnsi="Times New Roman"/>
          <w:color w:val="000000" w:themeColor="text1"/>
          <w:szCs w:val="22"/>
        </w:rPr>
        <w:t>žr. lentelę žemiau.</w:t>
      </w:r>
    </w:p>
    <w:p w14:paraId="725EE041" w14:textId="7B96BC0E" w:rsidR="00396E79" w:rsidRPr="00650EE4" w:rsidRDefault="00396E79">
      <w:pPr>
        <w:spacing w:after="240"/>
        <w:rPr>
          <w:rFonts w:ascii="Times New Roman" w:hAnsi="Times New Roman"/>
          <w:szCs w:val="22"/>
          <w:lang w:eastAsia="lt-LT"/>
        </w:rPr>
      </w:pPr>
      <w:r w:rsidRPr="00650EE4">
        <w:rPr>
          <w:rFonts w:ascii="Times New Roman" w:hAnsi="Times New Roman"/>
          <w:szCs w:val="22"/>
          <w:lang w:eastAsia="lt-LT"/>
        </w:rPr>
        <w:br w:type="page"/>
      </w:r>
    </w:p>
    <w:p w14:paraId="3CCE137A" w14:textId="67FBF10D" w:rsidR="007C4A64" w:rsidRPr="00650EE4" w:rsidRDefault="007C4A64"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91" w:name="_Toc67925218"/>
      <w:r w:rsidR="007744C1">
        <w:t>35</w:t>
      </w:r>
      <w:r w:rsidRPr="00650EE4">
        <w:rPr>
          <w:noProof w:val="0"/>
        </w:rPr>
        <w:fldChar w:fldCharType="end"/>
      </w:r>
      <w:r w:rsidRPr="00650EE4">
        <w:rPr>
          <w:noProof w:val="0"/>
        </w:rPr>
        <w:t xml:space="preserve"> lentelė. Renovacijos priemonių paketai</w:t>
      </w:r>
      <w:bookmarkEnd w:id="91"/>
    </w:p>
    <w:tbl>
      <w:tblPr>
        <w:tblW w:w="5000" w:type="pct"/>
        <w:tblLook w:val="04A0" w:firstRow="1" w:lastRow="0" w:firstColumn="1" w:lastColumn="0" w:noHBand="0" w:noVBand="1"/>
      </w:tblPr>
      <w:tblGrid>
        <w:gridCol w:w="1252"/>
        <w:gridCol w:w="1071"/>
        <w:gridCol w:w="4912"/>
        <w:gridCol w:w="1594"/>
        <w:gridCol w:w="1591"/>
      </w:tblGrid>
      <w:tr w:rsidR="007C4A64" w:rsidRPr="00650EE4" w14:paraId="5AA1D1C6" w14:textId="77777777" w:rsidTr="00A97F1B">
        <w:trPr>
          <w:tblHeader/>
        </w:trPr>
        <w:tc>
          <w:tcPr>
            <w:tcW w:w="12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DFE85"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Nr.</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A0DEF"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Grupė</w:t>
            </w:r>
          </w:p>
        </w:tc>
        <w:tc>
          <w:tcPr>
            <w:tcW w:w="4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3E54698"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p>
        </w:tc>
        <w:tc>
          <w:tcPr>
            <w:tcW w:w="311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DD1F49B"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Energinio naudingumo klasė</w:t>
            </w:r>
          </w:p>
        </w:tc>
      </w:tr>
      <w:tr w:rsidR="007C4A64" w:rsidRPr="00650EE4" w14:paraId="4CB398C8" w14:textId="77777777" w:rsidTr="00A97F1B">
        <w:trPr>
          <w:tblHeader/>
        </w:trPr>
        <w:tc>
          <w:tcPr>
            <w:tcW w:w="1225" w:type="dxa"/>
            <w:vMerge/>
            <w:tcBorders>
              <w:top w:val="single" w:sz="4" w:space="0" w:color="auto"/>
              <w:left w:val="single" w:sz="4" w:space="0" w:color="auto"/>
              <w:bottom w:val="single" w:sz="4" w:space="0" w:color="auto"/>
              <w:right w:val="single" w:sz="4" w:space="0" w:color="auto"/>
            </w:tcBorders>
            <w:vAlign w:val="center"/>
            <w:hideMark/>
          </w:tcPr>
          <w:p w14:paraId="0CF96F40" w14:textId="77777777" w:rsidR="007C4A64" w:rsidRPr="00650EE4" w:rsidRDefault="007C4A64" w:rsidP="000C1D71">
            <w:pPr>
              <w:spacing w:line="240" w:lineRule="auto"/>
              <w:rPr>
                <w:rFonts w:ascii="Times New Roman" w:eastAsia="Times New Roman" w:hAnsi="Times New Roman"/>
                <w:b/>
                <w:bCs/>
                <w:sz w:val="20"/>
                <w:szCs w:val="20"/>
                <w:lang w:eastAsia="lt-LT"/>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582DA751" w14:textId="77777777" w:rsidR="007C4A64" w:rsidRPr="00650EE4" w:rsidRDefault="007C4A64" w:rsidP="000C1D71">
            <w:pPr>
              <w:spacing w:line="240" w:lineRule="auto"/>
              <w:rPr>
                <w:rFonts w:ascii="Times New Roman" w:eastAsia="Times New Roman" w:hAnsi="Times New Roman"/>
                <w:b/>
                <w:bCs/>
                <w:sz w:val="20"/>
                <w:szCs w:val="20"/>
                <w:lang w:eastAsia="lt-LT"/>
              </w:rPr>
            </w:pPr>
          </w:p>
        </w:tc>
        <w:tc>
          <w:tcPr>
            <w:tcW w:w="4809" w:type="dxa"/>
            <w:vMerge/>
            <w:tcBorders>
              <w:top w:val="single" w:sz="4" w:space="0" w:color="auto"/>
              <w:left w:val="single" w:sz="4" w:space="0" w:color="auto"/>
              <w:bottom w:val="single" w:sz="4" w:space="0" w:color="auto"/>
              <w:right w:val="single" w:sz="4" w:space="0" w:color="auto"/>
            </w:tcBorders>
            <w:vAlign w:val="center"/>
          </w:tcPr>
          <w:p w14:paraId="6A78A9B0" w14:textId="77777777" w:rsidR="007C4A64" w:rsidRPr="00650EE4" w:rsidRDefault="007C4A64" w:rsidP="000C1D71">
            <w:pPr>
              <w:spacing w:line="240" w:lineRule="auto"/>
              <w:rPr>
                <w:rFonts w:ascii="Times New Roman" w:eastAsia="Times New Roman" w:hAnsi="Times New Roman"/>
                <w:b/>
                <w:bCs/>
                <w:sz w:val="20"/>
                <w:szCs w:val="20"/>
                <w:lang w:eastAsia="lt-LT"/>
              </w:rPr>
            </w:pPr>
          </w:p>
        </w:tc>
        <w:tc>
          <w:tcPr>
            <w:tcW w:w="1561" w:type="dxa"/>
            <w:tcBorders>
              <w:top w:val="nil"/>
              <w:left w:val="nil"/>
              <w:bottom w:val="single" w:sz="4" w:space="0" w:color="auto"/>
              <w:right w:val="single" w:sz="4" w:space="0" w:color="auto"/>
            </w:tcBorders>
            <w:shd w:val="clear" w:color="000000" w:fill="FFFFFF"/>
            <w:noWrap/>
            <w:vAlign w:val="center"/>
            <w:hideMark/>
          </w:tcPr>
          <w:p w14:paraId="3212A7EB"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Pradinė</w:t>
            </w:r>
          </w:p>
        </w:tc>
        <w:tc>
          <w:tcPr>
            <w:tcW w:w="1558" w:type="dxa"/>
            <w:tcBorders>
              <w:top w:val="nil"/>
              <w:left w:val="nil"/>
              <w:bottom w:val="single" w:sz="4" w:space="0" w:color="auto"/>
              <w:right w:val="single" w:sz="4" w:space="0" w:color="auto"/>
            </w:tcBorders>
            <w:shd w:val="clear" w:color="000000" w:fill="FFFFFF"/>
            <w:noWrap/>
            <w:vAlign w:val="center"/>
            <w:hideMark/>
          </w:tcPr>
          <w:p w14:paraId="10C0BA31"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Siekiama</w:t>
            </w:r>
          </w:p>
        </w:tc>
      </w:tr>
      <w:tr w:rsidR="007C4A64" w:rsidRPr="00650EE4" w14:paraId="5830F9D2" w14:textId="77777777" w:rsidTr="00A97F1B">
        <w:tc>
          <w:tcPr>
            <w:tcW w:w="22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F9063A" w14:textId="77777777" w:rsidR="007C4A64" w:rsidRPr="00650EE4" w:rsidRDefault="007C4A64" w:rsidP="000C1D71">
            <w:pPr>
              <w:spacing w:line="240" w:lineRule="auto"/>
              <w:ind w:firstLineChars="100" w:firstLine="201"/>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Baziniai paketai</w:t>
            </w:r>
          </w:p>
        </w:tc>
        <w:tc>
          <w:tcPr>
            <w:tcW w:w="7928"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14:paraId="0C70A32F" w14:textId="77777777" w:rsidR="007C4A64" w:rsidRPr="00650EE4" w:rsidRDefault="007C4A64" w:rsidP="000C1D71">
            <w:pPr>
              <w:spacing w:line="240" w:lineRule="auto"/>
              <w:rPr>
                <w:rFonts w:ascii="Times New Roman" w:eastAsia="Times New Roman" w:hAnsi="Times New Roman"/>
                <w:b/>
                <w:bCs/>
                <w:sz w:val="20"/>
                <w:szCs w:val="20"/>
                <w:lang w:eastAsia="lt-LT"/>
              </w:rPr>
            </w:pPr>
          </w:p>
        </w:tc>
      </w:tr>
      <w:tr w:rsidR="007C4A64" w:rsidRPr="00650EE4" w14:paraId="65FD5BE4"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9ECCC8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049" w:type="dxa"/>
            <w:vMerge w:val="restart"/>
            <w:tcBorders>
              <w:top w:val="nil"/>
              <w:left w:val="nil"/>
              <w:right w:val="single" w:sz="4" w:space="0" w:color="auto"/>
            </w:tcBorders>
            <w:shd w:val="clear" w:color="000000" w:fill="FFFFFF"/>
            <w:noWrap/>
            <w:vAlign w:val="center"/>
          </w:tcPr>
          <w:p w14:paraId="3C6F055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4809" w:type="dxa"/>
            <w:tcBorders>
              <w:top w:val="nil"/>
              <w:left w:val="nil"/>
              <w:bottom w:val="single" w:sz="4" w:space="0" w:color="auto"/>
              <w:right w:val="single" w:sz="4" w:space="0" w:color="auto"/>
            </w:tcBorders>
            <w:shd w:val="clear" w:color="000000" w:fill="FFFFFF"/>
            <w:vAlign w:val="center"/>
          </w:tcPr>
          <w:p w14:paraId="0A2D0AE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D0875D7"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489DBA3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r>
      <w:tr w:rsidR="007C4A64" w:rsidRPr="00650EE4" w14:paraId="49637CFD"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3BB357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049" w:type="dxa"/>
            <w:vMerge/>
            <w:tcBorders>
              <w:left w:val="nil"/>
              <w:right w:val="single" w:sz="4" w:space="0" w:color="auto"/>
            </w:tcBorders>
            <w:shd w:val="clear" w:color="000000" w:fill="FFFFFF"/>
            <w:noWrap/>
            <w:vAlign w:val="center"/>
          </w:tcPr>
          <w:p w14:paraId="7FFEBE77"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ADDC9D3"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5994816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313495C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r>
      <w:tr w:rsidR="007C4A64" w:rsidRPr="00650EE4" w14:paraId="2F0C5B27"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8BED380"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049" w:type="dxa"/>
            <w:vMerge/>
            <w:tcBorders>
              <w:left w:val="nil"/>
              <w:bottom w:val="single" w:sz="4" w:space="0" w:color="auto"/>
              <w:right w:val="single" w:sz="4" w:space="0" w:color="auto"/>
            </w:tcBorders>
            <w:shd w:val="clear" w:color="000000" w:fill="FFFFFF"/>
            <w:noWrap/>
            <w:vAlign w:val="center"/>
          </w:tcPr>
          <w:p w14:paraId="1BC483F5"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D071928"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745CF47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D1C3AE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r>
      <w:tr w:rsidR="007C4A64" w:rsidRPr="00650EE4" w14:paraId="11593C1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811B99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049" w:type="dxa"/>
            <w:vMerge w:val="restart"/>
            <w:tcBorders>
              <w:top w:val="nil"/>
              <w:left w:val="nil"/>
              <w:right w:val="single" w:sz="4" w:space="0" w:color="auto"/>
            </w:tcBorders>
            <w:shd w:val="clear" w:color="000000" w:fill="FFFFFF"/>
            <w:noWrap/>
            <w:vAlign w:val="center"/>
          </w:tcPr>
          <w:p w14:paraId="2B09A83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4809" w:type="dxa"/>
            <w:tcBorders>
              <w:top w:val="nil"/>
              <w:left w:val="nil"/>
              <w:bottom w:val="single" w:sz="4" w:space="0" w:color="auto"/>
              <w:right w:val="single" w:sz="4" w:space="0" w:color="auto"/>
            </w:tcBorders>
            <w:shd w:val="clear" w:color="000000" w:fill="FFFFFF"/>
            <w:vAlign w:val="center"/>
          </w:tcPr>
          <w:p w14:paraId="2C869E4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43728C91"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1C8765C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r>
      <w:tr w:rsidR="007C4A64" w:rsidRPr="00650EE4" w14:paraId="75038C3A"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7643227"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049" w:type="dxa"/>
            <w:vMerge/>
            <w:tcBorders>
              <w:left w:val="nil"/>
              <w:right w:val="single" w:sz="4" w:space="0" w:color="auto"/>
            </w:tcBorders>
            <w:shd w:val="clear" w:color="000000" w:fill="FFFFFF"/>
            <w:noWrap/>
            <w:vAlign w:val="center"/>
          </w:tcPr>
          <w:p w14:paraId="49E4C12F"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7D3F8B2"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49F8AF9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6474EF0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r>
      <w:tr w:rsidR="007C4A64" w:rsidRPr="00650EE4" w14:paraId="25B8F576"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4278A5A"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049" w:type="dxa"/>
            <w:vMerge/>
            <w:tcBorders>
              <w:left w:val="nil"/>
              <w:bottom w:val="single" w:sz="4" w:space="0" w:color="auto"/>
              <w:right w:val="single" w:sz="4" w:space="0" w:color="auto"/>
            </w:tcBorders>
            <w:shd w:val="clear" w:color="000000" w:fill="FFFFFF"/>
            <w:noWrap/>
            <w:vAlign w:val="center"/>
          </w:tcPr>
          <w:p w14:paraId="1BF36D26"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4AF0519"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2963761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67B4FF7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r>
      <w:tr w:rsidR="007C4A64" w:rsidRPr="00650EE4" w14:paraId="28C7CD0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3AD6E0F"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049" w:type="dxa"/>
            <w:vMerge w:val="restart"/>
            <w:tcBorders>
              <w:top w:val="nil"/>
              <w:left w:val="nil"/>
              <w:right w:val="single" w:sz="4" w:space="0" w:color="auto"/>
            </w:tcBorders>
            <w:shd w:val="clear" w:color="000000" w:fill="FFFFFF"/>
            <w:noWrap/>
            <w:vAlign w:val="center"/>
          </w:tcPr>
          <w:p w14:paraId="6F64062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4809" w:type="dxa"/>
            <w:tcBorders>
              <w:top w:val="nil"/>
              <w:left w:val="nil"/>
              <w:bottom w:val="single" w:sz="4" w:space="0" w:color="auto"/>
              <w:right w:val="single" w:sz="4" w:space="0" w:color="auto"/>
            </w:tcBorders>
            <w:shd w:val="clear" w:color="000000" w:fill="FFFFFF"/>
            <w:vAlign w:val="center"/>
          </w:tcPr>
          <w:p w14:paraId="6B4CAB5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755B95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EB31F62"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8CCD085"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411DBB1"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049" w:type="dxa"/>
            <w:vMerge/>
            <w:tcBorders>
              <w:left w:val="nil"/>
              <w:right w:val="single" w:sz="4" w:space="0" w:color="auto"/>
            </w:tcBorders>
            <w:shd w:val="clear" w:color="000000" w:fill="FFFFFF"/>
            <w:noWrap/>
            <w:vAlign w:val="center"/>
          </w:tcPr>
          <w:p w14:paraId="0C25CDBA"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2152036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625A68E7"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41774CD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81C7BDD"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4683910"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049" w:type="dxa"/>
            <w:vMerge/>
            <w:tcBorders>
              <w:left w:val="nil"/>
              <w:right w:val="single" w:sz="4" w:space="0" w:color="auto"/>
            </w:tcBorders>
            <w:shd w:val="clear" w:color="000000" w:fill="FFFFFF"/>
            <w:noWrap/>
            <w:vAlign w:val="center"/>
          </w:tcPr>
          <w:p w14:paraId="2D61DDE0"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1E89A3A8"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2158303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4F3F3D3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C39769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7C8A40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049" w:type="dxa"/>
            <w:vMerge/>
            <w:tcBorders>
              <w:left w:val="nil"/>
              <w:right w:val="single" w:sz="4" w:space="0" w:color="auto"/>
            </w:tcBorders>
            <w:shd w:val="clear" w:color="000000" w:fill="FFFFFF"/>
            <w:noWrap/>
            <w:vAlign w:val="center"/>
          </w:tcPr>
          <w:p w14:paraId="374A6D9A"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D5B6F7B"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7D0A6E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1AA021B2"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45D9548"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38853C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049" w:type="dxa"/>
            <w:vMerge/>
            <w:tcBorders>
              <w:left w:val="nil"/>
              <w:right w:val="single" w:sz="4" w:space="0" w:color="auto"/>
            </w:tcBorders>
            <w:shd w:val="clear" w:color="000000" w:fill="FFFFFF"/>
            <w:noWrap/>
            <w:vAlign w:val="center"/>
          </w:tcPr>
          <w:p w14:paraId="7002E4F6"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A16B23F"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13C0DE8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69267B8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821E93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534973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049" w:type="dxa"/>
            <w:vMerge/>
            <w:tcBorders>
              <w:left w:val="nil"/>
              <w:bottom w:val="single" w:sz="4" w:space="0" w:color="auto"/>
              <w:right w:val="single" w:sz="4" w:space="0" w:color="auto"/>
            </w:tcBorders>
            <w:shd w:val="clear" w:color="000000" w:fill="FFFFFF"/>
            <w:noWrap/>
            <w:vAlign w:val="center"/>
          </w:tcPr>
          <w:p w14:paraId="1D99EB54"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4E5C0E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6D25E0B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6129B56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CE68B5C"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7FDD6C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1049" w:type="dxa"/>
            <w:vMerge w:val="restart"/>
            <w:tcBorders>
              <w:top w:val="nil"/>
              <w:left w:val="nil"/>
              <w:right w:val="single" w:sz="4" w:space="0" w:color="auto"/>
            </w:tcBorders>
            <w:shd w:val="clear" w:color="000000" w:fill="FFFFFF"/>
            <w:noWrap/>
            <w:vAlign w:val="center"/>
          </w:tcPr>
          <w:p w14:paraId="10254F5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4809" w:type="dxa"/>
            <w:tcBorders>
              <w:top w:val="nil"/>
              <w:left w:val="nil"/>
              <w:bottom w:val="single" w:sz="4" w:space="0" w:color="auto"/>
              <w:right w:val="single" w:sz="4" w:space="0" w:color="auto"/>
            </w:tcBorders>
            <w:shd w:val="clear" w:color="000000" w:fill="FFFFFF"/>
            <w:vAlign w:val="center"/>
          </w:tcPr>
          <w:p w14:paraId="02605A53"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4575E6B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5720B5A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BB5DC38"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537D164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049" w:type="dxa"/>
            <w:vMerge/>
            <w:tcBorders>
              <w:left w:val="nil"/>
              <w:right w:val="single" w:sz="4" w:space="0" w:color="auto"/>
            </w:tcBorders>
            <w:shd w:val="clear" w:color="000000" w:fill="FFFFFF"/>
            <w:noWrap/>
            <w:vAlign w:val="center"/>
          </w:tcPr>
          <w:p w14:paraId="00CC4AB5"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85ABBF9"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0BEA1E7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F9FACD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E711681"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ACE0159"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1049" w:type="dxa"/>
            <w:vMerge/>
            <w:tcBorders>
              <w:left w:val="nil"/>
              <w:right w:val="single" w:sz="4" w:space="0" w:color="auto"/>
            </w:tcBorders>
            <w:shd w:val="clear" w:color="000000" w:fill="FFFFFF"/>
            <w:noWrap/>
            <w:vAlign w:val="center"/>
          </w:tcPr>
          <w:p w14:paraId="3C16853B"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4701F05D" w14:textId="77777777" w:rsidR="007C4A64" w:rsidRPr="00650EE4" w:rsidRDefault="007C4A64" w:rsidP="000C1D71">
            <w:pPr>
              <w:spacing w:line="240" w:lineRule="auto"/>
              <w:ind w:right="-4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306F080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E9327F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4C11B3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37942A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1049" w:type="dxa"/>
            <w:vMerge/>
            <w:tcBorders>
              <w:left w:val="nil"/>
              <w:right w:val="single" w:sz="4" w:space="0" w:color="auto"/>
            </w:tcBorders>
            <w:shd w:val="clear" w:color="000000" w:fill="FFFFFF"/>
            <w:noWrap/>
            <w:vAlign w:val="center"/>
          </w:tcPr>
          <w:p w14:paraId="4DFF012B"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4ADCBC2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112B868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4DD4B8C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F85660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F3E931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049" w:type="dxa"/>
            <w:vMerge/>
            <w:tcBorders>
              <w:left w:val="nil"/>
              <w:right w:val="single" w:sz="4" w:space="0" w:color="auto"/>
            </w:tcBorders>
            <w:shd w:val="clear" w:color="000000" w:fill="FFFFFF"/>
            <w:noWrap/>
            <w:vAlign w:val="center"/>
          </w:tcPr>
          <w:p w14:paraId="0E9D4ECB"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43E48422"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30ADE3A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1A02FBD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6925BE81"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BA95BAA"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1049" w:type="dxa"/>
            <w:vMerge/>
            <w:tcBorders>
              <w:left w:val="nil"/>
              <w:right w:val="single" w:sz="4" w:space="0" w:color="auto"/>
            </w:tcBorders>
            <w:shd w:val="clear" w:color="000000" w:fill="FFFFFF"/>
            <w:noWrap/>
            <w:vAlign w:val="center"/>
          </w:tcPr>
          <w:p w14:paraId="6B2E594E"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C24E94A" w14:textId="77777777" w:rsidR="007C4A64" w:rsidRPr="00650EE4" w:rsidRDefault="007C4A64" w:rsidP="000C1D71">
            <w:pPr>
              <w:spacing w:line="240" w:lineRule="auto"/>
              <w:ind w:right="-4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5F16A1B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0246974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272837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80A3A8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049" w:type="dxa"/>
            <w:vMerge/>
            <w:tcBorders>
              <w:left w:val="nil"/>
              <w:right w:val="single" w:sz="4" w:space="0" w:color="auto"/>
            </w:tcBorders>
            <w:shd w:val="clear" w:color="000000" w:fill="FFFFFF"/>
            <w:noWrap/>
            <w:vAlign w:val="center"/>
          </w:tcPr>
          <w:p w14:paraId="6B74FBFA"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01F38DF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79A4F8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75E94E6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60ED8ED0"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E2B2EC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1049" w:type="dxa"/>
            <w:vMerge/>
            <w:tcBorders>
              <w:left w:val="nil"/>
              <w:right w:val="single" w:sz="4" w:space="0" w:color="auto"/>
            </w:tcBorders>
            <w:shd w:val="clear" w:color="000000" w:fill="FFFFFF"/>
            <w:noWrap/>
            <w:vAlign w:val="center"/>
          </w:tcPr>
          <w:p w14:paraId="69AF2086"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7E7F9B67"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0079BFC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59BDC9A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2679BE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48CBEFF"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c>
          <w:tcPr>
            <w:tcW w:w="1049" w:type="dxa"/>
            <w:vMerge/>
            <w:tcBorders>
              <w:left w:val="nil"/>
              <w:bottom w:val="single" w:sz="4" w:space="0" w:color="auto"/>
              <w:right w:val="single" w:sz="4" w:space="0" w:color="auto"/>
            </w:tcBorders>
            <w:shd w:val="clear" w:color="000000" w:fill="FFFFFF"/>
            <w:noWrap/>
            <w:vAlign w:val="center"/>
          </w:tcPr>
          <w:p w14:paraId="7687F2A8"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87515CF" w14:textId="77777777" w:rsidR="007C4A64" w:rsidRPr="00650EE4" w:rsidRDefault="007C4A64" w:rsidP="000C1D71">
            <w:pPr>
              <w:spacing w:line="240" w:lineRule="auto"/>
              <w:ind w:right="-4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1ED28CE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0E753B1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45A1FF2"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BD56EA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049" w:type="dxa"/>
            <w:vMerge w:val="restart"/>
            <w:tcBorders>
              <w:top w:val="nil"/>
              <w:left w:val="nil"/>
              <w:right w:val="single" w:sz="4" w:space="0" w:color="auto"/>
            </w:tcBorders>
            <w:shd w:val="clear" w:color="000000" w:fill="FFFFFF"/>
            <w:noWrap/>
            <w:vAlign w:val="center"/>
          </w:tcPr>
          <w:p w14:paraId="6603905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4809" w:type="dxa"/>
            <w:tcBorders>
              <w:top w:val="nil"/>
              <w:left w:val="nil"/>
              <w:bottom w:val="single" w:sz="4" w:space="0" w:color="auto"/>
              <w:right w:val="single" w:sz="4" w:space="0" w:color="auto"/>
            </w:tcBorders>
            <w:shd w:val="clear" w:color="000000" w:fill="FFFFFF"/>
            <w:vAlign w:val="center"/>
          </w:tcPr>
          <w:p w14:paraId="31C4CA2C"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658CC3C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643FF2F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208EB63"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0882B5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1049" w:type="dxa"/>
            <w:vMerge/>
            <w:tcBorders>
              <w:left w:val="nil"/>
              <w:right w:val="single" w:sz="4" w:space="0" w:color="auto"/>
            </w:tcBorders>
            <w:shd w:val="clear" w:color="000000" w:fill="FFFFFF"/>
            <w:noWrap/>
            <w:vAlign w:val="center"/>
          </w:tcPr>
          <w:p w14:paraId="52F319FE"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339155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4FF586C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19411D2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36B5709"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5B3B1CF7"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1049" w:type="dxa"/>
            <w:vMerge/>
            <w:tcBorders>
              <w:left w:val="nil"/>
              <w:right w:val="single" w:sz="4" w:space="0" w:color="auto"/>
            </w:tcBorders>
            <w:shd w:val="clear" w:color="000000" w:fill="FFFFFF"/>
            <w:noWrap/>
            <w:vAlign w:val="center"/>
          </w:tcPr>
          <w:p w14:paraId="05D30E12"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0CCF6FF4" w14:textId="77777777" w:rsidR="007C4A64" w:rsidRPr="00650EE4" w:rsidRDefault="007C4A64" w:rsidP="000C1D71">
            <w:pPr>
              <w:spacing w:line="240" w:lineRule="auto"/>
              <w:ind w:right="-190"/>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0D06ABF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53FF479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F00AA16"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7F6B78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049" w:type="dxa"/>
            <w:vMerge/>
            <w:tcBorders>
              <w:left w:val="nil"/>
              <w:right w:val="single" w:sz="4" w:space="0" w:color="auto"/>
            </w:tcBorders>
            <w:shd w:val="clear" w:color="000000" w:fill="FFFFFF"/>
            <w:noWrap/>
            <w:vAlign w:val="center"/>
          </w:tcPr>
          <w:p w14:paraId="5EECA0C5"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6E08BC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5F5ED51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54229D7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18514E7"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789FA7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049" w:type="dxa"/>
            <w:vMerge/>
            <w:tcBorders>
              <w:left w:val="nil"/>
              <w:right w:val="single" w:sz="4" w:space="0" w:color="auto"/>
            </w:tcBorders>
            <w:shd w:val="clear" w:color="000000" w:fill="FFFFFF"/>
            <w:noWrap/>
            <w:vAlign w:val="center"/>
          </w:tcPr>
          <w:p w14:paraId="335B67DA"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4ABD2E3"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5EC62D3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73C2C17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2E6CB8C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97FA29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1049" w:type="dxa"/>
            <w:vMerge/>
            <w:tcBorders>
              <w:left w:val="nil"/>
              <w:right w:val="single" w:sz="4" w:space="0" w:color="auto"/>
            </w:tcBorders>
            <w:shd w:val="clear" w:color="000000" w:fill="FFFFFF"/>
            <w:noWrap/>
            <w:vAlign w:val="center"/>
          </w:tcPr>
          <w:p w14:paraId="708CFE99"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C1036E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4518325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4C4FDA0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5EF5E46"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BFA8464"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1049" w:type="dxa"/>
            <w:vMerge/>
            <w:tcBorders>
              <w:left w:val="nil"/>
              <w:right w:val="single" w:sz="4" w:space="0" w:color="auto"/>
            </w:tcBorders>
            <w:shd w:val="clear" w:color="000000" w:fill="FFFFFF"/>
            <w:noWrap/>
            <w:vAlign w:val="center"/>
          </w:tcPr>
          <w:p w14:paraId="74B5A3BA"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775707A2"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60CCD5C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2D32EE5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46FA7E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B0059E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1049" w:type="dxa"/>
            <w:vMerge/>
            <w:tcBorders>
              <w:left w:val="nil"/>
              <w:right w:val="single" w:sz="4" w:space="0" w:color="auto"/>
            </w:tcBorders>
            <w:shd w:val="clear" w:color="000000" w:fill="FFFFFF"/>
            <w:noWrap/>
            <w:vAlign w:val="center"/>
          </w:tcPr>
          <w:p w14:paraId="7785CEC7"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35A9CA8"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2638B652"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68B720B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FD7B55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5A8A5B4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049" w:type="dxa"/>
            <w:vMerge/>
            <w:tcBorders>
              <w:left w:val="nil"/>
              <w:right w:val="single" w:sz="4" w:space="0" w:color="auto"/>
            </w:tcBorders>
            <w:shd w:val="clear" w:color="000000" w:fill="FFFFFF"/>
            <w:noWrap/>
            <w:vAlign w:val="center"/>
          </w:tcPr>
          <w:p w14:paraId="08DCC2BC"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18275727"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38473721"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1F1ABD2A"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38E415E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7155D16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049" w:type="dxa"/>
            <w:vMerge/>
            <w:tcBorders>
              <w:left w:val="nil"/>
              <w:right w:val="single" w:sz="4" w:space="0" w:color="auto"/>
            </w:tcBorders>
            <w:shd w:val="clear" w:color="000000" w:fill="FFFFFF"/>
            <w:noWrap/>
            <w:vAlign w:val="center"/>
          </w:tcPr>
          <w:p w14:paraId="04505396"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18A36741"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4FBCE03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558" w:type="dxa"/>
            <w:tcBorders>
              <w:top w:val="nil"/>
              <w:left w:val="nil"/>
              <w:bottom w:val="single" w:sz="4" w:space="0" w:color="auto"/>
              <w:right w:val="single" w:sz="4" w:space="0" w:color="auto"/>
            </w:tcBorders>
            <w:shd w:val="clear" w:color="000000" w:fill="FFFFFF"/>
            <w:noWrap/>
            <w:vAlign w:val="bottom"/>
            <w:hideMark/>
          </w:tcPr>
          <w:p w14:paraId="1BF248E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678F5C4"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129BB34"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1049" w:type="dxa"/>
            <w:vMerge/>
            <w:tcBorders>
              <w:left w:val="nil"/>
              <w:right w:val="single" w:sz="4" w:space="0" w:color="auto"/>
            </w:tcBorders>
            <w:shd w:val="clear" w:color="000000" w:fill="FFFFFF"/>
            <w:noWrap/>
            <w:vAlign w:val="center"/>
          </w:tcPr>
          <w:p w14:paraId="58FF83C5"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D6EFA26"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057F7EF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558" w:type="dxa"/>
            <w:tcBorders>
              <w:top w:val="nil"/>
              <w:left w:val="nil"/>
              <w:bottom w:val="single" w:sz="4" w:space="0" w:color="auto"/>
              <w:right w:val="single" w:sz="4" w:space="0" w:color="auto"/>
            </w:tcBorders>
            <w:shd w:val="clear" w:color="000000" w:fill="FFFFFF"/>
            <w:noWrap/>
            <w:vAlign w:val="bottom"/>
            <w:hideMark/>
          </w:tcPr>
          <w:p w14:paraId="07377B11"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3A12C99"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979620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1049" w:type="dxa"/>
            <w:vMerge/>
            <w:tcBorders>
              <w:left w:val="nil"/>
              <w:bottom w:val="single" w:sz="4" w:space="0" w:color="auto"/>
              <w:right w:val="single" w:sz="4" w:space="0" w:color="auto"/>
            </w:tcBorders>
            <w:shd w:val="clear" w:color="000000" w:fill="FFFFFF"/>
            <w:noWrap/>
            <w:vAlign w:val="center"/>
          </w:tcPr>
          <w:p w14:paraId="60B384AE"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1F5FFF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356AABF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558" w:type="dxa"/>
            <w:tcBorders>
              <w:top w:val="nil"/>
              <w:left w:val="nil"/>
              <w:bottom w:val="single" w:sz="4" w:space="0" w:color="auto"/>
              <w:right w:val="single" w:sz="4" w:space="0" w:color="auto"/>
            </w:tcBorders>
            <w:shd w:val="clear" w:color="000000" w:fill="FFFFFF"/>
            <w:noWrap/>
            <w:vAlign w:val="bottom"/>
            <w:hideMark/>
          </w:tcPr>
          <w:p w14:paraId="5854ADE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BEB924E" w14:textId="77777777" w:rsidTr="00A97F1B">
        <w:tc>
          <w:tcPr>
            <w:tcW w:w="22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8B8B6" w14:textId="77777777" w:rsidR="007C4A64" w:rsidRPr="00650EE4" w:rsidRDefault="007C4A64" w:rsidP="000C1D71">
            <w:pPr>
              <w:spacing w:line="240" w:lineRule="auto"/>
              <w:ind w:firstLineChars="100" w:firstLine="201"/>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Daliniai paketai</w:t>
            </w:r>
          </w:p>
        </w:tc>
        <w:tc>
          <w:tcPr>
            <w:tcW w:w="7928"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14:paraId="3012CA67" w14:textId="77777777" w:rsidR="007C4A64" w:rsidRPr="00650EE4" w:rsidRDefault="007C4A64" w:rsidP="000C1D71">
            <w:pPr>
              <w:spacing w:line="240" w:lineRule="auto"/>
              <w:rPr>
                <w:rFonts w:ascii="Times New Roman" w:eastAsia="Times New Roman" w:hAnsi="Times New Roman"/>
                <w:b/>
                <w:bCs/>
                <w:sz w:val="20"/>
                <w:szCs w:val="20"/>
                <w:lang w:eastAsia="lt-LT"/>
              </w:rPr>
            </w:pPr>
          </w:p>
        </w:tc>
      </w:tr>
      <w:tr w:rsidR="007C4A64" w:rsidRPr="00650EE4" w14:paraId="18486E42"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77589FB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049" w:type="dxa"/>
            <w:vMerge w:val="restart"/>
            <w:tcBorders>
              <w:top w:val="nil"/>
              <w:left w:val="nil"/>
              <w:right w:val="single" w:sz="4" w:space="0" w:color="auto"/>
            </w:tcBorders>
            <w:shd w:val="clear" w:color="000000" w:fill="FFFFFF"/>
            <w:noWrap/>
            <w:vAlign w:val="center"/>
          </w:tcPr>
          <w:p w14:paraId="1DF4001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Dalinė renovacija</w:t>
            </w:r>
          </w:p>
        </w:tc>
        <w:tc>
          <w:tcPr>
            <w:tcW w:w="4809" w:type="dxa"/>
            <w:tcBorders>
              <w:top w:val="nil"/>
              <w:left w:val="nil"/>
              <w:bottom w:val="single" w:sz="4" w:space="0" w:color="auto"/>
              <w:right w:val="single" w:sz="4" w:space="0" w:color="auto"/>
            </w:tcBorders>
            <w:shd w:val="clear" w:color="000000" w:fill="FFFFFF"/>
            <w:vAlign w:val="bottom"/>
          </w:tcPr>
          <w:p w14:paraId="34B4D05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Mažoji renovacija</w:t>
            </w:r>
          </w:p>
        </w:tc>
        <w:tc>
          <w:tcPr>
            <w:tcW w:w="1561" w:type="dxa"/>
            <w:tcBorders>
              <w:top w:val="nil"/>
              <w:left w:val="nil"/>
              <w:bottom w:val="single" w:sz="4" w:space="0" w:color="auto"/>
              <w:right w:val="single" w:sz="4" w:space="0" w:color="auto"/>
            </w:tcBorders>
            <w:shd w:val="clear" w:color="000000" w:fill="FFFFFF"/>
            <w:noWrap/>
            <w:vAlign w:val="bottom"/>
            <w:hideMark/>
          </w:tcPr>
          <w:p w14:paraId="17AA87B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0424F14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r w:rsidR="007C4A64" w:rsidRPr="00650EE4" w14:paraId="09DE999C"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DBAA86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35</w:t>
            </w:r>
          </w:p>
        </w:tc>
        <w:tc>
          <w:tcPr>
            <w:tcW w:w="1049" w:type="dxa"/>
            <w:vMerge/>
            <w:tcBorders>
              <w:left w:val="nil"/>
              <w:right w:val="single" w:sz="4" w:space="0" w:color="auto"/>
            </w:tcBorders>
            <w:shd w:val="clear" w:color="000000" w:fill="FFFFFF"/>
            <w:noWrap/>
            <w:vAlign w:val="bottom"/>
          </w:tcPr>
          <w:p w14:paraId="6CDC3E41"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bottom"/>
          </w:tcPr>
          <w:p w14:paraId="584D2997"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Fasado šiltinimas</w:t>
            </w:r>
          </w:p>
        </w:tc>
        <w:tc>
          <w:tcPr>
            <w:tcW w:w="1561" w:type="dxa"/>
            <w:tcBorders>
              <w:top w:val="nil"/>
              <w:left w:val="nil"/>
              <w:bottom w:val="single" w:sz="4" w:space="0" w:color="auto"/>
              <w:right w:val="single" w:sz="4" w:space="0" w:color="auto"/>
            </w:tcBorders>
            <w:shd w:val="clear" w:color="000000" w:fill="FFFFFF"/>
            <w:noWrap/>
            <w:vAlign w:val="bottom"/>
            <w:hideMark/>
          </w:tcPr>
          <w:p w14:paraId="234167F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1F3D331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r w:rsidR="007C4A64" w:rsidRPr="00650EE4" w14:paraId="0DB2E122"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BB7A062"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1049" w:type="dxa"/>
            <w:vMerge/>
            <w:tcBorders>
              <w:left w:val="nil"/>
              <w:right w:val="single" w:sz="4" w:space="0" w:color="auto"/>
            </w:tcBorders>
            <w:shd w:val="clear" w:color="000000" w:fill="FFFFFF"/>
            <w:noWrap/>
            <w:vAlign w:val="bottom"/>
          </w:tcPr>
          <w:p w14:paraId="0E90979C"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bottom"/>
          </w:tcPr>
          <w:p w14:paraId="5C150480"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Stogo perdangos šiltinimas</w:t>
            </w:r>
          </w:p>
        </w:tc>
        <w:tc>
          <w:tcPr>
            <w:tcW w:w="1561" w:type="dxa"/>
            <w:tcBorders>
              <w:top w:val="nil"/>
              <w:left w:val="nil"/>
              <w:bottom w:val="single" w:sz="4" w:space="0" w:color="auto"/>
              <w:right w:val="single" w:sz="4" w:space="0" w:color="auto"/>
            </w:tcBorders>
            <w:shd w:val="clear" w:color="000000" w:fill="FFFFFF"/>
            <w:noWrap/>
            <w:vAlign w:val="bottom"/>
            <w:hideMark/>
          </w:tcPr>
          <w:p w14:paraId="2D5A919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0691428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r w:rsidR="007C4A64" w:rsidRPr="00650EE4" w14:paraId="172A4DBA"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2739AE3"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c>
          <w:tcPr>
            <w:tcW w:w="1049" w:type="dxa"/>
            <w:vMerge/>
            <w:tcBorders>
              <w:left w:val="nil"/>
              <w:bottom w:val="single" w:sz="4" w:space="0" w:color="auto"/>
              <w:right w:val="single" w:sz="4" w:space="0" w:color="auto"/>
            </w:tcBorders>
            <w:shd w:val="clear" w:color="000000" w:fill="FFFFFF"/>
            <w:noWrap/>
            <w:vAlign w:val="bottom"/>
          </w:tcPr>
          <w:p w14:paraId="4809BF85"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bottom"/>
          </w:tcPr>
          <w:p w14:paraId="39052EF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Langų keitimas</w:t>
            </w:r>
          </w:p>
        </w:tc>
        <w:tc>
          <w:tcPr>
            <w:tcW w:w="1561" w:type="dxa"/>
            <w:tcBorders>
              <w:top w:val="nil"/>
              <w:left w:val="nil"/>
              <w:bottom w:val="single" w:sz="4" w:space="0" w:color="auto"/>
              <w:right w:val="single" w:sz="4" w:space="0" w:color="auto"/>
            </w:tcBorders>
            <w:shd w:val="clear" w:color="000000" w:fill="FFFFFF"/>
            <w:noWrap/>
            <w:vAlign w:val="bottom"/>
            <w:hideMark/>
          </w:tcPr>
          <w:p w14:paraId="16E8089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5E9F0FB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bl>
    <w:p w14:paraId="4CF48A2C" w14:textId="25356D0F" w:rsidR="007C4A64" w:rsidRPr="00650EE4" w:rsidRDefault="007C4A64" w:rsidP="007C4A64">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5C659D43" w14:textId="77777777" w:rsidR="007C4A64" w:rsidRPr="00650EE4" w:rsidRDefault="007C4A64" w:rsidP="007C4A64">
      <w:pPr>
        <w:shd w:val="clear" w:color="auto" w:fill="FFFFFF"/>
        <w:spacing w:line="240" w:lineRule="auto"/>
        <w:jc w:val="both"/>
        <w:rPr>
          <w:rFonts w:ascii="Times New Roman" w:hAnsi="Times New Roman"/>
          <w:color w:val="000000" w:themeColor="text1"/>
          <w:szCs w:val="22"/>
        </w:rPr>
      </w:pPr>
    </w:p>
    <w:p w14:paraId="579E01B8" w14:textId="7432D178" w:rsidR="003A73B9" w:rsidRPr="00650EE4" w:rsidRDefault="003165D2" w:rsidP="00396E79">
      <w:pPr>
        <w:pStyle w:val="Antrastes2"/>
        <w:numPr>
          <w:ilvl w:val="1"/>
          <w:numId w:val="4"/>
        </w:numPr>
        <w:pBdr>
          <w:bottom w:val="single" w:sz="4" w:space="1" w:color="auto"/>
        </w:pBdr>
        <w:spacing w:before="120"/>
        <w:ind w:left="576" w:hanging="576"/>
        <w:jc w:val="both"/>
        <w:rPr>
          <w:rFonts w:ascii="Times New Roman" w:hAnsi="Times New Roman"/>
          <w:color w:val="auto"/>
          <w:sz w:val="24"/>
          <w:szCs w:val="24"/>
          <w:lang w:val="lt-LT"/>
        </w:rPr>
      </w:pPr>
      <w:bookmarkStart w:id="92" w:name="_Toc67925125"/>
      <w:r w:rsidRPr="00650EE4">
        <w:rPr>
          <w:rFonts w:ascii="Times New Roman" w:hAnsi="Times New Roman"/>
          <w:color w:val="auto"/>
          <w:sz w:val="24"/>
          <w:szCs w:val="24"/>
          <w:lang w:val="lt-LT"/>
        </w:rPr>
        <w:t xml:space="preserve">Investicijų poreikio </w:t>
      </w:r>
      <w:r w:rsidR="0064426D" w:rsidRPr="00650EE4">
        <w:rPr>
          <w:rFonts w:ascii="Times New Roman" w:hAnsi="Times New Roman"/>
          <w:color w:val="auto"/>
          <w:sz w:val="24"/>
          <w:szCs w:val="24"/>
          <w:lang w:val="lt-LT"/>
        </w:rPr>
        <w:t>nustatymas</w:t>
      </w:r>
      <w:bookmarkEnd w:id="92"/>
    </w:p>
    <w:p w14:paraId="6069BB13" w14:textId="2B65D771" w:rsidR="00224070" w:rsidRPr="00650EE4" w:rsidRDefault="00A12E7D" w:rsidP="00224070">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Nustatant investicijų poreikį</w:t>
      </w:r>
      <w:r w:rsidR="00224070" w:rsidRPr="00650EE4">
        <w:rPr>
          <w:rFonts w:ascii="Times New Roman" w:hAnsi="Times New Roman"/>
          <w:color w:val="000000" w:themeColor="text1"/>
          <w:szCs w:val="22"/>
        </w:rPr>
        <w:t xml:space="preserve"> kiekvienam renovacijos priemonių paketui apskaičiuot</w:t>
      </w:r>
      <w:r>
        <w:rPr>
          <w:rFonts w:ascii="Times New Roman" w:hAnsi="Times New Roman"/>
          <w:color w:val="000000" w:themeColor="text1"/>
          <w:szCs w:val="22"/>
        </w:rPr>
        <w:t>os</w:t>
      </w:r>
      <w:r w:rsidR="00224070" w:rsidRPr="00650EE4">
        <w:rPr>
          <w:rFonts w:ascii="Times New Roman" w:hAnsi="Times New Roman"/>
          <w:color w:val="000000" w:themeColor="text1"/>
          <w:szCs w:val="22"/>
        </w:rPr>
        <w:t xml:space="preserve"> ir priskirt</w:t>
      </w:r>
      <w:r>
        <w:rPr>
          <w:rFonts w:ascii="Times New Roman" w:hAnsi="Times New Roman"/>
          <w:color w:val="000000" w:themeColor="text1"/>
          <w:szCs w:val="22"/>
        </w:rPr>
        <w:t>os</w:t>
      </w:r>
      <w:r w:rsidR="00224070" w:rsidRPr="00650EE4">
        <w:rPr>
          <w:rFonts w:ascii="Times New Roman" w:hAnsi="Times New Roman"/>
          <w:color w:val="000000" w:themeColor="text1"/>
          <w:szCs w:val="22"/>
        </w:rPr>
        <w:t xml:space="preserve"> paketo įgyvendinimui reikaling</w:t>
      </w:r>
      <w:r>
        <w:rPr>
          <w:rFonts w:ascii="Times New Roman" w:hAnsi="Times New Roman"/>
          <w:color w:val="000000" w:themeColor="text1"/>
          <w:szCs w:val="22"/>
        </w:rPr>
        <w:t>o</w:t>
      </w:r>
      <w:r w:rsidR="00224070" w:rsidRPr="00650EE4">
        <w:rPr>
          <w:rFonts w:ascii="Times New Roman" w:hAnsi="Times New Roman"/>
          <w:color w:val="000000" w:themeColor="text1"/>
          <w:szCs w:val="22"/>
        </w:rPr>
        <w:t>s investicij</w:t>
      </w:r>
      <w:r>
        <w:rPr>
          <w:rFonts w:ascii="Times New Roman" w:hAnsi="Times New Roman"/>
          <w:color w:val="000000" w:themeColor="text1"/>
          <w:szCs w:val="22"/>
        </w:rPr>
        <w:t>o</w:t>
      </w:r>
      <w:r w:rsidR="00224070" w:rsidRPr="00650EE4">
        <w:rPr>
          <w:rFonts w:ascii="Times New Roman" w:hAnsi="Times New Roman"/>
          <w:color w:val="000000" w:themeColor="text1"/>
          <w:szCs w:val="22"/>
        </w:rPr>
        <w:t>s.</w:t>
      </w:r>
    </w:p>
    <w:p w14:paraId="3885729E" w14:textId="77777777" w:rsidR="00FC56AA" w:rsidRPr="00650EE4" w:rsidRDefault="00FC56AA" w:rsidP="00FC56AA">
      <w:pPr>
        <w:pStyle w:val="BodyText"/>
        <w:jc w:val="both"/>
        <w:rPr>
          <w:rFonts w:ascii="Times New Roman" w:hAnsi="Times New Roman"/>
          <w:color w:val="000000" w:themeColor="text1"/>
          <w:szCs w:val="22"/>
          <w:lang w:val="lt-LT"/>
        </w:rPr>
      </w:pPr>
    </w:p>
    <w:p w14:paraId="545FBBBF" w14:textId="7C92B490" w:rsidR="00FC56AA" w:rsidRPr="00650EE4" w:rsidRDefault="00FC56AA" w:rsidP="00FC56AA">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pateikiama visiems modeliuojamiems renovacijos priemonių paketams įgyvendinti reikalingų investicijų suvestinė (vidutiniai dydžiai). Kadangi AEI priemonių kaina priklauso nuo konkrečios modeliuojamos kombinacijos pastato ploto, tiksli investicijų suma gali skirtis. </w:t>
      </w:r>
    </w:p>
    <w:p w14:paraId="333B729A" w14:textId="77777777" w:rsidR="003C65BF" w:rsidRDefault="003C65BF">
      <w:pPr>
        <w:spacing w:after="240"/>
        <w:rPr>
          <w:rFonts w:ascii="Times New Roman" w:eastAsiaTheme="minorHAnsi" w:hAnsi="Times New Roman"/>
          <w:bCs/>
          <w:i/>
          <w:color w:val="000000" w:themeColor="text1"/>
          <w:sz w:val="20"/>
          <w:szCs w:val="20"/>
        </w:rPr>
      </w:pPr>
      <w:r>
        <w:br w:type="page"/>
      </w:r>
    </w:p>
    <w:p w14:paraId="23E35FF5" w14:textId="11D1A88A" w:rsidR="002946C8" w:rsidRDefault="00FC56AA"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93" w:name="_Toc67925219"/>
      <w:r w:rsidR="007744C1">
        <w:t>36</w:t>
      </w:r>
      <w:r w:rsidRPr="00650EE4">
        <w:rPr>
          <w:noProof w:val="0"/>
        </w:rPr>
        <w:fldChar w:fldCharType="end"/>
      </w:r>
      <w:r w:rsidRPr="00650EE4">
        <w:rPr>
          <w:noProof w:val="0"/>
        </w:rPr>
        <w:t xml:space="preserve"> lentelė. Renovacijos priemonių investicijos (</w:t>
      </w:r>
      <w:proofErr w:type="spellStart"/>
      <w:r w:rsidRPr="00650EE4">
        <w:rPr>
          <w:noProof w:val="0"/>
        </w:rPr>
        <w:t>Eur</w:t>
      </w:r>
      <w:proofErr w:type="spellEnd"/>
      <w:r w:rsidRPr="00650EE4">
        <w:rPr>
          <w:noProof w:val="0"/>
        </w:rPr>
        <w:t>/m</w:t>
      </w:r>
      <w:r w:rsidRPr="00650EE4">
        <w:rPr>
          <w:noProof w:val="0"/>
          <w:vertAlign w:val="superscript"/>
        </w:rPr>
        <w:t>2</w:t>
      </w:r>
      <w:r w:rsidRPr="00650EE4">
        <w:rPr>
          <w:noProof w:val="0"/>
        </w:rPr>
        <w:t>)</w:t>
      </w:r>
      <w:bookmarkEnd w:id="93"/>
    </w:p>
    <w:tbl>
      <w:tblPr>
        <w:tblW w:w="5000" w:type="pct"/>
        <w:tblLayout w:type="fixed"/>
        <w:tblLook w:val="04A0" w:firstRow="1" w:lastRow="0" w:firstColumn="1" w:lastColumn="0" w:noHBand="0" w:noVBand="1"/>
      </w:tblPr>
      <w:tblGrid>
        <w:gridCol w:w="575"/>
        <w:gridCol w:w="1736"/>
        <w:gridCol w:w="725"/>
        <w:gridCol w:w="725"/>
        <w:gridCol w:w="1207"/>
        <w:gridCol w:w="1207"/>
        <w:gridCol w:w="1209"/>
        <w:gridCol w:w="1450"/>
        <w:gridCol w:w="1586"/>
      </w:tblGrid>
      <w:tr w:rsidR="004446CD" w:rsidRPr="00650EE4" w14:paraId="074EBBBC" w14:textId="77777777" w:rsidTr="001E13DD">
        <w:trPr>
          <w:trHeight w:val="204"/>
          <w:tblHeader/>
        </w:trPr>
        <w:tc>
          <w:tcPr>
            <w:tcW w:w="27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501B33"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Nr.</w:t>
            </w:r>
          </w:p>
          <w:p w14:paraId="3030407B" w14:textId="77777777" w:rsidR="004446CD" w:rsidRPr="00650EE4" w:rsidRDefault="004446CD" w:rsidP="001E13DD">
            <w:pPr>
              <w:spacing w:line="240" w:lineRule="auto"/>
              <w:jc w:val="center"/>
              <w:rPr>
                <w:rFonts w:ascii="Times New Roman" w:eastAsia="Times New Roman" w:hAnsi="Times New Roman"/>
                <w:b/>
                <w:bCs/>
                <w:sz w:val="20"/>
                <w:szCs w:val="20"/>
              </w:rPr>
            </w:pP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67710"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Paketas</w:t>
            </w:r>
          </w:p>
        </w:tc>
        <w:tc>
          <w:tcPr>
            <w:tcW w:w="69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CB28C7C"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ENK</w:t>
            </w:r>
          </w:p>
        </w:tc>
        <w:tc>
          <w:tcPr>
            <w:tcW w:w="1738" w:type="pct"/>
            <w:gridSpan w:val="3"/>
            <w:tcBorders>
              <w:top w:val="single" w:sz="4" w:space="0" w:color="auto"/>
              <w:left w:val="nil"/>
              <w:bottom w:val="single" w:sz="4" w:space="0" w:color="auto"/>
              <w:right w:val="single" w:sz="4" w:space="0" w:color="auto"/>
            </w:tcBorders>
            <w:shd w:val="clear" w:color="auto" w:fill="auto"/>
            <w:noWrap/>
            <w:vAlign w:val="center"/>
            <w:hideMark/>
          </w:tcPr>
          <w:p w14:paraId="78C44B8F"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Daugiabučiai</w:t>
            </w:r>
          </w:p>
        </w:tc>
        <w:tc>
          <w:tcPr>
            <w:tcW w:w="69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396FA"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Individualūs</w:t>
            </w:r>
          </w:p>
        </w:tc>
        <w:tc>
          <w:tcPr>
            <w:tcW w:w="76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3A932"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Negyvenamieji</w:t>
            </w:r>
          </w:p>
        </w:tc>
      </w:tr>
      <w:tr w:rsidR="004446CD" w:rsidRPr="00650EE4" w14:paraId="6E85DA24" w14:textId="77777777" w:rsidTr="001E13DD">
        <w:trPr>
          <w:trHeight w:val="214"/>
          <w:tblHeader/>
        </w:trPr>
        <w:tc>
          <w:tcPr>
            <w:tcW w:w="276" w:type="pct"/>
            <w:vMerge/>
            <w:tcBorders>
              <w:top w:val="single" w:sz="4" w:space="0" w:color="auto"/>
              <w:left w:val="single" w:sz="4" w:space="0" w:color="auto"/>
              <w:bottom w:val="single" w:sz="4" w:space="0" w:color="auto"/>
              <w:right w:val="single" w:sz="4" w:space="0" w:color="auto"/>
            </w:tcBorders>
            <w:vAlign w:val="center"/>
            <w:hideMark/>
          </w:tcPr>
          <w:p w14:paraId="7284C33B" w14:textId="77777777" w:rsidR="004446CD" w:rsidRPr="00650EE4" w:rsidRDefault="004446CD" w:rsidP="001E13DD">
            <w:pPr>
              <w:spacing w:line="240" w:lineRule="auto"/>
              <w:rPr>
                <w:rFonts w:ascii="Times New Roman" w:eastAsia="Times New Roman" w:hAnsi="Times New Roman"/>
                <w:b/>
                <w:bCs/>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6A42A784" w14:textId="77777777" w:rsidR="004446CD" w:rsidRPr="00650EE4" w:rsidRDefault="004446CD" w:rsidP="001E13DD">
            <w:pPr>
              <w:spacing w:line="240" w:lineRule="auto"/>
              <w:rPr>
                <w:rFonts w:ascii="Times New Roman" w:eastAsia="Times New Roman" w:hAnsi="Times New Roman"/>
                <w:b/>
                <w:bCs/>
                <w:sz w:val="20"/>
                <w:szCs w:val="20"/>
              </w:rPr>
            </w:pPr>
          </w:p>
        </w:tc>
        <w:tc>
          <w:tcPr>
            <w:tcW w:w="348" w:type="pct"/>
            <w:tcBorders>
              <w:top w:val="nil"/>
              <w:left w:val="nil"/>
              <w:bottom w:val="single" w:sz="4" w:space="0" w:color="auto"/>
              <w:right w:val="single" w:sz="4" w:space="0" w:color="auto"/>
            </w:tcBorders>
            <w:shd w:val="clear" w:color="000000" w:fill="FFFFFF"/>
            <w:noWrap/>
            <w:vAlign w:val="center"/>
            <w:hideMark/>
          </w:tcPr>
          <w:p w14:paraId="1A21612D"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Prieš</w:t>
            </w:r>
          </w:p>
        </w:tc>
        <w:tc>
          <w:tcPr>
            <w:tcW w:w="348" w:type="pct"/>
            <w:tcBorders>
              <w:top w:val="nil"/>
              <w:left w:val="nil"/>
              <w:bottom w:val="single" w:sz="4" w:space="0" w:color="auto"/>
              <w:right w:val="single" w:sz="4" w:space="0" w:color="auto"/>
            </w:tcBorders>
            <w:shd w:val="clear" w:color="000000" w:fill="FFFFFF"/>
            <w:noWrap/>
            <w:vAlign w:val="center"/>
            <w:hideMark/>
          </w:tcPr>
          <w:p w14:paraId="0D99B63F" w14:textId="77777777" w:rsidR="004446CD" w:rsidRPr="00650EE4" w:rsidRDefault="004446CD" w:rsidP="001E13DD">
            <w:pPr>
              <w:spacing w:line="240" w:lineRule="auto"/>
              <w:ind w:hanging="8"/>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Po</w:t>
            </w:r>
          </w:p>
        </w:tc>
        <w:tc>
          <w:tcPr>
            <w:tcW w:w="579" w:type="pct"/>
            <w:tcBorders>
              <w:top w:val="nil"/>
              <w:left w:val="nil"/>
              <w:bottom w:val="single" w:sz="4" w:space="0" w:color="auto"/>
              <w:right w:val="single" w:sz="4" w:space="0" w:color="auto"/>
            </w:tcBorders>
            <w:shd w:val="clear" w:color="000000" w:fill="FFFFFF"/>
            <w:noWrap/>
            <w:vAlign w:val="center"/>
            <w:hideMark/>
          </w:tcPr>
          <w:p w14:paraId="5CF139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Iki 1000 m</w:t>
            </w:r>
            <w:r w:rsidRPr="00650EE4">
              <w:rPr>
                <w:rFonts w:ascii="Times New Roman" w:eastAsia="Times New Roman" w:hAnsi="Times New Roman"/>
                <w:sz w:val="20"/>
                <w:szCs w:val="20"/>
                <w:vertAlign w:val="superscript"/>
              </w:rPr>
              <w:t>2</w:t>
            </w:r>
          </w:p>
        </w:tc>
        <w:tc>
          <w:tcPr>
            <w:tcW w:w="579" w:type="pct"/>
            <w:tcBorders>
              <w:top w:val="nil"/>
              <w:left w:val="nil"/>
              <w:bottom w:val="single" w:sz="4" w:space="0" w:color="auto"/>
              <w:right w:val="single" w:sz="4" w:space="0" w:color="auto"/>
            </w:tcBorders>
            <w:shd w:val="clear" w:color="000000" w:fill="FFFFFF"/>
            <w:noWrap/>
            <w:vAlign w:val="center"/>
            <w:hideMark/>
          </w:tcPr>
          <w:p w14:paraId="2D388AB8" w14:textId="77777777" w:rsidR="004446CD" w:rsidRPr="00650EE4" w:rsidRDefault="004446CD" w:rsidP="001E13DD">
            <w:pPr>
              <w:spacing w:line="240" w:lineRule="auto"/>
              <w:ind w:right="-159" w:hanging="153"/>
              <w:jc w:val="center"/>
              <w:rPr>
                <w:rFonts w:ascii="Times New Roman" w:eastAsia="Times New Roman" w:hAnsi="Times New Roman"/>
                <w:sz w:val="20"/>
                <w:szCs w:val="20"/>
              </w:rPr>
            </w:pPr>
            <w:r w:rsidRPr="00650EE4">
              <w:rPr>
                <w:rFonts w:ascii="Times New Roman" w:eastAsia="Times New Roman" w:hAnsi="Times New Roman"/>
                <w:sz w:val="20"/>
                <w:szCs w:val="20"/>
              </w:rPr>
              <w:t>1000-5000 m</w:t>
            </w:r>
            <w:r w:rsidRPr="00650EE4">
              <w:rPr>
                <w:rFonts w:ascii="Times New Roman" w:eastAsia="Times New Roman" w:hAnsi="Times New Roman"/>
                <w:sz w:val="20"/>
                <w:szCs w:val="20"/>
                <w:vertAlign w:val="superscript"/>
              </w:rPr>
              <w:t>2</w:t>
            </w:r>
          </w:p>
        </w:tc>
        <w:tc>
          <w:tcPr>
            <w:tcW w:w="580" w:type="pct"/>
            <w:tcBorders>
              <w:top w:val="nil"/>
              <w:left w:val="nil"/>
              <w:bottom w:val="single" w:sz="4" w:space="0" w:color="auto"/>
              <w:right w:val="single" w:sz="4" w:space="0" w:color="auto"/>
            </w:tcBorders>
            <w:shd w:val="clear" w:color="000000" w:fill="FFFFFF"/>
            <w:noWrap/>
            <w:vAlign w:val="center"/>
            <w:hideMark/>
          </w:tcPr>
          <w:p w14:paraId="6D2E81CB" w14:textId="77777777" w:rsidR="004446CD" w:rsidRPr="00650EE4" w:rsidRDefault="004446CD" w:rsidP="001E13DD">
            <w:pPr>
              <w:spacing w:line="240" w:lineRule="auto"/>
              <w:ind w:right="-110" w:hanging="199"/>
              <w:jc w:val="center"/>
              <w:rPr>
                <w:rFonts w:ascii="Times New Roman" w:eastAsia="Times New Roman" w:hAnsi="Times New Roman"/>
                <w:sz w:val="20"/>
                <w:szCs w:val="20"/>
              </w:rPr>
            </w:pPr>
            <w:r w:rsidRPr="00650EE4">
              <w:rPr>
                <w:rFonts w:ascii="Times New Roman" w:eastAsia="Times New Roman" w:hAnsi="Times New Roman"/>
                <w:sz w:val="20"/>
                <w:szCs w:val="20"/>
              </w:rPr>
              <w:t>Virš 5000 m</w:t>
            </w:r>
            <w:r w:rsidRPr="00650EE4">
              <w:rPr>
                <w:rFonts w:ascii="Times New Roman" w:eastAsia="Times New Roman" w:hAnsi="Times New Roman"/>
                <w:sz w:val="20"/>
                <w:szCs w:val="20"/>
                <w:vertAlign w:val="superscript"/>
              </w:rPr>
              <w:t>2</w:t>
            </w:r>
          </w:p>
        </w:tc>
        <w:tc>
          <w:tcPr>
            <w:tcW w:w="696" w:type="pct"/>
            <w:vMerge/>
            <w:tcBorders>
              <w:top w:val="single" w:sz="4" w:space="0" w:color="auto"/>
              <w:left w:val="single" w:sz="4" w:space="0" w:color="auto"/>
              <w:bottom w:val="single" w:sz="4" w:space="0" w:color="auto"/>
              <w:right w:val="single" w:sz="4" w:space="0" w:color="auto"/>
            </w:tcBorders>
            <w:vAlign w:val="center"/>
            <w:hideMark/>
          </w:tcPr>
          <w:p w14:paraId="2C36377E" w14:textId="77777777" w:rsidR="004446CD" w:rsidRPr="00650EE4" w:rsidRDefault="004446CD" w:rsidP="001E13DD">
            <w:pPr>
              <w:spacing w:line="240" w:lineRule="auto"/>
              <w:rPr>
                <w:rFonts w:ascii="Times New Roman" w:eastAsia="Times New Roman" w:hAnsi="Times New Roman"/>
                <w:b/>
                <w:bCs/>
                <w:sz w:val="20"/>
                <w:szCs w:val="20"/>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36FBA215" w14:textId="77777777" w:rsidR="004446CD" w:rsidRPr="00650EE4" w:rsidRDefault="004446CD" w:rsidP="001E13DD">
            <w:pPr>
              <w:spacing w:line="240" w:lineRule="auto"/>
              <w:rPr>
                <w:rFonts w:ascii="Times New Roman" w:eastAsia="Times New Roman" w:hAnsi="Times New Roman"/>
                <w:b/>
                <w:bCs/>
                <w:sz w:val="20"/>
                <w:szCs w:val="20"/>
              </w:rPr>
            </w:pPr>
          </w:p>
        </w:tc>
      </w:tr>
      <w:tr w:rsidR="004446CD" w:rsidRPr="00650EE4" w14:paraId="677B9D2E" w14:textId="77777777" w:rsidTr="001E13DD">
        <w:trPr>
          <w:trHeight w:val="214"/>
          <w:tblHeader/>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00E811B" w14:textId="77777777" w:rsidR="004446CD" w:rsidRPr="00650EE4" w:rsidRDefault="004446CD" w:rsidP="001E13DD">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Pagrindiniai paketai</w:t>
            </w:r>
          </w:p>
        </w:tc>
      </w:tr>
      <w:tr w:rsidR="004446CD" w:rsidRPr="00650EE4" w14:paraId="746FDBD9"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C49ECA5"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833" w:type="pct"/>
            <w:tcBorders>
              <w:top w:val="nil"/>
              <w:left w:val="nil"/>
              <w:bottom w:val="single" w:sz="4" w:space="0" w:color="auto"/>
              <w:right w:val="single" w:sz="4" w:space="0" w:color="auto"/>
            </w:tcBorders>
            <w:shd w:val="clear" w:color="000000" w:fill="FFFFFF"/>
            <w:noWrap/>
            <w:vAlign w:val="center"/>
            <w:hideMark/>
          </w:tcPr>
          <w:p w14:paraId="0B081DE2"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C </w:t>
            </w:r>
          </w:p>
        </w:tc>
        <w:tc>
          <w:tcPr>
            <w:tcW w:w="348" w:type="pct"/>
            <w:tcBorders>
              <w:top w:val="nil"/>
              <w:left w:val="nil"/>
              <w:bottom w:val="single" w:sz="4" w:space="0" w:color="auto"/>
              <w:right w:val="single" w:sz="4" w:space="0" w:color="auto"/>
            </w:tcBorders>
            <w:shd w:val="clear" w:color="000000" w:fill="FFFFFF"/>
            <w:noWrap/>
            <w:vAlign w:val="center"/>
            <w:hideMark/>
          </w:tcPr>
          <w:p w14:paraId="516F137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D4A5D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579" w:type="pct"/>
            <w:tcBorders>
              <w:top w:val="nil"/>
              <w:left w:val="nil"/>
              <w:bottom w:val="single" w:sz="4" w:space="0" w:color="auto"/>
              <w:right w:val="single" w:sz="4" w:space="0" w:color="auto"/>
            </w:tcBorders>
            <w:shd w:val="clear" w:color="000000" w:fill="FFFFFF"/>
            <w:noWrap/>
            <w:vAlign w:val="center"/>
            <w:hideMark/>
          </w:tcPr>
          <w:p w14:paraId="18FA637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323</w:t>
            </w:r>
          </w:p>
        </w:tc>
        <w:tc>
          <w:tcPr>
            <w:tcW w:w="579" w:type="pct"/>
            <w:tcBorders>
              <w:top w:val="nil"/>
              <w:left w:val="nil"/>
              <w:bottom w:val="single" w:sz="4" w:space="0" w:color="auto"/>
              <w:right w:val="single" w:sz="4" w:space="0" w:color="auto"/>
            </w:tcBorders>
            <w:shd w:val="clear" w:color="000000" w:fill="FFFFFF"/>
            <w:noWrap/>
            <w:vAlign w:val="center"/>
            <w:hideMark/>
          </w:tcPr>
          <w:p w14:paraId="58C69D3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249</w:t>
            </w:r>
          </w:p>
        </w:tc>
        <w:tc>
          <w:tcPr>
            <w:tcW w:w="580" w:type="pct"/>
            <w:tcBorders>
              <w:top w:val="nil"/>
              <w:left w:val="nil"/>
              <w:bottom w:val="single" w:sz="4" w:space="0" w:color="auto"/>
              <w:right w:val="single" w:sz="4" w:space="0" w:color="auto"/>
            </w:tcBorders>
            <w:shd w:val="clear" w:color="000000" w:fill="FFFFFF"/>
            <w:noWrap/>
            <w:vAlign w:val="center"/>
            <w:hideMark/>
          </w:tcPr>
          <w:p w14:paraId="568AA17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186</w:t>
            </w:r>
          </w:p>
        </w:tc>
        <w:tc>
          <w:tcPr>
            <w:tcW w:w="696" w:type="pct"/>
            <w:tcBorders>
              <w:top w:val="nil"/>
              <w:left w:val="nil"/>
              <w:bottom w:val="single" w:sz="4" w:space="0" w:color="auto"/>
              <w:right w:val="single" w:sz="4" w:space="0" w:color="auto"/>
            </w:tcBorders>
            <w:shd w:val="clear" w:color="000000" w:fill="FFFFFF"/>
            <w:noWrap/>
            <w:vAlign w:val="center"/>
            <w:hideMark/>
          </w:tcPr>
          <w:p w14:paraId="1F616BE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314</w:t>
            </w:r>
          </w:p>
        </w:tc>
        <w:tc>
          <w:tcPr>
            <w:tcW w:w="761" w:type="pct"/>
            <w:tcBorders>
              <w:top w:val="nil"/>
              <w:left w:val="nil"/>
              <w:bottom w:val="single" w:sz="4" w:space="0" w:color="auto"/>
              <w:right w:val="single" w:sz="4" w:space="0" w:color="auto"/>
            </w:tcBorders>
            <w:shd w:val="clear" w:color="000000" w:fill="FFFFFF"/>
            <w:noWrap/>
            <w:vAlign w:val="center"/>
            <w:hideMark/>
          </w:tcPr>
          <w:p w14:paraId="7775920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249</w:t>
            </w:r>
          </w:p>
        </w:tc>
      </w:tr>
      <w:tr w:rsidR="004446CD" w:rsidRPr="00650EE4" w14:paraId="024BEDF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25214CA"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833" w:type="pct"/>
            <w:tcBorders>
              <w:top w:val="nil"/>
              <w:left w:val="nil"/>
              <w:bottom w:val="single" w:sz="4" w:space="0" w:color="auto"/>
              <w:right w:val="single" w:sz="4" w:space="0" w:color="auto"/>
            </w:tcBorders>
            <w:shd w:val="clear" w:color="000000" w:fill="FFFFFF"/>
            <w:noWrap/>
            <w:vAlign w:val="center"/>
            <w:hideMark/>
          </w:tcPr>
          <w:p w14:paraId="21F42DBA"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C  + ŠS</w:t>
            </w:r>
          </w:p>
        </w:tc>
        <w:tc>
          <w:tcPr>
            <w:tcW w:w="348" w:type="pct"/>
            <w:tcBorders>
              <w:top w:val="nil"/>
              <w:left w:val="nil"/>
              <w:bottom w:val="single" w:sz="4" w:space="0" w:color="auto"/>
              <w:right w:val="single" w:sz="4" w:space="0" w:color="auto"/>
            </w:tcBorders>
            <w:shd w:val="clear" w:color="000000" w:fill="FFFFFF"/>
            <w:noWrap/>
            <w:vAlign w:val="center"/>
            <w:hideMark/>
          </w:tcPr>
          <w:p w14:paraId="2F8AEFB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001B4AB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579" w:type="pct"/>
            <w:tcBorders>
              <w:top w:val="nil"/>
              <w:left w:val="nil"/>
              <w:bottom w:val="single" w:sz="4" w:space="0" w:color="auto"/>
              <w:right w:val="single" w:sz="4" w:space="0" w:color="auto"/>
            </w:tcBorders>
            <w:shd w:val="clear" w:color="000000" w:fill="FFFFFF"/>
            <w:noWrap/>
            <w:vAlign w:val="center"/>
            <w:hideMark/>
          </w:tcPr>
          <w:p w14:paraId="320D7B3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361</w:t>
            </w:r>
          </w:p>
        </w:tc>
        <w:tc>
          <w:tcPr>
            <w:tcW w:w="579" w:type="pct"/>
            <w:tcBorders>
              <w:top w:val="nil"/>
              <w:left w:val="nil"/>
              <w:bottom w:val="single" w:sz="4" w:space="0" w:color="auto"/>
              <w:right w:val="single" w:sz="4" w:space="0" w:color="auto"/>
            </w:tcBorders>
            <w:shd w:val="clear" w:color="000000" w:fill="FFFFFF"/>
            <w:noWrap/>
            <w:vAlign w:val="center"/>
            <w:hideMark/>
          </w:tcPr>
          <w:p w14:paraId="4A3D8E3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300</w:t>
            </w:r>
          </w:p>
        </w:tc>
        <w:tc>
          <w:tcPr>
            <w:tcW w:w="580" w:type="pct"/>
            <w:tcBorders>
              <w:top w:val="nil"/>
              <w:left w:val="nil"/>
              <w:bottom w:val="single" w:sz="4" w:space="0" w:color="auto"/>
              <w:right w:val="single" w:sz="4" w:space="0" w:color="auto"/>
            </w:tcBorders>
            <w:shd w:val="clear" w:color="000000" w:fill="FFFFFF"/>
            <w:noWrap/>
            <w:vAlign w:val="center"/>
            <w:hideMark/>
          </w:tcPr>
          <w:p w14:paraId="36854E3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226</w:t>
            </w:r>
          </w:p>
        </w:tc>
        <w:tc>
          <w:tcPr>
            <w:tcW w:w="696" w:type="pct"/>
            <w:tcBorders>
              <w:top w:val="nil"/>
              <w:left w:val="nil"/>
              <w:bottom w:val="single" w:sz="4" w:space="0" w:color="auto"/>
              <w:right w:val="single" w:sz="4" w:space="0" w:color="auto"/>
            </w:tcBorders>
            <w:shd w:val="clear" w:color="000000" w:fill="FFFFFF"/>
            <w:noWrap/>
            <w:vAlign w:val="center"/>
            <w:hideMark/>
          </w:tcPr>
          <w:p w14:paraId="331647F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405</w:t>
            </w:r>
          </w:p>
        </w:tc>
        <w:tc>
          <w:tcPr>
            <w:tcW w:w="761" w:type="pct"/>
            <w:tcBorders>
              <w:top w:val="nil"/>
              <w:left w:val="nil"/>
              <w:bottom w:val="single" w:sz="4" w:space="0" w:color="auto"/>
              <w:right w:val="single" w:sz="4" w:space="0" w:color="auto"/>
            </w:tcBorders>
            <w:shd w:val="clear" w:color="000000" w:fill="FFFFFF"/>
            <w:noWrap/>
            <w:vAlign w:val="center"/>
            <w:hideMark/>
          </w:tcPr>
          <w:p w14:paraId="78D4444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317-349</w:t>
            </w:r>
          </w:p>
        </w:tc>
      </w:tr>
      <w:tr w:rsidR="004446CD" w:rsidRPr="00650EE4" w14:paraId="24E0B71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5F53A4E"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1BCA9BCE"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C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46C7F3A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7FDBCC0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579" w:type="pct"/>
            <w:tcBorders>
              <w:top w:val="nil"/>
              <w:left w:val="nil"/>
              <w:bottom w:val="single" w:sz="4" w:space="0" w:color="auto"/>
              <w:right w:val="single" w:sz="4" w:space="0" w:color="auto"/>
            </w:tcBorders>
            <w:shd w:val="clear" w:color="000000" w:fill="FFFFFF"/>
            <w:noWrap/>
            <w:vAlign w:val="center"/>
            <w:hideMark/>
          </w:tcPr>
          <w:p w14:paraId="2E2FDBE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400</w:t>
            </w:r>
          </w:p>
        </w:tc>
        <w:tc>
          <w:tcPr>
            <w:tcW w:w="579" w:type="pct"/>
            <w:tcBorders>
              <w:top w:val="nil"/>
              <w:left w:val="nil"/>
              <w:bottom w:val="single" w:sz="4" w:space="0" w:color="auto"/>
              <w:right w:val="single" w:sz="4" w:space="0" w:color="auto"/>
            </w:tcBorders>
            <w:shd w:val="clear" w:color="000000" w:fill="FFFFFF"/>
            <w:noWrap/>
            <w:vAlign w:val="center"/>
            <w:hideMark/>
          </w:tcPr>
          <w:p w14:paraId="7D13E3D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331</w:t>
            </w:r>
          </w:p>
        </w:tc>
        <w:tc>
          <w:tcPr>
            <w:tcW w:w="580" w:type="pct"/>
            <w:tcBorders>
              <w:top w:val="nil"/>
              <w:left w:val="nil"/>
              <w:bottom w:val="single" w:sz="4" w:space="0" w:color="auto"/>
              <w:right w:val="single" w:sz="4" w:space="0" w:color="auto"/>
            </w:tcBorders>
            <w:shd w:val="clear" w:color="000000" w:fill="FFFFFF"/>
            <w:noWrap/>
            <w:vAlign w:val="center"/>
            <w:hideMark/>
          </w:tcPr>
          <w:p w14:paraId="7F188E6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251</w:t>
            </w:r>
          </w:p>
        </w:tc>
        <w:tc>
          <w:tcPr>
            <w:tcW w:w="696" w:type="pct"/>
            <w:tcBorders>
              <w:top w:val="nil"/>
              <w:left w:val="nil"/>
              <w:bottom w:val="single" w:sz="4" w:space="0" w:color="auto"/>
              <w:right w:val="single" w:sz="4" w:space="0" w:color="auto"/>
            </w:tcBorders>
            <w:shd w:val="clear" w:color="000000" w:fill="FFFFFF"/>
            <w:noWrap/>
            <w:vAlign w:val="center"/>
            <w:hideMark/>
          </w:tcPr>
          <w:p w14:paraId="6C1C542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473</w:t>
            </w:r>
          </w:p>
        </w:tc>
        <w:tc>
          <w:tcPr>
            <w:tcW w:w="761" w:type="pct"/>
            <w:tcBorders>
              <w:top w:val="nil"/>
              <w:left w:val="nil"/>
              <w:bottom w:val="single" w:sz="4" w:space="0" w:color="auto"/>
              <w:right w:val="single" w:sz="4" w:space="0" w:color="auto"/>
            </w:tcBorders>
            <w:shd w:val="clear" w:color="000000" w:fill="FFFFFF"/>
            <w:noWrap/>
            <w:vAlign w:val="center"/>
            <w:hideMark/>
          </w:tcPr>
          <w:p w14:paraId="15D4EEF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385-416</w:t>
            </w:r>
          </w:p>
        </w:tc>
      </w:tr>
      <w:tr w:rsidR="004446CD" w:rsidRPr="00650EE4" w14:paraId="4306DFE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5BDC2DF7"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833" w:type="pct"/>
            <w:tcBorders>
              <w:top w:val="nil"/>
              <w:left w:val="nil"/>
              <w:bottom w:val="single" w:sz="4" w:space="0" w:color="auto"/>
              <w:right w:val="single" w:sz="4" w:space="0" w:color="auto"/>
            </w:tcBorders>
            <w:shd w:val="clear" w:color="000000" w:fill="FFFFFF"/>
            <w:noWrap/>
            <w:vAlign w:val="center"/>
            <w:hideMark/>
          </w:tcPr>
          <w:p w14:paraId="28DC434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B </w:t>
            </w:r>
          </w:p>
        </w:tc>
        <w:tc>
          <w:tcPr>
            <w:tcW w:w="348" w:type="pct"/>
            <w:tcBorders>
              <w:top w:val="nil"/>
              <w:left w:val="nil"/>
              <w:bottom w:val="single" w:sz="4" w:space="0" w:color="auto"/>
              <w:right w:val="single" w:sz="4" w:space="0" w:color="auto"/>
            </w:tcBorders>
            <w:shd w:val="clear" w:color="000000" w:fill="FFFFFF"/>
            <w:noWrap/>
            <w:vAlign w:val="center"/>
            <w:hideMark/>
          </w:tcPr>
          <w:p w14:paraId="250EFA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AB580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579" w:type="pct"/>
            <w:tcBorders>
              <w:top w:val="nil"/>
              <w:left w:val="nil"/>
              <w:bottom w:val="single" w:sz="4" w:space="0" w:color="auto"/>
              <w:right w:val="single" w:sz="4" w:space="0" w:color="auto"/>
            </w:tcBorders>
            <w:shd w:val="clear" w:color="000000" w:fill="FFFFFF"/>
            <w:noWrap/>
            <w:vAlign w:val="center"/>
            <w:hideMark/>
          </w:tcPr>
          <w:p w14:paraId="301F9EE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331</w:t>
            </w:r>
          </w:p>
        </w:tc>
        <w:tc>
          <w:tcPr>
            <w:tcW w:w="579" w:type="pct"/>
            <w:tcBorders>
              <w:top w:val="nil"/>
              <w:left w:val="nil"/>
              <w:bottom w:val="single" w:sz="4" w:space="0" w:color="auto"/>
              <w:right w:val="single" w:sz="4" w:space="0" w:color="auto"/>
            </w:tcBorders>
            <w:shd w:val="clear" w:color="000000" w:fill="FFFFFF"/>
            <w:noWrap/>
            <w:vAlign w:val="center"/>
            <w:hideMark/>
          </w:tcPr>
          <w:p w14:paraId="48209E9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255</w:t>
            </w:r>
          </w:p>
        </w:tc>
        <w:tc>
          <w:tcPr>
            <w:tcW w:w="580" w:type="pct"/>
            <w:tcBorders>
              <w:top w:val="nil"/>
              <w:left w:val="nil"/>
              <w:bottom w:val="single" w:sz="4" w:space="0" w:color="auto"/>
              <w:right w:val="single" w:sz="4" w:space="0" w:color="auto"/>
            </w:tcBorders>
            <w:shd w:val="clear" w:color="000000" w:fill="FFFFFF"/>
            <w:noWrap/>
            <w:vAlign w:val="center"/>
            <w:hideMark/>
          </w:tcPr>
          <w:p w14:paraId="2672204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191</w:t>
            </w:r>
          </w:p>
        </w:tc>
        <w:tc>
          <w:tcPr>
            <w:tcW w:w="696" w:type="pct"/>
            <w:tcBorders>
              <w:top w:val="nil"/>
              <w:left w:val="nil"/>
              <w:bottom w:val="single" w:sz="4" w:space="0" w:color="auto"/>
              <w:right w:val="single" w:sz="4" w:space="0" w:color="auto"/>
            </w:tcBorders>
            <w:shd w:val="clear" w:color="000000" w:fill="FFFFFF"/>
            <w:noWrap/>
            <w:vAlign w:val="center"/>
            <w:hideMark/>
          </w:tcPr>
          <w:p w14:paraId="034C96C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322</w:t>
            </w:r>
          </w:p>
        </w:tc>
        <w:tc>
          <w:tcPr>
            <w:tcW w:w="761" w:type="pct"/>
            <w:tcBorders>
              <w:top w:val="nil"/>
              <w:left w:val="nil"/>
              <w:bottom w:val="single" w:sz="4" w:space="0" w:color="auto"/>
              <w:right w:val="single" w:sz="4" w:space="0" w:color="auto"/>
            </w:tcBorders>
            <w:shd w:val="clear" w:color="000000" w:fill="FFFFFF"/>
            <w:noWrap/>
            <w:vAlign w:val="center"/>
            <w:hideMark/>
          </w:tcPr>
          <w:p w14:paraId="2C408A5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255</w:t>
            </w:r>
          </w:p>
        </w:tc>
      </w:tr>
      <w:tr w:rsidR="004446CD" w:rsidRPr="00650EE4" w14:paraId="1AC02CD0"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9C789C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833" w:type="pct"/>
            <w:tcBorders>
              <w:top w:val="nil"/>
              <w:left w:val="nil"/>
              <w:bottom w:val="single" w:sz="4" w:space="0" w:color="auto"/>
              <w:right w:val="single" w:sz="4" w:space="0" w:color="auto"/>
            </w:tcBorders>
            <w:shd w:val="clear" w:color="000000" w:fill="FFFFFF"/>
            <w:noWrap/>
            <w:vAlign w:val="center"/>
            <w:hideMark/>
          </w:tcPr>
          <w:p w14:paraId="76FDD60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B  + ŠS</w:t>
            </w:r>
          </w:p>
        </w:tc>
        <w:tc>
          <w:tcPr>
            <w:tcW w:w="348" w:type="pct"/>
            <w:tcBorders>
              <w:top w:val="nil"/>
              <w:left w:val="nil"/>
              <w:bottom w:val="single" w:sz="4" w:space="0" w:color="auto"/>
              <w:right w:val="single" w:sz="4" w:space="0" w:color="auto"/>
            </w:tcBorders>
            <w:shd w:val="clear" w:color="000000" w:fill="FFFFFF"/>
            <w:noWrap/>
            <w:vAlign w:val="center"/>
            <w:hideMark/>
          </w:tcPr>
          <w:p w14:paraId="0309E8D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E35A55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579" w:type="pct"/>
            <w:tcBorders>
              <w:top w:val="nil"/>
              <w:left w:val="nil"/>
              <w:bottom w:val="single" w:sz="4" w:space="0" w:color="auto"/>
              <w:right w:val="single" w:sz="4" w:space="0" w:color="auto"/>
            </w:tcBorders>
            <w:shd w:val="clear" w:color="000000" w:fill="FFFFFF"/>
            <w:noWrap/>
            <w:vAlign w:val="center"/>
            <w:hideMark/>
          </w:tcPr>
          <w:p w14:paraId="5B15E24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370</w:t>
            </w:r>
          </w:p>
        </w:tc>
        <w:tc>
          <w:tcPr>
            <w:tcW w:w="579" w:type="pct"/>
            <w:tcBorders>
              <w:top w:val="nil"/>
              <w:left w:val="nil"/>
              <w:bottom w:val="single" w:sz="4" w:space="0" w:color="auto"/>
              <w:right w:val="single" w:sz="4" w:space="0" w:color="auto"/>
            </w:tcBorders>
            <w:shd w:val="clear" w:color="000000" w:fill="FFFFFF"/>
            <w:noWrap/>
            <w:vAlign w:val="center"/>
            <w:hideMark/>
          </w:tcPr>
          <w:p w14:paraId="719610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580" w:type="pct"/>
            <w:tcBorders>
              <w:top w:val="nil"/>
              <w:left w:val="nil"/>
              <w:bottom w:val="single" w:sz="4" w:space="0" w:color="auto"/>
              <w:right w:val="single" w:sz="4" w:space="0" w:color="auto"/>
            </w:tcBorders>
            <w:shd w:val="clear" w:color="000000" w:fill="FFFFFF"/>
            <w:noWrap/>
            <w:vAlign w:val="center"/>
            <w:hideMark/>
          </w:tcPr>
          <w:p w14:paraId="24FF7CF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231</w:t>
            </w:r>
          </w:p>
        </w:tc>
        <w:tc>
          <w:tcPr>
            <w:tcW w:w="696" w:type="pct"/>
            <w:tcBorders>
              <w:top w:val="nil"/>
              <w:left w:val="nil"/>
              <w:bottom w:val="single" w:sz="4" w:space="0" w:color="auto"/>
              <w:right w:val="single" w:sz="4" w:space="0" w:color="auto"/>
            </w:tcBorders>
            <w:shd w:val="clear" w:color="000000" w:fill="FFFFFF"/>
            <w:noWrap/>
            <w:vAlign w:val="center"/>
            <w:hideMark/>
          </w:tcPr>
          <w:p w14:paraId="7869987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413</w:t>
            </w:r>
          </w:p>
        </w:tc>
        <w:tc>
          <w:tcPr>
            <w:tcW w:w="761" w:type="pct"/>
            <w:tcBorders>
              <w:top w:val="nil"/>
              <w:left w:val="nil"/>
              <w:bottom w:val="single" w:sz="4" w:space="0" w:color="auto"/>
              <w:right w:val="single" w:sz="4" w:space="0" w:color="auto"/>
            </w:tcBorders>
            <w:shd w:val="clear" w:color="000000" w:fill="FFFFFF"/>
            <w:noWrap/>
            <w:vAlign w:val="center"/>
            <w:hideMark/>
          </w:tcPr>
          <w:p w14:paraId="060C23A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324-356</w:t>
            </w:r>
          </w:p>
        </w:tc>
      </w:tr>
      <w:tr w:rsidR="004446CD" w:rsidRPr="00650EE4" w14:paraId="4A0CB68F"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5983E00F"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833" w:type="pct"/>
            <w:tcBorders>
              <w:top w:val="nil"/>
              <w:left w:val="nil"/>
              <w:bottom w:val="single" w:sz="4" w:space="0" w:color="auto"/>
              <w:right w:val="single" w:sz="4" w:space="0" w:color="auto"/>
            </w:tcBorders>
            <w:shd w:val="clear" w:color="000000" w:fill="FFFFFF"/>
            <w:noWrap/>
            <w:vAlign w:val="center"/>
            <w:hideMark/>
          </w:tcPr>
          <w:p w14:paraId="333777A4"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B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71F5A06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7717506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579" w:type="pct"/>
            <w:tcBorders>
              <w:top w:val="nil"/>
              <w:left w:val="nil"/>
              <w:bottom w:val="single" w:sz="4" w:space="0" w:color="auto"/>
              <w:right w:val="single" w:sz="4" w:space="0" w:color="auto"/>
            </w:tcBorders>
            <w:shd w:val="clear" w:color="000000" w:fill="FFFFFF"/>
            <w:noWrap/>
            <w:vAlign w:val="center"/>
            <w:hideMark/>
          </w:tcPr>
          <w:p w14:paraId="547385A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408</w:t>
            </w:r>
          </w:p>
        </w:tc>
        <w:tc>
          <w:tcPr>
            <w:tcW w:w="579" w:type="pct"/>
            <w:tcBorders>
              <w:top w:val="nil"/>
              <w:left w:val="nil"/>
              <w:bottom w:val="single" w:sz="4" w:space="0" w:color="auto"/>
              <w:right w:val="single" w:sz="4" w:space="0" w:color="auto"/>
            </w:tcBorders>
            <w:shd w:val="clear" w:color="000000" w:fill="FFFFFF"/>
            <w:noWrap/>
            <w:vAlign w:val="center"/>
            <w:hideMark/>
          </w:tcPr>
          <w:p w14:paraId="6EDB77F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338</w:t>
            </w:r>
          </w:p>
        </w:tc>
        <w:tc>
          <w:tcPr>
            <w:tcW w:w="580" w:type="pct"/>
            <w:tcBorders>
              <w:top w:val="nil"/>
              <w:left w:val="nil"/>
              <w:bottom w:val="single" w:sz="4" w:space="0" w:color="auto"/>
              <w:right w:val="single" w:sz="4" w:space="0" w:color="auto"/>
            </w:tcBorders>
            <w:shd w:val="clear" w:color="000000" w:fill="FFFFFF"/>
            <w:noWrap/>
            <w:vAlign w:val="center"/>
            <w:hideMark/>
          </w:tcPr>
          <w:p w14:paraId="7495205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256</w:t>
            </w:r>
          </w:p>
        </w:tc>
        <w:tc>
          <w:tcPr>
            <w:tcW w:w="696" w:type="pct"/>
            <w:tcBorders>
              <w:top w:val="nil"/>
              <w:left w:val="nil"/>
              <w:bottom w:val="single" w:sz="4" w:space="0" w:color="auto"/>
              <w:right w:val="single" w:sz="4" w:space="0" w:color="auto"/>
            </w:tcBorders>
            <w:shd w:val="clear" w:color="000000" w:fill="FFFFFF"/>
            <w:noWrap/>
            <w:vAlign w:val="center"/>
            <w:hideMark/>
          </w:tcPr>
          <w:p w14:paraId="1806372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481</w:t>
            </w:r>
          </w:p>
        </w:tc>
        <w:tc>
          <w:tcPr>
            <w:tcW w:w="761" w:type="pct"/>
            <w:tcBorders>
              <w:top w:val="nil"/>
              <w:left w:val="nil"/>
              <w:bottom w:val="single" w:sz="4" w:space="0" w:color="auto"/>
              <w:right w:val="single" w:sz="4" w:space="0" w:color="auto"/>
            </w:tcBorders>
            <w:shd w:val="clear" w:color="000000" w:fill="FFFFFF"/>
            <w:noWrap/>
            <w:vAlign w:val="center"/>
            <w:hideMark/>
          </w:tcPr>
          <w:p w14:paraId="417F41D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391-422</w:t>
            </w:r>
          </w:p>
        </w:tc>
      </w:tr>
      <w:tr w:rsidR="004446CD" w:rsidRPr="00650EE4" w14:paraId="675C9CA0"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4C4584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833" w:type="pct"/>
            <w:tcBorders>
              <w:top w:val="nil"/>
              <w:left w:val="nil"/>
              <w:bottom w:val="single" w:sz="4" w:space="0" w:color="auto"/>
              <w:right w:val="single" w:sz="4" w:space="0" w:color="auto"/>
            </w:tcBorders>
            <w:shd w:val="clear" w:color="000000" w:fill="FFFFFF"/>
            <w:noWrap/>
            <w:vAlign w:val="center"/>
            <w:hideMark/>
          </w:tcPr>
          <w:p w14:paraId="5B7C5F55"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4D62262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95EA40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EC8403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351</w:t>
            </w:r>
          </w:p>
        </w:tc>
        <w:tc>
          <w:tcPr>
            <w:tcW w:w="579" w:type="pct"/>
            <w:tcBorders>
              <w:top w:val="nil"/>
              <w:left w:val="nil"/>
              <w:bottom w:val="single" w:sz="4" w:space="0" w:color="auto"/>
              <w:right w:val="single" w:sz="4" w:space="0" w:color="auto"/>
            </w:tcBorders>
            <w:shd w:val="clear" w:color="000000" w:fill="FFFFFF"/>
            <w:noWrap/>
            <w:vAlign w:val="center"/>
            <w:hideMark/>
          </w:tcPr>
          <w:p w14:paraId="73537DD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271</w:t>
            </w:r>
          </w:p>
        </w:tc>
        <w:tc>
          <w:tcPr>
            <w:tcW w:w="580" w:type="pct"/>
            <w:tcBorders>
              <w:top w:val="nil"/>
              <w:left w:val="nil"/>
              <w:bottom w:val="single" w:sz="4" w:space="0" w:color="auto"/>
              <w:right w:val="single" w:sz="4" w:space="0" w:color="auto"/>
            </w:tcBorders>
            <w:shd w:val="clear" w:color="000000" w:fill="FFFFFF"/>
            <w:noWrap/>
            <w:vAlign w:val="center"/>
            <w:hideMark/>
          </w:tcPr>
          <w:p w14:paraId="650FFD2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202</w:t>
            </w:r>
          </w:p>
        </w:tc>
        <w:tc>
          <w:tcPr>
            <w:tcW w:w="696" w:type="pct"/>
            <w:tcBorders>
              <w:top w:val="nil"/>
              <w:left w:val="nil"/>
              <w:bottom w:val="single" w:sz="4" w:space="0" w:color="auto"/>
              <w:right w:val="single" w:sz="4" w:space="0" w:color="auto"/>
            </w:tcBorders>
            <w:shd w:val="clear" w:color="000000" w:fill="FFFFFF"/>
            <w:noWrap/>
            <w:vAlign w:val="center"/>
            <w:hideMark/>
          </w:tcPr>
          <w:p w14:paraId="317046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341</w:t>
            </w:r>
          </w:p>
        </w:tc>
        <w:tc>
          <w:tcPr>
            <w:tcW w:w="761" w:type="pct"/>
            <w:tcBorders>
              <w:top w:val="nil"/>
              <w:left w:val="nil"/>
              <w:bottom w:val="single" w:sz="4" w:space="0" w:color="auto"/>
              <w:right w:val="single" w:sz="4" w:space="0" w:color="auto"/>
            </w:tcBorders>
            <w:shd w:val="clear" w:color="000000" w:fill="FFFFFF"/>
            <w:noWrap/>
            <w:vAlign w:val="center"/>
            <w:hideMark/>
          </w:tcPr>
          <w:p w14:paraId="3B5C84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271</w:t>
            </w:r>
          </w:p>
        </w:tc>
      </w:tr>
      <w:tr w:rsidR="004446CD" w:rsidRPr="00650EE4" w14:paraId="72AB3486"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6F183C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833" w:type="pct"/>
            <w:tcBorders>
              <w:top w:val="nil"/>
              <w:left w:val="nil"/>
              <w:bottom w:val="single" w:sz="4" w:space="0" w:color="auto"/>
              <w:right w:val="single" w:sz="4" w:space="0" w:color="auto"/>
            </w:tcBorders>
            <w:shd w:val="clear" w:color="000000" w:fill="FFFFFF"/>
            <w:noWrap/>
            <w:vAlign w:val="center"/>
            <w:hideMark/>
          </w:tcPr>
          <w:p w14:paraId="5A5991CE"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393B793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39A6ADC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A65102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381</w:t>
            </w:r>
          </w:p>
        </w:tc>
        <w:tc>
          <w:tcPr>
            <w:tcW w:w="579" w:type="pct"/>
            <w:tcBorders>
              <w:top w:val="nil"/>
              <w:left w:val="nil"/>
              <w:bottom w:val="single" w:sz="4" w:space="0" w:color="auto"/>
              <w:right w:val="single" w:sz="4" w:space="0" w:color="auto"/>
            </w:tcBorders>
            <w:shd w:val="clear" w:color="000000" w:fill="FFFFFF"/>
            <w:noWrap/>
            <w:vAlign w:val="center"/>
            <w:hideMark/>
          </w:tcPr>
          <w:p w14:paraId="222A24E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310</w:t>
            </w:r>
          </w:p>
        </w:tc>
        <w:tc>
          <w:tcPr>
            <w:tcW w:w="580" w:type="pct"/>
            <w:tcBorders>
              <w:top w:val="nil"/>
              <w:left w:val="nil"/>
              <w:bottom w:val="single" w:sz="4" w:space="0" w:color="auto"/>
              <w:right w:val="single" w:sz="4" w:space="0" w:color="auto"/>
            </w:tcBorders>
            <w:shd w:val="clear" w:color="000000" w:fill="FFFFFF"/>
            <w:noWrap/>
            <w:vAlign w:val="center"/>
            <w:hideMark/>
          </w:tcPr>
          <w:p w14:paraId="45D67F3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233</w:t>
            </w:r>
          </w:p>
        </w:tc>
        <w:tc>
          <w:tcPr>
            <w:tcW w:w="696" w:type="pct"/>
            <w:tcBorders>
              <w:top w:val="nil"/>
              <w:left w:val="nil"/>
              <w:bottom w:val="single" w:sz="4" w:space="0" w:color="auto"/>
              <w:right w:val="single" w:sz="4" w:space="0" w:color="auto"/>
            </w:tcBorders>
            <w:shd w:val="clear" w:color="000000" w:fill="FFFFFF"/>
            <w:noWrap/>
            <w:vAlign w:val="center"/>
            <w:hideMark/>
          </w:tcPr>
          <w:p w14:paraId="50DC58B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414</w:t>
            </w:r>
          </w:p>
        </w:tc>
        <w:tc>
          <w:tcPr>
            <w:tcW w:w="761" w:type="pct"/>
            <w:tcBorders>
              <w:top w:val="nil"/>
              <w:left w:val="nil"/>
              <w:bottom w:val="single" w:sz="4" w:space="0" w:color="auto"/>
              <w:right w:val="single" w:sz="4" w:space="0" w:color="auto"/>
            </w:tcBorders>
            <w:shd w:val="clear" w:color="000000" w:fill="FFFFFF"/>
            <w:noWrap/>
            <w:vAlign w:val="center"/>
            <w:hideMark/>
          </w:tcPr>
          <w:p w14:paraId="30456E7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315-340</w:t>
            </w:r>
          </w:p>
        </w:tc>
      </w:tr>
      <w:tr w:rsidR="004446CD" w:rsidRPr="00650EE4" w14:paraId="3425DDFF"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D0AF776"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833" w:type="pct"/>
            <w:tcBorders>
              <w:top w:val="nil"/>
              <w:left w:val="nil"/>
              <w:bottom w:val="single" w:sz="4" w:space="0" w:color="auto"/>
              <w:right w:val="single" w:sz="4" w:space="0" w:color="auto"/>
            </w:tcBorders>
            <w:shd w:val="clear" w:color="000000" w:fill="FFFFFF"/>
            <w:noWrap/>
            <w:vAlign w:val="center"/>
            <w:hideMark/>
          </w:tcPr>
          <w:p w14:paraId="18C42A3C"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3894F46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570B42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FBC713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410</w:t>
            </w:r>
          </w:p>
        </w:tc>
        <w:tc>
          <w:tcPr>
            <w:tcW w:w="579" w:type="pct"/>
            <w:tcBorders>
              <w:top w:val="nil"/>
              <w:left w:val="nil"/>
              <w:bottom w:val="single" w:sz="4" w:space="0" w:color="auto"/>
              <w:right w:val="single" w:sz="4" w:space="0" w:color="auto"/>
            </w:tcBorders>
            <w:shd w:val="clear" w:color="000000" w:fill="FFFFFF"/>
            <w:noWrap/>
            <w:vAlign w:val="center"/>
            <w:hideMark/>
          </w:tcPr>
          <w:p w14:paraId="4B4F5F0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334</w:t>
            </w:r>
          </w:p>
        </w:tc>
        <w:tc>
          <w:tcPr>
            <w:tcW w:w="580" w:type="pct"/>
            <w:tcBorders>
              <w:top w:val="nil"/>
              <w:left w:val="nil"/>
              <w:bottom w:val="single" w:sz="4" w:space="0" w:color="auto"/>
              <w:right w:val="single" w:sz="4" w:space="0" w:color="auto"/>
            </w:tcBorders>
            <w:shd w:val="clear" w:color="000000" w:fill="FFFFFF"/>
            <w:noWrap/>
            <w:vAlign w:val="center"/>
            <w:hideMark/>
          </w:tcPr>
          <w:p w14:paraId="3EFCB3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252</w:t>
            </w:r>
          </w:p>
        </w:tc>
        <w:tc>
          <w:tcPr>
            <w:tcW w:w="696" w:type="pct"/>
            <w:tcBorders>
              <w:top w:val="nil"/>
              <w:left w:val="nil"/>
              <w:bottom w:val="single" w:sz="4" w:space="0" w:color="auto"/>
              <w:right w:val="single" w:sz="4" w:space="0" w:color="auto"/>
            </w:tcBorders>
            <w:shd w:val="clear" w:color="000000" w:fill="FFFFFF"/>
            <w:noWrap/>
            <w:vAlign w:val="center"/>
            <w:hideMark/>
          </w:tcPr>
          <w:p w14:paraId="7F7A806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465</w:t>
            </w:r>
          </w:p>
        </w:tc>
        <w:tc>
          <w:tcPr>
            <w:tcW w:w="761" w:type="pct"/>
            <w:tcBorders>
              <w:top w:val="nil"/>
              <w:left w:val="nil"/>
              <w:bottom w:val="single" w:sz="4" w:space="0" w:color="auto"/>
              <w:right w:val="single" w:sz="4" w:space="0" w:color="auto"/>
            </w:tcBorders>
            <w:shd w:val="clear" w:color="000000" w:fill="FFFFFF"/>
            <w:noWrap/>
            <w:vAlign w:val="center"/>
            <w:hideMark/>
          </w:tcPr>
          <w:p w14:paraId="199CEC6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361-381</w:t>
            </w:r>
          </w:p>
        </w:tc>
      </w:tr>
      <w:tr w:rsidR="004446CD" w:rsidRPr="00650EE4" w14:paraId="6751C98F"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BC24A6B"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833" w:type="pct"/>
            <w:tcBorders>
              <w:top w:val="nil"/>
              <w:left w:val="nil"/>
              <w:bottom w:val="single" w:sz="4" w:space="0" w:color="auto"/>
              <w:right w:val="single" w:sz="4" w:space="0" w:color="auto"/>
            </w:tcBorders>
            <w:shd w:val="clear" w:color="000000" w:fill="FFFFFF"/>
            <w:noWrap/>
            <w:vAlign w:val="center"/>
            <w:hideMark/>
          </w:tcPr>
          <w:p w14:paraId="57ADA8FC"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3C38BBA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6783523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3F6582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316</w:t>
            </w:r>
          </w:p>
        </w:tc>
        <w:tc>
          <w:tcPr>
            <w:tcW w:w="579" w:type="pct"/>
            <w:tcBorders>
              <w:top w:val="nil"/>
              <w:left w:val="nil"/>
              <w:bottom w:val="single" w:sz="4" w:space="0" w:color="auto"/>
              <w:right w:val="single" w:sz="4" w:space="0" w:color="auto"/>
            </w:tcBorders>
            <w:shd w:val="clear" w:color="000000" w:fill="FFFFFF"/>
            <w:noWrap/>
            <w:vAlign w:val="center"/>
            <w:hideMark/>
          </w:tcPr>
          <w:p w14:paraId="0C9FDAC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244</w:t>
            </w:r>
          </w:p>
        </w:tc>
        <w:tc>
          <w:tcPr>
            <w:tcW w:w="580" w:type="pct"/>
            <w:tcBorders>
              <w:top w:val="nil"/>
              <w:left w:val="nil"/>
              <w:bottom w:val="single" w:sz="4" w:space="0" w:color="auto"/>
              <w:right w:val="single" w:sz="4" w:space="0" w:color="auto"/>
            </w:tcBorders>
            <w:shd w:val="clear" w:color="000000" w:fill="FFFFFF"/>
            <w:noWrap/>
            <w:vAlign w:val="center"/>
            <w:hideMark/>
          </w:tcPr>
          <w:p w14:paraId="6B9806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182</w:t>
            </w:r>
          </w:p>
        </w:tc>
        <w:tc>
          <w:tcPr>
            <w:tcW w:w="696" w:type="pct"/>
            <w:tcBorders>
              <w:top w:val="nil"/>
              <w:left w:val="nil"/>
              <w:bottom w:val="single" w:sz="4" w:space="0" w:color="auto"/>
              <w:right w:val="single" w:sz="4" w:space="0" w:color="auto"/>
            </w:tcBorders>
            <w:shd w:val="clear" w:color="000000" w:fill="FFFFFF"/>
            <w:noWrap/>
            <w:vAlign w:val="center"/>
            <w:hideMark/>
          </w:tcPr>
          <w:p w14:paraId="422F64D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761" w:type="pct"/>
            <w:tcBorders>
              <w:top w:val="nil"/>
              <w:left w:val="nil"/>
              <w:bottom w:val="single" w:sz="4" w:space="0" w:color="auto"/>
              <w:right w:val="single" w:sz="4" w:space="0" w:color="auto"/>
            </w:tcBorders>
            <w:shd w:val="clear" w:color="000000" w:fill="FFFFFF"/>
            <w:noWrap/>
            <w:vAlign w:val="center"/>
            <w:hideMark/>
          </w:tcPr>
          <w:p w14:paraId="2F3D8CD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244</w:t>
            </w:r>
          </w:p>
        </w:tc>
      </w:tr>
      <w:tr w:rsidR="004446CD" w:rsidRPr="00650EE4" w14:paraId="2545A619"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7AE5388"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833" w:type="pct"/>
            <w:tcBorders>
              <w:top w:val="nil"/>
              <w:left w:val="nil"/>
              <w:bottom w:val="single" w:sz="4" w:space="0" w:color="auto"/>
              <w:right w:val="single" w:sz="4" w:space="0" w:color="auto"/>
            </w:tcBorders>
            <w:shd w:val="clear" w:color="000000" w:fill="FFFFFF"/>
            <w:noWrap/>
            <w:vAlign w:val="center"/>
            <w:hideMark/>
          </w:tcPr>
          <w:p w14:paraId="05C7676B"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4DD733A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348" w:type="pct"/>
            <w:tcBorders>
              <w:top w:val="nil"/>
              <w:left w:val="nil"/>
              <w:bottom w:val="single" w:sz="4" w:space="0" w:color="auto"/>
              <w:right w:val="single" w:sz="4" w:space="0" w:color="auto"/>
            </w:tcBorders>
            <w:shd w:val="clear" w:color="000000" w:fill="FFFFFF"/>
            <w:noWrap/>
            <w:vAlign w:val="center"/>
            <w:hideMark/>
          </w:tcPr>
          <w:p w14:paraId="53E4BDC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951FCD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355</w:t>
            </w:r>
          </w:p>
        </w:tc>
        <w:tc>
          <w:tcPr>
            <w:tcW w:w="579" w:type="pct"/>
            <w:tcBorders>
              <w:top w:val="nil"/>
              <w:left w:val="nil"/>
              <w:bottom w:val="single" w:sz="4" w:space="0" w:color="auto"/>
              <w:right w:val="single" w:sz="4" w:space="0" w:color="auto"/>
            </w:tcBorders>
            <w:shd w:val="clear" w:color="000000" w:fill="FFFFFF"/>
            <w:noWrap/>
            <w:vAlign w:val="center"/>
            <w:hideMark/>
          </w:tcPr>
          <w:p w14:paraId="295CE99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281</w:t>
            </w:r>
          </w:p>
        </w:tc>
        <w:tc>
          <w:tcPr>
            <w:tcW w:w="580" w:type="pct"/>
            <w:tcBorders>
              <w:top w:val="nil"/>
              <w:left w:val="nil"/>
              <w:bottom w:val="single" w:sz="4" w:space="0" w:color="auto"/>
              <w:right w:val="single" w:sz="4" w:space="0" w:color="auto"/>
            </w:tcBorders>
            <w:shd w:val="clear" w:color="000000" w:fill="FFFFFF"/>
            <w:noWrap/>
            <w:vAlign w:val="center"/>
            <w:hideMark/>
          </w:tcPr>
          <w:p w14:paraId="6C7A35D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213</w:t>
            </w:r>
          </w:p>
        </w:tc>
        <w:tc>
          <w:tcPr>
            <w:tcW w:w="696" w:type="pct"/>
            <w:tcBorders>
              <w:top w:val="nil"/>
              <w:left w:val="nil"/>
              <w:bottom w:val="single" w:sz="4" w:space="0" w:color="auto"/>
              <w:right w:val="single" w:sz="4" w:space="0" w:color="auto"/>
            </w:tcBorders>
            <w:shd w:val="clear" w:color="000000" w:fill="FFFFFF"/>
            <w:noWrap/>
            <w:vAlign w:val="center"/>
            <w:hideMark/>
          </w:tcPr>
          <w:p w14:paraId="27719B0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382</w:t>
            </w:r>
          </w:p>
        </w:tc>
        <w:tc>
          <w:tcPr>
            <w:tcW w:w="761" w:type="pct"/>
            <w:tcBorders>
              <w:top w:val="nil"/>
              <w:left w:val="nil"/>
              <w:bottom w:val="single" w:sz="4" w:space="0" w:color="auto"/>
              <w:right w:val="single" w:sz="4" w:space="0" w:color="auto"/>
            </w:tcBorders>
            <w:shd w:val="clear" w:color="000000" w:fill="FFFFFF"/>
            <w:noWrap/>
            <w:vAlign w:val="center"/>
            <w:hideMark/>
          </w:tcPr>
          <w:p w14:paraId="4C56494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291-311</w:t>
            </w:r>
          </w:p>
        </w:tc>
      </w:tr>
      <w:tr w:rsidR="004446CD" w:rsidRPr="00650EE4" w14:paraId="5AB4D32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C01D23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833" w:type="pct"/>
            <w:tcBorders>
              <w:top w:val="nil"/>
              <w:left w:val="nil"/>
              <w:bottom w:val="single" w:sz="4" w:space="0" w:color="auto"/>
              <w:right w:val="single" w:sz="4" w:space="0" w:color="auto"/>
            </w:tcBorders>
            <w:shd w:val="clear" w:color="000000" w:fill="FFFFFF"/>
            <w:noWrap/>
            <w:vAlign w:val="center"/>
            <w:hideMark/>
          </w:tcPr>
          <w:p w14:paraId="6CEB6119"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1CF8EE5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348" w:type="pct"/>
            <w:tcBorders>
              <w:top w:val="nil"/>
              <w:left w:val="nil"/>
              <w:bottom w:val="single" w:sz="4" w:space="0" w:color="auto"/>
              <w:right w:val="single" w:sz="4" w:space="0" w:color="auto"/>
            </w:tcBorders>
            <w:shd w:val="clear" w:color="000000" w:fill="FFFFFF"/>
            <w:noWrap/>
            <w:vAlign w:val="center"/>
            <w:hideMark/>
          </w:tcPr>
          <w:p w14:paraId="14DCA6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FE5776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383</w:t>
            </w:r>
          </w:p>
        </w:tc>
        <w:tc>
          <w:tcPr>
            <w:tcW w:w="579" w:type="pct"/>
            <w:tcBorders>
              <w:top w:val="nil"/>
              <w:left w:val="nil"/>
              <w:bottom w:val="single" w:sz="4" w:space="0" w:color="auto"/>
              <w:right w:val="single" w:sz="4" w:space="0" w:color="auto"/>
            </w:tcBorders>
            <w:shd w:val="clear" w:color="000000" w:fill="FFFFFF"/>
            <w:noWrap/>
            <w:vAlign w:val="center"/>
            <w:hideMark/>
          </w:tcPr>
          <w:p w14:paraId="5122553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304</w:t>
            </w:r>
          </w:p>
        </w:tc>
        <w:tc>
          <w:tcPr>
            <w:tcW w:w="580" w:type="pct"/>
            <w:tcBorders>
              <w:top w:val="nil"/>
              <w:left w:val="nil"/>
              <w:bottom w:val="single" w:sz="4" w:space="0" w:color="auto"/>
              <w:right w:val="single" w:sz="4" w:space="0" w:color="auto"/>
            </w:tcBorders>
            <w:shd w:val="clear" w:color="000000" w:fill="FFFFFF"/>
            <w:noWrap/>
            <w:vAlign w:val="center"/>
            <w:hideMark/>
          </w:tcPr>
          <w:p w14:paraId="2D2B7AF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232</w:t>
            </w:r>
          </w:p>
        </w:tc>
        <w:tc>
          <w:tcPr>
            <w:tcW w:w="696" w:type="pct"/>
            <w:tcBorders>
              <w:top w:val="nil"/>
              <w:left w:val="nil"/>
              <w:bottom w:val="single" w:sz="4" w:space="0" w:color="auto"/>
              <w:right w:val="single" w:sz="4" w:space="0" w:color="auto"/>
            </w:tcBorders>
            <w:shd w:val="clear" w:color="000000" w:fill="FFFFFF"/>
            <w:noWrap/>
            <w:vAlign w:val="center"/>
            <w:hideMark/>
          </w:tcPr>
          <w:p w14:paraId="78183B3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431</w:t>
            </w:r>
          </w:p>
        </w:tc>
        <w:tc>
          <w:tcPr>
            <w:tcW w:w="761" w:type="pct"/>
            <w:tcBorders>
              <w:top w:val="nil"/>
              <w:left w:val="nil"/>
              <w:bottom w:val="single" w:sz="4" w:space="0" w:color="auto"/>
              <w:right w:val="single" w:sz="4" w:space="0" w:color="auto"/>
            </w:tcBorders>
            <w:shd w:val="clear" w:color="000000" w:fill="FFFFFF"/>
            <w:noWrap/>
            <w:vAlign w:val="center"/>
            <w:hideMark/>
          </w:tcPr>
          <w:p w14:paraId="54A50B7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336-355</w:t>
            </w:r>
          </w:p>
        </w:tc>
      </w:tr>
      <w:tr w:rsidR="004446CD" w:rsidRPr="00650EE4" w14:paraId="4DFCDA4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614741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833" w:type="pct"/>
            <w:tcBorders>
              <w:top w:val="nil"/>
              <w:left w:val="nil"/>
              <w:bottom w:val="single" w:sz="4" w:space="0" w:color="auto"/>
              <w:right w:val="single" w:sz="4" w:space="0" w:color="auto"/>
            </w:tcBorders>
            <w:shd w:val="clear" w:color="000000" w:fill="FFFFFF"/>
            <w:noWrap/>
            <w:vAlign w:val="center"/>
            <w:hideMark/>
          </w:tcPr>
          <w:p w14:paraId="39B6DE7D"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3782417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1B166D3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667A70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379</w:t>
            </w:r>
          </w:p>
        </w:tc>
        <w:tc>
          <w:tcPr>
            <w:tcW w:w="579" w:type="pct"/>
            <w:tcBorders>
              <w:top w:val="nil"/>
              <w:left w:val="nil"/>
              <w:bottom w:val="single" w:sz="4" w:space="0" w:color="auto"/>
              <w:right w:val="single" w:sz="4" w:space="0" w:color="auto"/>
            </w:tcBorders>
            <w:shd w:val="clear" w:color="000000" w:fill="FFFFFF"/>
            <w:noWrap/>
            <w:vAlign w:val="center"/>
            <w:hideMark/>
          </w:tcPr>
          <w:p w14:paraId="118064A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292</w:t>
            </w:r>
          </w:p>
        </w:tc>
        <w:tc>
          <w:tcPr>
            <w:tcW w:w="580" w:type="pct"/>
            <w:tcBorders>
              <w:top w:val="nil"/>
              <w:left w:val="nil"/>
              <w:bottom w:val="single" w:sz="4" w:space="0" w:color="auto"/>
              <w:right w:val="single" w:sz="4" w:space="0" w:color="auto"/>
            </w:tcBorders>
            <w:shd w:val="clear" w:color="000000" w:fill="FFFFFF"/>
            <w:noWrap/>
            <w:vAlign w:val="center"/>
            <w:hideMark/>
          </w:tcPr>
          <w:p w14:paraId="05A3419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218</w:t>
            </w:r>
          </w:p>
        </w:tc>
        <w:tc>
          <w:tcPr>
            <w:tcW w:w="696" w:type="pct"/>
            <w:tcBorders>
              <w:top w:val="nil"/>
              <w:left w:val="nil"/>
              <w:bottom w:val="single" w:sz="4" w:space="0" w:color="auto"/>
              <w:right w:val="single" w:sz="4" w:space="0" w:color="auto"/>
            </w:tcBorders>
            <w:shd w:val="clear" w:color="000000" w:fill="FFFFFF"/>
            <w:noWrap/>
            <w:vAlign w:val="center"/>
            <w:hideMark/>
          </w:tcPr>
          <w:p w14:paraId="6317807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369</w:t>
            </w:r>
          </w:p>
        </w:tc>
        <w:tc>
          <w:tcPr>
            <w:tcW w:w="761" w:type="pct"/>
            <w:tcBorders>
              <w:top w:val="nil"/>
              <w:left w:val="nil"/>
              <w:bottom w:val="single" w:sz="4" w:space="0" w:color="auto"/>
              <w:right w:val="single" w:sz="4" w:space="0" w:color="auto"/>
            </w:tcBorders>
            <w:shd w:val="clear" w:color="000000" w:fill="FFFFFF"/>
            <w:noWrap/>
            <w:vAlign w:val="center"/>
            <w:hideMark/>
          </w:tcPr>
          <w:p w14:paraId="17A91E5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292</w:t>
            </w:r>
          </w:p>
        </w:tc>
      </w:tr>
      <w:tr w:rsidR="004446CD" w:rsidRPr="00650EE4" w14:paraId="15F9BE9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84E88E4"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833" w:type="pct"/>
            <w:tcBorders>
              <w:top w:val="nil"/>
              <w:left w:val="nil"/>
              <w:bottom w:val="single" w:sz="4" w:space="0" w:color="auto"/>
              <w:right w:val="single" w:sz="4" w:space="0" w:color="auto"/>
            </w:tcBorders>
            <w:shd w:val="clear" w:color="000000" w:fill="FFFFFF"/>
            <w:noWrap/>
            <w:vAlign w:val="center"/>
            <w:hideMark/>
          </w:tcPr>
          <w:p w14:paraId="77E68E62"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62F133A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5A5820E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1F237F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409</w:t>
            </w:r>
          </w:p>
        </w:tc>
        <w:tc>
          <w:tcPr>
            <w:tcW w:w="579" w:type="pct"/>
            <w:tcBorders>
              <w:top w:val="nil"/>
              <w:left w:val="nil"/>
              <w:bottom w:val="single" w:sz="4" w:space="0" w:color="auto"/>
              <w:right w:val="single" w:sz="4" w:space="0" w:color="auto"/>
            </w:tcBorders>
            <w:shd w:val="clear" w:color="000000" w:fill="FFFFFF"/>
            <w:noWrap/>
            <w:vAlign w:val="center"/>
            <w:hideMark/>
          </w:tcPr>
          <w:p w14:paraId="4459217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331</w:t>
            </w:r>
          </w:p>
        </w:tc>
        <w:tc>
          <w:tcPr>
            <w:tcW w:w="580" w:type="pct"/>
            <w:tcBorders>
              <w:top w:val="nil"/>
              <w:left w:val="nil"/>
              <w:bottom w:val="single" w:sz="4" w:space="0" w:color="auto"/>
              <w:right w:val="single" w:sz="4" w:space="0" w:color="auto"/>
            </w:tcBorders>
            <w:shd w:val="clear" w:color="000000" w:fill="FFFFFF"/>
            <w:noWrap/>
            <w:vAlign w:val="center"/>
            <w:hideMark/>
          </w:tcPr>
          <w:p w14:paraId="2A64E6C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249</w:t>
            </w:r>
          </w:p>
        </w:tc>
        <w:tc>
          <w:tcPr>
            <w:tcW w:w="696" w:type="pct"/>
            <w:tcBorders>
              <w:top w:val="nil"/>
              <w:left w:val="nil"/>
              <w:bottom w:val="single" w:sz="4" w:space="0" w:color="auto"/>
              <w:right w:val="single" w:sz="4" w:space="0" w:color="auto"/>
            </w:tcBorders>
            <w:shd w:val="clear" w:color="000000" w:fill="FFFFFF"/>
            <w:noWrap/>
            <w:vAlign w:val="center"/>
            <w:hideMark/>
          </w:tcPr>
          <w:p w14:paraId="7BF68B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442</w:t>
            </w:r>
          </w:p>
        </w:tc>
        <w:tc>
          <w:tcPr>
            <w:tcW w:w="761" w:type="pct"/>
            <w:tcBorders>
              <w:top w:val="nil"/>
              <w:left w:val="nil"/>
              <w:bottom w:val="single" w:sz="4" w:space="0" w:color="auto"/>
              <w:right w:val="single" w:sz="4" w:space="0" w:color="auto"/>
            </w:tcBorders>
            <w:shd w:val="clear" w:color="000000" w:fill="FFFFFF"/>
            <w:noWrap/>
            <w:vAlign w:val="center"/>
            <w:hideMark/>
          </w:tcPr>
          <w:p w14:paraId="3C5B4F3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337-362</w:t>
            </w:r>
          </w:p>
        </w:tc>
      </w:tr>
      <w:tr w:rsidR="004446CD" w:rsidRPr="00650EE4" w14:paraId="47A51EFB"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910FAF3"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833" w:type="pct"/>
            <w:tcBorders>
              <w:top w:val="nil"/>
              <w:left w:val="nil"/>
              <w:bottom w:val="single" w:sz="4" w:space="0" w:color="auto"/>
              <w:right w:val="single" w:sz="4" w:space="0" w:color="auto"/>
            </w:tcBorders>
            <w:shd w:val="clear" w:color="000000" w:fill="FFFFFF"/>
            <w:noWrap/>
            <w:vAlign w:val="center"/>
            <w:hideMark/>
          </w:tcPr>
          <w:p w14:paraId="0B780530"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166BAB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3BAA952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A284C5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439</w:t>
            </w:r>
          </w:p>
        </w:tc>
        <w:tc>
          <w:tcPr>
            <w:tcW w:w="579" w:type="pct"/>
            <w:tcBorders>
              <w:top w:val="nil"/>
              <w:left w:val="nil"/>
              <w:bottom w:val="single" w:sz="4" w:space="0" w:color="auto"/>
              <w:right w:val="single" w:sz="4" w:space="0" w:color="auto"/>
            </w:tcBorders>
            <w:shd w:val="clear" w:color="000000" w:fill="FFFFFF"/>
            <w:noWrap/>
            <w:vAlign w:val="center"/>
            <w:hideMark/>
          </w:tcPr>
          <w:p w14:paraId="17064D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356</w:t>
            </w:r>
          </w:p>
        </w:tc>
        <w:tc>
          <w:tcPr>
            <w:tcW w:w="580" w:type="pct"/>
            <w:tcBorders>
              <w:top w:val="nil"/>
              <w:left w:val="nil"/>
              <w:bottom w:val="single" w:sz="4" w:space="0" w:color="auto"/>
              <w:right w:val="single" w:sz="4" w:space="0" w:color="auto"/>
            </w:tcBorders>
            <w:shd w:val="clear" w:color="000000" w:fill="FFFFFF"/>
            <w:noWrap/>
            <w:vAlign w:val="center"/>
            <w:hideMark/>
          </w:tcPr>
          <w:p w14:paraId="67E365E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268</w:t>
            </w:r>
          </w:p>
        </w:tc>
        <w:tc>
          <w:tcPr>
            <w:tcW w:w="696" w:type="pct"/>
            <w:tcBorders>
              <w:top w:val="nil"/>
              <w:left w:val="nil"/>
              <w:bottom w:val="single" w:sz="4" w:space="0" w:color="auto"/>
              <w:right w:val="single" w:sz="4" w:space="0" w:color="auto"/>
            </w:tcBorders>
            <w:shd w:val="clear" w:color="000000" w:fill="FFFFFF"/>
            <w:noWrap/>
            <w:vAlign w:val="center"/>
            <w:hideMark/>
          </w:tcPr>
          <w:p w14:paraId="19C9EE4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493</w:t>
            </w:r>
          </w:p>
        </w:tc>
        <w:tc>
          <w:tcPr>
            <w:tcW w:w="761" w:type="pct"/>
            <w:tcBorders>
              <w:top w:val="nil"/>
              <w:left w:val="nil"/>
              <w:bottom w:val="single" w:sz="4" w:space="0" w:color="auto"/>
              <w:right w:val="single" w:sz="4" w:space="0" w:color="auto"/>
            </w:tcBorders>
            <w:shd w:val="clear" w:color="000000" w:fill="FFFFFF"/>
            <w:noWrap/>
            <w:vAlign w:val="center"/>
            <w:hideMark/>
          </w:tcPr>
          <w:p w14:paraId="72C6973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382-403</w:t>
            </w:r>
          </w:p>
        </w:tc>
      </w:tr>
      <w:tr w:rsidR="004446CD" w:rsidRPr="00650EE4" w14:paraId="3A6DD40D"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4A26DF5"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833" w:type="pct"/>
            <w:tcBorders>
              <w:top w:val="nil"/>
              <w:left w:val="nil"/>
              <w:bottom w:val="single" w:sz="4" w:space="0" w:color="auto"/>
              <w:right w:val="single" w:sz="4" w:space="0" w:color="auto"/>
            </w:tcBorders>
            <w:shd w:val="clear" w:color="000000" w:fill="FFFFFF"/>
            <w:noWrap/>
            <w:vAlign w:val="center"/>
            <w:hideMark/>
          </w:tcPr>
          <w:p w14:paraId="066123A1"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57A07FE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43568A8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A0DCB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341</w:t>
            </w:r>
          </w:p>
        </w:tc>
        <w:tc>
          <w:tcPr>
            <w:tcW w:w="579" w:type="pct"/>
            <w:tcBorders>
              <w:top w:val="nil"/>
              <w:left w:val="nil"/>
              <w:bottom w:val="single" w:sz="4" w:space="0" w:color="auto"/>
              <w:right w:val="single" w:sz="4" w:space="0" w:color="auto"/>
            </w:tcBorders>
            <w:shd w:val="clear" w:color="000000" w:fill="FFFFFF"/>
            <w:noWrap/>
            <w:vAlign w:val="center"/>
            <w:hideMark/>
          </w:tcPr>
          <w:p w14:paraId="2E578C6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580" w:type="pct"/>
            <w:tcBorders>
              <w:top w:val="nil"/>
              <w:left w:val="nil"/>
              <w:bottom w:val="single" w:sz="4" w:space="0" w:color="auto"/>
              <w:right w:val="single" w:sz="4" w:space="0" w:color="auto"/>
            </w:tcBorders>
            <w:shd w:val="clear" w:color="000000" w:fill="FFFFFF"/>
            <w:noWrap/>
            <w:vAlign w:val="center"/>
            <w:hideMark/>
          </w:tcPr>
          <w:p w14:paraId="6FB2A0B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197</w:t>
            </w:r>
          </w:p>
        </w:tc>
        <w:tc>
          <w:tcPr>
            <w:tcW w:w="696" w:type="pct"/>
            <w:tcBorders>
              <w:top w:val="nil"/>
              <w:left w:val="nil"/>
              <w:bottom w:val="single" w:sz="4" w:space="0" w:color="auto"/>
              <w:right w:val="single" w:sz="4" w:space="0" w:color="auto"/>
            </w:tcBorders>
            <w:shd w:val="clear" w:color="000000" w:fill="FFFFFF"/>
            <w:noWrap/>
            <w:vAlign w:val="center"/>
            <w:hideMark/>
          </w:tcPr>
          <w:p w14:paraId="32CD51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332</w:t>
            </w:r>
          </w:p>
        </w:tc>
        <w:tc>
          <w:tcPr>
            <w:tcW w:w="761" w:type="pct"/>
            <w:tcBorders>
              <w:top w:val="nil"/>
              <w:left w:val="nil"/>
              <w:bottom w:val="single" w:sz="4" w:space="0" w:color="auto"/>
              <w:right w:val="single" w:sz="4" w:space="0" w:color="auto"/>
            </w:tcBorders>
            <w:shd w:val="clear" w:color="000000" w:fill="FFFFFF"/>
            <w:noWrap/>
            <w:vAlign w:val="center"/>
            <w:hideMark/>
          </w:tcPr>
          <w:p w14:paraId="09BD338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263</w:t>
            </w:r>
          </w:p>
        </w:tc>
      </w:tr>
      <w:tr w:rsidR="004446CD" w:rsidRPr="00650EE4" w14:paraId="0A387D28"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26CB7B0"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833" w:type="pct"/>
            <w:tcBorders>
              <w:top w:val="nil"/>
              <w:left w:val="nil"/>
              <w:bottom w:val="single" w:sz="4" w:space="0" w:color="auto"/>
              <w:right w:val="single" w:sz="4" w:space="0" w:color="auto"/>
            </w:tcBorders>
            <w:shd w:val="clear" w:color="000000" w:fill="FFFFFF"/>
            <w:noWrap/>
            <w:vAlign w:val="center"/>
            <w:hideMark/>
          </w:tcPr>
          <w:p w14:paraId="3FCFA0EC"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1B5D4A3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64F5CB1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47D35C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380</w:t>
            </w:r>
          </w:p>
        </w:tc>
        <w:tc>
          <w:tcPr>
            <w:tcW w:w="579" w:type="pct"/>
            <w:tcBorders>
              <w:top w:val="nil"/>
              <w:left w:val="nil"/>
              <w:bottom w:val="single" w:sz="4" w:space="0" w:color="auto"/>
              <w:right w:val="single" w:sz="4" w:space="0" w:color="auto"/>
            </w:tcBorders>
            <w:shd w:val="clear" w:color="000000" w:fill="FFFFFF"/>
            <w:noWrap/>
            <w:vAlign w:val="center"/>
            <w:hideMark/>
          </w:tcPr>
          <w:p w14:paraId="128405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301</w:t>
            </w:r>
          </w:p>
        </w:tc>
        <w:tc>
          <w:tcPr>
            <w:tcW w:w="580" w:type="pct"/>
            <w:tcBorders>
              <w:top w:val="nil"/>
              <w:left w:val="nil"/>
              <w:bottom w:val="single" w:sz="4" w:space="0" w:color="auto"/>
              <w:right w:val="single" w:sz="4" w:space="0" w:color="auto"/>
            </w:tcBorders>
            <w:shd w:val="clear" w:color="000000" w:fill="FFFFFF"/>
            <w:noWrap/>
            <w:vAlign w:val="center"/>
            <w:hideMark/>
          </w:tcPr>
          <w:p w14:paraId="6DCF330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227</w:t>
            </w:r>
          </w:p>
        </w:tc>
        <w:tc>
          <w:tcPr>
            <w:tcW w:w="696" w:type="pct"/>
            <w:tcBorders>
              <w:top w:val="nil"/>
              <w:left w:val="nil"/>
              <w:bottom w:val="single" w:sz="4" w:space="0" w:color="auto"/>
              <w:right w:val="single" w:sz="4" w:space="0" w:color="auto"/>
            </w:tcBorders>
            <w:shd w:val="clear" w:color="000000" w:fill="FFFFFF"/>
            <w:noWrap/>
            <w:vAlign w:val="center"/>
            <w:hideMark/>
          </w:tcPr>
          <w:p w14:paraId="40E576C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407</w:t>
            </w:r>
          </w:p>
        </w:tc>
        <w:tc>
          <w:tcPr>
            <w:tcW w:w="761" w:type="pct"/>
            <w:tcBorders>
              <w:top w:val="nil"/>
              <w:left w:val="nil"/>
              <w:bottom w:val="single" w:sz="4" w:space="0" w:color="auto"/>
              <w:right w:val="single" w:sz="4" w:space="0" w:color="auto"/>
            </w:tcBorders>
            <w:shd w:val="clear" w:color="000000" w:fill="FFFFFF"/>
            <w:noWrap/>
            <w:vAlign w:val="center"/>
            <w:hideMark/>
          </w:tcPr>
          <w:p w14:paraId="3E096A1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310-330</w:t>
            </w:r>
          </w:p>
        </w:tc>
      </w:tr>
      <w:tr w:rsidR="004446CD" w:rsidRPr="00650EE4" w14:paraId="709C6B6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42617DC"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833" w:type="pct"/>
            <w:tcBorders>
              <w:top w:val="nil"/>
              <w:left w:val="nil"/>
              <w:bottom w:val="single" w:sz="4" w:space="0" w:color="auto"/>
              <w:right w:val="single" w:sz="4" w:space="0" w:color="auto"/>
            </w:tcBorders>
            <w:shd w:val="clear" w:color="000000" w:fill="FFFFFF"/>
            <w:noWrap/>
            <w:vAlign w:val="center"/>
            <w:hideMark/>
          </w:tcPr>
          <w:p w14:paraId="346E32D5"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02A0DC0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70262A1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32AD3D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409</w:t>
            </w:r>
          </w:p>
        </w:tc>
        <w:tc>
          <w:tcPr>
            <w:tcW w:w="579" w:type="pct"/>
            <w:tcBorders>
              <w:top w:val="nil"/>
              <w:left w:val="nil"/>
              <w:bottom w:val="single" w:sz="4" w:space="0" w:color="auto"/>
              <w:right w:val="single" w:sz="4" w:space="0" w:color="auto"/>
            </w:tcBorders>
            <w:shd w:val="clear" w:color="000000" w:fill="FFFFFF"/>
            <w:noWrap/>
            <w:vAlign w:val="center"/>
            <w:hideMark/>
          </w:tcPr>
          <w:p w14:paraId="1D0D8AC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323</w:t>
            </w:r>
          </w:p>
        </w:tc>
        <w:tc>
          <w:tcPr>
            <w:tcW w:w="580" w:type="pct"/>
            <w:tcBorders>
              <w:top w:val="nil"/>
              <w:left w:val="nil"/>
              <w:bottom w:val="single" w:sz="4" w:space="0" w:color="auto"/>
              <w:right w:val="single" w:sz="4" w:space="0" w:color="auto"/>
            </w:tcBorders>
            <w:shd w:val="clear" w:color="000000" w:fill="FFFFFF"/>
            <w:noWrap/>
            <w:vAlign w:val="center"/>
            <w:hideMark/>
          </w:tcPr>
          <w:p w14:paraId="2B923D4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247</w:t>
            </w:r>
          </w:p>
        </w:tc>
        <w:tc>
          <w:tcPr>
            <w:tcW w:w="696" w:type="pct"/>
            <w:tcBorders>
              <w:top w:val="nil"/>
              <w:left w:val="nil"/>
              <w:bottom w:val="single" w:sz="4" w:space="0" w:color="auto"/>
              <w:right w:val="single" w:sz="4" w:space="0" w:color="auto"/>
            </w:tcBorders>
            <w:shd w:val="clear" w:color="000000" w:fill="FFFFFF"/>
            <w:noWrap/>
            <w:vAlign w:val="center"/>
            <w:hideMark/>
          </w:tcPr>
          <w:p w14:paraId="2444B73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456</w:t>
            </w:r>
          </w:p>
        </w:tc>
        <w:tc>
          <w:tcPr>
            <w:tcW w:w="761" w:type="pct"/>
            <w:tcBorders>
              <w:top w:val="nil"/>
              <w:left w:val="nil"/>
              <w:bottom w:val="single" w:sz="4" w:space="0" w:color="auto"/>
              <w:right w:val="single" w:sz="4" w:space="0" w:color="auto"/>
            </w:tcBorders>
            <w:shd w:val="clear" w:color="000000" w:fill="FFFFFF"/>
            <w:noWrap/>
            <w:vAlign w:val="center"/>
            <w:hideMark/>
          </w:tcPr>
          <w:p w14:paraId="7B3663B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356-375</w:t>
            </w:r>
          </w:p>
        </w:tc>
      </w:tr>
      <w:tr w:rsidR="004446CD" w:rsidRPr="00650EE4" w14:paraId="2655000C"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BD114E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833" w:type="pct"/>
            <w:tcBorders>
              <w:top w:val="nil"/>
              <w:left w:val="nil"/>
              <w:bottom w:val="single" w:sz="4" w:space="0" w:color="auto"/>
              <w:right w:val="single" w:sz="4" w:space="0" w:color="auto"/>
            </w:tcBorders>
            <w:shd w:val="clear" w:color="000000" w:fill="FFFFFF"/>
            <w:noWrap/>
            <w:vAlign w:val="center"/>
            <w:hideMark/>
          </w:tcPr>
          <w:p w14:paraId="5F1C9F16"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68100AC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A7A2A7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BBBFD9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579" w:type="pct"/>
            <w:tcBorders>
              <w:top w:val="nil"/>
              <w:left w:val="nil"/>
              <w:bottom w:val="single" w:sz="4" w:space="0" w:color="auto"/>
              <w:right w:val="single" w:sz="4" w:space="0" w:color="auto"/>
            </w:tcBorders>
            <w:shd w:val="clear" w:color="000000" w:fill="FFFFFF"/>
            <w:noWrap/>
            <w:vAlign w:val="center"/>
            <w:hideMark/>
          </w:tcPr>
          <w:p w14:paraId="05FC1B9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237</w:t>
            </w:r>
          </w:p>
        </w:tc>
        <w:tc>
          <w:tcPr>
            <w:tcW w:w="580" w:type="pct"/>
            <w:tcBorders>
              <w:top w:val="nil"/>
              <w:left w:val="nil"/>
              <w:bottom w:val="single" w:sz="4" w:space="0" w:color="auto"/>
              <w:right w:val="single" w:sz="4" w:space="0" w:color="auto"/>
            </w:tcBorders>
            <w:shd w:val="clear" w:color="000000" w:fill="FFFFFF"/>
            <w:noWrap/>
            <w:vAlign w:val="center"/>
            <w:hideMark/>
          </w:tcPr>
          <w:p w14:paraId="33BC31C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177</w:t>
            </w:r>
          </w:p>
        </w:tc>
        <w:tc>
          <w:tcPr>
            <w:tcW w:w="696" w:type="pct"/>
            <w:tcBorders>
              <w:top w:val="nil"/>
              <w:left w:val="nil"/>
              <w:bottom w:val="single" w:sz="4" w:space="0" w:color="auto"/>
              <w:right w:val="single" w:sz="4" w:space="0" w:color="auto"/>
            </w:tcBorders>
            <w:shd w:val="clear" w:color="000000" w:fill="FFFFFF"/>
            <w:noWrap/>
            <w:vAlign w:val="center"/>
            <w:hideMark/>
          </w:tcPr>
          <w:p w14:paraId="55CD52D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299</w:t>
            </w:r>
          </w:p>
        </w:tc>
        <w:tc>
          <w:tcPr>
            <w:tcW w:w="761" w:type="pct"/>
            <w:tcBorders>
              <w:top w:val="nil"/>
              <w:left w:val="nil"/>
              <w:bottom w:val="single" w:sz="4" w:space="0" w:color="auto"/>
              <w:right w:val="single" w:sz="4" w:space="0" w:color="auto"/>
            </w:tcBorders>
            <w:shd w:val="clear" w:color="000000" w:fill="FFFFFF"/>
            <w:noWrap/>
            <w:vAlign w:val="center"/>
            <w:hideMark/>
          </w:tcPr>
          <w:p w14:paraId="40EEDB0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237</w:t>
            </w:r>
          </w:p>
        </w:tc>
      </w:tr>
      <w:tr w:rsidR="004446CD" w:rsidRPr="00650EE4" w14:paraId="2831FE6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5EF8CC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833" w:type="pct"/>
            <w:tcBorders>
              <w:top w:val="nil"/>
              <w:left w:val="nil"/>
              <w:bottom w:val="single" w:sz="4" w:space="0" w:color="auto"/>
              <w:right w:val="single" w:sz="4" w:space="0" w:color="auto"/>
            </w:tcBorders>
            <w:shd w:val="clear" w:color="000000" w:fill="FFFFFF"/>
            <w:noWrap/>
            <w:vAlign w:val="center"/>
            <w:hideMark/>
          </w:tcPr>
          <w:p w14:paraId="71F9500A"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048078F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FAE1DD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5BC513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342</w:t>
            </w:r>
          </w:p>
        </w:tc>
        <w:tc>
          <w:tcPr>
            <w:tcW w:w="579" w:type="pct"/>
            <w:tcBorders>
              <w:top w:val="nil"/>
              <w:left w:val="nil"/>
              <w:bottom w:val="single" w:sz="4" w:space="0" w:color="auto"/>
              <w:right w:val="single" w:sz="4" w:space="0" w:color="auto"/>
            </w:tcBorders>
            <w:shd w:val="clear" w:color="000000" w:fill="FFFFFF"/>
            <w:noWrap/>
            <w:vAlign w:val="center"/>
            <w:hideMark/>
          </w:tcPr>
          <w:p w14:paraId="0485ACF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270</w:t>
            </w:r>
          </w:p>
        </w:tc>
        <w:tc>
          <w:tcPr>
            <w:tcW w:w="580" w:type="pct"/>
            <w:tcBorders>
              <w:top w:val="nil"/>
              <w:left w:val="nil"/>
              <w:bottom w:val="single" w:sz="4" w:space="0" w:color="auto"/>
              <w:right w:val="single" w:sz="4" w:space="0" w:color="auto"/>
            </w:tcBorders>
            <w:shd w:val="clear" w:color="000000" w:fill="FFFFFF"/>
            <w:noWrap/>
            <w:vAlign w:val="center"/>
            <w:hideMark/>
          </w:tcPr>
          <w:p w14:paraId="17483ED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211</w:t>
            </w:r>
          </w:p>
        </w:tc>
        <w:tc>
          <w:tcPr>
            <w:tcW w:w="696" w:type="pct"/>
            <w:tcBorders>
              <w:top w:val="nil"/>
              <w:left w:val="nil"/>
              <w:bottom w:val="single" w:sz="4" w:space="0" w:color="auto"/>
              <w:right w:val="single" w:sz="4" w:space="0" w:color="auto"/>
            </w:tcBorders>
            <w:shd w:val="clear" w:color="000000" w:fill="FFFFFF"/>
            <w:noWrap/>
            <w:vAlign w:val="center"/>
            <w:hideMark/>
          </w:tcPr>
          <w:p w14:paraId="49A08FA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367</w:t>
            </w:r>
          </w:p>
        </w:tc>
        <w:tc>
          <w:tcPr>
            <w:tcW w:w="761" w:type="pct"/>
            <w:tcBorders>
              <w:top w:val="nil"/>
              <w:left w:val="nil"/>
              <w:bottom w:val="single" w:sz="4" w:space="0" w:color="auto"/>
              <w:right w:val="single" w:sz="4" w:space="0" w:color="auto"/>
            </w:tcBorders>
            <w:shd w:val="clear" w:color="000000" w:fill="FFFFFF"/>
            <w:noWrap/>
            <w:vAlign w:val="center"/>
            <w:hideMark/>
          </w:tcPr>
          <w:p w14:paraId="2FB4050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287-306</w:t>
            </w:r>
          </w:p>
        </w:tc>
      </w:tr>
      <w:tr w:rsidR="004446CD" w:rsidRPr="00650EE4" w14:paraId="6CD564C3"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0FA01A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c>
          <w:tcPr>
            <w:tcW w:w="833" w:type="pct"/>
            <w:tcBorders>
              <w:top w:val="nil"/>
              <w:left w:val="nil"/>
              <w:bottom w:val="single" w:sz="4" w:space="0" w:color="auto"/>
              <w:right w:val="single" w:sz="4" w:space="0" w:color="auto"/>
            </w:tcBorders>
            <w:shd w:val="clear" w:color="000000" w:fill="FFFFFF"/>
            <w:noWrap/>
            <w:vAlign w:val="center"/>
            <w:hideMark/>
          </w:tcPr>
          <w:p w14:paraId="321F032B"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6AC960B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A90FD8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75A76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371</w:t>
            </w:r>
          </w:p>
        </w:tc>
        <w:tc>
          <w:tcPr>
            <w:tcW w:w="579" w:type="pct"/>
            <w:tcBorders>
              <w:top w:val="nil"/>
              <w:left w:val="nil"/>
              <w:bottom w:val="single" w:sz="4" w:space="0" w:color="auto"/>
              <w:right w:val="single" w:sz="4" w:space="0" w:color="auto"/>
            </w:tcBorders>
            <w:shd w:val="clear" w:color="000000" w:fill="FFFFFF"/>
            <w:noWrap/>
            <w:vAlign w:val="center"/>
            <w:hideMark/>
          </w:tcPr>
          <w:p w14:paraId="247203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290</w:t>
            </w:r>
          </w:p>
        </w:tc>
        <w:tc>
          <w:tcPr>
            <w:tcW w:w="580" w:type="pct"/>
            <w:tcBorders>
              <w:top w:val="nil"/>
              <w:left w:val="nil"/>
              <w:bottom w:val="single" w:sz="4" w:space="0" w:color="auto"/>
              <w:right w:val="single" w:sz="4" w:space="0" w:color="auto"/>
            </w:tcBorders>
            <w:shd w:val="clear" w:color="000000" w:fill="FFFFFF"/>
            <w:noWrap/>
            <w:vAlign w:val="center"/>
            <w:hideMark/>
          </w:tcPr>
          <w:p w14:paraId="44EE3B7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232</w:t>
            </w:r>
          </w:p>
        </w:tc>
        <w:tc>
          <w:tcPr>
            <w:tcW w:w="696" w:type="pct"/>
            <w:tcBorders>
              <w:top w:val="nil"/>
              <w:left w:val="nil"/>
              <w:bottom w:val="single" w:sz="4" w:space="0" w:color="auto"/>
              <w:right w:val="single" w:sz="4" w:space="0" w:color="auto"/>
            </w:tcBorders>
            <w:shd w:val="clear" w:color="000000" w:fill="FFFFFF"/>
            <w:noWrap/>
            <w:vAlign w:val="center"/>
            <w:hideMark/>
          </w:tcPr>
          <w:p w14:paraId="026B119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411</w:t>
            </w:r>
          </w:p>
        </w:tc>
        <w:tc>
          <w:tcPr>
            <w:tcW w:w="761" w:type="pct"/>
            <w:tcBorders>
              <w:top w:val="nil"/>
              <w:left w:val="nil"/>
              <w:bottom w:val="single" w:sz="4" w:space="0" w:color="auto"/>
              <w:right w:val="single" w:sz="4" w:space="0" w:color="auto"/>
            </w:tcBorders>
            <w:shd w:val="clear" w:color="000000" w:fill="FFFFFF"/>
            <w:noWrap/>
            <w:vAlign w:val="center"/>
            <w:hideMark/>
          </w:tcPr>
          <w:p w14:paraId="608F199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333-356</w:t>
            </w:r>
          </w:p>
        </w:tc>
      </w:tr>
      <w:tr w:rsidR="004446CD" w:rsidRPr="00650EE4" w14:paraId="525F712F"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51877271"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833" w:type="pct"/>
            <w:tcBorders>
              <w:top w:val="nil"/>
              <w:left w:val="nil"/>
              <w:bottom w:val="single" w:sz="4" w:space="0" w:color="auto"/>
              <w:right w:val="single" w:sz="4" w:space="0" w:color="auto"/>
            </w:tcBorders>
            <w:shd w:val="clear" w:color="000000" w:fill="FFFFFF"/>
            <w:noWrap/>
            <w:vAlign w:val="center"/>
            <w:hideMark/>
          </w:tcPr>
          <w:p w14:paraId="543E3E94"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72F392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05415CD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79339C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408</w:t>
            </w:r>
          </w:p>
        </w:tc>
        <w:tc>
          <w:tcPr>
            <w:tcW w:w="579" w:type="pct"/>
            <w:tcBorders>
              <w:top w:val="nil"/>
              <w:left w:val="nil"/>
              <w:bottom w:val="single" w:sz="4" w:space="0" w:color="auto"/>
              <w:right w:val="single" w:sz="4" w:space="0" w:color="auto"/>
            </w:tcBorders>
            <w:shd w:val="clear" w:color="000000" w:fill="FFFFFF"/>
            <w:noWrap/>
            <w:vAlign w:val="center"/>
            <w:hideMark/>
          </w:tcPr>
          <w:p w14:paraId="261BB44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314</w:t>
            </w:r>
          </w:p>
        </w:tc>
        <w:tc>
          <w:tcPr>
            <w:tcW w:w="580" w:type="pct"/>
            <w:tcBorders>
              <w:top w:val="nil"/>
              <w:left w:val="nil"/>
              <w:bottom w:val="single" w:sz="4" w:space="0" w:color="auto"/>
              <w:right w:val="single" w:sz="4" w:space="0" w:color="auto"/>
            </w:tcBorders>
            <w:shd w:val="clear" w:color="000000" w:fill="FFFFFF"/>
            <w:noWrap/>
            <w:vAlign w:val="center"/>
            <w:hideMark/>
          </w:tcPr>
          <w:p w14:paraId="0FDFB1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235</w:t>
            </w:r>
          </w:p>
        </w:tc>
        <w:tc>
          <w:tcPr>
            <w:tcW w:w="696" w:type="pct"/>
            <w:tcBorders>
              <w:top w:val="nil"/>
              <w:left w:val="nil"/>
              <w:bottom w:val="single" w:sz="4" w:space="0" w:color="auto"/>
              <w:right w:val="single" w:sz="4" w:space="0" w:color="auto"/>
            </w:tcBorders>
            <w:shd w:val="clear" w:color="000000" w:fill="FFFFFF"/>
            <w:noWrap/>
            <w:vAlign w:val="center"/>
            <w:hideMark/>
          </w:tcPr>
          <w:p w14:paraId="13A4A8D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396</w:t>
            </w:r>
          </w:p>
        </w:tc>
        <w:tc>
          <w:tcPr>
            <w:tcW w:w="761" w:type="pct"/>
            <w:tcBorders>
              <w:top w:val="nil"/>
              <w:left w:val="nil"/>
              <w:bottom w:val="single" w:sz="4" w:space="0" w:color="auto"/>
              <w:right w:val="single" w:sz="4" w:space="0" w:color="auto"/>
            </w:tcBorders>
            <w:shd w:val="clear" w:color="000000" w:fill="FFFFFF"/>
            <w:noWrap/>
            <w:vAlign w:val="center"/>
            <w:hideMark/>
          </w:tcPr>
          <w:p w14:paraId="2EECED7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314</w:t>
            </w:r>
          </w:p>
        </w:tc>
      </w:tr>
      <w:tr w:rsidR="004446CD" w:rsidRPr="00650EE4" w14:paraId="61D0271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285E853"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833" w:type="pct"/>
            <w:tcBorders>
              <w:top w:val="nil"/>
              <w:left w:val="nil"/>
              <w:bottom w:val="single" w:sz="4" w:space="0" w:color="auto"/>
              <w:right w:val="single" w:sz="4" w:space="0" w:color="auto"/>
            </w:tcBorders>
            <w:shd w:val="clear" w:color="000000" w:fill="FFFFFF"/>
            <w:noWrap/>
            <w:vAlign w:val="center"/>
            <w:hideMark/>
          </w:tcPr>
          <w:p w14:paraId="562E803B"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50FA4D9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D7FAB3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5D8458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438</w:t>
            </w:r>
          </w:p>
        </w:tc>
        <w:tc>
          <w:tcPr>
            <w:tcW w:w="579" w:type="pct"/>
            <w:tcBorders>
              <w:top w:val="nil"/>
              <w:left w:val="nil"/>
              <w:bottom w:val="single" w:sz="4" w:space="0" w:color="auto"/>
              <w:right w:val="single" w:sz="4" w:space="0" w:color="auto"/>
            </w:tcBorders>
            <w:shd w:val="clear" w:color="000000" w:fill="FFFFFF"/>
            <w:noWrap/>
            <w:vAlign w:val="center"/>
            <w:hideMark/>
          </w:tcPr>
          <w:p w14:paraId="24EF4E9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353</w:t>
            </w:r>
          </w:p>
        </w:tc>
        <w:tc>
          <w:tcPr>
            <w:tcW w:w="580" w:type="pct"/>
            <w:tcBorders>
              <w:top w:val="nil"/>
              <w:left w:val="nil"/>
              <w:bottom w:val="single" w:sz="4" w:space="0" w:color="auto"/>
              <w:right w:val="single" w:sz="4" w:space="0" w:color="auto"/>
            </w:tcBorders>
            <w:shd w:val="clear" w:color="000000" w:fill="FFFFFF"/>
            <w:noWrap/>
            <w:vAlign w:val="center"/>
            <w:hideMark/>
          </w:tcPr>
          <w:p w14:paraId="0BA7B45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265</w:t>
            </w:r>
          </w:p>
        </w:tc>
        <w:tc>
          <w:tcPr>
            <w:tcW w:w="696" w:type="pct"/>
            <w:tcBorders>
              <w:top w:val="nil"/>
              <w:left w:val="nil"/>
              <w:bottom w:val="single" w:sz="4" w:space="0" w:color="auto"/>
              <w:right w:val="single" w:sz="4" w:space="0" w:color="auto"/>
            </w:tcBorders>
            <w:shd w:val="clear" w:color="000000" w:fill="FFFFFF"/>
            <w:noWrap/>
            <w:vAlign w:val="center"/>
            <w:hideMark/>
          </w:tcPr>
          <w:p w14:paraId="3BBDC57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462</w:t>
            </w:r>
          </w:p>
        </w:tc>
        <w:tc>
          <w:tcPr>
            <w:tcW w:w="761" w:type="pct"/>
            <w:tcBorders>
              <w:top w:val="nil"/>
              <w:left w:val="nil"/>
              <w:bottom w:val="single" w:sz="4" w:space="0" w:color="auto"/>
              <w:right w:val="single" w:sz="4" w:space="0" w:color="auto"/>
            </w:tcBorders>
            <w:shd w:val="clear" w:color="000000" w:fill="FFFFFF"/>
            <w:noWrap/>
            <w:vAlign w:val="center"/>
            <w:hideMark/>
          </w:tcPr>
          <w:p w14:paraId="7A4C727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357-375</w:t>
            </w:r>
          </w:p>
        </w:tc>
      </w:tr>
      <w:tr w:rsidR="004446CD" w:rsidRPr="00650EE4" w14:paraId="65FBAD5E"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9782108"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833" w:type="pct"/>
            <w:tcBorders>
              <w:top w:val="nil"/>
              <w:left w:val="nil"/>
              <w:bottom w:val="single" w:sz="4" w:space="0" w:color="auto"/>
              <w:right w:val="single" w:sz="4" w:space="0" w:color="auto"/>
            </w:tcBorders>
            <w:shd w:val="clear" w:color="000000" w:fill="FFFFFF"/>
            <w:noWrap/>
            <w:vAlign w:val="center"/>
            <w:hideMark/>
          </w:tcPr>
          <w:p w14:paraId="6097DF8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3D685ED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 </w:t>
            </w:r>
          </w:p>
        </w:tc>
        <w:tc>
          <w:tcPr>
            <w:tcW w:w="348" w:type="pct"/>
            <w:tcBorders>
              <w:top w:val="nil"/>
              <w:left w:val="nil"/>
              <w:bottom w:val="single" w:sz="4" w:space="0" w:color="auto"/>
              <w:right w:val="single" w:sz="4" w:space="0" w:color="auto"/>
            </w:tcBorders>
            <w:shd w:val="clear" w:color="000000" w:fill="FFFFFF"/>
            <w:noWrap/>
            <w:vAlign w:val="center"/>
            <w:hideMark/>
          </w:tcPr>
          <w:p w14:paraId="680C566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C5B422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467</w:t>
            </w:r>
          </w:p>
        </w:tc>
        <w:tc>
          <w:tcPr>
            <w:tcW w:w="579" w:type="pct"/>
            <w:tcBorders>
              <w:top w:val="nil"/>
              <w:left w:val="nil"/>
              <w:bottom w:val="single" w:sz="4" w:space="0" w:color="auto"/>
              <w:right w:val="single" w:sz="4" w:space="0" w:color="auto"/>
            </w:tcBorders>
            <w:shd w:val="clear" w:color="000000" w:fill="FFFFFF"/>
            <w:noWrap/>
            <w:vAlign w:val="center"/>
            <w:hideMark/>
          </w:tcPr>
          <w:p w14:paraId="140677E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377</w:t>
            </w:r>
          </w:p>
        </w:tc>
        <w:tc>
          <w:tcPr>
            <w:tcW w:w="580" w:type="pct"/>
            <w:tcBorders>
              <w:top w:val="nil"/>
              <w:left w:val="nil"/>
              <w:bottom w:val="single" w:sz="4" w:space="0" w:color="auto"/>
              <w:right w:val="single" w:sz="4" w:space="0" w:color="auto"/>
            </w:tcBorders>
            <w:shd w:val="clear" w:color="000000" w:fill="FFFFFF"/>
            <w:noWrap/>
            <w:vAlign w:val="center"/>
            <w:hideMark/>
          </w:tcPr>
          <w:p w14:paraId="57321A8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284</w:t>
            </w:r>
          </w:p>
        </w:tc>
        <w:tc>
          <w:tcPr>
            <w:tcW w:w="696" w:type="pct"/>
            <w:tcBorders>
              <w:top w:val="nil"/>
              <w:left w:val="nil"/>
              <w:bottom w:val="single" w:sz="4" w:space="0" w:color="auto"/>
              <w:right w:val="single" w:sz="4" w:space="0" w:color="auto"/>
            </w:tcBorders>
            <w:shd w:val="clear" w:color="000000" w:fill="FFFFFF"/>
            <w:noWrap/>
            <w:vAlign w:val="center"/>
            <w:hideMark/>
          </w:tcPr>
          <w:p w14:paraId="382F94F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510</w:t>
            </w:r>
          </w:p>
        </w:tc>
        <w:tc>
          <w:tcPr>
            <w:tcW w:w="761" w:type="pct"/>
            <w:tcBorders>
              <w:top w:val="nil"/>
              <w:left w:val="nil"/>
              <w:bottom w:val="single" w:sz="4" w:space="0" w:color="auto"/>
              <w:right w:val="single" w:sz="4" w:space="0" w:color="auto"/>
            </w:tcBorders>
            <w:shd w:val="clear" w:color="000000" w:fill="FFFFFF"/>
            <w:noWrap/>
            <w:vAlign w:val="center"/>
            <w:hideMark/>
          </w:tcPr>
          <w:p w14:paraId="14719F5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398-415</w:t>
            </w:r>
          </w:p>
        </w:tc>
      </w:tr>
      <w:tr w:rsidR="004446CD" w:rsidRPr="00650EE4" w14:paraId="5AD53790"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336CF4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833" w:type="pct"/>
            <w:tcBorders>
              <w:top w:val="nil"/>
              <w:left w:val="nil"/>
              <w:bottom w:val="single" w:sz="4" w:space="0" w:color="auto"/>
              <w:right w:val="single" w:sz="4" w:space="0" w:color="auto"/>
            </w:tcBorders>
            <w:shd w:val="clear" w:color="000000" w:fill="FFFFFF"/>
            <w:noWrap/>
            <w:vAlign w:val="center"/>
            <w:hideMark/>
          </w:tcPr>
          <w:p w14:paraId="68BAD8B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6318E35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4CD6389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5145538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367</w:t>
            </w:r>
          </w:p>
        </w:tc>
        <w:tc>
          <w:tcPr>
            <w:tcW w:w="579" w:type="pct"/>
            <w:tcBorders>
              <w:top w:val="nil"/>
              <w:left w:val="nil"/>
              <w:bottom w:val="single" w:sz="4" w:space="0" w:color="auto"/>
              <w:right w:val="single" w:sz="4" w:space="0" w:color="auto"/>
            </w:tcBorders>
            <w:shd w:val="clear" w:color="000000" w:fill="FFFFFF"/>
            <w:noWrap/>
            <w:vAlign w:val="center"/>
            <w:hideMark/>
          </w:tcPr>
          <w:p w14:paraId="6BA2C3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283</w:t>
            </w:r>
          </w:p>
        </w:tc>
        <w:tc>
          <w:tcPr>
            <w:tcW w:w="580" w:type="pct"/>
            <w:tcBorders>
              <w:top w:val="nil"/>
              <w:left w:val="nil"/>
              <w:bottom w:val="single" w:sz="4" w:space="0" w:color="auto"/>
              <w:right w:val="single" w:sz="4" w:space="0" w:color="auto"/>
            </w:tcBorders>
            <w:shd w:val="clear" w:color="000000" w:fill="FFFFFF"/>
            <w:noWrap/>
            <w:vAlign w:val="center"/>
            <w:hideMark/>
          </w:tcPr>
          <w:p w14:paraId="5E3E742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211</w:t>
            </w:r>
          </w:p>
        </w:tc>
        <w:tc>
          <w:tcPr>
            <w:tcW w:w="696" w:type="pct"/>
            <w:tcBorders>
              <w:top w:val="nil"/>
              <w:left w:val="nil"/>
              <w:bottom w:val="single" w:sz="4" w:space="0" w:color="auto"/>
              <w:right w:val="single" w:sz="4" w:space="0" w:color="auto"/>
            </w:tcBorders>
            <w:shd w:val="clear" w:color="000000" w:fill="FFFFFF"/>
            <w:noWrap/>
            <w:vAlign w:val="center"/>
            <w:hideMark/>
          </w:tcPr>
          <w:p w14:paraId="1CFBC0F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357</w:t>
            </w:r>
          </w:p>
        </w:tc>
        <w:tc>
          <w:tcPr>
            <w:tcW w:w="761" w:type="pct"/>
            <w:tcBorders>
              <w:top w:val="nil"/>
              <w:left w:val="nil"/>
              <w:bottom w:val="single" w:sz="4" w:space="0" w:color="auto"/>
              <w:right w:val="single" w:sz="4" w:space="0" w:color="auto"/>
            </w:tcBorders>
            <w:shd w:val="clear" w:color="000000" w:fill="FFFFFF"/>
            <w:noWrap/>
            <w:vAlign w:val="center"/>
            <w:hideMark/>
          </w:tcPr>
          <w:p w14:paraId="012746D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283</w:t>
            </w:r>
          </w:p>
        </w:tc>
      </w:tr>
      <w:tr w:rsidR="004446CD" w:rsidRPr="00650EE4" w14:paraId="601AF63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0C17584"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833" w:type="pct"/>
            <w:tcBorders>
              <w:top w:val="nil"/>
              <w:left w:val="nil"/>
              <w:bottom w:val="single" w:sz="4" w:space="0" w:color="auto"/>
              <w:right w:val="single" w:sz="4" w:space="0" w:color="auto"/>
            </w:tcBorders>
            <w:shd w:val="clear" w:color="000000" w:fill="FFFFFF"/>
            <w:noWrap/>
            <w:vAlign w:val="center"/>
            <w:hideMark/>
          </w:tcPr>
          <w:p w14:paraId="58C624F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4484F3A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3B84BC1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E30977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406</w:t>
            </w:r>
          </w:p>
        </w:tc>
        <w:tc>
          <w:tcPr>
            <w:tcW w:w="579" w:type="pct"/>
            <w:tcBorders>
              <w:top w:val="nil"/>
              <w:left w:val="nil"/>
              <w:bottom w:val="single" w:sz="4" w:space="0" w:color="auto"/>
              <w:right w:val="single" w:sz="4" w:space="0" w:color="auto"/>
            </w:tcBorders>
            <w:shd w:val="clear" w:color="000000" w:fill="FFFFFF"/>
            <w:noWrap/>
            <w:vAlign w:val="center"/>
            <w:hideMark/>
          </w:tcPr>
          <w:p w14:paraId="592EC92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320</w:t>
            </w:r>
          </w:p>
        </w:tc>
        <w:tc>
          <w:tcPr>
            <w:tcW w:w="580" w:type="pct"/>
            <w:tcBorders>
              <w:top w:val="nil"/>
              <w:left w:val="nil"/>
              <w:bottom w:val="single" w:sz="4" w:space="0" w:color="auto"/>
              <w:right w:val="single" w:sz="4" w:space="0" w:color="auto"/>
            </w:tcBorders>
            <w:shd w:val="clear" w:color="000000" w:fill="FFFFFF"/>
            <w:noWrap/>
            <w:vAlign w:val="center"/>
            <w:hideMark/>
          </w:tcPr>
          <w:p w14:paraId="72E6D33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242</w:t>
            </w:r>
          </w:p>
        </w:tc>
        <w:tc>
          <w:tcPr>
            <w:tcW w:w="696" w:type="pct"/>
            <w:tcBorders>
              <w:top w:val="nil"/>
              <w:left w:val="nil"/>
              <w:bottom w:val="single" w:sz="4" w:space="0" w:color="auto"/>
              <w:right w:val="single" w:sz="4" w:space="0" w:color="auto"/>
            </w:tcBorders>
            <w:shd w:val="clear" w:color="000000" w:fill="FFFFFF"/>
            <w:noWrap/>
            <w:vAlign w:val="center"/>
            <w:hideMark/>
          </w:tcPr>
          <w:p w14:paraId="1C42228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427</w:t>
            </w:r>
          </w:p>
        </w:tc>
        <w:tc>
          <w:tcPr>
            <w:tcW w:w="761" w:type="pct"/>
            <w:tcBorders>
              <w:top w:val="nil"/>
              <w:left w:val="nil"/>
              <w:bottom w:val="single" w:sz="4" w:space="0" w:color="auto"/>
              <w:right w:val="single" w:sz="4" w:space="0" w:color="auto"/>
            </w:tcBorders>
            <w:shd w:val="clear" w:color="000000" w:fill="FFFFFF"/>
            <w:noWrap/>
            <w:vAlign w:val="center"/>
            <w:hideMark/>
          </w:tcPr>
          <w:p w14:paraId="303443D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325-344</w:t>
            </w:r>
          </w:p>
        </w:tc>
      </w:tr>
      <w:tr w:rsidR="004446CD" w:rsidRPr="00650EE4" w14:paraId="2A19BFB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5650396"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833" w:type="pct"/>
            <w:tcBorders>
              <w:top w:val="nil"/>
              <w:left w:val="nil"/>
              <w:bottom w:val="single" w:sz="4" w:space="0" w:color="auto"/>
              <w:right w:val="single" w:sz="4" w:space="0" w:color="auto"/>
            </w:tcBorders>
            <w:shd w:val="clear" w:color="000000" w:fill="FFFFFF"/>
            <w:noWrap/>
            <w:vAlign w:val="center"/>
            <w:hideMark/>
          </w:tcPr>
          <w:p w14:paraId="0F475648"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3EC5B1E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4146585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2B7B34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434</w:t>
            </w:r>
          </w:p>
        </w:tc>
        <w:tc>
          <w:tcPr>
            <w:tcW w:w="579" w:type="pct"/>
            <w:tcBorders>
              <w:top w:val="nil"/>
              <w:left w:val="nil"/>
              <w:bottom w:val="single" w:sz="4" w:space="0" w:color="auto"/>
              <w:right w:val="single" w:sz="4" w:space="0" w:color="auto"/>
            </w:tcBorders>
            <w:shd w:val="clear" w:color="000000" w:fill="FFFFFF"/>
            <w:noWrap/>
            <w:vAlign w:val="center"/>
            <w:hideMark/>
          </w:tcPr>
          <w:p w14:paraId="1C65BB6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343</w:t>
            </w:r>
          </w:p>
        </w:tc>
        <w:tc>
          <w:tcPr>
            <w:tcW w:w="580" w:type="pct"/>
            <w:tcBorders>
              <w:top w:val="nil"/>
              <w:left w:val="nil"/>
              <w:bottom w:val="single" w:sz="4" w:space="0" w:color="auto"/>
              <w:right w:val="single" w:sz="4" w:space="0" w:color="auto"/>
            </w:tcBorders>
            <w:shd w:val="clear" w:color="000000" w:fill="FFFFFF"/>
            <w:noWrap/>
            <w:vAlign w:val="center"/>
            <w:hideMark/>
          </w:tcPr>
          <w:p w14:paraId="05D34D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262</w:t>
            </w:r>
          </w:p>
        </w:tc>
        <w:tc>
          <w:tcPr>
            <w:tcW w:w="696" w:type="pct"/>
            <w:tcBorders>
              <w:top w:val="nil"/>
              <w:left w:val="nil"/>
              <w:bottom w:val="single" w:sz="4" w:space="0" w:color="auto"/>
              <w:right w:val="single" w:sz="4" w:space="0" w:color="auto"/>
            </w:tcBorders>
            <w:shd w:val="clear" w:color="000000" w:fill="FFFFFF"/>
            <w:noWrap/>
            <w:vAlign w:val="center"/>
            <w:hideMark/>
          </w:tcPr>
          <w:p w14:paraId="1663A82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474</w:t>
            </w:r>
          </w:p>
        </w:tc>
        <w:tc>
          <w:tcPr>
            <w:tcW w:w="761" w:type="pct"/>
            <w:tcBorders>
              <w:top w:val="nil"/>
              <w:left w:val="nil"/>
              <w:bottom w:val="single" w:sz="4" w:space="0" w:color="auto"/>
              <w:right w:val="single" w:sz="4" w:space="0" w:color="auto"/>
            </w:tcBorders>
            <w:shd w:val="clear" w:color="000000" w:fill="FFFFFF"/>
            <w:noWrap/>
            <w:vAlign w:val="center"/>
            <w:hideMark/>
          </w:tcPr>
          <w:p w14:paraId="083666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366-384</w:t>
            </w:r>
          </w:p>
        </w:tc>
      </w:tr>
      <w:tr w:rsidR="004446CD" w:rsidRPr="00650EE4" w14:paraId="05FCC82F"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8DBC397"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833" w:type="pct"/>
            <w:tcBorders>
              <w:top w:val="nil"/>
              <w:left w:val="nil"/>
              <w:bottom w:val="single" w:sz="4" w:space="0" w:color="auto"/>
              <w:right w:val="single" w:sz="4" w:space="0" w:color="auto"/>
            </w:tcBorders>
            <w:shd w:val="clear" w:color="000000" w:fill="FFFFFF"/>
            <w:noWrap/>
            <w:vAlign w:val="center"/>
            <w:hideMark/>
          </w:tcPr>
          <w:p w14:paraId="61EB4CF9"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1AF4D37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3D620C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7587274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330</w:t>
            </w:r>
          </w:p>
        </w:tc>
        <w:tc>
          <w:tcPr>
            <w:tcW w:w="579" w:type="pct"/>
            <w:tcBorders>
              <w:top w:val="nil"/>
              <w:left w:val="nil"/>
              <w:bottom w:val="single" w:sz="4" w:space="0" w:color="auto"/>
              <w:right w:val="single" w:sz="4" w:space="0" w:color="auto"/>
            </w:tcBorders>
            <w:shd w:val="clear" w:color="000000" w:fill="FFFFFF"/>
            <w:noWrap/>
            <w:vAlign w:val="center"/>
            <w:hideMark/>
          </w:tcPr>
          <w:p w14:paraId="5CFB9EC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254</w:t>
            </w:r>
          </w:p>
        </w:tc>
        <w:tc>
          <w:tcPr>
            <w:tcW w:w="580" w:type="pct"/>
            <w:tcBorders>
              <w:top w:val="nil"/>
              <w:left w:val="nil"/>
              <w:bottom w:val="single" w:sz="4" w:space="0" w:color="auto"/>
              <w:right w:val="single" w:sz="4" w:space="0" w:color="auto"/>
            </w:tcBorders>
            <w:shd w:val="clear" w:color="000000" w:fill="FFFFFF"/>
            <w:noWrap/>
            <w:vAlign w:val="center"/>
            <w:hideMark/>
          </w:tcPr>
          <w:p w14:paraId="3C06D7B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190</w:t>
            </w:r>
          </w:p>
        </w:tc>
        <w:tc>
          <w:tcPr>
            <w:tcW w:w="696" w:type="pct"/>
            <w:tcBorders>
              <w:top w:val="nil"/>
              <w:left w:val="nil"/>
              <w:bottom w:val="single" w:sz="4" w:space="0" w:color="auto"/>
              <w:right w:val="single" w:sz="4" w:space="0" w:color="auto"/>
            </w:tcBorders>
            <w:shd w:val="clear" w:color="000000" w:fill="FFFFFF"/>
            <w:noWrap/>
            <w:vAlign w:val="center"/>
            <w:hideMark/>
          </w:tcPr>
          <w:p w14:paraId="6D8D58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321</w:t>
            </w:r>
          </w:p>
        </w:tc>
        <w:tc>
          <w:tcPr>
            <w:tcW w:w="761" w:type="pct"/>
            <w:tcBorders>
              <w:top w:val="nil"/>
              <w:left w:val="nil"/>
              <w:bottom w:val="single" w:sz="4" w:space="0" w:color="auto"/>
              <w:right w:val="single" w:sz="4" w:space="0" w:color="auto"/>
            </w:tcBorders>
            <w:shd w:val="clear" w:color="000000" w:fill="FFFFFF"/>
            <w:noWrap/>
            <w:vAlign w:val="center"/>
            <w:hideMark/>
          </w:tcPr>
          <w:p w14:paraId="629840D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254</w:t>
            </w:r>
          </w:p>
        </w:tc>
      </w:tr>
      <w:tr w:rsidR="004446CD" w:rsidRPr="00650EE4" w14:paraId="1B1C40C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D987682"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c>
          <w:tcPr>
            <w:tcW w:w="833" w:type="pct"/>
            <w:tcBorders>
              <w:top w:val="nil"/>
              <w:left w:val="nil"/>
              <w:bottom w:val="single" w:sz="4" w:space="0" w:color="auto"/>
              <w:right w:val="single" w:sz="4" w:space="0" w:color="auto"/>
            </w:tcBorders>
            <w:shd w:val="clear" w:color="000000" w:fill="FFFFFF"/>
            <w:noWrap/>
            <w:vAlign w:val="center"/>
            <w:hideMark/>
          </w:tcPr>
          <w:p w14:paraId="6D074558"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4AFC454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AFB1F8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EF5F46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579" w:type="pct"/>
            <w:tcBorders>
              <w:top w:val="nil"/>
              <w:left w:val="nil"/>
              <w:bottom w:val="single" w:sz="4" w:space="0" w:color="auto"/>
              <w:right w:val="single" w:sz="4" w:space="0" w:color="auto"/>
            </w:tcBorders>
            <w:shd w:val="clear" w:color="000000" w:fill="FFFFFF"/>
            <w:noWrap/>
            <w:vAlign w:val="center"/>
            <w:hideMark/>
          </w:tcPr>
          <w:p w14:paraId="5CAE1C9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288</w:t>
            </w:r>
          </w:p>
        </w:tc>
        <w:tc>
          <w:tcPr>
            <w:tcW w:w="580" w:type="pct"/>
            <w:tcBorders>
              <w:top w:val="nil"/>
              <w:left w:val="nil"/>
              <w:bottom w:val="single" w:sz="4" w:space="0" w:color="auto"/>
              <w:right w:val="single" w:sz="4" w:space="0" w:color="auto"/>
            </w:tcBorders>
            <w:shd w:val="clear" w:color="000000" w:fill="FFFFFF"/>
            <w:noWrap/>
            <w:vAlign w:val="center"/>
            <w:hideMark/>
          </w:tcPr>
          <w:p w14:paraId="1E8C7C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224</w:t>
            </w:r>
          </w:p>
        </w:tc>
        <w:tc>
          <w:tcPr>
            <w:tcW w:w="696" w:type="pct"/>
            <w:tcBorders>
              <w:top w:val="nil"/>
              <w:left w:val="nil"/>
              <w:bottom w:val="single" w:sz="4" w:space="0" w:color="auto"/>
              <w:right w:val="single" w:sz="4" w:space="0" w:color="auto"/>
            </w:tcBorders>
            <w:shd w:val="clear" w:color="000000" w:fill="FFFFFF"/>
            <w:noWrap/>
            <w:vAlign w:val="center"/>
            <w:hideMark/>
          </w:tcPr>
          <w:p w14:paraId="0EA0FA9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388</w:t>
            </w:r>
          </w:p>
        </w:tc>
        <w:tc>
          <w:tcPr>
            <w:tcW w:w="761" w:type="pct"/>
            <w:tcBorders>
              <w:top w:val="nil"/>
              <w:left w:val="nil"/>
              <w:bottom w:val="single" w:sz="4" w:space="0" w:color="auto"/>
              <w:right w:val="single" w:sz="4" w:space="0" w:color="auto"/>
            </w:tcBorders>
            <w:shd w:val="clear" w:color="000000" w:fill="FFFFFF"/>
            <w:noWrap/>
            <w:vAlign w:val="center"/>
            <w:hideMark/>
          </w:tcPr>
          <w:p w14:paraId="50BA6E0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304-319</w:t>
            </w:r>
          </w:p>
        </w:tc>
      </w:tr>
      <w:tr w:rsidR="004446CD" w:rsidRPr="00650EE4" w14:paraId="063A793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5EE3FFB"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c>
          <w:tcPr>
            <w:tcW w:w="833" w:type="pct"/>
            <w:tcBorders>
              <w:top w:val="nil"/>
              <w:left w:val="nil"/>
              <w:bottom w:val="single" w:sz="4" w:space="0" w:color="auto"/>
              <w:right w:val="single" w:sz="4" w:space="0" w:color="auto"/>
            </w:tcBorders>
            <w:shd w:val="clear" w:color="000000" w:fill="FFFFFF"/>
            <w:noWrap/>
            <w:vAlign w:val="center"/>
            <w:hideMark/>
          </w:tcPr>
          <w:p w14:paraId="4019354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221EE93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16E5FB2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FE12A5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394</w:t>
            </w:r>
          </w:p>
        </w:tc>
        <w:tc>
          <w:tcPr>
            <w:tcW w:w="579" w:type="pct"/>
            <w:tcBorders>
              <w:top w:val="nil"/>
              <w:left w:val="nil"/>
              <w:bottom w:val="single" w:sz="4" w:space="0" w:color="auto"/>
              <w:right w:val="single" w:sz="4" w:space="0" w:color="auto"/>
            </w:tcBorders>
            <w:shd w:val="clear" w:color="000000" w:fill="FFFFFF"/>
            <w:noWrap/>
            <w:vAlign w:val="center"/>
            <w:hideMark/>
          </w:tcPr>
          <w:p w14:paraId="4C22FCC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580" w:type="pct"/>
            <w:tcBorders>
              <w:top w:val="nil"/>
              <w:left w:val="nil"/>
              <w:bottom w:val="single" w:sz="4" w:space="0" w:color="auto"/>
              <w:right w:val="single" w:sz="4" w:space="0" w:color="auto"/>
            </w:tcBorders>
            <w:shd w:val="clear" w:color="000000" w:fill="FFFFFF"/>
            <w:noWrap/>
            <w:vAlign w:val="center"/>
            <w:hideMark/>
          </w:tcPr>
          <w:p w14:paraId="7548A46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246</w:t>
            </w:r>
          </w:p>
        </w:tc>
        <w:tc>
          <w:tcPr>
            <w:tcW w:w="696" w:type="pct"/>
            <w:tcBorders>
              <w:top w:val="nil"/>
              <w:left w:val="nil"/>
              <w:bottom w:val="single" w:sz="4" w:space="0" w:color="auto"/>
              <w:right w:val="single" w:sz="4" w:space="0" w:color="auto"/>
            </w:tcBorders>
            <w:shd w:val="clear" w:color="000000" w:fill="FFFFFF"/>
            <w:noWrap/>
            <w:vAlign w:val="center"/>
            <w:hideMark/>
          </w:tcPr>
          <w:p w14:paraId="7ED7E72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429</w:t>
            </w:r>
          </w:p>
        </w:tc>
        <w:tc>
          <w:tcPr>
            <w:tcW w:w="761" w:type="pct"/>
            <w:tcBorders>
              <w:top w:val="nil"/>
              <w:left w:val="nil"/>
              <w:bottom w:val="single" w:sz="4" w:space="0" w:color="auto"/>
              <w:right w:val="single" w:sz="4" w:space="0" w:color="auto"/>
            </w:tcBorders>
            <w:shd w:val="clear" w:color="000000" w:fill="FFFFFF"/>
            <w:noWrap/>
            <w:vAlign w:val="center"/>
            <w:hideMark/>
          </w:tcPr>
          <w:p w14:paraId="3BCB6DA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343-364</w:t>
            </w:r>
          </w:p>
        </w:tc>
      </w:tr>
      <w:tr w:rsidR="004446CD" w:rsidRPr="00650EE4" w14:paraId="6258232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C48C26B"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833" w:type="pct"/>
            <w:tcBorders>
              <w:top w:val="nil"/>
              <w:left w:val="nil"/>
              <w:bottom w:val="single" w:sz="4" w:space="0" w:color="auto"/>
              <w:right w:val="single" w:sz="4" w:space="0" w:color="auto"/>
            </w:tcBorders>
            <w:shd w:val="clear" w:color="000000" w:fill="FFFFFF"/>
            <w:noWrap/>
            <w:vAlign w:val="center"/>
            <w:hideMark/>
          </w:tcPr>
          <w:p w14:paraId="5E574661"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5533EA5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348" w:type="pct"/>
            <w:tcBorders>
              <w:top w:val="nil"/>
              <w:left w:val="nil"/>
              <w:bottom w:val="single" w:sz="4" w:space="0" w:color="auto"/>
              <w:right w:val="single" w:sz="4" w:space="0" w:color="auto"/>
            </w:tcBorders>
            <w:shd w:val="clear" w:color="000000" w:fill="FFFFFF"/>
            <w:noWrap/>
            <w:vAlign w:val="center"/>
            <w:hideMark/>
          </w:tcPr>
          <w:p w14:paraId="43B1725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97CDEB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297</w:t>
            </w:r>
          </w:p>
        </w:tc>
        <w:tc>
          <w:tcPr>
            <w:tcW w:w="579" w:type="pct"/>
            <w:tcBorders>
              <w:top w:val="nil"/>
              <w:left w:val="nil"/>
              <w:bottom w:val="single" w:sz="4" w:space="0" w:color="auto"/>
              <w:right w:val="single" w:sz="4" w:space="0" w:color="auto"/>
            </w:tcBorders>
            <w:shd w:val="clear" w:color="000000" w:fill="FFFFFF"/>
            <w:noWrap/>
            <w:vAlign w:val="center"/>
            <w:hideMark/>
          </w:tcPr>
          <w:p w14:paraId="167985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229</w:t>
            </w:r>
          </w:p>
        </w:tc>
        <w:tc>
          <w:tcPr>
            <w:tcW w:w="580" w:type="pct"/>
            <w:tcBorders>
              <w:top w:val="nil"/>
              <w:left w:val="nil"/>
              <w:bottom w:val="single" w:sz="4" w:space="0" w:color="auto"/>
              <w:right w:val="single" w:sz="4" w:space="0" w:color="auto"/>
            </w:tcBorders>
            <w:shd w:val="clear" w:color="000000" w:fill="FFFFFF"/>
            <w:noWrap/>
            <w:vAlign w:val="center"/>
            <w:hideMark/>
          </w:tcPr>
          <w:p w14:paraId="4EFC8F6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171</w:t>
            </w:r>
          </w:p>
        </w:tc>
        <w:tc>
          <w:tcPr>
            <w:tcW w:w="696" w:type="pct"/>
            <w:tcBorders>
              <w:top w:val="nil"/>
              <w:left w:val="nil"/>
              <w:bottom w:val="single" w:sz="4" w:space="0" w:color="auto"/>
              <w:right w:val="single" w:sz="4" w:space="0" w:color="auto"/>
            </w:tcBorders>
            <w:shd w:val="clear" w:color="000000" w:fill="FFFFFF"/>
            <w:noWrap/>
            <w:vAlign w:val="center"/>
            <w:hideMark/>
          </w:tcPr>
          <w:p w14:paraId="4A1547F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289</w:t>
            </w:r>
          </w:p>
        </w:tc>
        <w:tc>
          <w:tcPr>
            <w:tcW w:w="761" w:type="pct"/>
            <w:tcBorders>
              <w:top w:val="nil"/>
              <w:left w:val="nil"/>
              <w:bottom w:val="single" w:sz="4" w:space="0" w:color="auto"/>
              <w:right w:val="single" w:sz="4" w:space="0" w:color="auto"/>
            </w:tcBorders>
            <w:shd w:val="clear" w:color="000000" w:fill="FFFFFF"/>
            <w:noWrap/>
            <w:vAlign w:val="center"/>
            <w:hideMark/>
          </w:tcPr>
          <w:p w14:paraId="2D77A74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229</w:t>
            </w:r>
          </w:p>
        </w:tc>
      </w:tr>
      <w:tr w:rsidR="004446CD" w:rsidRPr="00650EE4" w14:paraId="3BBDEBFD"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A48A3DE"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w:t>
            </w:r>
          </w:p>
        </w:tc>
        <w:tc>
          <w:tcPr>
            <w:tcW w:w="833" w:type="pct"/>
            <w:tcBorders>
              <w:top w:val="nil"/>
              <w:left w:val="nil"/>
              <w:bottom w:val="single" w:sz="4" w:space="0" w:color="auto"/>
              <w:right w:val="single" w:sz="4" w:space="0" w:color="auto"/>
            </w:tcBorders>
            <w:shd w:val="clear" w:color="000000" w:fill="FFFFFF"/>
            <w:noWrap/>
            <w:vAlign w:val="center"/>
            <w:hideMark/>
          </w:tcPr>
          <w:p w14:paraId="7FC377A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08D233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348" w:type="pct"/>
            <w:tcBorders>
              <w:top w:val="nil"/>
              <w:left w:val="nil"/>
              <w:bottom w:val="single" w:sz="4" w:space="0" w:color="auto"/>
              <w:right w:val="single" w:sz="4" w:space="0" w:color="auto"/>
            </w:tcBorders>
            <w:shd w:val="clear" w:color="000000" w:fill="FFFFFF"/>
            <w:noWrap/>
            <w:vAlign w:val="center"/>
            <w:hideMark/>
          </w:tcPr>
          <w:p w14:paraId="02FF932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21BD6B8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363</w:t>
            </w:r>
          </w:p>
        </w:tc>
        <w:tc>
          <w:tcPr>
            <w:tcW w:w="579" w:type="pct"/>
            <w:tcBorders>
              <w:top w:val="nil"/>
              <w:left w:val="nil"/>
              <w:bottom w:val="single" w:sz="4" w:space="0" w:color="auto"/>
              <w:right w:val="single" w:sz="4" w:space="0" w:color="auto"/>
            </w:tcBorders>
            <w:shd w:val="clear" w:color="000000" w:fill="FFFFFF"/>
            <w:noWrap/>
            <w:vAlign w:val="center"/>
            <w:hideMark/>
          </w:tcPr>
          <w:p w14:paraId="7AD2050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277</w:t>
            </w:r>
          </w:p>
        </w:tc>
        <w:tc>
          <w:tcPr>
            <w:tcW w:w="580" w:type="pct"/>
            <w:tcBorders>
              <w:top w:val="nil"/>
              <w:left w:val="nil"/>
              <w:bottom w:val="single" w:sz="4" w:space="0" w:color="auto"/>
              <w:right w:val="single" w:sz="4" w:space="0" w:color="auto"/>
            </w:tcBorders>
            <w:shd w:val="clear" w:color="000000" w:fill="FFFFFF"/>
            <w:noWrap/>
            <w:vAlign w:val="center"/>
            <w:hideMark/>
          </w:tcPr>
          <w:p w14:paraId="66172A1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227</w:t>
            </w:r>
          </w:p>
        </w:tc>
        <w:tc>
          <w:tcPr>
            <w:tcW w:w="696" w:type="pct"/>
            <w:tcBorders>
              <w:top w:val="nil"/>
              <w:left w:val="nil"/>
              <w:bottom w:val="single" w:sz="4" w:space="0" w:color="auto"/>
              <w:right w:val="single" w:sz="4" w:space="0" w:color="auto"/>
            </w:tcBorders>
            <w:shd w:val="clear" w:color="000000" w:fill="FFFFFF"/>
            <w:noWrap/>
            <w:vAlign w:val="center"/>
            <w:hideMark/>
          </w:tcPr>
          <w:p w14:paraId="21B5B04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355</w:t>
            </w:r>
          </w:p>
        </w:tc>
        <w:tc>
          <w:tcPr>
            <w:tcW w:w="761" w:type="pct"/>
            <w:tcBorders>
              <w:top w:val="nil"/>
              <w:left w:val="nil"/>
              <w:bottom w:val="single" w:sz="4" w:space="0" w:color="auto"/>
              <w:right w:val="single" w:sz="4" w:space="0" w:color="auto"/>
            </w:tcBorders>
            <w:shd w:val="clear" w:color="000000" w:fill="FFFFFF"/>
            <w:noWrap/>
            <w:vAlign w:val="center"/>
            <w:hideMark/>
          </w:tcPr>
          <w:p w14:paraId="5237A4E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275-299</w:t>
            </w:r>
          </w:p>
        </w:tc>
      </w:tr>
      <w:tr w:rsidR="004446CD" w:rsidRPr="00650EE4" w14:paraId="7FA474E9"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01319F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c>
          <w:tcPr>
            <w:tcW w:w="833" w:type="pct"/>
            <w:tcBorders>
              <w:top w:val="nil"/>
              <w:left w:val="nil"/>
              <w:bottom w:val="single" w:sz="4" w:space="0" w:color="auto"/>
              <w:right w:val="single" w:sz="4" w:space="0" w:color="auto"/>
            </w:tcBorders>
            <w:shd w:val="clear" w:color="000000" w:fill="FFFFFF"/>
            <w:noWrap/>
            <w:vAlign w:val="center"/>
            <w:hideMark/>
          </w:tcPr>
          <w:p w14:paraId="77D8A08D"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4C94306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348" w:type="pct"/>
            <w:tcBorders>
              <w:top w:val="nil"/>
              <w:left w:val="nil"/>
              <w:bottom w:val="single" w:sz="4" w:space="0" w:color="auto"/>
              <w:right w:val="single" w:sz="4" w:space="0" w:color="auto"/>
            </w:tcBorders>
            <w:shd w:val="clear" w:color="000000" w:fill="FFFFFF"/>
            <w:noWrap/>
            <w:vAlign w:val="center"/>
            <w:hideMark/>
          </w:tcPr>
          <w:p w14:paraId="6C124F4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577A7B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408</w:t>
            </w:r>
          </w:p>
        </w:tc>
        <w:tc>
          <w:tcPr>
            <w:tcW w:w="579" w:type="pct"/>
            <w:tcBorders>
              <w:top w:val="nil"/>
              <w:left w:val="nil"/>
              <w:bottom w:val="single" w:sz="4" w:space="0" w:color="auto"/>
              <w:right w:val="single" w:sz="4" w:space="0" w:color="auto"/>
            </w:tcBorders>
            <w:shd w:val="clear" w:color="000000" w:fill="FFFFFF"/>
            <w:noWrap/>
            <w:vAlign w:val="center"/>
            <w:hideMark/>
          </w:tcPr>
          <w:p w14:paraId="2A6AD4C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80" w:type="pct"/>
            <w:tcBorders>
              <w:top w:val="nil"/>
              <w:left w:val="nil"/>
              <w:bottom w:val="single" w:sz="4" w:space="0" w:color="auto"/>
              <w:right w:val="single" w:sz="4" w:space="0" w:color="auto"/>
            </w:tcBorders>
            <w:shd w:val="clear" w:color="000000" w:fill="FFFFFF"/>
            <w:noWrap/>
            <w:vAlign w:val="center"/>
            <w:hideMark/>
          </w:tcPr>
          <w:p w14:paraId="5F729FD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696" w:type="pct"/>
            <w:tcBorders>
              <w:top w:val="nil"/>
              <w:left w:val="nil"/>
              <w:bottom w:val="single" w:sz="4" w:space="0" w:color="auto"/>
              <w:right w:val="single" w:sz="4" w:space="0" w:color="auto"/>
            </w:tcBorders>
            <w:shd w:val="clear" w:color="000000" w:fill="FFFFFF"/>
            <w:noWrap/>
            <w:vAlign w:val="center"/>
            <w:hideMark/>
          </w:tcPr>
          <w:p w14:paraId="4B6A5C4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395</w:t>
            </w:r>
          </w:p>
        </w:tc>
        <w:tc>
          <w:tcPr>
            <w:tcW w:w="761" w:type="pct"/>
            <w:tcBorders>
              <w:top w:val="nil"/>
              <w:left w:val="nil"/>
              <w:bottom w:val="single" w:sz="4" w:space="0" w:color="auto"/>
              <w:right w:val="single" w:sz="4" w:space="0" w:color="auto"/>
            </w:tcBorders>
            <w:shd w:val="clear" w:color="000000" w:fill="FFFFFF"/>
            <w:noWrap/>
            <w:vAlign w:val="center"/>
            <w:hideMark/>
          </w:tcPr>
          <w:p w14:paraId="4A6429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315-342</w:t>
            </w:r>
          </w:p>
        </w:tc>
      </w:tr>
      <w:tr w:rsidR="004446CD" w:rsidRPr="00650EE4" w14:paraId="45EF0E2F" w14:textId="77777777" w:rsidTr="001E13DD">
        <w:trPr>
          <w:trHeight w:val="204"/>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3260DDF" w14:textId="77777777" w:rsidR="004446CD" w:rsidRPr="00650EE4" w:rsidRDefault="004446CD" w:rsidP="001E13DD">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Daliniai paketai</w:t>
            </w:r>
          </w:p>
        </w:tc>
      </w:tr>
      <w:tr w:rsidR="004446CD" w:rsidRPr="00650EE4" w14:paraId="22D8CF8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F0009AC"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c>
          <w:tcPr>
            <w:tcW w:w="833" w:type="pct"/>
            <w:tcBorders>
              <w:top w:val="nil"/>
              <w:left w:val="nil"/>
              <w:bottom w:val="single" w:sz="4" w:space="0" w:color="auto"/>
              <w:right w:val="single" w:sz="4" w:space="0" w:color="auto"/>
            </w:tcBorders>
            <w:shd w:val="clear" w:color="000000" w:fill="FFFFFF"/>
            <w:noWrap/>
            <w:vAlign w:val="center"/>
            <w:hideMark/>
          </w:tcPr>
          <w:p w14:paraId="3F7FFB34"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Mažoji renovacija</w:t>
            </w:r>
          </w:p>
        </w:tc>
        <w:tc>
          <w:tcPr>
            <w:tcW w:w="348" w:type="pct"/>
            <w:tcBorders>
              <w:top w:val="nil"/>
              <w:left w:val="nil"/>
              <w:bottom w:val="single" w:sz="4" w:space="0" w:color="auto"/>
              <w:right w:val="single" w:sz="4" w:space="0" w:color="auto"/>
            </w:tcBorders>
            <w:shd w:val="clear" w:color="000000" w:fill="FFFFFF"/>
            <w:noWrap/>
            <w:vAlign w:val="center"/>
            <w:hideMark/>
          </w:tcPr>
          <w:p w14:paraId="2BD4CD2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1DCE89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179073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54</w:t>
            </w:r>
          </w:p>
        </w:tc>
        <w:tc>
          <w:tcPr>
            <w:tcW w:w="579" w:type="pct"/>
            <w:tcBorders>
              <w:top w:val="nil"/>
              <w:left w:val="nil"/>
              <w:bottom w:val="single" w:sz="4" w:space="0" w:color="auto"/>
              <w:right w:val="single" w:sz="4" w:space="0" w:color="auto"/>
            </w:tcBorders>
            <w:shd w:val="clear" w:color="000000" w:fill="FFFFFF"/>
            <w:noWrap/>
            <w:vAlign w:val="center"/>
            <w:hideMark/>
          </w:tcPr>
          <w:p w14:paraId="1BA4E46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580" w:type="pct"/>
            <w:tcBorders>
              <w:top w:val="nil"/>
              <w:left w:val="nil"/>
              <w:bottom w:val="single" w:sz="4" w:space="0" w:color="auto"/>
              <w:right w:val="single" w:sz="4" w:space="0" w:color="auto"/>
            </w:tcBorders>
            <w:shd w:val="clear" w:color="000000" w:fill="FFFFFF"/>
            <w:noWrap/>
            <w:vAlign w:val="center"/>
            <w:hideMark/>
          </w:tcPr>
          <w:p w14:paraId="1FDB5E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696" w:type="pct"/>
            <w:tcBorders>
              <w:top w:val="nil"/>
              <w:left w:val="nil"/>
              <w:bottom w:val="single" w:sz="4" w:space="0" w:color="auto"/>
              <w:right w:val="single" w:sz="4" w:space="0" w:color="auto"/>
            </w:tcBorders>
            <w:shd w:val="clear" w:color="000000" w:fill="FFFFFF"/>
            <w:noWrap/>
            <w:vAlign w:val="center"/>
            <w:hideMark/>
          </w:tcPr>
          <w:p w14:paraId="3DD44D5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761" w:type="pct"/>
            <w:tcBorders>
              <w:top w:val="nil"/>
              <w:left w:val="nil"/>
              <w:bottom w:val="single" w:sz="4" w:space="0" w:color="auto"/>
              <w:right w:val="single" w:sz="4" w:space="0" w:color="auto"/>
            </w:tcBorders>
            <w:shd w:val="clear" w:color="000000" w:fill="FFFFFF"/>
            <w:noWrap/>
            <w:vAlign w:val="center"/>
            <w:hideMark/>
          </w:tcPr>
          <w:p w14:paraId="14A897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w:t>
            </w:r>
          </w:p>
        </w:tc>
      </w:tr>
      <w:tr w:rsidR="004446CD" w:rsidRPr="00650EE4" w14:paraId="3257AF8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29DB6D1"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c>
          <w:tcPr>
            <w:tcW w:w="833" w:type="pct"/>
            <w:tcBorders>
              <w:top w:val="nil"/>
              <w:left w:val="nil"/>
              <w:bottom w:val="single" w:sz="4" w:space="0" w:color="auto"/>
              <w:right w:val="single" w:sz="4" w:space="0" w:color="auto"/>
            </w:tcBorders>
            <w:shd w:val="clear" w:color="000000" w:fill="FFFFFF"/>
            <w:noWrap/>
            <w:vAlign w:val="center"/>
            <w:hideMark/>
          </w:tcPr>
          <w:p w14:paraId="277B7526"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Fasado šiltinimas</w:t>
            </w:r>
          </w:p>
        </w:tc>
        <w:tc>
          <w:tcPr>
            <w:tcW w:w="348" w:type="pct"/>
            <w:tcBorders>
              <w:top w:val="nil"/>
              <w:left w:val="nil"/>
              <w:bottom w:val="single" w:sz="4" w:space="0" w:color="auto"/>
              <w:right w:val="single" w:sz="4" w:space="0" w:color="auto"/>
            </w:tcBorders>
            <w:shd w:val="clear" w:color="000000" w:fill="FFFFFF"/>
            <w:noWrap/>
            <w:vAlign w:val="center"/>
            <w:hideMark/>
          </w:tcPr>
          <w:p w14:paraId="464A0AF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194AA7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5F5C31D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579" w:type="pct"/>
            <w:tcBorders>
              <w:top w:val="nil"/>
              <w:left w:val="nil"/>
              <w:bottom w:val="single" w:sz="4" w:space="0" w:color="auto"/>
              <w:right w:val="single" w:sz="4" w:space="0" w:color="auto"/>
            </w:tcBorders>
            <w:shd w:val="clear" w:color="000000" w:fill="FFFFFF"/>
            <w:noWrap/>
            <w:vAlign w:val="center"/>
            <w:hideMark/>
          </w:tcPr>
          <w:p w14:paraId="6EF07E5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99</w:t>
            </w:r>
          </w:p>
        </w:tc>
        <w:tc>
          <w:tcPr>
            <w:tcW w:w="580" w:type="pct"/>
            <w:tcBorders>
              <w:top w:val="nil"/>
              <w:left w:val="nil"/>
              <w:bottom w:val="single" w:sz="4" w:space="0" w:color="auto"/>
              <w:right w:val="single" w:sz="4" w:space="0" w:color="auto"/>
            </w:tcBorders>
            <w:shd w:val="clear" w:color="000000" w:fill="FFFFFF"/>
            <w:noWrap/>
            <w:vAlign w:val="center"/>
            <w:hideMark/>
          </w:tcPr>
          <w:p w14:paraId="1B2C824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69</w:t>
            </w:r>
          </w:p>
        </w:tc>
        <w:tc>
          <w:tcPr>
            <w:tcW w:w="696" w:type="pct"/>
            <w:tcBorders>
              <w:top w:val="nil"/>
              <w:left w:val="nil"/>
              <w:bottom w:val="single" w:sz="4" w:space="0" w:color="auto"/>
              <w:right w:val="single" w:sz="4" w:space="0" w:color="auto"/>
            </w:tcBorders>
            <w:shd w:val="clear" w:color="000000" w:fill="FFFFFF"/>
            <w:noWrap/>
            <w:vAlign w:val="center"/>
            <w:hideMark/>
          </w:tcPr>
          <w:p w14:paraId="158F15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99</w:t>
            </w:r>
          </w:p>
        </w:tc>
        <w:tc>
          <w:tcPr>
            <w:tcW w:w="761" w:type="pct"/>
            <w:tcBorders>
              <w:top w:val="nil"/>
              <w:left w:val="nil"/>
              <w:bottom w:val="single" w:sz="4" w:space="0" w:color="auto"/>
              <w:right w:val="single" w:sz="4" w:space="0" w:color="auto"/>
            </w:tcBorders>
            <w:shd w:val="clear" w:color="000000" w:fill="FFFFFF"/>
            <w:noWrap/>
            <w:vAlign w:val="center"/>
            <w:hideMark/>
          </w:tcPr>
          <w:p w14:paraId="2D47B0D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99</w:t>
            </w:r>
          </w:p>
        </w:tc>
      </w:tr>
      <w:tr w:rsidR="004446CD" w:rsidRPr="00650EE4" w14:paraId="41A25A57"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8F580D8"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833" w:type="pct"/>
            <w:tcBorders>
              <w:top w:val="nil"/>
              <w:left w:val="nil"/>
              <w:bottom w:val="single" w:sz="4" w:space="0" w:color="auto"/>
              <w:right w:val="single" w:sz="4" w:space="0" w:color="auto"/>
            </w:tcBorders>
            <w:shd w:val="clear" w:color="000000" w:fill="FFFFFF"/>
            <w:noWrap/>
            <w:vAlign w:val="center"/>
            <w:hideMark/>
          </w:tcPr>
          <w:p w14:paraId="2D5CBE2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Stogo perdangos šiltinimas</w:t>
            </w:r>
          </w:p>
        </w:tc>
        <w:tc>
          <w:tcPr>
            <w:tcW w:w="348" w:type="pct"/>
            <w:tcBorders>
              <w:top w:val="nil"/>
              <w:left w:val="nil"/>
              <w:bottom w:val="single" w:sz="4" w:space="0" w:color="auto"/>
              <w:right w:val="single" w:sz="4" w:space="0" w:color="auto"/>
            </w:tcBorders>
            <w:shd w:val="clear" w:color="000000" w:fill="FFFFFF"/>
            <w:noWrap/>
            <w:vAlign w:val="center"/>
            <w:hideMark/>
          </w:tcPr>
          <w:p w14:paraId="59F7B64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0F18D96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4757FCF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56</w:t>
            </w:r>
          </w:p>
        </w:tc>
        <w:tc>
          <w:tcPr>
            <w:tcW w:w="579" w:type="pct"/>
            <w:tcBorders>
              <w:top w:val="nil"/>
              <w:left w:val="nil"/>
              <w:bottom w:val="single" w:sz="4" w:space="0" w:color="auto"/>
              <w:right w:val="single" w:sz="4" w:space="0" w:color="auto"/>
            </w:tcBorders>
            <w:shd w:val="clear" w:color="000000" w:fill="FFFFFF"/>
            <w:noWrap/>
            <w:vAlign w:val="center"/>
            <w:hideMark/>
          </w:tcPr>
          <w:p w14:paraId="15902EF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80" w:type="pct"/>
            <w:tcBorders>
              <w:top w:val="nil"/>
              <w:left w:val="nil"/>
              <w:bottom w:val="single" w:sz="4" w:space="0" w:color="auto"/>
              <w:right w:val="single" w:sz="4" w:space="0" w:color="auto"/>
            </w:tcBorders>
            <w:shd w:val="clear" w:color="000000" w:fill="FFFFFF"/>
            <w:noWrap/>
            <w:vAlign w:val="center"/>
            <w:hideMark/>
          </w:tcPr>
          <w:p w14:paraId="5766FCD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696" w:type="pct"/>
            <w:tcBorders>
              <w:top w:val="nil"/>
              <w:left w:val="nil"/>
              <w:bottom w:val="single" w:sz="4" w:space="0" w:color="auto"/>
              <w:right w:val="single" w:sz="4" w:space="0" w:color="auto"/>
            </w:tcBorders>
            <w:shd w:val="clear" w:color="000000" w:fill="FFFFFF"/>
            <w:noWrap/>
            <w:vAlign w:val="center"/>
            <w:hideMark/>
          </w:tcPr>
          <w:p w14:paraId="24FEC40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761" w:type="pct"/>
            <w:tcBorders>
              <w:top w:val="nil"/>
              <w:left w:val="nil"/>
              <w:bottom w:val="single" w:sz="4" w:space="0" w:color="auto"/>
              <w:right w:val="single" w:sz="4" w:space="0" w:color="auto"/>
            </w:tcBorders>
            <w:shd w:val="clear" w:color="000000" w:fill="FFFFFF"/>
            <w:noWrap/>
            <w:vAlign w:val="center"/>
            <w:hideMark/>
          </w:tcPr>
          <w:p w14:paraId="5CB25CE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w:t>
            </w:r>
          </w:p>
        </w:tc>
      </w:tr>
      <w:tr w:rsidR="004446CD" w:rsidRPr="00650EE4" w14:paraId="79F8362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C708856"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833" w:type="pct"/>
            <w:tcBorders>
              <w:top w:val="nil"/>
              <w:left w:val="nil"/>
              <w:bottom w:val="single" w:sz="4" w:space="0" w:color="auto"/>
              <w:right w:val="single" w:sz="4" w:space="0" w:color="auto"/>
            </w:tcBorders>
            <w:shd w:val="clear" w:color="000000" w:fill="FFFFFF"/>
            <w:noWrap/>
            <w:vAlign w:val="center"/>
            <w:hideMark/>
          </w:tcPr>
          <w:p w14:paraId="542AFEB8"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Langų keitimas</w:t>
            </w:r>
          </w:p>
        </w:tc>
        <w:tc>
          <w:tcPr>
            <w:tcW w:w="348" w:type="pct"/>
            <w:tcBorders>
              <w:top w:val="nil"/>
              <w:left w:val="nil"/>
              <w:bottom w:val="single" w:sz="4" w:space="0" w:color="auto"/>
              <w:right w:val="single" w:sz="4" w:space="0" w:color="auto"/>
            </w:tcBorders>
            <w:shd w:val="clear" w:color="000000" w:fill="FFFFFF"/>
            <w:noWrap/>
            <w:vAlign w:val="center"/>
            <w:hideMark/>
          </w:tcPr>
          <w:p w14:paraId="107AAA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CEC635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23ABF53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579" w:type="pct"/>
            <w:tcBorders>
              <w:top w:val="nil"/>
              <w:left w:val="nil"/>
              <w:bottom w:val="single" w:sz="4" w:space="0" w:color="auto"/>
              <w:right w:val="single" w:sz="4" w:space="0" w:color="auto"/>
            </w:tcBorders>
            <w:shd w:val="clear" w:color="000000" w:fill="FFFFFF"/>
            <w:noWrap/>
            <w:vAlign w:val="center"/>
            <w:hideMark/>
          </w:tcPr>
          <w:p w14:paraId="16EA4A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53</w:t>
            </w:r>
          </w:p>
        </w:tc>
        <w:tc>
          <w:tcPr>
            <w:tcW w:w="580" w:type="pct"/>
            <w:tcBorders>
              <w:top w:val="nil"/>
              <w:left w:val="nil"/>
              <w:bottom w:val="single" w:sz="4" w:space="0" w:color="auto"/>
              <w:right w:val="single" w:sz="4" w:space="0" w:color="auto"/>
            </w:tcBorders>
            <w:shd w:val="clear" w:color="000000" w:fill="FFFFFF"/>
            <w:noWrap/>
            <w:vAlign w:val="center"/>
            <w:hideMark/>
          </w:tcPr>
          <w:p w14:paraId="3548E55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51</w:t>
            </w:r>
          </w:p>
        </w:tc>
        <w:tc>
          <w:tcPr>
            <w:tcW w:w="696" w:type="pct"/>
            <w:tcBorders>
              <w:top w:val="nil"/>
              <w:left w:val="nil"/>
              <w:bottom w:val="single" w:sz="4" w:space="0" w:color="auto"/>
              <w:right w:val="single" w:sz="4" w:space="0" w:color="auto"/>
            </w:tcBorders>
            <w:shd w:val="clear" w:color="000000" w:fill="FFFFFF"/>
            <w:noWrap/>
            <w:vAlign w:val="center"/>
            <w:hideMark/>
          </w:tcPr>
          <w:p w14:paraId="4893683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53</w:t>
            </w:r>
          </w:p>
        </w:tc>
        <w:tc>
          <w:tcPr>
            <w:tcW w:w="761" w:type="pct"/>
            <w:tcBorders>
              <w:top w:val="nil"/>
              <w:left w:val="nil"/>
              <w:bottom w:val="single" w:sz="4" w:space="0" w:color="auto"/>
              <w:right w:val="single" w:sz="4" w:space="0" w:color="auto"/>
            </w:tcBorders>
            <w:shd w:val="clear" w:color="000000" w:fill="FFFFFF"/>
            <w:noWrap/>
            <w:vAlign w:val="center"/>
            <w:hideMark/>
          </w:tcPr>
          <w:p w14:paraId="5A11DA8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53</w:t>
            </w:r>
          </w:p>
        </w:tc>
      </w:tr>
    </w:tbl>
    <w:p w14:paraId="3DBDE19F" w14:textId="50D63B98" w:rsidR="00FC56AA" w:rsidRPr="00650EE4" w:rsidRDefault="00FC56AA" w:rsidP="00FC56A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38AF4083" w14:textId="461B2389" w:rsidR="00EA563E" w:rsidRPr="00650EE4" w:rsidRDefault="00EA563E" w:rsidP="00EA563E">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94" w:name="_Toc67925126"/>
      <w:r w:rsidRPr="00650EE4">
        <w:rPr>
          <w:rFonts w:ascii="Times New Roman" w:hAnsi="Times New Roman"/>
          <w:color w:val="auto"/>
          <w:sz w:val="24"/>
          <w:szCs w:val="24"/>
          <w:lang w:val="lt-LT"/>
        </w:rPr>
        <w:t>Energijos ir CO</w:t>
      </w:r>
      <w:r w:rsidRPr="00650EE4">
        <w:rPr>
          <w:rFonts w:ascii="Times New Roman" w:hAnsi="Times New Roman"/>
          <w:color w:val="auto"/>
          <w:sz w:val="24"/>
          <w:szCs w:val="24"/>
          <w:vertAlign w:val="subscript"/>
          <w:lang w:val="lt-LT"/>
        </w:rPr>
        <w:t>2</w:t>
      </w:r>
      <w:r w:rsidRPr="00650EE4">
        <w:rPr>
          <w:rFonts w:ascii="Times New Roman" w:hAnsi="Times New Roman"/>
          <w:color w:val="auto"/>
          <w:sz w:val="24"/>
          <w:szCs w:val="24"/>
          <w:lang w:val="lt-LT"/>
        </w:rPr>
        <w:t xml:space="preserve"> sutaupymų nustatymas</w:t>
      </w:r>
      <w:bookmarkEnd w:id="94"/>
    </w:p>
    <w:p w14:paraId="26AF6392" w14:textId="77777777" w:rsidR="00DC1760" w:rsidRPr="00650EE4" w:rsidRDefault="00DC1760" w:rsidP="00DC1760">
      <w:pPr>
        <w:spacing w:after="120"/>
        <w:rPr>
          <w:rFonts w:ascii="Times New Roman" w:hAnsi="Times New Roman"/>
          <w:lang w:eastAsia="lt-LT"/>
        </w:rPr>
      </w:pPr>
      <w:r w:rsidRPr="00650EE4">
        <w:rPr>
          <w:rFonts w:ascii="Times New Roman" w:hAnsi="Times New Roman"/>
          <w:lang w:eastAsia="lt-LT"/>
        </w:rPr>
        <w:t>Renovacijos priemonių energijos sutaupymus sudaro:</w:t>
      </w:r>
    </w:p>
    <w:p w14:paraId="318B93D5" w14:textId="29080B17" w:rsidR="00DC1760" w:rsidRPr="00650EE4" w:rsidRDefault="00F73F9C" w:rsidP="00BD4925">
      <w:pPr>
        <w:pStyle w:val="BodyText"/>
        <w:numPr>
          <w:ilvl w:val="0"/>
          <w:numId w:val="3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e</w:t>
      </w:r>
      <w:r w:rsidR="00DC1760" w:rsidRPr="00650EE4">
        <w:rPr>
          <w:rFonts w:ascii="Times New Roman" w:hAnsi="Times New Roman"/>
          <w:color w:val="000000" w:themeColor="text1"/>
          <w:szCs w:val="22"/>
          <w:lang w:val="lt-LT"/>
        </w:rPr>
        <w:t>nerginio efektyvumo priemonių pasiektas šiluminės ir elektros energijos vartojimo sumažėjimas ir jį atitinkantis CO</w:t>
      </w:r>
      <w:r w:rsidR="00DC1760" w:rsidRPr="00650EE4">
        <w:rPr>
          <w:rFonts w:ascii="Times New Roman" w:hAnsi="Times New Roman"/>
          <w:color w:val="000000" w:themeColor="text1"/>
          <w:szCs w:val="22"/>
          <w:vertAlign w:val="subscript"/>
          <w:lang w:val="lt-LT"/>
        </w:rPr>
        <w:t>2</w:t>
      </w:r>
      <w:r>
        <w:rPr>
          <w:rFonts w:ascii="Times New Roman" w:hAnsi="Times New Roman"/>
          <w:color w:val="000000" w:themeColor="text1"/>
          <w:szCs w:val="22"/>
          <w:lang w:val="lt-LT"/>
        </w:rPr>
        <w:t xml:space="preserve"> emisijų sumažėjimas;</w:t>
      </w:r>
    </w:p>
    <w:p w14:paraId="52B32A45" w14:textId="340B9920" w:rsidR="00DC1760" w:rsidRPr="00650EE4" w:rsidRDefault="00F73F9C" w:rsidP="00BD4925">
      <w:pPr>
        <w:pStyle w:val="BodyText"/>
        <w:numPr>
          <w:ilvl w:val="0"/>
          <w:numId w:val="31"/>
        </w:numPr>
        <w:spacing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a</w:t>
      </w:r>
      <w:r w:rsidR="00DC1760" w:rsidRPr="00650EE4">
        <w:rPr>
          <w:rFonts w:ascii="Times New Roman" w:hAnsi="Times New Roman"/>
          <w:color w:val="000000" w:themeColor="text1"/>
          <w:szCs w:val="22"/>
          <w:lang w:val="lt-LT"/>
        </w:rPr>
        <w:t>tsinaujinančių energijos išteklių priemonių pasiektas energijos gamybos šaltinio pokytis ir jį atitinkantis pirminės energijos vartojimo sumažėjimas bei CO</w:t>
      </w:r>
      <w:r w:rsidR="00DC1760" w:rsidRPr="00650EE4">
        <w:rPr>
          <w:rFonts w:ascii="Times New Roman" w:hAnsi="Times New Roman"/>
          <w:color w:val="000000" w:themeColor="text1"/>
          <w:szCs w:val="22"/>
          <w:vertAlign w:val="subscript"/>
          <w:lang w:val="lt-LT"/>
        </w:rPr>
        <w:t>2</w:t>
      </w:r>
      <w:r w:rsidR="00DC1760" w:rsidRPr="00650EE4">
        <w:rPr>
          <w:rFonts w:ascii="Times New Roman" w:hAnsi="Times New Roman"/>
          <w:color w:val="000000" w:themeColor="text1"/>
          <w:szCs w:val="22"/>
          <w:lang w:val="lt-LT"/>
        </w:rPr>
        <w:t xml:space="preserve"> emisijų sumažėjimas.</w:t>
      </w:r>
    </w:p>
    <w:p w14:paraId="094BB479" w14:textId="77777777" w:rsidR="00B62276" w:rsidRPr="00650EE4" w:rsidRDefault="00B62276" w:rsidP="00B62276">
      <w:pPr>
        <w:pStyle w:val="BodyText"/>
        <w:spacing w:line="240" w:lineRule="auto"/>
        <w:rPr>
          <w:rFonts w:ascii="Times New Roman" w:hAnsi="Times New Roman"/>
          <w:color w:val="000000" w:themeColor="text1"/>
          <w:szCs w:val="22"/>
          <w:lang w:val="lt-LT"/>
        </w:rPr>
      </w:pPr>
    </w:p>
    <w:p w14:paraId="38574127" w14:textId="77777777" w:rsidR="00B62276" w:rsidRPr="00650EE4" w:rsidRDefault="00B62276" w:rsidP="00B62276">
      <w:pPr>
        <w:pStyle w:val="BodyText"/>
        <w:spacing w:after="6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Renovacijos priemonių pasiektų energijos sutaupymų vertė apskaičiuota šiais etapais:</w:t>
      </w:r>
    </w:p>
    <w:p w14:paraId="066B3BAE" w14:textId="77777777" w:rsidR="00B62276" w:rsidRPr="00650EE4" w:rsidRDefault="00B62276" w:rsidP="00BD4925">
      <w:pPr>
        <w:pStyle w:val="BodyText"/>
        <w:numPr>
          <w:ilvl w:val="0"/>
          <w:numId w:val="50"/>
        </w:numPr>
        <w:spacing w:after="6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Apskaičiuotas energijos sąnaudų (</w:t>
      </w:r>
      <w:proofErr w:type="spellStart"/>
      <w:r w:rsidRPr="00650EE4">
        <w:rPr>
          <w:rFonts w:ascii="Times New Roman" w:hAnsi="Times New Roman"/>
          <w:color w:val="000000" w:themeColor="text1"/>
          <w:szCs w:val="22"/>
          <w:lang w:val="lt-LT"/>
        </w:rPr>
        <w:t>kWh</w:t>
      </w:r>
      <w:proofErr w:type="spellEnd"/>
      <w:r w:rsidRPr="00650EE4">
        <w:rPr>
          <w:rFonts w:ascii="Times New Roman" w:hAnsi="Times New Roman"/>
          <w:color w:val="000000" w:themeColor="text1"/>
          <w:szCs w:val="22"/>
          <w:lang w:val="lt-LT"/>
        </w:rPr>
        <w:t>) ir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(kgCO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sutaupymas;</w:t>
      </w:r>
    </w:p>
    <w:p w14:paraId="5ADD32C3" w14:textId="1E1B556C" w:rsidR="00B62276" w:rsidRPr="00650EE4" w:rsidRDefault="00F73F9C" w:rsidP="00BD4925">
      <w:pPr>
        <w:pStyle w:val="BodyText"/>
        <w:numPr>
          <w:ilvl w:val="1"/>
          <w:numId w:val="53"/>
        </w:numPr>
        <w:spacing w:after="60" w:line="240" w:lineRule="auto"/>
        <w:ind w:left="1134" w:hanging="283"/>
        <w:rPr>
          <w:rFonts w:ascii="Times New Roman" w:hAnsi="Times New Roman"/>
          <w:color w:val="000000" w:themeColor="text1"/>
          <w:szCs w:val="22"/>
          <w:lang w:val="lt-LT"/>
        </w:rPr>
      </w:pPr>
      <w:r>
        <w:rPr>
          <w:rFonts w:ascii="Times New Roman" w:hAnsi="Times New Roman"/>
          <w:color w:val="000000" w:themeColor="text1"/>
          <w:szCs w:val="22"/>
          <w:lang w:val="lt-LT"/>
        </w:rPr>
        <w:t>a</w:t>
      </w:r>
      <w:r w:rsidR="00B62276" w:rsidRPr="00650EE4">
        <w:rPr>
          <w:rFonts w:ascii="Times New Roman" w:hAnsi="Times New Roman"/>
          <w:color w:val="000000" w:themeColor="text1"/>
          <w:szCs w:val="22"/>
          <w:lang w:val="lt-LT"/>
        </w:rPr>
        <w:t>pskaičiuoti energinio efektyvumo priemonių paketų šiluminės ir elektros energijos sutaupymai;</w:t>
      </w:r>
    </w:p>
    <w:p w14:paraId="72F157A6" w14:textId="7E6840BF" w:rsidR="00B62276" w:rsidRPr="00650EE4" w:rsidRDefault="00F73F9C" w:rsidP="00BD4925">
      <w:pPr>
        <w:pStyle w:val="BodyText"/>
        <w:numPr>
          <w:ilvl w:val="1"/>
          <w:numId w:val="53"/>
        </w:numPr>
        <w:spacing w:after="60" w:line="240" w:lineRule="auto"/>
        <w:ind w:left="1134" w:hanging="283"/>
        <w:rPr>
          <w:rFonts w:ascii="Times New Roman" w:hAnsi="Times New Roman"/>
          <w:color w:val="000000" w:themeColor="text1"/>
          <w:szCs w:val="22"/>
          <w:lang w:val="lt-LT"/>
        </w:rPr>
      </w:pPr>
      <w:r>
        <w:rPr>
          <w:rFonts w:ascii="Times New Roman" w:hAnsi="Times New Roman"/>
          <w:color w:val="000000" w:themeColor="text1"/>
          <w:szCs w:val="22"/>
          <w:lang w:val="lt-LT"/>
        </w:rPr>
        <w:t>a</w:t>
      </w:r>
      <w:r w:rsidR="00B62276" w:rsidRPr="00650EE4">
        <w:rPr>
          <w:rFonts w:ascii="Times New Roman" w:hAnsi="Times New Roman"/>
          <w:color w:val="000000" w:themeColor="text1"/>
          <w:szCs w:val="22"/>
          <w:lang w:val="lt-LT"/>
        </w:rPr>
        <w:t>pskaičiuoti AEI renovacijos priemonių šiluminės ir elektros energijos pokyčiai;</w:t>
      </w:r>
    </w:p>
    <w:p w14:paraId="2FBC8254" w14:textId="1C80C66B" w:rsidR="00B62276" w:rsidRPr="00650EE4" w:rsidRDefault="00F73F9C" w:rsidP="00BD4925">
      <w:pPr>
        <w:pStyle w:val="BodyText"/>
        <w:numPr>
          <w:ilvl w:val="1"/>
          <w:numId w:val="53"/>
        </w:numPr>
        <w:spacing w:after="60" w:line="240" w:lineRule="auto"/>
        <w:ind w:left="1134" w:hanging="283"/>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p</w:t>
      </w:r>
      <w:r w:rsidR="00B62276" w:rsidRPr="00650EE4">
        <w:rPr>
          <w:rFonts w:ascii="Times New Roman" w:hAnsi="Times New Roman"/>
          <w:color w:val="000000" w:themeColor="text1"/>
          <w:szCs w:val="22"/>
          <w:lang w:val="lt-LT"/>
        </w:rPr>
        <w:t>ritaikius STR 2.01.02:2016  pateikiamus faktorius apskaičiuoti pirminės energijos ir CO</w:t>
      </w:r>
      <w:r w:rsidR="00B62276" w:rsidRPr="003C65BF">
        <w:rPr>
          <w:rFonts w:ascii="Times New Roman" w:hAnsi="Times New Roman"/>
          <w:color w:val="000000" w:themeColor="text1"/>
          <w:szCs w:val="22"/>
          <w:vertAlign w:val="subscript"/>
          <w:lang w:val="lt-LT"/>
        </w:rPr>
        <w:t>2</w:t>
      </w:r>
      <w:r w:rsidR="00B62276" w:rsidRPr="00650EE4">
        <w:rPr>
          <w:rFonts w:ascii="Times New Roman" w:hAnsi="Times New Roman"/>
          <w:color w:val="000000" w:themeColor="text1"/>
          <w:szCs w:val="22"/>
          <w:lang w:val="lt-LT"/>
        </w:rPr>
        <w:t xml:space="preserve"> emisijų sutaupymai.</w:t>
      </w:r>
    </w:p>
    <w:p w14:paraId="6DE09047" w14:textId="1348AF85" w:rsidR="00B62276" w:rsidRPr="00650EE4" w:rsidRDefault="00B62276" w:rsidP="00BD4925">
      <w:pPr>
        <w:pStyle w:val="BodyText"/>
        <w:numPr>
          <w:ilvl w:val="0"/>
          <w:numId w:val="50"/>
        </w:numPr>
        <w:spacing w:after="12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Nustatytos energijos ir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kainos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w:t>
      </w:r>
      <w:proofErr w:type="spellStart"/>
      <w:r w:rsidRPr="00650EE4">
        <w:rPr>
          <w:rFonts w:ascii="Times New Roman" w:hAnsi="Times New Roman"/>
          <w:color w:val="000000" w:themeColor="text1"/>
          <w:szCs w:val="22"/>
          <w:lang w:val="lt-LT"/>
        </w:rPr>
        <w:t>MWh</w:t>
      </w:r>
      <w:proofErr w:type="spellEnd"/>
      <w:r w:rsidRPr="00650EE4">
        <w:rPr>
          <w:rFonts w:ascii="Times New Roman" w:hAnsi="Times New Roman"/>
          <w:color w:val="000000" w:themeColor="text1"/>
          <w:szCs w:val="22"/>
          <w:lang w:val="lt-LT"/>
        </w:rPr>
        <w:t xml:space="preserve"> ir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 tC0</w:t>
      </w:r>
      <w:r w:rsidRPr="00650EE4">
        <w:rPr>
          <w:rFonts w:ascii="Times New Roman" w:hAnsi="Times New Roman"/>
          <w:color w:val="000000" w:themeColor="text1"/>
          <w:szCs w:val="22"/>
          <w:vertAlign w:val="subscript"/>
          <w:lang w:val="lt-LT"/>
        </w:rPr>
        <w:t>2</w:t>
      </w:r>
      <w:r w:rsidRPr="00650EE4">
        <w:rPr>
          <w:rFonts w:ascii="Times New Roman" w:hAnsi="Times New Roman"/>
          <w:lang w:val="lt-LT" w:eastAsia="lt-LT"/>
        </w:rPr>
        <w:t>)</w:t>
      </w:r>
      <w:r w:rsidR="00F73F9C">
        <w:rPr>
          <w:rFonts w:ascii="Times New Roman" w:hAnsi="Times New Roman"/>
          <w:lang w:val="lt-LT" w:eastAsia="lt-LT"/>
        </w:rPr>
        <w:t>.</w:t>
      </w:r>
    </w:p>
    <w:p w14:paraId="0467ADCF" w14:textId="3E1DC486" w:rsidR="001115ED" w:rsidRDefault="00B62276" w:rsidP="00BD4925">
      <w:pPr>
        <w:pStyle w:val="BodyText"/>
        <w:numPr>
          <w:ilvl w:val="0"/>
          <w:numId w:val="50"/>
        </w:numPr>
        <w:spacing w:after="6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Apskaičiuota pirminės energijos sutaupymų vertė (1 x 2). </w:t>
      </w:r>
    </w:p>
    <w:p w14:paraId="170920E0" w14:textId="77777777" w:rsidR="00F73F9C" w:rsidRPr="00F73F9C" w:rsidRDefault="00F73F9C" w:rsidP="00F73F9C">
      <w:pPr>
        <w:pStyle w:val="BodyText"/>
        <w:spacing w:after="60" w:line="240" w:lineRule="auto"/>
        <w:rPr>
          <w:rFonts w:ascii="Times New Roman" w:hAnsi="Times New Roman"/>
          <w:color w:val="000000" w:themeColor="text1"/>
          <w:sz w:val="16"/>
          <w:szCs w:val="22"/>
          <w:lang w:val="lt-LT"/>
        </w:rPr>
      </w:pPr>
    </w:p>
    <w:p w14:paraId="7AB5A87F" w14:textId="418EC8BD" w:rsidR="0064426D" w:rsidRPr="00650EE4" w:rsidRDefault="001F01CD" w:rsidP="005B5705">
      <w:pPr>
        <w:pStyle w:val="Antrastes31"/>
        <w:numPr>
          <w:ilvl w:val="2"/>
          <w:numId w:val="4"/>
        </w:numPr>
        <w:spacing w:before="0"/>
        <w:ind w:left="720" w:hanging="720"/>
        <w:rPr>
          <w:rFonts w:ascii="Times New Roman" w:hAnsi="Times New Roman"/>
          <w:color w:val="000000" w:themeColor="text1"/>
          <w:sz w:val="24"/>
          <w:szCs w:val="24"/>
          <w:lang w:val="lt-LT"/>
        </w:rPr>
      </w:pPr>
      <w:bookmarkStart w:id="95" w:name="_Toc67925127"/>
      <w:r w:rsidRPr="00650EE4">
        <w:rPr>
          <w:rFonts w:ascii="Times New Roman" w:hAnsi="Times New Roman"/>
          <w:color w:val="000000" w:themeColor="text1"/>
          <w:sz w:val="24"/>
          <w:szCs w:val="24"/>
          <w:lang w:val="lt-LT"/>
        </w:rPr>
        <w:t>Pirminės e</w:t>
      </w:r>
      <w:r w:rsidR="006A470E" w:rsidRPr="00650EE4">
        <w:rPr>
          <w:rFonts w:ascii="Times New Roman" w:hAnsi="Times New Roman"/>
          <w:color w:val="000000" w:themeColor="text1"/>
          <w:sz w:val="24"/>
          <w:szCs w:val="24"/>
          <w:lang w:val="lt-LT"/>
        </w:rPr>
        <w:t>nergijos sutaupymai</w:t>
      </w:r>
      <w:bookmarkEnd w:id="95"/>
    </w:p>
    <w:p w14:paraId="2AD1F4F4" w14:textId="3EA18435" w:rsidR="00B62276" w:rsidRPr="00650EE4" w:rsidRDefault="00B62276" w:rsidP="00B62276">
      <w:pPr>
        <w:pStyle w:val="BodyText"/>
        <w:jc w:val="both"/>
        <w:rPr>
          <w:rFonts w:ascii="Times New Roman" w:hAnsi="Times New Roman"/>
          <w:color w:val="000000" w:themeColor="text1"/>
          <w:szCs w:val="22"/>
          <w:lang w:val="lt-LT"/>
        </w:rPr>
      </w:pPr>
      <w:r w:rsidRPr="00650EE4">
        <w:rPr>
          <w:rFonts w:ascii="Times New Roman" w:hAnsi="Times New Roman"/>
          <w:szCs w:val="22"/>
          <w:lang w:val="lt-LT" w:eastAsia="lt-LT"/>
        </w:rPr>
        <w:t xml:space="preserve">Pirminės energijos sutaupymai apskaičiuoti </w:t>
      </w:r>
      <w:r w:rsidR="00426B27" w:rsidRPr="00650EE4">
        <w:rPr>
          <w:rFonts w:ascii="Times New Roman" w:hAnsi="Times New Roman"/>
          <w:szCs w:val="22"/>
          <w:lang w:val="lt-LT" w:eastAsia="lt-LT"/>
        </w:rPr>
        <w:t>atsižvelgiant į</w:t>
      </w:r>
      <w:r w:rsidRPr="00650EE4">
        <w:rPr>
          <w:rFonts w:ascii="Times New Roman" w:hAnsi="Times New Roman"/>
          <w:color w:val="000000" w:themeColor="text1"/>
          <w:szCs w:val="22"/>
          <w:lang w:val="lt-LT"/>
        </w:rPr>
        <w:t>:</w:t>
      </w:r>
    </w:p>
    <w:p w14:paraId="53AEFDB2" w14:textId="14FA7E2A" w:rsidR="00B62276" w:rsidRPr="00650EE4" w:rsidRDefault="00F73F9C" w:rsidP="00B62276">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B62276" w:rsidRPr="00650EE4">
        <w:rPr>
          <w:rFonts w:ascii="Times New Roman" w:hAnsi="Times New Roman"/>
          <w:color w:val="000000" w:themeColor="text1"/>
          <w:szCs w:val="22"/>
        </w:rPr>
        <w:t xml:space="preserve">nerginio efektyvumo ir </w:t>
      </w:r>
      <w:r w:rsidR="00426B27" w:rsidRPr="00650EE4">
        <w:rPr>
          <w:rFonts w:ascii="Times New Roman" w:hAnsi="Times New Roman"/>
          <w:color w:val="000000" w:themeColor="text1"/>
          <w:szCs w:val="22"/>
        </w:rPr>
        <w:t>AEI priemonių pasiektą</w:t>
      </w:r>
      <w:r w:rsidR="00B62276" w:rsidRPr="00650EE4">
        <w:rPr>
          <w:rFonts w:ascii="Times New Roman" w:hAnsi="Times New Roman"/>
          <w:color w:val="000000" w:themeColor="text1"/>
          <w:szCs w:val="22"/>
        </w:rPr>
        <w:t xml:space="preserve"> šiluminės ir elektros energijos vartojimo </w:t>
      </w:r>
      <w:r w:rsidR="00426B27" w:rsidRPr="00650EE4">
        <w:rPr>
          <w:rFonts w:ascii="Times New Roman" w:hAnsi="Times New Roman"/>
          <w:color w:val="000000" w:themeColor="text1"/>
          <w:szCs w:val="22"/>
        </w:rPr>
        <w:t>pokytį</w:t>
      </w:r>
      <w:r>
        <w:rPr>
          <w:rFonts w:ascii="Times New Roman" w:hAnsi="Times New Roman"/>
          <w:color w:val="000000" w:themeColor="text1"/>
          <w:szCs w:val="22"/>
        </w:rPr>
        <w:t>;</w:t>
      </w:r>
    </w:p>
    <w:p w14:paraId="7B477352" w14:textId="673915D6" w:rsidR="00B62276" w:rsidRPr="00650EE4" w:rsidRDefault="00F73F9C" w:rsidP="00426B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B62276" w:rsidRPr="00650EE4">
        <w:rPr>
          <w:rFonts w:ascii="Times New Roman" w:hAnsi="Times New Roman"/>
          <w:color w:val="000000" w:themeColor="text1"/>
          <w:szCs w:val="22"/>
        </w:rPr>
        <w:t xml:space="preserve">irminį energijos </w:t>
      </w:r>
      <w:r w:rsidR="000543F9" w:rsidRPr="00650EE4">
        <w:rPr>
          <w:rFonts w:ascii="Times New Roman" w:hAnsi="Times New Roman"/>
          <w:color w:val="000000" w:themeColor="text1"/>
          <w:szCs w:val="22"/>
        </w:rPr>
        <w:t xml:space="preserve">gamybos </w:t>
      </w:r>
      <w:r w:rsidR="00170D53">
        <w:rPr>
          <w:rFonts w:ascii="Times New Roman" w:hAnsi="Times New Roman"/>
          <w:color w:val="000000" w:themeColor="text1"/>
          <w:szCs w:val="22"/>
        </w:rPr>
        <w:t>šaltinį (kuro rūšį) t.y. p</w:t>
      </w:r>
      <w:r w:rsidR="00B62276" w:rsidRPr="00650EE4">
        <w:rPr>
          <w:rFonts w:ascii="Times New Roman" w:hAnsi="Times New Roman"/>
          <w:color w:val="000000" w:themeColor="text1"/>
          <w:szCs w:val="22"/>
        </w:rPr>
        <w:t xml:space="preserve">astatų fondo energijos gamybos struktūrą (žr. </w:t>
      </w:r>
      <w:r w:rsidR="004479AB">
        <w:rPr>
          <w:rFonts w:ascii="Times New Roman" w:hAnsi="Times New Roman"/>
          <w:color w:val="000000" w:themeColor="text1"/>
          <w:szCs w:val="22"/>
          <w:lang w:val="en-GB"/>
        </w:rPr>
        <w:t>1</w:t>
      </w:r>
      <w:r w:rsidR="00B62276" w:rsidRPr="00650EE4">
        <w:rPr>
          <w:rFonts w:ascii="Times New Roman" w:hAnsi="Times New Roman"/>
          <w:color w:val="000000" w:themeColor="text1"/>
          <w:szCs w:val="22"/>
        </w:rPr>
        <w:t>.2.5 skyrių);</w:t>
      </w:r>
    </w:p>
    <w:p w14:paraId="7F2012F0" w14:textId="232AF285" w:rsidR="00B62276" w:rsidRPr="00650EE4" w:rsidRDefault="00F73F9C" w:rsidP="00426B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B62276" w:rsidRPr="00650EE4">
        <w:rPr>
          <w:rFonts w:ascii="Times New Roman" w:hAnsi="Times New Roman"/>
          <w:color w:val="000000" w:themeColor="text1"/>
          <w:szCs w:val="22"/>
        </w:rPr>
        <w:t xml:space="preserve">irminės energijos faktorius (žr. </w:t>
      </w:r>
      <w:r w:rsidR="004479AB">
        <w:rPr>
          <w:rFonts w:ascii="Times New Roman" w:hAnsi="Times New Roman"/>
          <w:color w:val="000000" w:themeColor="text1"/>
          <w:szCs w:val="22"/>
        </w:rPr>
        <w:t>1</w:t>
      </w:r>
      <w:r w:rsidR="00B62276" w:rsidRPr="00650EE4">
        <w:rPr>
          <w:rFonts w:ascii="Times New Roman" w:hAnsi="Times New Roman"/>
          <w:color w:val="000000" w:themeColor="text1"/>
          <w:szCs w:val="22"/>
        </w:rPr>
        <w:t>.2.5 skyrių).</w:t>
      </w:r>
    </w:p>
    <w:p w14:paraId="0C836EA9" w14:textId="77777777" w:rsidR="00B62276" w:rsidRPr="00F73F9C" w:rsidRDefault="00B62276" w:rsidP="00B62276">
      <w:pPr>
        <w:pStyle w:val="BodyText"/>
        <w:jc w:val="both"/>
        <w:rPr>
          <w:rFonts w:ascii="Times New Roman" w:hAnsi="Times New Roman"/>
          <w:color w:val="000000" w:themeColor="text1"/>
          <w:sz w:val="10"/>
          <w:szCs w:val="22"/>
          <w:lang w:val="lt-LT"/>
        </w:rPr>
      </w:pPr>
    </w:p>
    <w:p w14:paraId="29390B68" w14:textId="3C313767" w:rsidR="00B62276" w:rsidRPr="00650EE4" w:rsidRDefault="00B62276" w:rsidP="00B6227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pateikiama visų modeliuojamų renovacijos priemonių paketų pasiektų pirminės energijos sutaupymų suvestinė. </w:t>
      </w:r>
      <w:r w:rsidR="00426B27"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utaupymų dydžiai priklauso nuo konkrečios modeliuojamos kombinacijos pastato statybos metų ir ploto, </w:t>
      </w:r>
      <w:r w:rsidR="00426B27" w:rsidRPr="00650EE4">
        <w:rPr>
          <w:rFonts w:ascii="Times New Roman" w:hAnsi="Times New Roman"/>
          <w:color w:val="000000" w:themeColor="text1"/>
          <w:szCs w:val="22"/>
          <w:lang w:val="lt-LT"/>
        </w:rPr>
        <w:t xml:space="preserve">todėl pateikiami vidutiniai dydžiai. </w:t>
      </w:r>
    </w:p>
    <w:p w14:paraId="0C776F99" w14:textId="77777777" w:rsidR="00B62276" w:rsidRPr="00650EE4" w:rsidRDefault="00B62276" w:rsidP="00B62276">
      <w:pPr>
        <w:pStyle w:val="BodyText"/>
        <w:jc w:val="both"/>
        <w:rPr>
          <w:rFonts w:ascii="Times New Roman" w:hAnsi="Times New Roman"/>
          <w:color w:val="000000" w:themeColor="text1"/>
          <w:szCs w:val="22"/>
          <w:lang w:val="lt-LT"/>
        </w:rPr>
      </w:pPr>
    </w:p>
    <w:p w14:paraId="5D00F9C0" w14:textId="5C8232F8" w:rsidR="00B62276" w:rsidRPr="00650EE4" w:rsidRDefault="00B6227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96" w:name="_Toc67925220"/>
      <w:r w:rsidR="007744C1">
        <w:t>37</w:t>
      </w:r>
      <w:r w:rsidRPr="00650EE4">
        <w:rPr>
          <w:noProof w:val="0"/>
        </w:rPr>
        <w:fldChar w:fldCharType="end"/>
      </w:r>
      <w:r w:rsidRPr="00650EE4">
        <w:rPr>
          <w:noProof w:val="0"/>
        </w:rPr>
        <w:t xml:space="preserve"> lentelė. Renovacijos priemonių pirminės energijos sutaupymai (</w:t>
      </w:r>
      <w:proofErr w:type="spellStart"/>
      <w:r w:rsidRPr="00650EE4">
        <w:rPr>
          <w:noProof w:val="0"/>
        </w:rPr>
        <w:t>kWh</w:t>
      </w:r>
      <w:proofErr w:type="spellEnd"/>
      <w:r w:rsidRPr="00650EE4">
        <w:rPr>
          <w:noProof w:val="0"/>
        </w:rPr>
        <w:t>/m</w:t>
      </w:r>
      <w:r w:rsidRPr="00650EE4">
        <w:rPr>
          <w:noProof w:val="0"/>
          <w:vertAlign w:val="superscript"/>
        </w:rPr>
        <w:t>2</w:t>
      </w:r>
      <w:r w:rsidRPr="00650EE4">
        <w:rPr>
          <w:noProof w:val="0"/>
        </w:rPr>
        <w:t>/metus)</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665"/>
        <w:gridCol w:w="790"/>
        <w:gridCol w:w="783"/>
        <w:gridCol w:w="1088"/>
        <w:gridCol w:w="1301"/>
        <w:gridCol w:w="1157"/>
        <w:gridCol w:w="1466"/>
        <w:gridCol w:w="1441"/>
      </w:tblGrid>
      <w:tr w:rsidR="00B62276" w:rsidRPr="00650EE4" w14:paraId="7D7C29CA" w14:textId="77777777" w:rsidTr="00E57787">
        <w:trPr>
          <w:tblHeader/>
        </w:trPr>
        <w:tc>
          <w:tcPr>
            <w:tcW w:w="713" w:type="dxa"/>
            <w:vMerge w:val="restart"/>
            <w:shd w:val="clear" w:color="000000" w:fill="FFFFFF"/>
            <w:noWrap/>
            <w:vAlign w:val="center"/>
            <w:hideMark/>
          </w:tcPr>
          <w:p w14:paraId="097A2B4C"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Nr.</w:t>
            </w:r>
          </w:p>
        </w:tc>
        <w:tc>
          <w:tcPr>
            <w:tcW w:w="1629" w:type="dxa"/>
            <w:vMerge w:val="restart"/>
            <w:shd w:val="clear" w:color="000000" w:fill="FFFFFF"/>
            <w:noWrap/>
            <w:vAlign w:val="center"/>
            <w:hideMark/>
          </w:tcPr>
          <w:p w14:paraId="2EDBAF58"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Paketas</w:t>
            </w:r>
          </w:p>
        </w:tc>
        <w:tc>
          <w:tcPr>
            <w:tcW w:w="1539" w:type="dxa"/>
            <w:gridSpan w:val="2"/>
            <w:tcBorders>
              <w:right w:val="single" w:sz="4" w:space="0" w:color="auto"/>
            </w:tcBorders>
            <w:shd w:val="clear" w:color="000000" w:fill="FFFFFF"/>
            <w:noWrap/>
            <w:vAlign w:val="center"/>
            <w:hideMark/>
          </w:tcPr>
          <w:p w14:paraId="3CE2874E"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ENK</w:t>
            </w:r>
          </w:p>
        </w:tc>
        <w:tc>
          <w:tcPr>
            <w:tcW w:w="3469" w:type="dxa"/>
            <w:gridSpan w:val="3"/>
            <w:tcBorders>
              <w:top w:val="single" w:sz="4" w:space="0" w:color="auto"/>
              <w:left w:val="single" w:sz="4" w:space="0" w:color="auto"/>
              <w:bottom w:val="nil"/>
              <w:right w:val="single" w:sz="4" w:space="0" w:color="auto"/>
            </w:tcBorders>
            <w:shd w:val="clear" w:color="auto" w:fill="auto"/>
            <w:noWrap/>
            <w:vAlign w:val="center"/>
            <w:hideMark/>
          </w:tcPr>
          <w:p w14:paraId="596D87FD"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Daugiabučiai</w:t>
            </w:r>
          </w:p>
        </w:tc>
        <w:tc>
          <w:tcPr>
            <w:tcW w:w="1434" w:type="dxa"/>
            <w:vMerge w:val="restart"/>
            <w:tcBorders>
              <w:left w:val="single" w:sz="4" w:space="0" w:color="auto"/>
            </w:tcBorders>
            <w:shd w:val="clear" w:color="000000" w:fill="FFFFFF"/>
            <w:noWrap/>
            <w:vAlign w:val="center"/>
            <w:hideMark/>
          </w:tcPr>
          <w:p w14:paraId="5A06C7C8"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Individualūs</w:t>
            </w:r>
          </w:p>
        </w:tc>
        <w:tc>
          <w:tcPr>
            <w:tcW w:w="1410" w:type="dxa"/>
            <w:vMerge w:val="restart"/>
            <w:shd w:val="clear" w:color="000000" w:fill="FFFFFF"/>
            <w:noWrap/>
            <w:vAlign w:val="center"/>
            <w:hideMark/>
          </w:tcPr>
          <w:p w14:paraId="512B1973" w14:textId="77777777" w:rsidR="00B62276" w:rsidRPr="00650EE4" w:rsidRDefault="00B62276" w:rsidP="00AE7CA9">
            <w:pPr>
              <w:spacing w:line="240" w:lineRule="auto"/>
              <w:ind w:left="-85" w:right="-115" w:hanging="46"/>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Negyvenamieji</w:t>
            </w:r>
          </w:p>
        </w:tc>
      </w:tr>
      <w:tr w:rsidR="00B62276" w:rsidRPr="00650EE4" w14:paraId="59FCD25F" w14:textId="77777777" w:rsidTr="00E57787">
        <w:trPr>
          <w:tblHeader/>
        </w:trPr>
        <w:tc>
          <w:tcPr>
            <w:tcW w:w="713" w:type="dxa"/>
            <w:vMerge/>
            <w:tcBorders>
              <w:bottom w:val="single" w:sz="4" w:space="0" w:color="auto"/>
            </w:tcBorders>
            <w:vAlign w:val="center"/>
            <w:hideMark/>
          </w:tcPr>
          <w:p w14:paraId="1F5C227F" w14:textId="77777777" w:rsidR="00B62276" w:rsidRPr="00650EE4" w:rsidRDefault="00B62276" w:rsidP="002D37AB">
            <w:pPr>
              <w:spacing w:line="240" w:lineRule="auto"/>
              <w:rPr>
                <w:rFonts w:ascii="Times New Roman" w:eastAsia="Times New Roman" w:hAnsi="Times New Roman"/>
                <w:b/>
                <w:bCs/>
                <w:sz w:val="20"/>
                <w:szCs w:val="20"/>
                <w:lang w:eastAsia="lt-LT"/>
              </w:rPr>
            </w:pPr>
          </w:p>
        </w:tc>
        <w:tc>
          <w:tcPr>
            <w:tcW w:w="1629" w:type="dxa"/>
            <w:vMerge/>
            <w:tcBorders>
              <w:bottom w:val="single" w:sz="4" w:space="0" w:color="auto"/>
            </w:tcBorders>
            <w:vAlign w:val="center"/>
            <w:hideMark/>
          </w:tcPr>
          <w:p w14:paraId="2CA41C35" w14:textId="77777777" w:rsidR="00B62276" w:rsidRPr="00650EE4" w:rsidRDefault="00B62276" w:rsidP="002D37AB">
            <w:pPr>
              <w:spacing w:line="240" w:lineRule="auto"/>
              <w:rPr>
                <w:rFonts w:ascii="Times New Roman" w:eastAsia="Times New Roman" w:hAnsi="Times New Roman"/>
                <w:b/>
                <w:bCs/>
                <w:sz w:val="20"/>
                <w:szCs w:val="20"/>
                <w:lang w:eastAsia="lt-LT"/>
              </w:rPr>
            </w:pPr>
          </w:p>
        </w:tc>
        <w:tc>
          <w:tcPr>
            <w:tcW w:w="773" w:type="dxa"/>
            <w:tcBorders>
              <w:bottom w:val="single" w:sz="4" w:space="0" w:color="auto"/>
            </w:tcBorders>
            <w:shd w:val="clear" w:color="000000" w:fill="FFFFFF"/>
            <w:noWrap/>
            <w:vAlign w:val="center"/>
            <w:hideMark/>
          </w:tcPr>
          <w:p w14:paraId="2EDAEE54"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Prieš</w:t>
            </w:r>
          </w:p>
        </w:tc>
        <w:tc>
          <w:tcPr>
            <w:tcW w:w="766" w:type="dxa"/>
            <w:tcBorders>
              <w:bottom w:val="single" w:sz="4" w:space="0" w:color="auto"/>
              <w:right w:val="single" w:sz="4" w:space="0" w:color="auto"/>
            </w:tcBorders>
            <w:shd w:val="clear" w:color="000000" w:fill="FFFFFF"/>
            <w:noWrap/>
            <w:vAlign w:val="center"/>
            <w:hideMark/>
          </w:tcPr>
          <w:p w14:paraId="1FF5D486"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Po</w:t>
            </w:r>
          </w:p>
        </w:tc>
        <w:tc>
          <w:tcPr>
            <w:tcW w:w="1064" w:type="dxa"/>
            <w:tcBorders>
              <w:top w:val="nil"/>
              <w:left w:val="single" w:sz="4" w:space="0" w:color="auto"/>
              <w:bottom w:val="single" w:sz="4" w:space="0" w:color="auto"/>
              <w:right w:val="nil"/>
            </w:tcBorders>
            <w:shd w:val="clear" w:color="000000" w:fill="FFFFFF"/>
            <w:noWrap/>
            <w:vAlign w:val="bottom"/>
            <w:hideMark/>
          </w:tcPr>
          <w:p w14:paraId="34E6E183" w14:textId="39BBC1AF" w:rsidR="00B62276" w:rsidRPr="00650EE4" w:rsidRDefault="00426B27" w:rsidP="002D37AB">
            <w:pPr>
              <w:spacing w:line="240" w:lineRule="auto"/>
              <w:ind w:right="-112" w:hanging="3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&lt;</w:t>
            </w:r>
            <w:r w:rsidR="00B62276" w:rsidRPr="00650EE4">
              <w:rPr>
                <w:rFonts w:ascii="Times New Roman" w:eastAsia="Times New Roman" w:hAnsi="Times New Roman"/>
                <w:sz w:val="20"/>
                <w:szCs w:val="20"/>
                <w:lang w:eastAsia="lt-LT"/>
              </w:rPr>
              <w:t>1000 m</w:t>
            </w:r>
            <w:r w:rsidR="00B62276" w:rsidRPr="00650EE4">
              <w:rPr>
                <w:rFonts w:ascii="Times New Roman" w:eastAsia="Times New Roman" w:hAnsi="Times New Roman"/>
                <w:sz w:val="20"/>
                <w:szCs w:val="20"/>
                <w:vertAlign w:val="superscript"/>
                <w:lang w:eastAsia="lt-LT"/>
              </w:rPr>
              <w:t>2</w:t>
            </w:r>
          </w:p>
        </w:tc>
        <w:tc>
          <w:tcPr>
            <w:tcW w:w="1273" w:type="dxa"/>
            <w:tcBorders>
              <w:top w:val="nil"/>
              <w:left w:val="nil"/>
              <w:bottom w:val="single" w:sz="4" w:space="0" w:color="auto"/>
              <w:right w:val="nil"/>
            </w:tcBorders>
            <w:shd w:val="clear" w:color="000000" w:fill="FFFFFF"/>
            <w:noWrap/>
            <w:vAlign w:val="bottom"/>
            <w:hideMark/>
          </w:tcPr>
          <w:p w14:paraId="18662759" w14:textId="77777777" w:rsidR="00B62276" w:rsidRPr="00650EE4" w:rsidRDefault="00B62276" w:rsidP="00426B27">
            <w:pPr>
              <w:spacing w:line="240" w:lineRule="auto"/>
              <w:ind w:right="-108" w:hanging="10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1000-5000 m</w:t>
            </w:r>
            <w:r w:rsidRPr="00650EE4">
              <w:rPr>
                <w:rFonts w:ascii="Times New Roman" w:eastAsia="Times New Roman" w:hAnsi="Times New Roman"/>
                <w:sz w:val="20"/>
                <w:szCs w:val="20"/>
                <w:vertAlign w:val="superscript"/>
                <w:lang w:eastAsia="lt-LT"/>
              </w:rPr>
              <w:t>2</w:t>
            </w:r>
          </w:p>
        </w:tc>
        <w:tc>
          <w:tcPr>
            <w:tcW w:w="1132" w:type="dxa"/>
            <w:tcBorders>
              <w:top w:val="nil"/>
              <w:left w:val="nil"/>
              <w:bottom w:val="single" w:sz="4" w:space="0" w:color="auto"/>
              <w:right w:val="single" w:sz="4" w:space="0" w:color="auto"/>
            </w:tcBorders>
            <w:shd w:val="clear" w:color="000000" w:fill="FFFFFF"/>
            <w:noWrap/>
            <w:vAlign w:val="bottom"/>
            <w:hideMark/>
          </w:tcPr>
          <w:p w14:paraId="2200431F" w14:textId="54C384F5" w:rsidR="00B62276" w:rsidRPr="00650EE4" w:rsidRDefault="00426B27" w:rsidP="00426B27">
            <w:pPr>
              <w:spacing w:line="240" w:lineRule="auto"/>
              <w:ind w:right="-108" w:hanging="10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&gt;</w:t>
            </w:r>
            <w:r w:rsidR="00B62276" w:rsidRPr="00650EE4">
              <w:rPr>
                <w:rFonts w:ascii="Times New Roman" w:eastAsia="Times New Roman" w:hAnsi="Times New Roman"/>
                <w:sz w:val="20"/>
                <w:szCs w:val="20"/>
                <w:lang w:eastAsia="lt-LT"/>
              </w:rPr>
              <w:t>5000 m</w:t>
            </w:r>
            <w:r w:rsidR="00B62276" w:rsidRPr="00650EE4">
              <w:rPr>
                <w:rFonts w:ascii="Times New Roman" w:eastAsia="Times New Roman" w:hAnsi="Times New Roman"/>
                <w:sz w:val="20"/>
                <w:szCs w:val="20"/>
                <w:vertAlign w:val="superscript"/>
                <w:lang w:eastAsia="lt-LT"/>
              </w:rPr>
              <w:t>2</w:t>
            </w:r>
          </w:p>
        </w:tc>
        <w:tc>
          <w:tcPr>
            <w:tcW w:w="1434" w:type="dxa"/>
            <w:vMerge/>
            <w:tcBorders>
              <w:left w:val="single" w:sz="4" w:space="0" w:color="auto"/>
              <w:bottom w:val="single" w:sz="4" w:space="0" w:color="auto"/>
            </w:tcBorders>
            <w:shd w:val="clear" w:color="000000" w:fill="FFFFFF"/>
            <w:noWrap/>
            <w:vAlign w:val="bottom"/>
            <w:hideMark/>
          </w:tcPr>
          <w:p w14:paraId="7F1BC22B" w14:textId="77777777" w:rsidR="00B62276" w:rsidRPr="00650EE4" w:rsidRDefault="00B62276" w:rsidP="002D37AB">
            <w:pPr>
              <w:spacing w:line="240" w:lineRule="auto"/>
              <w:rPr>
                <w:rFonts w:ascii="Times New Roman" w:eastAsia="Times New Roman" w:hAnsi="Times New Roman"/>
                <w:sz w:val="20"/>
                <w:szCs w:val="20"/>
                <w:lang w:eastAsia="lt-LT"/>
              </w:rPr>
            </w:pPr>
          </w:p>
        </w:tc>
        <w:tc>
          <w:tcPr>
            <w:tcW w:w="1410" w:type="dxa"/>
            <w:vMerge/>
            <w:tcBorders>
              <w:bottom w:val="single" w:sz="4" w:space="0" w:color="auto"/>
            </w:tcBorders>
            <w:shd w:val="clear" w:color="000000" w:fill="FFFFFF"/>
            <w:noWrap/>
            <w:vAlign w:val="bottom"/>
            <w:hideMark/>
          </w:tcPr>
          <w:p w14:paraId="66F4D784" w14:textId="77777777" w:rsidR="00B62276" w:rsidRPr="00650EE4" w:rsidRDefault="00B62276" w:rsidP="002D37AB">
            <w:pPr>
              <w:spacing w:line="240" w:lineRule="auto"/>
              <w:rPr>
                <w:rFonts w:ascii="Times New Roman" w:eastAsia="Times New Roman" w:hAnsi="Times New Roman"/>
                <w:sz w:val="20"/>
                <w:szCs w:val="20"/>
                <w:lang w:eastAsia="lt-LT"/>
              </w:rPr>
            </w:pPr>
          </w:p>
        </w:tc>
      </w:tr>
      <w:tr w:rsidR="00B62276" w:rsidRPr="00650EE4" w14:paraId="6DDE14B6" w14:textId="77777777" w:rsidTr="00E57787">
        <w:tc>
          <w:tcPr>
            <w:tcW w:w="2342"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31F642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Pagrindiniai paketai</w:t>
            </w:r>
          </w:p>
        </w:tc>
        <w:tc>
          <w:tcPr>
            <w:tcW w:w="773" w:type="dxa"/>
            <w:tcBorders>
              <w:top w:val="single" w:sz="4" w:space="0" w:color="auto"/>
              <w:left w:val="nil"/>
              <w:bottom w:val="single" w:sz="4" w:space="0" w:color="auto"/>
              <w:right w:val="nil"/>
            </w:tcBorders>
            <w:shd w:val="clear" w:color="000000" w:fill="FFFFFF"/>
            <w:noWrap/>
            <w:vAlign w:val="center"/>
          </w:tcPr>
          <w:p w14:paraId="7652C7C5"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766" w:type="dxa"/>
            <w:tcBorders>
              <w:top w:val="single" w:sz="4" w:space="0" w:color="auto"/>
              <w:left w:val="nil"/>
              <w:bottom w:val="single" w:sz="4" w:space="0" w:color="auto"/>
              <w:right w:val="nil"/>
            </w:tcBorders>
            <w:shd w:val="clear" w:color="000000" w:fill="FFFFFF"/>
            <w:noWrap/>
            <w:vAlign w:val="center"/>
          </w:tcPr>
          <w:p w14:paraId="60C6BDF6"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064" w:type="dxa"/>
            <w:tcBorders>
              <w:top w:val="single" w:sz="4" w:space="0" w:color="auto"/>
              <w:left w:val="nil"/>
              <w:bottom w:val="single" w:sz="4" w:space="0" w:color="auto"/>
              <w:right w:val="nil"/>
            </w:tcBorders>
            <w:shd w:val="clear" w:color="000000" w:fill="FFFFFF"/>
            <w:noWrap/>
            <w:vAlign w:val="center"/>
          </w:tcPr>
          <w:p w14:paraId="437267B3"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273" w:type="dxa"/>
            <w:tcBorders>
              <w:top w:val="single" w:sz="4" w:space="0" w:color="auto"/>
              <w:left w:val="nil"/>
              <w:bottom w:val="single" w:sz="4" w:space="0" w:color="auto"/>
              <w:right w:val="nil"/>
            </w:tcBorders>
            <w:shd w:val="clear" w:color="000000" w:fill="FFFFFF"/>
            <w:noWrap/>
            <w:vAlign w:val="center"/>
          </w:tcPr>
          <w:p w14:paraId="170115FF"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132" w:type="dxa"/>
            <w:tcBorders>
              <w:top w:val="single" w:sz="4" w:space="0" w:color="auto"/>
              <w:left w:val="nil"/>
              <w:bottom w:val="single" w:sz="4" w:space="0" w:color="auto"/>
              <w:right w:val="nil"/>
            </w:tcBorders>
            <w:shd w:val="clear" w:color="000000" w:fill="FFFFFF"/>
            <w:noWrap/>
            <w:vAlign w:val="center"/>
          </w:tcPr>
          <w:p w14:paraId="1FB5948E"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34" w:type="dxa"/>
            <w:tcBorders>
              <w:top w:val="single" w:sz="4" w:space="0" w:color="auto"/>
              <w:left w:val="nil"/>
              <w:bottom w:val="single" w:sz="4" w:space="0" w:color="auto"/>
              <w:right w:val="nil"/>
            </w:tcBorders>
            <w:shd w:val="clear" w:color="000000" w:fill="FFFFFF"/>
            <w:noWrap/>
            <w:vAlign w:val="center"/>
          </w:tcPr>
          <w:p w14:paraId="1410D8EA"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10" w:type="dxa"/>
            <w:tcBorders>
              <w:top w:val="single" w:sz="4" w:space="0" w:color="auto"/>
              <w:left w:val="nil"/>
              <w:bottom w:val="single" w:sz="4" w:space="0" w:color="auto"/>
              <w:right w:val="single" w:sz="4" w:space="0" w:color="auto"/>
            </w:tcBorders>
            <w:shd w:val="clear" w:color="000000" w:fill="FFFFFF"/>
            <w:noWrap/>
            <w:vAlign w:val="bottom"/>
          </w:tcPr>
          <w:p w14:paraId="655E4DDD"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r>
      <w:tr w:rsidR="00B62276" w:rsidRPr="00650EE4" w14:paraId="433F49AD" w14:textId="77777777" w:rsidTr="00E57787">
        <w:tc>
          <w:tcPr>
            <w:tcW w:w="713" w:type="dxa"/>
            <w:tcBorders>
              <w:top w:val="single" w:sz="4" w:space="0" w:color="auto"/>
            </w:tcBorders>
            <w:shd w:val="clear" w:color="000000" w:fill="FFFFFF"/>
            <w:noWrap/>
            <w:vAlign w:val="center"/>
          </w:tcPr>
          <w:p w14:paraId="7BCD8CDD"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629" w:type="dxa"/>
            <w:tcBorders>
              <w:top w:val="single" w:sz="4" w:space="0" w:color="auto"/>
            </w:tcBorders>
            <w:shd w:val="clear" w:color="000000" w:fill="FFFFFF"/>
            <w:noWrap/>
            <w:vAlign w:val="center"/>
          </w:tcPr>
          <w:p w14:paraId="17A1F92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C </w:t>
            </w:r>
          </w:p>
        </w:tc>
        <w:tc>
          <w:tcPr>
            <w:tcW w:w="773" w:type="dxa"/>
            <w:tcBorders>
              <w:top w:val="single" w:sz="4" w:space="0" w:color="auto"/>
            </w:tcBorders>
            <w:shd w:val="clear" w:color="000000" w:fill="FFFFFF"/>
            <w:noWrap/>
            <w:vAlign w:val="center"/>
          </w:tcPr>
          <w:p w14:paraId="3BDFA17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0D42EFD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064" w:type="dxa"/>
            <w:tcBorders>
              <w:top w:val="single" w:sz="4" w:space="0" w:color="auto"/>
            </w:tcBorders>
            <w:shd w:val="clear" w:color="000000" w:fill="FFFFFF"/>
            <w:noWrap/>
            <w:vAlign w:val="bottom"/>
          </w:tcPr>
          <w:p w14:paraId="5BF88E4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w:t>
            </w:r>
          </w:p>
        </w:tc>
        <w:tc>
          <w:tcPr>
            <w:tcW w:w="1273" w:type="dxa"/>
            <w:tcBorders>
              <w:top w:val="single" w:sz="4" w:space="0" w:color="auto"/>
            </w:tcBorders>
            <w:shd w:val="clear" w:color="000000" w:fill="FFFFFF"/>
            <w:noWrap/>
            <w:vAlign w:val="bottom"/>
          </w:tcPr>
          <w:p w14:paraId="6977454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w:t>
            </w:r>
          </w:p>
        </w:tc>
        <w:tc>
          <w:tcPr>
            <w:tcW w:w="1132" w:type="dxa"/>
            <w:tcBorders>
              <w:top w:val="single" w:sz="4" w:space="0" w:color="auto"/>
            </w:tcBorders>
            <w:shd w:val="clear" w:color="000000" w:fill="FFFFFF"/>
            <w:noWrap/>
            <w:vAlign w:val="bottom"/>
          </w:tcPr>
          <w:p w14:paraId="1FAAC9C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88</w:t>
            </w:r>
          </w:p>
        </w:tc>
        <w:tc>
          <w:tcPr>
            <w:tcW w:w="1434" w:type="dxa"/>
            <w:tcBorders>
              <w:top w:val="single" w:sz="4" w:space="0" w:color="auto"/>
            </w:tcBorders>
            <w:shd w:val="clear" w:color="000000" w:fill="FFFFFF"/>
            <w:noWrap/>
            <w:vAlign w:val="bottom"/>
          </w:tcPr>
          <w:p w14:paraId="760BCE9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221</w:t>
            </w:r>
          </w:p>
        </w:tc>
        <w:tc>
          <w:tcPr>
            <w:tcW w:w="1410" w:type="dxa"/>
            <w:tcBorders>
              <w:top w:val="single" w:sz="4" w:space="0" w:color="auto"/>
            </w:tcBorders>
            <w:shd w:val="clear" w:color="000000" w:fill="FFFFFF"/>
            <w:noWrap/>
            <w:vAlign w:val="bottom"/>
          </w:tcPr>
          <w:p w14:paraId="3E00E4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78-143</w:t>
            </w:r>
          </w:p>
        </w:tc>
      </w:tr>
      <w:tr w:rsidR="00B62276" w:rsidRPr="00650EE4" w14:paraId="2E66A59A" w14:textId="77777777" w:rsidTr="00E57787">
        <w:tc>
          <w:tcPr>
            <w:tcW w:w="713" w:type="dxa"/>
            <w:tcBorders>
              <w:top w:val="single" w:sz="4" w:space="0" w:color="auto"/>
            </w:tcBorders>
            <w:shd w:val="clear" w:color="000000" w:fill="FFFFFF"/>
            <w:noWrap/>
            <w:vAlign w:val="center"/>
          </w:tcPr>
          <w:p w14:paraId="6DFA40D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629" w:type="dxa"/>
            <w:tcBorders>
              <w:top w:val="single" w:sz="4" w:space="0" w:color="auto"/>
            </w:tcBorders>
            <w:shd w:val="clear" w:color="000000" w:fill="FFFFFF"/>
            <w:noWrap/>
            <w:vAlign w:val="center"/>
          </w:tcPr>
          <w:p w14:paraId="3495A35D"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w:t>
            </w:r>
          </w:p>
        </w:tc>
        <w:tc>
          <w:tcPr>
            <w:tcW w:w="773" w:type="dxa"/>
            <w:tcBorders>
              <w:top w:val="single" w:sz="4" w:space="0" w:color="auto"/>
            </w:tcBorders>
            <w:shd w:val="clear" w:color="000000" w:fill="FFFFFF"/>
            <w:noWrap/>
            <w:vAlign w:val="center"/>
          </w:tcPr>
          <w:p w14:paraId="6BA8EFF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4B0BA88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064" w:type="dxa"/>
            <w:tcBorders>
              <w:top w:val="single" w:sz="4" w:space="0" w:color="auto"/>
            </w:tcBorders>
            <w:shd w:val="clear" w:color="000000" w:fill="FFFFFF"/>
            <w:noWrap/>
            <w:vAlign w:val="bottom"/>
          </w:tcPr>
          <w:p w14:paraId="194C56C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169</w:t>
            </w:r>
          </w:p>
        </w:tc>
        <w:tc>
          <w:tcPr>
            <w:tcW w:w="1273" w:type="dxa"/>
            <w:tcBorders>
              <w:top w:val="single" w:sz="4" w:space="0" w:color="auto"/>
            </w:tcBorders>
            <w:shd w:val="clear" w:color="000000" w:fill="FFFFFF"/>
            <w:noWrap/>
            <w:vAlign w:val="bottom"/>
          </w:tcPr>
          <w:p w14:paraId="20A9B1B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116</w:t>
            </w:r>
          </w:p>
        </w:tc>
        <w:tc>
          <w:tcPr>
            <w:tcW w:w="1132" w:type="dxa"/>
            <w:tcBorders>
              <w:top w:val="single" w:sz="4" w:space="0" w:color="auto"/>
            </w:tcBorders>
            <w:shd w:val="clear" w:color="000000" w:fill="FFFFFF"/>
            <w:noWrap/>
            <w:vAlign w:val="bottom"/>
          </w:tcPr>
          <w:p w14:paraId="29136D6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w:t>
            </w:r>
          </w:p>
        </w:tc>
        <w:tc>
          <w:tcPr>
            <w:tcW w:w="1434" w:type="dxa"/>
            <w:tcBorders>
              <w:top w:val="single" w:sz="4" w:space="0" w:color="auto"/>
            </w:tcBorders>
            <w:shd w:val="clear" w:color="000000" w:fill="FFFFFF"/>
            <w:noWrap/>
            <w:vAlign w:val="bottom"/>
          </w:tcPr>
          <w:p w14:paraId="695903E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254</w:t>
            </w:r>
          </w:p>
        </w:tc>
        <w:tc>
          <w:tcPr>
            <w:tcW w:w="1410" w:type="dxa"/>
            <w:tcBorders>
              <w:top w:val="single" w:sz="4" w:space="0" w:color="auto"/>
            </w:tcBorders>
            <w:shd w:val="clear" w:color="000000" w:fill="FFFFFF"/>
            <w:noWrap/>
            <w:vAlign w:val="bottom"/>
          </w:tcPr>
          <w:p w14:paraId="16F7759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112-174</w:t>
            </w:r>
          </w:p>
        </w:tc>
      </w:tr>
      <w:tr w:rsidR="00B62276" w:rsidRPr="00650EE4" w14:paraId="640400C9" w14:textId="77777777" w:rsidTr="00E57787">
        <w:tc>
          <w:tcPr>
            <w:tcW w:w="713" w:type="dxa"/>
            <w:tcBorders>
              <w:top w:val="single" w:sz="4" w:space="0" w:color="auto"/>
            </w:tcBorders>
            <w:shd w:val="clear" w:color="000000" w:fill="FFFFFF"/>
            <w:noWrap/>
            <w:vAlign w:val="center"/>
          </w:tcPr>
          <w:p w14:paraId="32EBE1E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629" w:type="dxa"/>
            <w:tcBorders>
              <w:top w:val="single" w:sz="4" w:space="0" w:color="auto"/>
            </w:tcBorders>
            <w:shd w:val="clear" w:color="000000" w:fill="FFFFFF"/>
            <w:noWrap/>
            <w:vAlign w:val="center"/>
          </w:tcPr>
          <w:p w14:paraId="1E47514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 + FV</w:t>
            </w:r>
          </w:p>
        </w:tc>
        <w:tc>
          <w:tcPr>
            <w:tcW w:w="773" w:type="dxa"/>
            <w:tcBorders>
              <w:top w:val="single" w:sz="4" w:space="0" w:color="auto"/>
            </w:tcBorders>
            <w:shd w:val="clear" w:color="000000" w:fill="FFFFFF"/>
            <w:noWrap/>
            <w:vAlign w:val="center"/>
          </w:tcPr>
          <w:p w14:paraId="31053D1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3105C60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064" w:type="dxa"/>
            <w:tcBorders>
              <w:top w:val="single" w:sz="4" w:space="0" w:color="auto"/>
            </w:tcBorders>
            <w:shd w:val="clear" w:color="000000" w:fill="FFFFFF"/>
            <w:noWrap/>
            <w:vAlign w:val="bottom"/>
          </w:tcPr>
          <w:p w14:paraId="458B654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202</w:t>
            </w:r>
          </w:p>
        </w:tc>
        <w:tc>
          <w:tcPr>
            <w:tcW w:w="1273" w:type="dxa"/>
            <w:tcBorders>
              <w:top w:val="single" w:sz="4" w:space="0" w:color="auto"/>
            </w:tcBorders>
            <w:shd w:val="clear" w:color="000000" w:fill="FFFFFF"/>
            <w:noWrap/>
            <w:vAlign w:val="bottom"/>
          </w:tcPr>
          <w:p w14:paraId="0FB9CB2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w:t>
            </w:r>
          </w:p>
        </w:tc>
        <w:tc>
          <w:tcPr>
            <w:tcW w:w="1132" w:type="dxa"/>
            <w:tcBorders>
              <w:top w:val="single" w:sz="4" w:space="0" w:color="auto"/>
            </w:tcBorders>
            <w:shd w:val="clear" w:color="000000" w:fill="FFFFFF"/>
            <w:noWrap/>
            <w:vAlign w:val="bottom"/>
          </w:tcPr>
          <w:p w14:paraId="65B3A05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98</w:t>
            </w:r>
          </w:p>
        </w:tc>
        <w:tc>
          <w:tcPr>
            <w:tcW w:w="1434" w:type="dxa"/>
            <w:tcBorders>
              <w:top w:val="single" w:sz="4" w:space="0" w:color="auto"/>
            </w:tcBorders>
            <w:shd w:val="clear" w:color="000000" w:fill="FFFFFF"/>
            <w:noWrap/>
            <w:vAlign w:val="bottom"/>
          </w:tcPr>
          <w:p w14:paraId="371BD9A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298</w:t>
            </w:r>
          </w:p>
        </w:tc>
        <w:tc>
          <w:tcPr>
            <w:tcW w:w="1410" w:type="dxa"/>
            <w:tcBorders>
              <w:top w:val="single" w:sz="4" w:space="0" w:color="auto"/>
            </w:tcBorders>
            <w:shd w:val="clear" w:color="000000" w:fill="FFFFFF"/>
            <w:noWrap/>
            <w:vAlign w:val="bottom"/>
          </w:tcPr>
          <w:p w14:paraId="427A2C5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139-232</w:t>
            </w:r>
          </w:p>
        </w:tc>
      </w:tr>
      <w:tr w:rsidR="00B62276" w:rsidRPr="00650EE4" w14:paraId="5223E8C6" w14:textId="77777777" w:rsidTr="00E57787">
        <w:tc>
          <w:tcPr>
            <w:tcW w:w="713" w:type="dxa"/>
            <w:shd w:val="clear" w:color="000000" w:fill="FFFFFF"/>
            <w:noWrap/>
            <w:vAlign w:val="center"/>
            <w:hideMark/>
          </w:tcPr>
          <w:p w14:paraId="089F108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629" w:type="dxa"/>
            <w:shd w:val="clear" w:color="000000" w:fill="FFFFFF"/>
            <w:noWrap/>
            <w:vAlign w:val="center"/>
            <w:hideMark/>
          </w:tcPr>
          <w:p w14:paraId="594A38B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B </w:t>
            </w:r>
          </w:p>
        </w:tc>
        <w:tc>
          <w:tcPr>
            <w:tcW w:w="773" w:type="dxa"/>
            <w:shd w:val="clear" w:color="000000" w:fill="FFFFFF"/>
            <w:noWrap/>
            <w:vAlign w:val="center"/>
            <w:hideMark/>
          </w:tcPr>
          <w:p w14:paraId="0F6F131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333AF7F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064" w:type="dxa"/>
            <w:shd w:val="clear" w:color="000000" w:fill="FFFFFF"/>
            <w:noWrap/>
            <w:vAlign w:val="bottom"/>
            <w:hideMark/>
          </w:tcPr>
          <w:p w14:paraId="7847D6E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146</w:t>
            </w:r>
          </w:p>
        </w:tc>
        <w:tc>
          <w:tcPr>
            <w:tcW w:w="1273" w:type="dxa"/>
            <w:shd w:val="clear" w:color="000000" w:fill="FFFFFF"/>
            <w:noWrap/>
            <w:vAlign w:val="bottom"/>
            <w:hideMark/>
          </w:tcPr>
          <w:p w14:paraId="770C7F1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113</w:t>
            </w:r>
          </w:p>
        </w:tc>
        <w:tc>
          <w:tcPr>
            <w:tcW w:w="1132" w:type="dxa"/>
            <w:shd w:val="clear" w:color="000000" w:fill="FFFFFF"/>
            <w:noWrap/>
            <w:vAlign w:val="bottom"/>
            <w:hideMark/>
          </w:tcPr>
          <w:p w14:paraId="357546B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95</w:t>
            </w:r>
          </w:p>
        </w:tc>
        <w:tc>
          <w:tcPr>
            <w:tcW w:w="1434" w:type="dxa"/>
            <w:shd w:val="clear" w:color="000000" w:fill="FFFFFF"/>
            <w:noWrap/>
            <w:vAlign w:val="bottom"/>
            <w:hideMark/>
          </w:tcPr>
          <w:p w14:paraId="6F25AEF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224</w:t>
            </w:r>
          </w:p>
        </w:tc>
        <w:tc>
          <w:tcPr>
            <w:tcW w:w="1410" w:type="dxa"/>
            <w:shd w:val="clear" w:color="000000" w:fill="FFFFFF"/>
            <w:noWrap/>
            <w:vAlign w:val="bottom"/>
            <w:hideMark/>
          </w:tcPr>
          <w:p w14:paraId="13B6428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81-147</w:t>
            </w:r>
          </w:p>
        </w:tc>
      </w:tr>
      <w:tr w:rsidR="00B62276" w:rsidRPr="00650EE4" w14:paraId="039BF98C" w14:textId="77777777" w:rsidTr="00E57787">
        <w:tc>
          <w:tcPr>
            <w:tcW w:w="713" w:type="dxa"/>
            <w:shd w:val="clear" w:color="000000" w:fill="FFFFFF"/>
            <w:noWrap/>
            <w:vAlign w:val="center"/>
          </w:tcPr>
          <w:p w14:paraId="46A5CDB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629" w:type="dxa"/>
            <w:shd w:val="clear" w:color="000000" w:fill="FFFFFF"/>
            <w:noWrap/>
            <w:vAlign w:val="center"/>
          </w:tcPr>
          <w:p w14:paraId="61D0F05E"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w:t>
            </w:r>
          </w:p>
        </w:tc>
        <w:tc>
          <w:tcPr>
            <w:tcW w:w="773" w:type="dxa"/>
            <w:shd w:val="clear" w:color="000000" w:fill="FFFFFF"/>
            <w:noWrap/>
            <w:vAlign w:val="center"/>
          </w:tcPr>
          <w:p w14:paraId="27A223A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123ED84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064" w:type="dxa"/>
            <w:shd w:val="clear" w:color="000000" w:fill="FFFFFF"/>
            <w:noWrap/>
            <w:vAlign w:val="bottom"/>
          </w:tcPr>
          <w:p w14:paraId="0FFAB82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171</w:t>
            </w:r>
          </w:p>
        </w:tc>
        <w:tc>
          <w:tcPr>
            <w:tcW w:w="1273" w:type="dxa"/>
            <w:shd w:val="clear" w:color="000000" w:fill="FFFFFF"/>
            <w:noWrap/>
            <w:vAlign w:val="bottom"/>
          </w:tcPr>
          <w:p w14:paraId="2077DD7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117</w:t>
            </w:r>
          </w:p>
        </w:tc>
        <w:tc>
          <w:tcPr>
            <w:tcW w:w="1132" w:type="dxa"/>
            <w:shd w:val="clear" w:color="000000" w:fill="FFFFFF"/>
            <w:noWrap/>
            <w:vAlign w:val="bottom"/>
          </w:tcPr>
          <w:p w14:paraId="3178705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99</w:t>
            </w:r>
          </w:p>
        </w:tc>
        <w:tc>
          <w:tcPr>
            <w:tcW w:w="1434" w:type="dxa"/>
            <w:shd w:val="clear" w:color="000000" w:fill="FFFFFF"/>
            <w:noWrap/>
            <w:vAlign w:val="bottom"/>
          </w:tcPr>
          <w:p w14:paraId="747A2CA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256</w:t>
            </w:r>
          </w:p>
        </w:tc>
        <w:tc>
          <w:tcPr>
            <w:tcW w:w="1410" w:type="dxa"/>
            <w:shd w:val="clear" w:color="000000" w:fill="FFFFFF"/>
            <w:noWrap/>
            <w:vAlign w:val="bottom"/>
          </w:tcPr>
          <w:p w14:paraId="0E0F7F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115-177</w:t>
            </w:r>
          </w:p>
        </w:tc>
      </w:tr>
      <w:tr w:rsidR="00B62276" w:rsidRPr="00650EE4" w14:paraId="069E7671" w14:textId="77777777" w:rsidTr="00E57787">
        <w:tc>
          <w:tcPr>
            <w:tcW w:w="713" w:type="dxa"/>
            <w:shd w:val="clear" w:color="000000" w:fill="FFFFFF"/>
            <w:noWrap/>
            <w:vAlign w:val="center"/>
          </w:tcPr>
          <w:p w14:paraId="11C1166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629" w:type="dxa"/>
            <w:shd w:val="clear" w:color="000000" w:fill="FFFFFF"/>
            <w:noWrap/>
            <w:vAlign w:val="center"/>
          </w:tcPr>
          <w:p w14:paraId="3784224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 + FV</w:t>
            </w:r>
          </w:p>
        </w:tc>
        <w:tc>
          <w:tcPr>
            <w:tcW w:w="773" w:type="dxa"/>
            <w:shd w:val="clear" w:color="000000" w:fill="FFFFFF"/>
            <w:noWrap/>
            <w:vAlign w:val="center"/>
          </w:tcPr>
          <w:p w14:paraId="63243A5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7FDDE9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064" w:type="dxa"/>
            <w:shd w:val="clear" w:color="000000" w:fill="FFFFFF"/>
            <w:noWrap/>
            <w:vAlign w:val="bottom"/>
          </w:tcPr>
          <w:p w14:paraId="7F48371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204</w:t>
            </w:r>
          </w:p>
        </w:tc>
        <w:tc>
          <w:tcPr>
            <w:tcW w:w="1273" w:type="dxa"/>
            <w:shd w:val="clear" w:color="000000" w:fill="FFFFFF"/>
            <w:noWrap/>
            <w:vAlign w:val="bottom"/>
          </w:tcPr>
          <w:p w14:paraId="10759CF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w:t>
            </w:r>
          </w:p>
        </w:tc>
        <w:tc>
          <w:tcPr>
            <w:tcW w:w="1132" w:type="dxa"/>
            <w:shd w:val="clear" w:color="000000" w:fill="FFFFFF"/>
            <w:noWrap/>
            <w:vAlign w:val="bottom"/>
          </w:tcPr>
          <w:p w14:paraId="0B1340B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104</w:t>
            </w:r>
          </w:p>
        </w:tc>
        <w:tc>
          <w:tcPr>
            <w:tcW w:w="1434" w:type="dxa"/>
            <w:shd w:val="clear" w:color="000000" w:fill="FFFFFF"/>
            <w:noWrap/>
            <w:vAlign w:val="bottom"/>
          </w:tcPr>
          <w:p w14:paraId="7CA7756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299</w:t>
            </w:r>
          </w:p>
        </w:tc>
        <w:tc>
          <w:tcPr>
            <w:tcW w:w="1410" w:type="dxa"/>
            <w:shd w:val="clear" w:color="000000" w:fill="FFFFFF"/>
            <w:noWrap/>
            <w:vAlign w:val="bottom"/>
          </w:tcPr>
          <w:p w14:paraId="3F504CC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143-233</w:t>
            </w:r>
          </w:p>
        </w:tc>
      </w:tr>
      <w:tr w:rsidR="00B62276" w:rsidRPr="00650EE4" w14:paraId="162EE473" w14:textId="77777777" w:rsidTr="00E57787">
        <w:tc>
          <w:tcPr>
            <w:tcW w:w="713" w:type="dxa"/>
            <w:shd w:val="clear" w:color="000000" w:fill="FFFFFF"/>
            <w:noWrap/>
            <w:vAlign w:val="center"/>
            <w:hideMark/>
          </w:tcPr>
          <w:p w14:paraId="0832821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629" w:type="dxa"/>
            <w:shd w:val="clear" w:color="000000" w:fill="FFFFFF"/>
            <w:noWrap/>
            <w:vAlign w:val="center"/>
            <w:hideMark/>
          </w:tcPr>
          <w:p w14:paraId="14B5EA00"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21DED19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7C1ACA7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2AD738A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165</w:t>
            </w:r>
          </w:p>
        </w:tc>
        <w:tc>
          <w:tcPr>
            <w:tcW w:w="1273" w:type="dxa"/>
            <w:shd w:val="clear" w:color="000000" w:fill="FFFFFF"/>
            <w:noWrap/>
            <w:vAlign w:val="bottom"/>
            <w:hideMark/>
          </w:tcPr>
          <w:p w14:paraId="1DA5930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141</w:t>
            </w:r>
          </w:p>
        </w:tc>
        <w:tc>
          <w:tcPr>
            <w:tcW w:w="1132" w:type="dxa"/>
            <w:shd w:val="clear" w:color="000000" w:fill="FFFFFF"/>
            <w:noWrap/>
            <w:vAlign w:val="bottom"/>
            <w:hideMark/>
          </w:tcPr>
          <w:p w14:paraId="740608A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111</w:t>
            </w:r>
          </w:p>
        </w:tc>
        <w:tc>
          <w:tcPr>
            <w:tcW w:w="1434" w:type="dxa"/>
            <w:shd w:val="clear" w:color="000000" w:fill="FFFFFF"/>
            <w:noWrap/>
            <w:vAlign w:val="bottom"/>
            <w:hideMark/>
          </w:tcPr>
          <w:p w14:paraId="268790D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254</w:t>
            </w:r>
          </w:p>
        </w:tc>
        <w:tc>
          <w:tcPr>
            <w:tcW w:w="1410" w:type="dxa"/>
            <w:shd w:val="clear" w:color="000000" w:fill="FFFFFF"/>
            <w:noWrap/>
            <w:vAlign w:val="bottom"/>
            <w:hideMark/>
          </w:tcPr>
          <w:p w14:paraId="39CD5B2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99-164</w:t>
            </w:r>
          </w:p>
        </w:tc>
      </w:tr>
      <w:tr w:rsidR="00B62276" w:rsidRPr="00650EE4" w14:paraId="4C14CE90" w14:textId="77777777" w:rsidTr="00E57787">
        <w:tc>
          <w:tcPr>
            <w:tcW w:w="713" w:type="dxa"/>
            <w:shd w:val="clear" w:color="000000" w:fill="FFFFFF"/>
            <w:noWrap/>
            <w:vAlign w:val="center"/>
          </w:tcPr>
          <w:p w14:paraId="1FFEDE3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629" w:type="dxa"/>
            <w:shd w:val="clear" w:color="000000" w:fill="FFFFFF"/>
            <w:noWrap/>
            <w:vAlign w:val="center"/>
          </w:tcPr>
          <w:p w14:paraId="0FA037BB"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1086C08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1C959CD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32AFBA9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186</w:t>
            </w:r>
          </w:p>
        </w:tc>
        <w:tc>
          <w:tcPr>
            <w:tcW w:w="1273" w:type="dxa"/>
            <w:shd w:val="clear" w:color="000000" w:fill="FFFFFF"/>
            <w:noWrap/>
            <w:vAlign w:val="bottom"/>
          </w:tcPr>
          <w:p w14:paraId="1A968A8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144</w:t>
            </w:r>
          </w:p>
        </w:tc>
        <w:tc>
          <w:tcPr>
            <w:tcW w:w="1132" w:type="dxa"/>
            <w:shd w:val="clear" w:color="000000" w:fill="FFFFFF"/>
            <w:noWrap/>
            <w:vAlign w:val="bottom"/>
          </w:tcPr>
          <w:p w14:paraId="1C4C21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115</w:t>
            </w:r>
          </w:p>
        </w:tc>
        <w:tc>
          <w:tcPr>
            <w:tcW w:w="1434" w:type="dxa"/>
            <w:shd w:val="clear" w:color="000000" w:fill="FFFFFF"/>
            <w:noWrap/>
            <w:vAlign w:val="bottom"/>
          </w:tcPr>
          <w:p w14:paraId="2FA26D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278</w:t>
            </w:r>
          </w:p>
        </w:tc>
        <w:tc>
          <w:tcPr>
            <w:tcW w:w="1410" w:type="dxa"/>
            <w:shd w:val="clear" w:color="000000" w:fill="FFFFFF"/>
            <w:noWrap/>
            <w:vAlign w:val="bottom"/>
          </w:tcPr>
          <w:p w14:paraId="053E8F8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128-189</w:t>
            </w:r>
          </w:p>
        </w:tc>
      </w:tr>
      <w:tr w:rsidR="00B62276" w:rsidRPr="00650EE4" w14:paraId="24CEC6E6" w14:textId="77777777" w:rsidTr="00E57787">
        <w:tc>
          <w:tcPr>
            <w:tcW w:w="713" w:type="dxa"/>
            <w:shd w:val="clear" w:color="000000" w:fill="FFFFFF"/>
            <w:noWrap/>
            <w:vAlign w:val="center"/>
          </w:tcPr>
          <w:p w14:paraId="55453DB5"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629" w:type="dxa"/>
            <w:shd w:val="clear" w:color="000000" w:fill="FFFFFF"/>
            <w:noWrap/>
            <w:vAlign w:val="center"/>
          </w:tcPr>
          <w:p w14:paraId="5C5D28F6"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7CF947E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024816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22A449F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214</w:t>
            </w:r>
          </w:p>
        </w:tc>
        <w:tc>
          <w:tcPr>
            <w:tcW w:w="1273" w:type="dxa"/>
            <w:shd w:val="clear" w:color="000000" w:fill="FFFFFF"/>
            <w:noWrap/>
            <w:vAlign w:val="bottom"/>
          </w:tcPr>
          <w:p w14:paraId="13B5F6E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w:t>
            </w:r>
          </w:p>
        </w:tc>
        <w:tc>
          <w:tcPr>
            <w:tcW w:w="1132" w:type="dxa"/>
            <w:shd w:val="clear" w:color="000000" w:fill="FFFFFF"/>
            <w:noWrap/>
            <w:vAlign w:val="bottom"/>
          </w:tcPr>
          <w:p w14:paraId="46CDBD8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119</w:t>
            </w:r>
          </w:p>
        </w:tc>
        <w:tc>
          <w:tcPr>
            <w:tcW w:w="1434" w:type="dxa"/>
            <w:shd w:val="clear" w:color="000000" w:fill="FFFFFF"/>
            <w:noWrap/>
            <w:vAlign w:val="bottom"/>
          </w:tcPr>
          <w:p w14:paraId="5DEDCEE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310</w:t>
            </w:r>
          </w:p>
        </w:tc>
        <w:tc>
          <w:tcPr>
            <w:tcW w:w="1410" w:type="dxa"/>
            <w:shd w:val="clear" w:color="000000" w:fill="FFFFFF"/>
            <w:noWrap/>
            <w:vAlign w:val="bottom"/>
          </w:tcPr>
          <w:p w14:paraId="0728018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148-240</w:t>
            </w:r>
          </w:p>
        </w:tc>
      </w:tr>
      <w:tr w:rsidR="00B62276" w:rsidRPr="00650EE4" w14:paraId="77DAD22A" w14:textId="77777777" w:rsidTr="00E57787">
        <w:tc>
          <w:tcPr>
            <w:tcW w:w="713" w:type="dxa"/>
            <w:shd w:val="clear" w:color="000000" w:fill="FFFFFF"/>
            <w:noWrap/>
            <w:vAlign w:val="center"/>
            <w:hideMark/>
          </w:tcPr>
          <w:p w14:paraId="2BB123E6"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629" w:type="dxa"/>
            <w:shd w:val="clear" w:color="000000" w:fill="FFFFFF"/>
            <w:noWrap/>
            <w:vAlign w:val="center"/>
            <w:hideMark/>
          </w:tcPr>
          <w:p w14:paraId="45BAE6D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2E36164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hideMark/>
          </w:tcPr>
          <w:p w14:paraId="6C02662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3315F2B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49</w:t>
            </w:r>
          </w:p>
        </w:tc>
        <w:tc>
          <w:tcPr>
            <w:tcW w:w="1273" w:type="dxa"/>
            <w:shd w:val="clear" w:color="000000" w:fill="FFFFFF"/>
            <w:noWrap/>
            <w:vAlign w:val="bottom"/>
            <w:hideMark/>
          </w:tcPr>
          <w:p w14:paraId="6C0DE6D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47</w:t>
            </w:r>
          </w:p>
        </w:tc>
        <w:tc>
          <w:tcPr>
            <w:tcW w:w="1132" w:type="dxa"/>
            <w:shd w:val="clear" w:color="000000" w:fill="FFFFFF"/>
            <w:noWrap/>
            <w:vAlign w:val="bottom"/>
            <w:hideMark/>
          </w:tcPr>
          <w:p w14:paraId="6C5DD06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38</w:t>
            </w:r>
          </w:p>
        </w:tc>
        <w:tc>
          <w:tcPr>
            <w:tcW w:w="1434" w:type="dxa"/>
            <w:shd w:val="clear" w:color="000000" w:fill="FFFFFF"/>
            <w:noWrap/>
            <w:vAlign w:val="bottom"/>
            <w:hideMark/>
          </w:tcPr>
          <w:p w14:paraId="6611A50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59</w:t>
            </w:r>
          </w:p>
        </w:tc>
        <w:tc>
          <w:tcPr>
            <w:tcW w:w="1410" w:type="dxa"/>
            <w:shd w:val="clear" w:color="000000" w:fill="FFFFFF"/>
            <w:noWrap/>
            <w:vAlign w:val="bottom"/>
            <w:hideMark/>
          </w:tcPr>
          <w:p w14:paraId="4DF62AF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26-40</w:t>
            </w:r>
          </w:p>
        </w:tc>
      </w:tr>
      <w:tr w:rsidR="00B62276" w:rsidRPr="00650EE4" w14:paraId="53BBD514" w14:textId="77777777" w:rsidTr="00E57787">
        <w:tc>
          <w:tcPr>
            <w:tcW w:w="713" w:type="dxa"/>
            <w:shd w:val="clear" w:color="000000" w:fill="FFFFFF"/>
            <w:noWrap/>
            <w:vAlign w:val="center"/>
          </w:tcPr>
          <w:p w14:paraId="20BD9B4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629" w:type="dxa"/>
            <w:shd w:val="clear" w:color="000000" w:fill="FFFFFF"/>
            <w:noWrap/>
            <w:vAlign w:val="center"/>
          </w:tcPr>
          <w:p w14:paraId="24FBD787"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6C8827D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3E6E309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244BBD1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69</w:t>
            </w:r>
          </w:p>
        </w:tc>
        <w:tc>
          <w:tcPr>
            <w:tcW w:w="1273" w:type="dxa"/>
            <w:shd w:val="clear" w:color="000000" w:fill="FFFFFF"/>
            <w:noWrap/>
            <w:vAlign w:val="bottom"/>
          </w:tcPr>
          <w:p w14:paraId="08A2153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52</w:t>
            </w:r>
          </w:p>
        </w:tc>
        <w:tc>
          <w:tcPr>
            <w:tcW w:w="1132" w:type="dxa"/>
            <w:shd w:val="clear" w:color="000000" w:fill="FFFFFF"/>
            <w:noWrap/>
            <w:vAlign w:val="bottom"/>
          </w:tcPr>
          <w:p w14:paraId="4D13B99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46</w:t>
            </w:r>
          </w:p>
        </w:tc>
        <w:tc>
          <w:tcPr>
            <w:tcW w:w="1434" w:type="dxa"/>
            <w:shd w:val="clear" w:color="000000" w:fill="FFFFFF"/>
            <w:noWrap/>
            <w:vAlign w:val="bottom"/>
          </w:tcPr>
          <w:p w14:paraId="08C49A7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83</w:t>
            </w:r>
          </w:p>
        </w:tc>
        <w:tc>
          <w:tcPr>
            <w:tcW w:w="1410" w:type="dxa"/>
            <w:shd w:val="clear" w:color="000000" w:fill="FFFFFF"/>
            <w:noWrap/>
            <w:vAlign w:val="bottom"/>
          </w:tcPr>
          <w:p w14:paraId="7965DC2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51-77</w:t>
            </w:r>
          </w:p>
        </w:tc>
      </w:tr>
      <w:tr w:rsidR="00B62276" w:rsidRPr="00650EE4" w14:paraId="68D44BB1" w14:textId="77777777" w:rsidTr="00E57787">
        <w:tc>
          <w:tcPr>
            <w:tcW w:w="713" w:type="dxa"/>
            <w:shd w:val="clear" w:color="000000" w:fill="FFFFFF"/>
            <w:noWrap/>
            <w:vAlign w:val="center"/>
          </w:tcPr>
          <w:p w14:paraId="67EA457E"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629" w:type="dxa"/>
            <w:shd w:val="clear" w:color="000000" w:fill="FFFFFF"/>
            <w:noWrap/>
            <w:vAlign w:val="center"/>
          </w:tcPr>
          <w:p w14:paraId="2178DBD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3495FA7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78B614F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7C4E7BD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93</w:t>
            </w:r>
          </w:p>
        </w:tc>
        <w:tc>
          <w:tcPr>
            <w:tcW w:w="1273" w:type="dxa"/>
            <w:shd w:val="clear" w:color="000000" w:fill="FFFFFF"/>
            <w:noWrap/>
            <w:vAlign w:val="bottom"/>
          </w:tcPr>
          <w:p w14:paraId="69F14DD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58</w:t>
            </w:r>
          </w:p>
        </w:tc>
        <w:tc>
          <w:tcPr>
            <w:tcW w:w="1132" w:type="dxa"/>
            <w:shd w:val="clear" w:color="000000" w:fill="FFFFFF"/>
            <w:noWrap/>
            <w:vAlign w:val="bottom"/>
          </w:tcPr>
          <w:p w14:paraId="69449C4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56</w:t>
            </w:r>
          </w:p>
        </w:tc>
        <w:tc>
          <w:tcPr>
            <w:tcW w:w="1434" w:type="dxa"/>
            <w:shd w:val="clear" w:color="000000" w:fill="FFFFFF"/>
            <w:noWrap/>
            <w:vAlign w:val="bottom"/>
          </w:tcPr>
          <w:p w14:paraId="082D3CB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115</w:t>
            </w:r>
          </w:p>
        </w:tc>
        <w:tc>
          <w:tcPr>
            <w:tcW w:w="1410" w:type="dxa"/>
            <w:shd w:val="clear" w:color="000000" w:fill="FFFFFF"/>
            <w:noWrap/>
            <w:vAlign w:val="bottom"/>
          </w:tcPr>
          <w:p w14:paraId="4A7E42C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71-138</w:t>
            </w:r>
          </w:p>
        </w:tc>
      </w:tr>
      <w:tr w:rsidR="00B62276" w:rsidRPr="00650EE4" w14:paraId="54A50E5E" w14:textId="77777777" w:rsidTr="00E57787">
        <w:tc>
          <w:tcPr>
            <w:tcW w:w="713" w:type="dxa"/>
            <w:shd w:val="clear" w:color="000000" w:fill="FFFFFF"/>
            <w:noWrap/>
            <w:vAlign w:val="center"/>
            <w:hideMark/>
          </w:tcPr>
          <w:p w14:paraId="3368B41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1629" w:type="dxa"/>
            <w:shd w:val="clear" w:color="000000" w:fill="FFFFFF"/>
            <w:noWrap/>
            <w:vAlign w:val="center"/>
            <w:hideMark/>
          </w:tcPr>
          <w:p w14:paraId="52D2D58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7D56E5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09B0301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4731466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181</w:t>
            </w:r>
          </w:p>
        </w:tc>
        <w:tc>
          <w:tcPr>
            <w:tcW w:w="1273" w:type="dxa"/>
            <w:shd w:val="clear" w:color="000000" w:fill="FFFFFF"/>
            <w:noWrap/>
            <w:vAlign w:val="bottom"/>
            <w:hideMark/>
          </w:tcPr>
          <w:p w14:paraId="4866E72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146</w:t>
            </w:r>
          </w:p>
        </w:tc>
        <w:tc>
          <w:tcPr>
            <w:tcW w:w="1132" w:type="dxa"/>
            <w:shd w:val="clear" w:color="000000" w:fill="FFFFFF"/>
            <w:noWrap/>
            <w:vAlign w:val="bottom"/>
            <w:hideMark/>
          </w:tcPr>
          <w:p w14:paraId="2EBDFE0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w:t>
            </w:r>
          </w:p>
        </w:tc>
        <w:tc>
          <w:tcPr>
            <w:tcW w:w="1434" w:type="dxa"/>
            <w:shd w:val="clear" w:color="000000" w:fill="FFFFFF"/>
            <w:noWrap/>
            <w:vAlign w:val="bottom"/>
            <w:hideMark/>
          </w:tcPr>
          <w:p w14:paraId="49C679D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262</w:t>
            </w:r>
          </w:p>
        </w:tc>
        <w:tc>
          <w:tcPr>
            <w:tcW w:w="1410" w:type="dxa"/>
            <w:shd w:val="clear" w:color="000000" w:fill="FFFFFF"/>
            <w:noWrap/>
            <w:vAlign w:val="bottom"/>
            <w:hideMark/>
          </w:tcPr>
          <w:p w14:paraId="5E3C917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105-164</w:t>
            </w:r>
          </w:p>
        </w:tc>
      </w:tr>
      <w:tr w:rsidR="00B62276" w:rsidRPr="00650EE4" w14:paraId="488B98DA" w14:textId="77777777" w:rsidTr="00E57787">
        <w:tc>
          <w:tcPr>
            <w:tcW w:w="713" w:type="dxa"/>
            <w:shd w:val="clear" w:color="000000" w:fill="FFFFFF"/>
            <w:noWrap/>
            <w:vAlign w:val="center"/>
          </w:tcPr>
          <w:p w14:paraId="5B25165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629" w:type="dxa"/>
            <w:shd w:val="clear" w:color="000000" w:fill="FFFFFF"/>
            <w:noWrap/>
            <w:vAlign w:val="center"/>
          </w:tcPr>
          <w:p w14:paraId="38D6306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0C0B35B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25174DB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A0E63B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199</w:t>
            </w:r>
          </w:p>
        </w:tc>
        <w:tc>
          <w:tcPr>
            <w:tcW w:w="1273" w:type="dxa"/>
            <w:shd w:val="clear" w:color="000000" w:fill="FFFFFF"/>
            <w:noWrap/>
            <w:vAlign w:val="bottom"/>
          </w:tcPr>
          <w:p w14:paraId="651345D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149</w:t>
            </w:r>
          </w:p>
        </w:tc>
        <w:tc>
          <w:tcPr>
            <w:tcW w:w="1132" w:type="dxa"/>
            <w:shd w:val="clear" w:color="000000" w:fill="FFFFFF"/>
            <w:noWrap/>
            <w:vAlign w:val="bottom"/>
          </w:tcPr>
          <w:p w14:paraId="2F6ACFA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116</w:t>
            </w:r>
          </w:p>
        </w:tc>
        <w:tc>
          <w:tcPr>
            <w:tcW w:w="1434" w:type="dxa"/>
            <w:shd w:val="clear" w:color="000000" w:fill="FFFFFF"/>
            <w:noWrap/>
            <w:vAlign w:val="bottom"/>
          </w:tcPr>
          <w:p w14:paraId="2FABFF6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283</w:t>
            </w:r>
          </w:p>
        </w:tc>
        <w:tc>
          <w:tcPr>
            <w:tcW w:w="1410" w:type="dxa"/>
            <w:shd w:val="clear" w:color="000000" w:fill="FFFFFF"/>
            <w:noWrap/>
            <w:vAlign w:val="bottom"/>
          </w:tcPr>
          <w:p w14:paraId="7471B07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131-189</w:t>
            </w:r>
          </w:p>
        </w:tc>
      </w:tr>
      <w:tr w:rsidR="00B62276" w:rsidRPr="00650EE4" w14:paraId="47937AF3" w14:textId="77777777" w:rsidTr="00E57787">
        <w:tc>
          <w:tcPr>
            <w:tcW w:w="713" w:type="dxa"/>
            <w:shd w:val="clear" w:color="000000" w:fill="FFFFFF"/>
            <w:noWrap/>
            <w:vAlign w:val="center"/>
          </w:tcPr>
          <w:p w14:paraId="2E73B1F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1629" w:type="dxa"/>
            <w:shd w:val="clear" w:color="000000" w:fill="FFFFFF"/>
            <w:noWrap/>
            <w:vAlign w:val="center"/>
          </w:tcPr>
          <w:p w14:paraId="277E6715"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3745661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7C6B96C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4683BF6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223</w:t>
            </w:r>
          </w:p>
        </w:tc>
        <w:tc>
          <w:tcPr>
            <w:tcW w:w="1273" w:type="dxa"/>
            <w:shd w:val="clear" w:color="000000" w:fill="FFFFFF"/>
            <w:noWrap/>
            <w:vAlign w:val="bottom"/>
          </w:tcPr>
          <w:p w14:paraId="4753E44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153</w:t>
            </w:r>
          </w:p>
        </w:tc>
        <w:tc>
          <w:tcPr>
            <w:tcW w:w="1132" w:type="dxa"/>
            <w:shd w:val="clear" w:color="000000" w:fill="FFFFFF"/>
            <w:noWrap/>
            <w:vAlign w:val="bottom"/>
          </w:tcPr>
          <w:p w14:paraId="7868972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120</w:t>
            </w:r>
          </w:p>
        </w:tc>
        <w:tc>
          <w:tcPr>
            <w:tcW w:w="1434" w:type="dxa"/>
            <w:shd w:val="clear" w:color="000000" w:fill="FFFFFF"/>
            <w:noWrap/>
            <w:vAlign w:val="bottom"/>
          </w:tcPr>
          <w:p w14:paraId="5F7AE76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313</w:t>
            </w:r>
          </w:p>
        </w:tc>
        <w:tc>
          <w:tcPr>
            <w:tcW w:w="1410" w:type="dxa"/>
            <w:shd w:val="clear" w:color="000000" w:fill="FFFFFF"/>
            <w:noWrap/>
            <w:vAlign w:val="bottom"/>
          </w:tcPr>
          <w:p w14:paraId="090CB54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148-242</w:t>
            </w:r>
          </w:p>
        </w:tc>
      </w:tr>
      <w:tr w:rsidR="00B62276" w:rsidRPr="00650EE4" w14:paraId="4D75A589" w14:textId="77777777" w:rsidTr="00E57787">
        <w:tc>
          <w:tcPr>
            <w:tcW w:w="713" w:type="dxa"/>
            <w:shd w:val="clear" w:color="000000" w:fill="FFFFFF"/>
            <w:noWrap/>
            <w:vAlign w:val="center"/>
            <w:hideMark/>
          </w:tcPr>
          <w:p w14:paraId="7FE0966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1629" w:type="dxa"/>
            <w:shd w:val="clear" w:color="000000" w:fill="FFFFFF"/>
            <w:noWrap/>
            <w:vAlign w:val="center"/>
            <w:hideMark/>
          </w:tcPr>
          <w:p w14:paraId="65F74E0D"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5B7A382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hideMark/>
          </w:tcPr>
          <w:p w14:paraId="7AC89AB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7CE5207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66</w:t>
            </w:r>
          </w:p>
        </w:tc>
        <w:tc>
          <w:tcPr>
            <w:tcW w:w="1273" w:type="dxa"/>
            <w:shd w:val="clear" w:color="000000" w:fill="FFFFFF"/>
            <w:noWrap/>
            <w:vAlign w:val="bottom"/>
            <w:hideMark/>
          </w:tcPr>
          <w:p w14:paraId="7D1AA2E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53</w:t>
            </w:r>
          </w:p>
        </w:tc>
        <w:tc>
          <w:tcPr>
            <w:tcW w:w="1132" w:type="dxa"/>
            <w:shd w:val="clear" w:color="000000" w:fill="FFFFFF"/>
            <w:noWrap/>
            <w:vAlign w:val="bottom"/>
            <w:hideMark/>
          </w:tcPr>
          <w:p w14:paraId="01E7A07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39</w:t>
            </w:r>
          </w:p>
        </w:tc>
        <w:tc>
          <w:tcPr>
            <w:tcW w:w="1434" w:type="dxa"/>
            <w:shd w:val="clear" w:color="000000" w:fill="FFFFFF"/>
            <w:noWrap/>
            <w:vAlign w:val="bottom"/>
            <w:hideMark/>
          </w:tcPr>
          <w:p w14:paraId="2E04433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68</w:t>
            </w:r>
          </w:p>
        </w:tc>
        <w:tc>
          <w:tcPr>
            <w:tcW w:w="1410" w:type="dxa"/>
            <w:shd w:val="clear" w:color="000000" w:fill="FFFFFF"/>
            <w:noWrap/>
            <w:vAlign w:val="bottom"/>
            <w:hideMark/>
          </w:tcPr>
          <w:p w14:paraId="74932EC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26-42</w:t>
            </w:r>
          </w:p>
        </w:tc>
      </w:tr>
      <w:tr w:rsidR="00B62276" w:rsidRPr="00650EE4" w14:paraId="5DABB72A" w14:textId="77777777" w:rsidTr="00E57787">
        <w:tc>
          <w:tcPr>
            <w:tcW w:w="713" w:type="dxa"/>
            <w:shd w:val="clear" w:color="000000" w:fill="FFFFFF"/>
            <w:noWrap/>
            <w:vAlign w:val="center"/>
          </w:tcPr>
          <w:p w14:paraId="355C69B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629" w:type="dxa"/>
            <w:shd w:val="clear" w:color="000000" w:fill="FFFFFF"/>
            <w:noWrap/>
            <w:vAlign w:val="center"/>
          </w:tcPr>
          <w:p w14:paraId="354F548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3F69FBA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5FE9371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10F3A1B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82</w:t>
            </w:r>
          </w:p>
        </w:tc>
        <w:tc>
          <w:tcPr>
            <w:tcW w:w="1273" w:type="dxa"/>
            <w:shd w:val="clear" w:color="000000" w:fill="FFFFFF"/>
            <w:noWrap/>
            <w:vAlign w:val="bottom"/>
          </w:tcPr>
          <w:p w14:paraId="6D8F7E9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57</w:t>
            </w:r>
          </w:p>
        </w:tc>
        <w:tc>
          <w:tcPr>
            <w:tcW w:w="1132" w:type="dxa"/>
            <w:shd w:val="clear" w:color="000000" w:fill="FFFFFF"/>
            <w:noWrap/>
            <w:vAlign w:val="bottom"/>
          </w:tcPr>
          <w:p w14:paraId="34F909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47</w:t>
            </w:r>
          </w:p>
        </w:tc>
        <w:tc>
          <w:tcPr>
            <w:tcW w:w="1434" w:type="dxa"/>
            <w:shd w:val="clear" w:color="000000" w:fill="FFFFFF"/>
            <w:noWrap/>
            <w:vAlign w:val="bottom"/>
          </w:tcPr>
          <w:p w14:paraId="50DD249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89</w:t>
            </w:r>
          </w:p>
        </w:tc>
        <w:tc>
          <w:tcPr>
            <w:tcW w:w="1410" w:type="dxa"/>
            <w:shd w:val="clear" w:color="000000" w:fill="FFFFFF"/>
            <w:noWrap/>
            <w:vAlign w:val="bottom"/>
          </w:tcPr>
          <w:p w14:paraId="4ED1B22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51-81</w:t>
            </w:r>
          </w:p>
        </w:tc>
      </w:tr>
      <w:tr w:rsidR="00B62276" w:rsidRPr="00650EE4" w14:paraId="1198E805" w14:textId="77777777" w:rsidTr="00E57787">
        <w:tc>
          <w:tcPr>
            <w:tcW w:w="713" w:type="dxa"/>
            <w:shd w:val="clear" w:color="000000" w:fill="FFFFFF"/>
            <w:noWrap/>
            <w:vAlign w:val="center"/>
          </w:tcPr>
          <w:p w14:paraId="1F9EA6E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1629" w:type="dxa"/>
            <w:shd w:val="clear" w:color="000000" w:fill="FFFFFF"/>
            <w:noWrap/>
            <w:vAlign w:val="center"/>
          </w:tcPr>
          <w:p w14:paraId="247644FD"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6841598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2E15668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60BA0B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103</w:t>
            </w:r>
          </w:p>
        </w:tc>
        <w:tc>
          <w:tcPr>
            <w:tcW w:w="1273" w:type="dxa"/>
            <w:shd w:val="clear" w:color="000000" w:fill="FFFFFF"/>
            <w:noWrap/>
            <w:vAlign w:val="bottom"/>
          </w:tcPr>
          <w:p w14:paraId="072050A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63</w:t>
            </w:r>
          </w:p>
        </w:tc>
        <w:tc>
          <w:tcPr>
            <w:tcW w:w="1132" w:type="dxa"/>
            <w:shd w:val="clear" w:color="000000" w:fill="FFFFFF"/>
            <w:noWrap/>
            <w:vAlign w:val="bottom"/>
          </w:tcPr>
          <w:p w14:paraId="7DC248B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57</w:t>
            </w:r>
          </w:p>
        </w:tc>
        <w:tc>
          <w:tcPr>
            <w:tcW w:w="1434" w:type="dxa"/>
            <w:shd w:val="clear" w:color="000000" w:fill="FFFFFF"/>
            <w:noWrap/>
            <w:vAlign w:val="bottom"/>
          </w:tcPr>
          <w:p w14:paraId="216D7E7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118</w:t>
            </w:r>
          </w:p>
        </w:tc>
        <w:tc>
          <w:tcPr>
            <w:tcW w:w="1410" w:type="dxa"/>
            <w:shd w:val="clear" w:color="000000" w:fill="FFFFFF"/>
            <w:noWrap/>
            <w:vAlign w:val="bottom"/>
          </w:tcPr>
          <w:p w14:paraId="00993BD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71-140</w:t>
            </w:r>
          </w:p>
        </w:tc>
      </w:tr>
      <w:tr w:rsidR="00B62276" w:rsidRPr="00650EE4" w14:paraId="2F251103" w14:textId="77777777" w:rsidTr="00E57787">
        <w:tc>
          <w:tcPr>
            <w:tcW w:w="713" w:type="dxa"/>
            <w:shd w:val="clear" w:color="000000" w:fill="FFFFFF"/>
            <w:noWrap/>
            <w:vAlign w:val="center"/>
            <w:hideMark/>
          </w:tcPr>
          <w:p w14:paraId="3209BD8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629" w:type="dxa"/>
            <w:shd w:val="clear" w:color="000000" w:fill="FFFFFF"/>
            <w:noWrap/>
            <w:vAlign w:val="center"/>
            <w:hideMark/>
          </w:tcPr>
          <w:p w14:paraId="3AB9458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70AD9EA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hideMark/>
          </w:tcPr>
          <w:p w14:paraId="4FAB606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7C9E28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56</w:t>
            </w:r>
          </w:p>
        </w:tc>
        <w:tc>
          <w:tcPr>
            <w:tcW w:w="1273" w:type="dxa"/>
            <w:shd w:val="clear" w:color="000000" w:fill="FFFFFF"/>
            <w:noWrap/>
            <w:vAlign w:val="bottom"/>
            <w:hideMark/>
          </w:tcPr>
          <w:p w14:paraId="5A739CB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42</w:t>
            </w:r>
          </w:p>
        </w:tc>
        <w:tc>
          <w:tcPr>
            <w:tcW w:w="1132" w:type="dxa"/>
            <w:shd w:val="clear" w:color="000000" w:fill="FFFFFF"/>
            <w:noWrap/>
            <w:vAlign w:val="bottom"/>
            <w:hideMark/>
          </w:tcPr>
          <w:p w14:paraId="20500D9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35</w:t>
            </w:r>
          </w:p>
        </w:tc>
        <w:tc>
          <w:tcPr>
            <w:tcW w:w="1434" w:type="dxa"/>
            <w:shd w:val="clear" w:color="000000" w:fill="FFFFFF"/>
            <w:noWrap/>
            <w:vAlign w:val="bottom"/>
            <w:hideMark/>
          </w:tcPr>
          <w:p w14:paraId="3A26566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w:t>
            </w:r>
          </w:p>
        </w:tc>
        <w:tc>
          <w:tcPr>
            <w:tcW w:w="1410" w:type="dxa"/>
            <w:shd w:val="clear" w:color="000000" w:fill="FFFFFF"/>
            <w:noWrap/>
            <w:vAlign w:val="bottom"/>
            <w:hideMark/>
          </w:tcPr>
          <w:p w14:paraId="6BCCE97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11-23</w:t>
            </w:r>
          </w:p>
        </w:tc>
      </w:tr>
      <w:tr w:rsidR="00B62276" w:rsidRPr="00650EE4" w14:paraId="59006FE0" w14:textId="77777777" w:rsidTr="00E57787">
        <w:tc>
          <w:tcPr>
            <w:tcW w:w="713" w:type="dxa"/>
            <w:shd w:val="clear" w:color="000000" w:fill="FFFFFF"/>
            <w:noWrap/>
            <w:vAlign w:val="center"/>
          </w:tcPr>
          <w:p w14:paraId="3C0A5BF5"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1629" w:type="dxa"/>
            <w:shd w:val="clear" w:color="000000" w:fill="FFFFFF"/>
            <w:noWrap/>
            <w:vAlign w:val="center"/>
          </w:tcPr>
          <w:p w14:paraId="7476A4D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069F8A7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31903C3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562F84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74</w:t>
            </w:r>
          </w:p>
        </w:tc>
        <w:tc>
          <w:tcPr>
            <w:tcW w:w="1273" w:type="dxa"/>
            <w:shd w:val="clear" w:color="000000" w:fill="FFFFFF"/>
            <w:noWrap/>
            <w:vAlign w:val="bottom"/>
          </w:tcPr>
          <w:p w14:paraId="40DB7DA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46</w:t>
            </w:r>
          </w:p>
        </w:tc>
        <w:tc>
          <w:tcPr>
            <w:tcW w:w="1132" w:type="dxa"/>
            <w:shd w:val="clear" w:color="000000" w:fill="FFFFFF"/>
            <w:noWrap/>
            <w:vAlign w:val="bottom"/>
          </w:tcPr>
          <w:p w14:paraId="3F7062E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42</w:t>
            </w:r>
          </w:p>
        </w:tc>
        <w:tc>
          <w:tcPr>
            <w:tcW w:w="1434" w:type="dxa"/>
            <w:shd w:val="clear" w:color="000000" w:fill="FFFFFF"/>
            <w:noWrap/>
            <w:vAlign w:val="bottom"/>
          </w:tcPr>
          <w:p w14:paraId="558F46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63</w:t>
            </w:r>
          </w:p>
        </w:tc>
        <w:tc>
          <w:tcPr>
            <w:tcW w:w="1410" w:type="dxa"/>
            <w:shd w:val="clear" w:color="000000" w:fill="FFFFFF"/>
            <w:noWrap/>
            <w:vAlign w:val="bottom"/>
          </w:tcPr>
          <w:p w14:paraId="747F76E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25-68</w:t>
            </w:r>
          </w:p>
        </w:tc>
      </w:tr>
      <w:tr w:rsidR="00B62276" w:rsidRPr="00650EE4" w14:paraId="23AA92AC" w14:textId="77777777" w:rsidTr="00E57787">
        <w:tc>
          <w:tcPr>
            <w:tcW w:w="713" w:type="dxa"/>
            <w:shd w:val="clear" w:color="000000" w:fill="FFFFFF"/>
            <w:noWrap/>
            <w:vAlign w:val="center"/>
          </w:tcPr>
          <w:p w14:paraId="00D0D20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c>
          <w:tcPr>
            <w:tcW w:w="1629" w:type="dxa"/>
            <w:shd w:val="clear" w:color="000000" w:fill="FFFFFF"/>
            <w:noWrap/>
            <w:vAlign w:val="center"/>
          </w:tcPr>
          <w:p w14:paraId="6614F382"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4CCEB43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30E3ABA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293DA03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96</w:t>
            </w:r>
          </w:p>
        </w:tc>
        <w:tc>
          <w:tcPr>
            <w:tcW w:w="1273" w:type="dxa"/>
            <w:shd w:val="clear" w:color="000000" w:fill="FFFFFF"/>
            <w:noWrap/>
            <w:vAlign w:val="bottom"/>
          </w:tcPr>
          <w:p w14:paraId="3C38BA7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w:t>
            </w:r>
          </w:p>
        </w:tc>
        <w:tc>
          <w:tcPr>
            <w:tcW w:w="1132" w:type="dxa"/>
            <w:shd w:val="clear" w:color="000000" w:fill="FFFFFF"/>
            <w:noWrap/>
            <w:vAlign w:val="bottom"/>
          </w:tcPr>
          <w:p w14:paraId="6757636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50</w:t>
            </w:r>
          </w:p>
        </w:tc>
        <w:tc>
          <w:tcPr>
            <w:tcW w:w="1434" w:type="dxa"/>
            <w:shd w:val="clear" w:color="000000" w:fill="FFFFFF"/>
            <w:noWrap/>
            <w:vAlign w:val="bottom"/>
          </w:tcPr>
          <w:p w14:paraId="1E8DCC1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w:t>
            </w:r>
          </w:p>
        </w:tc>
        <w:tc>
          <w:tcPr>
            <w:tcW w:w="1410" w:type="dxa"/>
            <w:shd w:val="clear" w:color="000000" w:fill="FFFFFF"/>
            <w:noWrap/>
            <w:vAlign w:val="bottom"/>
          </w:tcPr>
          <w:p w14:paraId="40DAC45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42-127</w:t>
            </w:r>
          </w:p>
        </w:tc>
      </w:tr>
      <w:tr w:rsidR="00B62276" w:rsidRPr="00650EE4" w14:paraId="7757E794" w14:textId="77777777" w:rsidTr="00E57787">
        <w:tc>
          <w:tcPr>
            <w:tcW w:w="713" w:type="dxa"/>
            <w:shd w:val="clear" w:color="000000" w:fill="FFFFFF"/>
            <w:noWrap/>
            <w:vAlign w:val="center"/>
            <w:hideMark/>
          </w:tcPr>
          <w:p w14:paraId="61C9A74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629" w:type="dxa"/>
            <w:shd w:val="clear" w:color="000000" w:fill="FFFFFF"/>
            <w:noWrap/>
            <w:vAlign w:val="center"/>
            <w:hideMark/>
          </w:tcPr>
          <w:p w14:paraId="10222921"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0990998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0B5E8EE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459D435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186</w:t>
            </w:r>
          </w:p>
        </w:tc>
        <w:tc>
          <w:tcPr>
            <w:tcW w:w="1273" w:type="dxa"/>
            <w:shd w:val="clear" w:color="000000" w:fill="FFFFFF"/>
            <w:noWrap/>
            <w:vAlign w:val="bottom"/>
            <w:hideMark/>
          </w:tcPr>
          <w:p w14:paraId="3D2CE0A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w:t>
            </w:r>
          </w:p>
        </w:tc>
        <w:tc>
          <w:tcPr>
            <w:tcW w:w="1132" w:type="dxa"/>
            <w:shd w:val="clear" w:color="000000" w:fill="FFFFFF"/>
            <w:noWrap/>
            <w:vAlign w:val="bottom"/>
            <w:hideMark/>
          </w:tcPr>
          <w:p w14:paraId="7DB4540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114</w:t>
            </w:r>
          </w:p>
        </w:tc>
        <w:tc>
          <w:tcPr>
            <w:tcW w:w="1434" w:type="dxa"/>
            <w:shd w:val="clear" w:color="000000" w:fill="FFFFFF"/>
            <w:noWrap/>
            <w:vAlign w:val="bottom"/>
            <w:hideMark/>
          </w:tcPr>
          <w:p w14:paraId="0A08115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299</w:t>
            </w:r>
          </w:p>
        </w:tc>
        <w:tc>
          <w:tcPr>
            <w:tcW w:w="1410" w:type="dxa"/>
            <w:shd w:val="clear" w:color="000000" w:fill="FFFFFF"/>
            <w:noWrap/>
            <w:vAlign w:val="bottom"/>
            <w:hideMark/>
          </w:tcPr>
          <w:p w14:paraId="728F1CF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93-160</w:t>
            </w:r>
          </w:p>
        </w:tc>
      </w:tr>
      <w:tr w:rsidR="00B62276" w:rsidRPr="00650EE4" w14:paraId="3202C074" w14:textId="77777777" w:rsidTr="00E57787">
        <w:tc>
          <w:tcPr>
            <w:tcW w:w="713" w:type="dxa"/>
            <w:shd w:val="clear" w:color="000000" w:fill="FFFFFF"/>
            <w:noWrap/>
            <w:vAlign w:val="center"/>
          </w:tcPr>
          <w:p w14:paraId="025C18AC"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1629" w:type="dxa"/>
            <w:shd w:val="clear" w:color="000000" w:fill="FFFFFF"/>
            <w:noWrap/>
            <w:vAlign w:val="center"/>
          </w:tcPr>
          <w:p w14:paraId="222B345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6E8477E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6AF8B8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62CBE43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204</w:t>
            </w:r>
          </w:p>
        </w:tc>
        <w:tc>
          <w:tcPr>
            <w:tcW w:w="1273" w:type="dxa"/>
            <w:shd w:val="clear" w:color="000000" w:fill="FFFFFF"/>
            <w:noWrap/>
            <w:vAlign w:val="bottom"/>
          </w:tcPr>
          <w:p w14:paraId="42FDFAD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151</w:t>
            </w:r>
          </w:p>
        </w:tc>
        <w:tc>
          <w:tcPr>
            <w:tcW w:w="1132" w:type="dxa"/>
            <w:shd w:val="clear" w:color="000000" w:fill="FFFFFF"/>
            <w:noWrap/>
            <w:vAlign w:val="bottom"/>
          </w:tcPr>
          <w:p w14:paraId="248D48E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117</w:t>
            </w:r>
          </w:p>
        </w:tc>
        <w:tc>
          <w:tcPr>
            <w:tcW w:w="1434" w:type="dxa"/>
            <w:shd w:val="clear" w:color="000000" w:fill="FFFFFF"/>
            <w:noWrap/>
            <w:vAlign w:val="bottom"/>
          </w:tcPr>
          <w:p w14:paraId="5B317E6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310</w:t>
            </w:r>
          </w:p>
        </w:tc>
        <w:tc>
          <w:tcPr>
            <w:tcW w:w="1410" w:type="dxa"/>
            <w:shd w:val="clear" w:color="000000" w:fill="FFFFFF"/>
            <w:noWrap/>
            <w:vAlign w:val="bottom"/>
          </w:tcPr>
          <w:p w14:paraId="14CA5A9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113-190</w:t>
            </w:r>
          </w:p>
        </w:tc>
      </w:tr>
      <w:tr w:rsidR="00B62276" w:rsidRPr="00650EE4" w14:paraId="1834DC84" w14:textId="77777777" w:rsidTr="00E57787">
        <w:tc>
          <w:tcPr>
            <w:tcW w:w="713" w:type="dxa"/>
            <w:shd w:val="clear" w:color="000000" w:fill="FFFFFF"/>
            <w:noWrap/>
            <w:vAlign w:val="center"/>
          </w:tcPr>
          <w:p w14:paraId="2E9DFB4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1629" w:type="dxa"/>
            <w:shd w:val="clear" w:color="000000" w:fill="FFFFFF"/>
            <w:noWrap/>
            <w:vAlign w:val="center"/>
          </w:tcPr>
          <w:p w14:paraId="7DBEBF0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19B2FAE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02516DA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8E9714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226</w:t>
            </w:r>
          </w:p>
        </w:tc>
        <w:tc>
          <w:tcPr>
            <w:tcW w:w="1273" w:type="dxa"/>
            <w:shd w:val="clear" w:color="000000" w:fill="FFFFFF"/>
            <w:noWrap/>
            <w:vAlign w:val="bottom"/>
          </w:tcPr>
          <w:p w14:paraId="7EAC363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154</w:t>
            </w:r>
          </w:p>
        </w:tc>
        <w:tc>
          <w:tcPr>
            <w:tcW w:w="1132" w:type="dxa"/>
            <w:shd w:val="clear" w:color="000000" w:fill="FFFFFF"/>
            <w:noWrap/>
            <w:vAlign w:val="bottom"/>
          </w:tcPr>
          <w:p w14:paraId="2FA8E95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121</w:t>
            </w:r>
          </w:p>
        </w:tc>
        <w:tc>
          <w:tcPr>
            <w:tcW w:w="1434" w:type="dxa"/>
            <w:shd w:val="clear" w:color="000000" w:fill="FFFFFF"/>
            <w:noWrap/>
            <w:vAlign w:val="bottom"/>
          </w:tcPr>
          <w:p w14:paraId="7E0D560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326</w:t>
            </w:r>
          </w:p>
        </w:tc>
        <w:tc>
          <w:tcPr>
            <w:tcW w:w="1410" w:type="dxa"/>
            <w:shd w:val="clear" w:color="000000" w:fill="FFFFFF"/>
            <w:noWrap/>
            <w:vAlign w:val="bottom"/>
          </w:tcPr>
          <w:p w14:paraId="60AAEC3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139-243</w:t>
            </w:r>
          </w:p>
        </w:tc>
      </w:tr>
      <w:tr w:rsidR="00B62276" w:rsidRPr="00650EE4" w14:paraId="0B738E24" w14:textId="77777777" w:rsidTr="00E57787">
        <w:tc>
          <w:tcPr>
            <w:tcW w:w="713" w:type="dxa"/>
            <w:shd w:val="clear" w:color="000000" w:fill="FFFFFF"/>
            <w:noWrap/>
            <w:vAlign w:val="center"/>
            <w:hideMark/>
          </w:tcPr>
          <w:p w14:paraId="3EFC61F6"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629" w:type="dxa"/>
            <w:shd w:val="clear" w:color="000000" w:fill="FFFFFF"/>
            <w:noWrap/>
            <w:vAlign w:val="center"/>
            <w:hideMark/>
          </w:tcPr>
          <w:p w14:paraId="7346E212"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015BC63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hideMark/>
          </w:tcPr>
          <w:p w14:paraId="38D051F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2AE4979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71</w:t>
            </w:r>
          </w:p>
        </w:tc>
        <w:tc>
          <w:tcPr>
            <w:tcW w:w="1273" w:type="dxa"/>
            <w:shd w:val="clear" w:color="000000" w:fill="FFFFFF"/>
            <w:noWrap/>
            <w:vAlign w:val="bottom"/>
            <w:hideMark/>
          </w:tcPr>
          <w:p w14:paraId="1E97752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54</w:t>
            </w:r>
          </w:p>
        </w:tc>
        <w:tc>
          <w:tcPr>
            <w:tcW w:w="1132" w:type="dxa"/>
            <w:shd w:val="clear" w:color="000000" w:fill="FFFFFF"/>
            <w:noWrap/>
            <w:vAlign w:val="bottom"/>
            <w:hideMark/>
          </w:tcPr>
          <w:p w14:paraId="337582E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40</w:t>
            </w:r>
          </w:p>
        </w:tc>
        <w:tc>
          <w:tcPr>
            <w:tcW w:w="1434" w:type="dxa"/>
            <w:shd w:val="clear" w:color="000000" w:fill="FFFFFF"/>
            <w:noWrap/>
            <w:vAlign w:val="bottom"/>
            <w:hideMark/>
          </w:tcPr>
          <w:p w14:paraId="3E2C955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104</w:t>
            </w:r>
          </w:p>
        </w:tc>
        <w:tc>
          <w:tcPr>
            <w:tcW w:w="1410" w:type="dxa"/>
            <w:shd w:val="clear" w:color="000000" w:fill="FFFFFF"/>
            <w:noWrap/>
            <w:vAlign w:val="bottom"/>
            <w:hideMark/>
          </w:tcPr>
          <w:p w14:paraId="4F69086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16-46</w:t>
            </w:r>
          </w:p>
        </w:tc>
      </w:tr>
      <w:tr w:rsidR="00B62276" w:rsidRPr="00650EE4" w14:paraId="7C61C459" w14:textId="77777777" w:rsidTr="00E57787">
        <w:tc>
          <w:tcPr>
            <w:tcW w:w="713" w:type="dxa"/>
            <w:shd w:val="clear" w:color="000000" w:fill="FFFFFF"/>
            <w:noWrap/>
            <w:vAlign w:val="center"/>
          </w:tcPr>
          <w:p w14:paraId="6B20BC3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629" w:type="dxa"/>
            <w:shd w:val="clear" w:color="000000" w:fill="FFFFFF"/>
            <w:noWrap/>
            <w:vAlign w:val="center"/>
          </w:tcPr>
          <w:p w14:paraId="61E077B8"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7B5DB87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557A994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5B570FE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87</w:t>
            </w:r>
          </w:p>
        </w:tc>
        <w:tc>
          <w:tcPr>
            <w:tcW w:w="1273" w:type="dxa"/>
            <w:shd w:val="clear" w:color="000000" w:fill="FFFFFF"/>
            <w:noWrap/>
            <w:vAlign w:val="bottom"/>
          </w:tcPr>
          <w:p w14:paraId="360B272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59</w:t>
            </w:r>
          </w:p>
        </w:tc>
        <w:tc>
          <w:tcPr>
            <w:tcW w:w="1132" w:type="dxa"/>
            <w:shd w:val="clear" w:color="000000" w:fill="FFFFFF"/>
            <w:noWrap/>
            <w:vAlign w:val="bottom"/>
          </w:tcPr>
          <w:p w14:paraId="64EAE40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48</w:t>
            </w:r>
          </w:p>
        </w:tc>
        <w:tc>
          <w:tcPr>
            <w:tcW w:w="1434" w:type="dxa"/>
            <w:shd w:val="clear" w:color="000000" w:fill="FFFFFF"/>
            <w:noWrap/>
            <w:vAlign w:val="bottom"/>
          </w:tcPr>
          <w:p w14:paraId="2239E17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116</w:t>
            </w:r>
          </w:p>
        </w:tc>
        <w:tc>
          <w:tcPr>
            <w:tcW w:w="1410" w:type="dxa"/>
            <w:shd w:val="clear" w:color="000000" w:fill="FFFFFF"/>
            <w:noWrap/>
            <w:vAlign w:val="bottom"/>
          </w:tcPr>
          <w:p w14:paraId="218B69A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36-85</w:t>
            </w:r>
          </w:p>
        </w:tc>
      </w:tr>
      <w:tr w:rsidR="00B62276" w:rsidRPr="00650EE4" w14:paraId="3AF6A9E1" w14:textId="77777777" w:rsidTr="00E57787">
        <w:tc>
          <w:tcPr>
            <w:tcW w:w="713" w:type="dxa"/>
            <w:shd w:val="clear" w:color="000000" w:fill="FFFFFF"/>
            <w:noWrap/>
            <w:vAlign w:val="center"/>
          </w:tcPr>
          <w:p w14:paraId="4DB67481"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1629" w:type="dxa"/>
            <w:shd w:val="clear" w:color="000000" w:fill="FFFFFF"/>
            <w:noWrap/>
            <w:vAlign w:val="center"/>
          </w:tcPr>
          <w:p w14:paraId="6BA06189"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02CABB7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3686468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584D814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106</w:t>
            </w:r>
          </w:p>
        </w:tc>
        <w:tc>
          <w:tcPr>
            <w:tcW w:w="1273" w:type="dxa"/>
            <w:shd w:val="clear" w:color="000000" w:fill="FFFFFF"/>
            <w:noWrap/>
            <w:vAlign w:val="bottom"/>
          </w:tcPr>
          <w:p w14:paraId="3064E9B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65</w:t>
            </w:r>
          </w:p>
        </w:tc>
        <w:tc>
          <w:tcPr>
            <w:tcW w:w="1132" w:type="dxa"/>
            <w:shd w:val="clear" w:color="000000" w:fill="FFFFFF"/>
            <w:noWrap/>
            <w:vAlign w:val="bottom"/>
          </w:tcPr>
          <w:p w14:paraId="2A66ED6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58</w:t>
            </w:r>
          </w:p>
        </w:tc>
        <w:tc>
          <w:tcPr>
            <w:tcW w:w="1434" w:type="dxa"/>
            <w:shd w:val="clear" w:color="000000" w:fill="FFFFFF"/>
            <w:noWrap/>
            <w:vAlign w:val="bottom"/>
          </w:tcPr>
          <w:p w14:paraId="49AEF6D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131</w:t>
            </w:r>
          </w:p>
        </w:tc>
        <w:tc>
          <w:tcPr>
            <w:tcW w:w="1410" w:type="dxa"/>
            <w:shd w:val="clear" w:color="000000" w:fill="FFFFFF"/>
            <w:noWrap/>
            <w:vAlign w:val="bottom"/>
          </w:tcPr>
          <w:p w14:paraId="58406F3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62-141</w:t>
            </w:r>
          </w:p>
        </w:tc>
      </w:tr>
      <w:tr w:rsidR="00B62276" w:rsidRPr="00650EE4" w14:paraId="23B72A28" w14:textId="77777777" w:rsidTr="00E57787">
        <w:tc>
          <w:tcPr>
            <w:tcW w:w="713" w:type="dxa"/>
            <w:shd w:val="clear" w:color="000000" w:fill="FFFFFF"/>
            <w:noWrap/>
            <w:vAlign w:val="center"/>
            <w:hideMark/>
          </w:tcPr>
          <w:p w14:paraId="23DFF8F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1629" w:type="dxa"/>
            <w:shd w:val="clear" w:color="000000" w:fill="FFFFFF"/>
            <w:noWrap/>
            <w:vAlign w:val="center"/>
            <w:hideMark/>
          </w:tcPr>
          <w:p w14:paraId="625F594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7EF1A79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hideMark/>
          </w:tcPr>
          <w:p w14:paraId="17B6B2F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56FD155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62</w:t>
            </w:r>
          </w:p>
        </w:tc>
        <w:tc>
          <w:tcPr>
            <w:tcW w:w="1273" w:type="dxa"/>
            <w:shd w:val="clear" w:color="000000" w:fill="FFFFFF"/>
            <w:noWrap/>
            <w:vAlign w:val="bottom"/>
            <w:hideMark/>
          </w:tcPr>
          <w:p w14:paraId="4628490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43</w:t>
            </w:r>
          </w:p>
        </w:tc>
        <w:tc>
          <w:tcPr>
            <w:tcW w:w="1132" w:type="dxa"/>
            <w:shd w:val="clear" w:color="000000" w:fill="FFFFFF"/>
            <w:noWrap/>
            <w:vAlign w:val="bottom"/>
            <w:hideMark/>
          </w:tcPr>
          <w:p w14:paraId="128661A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37</w:t>
            </w:r>
          </w:p>
        </w:tc>
        <w:tc>
          <w:tcPr>
            <w:tcW w:w="1434" w:type="dxa"/>
            <w:shd w:val="clear" w:color="000000" w:fill="FFFFFF"/>
            <w:noWrap/>
            <w:vAlign w:val="bottom"/>
            <w:hideMark/>
          </w:tcPr>
          <w:p w14:paraId="485CB11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78</w:t>
            </w:r>
          </w:p>
        </w:tc>
        <w:tc>
          <w:tcPr>
            <w:tcW w:w="1410" w:type="dxa"/>
            <w:shd w:val="clear" w:color="000000" w:fill="FFFFFF"/>
            <w:noWrap/>
            <w:vAlign w:val="bottom"/>
            <w:hideMark/>
          </w:tcPr>
          <w:p w14:paraId="2702710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8-28</w:t>
            </w:r>
          </w:p>
        </w:tc>
      </w:tr>
      <w:tr w:rsidR="00B62276" w:rsidRPr="00650EE4" w14:paraId="2B880B44" w14:textId="77777777" w:rsidTr="00E57787">
        <w:tc>
          <w:tcPr>
            <w:tcW w:w="713" w:type="dxa"/>
            <w:shd w:val="clear" w:color="000000" w:fill="FFFFFF"/>
            <w:noWrap/>
            <w:vAlign w:val="center"/>
          </w:tcPr>
          <w:p w14:paraId="44D909BC"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629" w:type="dxa"/>
            <w:shd w:val="clear" w:color="000000" w:fill="FFFFFF"/>
            <w:noWrap/>
            <w:vAlign w:val="center"/>
          </w:tcPr>
          <w:p w14:paraId="55575CE5"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139390B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1F246A7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53144B5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78</w:t>
            </w:r>
          </w:p>
        </w:tc>
        <w:tc>
          <w:tcPr>
            <w:tcW w:w="1273" w:type="dxa"/>
            <w:shd w:val="clear" w:color="000000" w:fill="FFFFFF"/>
            <w:noWrap/>
            <w:vAlign w:val="bottom"/>
          </w:tcPr>
          <w:p w14:paraId="4C9B1DB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47</w:t>
            </w:r>
          </w:p>
        </w:tc>
        <w:tc>
          <w:tcPr>
            <w:tcW w:w="1132" w:type="dxa"/>
            <w:shd w:val="clear" w:color="000000" w:fill="FFFFFF"/>
            <w:noWrap/>
            <w:vAlign w:val="bottom"/>
          </w:tcPr>
          <w:p w14:paraId="75D0293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43</w:t>
            </w:r>
          </w:p>
        </w:tc>
        <w:tc>
          <w:tcPr>
            <w:tcW w:w="1434" w:type="dxa"/>
            <w:shd w:val="clear" w:color="000000" w:fill="FFFFFF"/>
            <w:noWrap/>
            <w:vAlign w:val="bottom"/>
          </w:tcPr>
          <w:p w14:paraId="4DCAB34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90</w:t>
            </w:r>
          </w:p>
        </w:tc>
        <w:tc>
          <w:tcPr>
            <w:tcW w:w="1410" w:type="dxa"/>
            <w:shd w:val="clear" w:color="000000" w:fill="FFFFFF"/>
            <w:noWrap/>
            <w:vAlign w:val="bottom"/>
          </w:tcPr>
          <w:p w14:paraId="744C3B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7-72</w:t>
            </w:r>
          </w:p>
        </w:tc>
      </w:tr>
      <w:tr w:rsidR="00B62276" w:rsidRPr="00650EE4" w14:paraId="2E899CAF" w14:textId="77777777" w:rsidTr="00E57787">
        <w:tc>
          <w:tcPr>
            <w:tcW w:w="713" w:type="dxa"/>
            <w:shd w:val="clear" w:color="000000" w:fill="FFFFFF"/>
            <w:noWrap/>
            <w:vAlign w:val="center"/>
          </w:tcPr>
          <w:p w14:paraId="1D24ED5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1629" w:type="dxa"/>
            <w:shd w:val="clear" w:color="000000" w:fill="FFFFFF"/>
            <w:noWrap/>
            <w:vAlign w:val="center"/>
          </w:tcPr>
          <w:p w14:paraId="2CB31BC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6E3E231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60D6371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150BB37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99</w:t>
            </w:r>
          </w:p>
        </w:tc>
        <w:tc>
          <w:tcPr>
            <w:tcW w:w="1273" w:type="dxa"/>
            <w:shd w:val="clear" w:color="000000" w:fill="FFFFFF"/>
            <w:noWrap/>
            <w:vAlign w:val="bottom"/>
          </w:tcPr>
          <w:p w14:paraId="7CEF99D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52</w:t>
            </w:r>
          </w:p>
        </w:tc>
        <w:tc>
          <w:tcPr>
            <w:tcW w:w="1132" w:type="dxa"/>
            <w:shd w:val="clear" w:color="000000" w:fill="FFFFFF"/>
            <w:noWrap/>
            <w:vAlign w:val="bottom"/>
          </w:tcPr>
          <w:p w14:paraId="0EEEACB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w:t>
            </w:r>
          </w:p>
        </w:tc>
        <w:tc>
          <w:tcPr>
            <w:tcW w:w="1434" w:type="dxa"/>
            <w:shd w:val="clear" w:color="000000" w:fill="FFFFFF"/>
            <w:noWrap/>
            <w:vAlign w:val="bottom"/>
          </w:tcPr>
          <w:p w14:paraId="7565DFC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105</w:t>
            </w:r>
          </w:p>
        </w:tc>
        <w:tc>
          <w:tcPr>
            <w:tcW w:w="1410" w:type="dxa"/>
            <w:shd w:val="clear" w:color="000000" w:fill="FFFFFF"/>
            <w:noWrap/>
            <w:vAlign w:val="bottom"/>
          </w:tcPr>
          <w:p w14:paraId="604768B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33-127</w:t>
            </w:r>
          </w:p>
        </w:tc>
      </w:tr>
      <w:tr w:rsidR="00B62276" w:rsidRPr="00650EE4" w14:paraId="6CE2E577" w14:textId="77777777" w:rsidTr="00E57787">
        <w:tc>
          <w:tcPr>
            <w:tcW w:w="713" w:type="dxa"/>
            <w:tcBorders>
              <w:bottom w:val="single" w:sz="4" w:space="0" w:color="auto"/>
            </w:tcBorders>
            <w:shd w:val="clear" w:color="000000" w:fill="FFFFFF"/>
            <w:noWrap/>
            <w:vAlign w:val="center"/>
            <w:hideMark/>
          </w:tcPr>
          <w:p w14:paraId="704CBBBD"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629" w:type="dxa"/>
            <w:tcBorders>
              <w:bottom w:val="single" w:sz="4" w:space="0" w:color="auto"/>
            </w:tcBorders>
            <w:shd w:val="clear" w:color="000000" w:fill="FFFFFF"/>
            <w:noWrap/>
            <w:vAlign w:val="center"/>
            <w:hideMark/>
          </w:tcPr>
          <w:p w14:paraId="4ACB3D8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tcBorders>
              <w:bottom w:val="single" w:sz="4" w:space="0" w:color="auto"/>
            </w:tcBorders>
            <w:shd w:val="clear" w:color="000000" w:fill="FFFFFF"/>
            <w:noWrap/>
            <w:vAlign w:val="center"/>
            <w:hideMark/>
          </w:tcPr>
          <w:p w14:paraId="7203D48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6" w:type="dxa"/>
            <w:tcBorders>
              <w:bottom w:val="single" w:sz="4" w:space="0" w:color="auto"/>
            </w:tcBorders>
            <w:shd w:val="clear" w:color="000000" w:fill="FFFFFF"/>
            <w:noWrap/>
            <w:vAlign w:val="center"/>
            <w:hideMark/>
          </w:tcPr>
          <w:p w14:paraId="17FD4E9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tcBorders>
              <w:bottom w:val="single" w:sz="4" w:space="0" w:color="auto"/>
            </w:tcBorders>
            <w:shd w:val="clear" w:color="000000" w:fill="FFFFFF"/>
            <w:noWrap/>
            <w:vAlign w:val="bottom"/>
            <w:hideMark/>
          </w:tcPr>
          <w:p w14:paraId="6BBD6B0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273" w:type="dxa"/>
            <w:tcBorders>
              <w:bottom w:val="single" w:sz="4" w:space="0" w:color="auto"/>
            </w:tcBorders>
            <w:shd w:val="clear" w:color="000000" w:fill="FFFFFF"/>
            <w:noWrap/>
            <w:vAlign w:val="bottom"/>
            <w:hideMark/>
          </w:tcPr>
          <w:p w14:paraId="5CC083E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132" w:type="dxa"/>
            <w:tcBorders>
              <w:bottom w:val="single" w:sz="4" w:space="0" w:color="auto"/>
            </w:tcBorders>
            <w:shd w:val="clear" w:color="000000" w:fill="FFFFFF"/>
            <w:noWrap/>
            <w:vAlign w:val="bottom"/>
            <w:hideMark/>
          </w:tcPr>
          <w:p w14:paraId="6091E98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434" w:type="dxa"/>
            <w:tcBorders>
              <w:bottom w:val="single" w:sz="4" w:space="0" w:color="auto"/>
            </w:tcBorders>
            <w:shd w:val="clear" w:color="000000" w:fill="FFFFFF"/>
            <w:noWrap/>
            <w:vAlign w:val="bottom"/>
            <w:hideMark/>
          </w:tcPr>
          <w:p w14:paraId="58B9808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45</w:t>
            </w:r>
          </w:p>
        </w:tc>
        <w:tc>
          <w:tcPr>
            <w:tcW w:w="1410" w:type="dxa"/>
            <w:tcBorders>
              <w:bottom w:val="single" w:sz="4" w:space="0" w:color="auto"/>
            </w:tcBorders>
            <w:shd w:val="clear" w:color="000000" w:fill="FFFFFF"/>
            <w:noWrap/>
            <w:vAlign w:val="bottom"/>
            <w:hideMark/>
          </w:tcPr>
          <w:p w14:paraId="5F842D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5-25</w:t>
            </w:r>
          </w:p>
        </w:tc>
      </w:tr>
      <w:tr w:rsidR="00B62276" w:rsidRPr="00650EE4" w14:paraId="17B1F1E3" w14:textId="77777777" w:rsidTr="00E57787">
        <w:tc>
          <w:tcPr>
            <w:tcW w:w="713" w:type="dxa"/>
            <w:tcBorders>
              <w:bottom w:val="single" w:sz="4" w:space="0" w:color="auto"/>
            </w:tcBorders>
            <w:shd w:val="clear" w:color="000000" w:fill="FFFFFF"/>
            <w:noWrap/>
            <w:vAlign w:val="center"/>
          </w:tcPr>
          <w:p w14:paraId="5789F68C"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1629" w:type="dxa"/>
            <w:tcBorders>
              <w:bottom w:val="single" w:sz="4" w:space="0" w:color="auto"/>
            </w:tcBorders>
            <w:shd w:val="clear" w:color="000000" w:fill="FFFFFF"/>
            <w:noWrap/>
            <w:vAlign w:val="center"/>
          </w:tcPr>
          <w:p w14:paraId="62C43D7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tcBorders>
              <w:bottom w:val="single" w:sz="4" w:space="0" w:color="auto"/>
            </w:tcBorders>
            <w:shd w:val="clear" w:color="000000" w:fill="FFFFFF"/>
            <w:noWrap/>
            <w:vAlign w:val="center"/>
          </w:tcPr>
          <w:p w14:paraId="1D77BC1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6" w:type="dxa"/>
            <w:tcBorders>
              <w:bottom w:val="single" w:sz="4" w:space="0" w:color="auto"/>
            </w:tcBorders>
            <w:shd w:val="clear" w:color="000000" w:fill="FFFFFF"/>
            <w:noWrap/>
            <w:vAlign w:val="center"/>
          </w:tcPr>
          <w:p w14:paraId="157712A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tcBorders>
              <w:bottom w:val="single" w:sz="4" w:space="0" w:color="auto"/>
            </w:tcBorders>
            <w:shd w:val="clear" w:color="000000" w:fill="FFFFFF"/>
            <w:noWrap/>
            <w:vAlign w:val="bottom"/>
          </w:tcPr>
          <w:p w14:paraId="14142E4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48</w:t>
            </w:r>
          </w:p>
        </w:tc>
        <w:tc>
          <w:tcPr>
            <w:tcW w:w="1273" w:type="dxa"/>
            <w:tcBorders>
              <w:bottom w:val="single" w:sz="4" w:space="0" w:color="auto"/>
            </w:tcBorders>
            <w:shd w:val="clear" w:color="000000" w:fill="FFFFFF"/>
            <w:noWrap/>
            <w:vAlign w:val="bottom"/>
          </w:tcPr>
          <w:p w14:paraId="6540DCF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w:t>
            </w:r>
          </w:p>
        </w:tc>
        <w:tc>
          <w:tcPr>
            <w:tcW w:w="1132" w:type="dxa"/>
            <w:tcBorders>
              <w:bottom w:val="single" w:sz="4" w:space="0" w:color="auto"/>
            </w:tcBorders>
            <w:shd w:val="clear" w:color="000000" w:fill="FFFFFF"/>
            <w:noWrap/>
            <w:vAlign w:val="bottom"/>
          </w:tcPr>
          <w:p w14:paraId="0469FB4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w:t>
            </w:r>
          </w:p>
        </w:tc>
        <w:tc>
          <w:tcPr>
            <w:tcW w:w="1434" w:type="dxa"/>
            <w:tcBorders>
              <w:bottom w:val="single" w:sz="4" w:space="0" w:color="auto"/>
            </w:tcBorders>
            <w:shd w:val="clear" w:color="000000" w:fill="FFFFFF"/>
            <w:noWrap/>
            <w:vAlign w:val="bottom"/>
          </w:tcPr>
          <w:p w14:paraId="70D881F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56</w:t>
            </w:r>
          </w:p>
        </w:tc>
        <w:tc>
          <w:tcPr>
            <w:tcW w:w="1410" w:type="dxa"/>
            <w:tcBorders>
              <w:bottom w:val="single" w:sz="4" w:space="0" w:color="auto"/>
            </w:tcBorders>
            <w:shd w:val="clear" w:color="000000" w:fill="FFFFFF"/>
            <w:noWrap/>
            <w:vAlign w:val="bottom"/>
          </w:tcPr>
          <w:p w14:paraId="3CFED80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5-55</w:t>
            </w:r>
          </w:p>
        </w:tc>
      </w:tr>
      <w:tr w:rsidR="00B62276" w:rsidRPr="00650EE4" w14:paraId="4F6544E0" w14:textId="77777777" w:rsidTr="00E57787">
        <w:tc>
          <w:tcPr>
            <w:tcW w:w="713" w:type="dxa"/>
            <w:tcBorders>
              <w:bottom w:val="single" w:sz="4" w:space="0" w:color="auto"/>
            </w:tcBorders>
            <w:shd w:val="clear" w:color="000000" w:fill="FFFFFF"/>
            <w:noWrap/>
            <w:vAlign w:val="center"/>
          </w:tcPr>
          <w:p w14:paraId="2099628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1629" w:type="dxa"/>
            <w:tcBorders>
              <w:bottom w:val="single" w:sz="4" w:space="0" w:color="auto"/>
            </w:tcBorders>
            <w:shd w:val="clear" w:color="000000" w:fill="FFFFFF"/>
            <w:noWrap/>
            <w:vAlign w:val="center"/>
          </w:tcPr>
          <w:p w14:paraId="3766102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tcBorders>
              <w:bottom w:val="single" w:sz="4" w:space="0" w:color="auto"/>
            </w:tcBorders>
            <w:shd w:val="clear" w:color="000000" w:fill="FFFFFF"/>
            <w:noWrap/>
            <w:vAlign w:val="center"/>
          </w:tcPr>
          <w:p w14:paraId="6185FDE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6" w:type="dxa"/>
            <w:tcBorders>
              <w:bottom w:val="single" w:sz="4" w:space="0" w:color="auto"/>
            </w:tcBorders>
            <w:shd w:val="clear" w:color="000000" w:fill="FFFFFF"/>
            <w:noWrap/>
            <w:vAlign w:val="center"/>
          </w:tcPr>
          <w:p w14:paraId="6C6A9C6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tcBorders>
              <w:bottom w:val="single" w:sz="4" w:space="0" w:color="auto"/>
            </w:tcBorders>
            <w:shd w:val="clear" w:color="000000" w:fill="FFFFFF"/>
            <w:noWrap/>
            <w:vAlign w:val="bottom"/>
          </w:tcPr>
          <w:p w14:paraId="50FEDD3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77</w:t>
            </w:r>
          </w:p>
        </w:tc>
        <w:tc>
          <w:tcPr>
            <w:tcW w:w="1273" w:type="dxa"/>
            <w:tcBorders>
              <w:bottom w:val="single" w:sz="4" w:space="0" w:color="auto"/>
            </w:tcBorders>
            <w:shd w:val="clear" w:color="000000" w:fill="FFFFFF"/>
            <w:noWrap/>
            <w:vAlign w:val="bottom"/>
          </w:tcPr>
          <w:p w14:paraId="5C79004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50</w:t>
            </w:r>
          </w:p>
        </w:tc>
        <w:tc>
          <w:tcPr>
            <w:tcW w:w="1132" w:type="dxa"/>
            <w:tcBorders>
              <w:bottom w:val="single" w:sz="4" w:space="0" w:color="auto"/>
            </w:tcBorders>
            <w:shd w:val="clear" w:color="000000" w:fill="FFFFFF"/>
            <w:noWrap/>
            <w:vAlign w:val="bottom"/>
          </w:tcPr>
          <w:p w14:paraId="290DD08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53</w:t>
            </w:r>
          </w:p>
        </w:tc>
        <w:tc>
          <w:tcPr>
            <w:tcW w:w="1434" w:type="dxa"/>
            <w:tcBorders>
              <w:bottom w:val="single" w:sz="4" w:space="0" w:color="auto"/>
            </w:tcBorders>
            <w:shd w:val="clear" w:color="000000" w:fill="FFFFFF"/>
            <w:noWrap/>
            <w:vAlign w:val="bottom"/>
          </w:tcPr>
          <w:p w14:paraId="1205D89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72</w:t>
            </w:r>
          </w:p>
        </w:tc>
        <w:tc>
          <w:tcPr>
            <w:tcW w:w="1410" w:type="dxa"/>
            <w:tcBorders>
              <w:bottom w:val="single" w:sz="4" w:space="0" w:color="auto"/>
            </w:tcBorders>
            <w:shd w:val="clear" w:color="000000" w:fill="FFFFFF"/>
            <w:noWrap/>
            <w:vAlign w:val="bottom"/>
          </w:tcPr>
          <w:p w14:paraId="0552AA8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21-112</w:t>
            </w:r>
          </w:p>
        </w:tc>
      </w:tr>
      <w:tr w:rsidR="00B62276" w:rsidRPr="00650EE4" w14:paraId="01318EDF" w14:textId="77777777" w:rsidTr="00E57787">
        <w:tc>
          <w:tcPr>
            <w:tcW w:w="2342"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B102FEB"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Daliniai paketai</w:t>
            </w:r>
          </w:p>
        </w:tc>
        <w:tc>
          <w:tcPr>
            <w:tcW w:w="773" w:type="dxa"/>
            <w:tcBorders>
              <w:top w:val="single" w:sz="4" w:space="0" w:color="auto"/>
              <w:left w:val="nil"/>
              <w:bottom w:val="single" w:sz="4" w:space="0" w:color="auto"/>
              <w:right w:val="nil"/>
            </w:tcBorders>
            <w:shd w:val="clear" w:color="000000" w:fill="FFFFFF"/>
            <w:noWrap/>
            <w:vAlign w:val="center"/>
          </w:tcPr>
          <w:p w14:paraId="370B55D0"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766" w:type="dxa"/>
            <w:tcBorders>
              <w:top w:val="single" w:sz="4" w:space="0" w:color="auto"/>
              <w:left w:val="nil"/>
              <w:bottom w:val="single" w:sz="4" w:space="0" w:color="auto"/>
              <w:right w:val="nil"/>
            </w:tcBorders>
            <w:shd w:val="clear" w:color="000000" w:fill="FFFFFF"/>
            <w:noWrap/>
            <w:vAlign w:val="center"/>
          </w:tcPr>
          <w:p w14:paraId="48E7E7C0"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064" w:type="dxa"/>
            <w:tcBorders>
              <w:top w:val="single" w:sz="4" w:space="0" w:color="auto"/>
              <w:left w:val="nil"/>
              <w:bottom w:val="single" w:sz="4" w:space="0" w:color="auto"/>
              <w:right w:val="nil"/>
            </w:tcBorders>
            <w:shd w:val="clear" w:color="000000" w:fill="FFFFFF"/>
            <w:noWrap/>
            <w:vAlign w:val="center"/>
          </w:tcPr>
          <w:p w14:paraId="03B28CC4"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273" w:type="dxa"/>
            <w:tcBorders>
              <w:top w:val="single" w:sz="4" w:space="0" w:color="auto"/>
              <w:left w:val="nil"/>
              <w:bottom w:val="single" w:sz="4" w:space="0" w:color="auto"/>
              <w:right w:val="nil"/>
            </w:tcBorders>
            <w:shd w:val="clear" w:color="000000" w:fill="FFFFFF"/>
            <w:noWrap/>
            <w:vAlign w:val="center"/>
          </w:tcPr>
          <w:p w14:paraId="73CEF0C6"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132" w:type="dxa"/>
            <w:tcBorders>
              <w:top w:val="single" w:sz="4" w:space="0" w:color="auto"/>
              <w:left w:val="nil"/>
              <w:bottom w:val="single" w:sz="4" w:space="0" w:color="auto"/>
              <w:right w:val="nil"/>
            </w:tcBorders>
            <w:shd w:val="clear" w:color="000000" w:fill="FFFFFF"/>
            <w:noWrap/>
            <w:vAlign w:val="center"/>
          </w:tcPr>
          <w:p w14:paraId="64F7D742"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34" w:type="dxa"/>
            <w:tcBorders>
              <w:top w:val="single" w:sz="4" w:space="0" w:color="auto"/>
              <w:left w:val="nil"/>
              <w:bottom w:val="single" w:sz="4" w:space="0" w:color="auto"/>
              <w:right w:val="nil"/>
            </w:tcBorders>
            <w:shd w:val="clear" w:color="000000" w:fill="FFFFFF"/>
            <w:noWrap/>
            <w:vAlign w:val="center"/>
          </w:tcPr>
          <w:p w14:paraId="1309FE95"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10" w:type="dxa"/>
            <w:tcBorders>
              <w:top w:val="single" w:sz="4" w:space="0" w:color="auto"/>
              <w:left w:val="nil"/>
              <w:bottom w:val="single" w:sz="4" w:space="0" w:color="auto"/>
              <w:right w:val="single" w:sz="4" w:space="0" w:color="auto"/>
            </w:tcBorders>
            <w:shd w:val="clear" w:color="000000" w:fill="FFFFFF"/>
            <w:noWrap/>
            <w:vAlign w:val="center"/>
          </w:tcPr>
          <w:p w14:paraId="01785A6C"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r>
      <w:tr w:rsidR="00B62276" w:rsidRPr="00650EE4" w14:paraId="5BFC2E1D" w14:textId="77777777" w:rsidTr="00E57787">
        <w:tc>
          <w:tcPr>
            <w:tcW w:w="713" w:type="dxa"/>
            <w:tcBorders>
              <w:top w:val="single" w:sz="4" w:space="0" w:color="auto"/>
            </w:tcBorders>
            <w:shd w:val="clear" w:color="000000" w:fill="FFFFFF"/>
            <w:noWrap/>
            <w:vAlign w:val="center"/>
          </w:tcPr>
          <w:p w14:paraId="6542A5E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629" w:type="dxa"/>
            <w:tcBorders>
              <w:top w:val="single" w:sz="4" w:space="0" w:color="auto"/>
            </w:tcBorders>
            <w:shd w:val="clear" w:color="000000" w:fill="FFFFFF"/>
            <w:noWrap/>
            <w:vAlign w:val="center"/>
          </w:tcPr>
          <w:p w14:paraId="48E275CD" w14:textId="77777777" w:rsidR="00B62276" w:rsidRPr="00650EE4" w:rsidRDefault="00B62276" w:rsidP="00AE7CA9">
            <w:pPr>
              <w:spacing w:line="240" w:lineRule="auto"/>
              <w:ind w:right="-171"/>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Mažoji renovacija</w:t>
            </w:r>
          </w:p>
        </w:tc>
        <w:tc>
          <w:tcPr>
            <w:tcW w:w="773" w:type="dxa"/>
            <w:tcBorders>
              <w:top w:val="single" w:sz="4" w:space="0" w:color="auto"/>
            </w:tcBorders>
            <w:shd w:val="clear" w:color="000000" w:fill="FFFFFF"/>
            <w:noWrap/>
            <w:vAlign w:val="center"/>
          </w:tcPr>
          <w:p w14:paraId="32CE08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2529C85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tcBorders>
              <w:top w:val="single" w:sz="4" w:space="0" w:color="auto"/>
            </w:tcBorders>
            <w:shd w:val="clear" w:color="000000" w:fill="FFFFFF"/>
            <w:noWrap/>
            <w:vAlign w:val="center"/>
          </w:tcPr>
          <w:p w14:paraId="4EF8366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w:t>
            </w:r>
          </w:p>
        </w:tc>
        <w:tc>
          <w:tcPr>
            <w:tcW w:w="1273" w:type="dxa"/>
            <w:tcBorders>
              <w:top w:val="single" w:sz="4" w:space="0" w:color="auto"/>
            </w:tcBorders>
            <w:shd w:val="clear" w:color="000000" w:fill="FFFFFF"/>
            <w:noWrap/>
            <w:vAlign w:val="center"/>
          </w:tcPr>
          <w:p w14:paraId="234CFEF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40</w:t>
            </w:r>
          </w:p>
        </w:tc>
        <w:tc>
          <w:tcPr>
            <w:tcW w:w="1132" w:type="dxa"/>
            <w:tcBorders>
              <w:top w:val="single" w:sz="4" w:space="0" w:color="auto"/>
            </w:tcBorders>
            <w:shd w:val="clear" w:color="000000" w:fill="FFFFFF"/>
            <w:noWrap/>
            <w:vAlign w:val="center"/>
          </w:tcPr>
          <w:p w14:paraId="5BDE1DE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34</w:t>
            </w:r>
          </w:p>
        </w:tc>
        <w:tc>
          <w:tcPr>
            <w:tcW w:w="1434" w:type="dxa"/>
            <w:tcBorders>
              <w:top w:val="single" w:sz="4" w:space="0" w:color="auto"/>
            </w:tcBorders>
            <w:shd w:val="clear" w:color="000000" w:fill="FFFFFF"/>
            <w:noWrap/>
            <w:vAlign w:val="center"/>
          </w:tcPr>
          <w:p w14:paraId="732CF38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54</w:t>
            </w:r>
          </w:p>
        </w:tc>
        <w:tc>
          <w:tcPr>
            <w:tcW w:w="1410" w:type="dxa"/>
            <w:tcBorders>
              <w:top w:val="single" w:sz="4" w:space="0" w:color="auto"/>
            </w:tcBorders>
            <w:shd w:val="clear" w:color="000000" w:fill="FFFFFF"/>
            <w:noWrap/>
            <w:vAlign w:val="center"/>
          </w:tcPr>
          <w:p w14:paraId="1E87D4D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16-30</w:t>
            </w:r>
          </w:p>
        </w:tc>
      </w:tr>
      <w:tr w:rsidR="00B62276" w:rsidRPr="00650EE4" w14:paraId="5C85C497" w14:textId="77777777" w:rsidTr="00E57787">
        <w:tc>
          <w:tcPr>
            <w:tcW w:w="713" w:type="dxa"/>
            <w:shd w:val="clear" w:color="000000" w:fill="FFFFFF"/>
            <w:noWrap/>
            <w:vAlign w:val="center"/>
            <w:hideMark/>
          </w:tcPr>
          <w:p w14:paraId="748206B8"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lastRenderedPageBreak/>
              <w:t>35</w:t>
            </w:r>
          </w:p>
        </w:tc>
        <w:tc>
          <w:tcPr>
            <w:tcW w:w="1629" w:type="dxa"/>
            <w:shd w:val="clear" w:color="000000" w:fill="FFFFFF"/>
            <w:noWrap/>
            <w:vAlign w:val="center"/>
            <w:hideMark/>
          </w:tcPr>
          <w:p w14:paraId="3B48A82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Fasado šiltinimas</w:t>
            </w:r>
          </w:p>
        </w:tc>
        <w:tc>
          <w:tcPr>
            <w:tcW w:w="773" w:type="dxa"/>
            <w:shd w:val="clear" w:color="000000" w:fill="FFFFFF"/>
            <w:noWrap/>
            <w:vAlign w:val="center"/>
            <w:hideMark/>
          </w:tcPr>
          <w:p w14:paraId="6D68660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591F877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shd w:val="clear" w:color="000000" w:fill="FFFFFF"/>
            <w:noWrap/>
            <w:vAlign w:val="center"/>
            <w:hideMark/>
          </w:tcPr>
          <w:p w14:paraId="299CC78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53</w:t>
            </w:r>
          </w:p>
        </w:tc>
        <w:tc>
          <w:tcPr>
            <w:tcW w:w="1273" w:type="dxa"/>
            <w:shd w:val="clear" w:color="000000" w:fill="FFFFFF"/>
            <w:noWrap/>
            <w:vAlign w:val="center"/>
            <w:hideMark/>
          </w:tcPr>
          <w:p w14:paraId="7EA07E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45</w:t>
            </w:r>
          </w:p>
        </w:tc>
        <w:tc>
          <w:tcPr>
            <w:tcW w:w="1132" w:type="dxa"/>
            <w:shd w:val="clear" w:color="000000" w:fill="FFFFFF"/>
            <w:noWrap/>
            <w:vAlign w:val="center"/>
            <w:hideMark/>
          </w:tcPr>
          <w:p w14:paraId="6E32635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w:t>
            </w:r>
          </w:p>
        </w:tc>
        <w:tc>
          <w:tcPr>
            <w:tcW w:w="1434" w:type="dxa"/>
            <w:shd w:val="clear" w:color="000000" w:fill="FFFFFF"/>
            <w:noWrap/>
            <w:vAlign w:val="center"/>
            <w:hideMark/>
          </w:tcPr>
          <w:p w14:paraId="1E19528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118</w:t>
            </w:r>
          </w:p>
        </w:tc>
        <w:tc>
          <w:tcPr>
            <w:tcW w:w="1410" w:type="dxa"/>
            <w:shd w:val="clear" w:color="000000" w:fill="FFFFFF"/>
            <w:noWrap/>
            <w:vAlign w:val="center"/>
            <w:hideMark/>
          </w:tcPr>
          <w:p w14:paraId="4C7FC3C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10-41</w:t>
            </w:r>
          </w:p>
        </w:tc>
      </w:tr>
      <w:tr w:rsidR="00B62276" w:rsidRPr="00650EE4" w14:paraId="4167332A" w14:textId="77777777" w:rsidTr="00E57787">
        <w:tc>
          <w:tcPr>
            <w:tcW w:w="713" w:type="dxa"/>
            <w:shd w:val="clear" w:color="000000" w:fill="FFFFFF"/>
            <w:noWrap/>
            <w:vAlign w:val="center"/>
            <w:hideMark/>
          </w:tcPr>
          <w:p w14:paraId="12D3A9E7"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1629" w:type="dxa"/>
            <w:shd w:val="clear" w:color="000000" w:fill="FFFFFF"/>
            <w:noWrap/>
            <w:vAlign w:val="center"/>
            <w:hideMark/>
          </w:tcPr>
          <w:p w14:paraId="5D29BC9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Stogo perdangos šiltinimas</w:t>
            </w:r>
          </w:p>
        </w:tc>
        <w:tc>
          <w:tcPr>
            <w:tcW w:w="773" w:type="dxa"/>
            <w:shd w:val="clear" w:color="000000" w:fill="FFFFFF"/>
            <w:noWrap/>
            <w:vAlign w:val="center"/>
            <w:hideMark/>
          </w:tcPr>
          <w:p w14:paraId="2535A7A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166CA81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shd w:val="clear" w:color="000000" w:fill="FFFFFF"/>
            <w:noWrap/>
            <w:vAlign w:val="center"/>
            <w:hideMark/>
          </w:tcPr>
          <w:p w14:paraId="6179B46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273" w:type="dxa"/>
            <w:shd w:val="clear" w:color="000000" w:fill="FFFFFF"/>
            <w:noWrap/>
            <w:vAlign w:val="center"/>
            <w:hideMark/>
          </w:tcPr>
          <w:p w14:paraId="150AADC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132" w:type="dxa"/>
            <w:shd w:val="clear" w:color="000000" w:fill="FFFFFF"/>
            <w:noWrap/>
            <w:vAlign w:val="center"/>
            <w:hideMark/>
          </w:tcPr>
          <w:p w14:paraId="55B9ADB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434" w:type="dxa"/>
            <w:shd w:val="clear" w:color="000000" w:fill="FFFFFF"/>
            <w:noWrap/>
            <w:vAlign w:val="center"/>
            <w:hideMark/>
          </w:tcPr>
          <w:p w14:paraId="4F4B34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410" w:type="dxa"/>
            <w:shd w:val="clear" w:color="000000" w:fill="FFFFFF"/>
            <w:noWrap/>
            <w:vAlign w:val="center"/>
            <w:hideMark/>
          </w:tcPr>
          <w:p w14:paraId="133A5F5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6-15</w:t>
            </w:r>
          </w:p>
        </w:tc>
      </w:tr>
      <w:tr w:rsidR="00B62276" w:rsidRPr="00650EE4" w14:paraId="21D86F27" w14:textId="77777777" w:rsidTr="00E57787">
        <w:tc>
          <w:tcPr>
            <w:tcW w:w="713" w:type="dxa"/>
            <w:shd w:val="clear" w:color="000000" w:fill="FFFFFF"/>
            <w:noWrap/>
            <w:vAlign w:val="center"/>
            <w:hideMark/>
          </w:tcPr>
          <w:p w14:paraId="2F22A774"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c>
          <w:tcPr>
            <w:tcW w:w="1629" w:type="dxa"/>
            <w:shd w:val="clear" w:color="000000" w:fill="FFFFFF"/>
            <w:noWrap/>
            <w:vAlign w:val="center"/>
            <w:hideMark/>
          </w:tcPr>
          <w:p w14:paraId="5F7ED4C5"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Langų keitimas</w:t>
            </w:r>
          </w:p>
        </w:tc>
        <w:tc>
          <w:tcPr>
            <w:tcW w:w="773" w:type="dxa"/>
            <w:shd w:val="clear" w:color="000000" w:fill="FFFFFF"/>
            <w:noWrap/>
            <w:vAlign w:val="center"/>
            <w:hideMark/>
          </w:tcPr>
          <w:p w14:paraId="1FB57C4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106DB38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shd w:val="clear" w:color="000000" w:fill="FFFFFF"/>
            <w:noWrap/>
            <w:vAlign w:val="center"/>
            <w:hideMark/>
          </w:tcPr>
          <w:p w14:paraId="5B8CB53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273" w:type="dxa"/>
            <w:shd w:val="clear" w:color="000000" w:fill="FFFFFF"/>
            <w:noWrap/>
            <w:vAlign w:val="center"/>
            <w:hideMark/>
          </w:tcPr>
          <w:p w14:paraId="40116FF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w:t>
            </w:r>
          </w:p>
        </w:tc>
        <w:tc>
          <w:tcPr>
            <w:tcW w:w="1132" w:type="dxa"/>
            <w:shd w:val="clear" w:color="000000" w:fill="FFFFFF"/>
            <w:noWrap/>
            <w:vAlign w:val="center"/>
            <w:hideMark/>
          </w:tcPr>
          <w:p w14:paraId="78009D1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434" w:type="dxa"/>
            <w:shd w:val="clear" w:color="000000" w:fill="FFFFFF"/>
            <w:noWrap/>
            <w:vAlign w:val="center"/>
            <w:hideMark/>
          </w:tcPr>
          <w:p w14:paraId="4A98213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410" w:type="dxa"/>
            <w:shd w:val="clear" w:color="000000" w:fill="FFFFFF"/>
            <w:noWrap/>
            <w:vAlign w:val="center"/>
            <w:hideMark/>
          </w:tcPr>
          <w:p w14:paraId="493F70D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1-10</w:t>
            </w:r>
          </w:p>
        </w:tc>
      </w:tr>
    </w:tbl>
    <w:p w14:paraId="072CE17F" w14:textId="4581AD10" w:rsidR="00B62276" w:rsidRPr="00650EE4" w:rsidRDefault="00B62276" w:rsidP="006946CC">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4479AB">
        <w:rPr>
          <w:rFonts w:ascii="Times New Roman" w:hAnsi="Times New Roman"/>
          <w:i/>
          <w:iCs/>
          <w:color w:val="auto"/>
          <w:sz w:val="20"/>
          <w:szCs w:val="20"/>
        </w:rPr>
        <w:t>Lietuvos ilgalaikei renovacijos strategijai parengti</w:t>
      </w:r>
      <w:r w:rsidR="004479AB"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5D7517A2" w14:textId="77777777" w:rsidR="00B62276" w:rsidRPr="00650EE4" w:rsidRDefault="00B62276" w:rsidP="00B62276">
      <w:pPr>
        <w:spacing w:after="120"/>
        <w:rPr>
          <w:rFonts w:ascii="Times New Roman" w:hAnsi="Times New Roman"/>
          <w:szCs w:val="22"/>
          <w:lang w:eastAsia="lt-LT"/>
        </w:rPr>
      </w:pPr>
    </w:p>
    <w:p w14:paraId="26880639" w14:textId="51BDDDC7" w:rsidR="001F01CD" w:rsidRPr="00650EE4" w:rsidRDefault="001F01CD" w:rsidP="006A470E">
      <w:pPr>
        <w:pStyle w:val="Antrastes31"/>
        <w:numPr>
          <w:ilvl w:val="2"/>
          <w:numId w:val="4"/>
        </w:numPr>
        <w:spacing w:before="0"/>
        <w:ind w:left="720" w:hanging="720"/>
        <w:rPr>
          <w:rFonts w:ascii="Times New Roman" w:hAnsi="Times New Roman"/>
          <w:color w:val="000000" w:themeColor="text1"/>
          <w:sz w:val="24"/>
          <w:szCs w:val="24"/>
          <w:lang w:val="lt-LT"/>
        </w:rPr>
      </w:pPr>
      <w:bookmarkStart w:id="97" w:name="_Toc67925128"/>
      <w:r w:rsidRPr="00650EE4">
        <w:rPr>
          <w:rFonts w:ascii="Times New Roman" w:hAnsi="Times New Roman"/>
          <w:color w:val="000000" w:themeColor="text1"/>
          <w:sz w:val="24"/>
          <w:szCs w:val="24"/>
          <w:lang w:val="lt-LT"/>
        </w:rPr>
        <w:t>CO</w:t>
      </w:r>
      <w:r w:rsidRPr="00650EE4">
        <w:rPr>
          <w:rFonts w:ascii="Times New Roman" w:hAnsi="Times New Roman"/>
          <w:color w:val="000000" w:themeColor="text1"/>
          <w:sz w:val="24"/>
          <w:szCs w:val="24"/>
          <w:vertAlign w:val="subscript"/>
          <w:lang w:val="lt-LT"/>
        </w:rPr>
        <w:t>2</w:t>
      </w:r>
      <w:r w:rsidRPr="00650EE4">
        <w:rPr>
          <w:rFonts w:ascii="Times New Roman" w:hAnsi="Times New Roman"/>
          <w:color w:val="000000" w:themeColor="text1"/>
          <w:sz w:val="24"/>
          <w:szCs w:val="24"/>
          <w:lang w:val="lt-LT"/>
        </w:rPr>
        <w:t xml:space="preserve"> emisijų </w:t>
      </w:r>
      <w:r w:rsidR="006A470E" w:rsidRPr="00650EE4">
        <w:rPr>
          <w:rFonts w:ascii="Times New Roman" w:hAnsi="Times New Roman"/>
          <w:color w:val="000000" w:themeColor="text1"/>
          <w:sz w:val="24"/>
          <w:szCs w:val="24"/>
          <w:lang w:val="lt-LT"/>
        </w:rPr>
        <w:t>sutaupymai</w:t>
      </w:r>
      <w:bookmarkEnd w:id="97"/>
    </w:p>
    <w:p w14:paraId="4B637D1E" w14:textId="6305DC71" w:rsidR="001F01CD" w:rsidRPr="00650EE4" w:rsidRDefault="001F01CD" w:rsidP="00086DC2">
      <w:pPr>
        <w:jc w:val="both"/>
        <w:rPr>
          <w:rFonts w:ascii="Times New Roman" w:hAnsi="Times New Roman"/>
          <w:color w:val="000000" w:themeColor="text1"/>
          <w:szCs w:val="22"/>
        </w:rPr>
      </w:pPr>
      <w:r w:rsidRPr="00650EE4">
        <w:rPr>
          <w:rFonts w:ascii="Times New Roman" w:hAnsi="Times New Roman"/>
          <w:szCs w:val="22"/>
          <w:lang w:eastAsia="lt-LT"/>
        </w:rPr>
        <w:t>CO</w:t>
      </w:r>
      <w:r w:rsidRPr="00650EE4">
        <w:rPr>
          <w:rFonts w:ascii="Times New Roman" w:hAnsi="Times New Roman"/>
          <w:szCs w:val="22"/>
          <w:vertAlign w:val="subscript"/>
          <w:lang w:eastAsia="lt-LT"/>
        </w:rPr>
        <w:t>2</w:t>
      </w:r>
      <w:r w:rsidRPr="00650EE4">
        <w:rPr>
          <w:rFonts w:ascii="Times New Roman" w:hAnsi="Times New Roman"/>
          <w:szCs w:val="22"/>
          <w:lang w:eastAsia="lt-LT"/>
        </w:rPr>
        <w:t xml:space="preserve"> emisijų pokytis apskaičiuotas pagal energinio efektyvumo ir atsinaujinančių energijos išteklių priemonių pasiekto pirminio energijos vartojimo sumažėjimo ir pasikeitusio gamybos šaltinio rezultatą naudojant CO</w:t>
      </w:r>
      <w:r w:rsidRPr="00650EE4">
        <w:rPr>
          <w:rFonts w:ascii="Times New Roman" w:hAnsi="Times New Roman"/>
          <w:szCs w:val="22"/>
          <w:vertAlign w:val="subscript"/>
          <w:lang w:eastAsia="lt-LT"/>
        </w:rPr>
        <w:t>2</w:t>
      </w:r>
      <w:r w:rsidRPr="00650EE4">
        <w:rPr>
          <w:rFonts w:ascii="Times New Roman" w:hAnsi="Times New Roman"/>
          <w:szCs w:val="22"/>
          <w:lang w:eastAsia="lt-LT"/>
        </w:rPr>
        <w:t xml:space="preserve"> emisijų faktorius (žr. </w:t>
      </w:r>
      <w:r w:rsidR="00605C66">
        <w:rPr>
          <w:rFonts w:ascii="Times New Roman" w:hAnsi="Times New Roman"/>
          <w:szCs w:val="22"/>
          <w:lang w:eastAsia="lt-LT"/>
        </w:rPr>
        <w:t>1</w:t>
      </w:r>
      <w:r w:rsidRPr="00650EE4">
        <w:rPr>
          <w:rFonts w:ascii="Times New Roman" w:hAnsi="Times New Roman"/>
          <w:szCs w:val="22"/>
          <w:lang w:eastAsia="lt-LT"/>
        </w:rPr>
        <w:t xml:space="preserve">.2.5. skyrių). </w:t>
      </w:r>
      <w:r w:rsidRPr="00650EE4">
        <w:rPr>
          <w:rFonts w:ascii="Times New Roman" w:hAnsi="Times New Roman"/>
          <w:color w:val="000000" w:themeColor="text1"/>
          <w:szCs w:val="22"/>
        </w:rPr>
        <w:t>Lentelėje žemiau pateikiama visų modeliuojamų renovacijos priemonių paketų pasiektų CO</w:t>
      </w:r>
      <w:r w:rsidRPr="00650EE4">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emisijų sutaupymų suvestinė. Pateikiami vidutiniai dydžiai. Kadangi sutaupymų dydžiai priklauso nuo konkrečios modeliuojamos kombinacijos pastato statybos metų ir ploto, tiksli sutaupymo reikšmė gali skirtis. </w:t>
      </w:r>
    </w:p>
    <w:p w14:paraId="4EF3CD63" w14:textId="77777777" w:rsidR="00AE7CA9" w:rsidRPr="00650EE4" w:rsidRDefault="00AE7CA9" w:rsidP="001F01CD">
      <w:pPr>
        <w:pStyle w:val="Pagrindinispaprastastekstas"/>
        <w:rPr>
          <w:rFonts w:ascii="Times New Roman" w:hAnsi="Times New Roman"/>
          <w:color w:val="000000" w:themeColor="text1"/>
          <w:szCs w:val="22"/>
        </w:rPr>
      </w:pPr>
    </w:p>
    <w:p w14:paraId="69FDAC10" w14:textId="2F0EB03B" w:rsidR="001F01CD" w:rsidRPr="00650EE4" w:rsidRDefault="001F01C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98" w:name="_Toc67925221"/>
      <w:r w:rsidR="007744C1">
        <w:t>38</w:t>
      </w:r>
      <w:r w:rsidRPr="00650EE4">
        <w:rPr>
          <w:noProof w:val="0"/>
        </w:rPr>
        <w:fldChar w:fldCharType="end"/>
      </w:r>
      <w:r w:rsidRPr="00650EE4">
        <w:rPr>
          <w:noProof w:val="0"/>
        </w:rPr>
        <w:t xml:space="preserve"> lentelė. Renovacijos priemonių CO</w:t>
      </w:r>
      <w:r w:rsidRPr="00650EE4">
        <w:rPr>
          <w:noProof w:val="0"/>
          <w:vertAlign w:val="subscript"/>
        </w:rPr>
        <w:t>2</w:t>
      </w:r>
      <w:r w:rsidRPr="00650EE4">
        <w:rPr>
          <w:noProof w:val="0"/>
        </w:rPr>
        <w:t xml:space="preserve"> emisijų sutaupymai (kgCO</w:t>
      </w:r>
      <w:r w:rsidRPr="00650EE4">
        <w:rPr>
          <w:noProof w:val="0"/>
          <w:vertAlign w:val="subscript"/>
        </w:rPr>
        <w:t>2</w:t>
      </w:r>
      <w:r w:rsidRPr="00650EE4">
        <w:rPr>
          <w:noProof w:val="0"/>
        </w:rPr>
        <w:t>/m</w:t>
      </w:r>
      <w:r w:rsidRPr="00650EE4">
        <w:rPr>
          <w:noProof w:val="0"/>
          <w:vertAlign w:val="superscript"/>
        </w:rPr>
        <w:t>2</w:t>
      </w:r>
      <w:r w:rsidRPr="00650EE4">
        <w:rPr>
          <w:noProof w:val="0"/>
        </w:rPr>
        <w:t>/metus)</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71"/>
        <w:gridCol w:w="791"/>
        <w:gridCol w:w="784"/>
        <w:gridCol w:w="944"/>
        <w:gridCol w:w="1304"/>
        <w:gridCol w:w="1159"/>
        <w:gridCol w:w="1448"/>
        <w:gridCol w:w="1586"/>
      </w:tblGrid>
      <w:tr w:rsidR="001F01CD" w:rsidRPr="00650EE4" w14:paraId="6E359311" w14:textId="77777777" w:rsidTr="00E57787">
        <w:trPr>
          <w:tblHeader/>
        </w:trPr>
        <w:tc>
          <w:tcPr>
            <w:tcW w:w="716" w:type="dxa"/>
            <w:vMerge w:val="restart"/>
            <w:shd w:val="clear" w:color="000000" w:fill="FFFFFF"/>
            <w:noWrap/>
            <w:vAlign w:val="center"/>
            <w:hideMark/>
          </w:tcPr>
          <w:p w14:paraId="43BEDE58"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Nr.</w:t>
            </w:r>
          </w:p>
        </w:tc>
        <w:tc>
          <w:tcPr>
            <w:tcW w:w="1634" w:type="dxa"/>
            <w:vMerge w:val="restart"/>
            <w:shd w:val="clear" w:color="000000" w:fill="FFFFFF"/>
            <w:noWrap/>
            <w:vAlign w:val="center"/>
            <w:hideMark/>
          </w:tcPr>
          <w:p w14:paraId="0C64AB77"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Paketas</w:t>
            </w:r>
          </w:p>
        </w:tc>
        <w:tc>
          <w:tcPr>
            <w:tcW w:w="1541" w:type="dxa"/>
            <w:gridSpan w:val="2"/>
            <w:tcBorders>
              <w:right w:val="single" w:sz="4" w:space="0" w:color="auto"/>
            </w:tcBorders>
            <w:shd w:val="clear" w:color="000000" w:fill="FFFFFF"/>
            <w:noWrap/>
            <w:vAlign w:val="center"/>
            <w:hideMark/>
          </w:tcPr>
          <w:p w14:paraId="0D12B160"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ENK</w:t>
            </w:r>
          </w:p>
        </w:tc>
        <w:tc>
          <w:tcPr>
            <w:tcW w:w="3334" w:type="dxa"/>
            <w:gridSpan w:val="3"/>
            <w:tcBorders>
              <w:top w:val="single" w:sz="4" w:space="0" w:color="auto"/>
              <w:left w:val="single" w:sz="4" w:space="0" w:color="auto"/>
              <w:bottom w:val="nil"/>
              <w:right w:val="single" w:sz="4" w:space="0" w:color="auto"/>
            </w:tcBorders>
            <w:shd w:val="clear" w:color="auto" w:fill="auto"/>
            <w:noWrap/>
            <w:vAlign w:val="center"/>
            <w:hideMark/>
          </w:tcPr>
          <w:p w14:paraId="212B6BBF"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Daugiabučiai</w:t>
            </w:r>
          </w:p>
        </w:tc>
        <w:tc>
          <w:tcPr>
            <w:tcW w:w="1417" w:type="dxa"/>
            <w:vMerge w:val="restart"/>
            <w:tcBorders>
              <w:left w:val="single" w:sz="4" w:space="0" w:color="auto"/>
            </w:tcBorders>
            <w:shd w:val="clear" w:color="000000" w:fill="FFFFFF"/>
            <w:noWrap/>
            <w:vAlign w:val="center"/>
            <w:hideMark/>
          </w:tcPr>
          <w:p w14:paraId="19D136E3"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Individualūs</w:t>
            </w:r>
          </w:p>
        </w:tc>
        <w:tc>
          <w:tcPr>
            <w:tcW w:w="1552" w:type="dxa"/>
            <w:vMerge w:val="restart"/>
            <w:shd w:val="clear" w:color="000000" w:fill="FFFFFF"/>
            <w:noWrap/>
            <w:vAlign w:val="center"/>
            <w:hideMark/>
          </w:tcPr>
          <w:p w14:paraId="0A33544C"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Negyvenamieji</w:t>
            </w:r>
          </w:p>
        </w:tc>
      </w:tr>
      <w:tr w:rsidR="001F01CD" w:rsidRPr="00650EE4" w14:paraId="1EA2D64D" w14:textId="77777777" w:rsidTr="00E57787">
        <w:trPr>
          <w:tblHeader/>
        </w:trPr>
        <w:tc>
          <w:tcPr>
            <w:tcW w:w="716" w:type="dxa"/>
            <w:vMerge/>
            <w:tcBorders>
              <w:bottom w:val="single" w:sz="4" w:space="0" w:color="auto"/>
            </w:tcBorders>
            <w:vAlign w:val="center"/>
            <w:hideMark/>
          </w:tcPr>
          <w:p w14:paraId="1857DA81" w14:textId="77777777" w:rsidR="001F01CD" w:rsidRPr="00650EE4" w:rsidRDefault="001F01CD" w:rsidP="004F6509">
            <w:pPr>
              <w:spacing w:line="240" w:lineRule="auto"/>
              <w:rPr>
                <w:rFonts w:ascii="Times New Roman" w:eastAsia="Times New Roman" w:hAnsi="Times New Roman"/>
                <w:b/>
                <w:bCs/>
                <w:sz w:val="20"/>
                <w:szCs w:val="20"/>
                <w:lang w:eastAsia="lt-LT"/>
              </w:rPr>
            </w:pPr>
          </w:p>
        </w:tc>
        <w:tc>
          <w:tcPr>
            <w:tcW w:w="1634" w:type="dxa"/>
            <w:vMerge/>
            <w:tcBorders>
              <w:bottom w:val="single" w:sz="4" w:space="0" w:color="auto"/>
            </w:tcBorders>
            <w:vAlign w:val="center"/>
            <w:hideMark/>
          </w:tcPr>
          <w:p w14:paraId="7D664CEB" w14:textId="77777777" w:rsidR="001F01CD" w:rsidRPr="00650EE4" w:rsidRDefault="001F01CD" w:rsidP="004F6509">
            <w:pPr>
              <w:spacing w:line="240" w:lineRule="auto"/>
              <w:rPr>
                <w:rFonts w:ascii="Times New Roman" w:eastAsia="Times New Roman" w:hAnsi="Times New Roman"/>
                <w:b/>
                <w:bCs/>
                <w:sz w:val="20"/>
                <w:szCs w:val="20"/>
                <w:lang w:eastAsia="lt-LT"/>
              </w:rPr>
            </w:pPr>
          </w:p>
        </w:tc>
        <w:tc>
          <w:tcPr>
            <w:tcW w:w="774" w:type="dxa"/>
            <w:tcBorders>
              <w:bottom w:val="single" w:sz="4" w:space="0" w:color="auto"/>
            </w:tcBorders>
            <w:shd w:val="clear" w:color="000000" w:fill="FFFFFF"/>
            <w:noWrap/>
            <w:vAlign w:val="center"/>
            <w:hideMark/>
          </w:tcPr>
          <w:p w14:paraId="58A1CD34"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Prieš</w:t>
            </w:r>
          </w:p>
        </w:tc>
        <w:tc>
          <w:tcPr>
            <w:tcW w:w="767" w:type="dxa"/>
            <w:tcBorders>
              <w:bottom w:val="single" w:sz="4" w:space="0" w:color="auto"/>
              <w:right w:val="single" w:sz="4" w:space="0" w:color="auto"/>
            </w:tcBorders>
            <w:shd w:val="clear" w:color="000000" w:fill="FFFFFF"/>
            <w:noWrap/>
            <w:vAlign w:val="center"/>
            <w:hideMark/>
          </w:tcPr>
          <w:p w14:paraId="524A2B37"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Po</w:t>
            </w:r>
          </w:p>
        </w:tc>
        <w:tc>
          <w:tcPr>
            <w:tcW w:w="924" w:type="dxa"/>
            <w:tcBorders>
              <w:top w:val="nil"/>
              <w:left w:val="single" w:sz="4" w:space="0" w:color="auto"/>
              <w:bottom w:val="single" w:sz="4" w:space="0" w:color="auto"/>
              <w:right w:val="nil"/>
            </w:tcBorders>
            <w:shd w:val="clear" w:color="000000" w:fill="FFFFFF"/>
            <w:noWrap/>
            <w:vAlign w:val="bottom"/>
            <w:hideMark/>
          </w:tcPr>
          <w:p w14:paraId="0268C955" w14:textId="37D92D85" w:rsidR="001F01CD" w:rsidRPr="00650EE4" w:rsidRDefault="00332E90" w:rsidP="00332E90">
            <w:pPr>
              <w:spacing w:line="240" w:lineRule="auto"/>
              <w:ind w:right="-112" w:hanging="3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&lt;</w:t>
            </w:r>
            <w:r w:rsidR="001F01CD" w:rsidRPr="00650EE4">
              <w:rPr>
                <w:rFonts w:ascii="Times New Roman" w:eastAsia="Times New Roman" w:hAnsi="Times New Roman"/>
                <w:sz w:val="20"/>
                <w:szCs w:val="20"/>
                <w:lang w:eastAsia="lt-LT"/>
              </w:rPr>
              <w:t>1000 m</w:t>
            </w:r>
            <w:r w:rsidR="001F01CD" w:rsidRPr="00650EE4">
              <w:rPr>
                <w:rFonts w:ascii="Times New Roman" w:eastAsia="Times New Roman" w:hAnsi="Times New Roman"/>
                <w:sz w:val="20"/>
                <w:szCs w:val="20"/>
                <w:vertAlign w:val="superscript"/>
                <w:lang w:eastAsia="lt-LT"/>
              </w:rPr>
              <w:t>2</w:t>
            </w:r>
          </w:p>
        </w:tc>
        <w:tc>
          <w:tcPr>
            <w:tcW w:w="1276" w:type="dxa"/>
            <w:tcBorders>
              <w:top w:val="nil"/>
              <w:left w:val="nil"/>
              <w:bottom w:val="single" w:sz="4" w:space="0" w:color="auto"/>
              <w:right w:val="nil"/>
            </w:tcBorders>
            <w:shd w:val="clear" w:color="000000" w:fill="FFFFFF"/>
            <w:noWrap/>
            <w:vAlign w:val="bottom"/>
            <w:hideMark/>
          </w:tcPr>
          <w:p w14:paraId="09006805" w14:textId="77777777" w:rsidR="001F01CD" w:rsidRPr="00650EE4" w:rsidRDefault="001F01CD" w:rsidP="00332E90">
            <w:pPr>
              <w:spacing w:line="240" w:lineRule="auto"/>
              <w:ind w:right="-108" w:hanging="10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1000-5000 m</w:t>
            </w:r>
            <w:r w:rsidRPr="00650EE4">
              <w:rPr>
                <w:rFonts w:ascii="Times New Roman" w:eastAsia="Times New Roman" w:hAnsi="Times New Roman"/>
                <w:sz w:val="20"/>
                <w:szCs w:val="20"/>
                <w:vertAlign w:val="superscript"/>
                <w:lang w:eastAsia="lt-LT"/>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6FA34CC0" w14:textId="1412E81B" w:rsidR="001F01CD" w:rsidRPr="00650EE4" w:rsidRDefault="00332E90"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&gt;</w:t>
            </w:r>
            <w:r w:rsidR="001F01CD" w:rsidRPr="00650EE4">
              <w:rPr>
                <w:rFonts w:ascii="Times New Roman" w:eastAsia="Times New Roman" w:hAnsi="Times New Roman"/>
                <w:sz w:val="20"/>
                <w:szCs w:val="20"/>
                <w:lang w:eastAsia="lt-LT"/>
              </w:rPr>
              <w:t>5000 m</w:t>
            </w:r>
            <w:r w:rsidR="001F01CD" w:rsidRPr="00650EE4">
              <w:rPr>
                <w:rFonts w:ascii="Times New Roman" w:eastAsia="Times New Roman" w:hAnsi="Times New Roman"/>
                <w:sz w:val="20"/>
                <w:szCs w:val="20"/>
                <w:vertAlign w:val="superscript"/>
                <w:lang w:eastAsia="lt-LT"/>
              </w:rPr>
              <w:t>2</w:t>
            </w:r>
          </w:p>
        </w:tc>
        <w:tc>
          <w:tcPr>
            <w:tcW w:w="1417" w:type="dxa"/>
            <w:vMerge/>
            <w:tcBorders>
              <w:left w:val="single" w:sz="4" w:space="0" w:color="auto"/>
              <w:bottom w:val="single" w:sz="4" w:space="0" w:color="auto"/>
            </w:tcBorders>
            <w:shd w:val="clear" w:color="000000" w:fill="FFFFFF"/>
            <w:noWrap/>
            <w:vAlign w:val="bottom"/>
            <w:hideMark/>
          </w:tcPr>
          <w:p w14:paraId="66C456C7" w14:textId="77777777" w:rsidR="001F01CD" w:rsidRPr="00650EE4" w:rsidRDefault="001F01CD" w:rsidP="004F6509">
            <w:pPr>
              <w:spacing w:line="240" w:lineRule="auto"/>
              <w:rPr>
                <w:rFonts w:ascii="Times New Roman" w:eastAsia="Times New Roman" w:hAnsi="Times New Roman"/>
                <w:sz w:val="20"/>
                <w:szCs w:val="20"/>
                <w:lang w:eastAsia="lt-LT"/>
              </w:rPr>
            </w:pPr>
          </w:p>
        </w:tc>
        <w:tc>
          <w:tcPr>
            <w:tcW w:w="1552" w:type="dxa"/>
            <w:vMerge/>
            <w:tcBorders>
              <w:bottom w:val="single" w:sz="4" w:space="0" w:color="auto"/>
            </w:tcBorders>
            <w:shd w:val="clear" w:color="000000" w:fill="FFFFFF"/>
            <w:noWrap/>
            <w:vAlign w:val="bottom"/>
            <w:hideMark/>
          </w:tcPr>
          <w:p w14:paraId="1541F6B9" w14:textId="77777777" w:rsidR="001F01CD" w:rsidRPr="00650EE4" w:rsidRDefault="001F01CD" w:rsidP="004F6509">
            <w:pPr>
              <w:spacing w:line="240" w:lineRule="auto"/>
              <w:rPr>
                <w:rFonts w:ascii="Times New Roman" w:eastAsia="Times New Roman" w:hAnsi="Times New Roman"/>
                <w:sz w:val="20"/>
                <w:szCs w:val="20"/>
                <w:lang w:eastAsia="lt-LT"/>
              </w:rPr>
            </w:pPr>
          </w:p>
        </w:tc>
      </w:tr>
      <w:tr w:rsidR="001F01CD" w:rsidRPr="00650EE4" w14:paraId="7A3344CB" w14:textId="77777777" w:rsidTr="00E57787">
        <w:tc>
          <w:tcPr>
            <w:tcW w:w="2350"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6803F933"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Pagrindiniai paketai</w:t>
            </w:r>
          </w:p>
        </w:tc>
        <w:tc>
          <w:tcPr>
            <w:tcW w:w="774" w:type="dxa"/>
            <w:tcBorders>
              <w:top w:val="single" w:sz="4" w:space="0" w:color="auto"/>
              <w:left w:val="nil"/>
              <w:bottom w:val="single" w:sz="4" w:space="0" w:color="auto"/>
              <w:right w:val="nil"/>
            </w:tcBorders>
            <w:shd w:val="clear" w:color="000000" w:fill="FFFFFF"/>
            <w:noWrap/>
            <w:vAlign w:val="center"/>
          </w:tcPr>
          <w:p w14:paraId="7B7C0053"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767" w:type="dxa"/>
            <w:tcBorders>
              <w:top w:val="single" w:sz="4" w:space="0" w:color="auto"/>
              <w:left w:val="nil"/>
              <w:bottom w:val="single" w:sz="4" w:space="0" w:color="auto"/>
              <w:right w:val="nil"/>
            </w:tcBorders>
            <w:shd w:val="clear" w:color="000000" w:fill="FFFFFF"/>
            <w:noWrap/>
            <w:vAlign w:val="center"/>
          </w:tcPr>
          <w:p w14:paraId="5F257872"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924" w:type="dxa"/>
            <w:tcBorders>
              <w:top w:val="single" w:sz="4" w:space="0" w:color="auto"/>
              <w:left w:val="nil"/>
              <w:bottom w:val="single" w:sz="4" w:space="0" w:color="auto"/>
              <w:right w:val="nil"/>
            </w:tcBorders>
            <w:shd w:val="clear" w:color="000000" w:fill="FFFFFF"/>
            <w:noWrap/>
            <w:vAlign w:val="center"/>
          </w:tcPr>
          <w:p w14:paraId="3B8A96D7"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276" w:type="dxa"/>
            <w:tcBorders>
              <w:top w:val="single" w:sz="4" w:space="0" w:color="auto"/>
              <w:left w:val="nil"/>
              <w:bottom w:val="single" w:sz="4" w:space="0" w:color="auto"/>
              <w:right w:val="nil"/>
            </w:tcBorders>
            <w:shd w:val="clear" w:color="000000" w:fill="FFFFFF"/>
            <w:noWrap/>
            <w:vAlign w:val="center"/>
          </w:tcPr>
          <w:p w14:paraId="4EC97F62"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134" w:type="dxa"/>
            <w:tcBorders>
              <w:top w:val="single" w:sz="4" w:space="0" w:color="auto"/>
              <w:left w:val="nil"/>
              <w:bottom w:val="single" w:sz="4" w:space="0" w:color="auto"/>
              <w:right w:val="nil"/>
            </w:tcBorders>
            <w:shd w:val="clear" w:color="000000" w:fill="FFFFFF"/>
            <w:noWrap/>
            <w:vAlign w:val="center"/>
          </w:tcPr>
          <w:p w14:paraId="2328C52B"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417" w:type="dxa"/>
            <w:tcBorders>
              <w:top w:val="single" w:sz="4" w:space="0" w:color="auto"/>
              <w:left w:val="nil"/>
              <w:bottom w:val="single" w:sz="4" w:space="0" w:color="auto"/>
              <w:right w:val="nil"/>
            </w:tcBorders>
            <w:shd w:val="clear" w:color="000000" w:fill="FFFFFF"/>
            <w:noWrap/>
            <w:vAlign w:val="center"/>
          </w:tcPr>
          <w:p w14:paraId="6E20D20B"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552" w:type="dxa"/>
            <w:tcBorders>
              <w:top w:val="single" w:sz="4" w:space="0" w:color="auto"/>
              <w:left w:val="nil"/>
              <w:bottom w:val="single" w:sz="4" w:space="0" w:color="auto"/>
              <w:right w:val="single" w:sz="4" w:space="0" w:color="auto"/>
            </w:tcBorders>
            <w:shd w:val="clear" w:color="000000" w:fill="FFFFFF"/>
            <w:noWrap/>
            <w:vAlign w:val="bottom"/>
          </w:tcPr>
          <w:p w14:paraId="7C26DE83"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r>
      <w:tr w:rsidR="001F01CD" w:rsidRPr="00650EE4" w14:paraId="78B5B86E" w14:textId="77777777" w:rsidTr="00E57787">
        <w:tc>
          <w:tcPr>
            <w:tcW w:w="716" w:type="dxa"/>
            <w:tcBorders>
              <w:top w:val="single" w:sz="4" w:space="0" w:color="auto"/>
            </w:tcBorders>
            <w:shd w:val="clear" w:color="000000" w:fill="FFFFFF"/>
            <w:noWrap/>
            <w:vAlign w:val="center"/>
          </w:tcPr>
          <w:p w14:paraId="1BE30DA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634" w:type="dxa"/>
            <w:tcBorders>
              <w:top w:val="single" w:sz="4" w:space="0" w:color="auto"/>
            </w:tcBorders>
            <w:shd w:val="clear" w:color="000000" w:fill="FFFFFF"/>
            <w:noWrap/>
            <w:vAlign w:val="center"/>
          </w:tcPr>
          <w:p w14:paraId="70901E94"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C </w:t>
            </w:r>
          </w:p>
        </w:tc>
        <w:tc>
          <w:tcPr>
            <w:tcW w:w="774" w:type="dxa"/>
            <w:tcBorders>
              <w:top w:val="single" w:sz="4" w:space="0" w:color="auto"/>
            </w:tcBorders>
            <w:shd w:val="clear" w:color="000000" w:fill="FFFFFF"/>
            <w:noWrap/>
            <w:vAlign w:val="center"/>
          </w:tcPr>
          <w:p w14:paraId="63F1FC3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5565ABE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924" w:type="dxa"/>
            <w:tcBorders>
              <w:top w:val="single" w:sz="4" w:space="0" w:color="auto"/>
            </w:tcBorders>
            <w:shd w:val="clear" w:color="000000" w:fill="FFFFFF"/>
            <w:noWrap/>
            <w:vAlign w:val="bottom"/>
          </w:tcPr>
          <w:p w14:paraId="3880F2F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w:t>
            </w:r>
          </w:p>
        </w:tc>
        <w:tc>
          <w:tcPr>
            <w:tcW w:w="1276" w:type="dxa"/>
            <w:tcBorders>
              <w:top w:val="single" w:sz="4" w:space="0" w:color="auto"/>
            </w:tcBorders>
            <w:shd w:val="clear" w:color="000000" w:fill="FFFFFF"/>
            <w:noWrap/>
            <w:vAlign w:val="bottom"/>
          </w:tcPr>
          <w:p w14:paraId="45F6E2F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134" w:type="dxa"/>
            <w:tcBorders>
              <w:top w:val="single" w:sz="4" w:space="0" w:color="auto"/>
            </w:tcBorders>
            <w:shd w:val="clear" w:color="000000" w:fill="FFFFFF"/>
            <w:noWrap/>
            <w:vAlign w:val="bottom"/>
          </w:tcPr>
          <w:p w14:paraId="2B6D549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417" w:type="dxa"/>
            <w:tcBorders>
              <w:top w:val="single" w:sz="4" w:space="0" w:color="auto"/>
            </w:tcBorders>
            <w:shd w:val="clear" w:color="000000" w:fill="FFFFFF"/>
            <w:noWrap/>
            <w:vAlign w:val="bottom"/>
          </w:tcPr>
          <w:p w14:paraId="1C5366F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552" w:type="dxa"/>
            <w:tcBorders>
              <w:top w:val="single" w:sz="4" w:space="0" w:color="auto"/>
            </w:tcBorders>
            <w:shd w:val="clear" w:color="000000" w:fill="FFFFFF"/>
            <w:noWrap/>
            <w:vAlign w:val="bottom"/>
          </w:tcPr>
          <w:p w14:paraId="46A3105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23-39</w:t>
            </w:r>
          </w:p>
        </w:tc>
      </w:tr>
      <w:tr w:rsidR="001F01CD" w:rsidRPr="00650EE4" w14:paraId="26B90CF2" w14:textId="77777777" w:rsidTr="00E57787">
        <w:tc>
          <w:tcPr>
            <w:tcW w:w="716" w:type="dxa"/>
            <w:tcBorders>
              <w:top w:val="single" w:sz="4" w:space="0" w:color="auto"/>
            </w:tcBorders>
            <w:shd w:val="clear" w:color="000000" w:fill="FFFFFF"/>
            <w:noWrap/>
            <w:vAlign w:val="center"/>
          </w:tcPr>
          <w:p w14:paraId="6E715F53"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634" w:type="dxa"/>
            <w:tcBorders>
              <w:top w:val="single" w:sz="4" w:space="0" w:color="auto"/>
            </w:tcBorders>
            <w:shd w:val="clear" w:color="000000" w:fill="FFFFFF"/>
            <w:noWrap/>
            <w:vAlign w:val="center"/>
          </w:tcPr>
          <w:p w14:paraId="0E62EDA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w:t>
            </w:r>
          </w:p>
        </w:tc>
        <w:tc>
          <w:tcPr>
            <w:tcW w:w="774" w:type="dxa"/>
            <w:tcBorders>
              <w:top w:val="single" w:sz="4" w:space="0" w:color="auto"/>
            </w:tcBorders>
            <w:shd w:val="clear" w:color="000000" w:fill="FFFFFF"/>
            <w:noWrap/>
            <w:vAlign w:val="center"/>
          </w:tcPr>
          <w:p w14:paraId="044445A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4A303E8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924" w:type="dxa"/>
            <w:tcBorders>
              <w:top w:val="single" w:sz="4" w:space="0" w:color="auto"/>
            </w:tcBorders>
            <w:shd w:val="clear" w:color="000000" w:fill="FFFFFF"/>
            <w:noWrap/>
            <w:vAlign w:val="bottom"/>
          </w:tcPr>
          <w:p w14:paraId="37DAAED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276" w:type="dxa"/>
            <w:tcBorders>
              <w:top w:val="single" w:sz="4" w:space="0" w:color="auto"/>
            </w:tcBorders>
            <w:shd w:val="clear" w:color="000000" w:fill="FFFFFF"/>
            <w:noWrap/>
            <w:vAlign w:val="bottom"/>
          </w:tcPr>
          <w:p w14:paraId="5B72F92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134" w:type="dxa"/>
            <w:tcBorders>
              <w:top w:val="single" w:sz="4" w:space="0" w:color="auto"/>
            </w:tcBorders>
            <w:shd w:val="clear" w:color="000000" w:fill="FFFFFF"/>
            <w:noWrap/>
            <w:vAlign w:val="bottom"/>
          </w:tcPr>
          <w:p w14:paraId="64CD0EB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417" w:type="dxa"/>
            <w:tcBorders>
              <w:top w:val="single" w:sz="4" w:space="0" w:color="auto"/>
            </w:tcBorders>
            <w:shd w:val="clear" w:color="000000" w:fill="FFFFFF"/>
            <w:noWrap/>
            <w:vAlign w:val="bottom"/>
          </w:tcPr>
          <w:p w14:paraId="29BAF34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w:t>
            </w:r>
          </w:p>
        </w:tc>
        <w:tc>
          <w:tcPr>
            <w:tcW w:w="1552" w:type="dxa"/>
            <w:tcBorders>
              <w:top w:val="single" w:sz="4" w:space="0" w:color="auto"/>
            </w:tcBorders>
            <w:shd w:val="clear" w:color="000000" w:fill="FFFFFF"/>
            <w:noWrap/>
            <w:vAlign w:val="bottom"/>
          </w:tcPr>
          <w:p w14:paraId="0414A2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19-29</w:t>
            </w:r>
          </w:p>
        </w:tc>
      </w:tr>
      <w:tr w:rsidR="001F01CD" w:rsidRPr="00650EE4" w14:paraId="0559C7C9" w14:textId="77777777" w:rsidTr="00E57787">
        <w:tc>
          <w:tcPr>
            <w:tcW w:w="716" w:type="dxa"/>
            <w:tcBorders>
              <w:top w:val="single" w:sz="4" w:space="0" w:color="auto"/>
            </w:tcBorders>
            <w:shd w:val="clear" w:color="000000" w:fill="FFFFFF"/>
            <w:noWrap/>
            <w:vAlign w:val="center"/>
          </w:tcPr>
          <w:p w14:paraId="243261C7"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634" w:type="dxa"/>
            <w:tcBorders>
              <w:top w:val="single" w:sz="4" w:space="0" w:color="auto"/>
            </w:tcBorders>
            <w:shd w:val="clear" w:color="000000" w:fill="FFFFFF"/>
            <w:noWrap/>
            <w:vAlign w:val="center"/>
          </w:tcPr>
          <w:p w14:paraId="3BDDDC2C"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 + FV</w:t>
            </w:r>
          </w:p>
        </w:tc>
        <w:tc>
          <w:tcPr>
            <w:tcW w:w="774" w:type="dxa"/>
            <w:tcBorders>
              <w:top w:val="single" w:sz="4" w:space="0" w:color="auto"/>
            </w:tcBorders>
            <w:shd w:val="clear" w:color="000000" w:fill="FFFFFF"/>
            <w:noWrap/>
            <w:vAlign w:val="center"/>
          </w:tcPr>
          <w:p w14:paraId="4954456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40F7237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924" w:type="dxa"/>
            <w:tcBorders>
              <w:top w:val="single" w:sz="4" w:space="0" w:color="auto"/>
            </w:tcBorders>
            <w:shd w:val="clear" w:color="000000" w:fill="FFFFFF"/>
            <w:noWrap/>
            <w:vAlign w:val="bottom"/>
          </w:tcPr>
          <w:p w14:paraId="6419262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w:t>
            </w:r>
          </w:p>
        </w:tc>
        <w:tc>
          <w:tcPr>
            <w:tcW w:w="1276" w:type="dxa"/>
            <w:tcBorders>
              <w:top w:val="single" w:sz="4" w:space="0" w:color="auto"/>
            </w:tcBorders>
            <w:shd w:val="clear" w:color="000000" w:fill="FFFFFF"/>
            <w:noWrap/>
            <w:vAlign w:val="bottom"/>
          </w:tcPr>
          <w:p w14:paraId="33DAC69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134" w:type="dxa"/>
            <w:tcBorders>
              <w:top w:val="single" w:sz="4" w:space="0" w:color="auto"/>
            </w:tcBorders>
            <w:shd w:val="clear" w:color="000000" w:fill="FFFFFF"/>
            <w:noWrap/>
            <w:vAlign w:val="bottom"/>
          </w:tcPr>
          <w:p w14:paraId="6B028AA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tcBorders>
              <w:top w:val="single" w:sz="4" w:space="0" w:color="auto"/>
            </w:tcBorders>
            <w:shd w:val="clear" w:color="000000" w:fill="FFFFFF"/>
            <w:noWrap/>
            <w:vAlign w:val="bottom"/>
          </w:tcPr>
          <w:p w14:paraId="5B8E91D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tcBorders>
              <w:top w:val="single" w:sz="4" w:space="0" w:color="auto"/>
            </w:tcBorders>
            <w:shd w:val="clear" w:color="000000" w:fill="FFFFFF"/>
            <w:noWrap/>
            <w:vAlign w:val="bottom"/>
          </w:tcPr>
          <w:p w14:paraId="077DEF8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3D4681CF" w14:textId="77777777" w:rsidTr="00E57787">
        <w:tc>
          <w:tcPr>
            <w:tcW w:w="716" w:type="dxa"/>
            <w:shd w:val="clear" w:color="000000" w:fill="FFFFFF"/>
            <w:noWrap/>
            <w:vAlign w:val="center"/>
            <w:hideMark/>
          </w:tcPr>
          <w:p w14:paraId="60522C08"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634" w:type="dxa"/>
            <w:shd w:val="clear" w:color="000000" w:fill="FFFFFF"/>
            <w:noWrap/>
            <w:vAlign w:val="center"/>
            <w:hideMark/>
          </w:tcPr>
          <w:p w14:paraId="4B7009B8"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B </w:t>
            </w:r>
          </w:p>
        </w:tc>
        <w:tc>
          <w:tcPr>
            <w:tcW w:w="774" w:type="dxa"/>
            <w:shd w:val="clear" w:color="000000" w:fill="FFFFFF"/>
            <w:noWrap/>
            <w:vAlign w:val="center"/>
            <w:hideMark/>
          </w:tcPr>
          <w:p w14:paraId="2431B76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2254CE6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924" w:type="dxa"/>
            <w:shd w:val="clear" w:color="000000" w:fill="FFFFFF"/>
            <w:noWrap/>
            <w:vAlign w:val="bottom"/>
            <w:hideMark/>
          </w:tcPr>
          <w:p w14:paraId="2A7FB1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w:t>
            </w:r>
          </w:p>
        </w:tc>
        <w:tc>
          <w:tcPr>
            <w:tcW w:w="1276" w:type="dxa"/>
            <w:shd w:val="clear" w:color="000000" w:fill="FFFFFF"/>
            <w:noWrap/>
            <w:vAlign w:val="bottom"/>
            <w:hideMark/>
          </w:tcPr>
          <w:p w14:paraId="7FDB3B6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134" w:type="dxa"/>
            <w:shd w:val="clear" w:color="000000" w:fill="FFFFFF"/>
            <w:noWrap/>
            <w:vAlign w:val="bottom"/>
            <w:hideMark/>
          </w:tcPr>
          <w:p w14:paraId="1883B79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hideMark/>
          </w:tcPr>
          <w:p w14:paraId="1027D4F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552" w:type="dxa"/>
            <w:shd w:val="clear" w:color="000000" w:fill="FFFFFF"/>
            <w:noWrap/>
            <w:vAlign w:val="bottom"/>
            <w:hideMark/>
          </w:tcPr>
          <w:p w14:paraId="63227DF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24-39</w:t>
            </w:r>
          </w:p>
        </w:tc>
      </w:tr>
      <w:tr w:rsidR="001F01CD" w:rsidRPr="00650EE4" w14:paraId="4ED4D097" w14:textId="77777777" w:rsidTr="00E57787">
        <w:tc>
          <w:tcPr>
            <w:tcW w:w="716" w:type="dxa"/>
            <w:shd w:val="clear" w:color="000000" w:fill="FFFFFF"/>
            <w:noWrap/>
            <w:vAlign w:val="center"/>
          </w:tcPr>
          <w:p w14:paraId="54EEB45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634" w:type="dxa"/>
            <w:shd w:val="clear" w:color="000000" w:fill="FFFFFF"/>
            <w:noWrap/>
            <w:vAlign w:val="center"/>
          </w:tcPr>
          <w:p w14:paraId="64888AA0"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w:t>
            </w:r>
          </w:p>
        </w:tc>
        <w:tc>
          <w:tcPr>
            <w:tcW w:w="774" w:type="dxa"/>
            <w:shd w:val="clear" w:color="000000" w:fill="FFFFFF"/>
            <w:noWrap/>
            <w:vAlign w:val="center"/>
          </w:tcPr>
          <w:p w14:paraId="653AF7F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224872E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924" w:type="dxa"/>
            <w:shd w:val="clear" w:color="000000" w:fill="FFFFFF"/>
            <w:noWrap/>
            <w:vAlign w:val="bottom"/>
          </w:tcPr>
          <w:p w14:paraId="506D31D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276" w:type="dxa"/>
            <w:shd w:val="clear" w:color="000000" w:fill="FFFFFF"/>
            <w:noWrap/>
            <w:vAlign w:val="bottom"/>
          </w:tcPr>
          <w:p w14:paraId="081E76E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134" w:type="dxa"/>
            <w:shd w:val="clear" w:color="000000" w:fill="FFFFFF"/>
            <w:noWrap/>
            <w:vAlign w:val="bottom"/>
          </w:tcPr>
          <w:p w14:paraId="13C435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417" w:type="dxa"/>
            <w:shd w:val="clear" w:color="000000" w:fill="FFFFFF"/>
            <w:noWrap/>
            <w:vAlign w:val="bottom"/>
          </w:tcPr>
          <w:p w14:paraId="693E1D2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w:t>
            </w:r>
          </w:p>
        </w:tc>
        <w:tc>
          <w:tcPr>
            <w:tcW w:w="1552" w:type="dxa"/>
            <w:shd w:val="clear" w:color="000000" w:fill="FFFFFF"/>
            <w:noWrap/>
            <w:vAlign w:val="bottom"/>
          </w:tcPr>
          <w:p w14:paraId="0EF1018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19-29</w:t>
            </w:r>
          </w:p>
        </w:tc>
      </w:tr>
      <w:tr w:rsidR="001F01CD" w:rsidRPr="00650EE4" w14:paraId="1396FE4D" w14:textId="77777777" w:rsidTr="00E57787">
        <w:tc>
          <w:tcPr>
            <w:tcW w:w="716" w:type="dxa"/>
            <w:shd w:val="clear" w:color="000000" w:fill="FFFFFF"/>
            <w:noWrap/>
            <w:vAlign w:val="center"/>
          </w:tcPr>
          <w:p w14:paraId="5553194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634" w:type="dxa"/>
            <w:shd w:val="clear" w:color="000000" w:fill="FFFFFF"/>
            <w:noWrap/>
            <w:vAlign w:val="center"/>
          </w:tcPr>
          <w:p w14:paraId="6FFEA71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 + FV</w:t>
            </w:r>
          </w:p>
        </w:tc>
        <w:tc>
          <w:tcPr>
            <w:tcW w:w="774" w:type="dxa"/>
            <w:shd w:val="clear" w:color="000000" w:fill="FFFFFF"/>
            <w:noWrap/>
            <w:vAlign w:val="center"/>
          </w:tcPr>
          <w:p w14:paraId="175E055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0CFE989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924" w:type="dxa"/>
            <w:shd w:val="clear" w:color="000000" w:fill="FFFFFF"/>
            <w:noWrap/>
            <w:vAlign w:val="bottom"/>
          </w:tcPr>
          <w:p w14:paraId="1E31B4F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w:t>
            </w:r>
          </w:p>
        </w:tc>
        <w:tc>
          <w:tcPr>
            <w:tcW w:w="1276" w:type="dxa"/>
            <w:shd w:val="clear" w:color="000000" w:fill="FFFFFF"/>
            <w:noWrap/>
            <w:vAlign w:val="bottom"/>
          </w:tcPr>
          <w:p w14:paraId="73F88A8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134" w:type="dxa"/>
            <w:shd w:val="clear" w:color="000000" w:fill="FFFFFF"/>
            <w:noWrap/>
            <w:vAlign w:val="bottom"/>
          </w:tcPr>
          <w:p w14:paraId="20E811C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01FDB40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7CEFB8F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0E80FA05" w14:textId="77777777" w:rsidTr="00E57787">
        <w:tc>
          <w:tcPr>
            <w:tcW w:w="716" w:type="dxa"/>
            <w:shd w:val="clear" w:color="000000" w:fill="FFFFFF"/>
            <w:noWrap/>
            <w:vAlign w:val="center"/>
            <w:hideMark/>
          </w:tcPr>
          <w:p w14:paraId="22A6870C"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634" w:type="dxa"/>
            <w:shd w:val="clear" w:color="000000" w:fill="FFFFFF"/>
            <w:noWrap/>
            <w:vAlign w:val="center"/>
            <w:hideMark/>
          </w:tcPr>
          <w:p w14:paraId="69979E3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789E83E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7437AE9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1731464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w:t>
            </w:r>
          </w:p>
        </w:tc>
        <w:tc>
          <w:tcPr>
            <w:tcW w:w="1276" w:type="dxa"/>
            <w:shd w:val="clear" w:color="000000" w:fill="FFFFFF"/>
            <w:noWrap/>
            <w:vAlign w:val="bottom"/>
            <w:hideMark/>
          </w:tcPr>
          <w:p w14:paraId="5862A60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hideMark/>
          </w:tcPr>
          <w:p w14:paraId="5B8935C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hideMark/>
          </w:tcPr>
          <w:p w14:paraId="39E0490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33</w:t>
            </w:r>
          </w:p>
        </w:tc>
        <w:tc>
          <w:tcPr>
            <w:tcW w:w="1552" w:type="dxa"/>
            <w:shd w:val="clear" w:color="000000" w:fill="FFFFFF"/>
            <w:noWrap/>
            <w:vAlign w:val="bottom"/>
            <w:hideMark/>
          </w:tcPr>
          <w:p w14:paraId="6C5EDE3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24-40</w:t>
            </w:r>
          </w:p>
        </w:tc>
      </w:tr>
      <w:tr w:rsidR="001F01CD" w:rsidRPr="00650EE4" w14:paraId="2F6014D9" w14:textId="77777777" w:rsidTr="00E57787">
        <w:tc>
          <w:tcPr>
            <w:tcW w:w="716" w:type="dxa"/>
            <w:shd w:val="clear" w:color="000000" w:fill="FFFFFF"/>
            <w:noWrap/>
            <w:vAlign w:val="center"/>
          </w:tcPr>
          <w:p w14:paraId="05045149"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634" w:type="dxa"/>
            <w:shd w:val="clear" w:color="000000" w:fill="FFFFFF"/>
            <w:noWrap/>
            <w:vAlign w:val="center"/>
          </w:tcPr>
          <w:p w14:paraId="11AF0B3B"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034E824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75E84E8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6C18A8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w:t>
            </w:r>
          </w:p>
        </w:tc>
        <w:tc>
          <w:tcPr>
            <w:tcW w:w="1276" w:type="dxa"/>
            <w:shd w:val="clear" w:color="000000" w:fill="FFFFFF"/>
            <w:noWrap/>
            <w:vAlign w:val="bottom"/>
          </w:tcPr>
          <w:p w14:paraId="091717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tcPr>
          <w:p w14:paraId="55EC4DA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656BF18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w:t>
            </w:r>
          </w:p>
        </w:tc>
        <w:tc>
          <w:tcPr>
            <w:tcW w:w="1552" w:type="dxa"/>
            <w:shd w:val="clear" w:color="000000" w:fill="FFFFFF"/>
            <w:noWrap/>
            <w:vAlign w:val="bottom"/>
          </w:tcPr>
          <w:p w14:paraId="791ED86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21-31</w:t>
            </w:r>
          </w:p>
        </w:tc>
      </w:tr>
      <w:tr w:rsidR="001F01CD" w:rsidRPr="00650EE4" w14:paraId="7F24CAB9" w14:textId="77777777" w:rsidTr="00E57787">
        <w:tc>
          <w:tcPr>
            <w:tcW w:w="716" w:type="dxa"/>
            <w:shd w:val="clear" w:color="000000" w:fill="FFFFFF"/>
            <w:noWrap/>
            <w:vAlign w:val="center"/>
          </w:tcPr>
          <w:p w14:paraId="140C9C61"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634" w:type="dxa"/>
            <w:shd w:val="clear" w:color="000000" w:fill="FFFFFF"/>
            <w:noWrap/>
            <w:vAlign w:val="center"/>
          </w:tcPr>
          <w:p w14:paraId="42D7FD05"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7312831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283C77E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2D1A62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w:t>
            </w:r>
          </w:p>
        </w:tc>
        <w:tc>
          <w:tcPr>
            <w:tcW w:w="1276" w:type="dxa"/>
            <w:shd w:val="clear" w:color="000000" w:fill="FFFFFF"/>
            <w:noWrap/>
            <w:vAlign w:val="bottom"/>
          </w:tcPr>
          <w:p w14:paraId="2FDEEA1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tcPr>
          <w:p w14:paraId="15C79E1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tcPr>
          <w:p w14:paraId="2607DBF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168ECB9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2BF736D3" w14:textId="77777777" w:rsidTr="00E57787">
        <w:tc>
          <w:tcPr>
            <w:tcW w:w="716" w:type="dxa"/>
            <w:shd w:val="clear" w:color="000000" w:fill="FFFFFF"/>
            <w:noWrap/>
            <w:vAlign w:val="center"/>
            <w:hideMark/>
          </w:tcPr>
          <w:p w14:paraId="418212D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634" w:type="dxa"/>
            <w:shd w:val="clear" w:color="000000" w:fill="FFFFFF"/>
            <w:noWrap/>
            <w:vAlign w:val="center"/>
            <w:hideMark/>
          </w:tcPr>
          <w:p w14:paraId="361AABA3"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38374FA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hideMark/>
          </w:tcPr>
          <w:p w14:paraId="3CF77F6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7DE0568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276" w:type="dxa"/>
            <w:shd w:val="clear" w:color="000000" w:fill="FFFFFF"/>
            <w:noWrap/>
            <w:vAlign w:val="bottom"/>
            <w:hideMark/>
          </w:tcPr>
          <w:p w14:paraId="22657D4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hideMark/>
          </w:tcPr>
          <w:p w14:paraId="2A82B6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73AE72C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552" w:type="dxa"/>
            <w:shd w:val="clear" w:color="000000" w:fill="FFFFFF"/>
            <w:noWrap/>
            <w:vAlign w:val="bottom"/>
            <w:hideMark/>
          </w:tcPr>
          <w:p w14:paraId="06775B5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12-24</w:t>
            </w:r>
          </w:p>
        </w:tc>
      </w:tr>
      <w:tr w:rsidR="001F01CD" w:rsidRPr="00650EE4" w14:paraId="43E95A37" w14:textId="77777777" w:rsidTr="00E57787">
        <w:tc>
          <w:tcPr>
            <w:tcW w:w="716" w:type="dxa"/>
            <w:shd w:val="clear" w:color="000000" w:fill="FFFFFF"/>
            <w:noWrap/>
            <w:vAlign w:val="center"/>
          </w:tcPr>
          <w:p w14:paraId="45FF14E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634" w:type="dxa"/>
            <w:shd w:val="clear" w:color="000000" w:fill="FFFFFF"/>
            <w:noWrap/>
            <w:vAlign w:val="center"/>
          </w:tcPr>
          <w:p w14:paraId="65D25429"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50F38C1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2A5287C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B30B2D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276" w:type="dxa"/>
            <w:shd w:val="clear" w:color="000000" w:fill="FFFFFF"/>
            <w:noWrap/>
            <w:vAlign w:val="bottom"/>
          </w:tcPr>
          <w:p w14:paraId="5648D29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42C4D74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1484B85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552" w:type="dxa"/>
            <w:shd w:val="clear" w:color="000000" w:fill="FFFFFF"/>
            <w:noWrap/>
            <w:vAlign w:val="bottom"/>
          </w:tcPr>
          <w:p w14:paraId="42A15FE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9-14</w:t>
            </w:r>
          </w:p>
        </w:tc>
      </w:tr>
      <w:tr w:rsidR="001F01CD" w:rsidRPr="00650EE4" w14:paraId="607E1003" w14:textId="77777777" w:rsidTr="00E57787">
        <w:tc>
          <w:tcPr>
            <w:tcW w:w="716" w:type="dxa"/>
            <w:shd w:val="clear" w:color="000000" w:fill="FFFFFF"/>
            <w:noWrap/>
            <w:vAlign w:val="center"/>
          </w:tcPr>
          <w:p w14:paraId="6A36D163"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634" w:type="dxa"/>
            <w:shd w:val="clear" w:color="000000" w:fill="FFFFFF"/>
            <w:noWrap/>
            <w:vAlign w:val="center"/>
          </w:tcPr>
          <w:p w14:paraId="540BA1E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5D4ED3B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341CE12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2F7896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7D5F69F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tcPr>
          <w:p w14:paraId="50712D5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shd w:val="clear" w:color="000000" w:fill="FFFFFF"/>
            <w:noWrap/>
            <w:vAlign w:val="bottom"/>
          </w:tcPr>
          <w:p w14:paraId="20E5C30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552" w:type="dxa"/>
            <w:shd w:val="clear" w:color="000000" w:fill="FFFFFF"/>
            <w:noWrap/>
            <w:vAlign w:val="bottom"/>
          </w:tcPr>
          <w:p w14:paraId="29774AD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14-31</w:t>
            </w:r>
          </w:p>
        </w:tc>
      </w:tr>
      <w:tr w:rsidR="001F01CD" w:rsidRPr="00650EE4" w14:paraId="77CC6A69" w14:textId="77777777" w:rsidTr="00E57787">
        <w:tc>
          <w:tcPr>
            <w:tcW w:w="716" w:type="dxa"/>
            <w:shd w:val="clear" w:color="000000" w:fill="FFFFFF"/>
            <w:noWrap/>
            <w:vAlign w:val="center"/>
            <w:hideMark/>
          </w:tcPr>
          <w:p w14:paraId="5F3925F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1634" w:type="dxa"/>
            <w:shd w:val="clear" w:color="000000" w:fill="FFFFFF"/>
            <w:noWrap/>
            <w:vAlign w:val="center"/>
            <w:hideMark/>
          </w:tcPr>
          <w:p w14:paraId="2E73787C"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1EE2068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6020A4C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5F5E7AA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w:t>
            </w:r>
          </w:p>
        </w:tc>
        <w:tc>
          <w:tcPr>
            <w:tcW w:w="1276" w:type="dxa"/>
            <w:shd w:val="clear" w:color="000000" w:fill="FFFFFF"/>
            <w:noWrap/>
            <w:vAlign w:val="bottom"/>
            <w:hideMark/>
          </w:tcPr>
          <w:p w14:paraId="4694250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hideMark/>
          </w:tcPr>
          <w:p w14:paraId="3C5D0E2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hideMark/>
          </w:tcPr>
          <w:p w14:paraId="58F5BAA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33</w:t>
            </w:r>
          </w:p>
        </w:tc>
        <w:tc>
          <w:tcPr>
            <w:tcW w:w="1552" w:type="dxa"/>
            <w:shd w:val="clear" w:color="000000" w:fill="FFFFFF"/>
            <w:noWrap/>
            <w:vAlign w:val="bottom"/>
            <w:hideMark/>
          </w:tcPr>
          <w:p w14:paraId="660563A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24-40</w:t>
            </w:r>
          </w:p>
        </w:tc>
      </w:tr>
      <w:tr w:rsidR="001F01CD" w:rsidRPr="00650EE4" w14:paraId="5B2754CF" w14:textId="77777777" w:rsidTr="00E57787">
        <w:tc>
          <w:tcPr>
            <w:tcW w:w="716" w:type="dxa"/>
            <w:shd w:val="clear" w:color="000000" w:fill="FFFFFF"/>
            <w:noWrap/>
            <w:vAlign w:val="center"/>
          </w:tcPr>
          <w:p w14:paraId="781B243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634" w:type="dxa"/>
            <w:shd w:val="clear" w:color="000000" w:fill="FFFFFF"/>
            <w:noWrap/>
            <w:vAlign w:val="center"/>
          </w:tcPr>
          <w:p w14:paraId="44487B4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2BAE99B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644C583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FE172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w:t>
            </w:r>
          </w:p>
        </w:tc>
        <w:tc>
          <w:tcPr>
            <w:tcW w:w="1276" w:type="dxa"/>
            <w:shd w:val="clear" w:color="000000" w:fill="FFFFFF"/>
            <w:noWrap/>
            <w:vAlign w:val="bottom"/>
          </w:tcPr>
          <w:p w14:paraId="6700D1F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tcPr>
          <w:p w14:paraId="2584D63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741AC6C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28</w:t>
            </w:r>
          </w:p>
        </w:tc>
        <w:tc>
          <w:tcPr>
            <w:tcW w:w="1552" w:type="dxa"/>
            <w:shd w:val="clear" w:color="000000" w:fill="FFFFFF"/>
            <w:noWrap/>
            <w:vAlign w:val="bottom"/>
          </w:tcPr>
          <w:p w14:paraId="4247E4F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22-31</w:t>
            </w:r>
          </w:p>
        </w:tc>
      </w:tr>
      <w:tr w:rsidR="001F01CD" w:rsidRPr="00650EE4" w14:paraId="27D8481E" w14:textId="77777777" w:rsidTr="00E57787">
        <w:tc>
          <w:tcPr>
            <w:tcW w:w="716" w:type="dxa"/>
            <w:shd w:val="clear" w:color="000000" w:fill="FFFFFF"/>
            <w:noWrap/>
            <w:vAlign w:val="center"/>
          </w:tcPr>
          <w:p w14:paraId="0EED5FD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1634" w:type="dxa"/>
            <w:shd w:val="clear" w:color="000000" w:fill="FFFFFF"/>
            <w:noWrap/>
            <w:vAlign w:val="center"/>
          </w:tcPr>
          <w:p w14:paraId="4381ADDE"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60F7E86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219C821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0C37030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276" w:type="dxa"/>
            <w:shd w:val="clear" w:color="000000" w:fill="FFFFFF"/>
            <w:noWrap/>
            <w:vAlign w:val="bottom"/>
          </w:tcPr>
          <w:p w14:paraId="357AC04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tcPr>
          <w:p w14:paraId="412F8D9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tcPr>
          <w:p w14:paraId="5857578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29C5E46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7BF7D091" w14:textId="77777777" w:rsidTr="00E57787">
        <w:tc>
          <w:tcPr>
            <w:tcW w:w="716" w:type="dxa"/>
            <w:shd w:val="clear" w:color="000000" w:fill="FFFFFF"/>
            <w:noWrap/>
            <w:vAlign w:val="center"/>
            <w:hideMark/>
          </w:tcPr>
          <w:p w14:paraId="2F5374AD"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1634" w:type="dxa"/>
            <w:shd w:val="clear" w:color="000000" w:fill="FFFFFF"/>
            <w:noWrap/>
            <w:vAlign w:val="center"/>
            <w:hideMark/>
          </w:tcPr>
          <w:p w14:paraId="2FAFD928"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082A91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hideMark/>
          </w:tcPr>
          <w:p w14:paraId="642AF6A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5F45019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276" w:type="dxa"/>
            <w:shd w:val="clear" w:color="000000" w:fill="FFFFFF"/>
            <w:noWrap/>
            <w:vAlign w:val="bottom"/>
            <w:hideMark/>
          </w:tcPr>
          <w:p w14:paraId="755ADC0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hideMark/>
          </w:tcPr>
          <w:p w14:paraId="39B851D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6F284F4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552" w:type="dxa"/>
            <w:shd w:val="clear" w:color="000000" w:fill="FFFFFF"/>
            <w:noWrap/>
            <w:vAlign w:val="bottom"/>
            <w:hideMark/>
          </w:tcPr>
          <w:p w14:paraId="7876ADD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12-24</w:t>
            </w:r>
          </w:p>
        </w:tc>
      </w:tr>
      <w:tr w:rsidR="001F01CD" w:rsidRPr="00650EE4" w14:paraId="2E553280" w14:textId="77777777" w:rsidTr="00E57787">
        <w:tc>
          <w:tcPr>
            <w:tcW w:w="716" w:type="dxa"/>
            <w:shd w:val="clear" w:color="000000" w:fill="FFFFFF"/>
            <w:noWrap/>
            <w:vAlign w:val="center"/>
          </w:tcPr>
          <w:p w14:paraId="6D09452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634" w:type="dxa"/>
            <w:shd w:val="clear" w:color="000000" w:fill="FFFFFF"/>
            <w:noWrap/>
            <w:vAlign w:val="center"/>
          </w:tcPr>
          <w:p w14:paraId="17AFF551"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5462E4C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70EFF45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407DC17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276" w:type="dxa"/>
            <w:shd w:val="clear" w:color="000000" w:fill="FFFFFF"/>
            <w:noWrap/>
            <w:vAlign w:val="bottom"/>
          </w:tcPr>
          <w:p w14:paraId="3372CE1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565816A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0C68D7A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552" w:type="dxa"/>
            <w:shd w:val="clear" w:color="000000" w:fill="FFFFFF"/>
            <w:noWrap/>
            <w:vAlign w:val="bottom"/>
          </w:tcPr>
          <w:p w14:paraId="2D26389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9-14</w:t>
            </w:r>
          </w:p>
        </w:tc>
      </w:tr>
      <w:tr w:rsidR="001F01CD" w:rsidRPr="00650EE4" w14:paraId="492889E9" w14:textId="77777777" w:rsidTr="00E57787">
        <w:tc>
          <w:tcPr>
            <w:tcW w:w="716" w:type="dxa"/>
            <w:shd w:val="clear" w:color="000000" w:fill="FFFFFF"/>
            <w:noWrap/>
            <w:vAlign w:val="center"/>
          </w:tcPr>
          <w:p w14:paraId="157F1CD6"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1634" w:type="dxa"/>
            <w:shd w:val="clear" w:color="000000" w:fill="FFFFFF"/>
            <w:noWrap/>
            <w:vAlign w:val="center"/>
          </w:tcPr>
          <w:p w14:paraId="48820A65"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3FD5979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0024451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0A7BF5D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5092716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134" w:type="dxa"/>
            <w:shd w:val="clear" w:color="000000" w:fill="FFFFFF"/>
            <w:noWrap/>
            <w:vAlign w:val="bottom"/>
          </w:tcPr>
          <w:p w14:paraId="1D1544C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shd w:val="clear" w:color="000000" w:fill="FFFFFF"/>
            <w:noWrap/>
            <w:vAlign w:val="bottom"/>
          </w:tcPr>
          <w:p w14:paraId="53FCD5C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552" w:type="dxa"/>
            <w:shd w:val="clear" w:color="000000" w:fill="FFFFFF"/>
            <w:noWrap/>
            <w:vAlign w:val="bottom"/>
          </w:tcPr>
          <w:p w14:paraId="25A1BEF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14-31</w:t>
            </w:r>
          </w:p>
        </w:tc>
      </w:tr>
      <w:tr w:rsidR="001F01CD" w:rsidRPr="00650EE4" w14:paraId="77F9F4AA" w14:textId="77777777" w:rsidTr="00E57787">
        <w:tc>
          <w:tcPr>
            <w:tcW w:w="716" w:type="dxa"/>
            <w:shd w:val="clear" w:color="000000" w:fill="FFFFFF"/>
            <w:noWrap/>
            <w:vAlign w:val="center"/>
            <w:hideMark/>
          </w:tcPr>
          <w:p w14:paraId="333F8A9C"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634" w:type="dxa"/>
            <w:shd w:val="clear" w:color="000000" w:fill="FFFFFF"/>
            <w:noWrap/>
            <w:vAlign w:val="center"/>
            <w:hideMark/>
          </w:tcPr>
          <w:p w14:paraId="27B549C8"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70DC3F9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hideMark/>
          </w:tcPr>
          <w:p w14:paraId="4C807E1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78710F8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276" w:type="dxa"/>
            <w:shd w:val="clear" w:color="000000" w:fill="FFFFFF"/>
            <w:noWrap/>
            <w:vAlign w:val="bottom"/>
            <w:hideMark/>
          </w:tcPr>
          <w:p w14:paraId="246E184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hideMark/>
          </w:tcPr>
          <w:p w14:paraId="2EA5E1B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hideMark/>
          </w:tcPr>
          <w:p w14:paraId="2CD0EA5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552" w:type="dxa"/>
            <w:shd w:val="clear" w:color="000000" w:fill="FFFFFF"/>
            <w:noWrap/>
            <w:vAlign w:val="bottom"/>
            <w:hideMark/>
          </w:tcPr>
          <w:p w14:paraId="65BBFD8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7-20</w:t>
            </w:r>
          </w:p>
        </w:tc>
      </w:tr>
      <w:tr w:rsidR="001F01CD" w:rsidRPr="00650EE4" w14:paraId="633494E2" w14:textId="77777777" w:rsidTr="00E57787">
        <w:tc>
          <w:tcPr>
            <w:tcW w:w="716" w:type="dxa"/>
            <w:shd w:val="clear" w:color="000000" w:fill="FFFFFF"/>
            <w:noWrap/>
            <w:vAlign w:val="center"/>
          </w:tcPr>
          <w:p w14:paraId="4B2C08A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1634" w:type="dxa"/>
            <w:shd w:val="clear" w:color="000000" w:fill="FFFFFF"/>
            <w:noWrap/>
            <w:vAlign w:val="center"/>
          </w:tcPr>
          <w:p w14:paraId="7355DCD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400617F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44D171D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209E1A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276" w:type="dxa"/>
            <w:shd w:val="clear" w:color="000000" w:fill="FFFFFF"/>
            <w:noWrap/>
            <w:vAlign w:val="bottom"/>
          </w:tcPr>
          <w:p w14:paraId="4023CB7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shd w:val="clear" w:color="000000" w:fill="FFFFFF"/>
            <w:noWrap/>
            <w:vAlign w:val="bottom"/>
          </w:tcPr>
          <w:p w14:paraId="38418CB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417" w:type="dxa"/>
            <w:shd w:val="clear" w:color="000000" w:fill="FFFFFF"/>
            <w:noWrap/>
            <w:vAlign w:val="bottom"/>
          </w:tcPr>
          <w:p w14:paraId="45C025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552" w:type="dxa"/>
            <w:shd w:val="clear" w:color="000000" w:fill="FFFFFF"/>
            <w:noWrap/>
            <w:vAlign w:val="bottom"/>
          </w:tcPr>
          <w:p w14:paraId="7764704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4-11</w:t>
            </w:r>
          </w:p>
        </w:tc>
      </w:tr>
      <w:tr w:rsidR="001F01CD" w:rsidRPr="00650EE4" w14:paraId="261C6349" w14:textId="77777777" w:rsidTr="00E57787">
        <w:tc>
          <w:tcPr>
            <w:tcW w:w="716" w:type="dxa"/>
            <w:shd w:val="clear" w:color="000000" w:fill="FFFFFF"/>
            <w:noWrap/>
            <w:vAlign w:val="center"/>
          </w:tcPr>
          <w:p w14:paraId="73407F6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c>
          <w:tcPr>
            <w:tcW w:w="1634" w:type="dxa"/>
            <w:shd w:val="clear" w:color="000000" w:fill="FFFFFF"/>
            <w:noWrap/>
            <w:vAlign w:val="center"/>
          </w:tcPr>
          <w:p w14:paraId="0C63D84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6D6CD11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029D58A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695E289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5C47748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3C4F64A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417" w:type="dxa"/>
            <w:shd w:val="clear" w:color="000000" w:fill="FFFFFF"/>
            <w:noWrap/>
            <w:vAlign w:val="bottom"/>
          </w:tcPr>
          <w:p w14:paraId="4CD5E25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552" w:type="dxa"/>
            <w:shd w:val="clear" w:color="000000" w:fill="FFFFFF"/>
            <w:noWrap/>
            <w:vAlign w:val="bottom"/>
          </w:tcPr>
          <w:p w14:paraId="445904D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9-27</w:t>
            </w:r>
          </w:p>
        </w:tc>
      </w:tr>
      <w:tr w:rsidR="001F01CD" w:rsidRPr="00650EE4" w14:paraId="56CFD104" w14:textId="77777777" w:rsidTr="00E57787">
        <w:tc>
          <w:tcPr>
            <w:tcW w:w="716" w:type="dxa"/>
            <w:shd w:val="clear" w:color="000000" w:fill="FFFFFF"/>
            <w:noWrap/>
            <w:vAlign w:val="center"/>
            <w:hideMark/>
          </w:tcPr>
          <w:p w14:paraId="2A19A88F"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634" w:type="dxa"/>
            <w:shd w:val="clear" w:color="000000" w:fill="FFFFFF"/>
            <w:noWrap/>
            <w:vAlign w:val="center"/>
            <w:hideMark/>
          </w:tcPr>
          <w:p w14:paraId="356442E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6267604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32E62F4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43B0B7A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w:t>
            </w:r>
          </w:p>
        </w:tc>
        <w:tc>
          <w:tcPr>
            <w:tcW w:w="1276" w:type="dxa"/>
            <w:shd w:val="clear" w:color="000000" w:fill="FFFFFF"/>
            <w:noWrap/>
            <w:vAlign w:val="bottom"/>
            <w:hideMark/>
          </w:tcPr>
          <w:p w14:paraId="6D83052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hideMark/>
          </w:tcPr>
          <w:p w14:paraId="5669371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hideMark/>
          </w:tcPr>
          <w:p w14:paraId="1D73D88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35</w:t>
            </w:r>
          </w:p>
        </w:tc>
        <w:tc>
          <w:tcPr>
            <w:tcW w:w="1552" w:type="dxa"/>
            <w:shd w:val="clear" w:color="000000" w:fill="FFFFFF"/>
            <w:noWrap/>
            <w:vAlign w:val="bottom"/>
            <w:hideMark/>
          </w:tcPr>
          <w:p w14:paraId="00479FF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23-41</w:t>
            </w:r>
          </w:p>
        </w:tc>
      </w:tr>
      <w:tr w:rsidR="001F01CD" w:rsidRPr="00650EE4" w14:paraId="24C91EB5" w14:textId="77777777" w:rsidTr="00E57787">
        <w:tc>
          <w:tcPr>
            <w:tcW w:w="716" w:type="dxa"/>
            <w:shd w:val="clear" w:color="000000" w:fill="FFFFFF"/>
            <w:noWrap/>
            <w:vAlign w:val="center"/>
          </w:tcPr>
          <w:p w14:paraId="7D9278F1"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1634" w:type="dxa"/>
            <w:shd w:val="clear" w:color="000000" w:fill="FFFFFF"/>
            <w:noWrap/>
            <w:vAlign w:val="center"/>
          </w:tcPr>
          <w:p w14:paraId="7736B2C1"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0874840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78FA12B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2CAD520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w:t>
            </w:r>
          </w:p>
        </w:tc>
        <w:tc>
          <w:tcPr>
            <w:tcW w:w="1276" w:type="dxa"/>
            <w:shd w:val="clear" w:color="000000" w:fill="FFFFFF"/>
            <w:noWrap/>
            <w:vAlign w:val="bottom"/>
          </w:tcPr>
          <w:p w14:paraId="10306BC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tcPr>
          <w:p w14:paraId="2CA267B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6D727F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552" w:type="dxa"/>
            <w:shd w:val="clear" w:color="000000" w:fill="FFFFFF"/>
            <w:noWrap/>
            <w:vAlign w:val="bottom"/>
          </w:tcPr>
          <w:p w14:paraId="5CA443C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19-32</w:t>
            </w:r>
          </w:p>
        </w:tc>
      </w:tr>
      <w:tr w:rsidR="001F01CD" w:rsidRPr="00650EE4" w14:paraId="37F11253" w14:textId="77777777" w:rsidTr="00E57787">
        <w:tc>
          <w:tcPr>
            <w:tcW w:w="716" w:type="dxa"/>
            <w:shd w:val="clear" w:color="000000" w:fill="FFFFFF"/>
            <w:noWrap/>
            <w:vAlign w:val="center"/>
          </w:tcPr>
          <w:p w14:paraId="52ABD16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1634" w:type="dxa"/>
            <w:shd w:val="clear" w:color="000000" w:fill="FFFFFF"/>
            <w:noWrap/>
            <w:vAlign w:val="center"/>
          </w:tcPr>
          <w:p w14:paraId="248E545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034625E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3528233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FDD010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276" w:type="dxa"/>
            <w:shd w:val="clear" w:color="000000" w:fill="FFFFFF"/>
            <w:noWrap/>
            <w:vAlign w:val="bottom"/>
          </w:tcPr>
          <w:p w14:paraId="3C7E466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tcPr>
          <w:p w14:paraId="535FF93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417" w:type="dxa"/>
            <w:shd w:val="clear" w:color="000000" w:fill="FFFFFF"/>
            <w:noWrap/>
            <w:vAlign w:val="bottom"/>
          </w:tcPr>
          <w:p w14:paraId="23E7BED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0C91297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5BB39EB8" w14:textId="77777777" w:rsidTr="00E57787">
        <w:tc>
          <w:tcPr>
            <w:tcW w:w="716" w:type="dxa"/>
            <w:shd w:val="clear" w:color="000000" w:fill="FFFFFF"/>
            <w:noWrap/>
            <w:vAlign w:val="center"/>
            <w:hideMark/>
          </w:tcPr>
          <w:p w14:paraId="3658CE4C"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634" w:type="dxa"/>
            <w:shd w:val="clear" w:color="000000" w:fill="FFFFFF"/>
            <w:noWrap/>
            <w:vAlign w:val="center"/>
            <w:hideMark/>
          </w:tcPr>
          <w:p w14:paraId="07EF12C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79B0159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hideMark/>
          </w:tcPr>
          <w:p w14:paraId="733A002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1324A30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shd w:val="clear" w:color="000000" w:fill="FFFFFF"/>
            <w:noWrap/>
            <w:vAlign w:val="bottom"/>
            <w:hideMark/>
          </w:tcPr>
          <w:p w14:paraId="7F8EE25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hideMark/>
          </w:tcPr>
          <w:p w14:paraId="278DF02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0B44072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552" w:type="dxa"/>
            <w:shd w:val="clear" w:color="000000" w:fill="FFFFFF"/>
            <w:noWrap/>
            <w:vAlign w:val="bottom"/>
            <w:hideMark/>
          </w:tcPr>
          <w:p w14:paraId="4BD23E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11-24</w:t>
            </w:r>
          </w:p>
        </w:tc>
      </w:tr>
      <w:tr w:rsidR="001F01CD" w:rsidRPr="00650EE4" w14:paraId="616F8EED" w14:textId="77777777" w:rsidTr="00E57787">
        <w:tc>
          <w:tcPr>
            <w:tcW w:w="716" w:type="dxa"/>
            <w:shd w:val="clear" w:color="000000" w:fill="FFFFFF"/>
            <w:noWrap/>
            <w:vAlign w:val="center"/>
          </w:tcPr>
          <w:p w14:paraId="14DCCEDD"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634" w:type="dxa"/>
            <w:shd w:val="clear" w:color="000000" w:fill="FFFFFF"/>
            <w:noWrap/>
            <w:vAlign w:val="center"/>
          </w:tcPr>
          <w:p w14:paraId="75F8BBD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624B12D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751F16D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44BB907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276" w:type="dxa"/>
            <w:shd w:val="clear" w:color="000000" w:fill="FFFFFF"/>
            <w:noWrap/>
            <w:vAlign w:val="bottom"/>
          </w:tcPr>
          <w:p w14:paraId="6AA304B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0AF8E39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0940863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552" w:type="dxa"/>
            <w:shd w:val="clear" w:color="000000" w:fill="FFFFFF"/>
            <w:noWrap/>
            <w:vAlign w:val="bottom"/>
          </w:tcPr>
          <w:p w14:paraId="0B694B0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6-15</w:t>
            </w:r>
          </w:p>
        </w:tc>
      </w:tr>
      <w:tr w:rsidR="001F01CD" w:rsidRPr="00650EE4" w14:paraId="0C8C81B4" w14:textId="77777777" w:rsidTr="00E57787">
        <w:tc>
          <w:tcPr>
            <w:tcW w:w="716" w:type="dxa"/>
            <w:shd w:val="clear" w:color="000000" w:fill="FFFFFF"/>
            <w:noWrap/>
            <w:vAlign w:val="center"/>
          </w:tcPr>
          <w:p w14:paraId="0FCAF5F7"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1634" w:type="dxa"/>
            <w:shd w:val="clear" w:color="000000" w:fill="FFFFFF"/>
            <w:noWrap/>
            <w:vAlign w:val="center"/>
          </w:tcPr>
          <w:p w14:paraId="784AAC5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63C36F5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5B93F4C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621BC9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674D18A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134" w:type="dxa"/>
            <w:shd w:val="clear" w:color="000000" w:fill="FFFFFF"/>
            <w:noWrap/>
            <w:vAlign w:val="bottom"/>
          </w:tcPr>
          <w:p w14:paraId="13B81ED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shd w:val="clear" w:color="000000" w:fill="FFFFFF"/>
            <w:noWrap/>
            <w:vAlign w:val="bottom"/>
          </w:tcPr>
          <w:p w14:paraId="19847D0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552" w:type="dxa"/>
            <w:shd w:val="clear" w:color="000000" w:fill="FFFFFF"/>
            <w:noWrap/>
            <w:vAlign w:val="bottom"/>
          </w:tcPr>
          <w:p w14:paraId="0ABCEAE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14-31</w:t>
            </w:r>
          </w:p>
        </w:tc>
      </w:tr>
      <w:tr w:rsidR="001F01CD" w:rsidRPr="00650EE4" w14:paraId="0E473C10" w14:textId="77777777" w:rsidTr="00E57787">
        <w:tc>
          <w:tcPr>
            <w:tcW w:w="716" w:type="dxa"/>
            <w:shd w:val="clear" w:color="000000" w:fill="FFFFFF"/>
            <w:noWrap/>
            <w:vAlign w:val="center"/>
            <w:hideMark/>
          </w:tcPr>
          <w:p w14:paraId="05588B7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1634" w:type="dxa"/>
            <w:shd w:val="clear" w:color="000000" w:fill="FFFFFF"/>
            <w:noWrap/>
            <w:vAlign w:val="center"/>
            <w:hideMark/>
          </w:tcPr>
          <w:p w14:paraId="30EA389B"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248A61E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hideMark/>
          </w:tcPr>
          <w:p w14:paraId="6BD9F13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2306D9B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276" w:type="dxa"/>
            <w:shd w:val="clear" w:color="000000" w:fill="FFFFFF"/>
            <w:noWrap/>
            <w:vAlign w:val="bottom"/>
            <w:hideMark/>
          </w:tcPr>
          <w:p w14:paraId="58DA1C9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hideMark/>
          </w:tcPr>
          <w:p w14:paraId="4286A22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42082E0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552" w:type="dxa"/>
            <w:shd w:val="clear" w:color="000000" w:fill="FFFFFF"/>
            <w:noWrap/>
            <w:vAlign w:val="bottom"/>
            <w:hideMark/>
          </w:tcPr>
          <w:p w14:paraId="4ED9A2C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6-21</w:t>
            </w:r>
          </w:p>
        </w:tc>
      </w:tr>
      <w:tr w:rsidR="001F01CD" w:rsidRPr="00650EE4" w14:paraId="6612BFB1" w14:textId="77777777" w:rsidTr="00E57787">
        <w:tc>
          <w:tcPr>
            <w:tcW w:w="716" w:type="dxa"/>
            <w:shd w:val="clear" w:color="000000" w:fill="FFFFFF"/>
            <w:noWrap/>
            <w:vAlign w:val="center"/>
          </w:tcPr>
          <w:p w14:paraId="5DD7DE05"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634" w:type="dxa"/>
            <w:shd w:val="clear" w:color="000000" w:fill="FFFFFF"/>
            <w:noWrap/>
            <w:vAlign w:val="center"/>
          </w:tcPr>
          <w:p w14:paraId="3D6D461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2427169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0A9A226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625AB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276" w:type="dxa"/>
            <w:shd w:val="clear" w:color="000000" w:fill="FFFFFF"/>
            <w:noWrap/>
            <w:vAlign w:val="bottom"/>
          </w:tcPr>
          <w:p w14:paraId="7E2A389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shd w:val="clear" w:color="000000" w:fill="FFFFFF"/>
            <w:noWrap/>
            <w:vAlign w:val="bottom"/>
          </w:tcPr>
          <w:p w14:paraId="34C9BD7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3A774CF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552" w:type="dxa"/>
            <w:shd w:val="clear" w:color="000000" w:fill="FFFFFF"/>
            <w:noWrap/>
            <w:vAlign w:val="bottom"/>
          </w:tcPr>
          <w:p w14:paraId="0DCF559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2-11</w:t>
            </w:r>
          </w:p>
        </w:tc>
      </w:tr>
      <w:tr w:rsidR="001F01CD" w:rsidRPr="00650EE4" w14:paraId="45C3AAFB" w14:textId="77777777" w:rsidTr="00E57787">
        <w:tc>
          <w:tcPr>
            <w:tcW w:w="716" w:type="dxa"/>
            <w:shd w:val="clear" w:color="000000" w:fill="FFFFFF"/>
            <w:noWrap/>
            <w:vAlign w:val="center"/>
          </w:tcPr>
          <w:p w14:paraId="7850DA97"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1634" w:type="dxa"/>
            <w:shd w:val="clear" w:color="000000" w:fill="FFFFFF"/>
            <w:noWrap/>
            <w:vAlign w:val="center"/>
          </w:tcPr>
          <w:p w14:paraId="50DEC545"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0D42CFF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57321AA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834D7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5E3B2B4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tcPr>
          <w:p w14:paraId="1EF71E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417" w:type="dxa"/>
            <w:shd w:val="clear" w:color="000000" w:fill="FFFFFF"/>
            <w:noWrap/>
            <w:vAlign w:val="bottom"/>
          </w:tcPr>
          <w:p w14:paraId="0958FB3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552" w:type="dxa"/>
            <w:shd w:val="clear" w:color="000000" w:fill="FFFFFF"/>
            <w:noWrap/>
            <w:vAlign w:val="bottom"/>
          </w:tcPr>
          <w:p w14:paraId="35A994F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9-27</w:t>
            </w:r>
          </w:p>
        </w:tc>
      </w:tr>
      <w:tr w:rsidR="001F01CD" w:rsidRPr="00650EE4" w14:paraId="2229CE3E" w14:textId="77777777" w:rsidTr="00E57787">
        <w:tc>
          <w:tcPr>
            <w:tcW w:w="716" w:type="dxa"/>
            <w:tcBorders>
              <w:bottom w:val="single" w:sz="4" w:space="0" w:color="auto"/>
            </w:tcBorders>
            <w:shd w:val="clear" w:color="000000" w:fill="FFFFFF"/>
            <w:noWrap/>
            <w:vAlign w:val="center"/>
            <w:hideMark/>
          </w:tcPr>
          <w:p w14:paraId="7E83395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634" w:type="dxa"/>
            <w:tcBorders>
              <w:bottom w:val="single" w:sz="4" w:space="0" w:color="auto"/>
            </w:tcBorders>
            <w:shd w:val="clear" w:color="000000" w:fill="FFFFFF"/>
            <w:noWrap/>
            <w:vAlign w:val="center"/>
            <w:hideMark/>
          </w:tcPr>
          <w:p w14:paraId="0B3AEC5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tcBorders>
              <w:bottom w:val="single" w:sz="4" w:space="0" w:color="auto"/>
            </w:tcBorders>
            <w:shd w:val="clear" w:color="000000" w:fill="FFFFFF"/>
            <w:noWrap/>
            <w:vAlign w:val="center"/>
            <w:hideMark/>
          </w:tcPr>
          <w:p w14:paraId="6E89684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7" w:type="dxa"/>
            <w:tcBorders>
              <w:bottom w:val="single" w:sz="4" w:space="0" w:color="auto"/>
            </w:tcBorders>
            <w:shd w:val="clear" w:color="000000" w:fill="FFFFFF"/>
            <w:noWrap/>
            <w:vAlign w:val="center"/>
            <w:hideMark/>
          </w:tcPr>
          <w:p w14:paraId="2873094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tcBorders>
              <w:bottom w:val="single" w:sz="4" w:space="0" w:color="auto"/>
            </w:tcBorders>
            <w:shd w:val="clear" w:color="000000" w:fill="FFFFFF"/>
            <w:noWrap/>
            <w:vAlign w:val="bottom"/>
            <w:hideMark/>
          </w:tcPr>
          <w:p w14:paraId="6037780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276" w:type="dxa"/>
            <w:tcBorders>
              <w:bottom w:val="single" w:sz="4" w:space="0" w:color="auto"/>
            </w:tcBorders>
            <w:shd w:val="clear" w:color="000000" w:fill="FFFFFF"/>
            <w:noWrap/>
            <w:vAlign w:val="bottom"/>
            <w:hideMark/>
          </w:tcPr>
          <w:p w14:paraId="4B03935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tcBorders>
              <w:bottom w:val="single" w:sz="4" w:space="0" w:color="auto"/>
            </w:tcBorders>
            <w:shd w:val="clear" w:color="000000" w:fill="FFFFFF"/>
            <w:noWrap/>
            <w:vAlign w:val="bottom"/>
            <w:hideMark/>
          </w:tcPr>
          <w:p w14:paraId="6337FC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tcBorders>
              <w:bottom w:val="single" w:sz="4" w:space="0" w:color="auto"/>
            </w:tcBorders>
            <w:shd w:val="clear" w:color="000000" w:fill="FFFFFF"/>
            <w:noWrap/>
            <w:vAlign w:val="bottom"/>
            <w:hideMark/>
          </w:tcPr>
          <w:p w14:paraId="75F08EC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552" w:type="dxa"/>
            <w:tcBorders>
              <w:bottom w:val="single" w:sz="4" w:space="0" w:color="auto"/>
            </w:tcBorders>
            <w:shd w:val="clear" w:color="000000" w:fill="FFFFFF"/>
            <w:noWrap/>
            <w:vAlign w:val="bottom"/>
            <w:hideMark/>
          </w:tcPr>
          <w:p w14:paraId="28A3777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4-18</w:t>
            </w:r>
          </w:p>
        </w:tc>
      </w:tr>
      <w:tr w:rsidR="001F01CD" w:rsidRPr="00650EE4" w14:paraId="31B9A1DD" w14:textId="77777777" w:rsidTr="00E57787">
        <w:tc>
          <w:tcPr>
            <w:tcW w:w="716" w:type="dxa"/>
            <w:tcBorders>
              <w:bottom w:val="single" w:sz="4" w:space="0" w:color="auto"/>
            </w:tcBorders>
            <w:shd w:val="clear" w:color="000000" w:fill="FFFFFF"/>
            <w:noWrap/>
            <w:vAlign w:val="center"/>
          </w:tcPr>
          <w:p w14:paraId="38D9F019"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1634" w:type="dxa"/>
            <w:tcBorders>
              <w:bottom w:val="single" w:sz="4" w:space="0" w:color="auto"/>
            </w:tcBorders>
            <w:shd w:val="clear" w:color="000000" w:fill="FFFFFF"/>
            <w:noWrap/>
            <w:vAlign w:val="center"/>
          </w:tcPr>
          <w:p w14:paraId="1BDCC52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tcBorders>
              <w:bottom w:val="single" w:sz="4" w:space="0" w:color="auto"/>
            </w:tcBorders>
            <w:shd w:val="clear" w:color="000000" w:fill="FFFFFF"/>
            <w:noWrap/>
            <w:vAlign w:val="center"/>
          </w:tcPr>
          <w:p w14:paraId="7F851DD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7" w:type="dxa"/>
            <w:tcBorders>
              <w:bottom w:val="single" w:sz="4" w:space="0" w:color="auto"/>
            </w:tcBorders>
            <w:shd w:val="clear" w:color="000000" w:fill="FFFFFF"/>
            <w:noWrap/>
            <w:vAlign w:val="center"/>
          </w:tcPr>
          <w:p w14:paraId="30D7DBA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tcBorders>
              <w:bottom w:val="single" w:sz="4" w:space="0" w:color="auto"/>
            </w:tcBorders>
            <w:shd w:val="clear" w:color="000000" w:fill="FFFFFF"/>
            <w:noWrap/>
            <w:vAlign w:val="bottom"/>
          </w:tcPr>
          <w:p w14:paraId="6411DE2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w:t>
            </w:r>
          </w:p>
        </w:tc>
        <w:tc>
          <w:tcPr>
            <w:tcW w:w="1276" w:type="dxa"/>
            <w:tcBorders>
              <w:bottom w:val="single" w:sz="4" w:space="0" w:color="auto"/>
            </w:tcBorders>
            <w:shd w:val="clear" w:color="000000" w:fill="FFFFFF"/>
            <w:noWrap/>
            <w:vAlign w:val="bottom"/>
          </w:tcPr>
          <w:p w14:paraId="1C841AC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w:t>
            </w:r>
          </w:p>
        </w:tc>
        <w:tc>
          <w:tcPr>
            <w:tcW w:w="1134" w:type="dxa"/>
            <w:tcBorders>
              <w:bottom w:val="single" w:sz="4" w:space="0" w:color="auto"/>
            </w:tcBorders>
            <w:shd w:val="clear" w:color="000000" w:fill="FFFFFF"/>
            <w:noWrap/>
            <w:vAlign w:val="bottom"/>
          </w:tcPr>
          <w:p w14:paraId="1304A01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0</w:t>
            </w:r>
          </w:p>
        </w:tc>
        <w:tc>
          <w:tcPr>
            <w:tcW w:w="1417" w:type="dxa"/>
            <w:tcBorders>
              <w:bottom w:val="single" w:sz="4" w:space="0" w:color="auto"/>
            </w:tcBorders>
            <w:shd w:val="clear" w:color="000000" w:fill="FFFFFF"/>
            <w:noWrap/>
            <w:vAlign w:val="bottom"/>
          </w:tcPr>
          <w:p w14:paraId="337D2FC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552" w:type="dxa"/>
            <w:tcBorders>
              <w:bottom w:val="single" w:sz="4" w:space="0" w:color="auto"/>
            </w:tcBorders>
            <w:shd w:val="clear" w:color="000000" w:fill="FFFFFF"/>
            <w:noWrap/>
            <w:vAlign w:val="bottom"/>
          </w:tcPr>
          <w:p w14:paraId="649E8DF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0-8</w:t>
            </w:r>
          </w:p>
        </w:tc>
      </w:tr>
      <w:tr w:rsidR="001F01CD" w:rsidRPr="00650EE4" w14:paraId="5FD5AA83" w14:textId="77777777" w:rsidTr="00E57787">
        <w:tc>
          <w:tcPr>
            <w:tcW w:w="716" w:type="dxa"/>
            <w:tcBorders>
              <w:bottom w:val="single" w:sz="4" w:space="0" w:color="auto"/>
            </w:tcBorders>
            <w:shd w:val="clear" w:color="000000" w:fill="FFFFFF"/>
            <w:noWrap/>
            <w:vAlign w:val="center"/>
          </w:tcPr>
          <w:p w14:paraId="3983604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1634" w:type="dxa"/>
            <w:tcBorders>
              <w:bottom w:val="single" w:sz="4" w:space="0" w:color="auto"/>
            </w:tcBorders>
            <w:shd w:val="clear" w:color="000000" w:fill="FFFFFF"/>
            <w:noWrap/>
            <w:vAlign w:val="center"/>
          </w:tcPr>
          <w:p w14:paraId="00120241"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tcBorders>
              <w:bottom w:val="single" w:sz="4" w:space="0" w:color="auto"/>
            </w:tcBorders>
            <w:shd w:val="clear" w:color="000000" w:fill="FFFFFF"/>
            <w:noWrap/>
            <w:vAlign w:val="center"/>
          </w:tcPr>
          <w:p w14:paraId="4DED256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7" w:type="dxa"/>
            <w:tcBorders>
              <w:bottom w:val="single" w:sz="4" w:space="0" w:color="auto"/>
            </w:tcBorders>
            <w:shd w:val="clear" w:color="000000" w:fill="FFFFFF"/>
            <w:noWrap/>
            <w:vAlign w:val="center"/>
          </w:tcPr>
          <w:p w14:paraId="1DC06CD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tcBorders>
              <w:bottom w:val="single" w:sz="4" w:space="0" w:color="auto"/>
            </w:tcBorders>
            <w:shd w:val="clear" w:color="000000" w:fill="FFFFFF"/>
            <w:noWrap/>
            <w:vAlign w:val="bottom"/>
          </w:tcPr>
          <w:p w14:paraId="7A1CFA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tcBorders>
              <w:bottom w:val="single" w:sz="4" w:space="0" w:color="auto"/>
            </w:tcBorders>
            <w:shd w:val="clear" w:color="000000" w:fill="FFFFFF"/>
            <w:noWrap/>
            <w:vAlign w:val="bottom"/>
          </w:tcPr>
          <w:p w14:paraId="44D1641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134" w:type="dxa"/>
            <w:tcBorders>
              <w:bottom w:val="single" w:sz="4" w:space="0" w:color="auto"/>
            </w:tcBorders>
            <w:shd w:val="clear" w:color="000000" w:fill="FFFFFF"/>
            <w:noWrap/>
            <w:vAlign w:val="bottom"/>
          </w:tcPr>
          <w:p w14:paraId="2FFA15A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tcBorders>
              <w:bottom w:val="single" w:sz="4" w:space="0" w:color="auto"/>
            </w:tcBorders>
            <w:shd w:val="clear" w:color="000000" w:fill="FFFFFF"/>
            <w:noWrap/>
            <w:vAlign w:val="bottom"/>
          </w:tcPr>
          <w:p w14:paraId="281EA50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552" w:type="dxa"/>
            <w:tcBorders>
              <w:bottom w:val="single" w:sz="4" w:space="0" w:color="auto"/>
            </w:tcBorders>
            <w:shd w:val="clear" w:color="000000" w:fill="FFFFFF"/>
            <w:noWrap/>
            <w:vAlign w:val="bottom"/>
          </w:tcPr>
          <w:p w14:paraId="3AAED2B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7-24</w:t>
            </w:r>
          </w:p>
        </w:tc>
      </w:tr>
      <w:tr w:rsidR="001F01CD" w:rsidRPr="00650EE4" w14:paraId="784EC6A1" w14:textId="77777777" w:rsidTr="00E57787">
        <w:tc>
          <w:tcPr>
            <w:tcW w:w="2350"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2FB581B"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Daliniai paketai</w:t>
            </w:r>
          </w:p>
        </w:tc>
        <w:tc>
          <w:tcPr>
            <w:tcW w:w="774" w:type="dxa"/>
            <w:tcBorders>
              <w:top w:val="single" w:sz="4" w:space="0" w:color="auto"/>
              <w:left w:val="nil"/>
              <w:bottom w:val="single" w:sz="4" w:space="0" w:color="auto"/>
              <w:right w:val="nil"/>
            </w:tcBorders>
            <w:shd w:val="clear" w:color="000000" w:fill="FFFFFF"/>
            <w:noWrap/>
            <w:vAlign w:val="center"/>
          </w:tcPr>
          <w:p w14:paraId="1F6FC898"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767" w:type="dxa"/>
            <w:tcBorders>
              <w:top w:val="single" w:sz="4" w:space="0" w:color="auto"/>
              <w:left w:val="nil"/>
              <w:bottom w:val="single" w:sz="4" w:space="0" w:color="auto"/>
              <w:right w:val="nil"/>
            </w:tcBorders>
            <w:shd w:val="clear" w:color="000000" w:fill="FFFFFF"/>
            <w:noWrap/>
            <w:vAlign w:val="center"/>
          </w:tcPr>
          <w:p w14:paraId="1E6F3F52"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924" w:type="dxa"/>
            <w:tcBorders>
              <w:top w:val="single" w:sz="4" w:space="0" w:color="auto"/>
              <w:left w:val="nil"/>
              <w:bottom w:val="single" w:sz="4" w:space="0" w:color="auto"/>
              <w:right w:val="nil"/>
            </w:tcBorders>
            <w:shd w:val="clear" w:color="000000" w:fill="FFFFFF"/>
            <w:noWrap/>
            <w:vAlign w:val="center"/>
          </w:tcPr>
          <w:p w14:paraId="2CDCE6EF"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276" w:type="dxa"/>
            <w:tcBorders>
              <w:top w:val="single" w:sz="4" w:space="0" w:color="auto"/>
              <w:left w:val="nil"/>
              <w:bottom w:val="single" w:sz="4" w:space="0" w:color="auto"/>
              <w:right w:val="nil"/>
            </w:tcBorders>
            <w:shd w:val="clear" w:color="000000" w:fill="FFFFFF"/>
            <w:noWrap/>
            <w:vAlign w:val="center"/>
          </w:tcPr>
          <w:p w14:paraId="319436DE"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134" w:type="dxa"/>
            <w:tcBorders>
              <w:top w:val="single" w:sz="4" w:space="0" w:color="auto"/>
              <w:left w:val="nil"/>
              <w:bottom w:val="single" w:sz="4" w:space="0" w:color="auto"/>
              <w:right w:val="nil"/>
            </w:tcBorders>
            <w:shd w:val="clear" w:color="000000" w:fill="FFFFFF"/>
            <w:noWrap/>
            <w:vAlign w:val="center"/>
          </w:tcPr>
          <w:p w14:paraId="1E09A689"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417" w:type="dxa"/>
            <w:tcBorders>
              <w:top w:val="single" w:sz="4" w:space="0" w:color="auto"/>
              <w:left w:val="nil"/>
              <w:bottom w:val="single" w:sz="4" w:space="0" w:color="auto"/>
              <w:right w:val="nil"/>
            </w:tcBorders>
            <w:shd w:val="clear" w:color="000000" w:fill="FFFFFF"/>
            <w:noWrap/>
            <w:vAlign w:val="center"/>
          </w:tcPr>
          <w:p w14:paraId="73469EF9"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552" w:type="dxa"/>
            <w:tcBorders>
              <w:top w:val="single" w:sz="4" w:space="0" w:color="auto"/>
              <w:left w:val="nil"/>
              <w:bottom w:val="single" w:sz="4" w:space="0" w:color="auto"/>
              <w:right w:val="single" w:sz="4" w:space="0" w:color="auto"/>
            </w:tcBorders>
            <w:shd w:val="clear" w:color="000000" w:fill="FFFFFF"/>
            <w:noWrap/>
            <w:vAlign w:val="center"/>
          </w:tcPr>
          <w:p w14:paraId="774DA20D"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r>
      <w:tr w:rsidR="001F01CD" w:rsidRPr="00650EE4" w14:paraId="07F8A470" w14:textId="77777777" w:rsidTr="00E57787">
        <w:tc>
          <w:tcPr>
            <w:tcW w:w="716" w:type="dxa"/>
            <w:tcBorders>
              <w:top w:val="single" w:sz="4" w:space="0" w:color="auto"/>
            </w:tcBorders>
            <w:shd w:val="clear" w:color="000000" w:fill="FFFFFF"/>
            <w:noWrap/>
            <w:vAlign w:val="center"/>
          </w:tcPr>
          <w:p w14:paraId="0126FCB6"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634" w:type="dxa"/>
            <w:tcBorders>
              <w:top w:val="single" w:sz="4" w:space="0" w:color="auto"/>
            </w:tcBorders>
            <w:shd w:val="clear" w:color="000000" w:fill="FFFFFF"/>
            <w:noWrap/>
            <w:vAlign w:val="center"/>
          </w:tcPr>
          <w:p w14:paraId="4FB98D1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Mažoji renovacija</w:t>
            </w:r>
          </w:p>
        </w:tc>
        <w:tc>
          <w:tcPr>
            <w:tcW w:w="774" w:type="dxa"/>
            <w:tcBorders>
              <w:top w:val="single" w:sz="4" w:space="0" w:color="auto"/>
            </w:tcBorders>
            <w:shd w:val="clear" w:color="000000" w:fill="FFFFFF"/>
            <w:noWrap/>
            <w:vAlign w:val="center"/>
          </w:tcPr>
          <w:p w14:paraId="1C665CF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1E0911C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tcBorders>
              <w:top w:val="single" w:sz="4" w:space="0" w:color="auto"/>
            </w:tcBorders>
            <w:shd w:val="clear" w:color="000000" w:fill="FFFFFF"/>
            <w:noWrap/>
            <w:vAlign w:val="center"/>
          </w:tcPr>
          <w:p w14:paraId="5CFAB80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tcBorders>
              <w:top w:val="single" w:sz="4" w:space="0" w:color="auto"/>
            </w:tcBorders>
            <w:shd w:val="clear" w:color="000000" w:fill="FFFFFF"/>
            <w:noWrap/>
            <w:vAlign w:val="center"/>
          </w:tcPr>
          <w:p w14:paraId="1973F1F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tcBorders>
              <w:top w:val="single" w:sz="4" w:space="0" w:color="auto"/>
            </w:tcBorders>
            <w:shd w:val="clear" w:color="000000" w:fill="FFFFFF"/>
            <w:noWrap/>
            <w:vAlign w:val="center"/>
          </w:tcPr>
          <w:p w14:paraId="1016546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tcBorders>
              <w:top w:val="single" w:sz="4" w:space="0" w:color="auto"/>
            </w:tcBorders>
            <w:shd w:val="clear" w:color="000000" w:fill="FFFFFF"/>
            <w:noWrap/>
            <w:vAlign w:val="center"/>
          </w:tcPr>
          <w:p w14:paraId="43B05AF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w:t>
            </w:r>
          </w:p>
        </w:tc>
        <w:tc>
          <w:tcPr>
            <w:tcW w:w="1552" w:type="dxa"/>
            <w:tcBorders>
              <w:top w:val="single" w:sz="4" w:space="0" w:color="auto"/>
            </w:tcBorders>
            <w:shd w:val="clear" w:color="000000" w:fill="FFFFFF"/>
            <w:noWrap/>
            <w:vAlign w:val="center"/>
          </w:tcPr>
          <w:p w14:paraId="5F9F93D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19-35</w:t>
            </w:r>
          </w:p>
        </w:tc>
      </w:tr>
      <w:tr w:rsidR="001F01CD" w:rsidRPr="00650EE4" w14:paraId="69F72102" w14:textId="77777777" w:rsidTr="00E57787">
        <w:tc>
          <w:tcPr>
            <w:tcW w:w="716" w:type="dxa"/>
            <w:shd w:val="clear" w:color="000000" w:fill="FFFFFF"/>
            <w:noWrap/>
            <w:vAlign w:val="center"/>
            <w:hideMark/>
          </w:tcPr>
          <w:p w14:paraId="68C908A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35</w:t>
            </w:r>
          </w:p>
        </w:tc>
        <w:tc>
          <w:tcPr>
            <w:tcW w:w="1634" w:type="dxa"/>
            <w:shd w:val="clear" w:color="000000" w:fill="FFFFFF"/>
            <w:noWrap/>
            <w:vAlign w:val="center"/>
            <w:hideMark/>
          </w:tcPr>
          <w:p w14:paraId="035E79DE"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Fasado šiltinimas</w:t>
            </w:r>
          </w:p>
        </w:tc>
        <w:tc>
          <w:tcPr>
            <w:tcW w:w="774" w:type="dxa"/>
            <w:shd w:val="clear" w:color="000000" w:fill="FFFFFF"/>
            <w:noWrap/>
            <w:vAlign w:val="center"/>
            <w:hideMark/>
          </w:tcPr>
          <w:p w14:paraId="5A75E2C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778A082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shd w:val="clear" w:color="000000" w:fill="FFFFFF"/>
            <w:noWrap/>
            <w:vAlign w:val="center"/>
            <w:hideMark/>
          </w:tcPr>
          <w:p w14:paraId="0567461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276" w:type="dxa"/>
            <w:shd w:val="clear" w:color="000000" w:fill="FFFFFF"/>
            <w:noWrap/>
            <w:vAlign w:val="center"/>
            <w:hideMark/>
          </w:tcPr>
          <w:p w14:paraId="65F8A1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center"/>
            <w:hideMark/>
          </w:tcPr>
          <w:p w14:paraId="0E518CC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center"/>
            <w:hideMark/>
          </w:tcPr>
          <w:p w14:paraId="6992546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w:t>
            </w:r>
          </w:p>
        </w:tc>
        <w:tc>
          <w:tcPr>
            <w:tcW w:w="1552" w:type="dxa"/>
            <w:shd w:val="clear" w:color="000000" w:fill="FFFFFF"/>
            <w:noWrap/>
            <w:vAlign w:val="center"/>
            <w:hideMark/>
          </w:tcPr>
          <w:p w14:paraId="2DBDEB4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20-34</w:t>
            </w:r>
          </w:p>
        </w:tc>
      </w:tr>
      <w:tr w:rsidR="001F01CD" w:rsidRPr="00650EE4" w14:paraId="7CF8481A" w14:textId="77777777" w:rsidTr="00E57787">
        <w:tc>
          <w:tcPr>
            <w:tcW w:w="716" w:type="dxa"/>
            <w:shd w:val="clear" w:color="000000" w:fill="FFFFFF"/>
            <w:noWrap/>
            <w:vAlign w:val="center"/>
            <w:hideMark/>
          </w:tcPr>
          <w:p w14:paraId="48BA485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1634" w:type="dxa"/>
            <w:shd w:val="clear" w:color="000000" w:fill="FFFFFF"/>
            <w:noWrap/>
            <w:vAlign w:val="center"/>
            <w:hideMark/>
          </w:tcPr>
          <w:p w14:paraId="2D76A3D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Stogo perdangos šiltinimas</w:t>
            </w:r>
          </w:p>
        </w:tc>
        <w:tc>
          <w:tcPr>
            <w:tcW w:w="774" w:type="dxa"/>
            <w:shd w:val="clear" w:color="000000" w:fill="FFFFFF"/>
            <w:noWrap/>
            <w:vAlign w:val="center"/>
            <w:hideMark/>
          </w:tcPr>
          <w:p w14:paraId="3B789F0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1D7A08F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shd w:val="clear" w:color="000000" w:fill="FFFFFF"/>
            <w:noWrap/>
            <w:vAlign w:val="center"/>
            <w:hideMark/>
          </w:tcPr>
          <w:p w14:paraId="6DB7C14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shd w:val="clear" w:color="000000" w:fill="FFFFFF"/>
            <w:noWrap/>
            <w:vAlign w:val="center"/>
            <w:hideMark/>
          </w:tcPr>
          <w:p w14:paraId="3D7DB14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134" w:type="dxa"/>
            <w:shd w:val="clear" w:color="000000" w:fill="FFFFFF"/>
            <w:noWrap/>
            <w:vAlign w:val="center"/>
            <w:hideMark/>
          </w:tcPr>
          <w:p w14:paraId="1A07DD5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417" w:type="dxa"/>
            <w:shd w:val="clear" w:color="000000" w:fill="FFFFFF"/>
            <w:noWrap/>
            <w:vAlign w:val="center"/>
            <w:hideMark/>
          </w:tcPr>
          <w:p w14:paraId="3AC2606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552" w:type="dxa"/>
            <w:shd w:val="clear" w:color="000000" w:fill="FFFFFF"/>
            <w:noWrap/>
            <w:vAlign w:val="center"/>
            <w:hideMark/>
          </w:tcPr>
          <w:p w14:paraId="4DF9A33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18-33</w:t>
            </w:r>
          </w:p>
        </w:tc>
      </w:tr>
      <w:tr w:rsidR="001F01CD" w:rsidRPr="00650EE4" w14:paraId="588EE667" w14:textId="77777777" w:rsidTr="00E57787">
        <w:tc>
          <w:tcPr>
            <w:tcW w:w="716" w:type="dxa"/>
            <w:shd w:val="clear" w:color="000000" w:fill="FFFFFF"/>
            <w:noWrap/>
            <w:vAlign w:val="center"/>
            <w:hideMark/>
          </w:tcPr>
          <w:p w14:paraId="5BF311B1"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lastRenderedPageBreak/>
              <w:t>37</w:t>
            </w:r>
          </w:p>
        </w:tc>
        <w:tc>
          <w:tcPr>
            <w:tcW w:w="1634" w:type="dxa"/>
            <w:shd w:val="clear" w:color="000000" w:fill="FFFFFF"/>
            <w:noWrap/>
            <w:vAlign w:val="center"/>
            <w:hideMark/>
          </w:tcPr>
          <w:p w14:paraId="16FAA412"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Langų keitimas</w:t>
            </w:r>
          </w:p>
        </w:tc>
        <w:tc>
          <w:tcPr>
            <w:tcW w:w="774" w:type="dxa"/>
            <w:shd w:val="clear" w:color="000000" w:fill="FFFFFF"/>
            <w:noWrap/>
            <w:vAlign w:val="center"/>
            <w:hideMark/>
          </w:tcPr>
          <w:p w14:paraId="2875082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2CC784A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shd w:val="clear" w:color="000000" w:fill="FFFFFF"/>
            <w:noWrap/>
            <w:vAlign w:val="center"/>
            <w:hideMark/>
          </w:tcPr>
          <w:p w14:paraId="7D39FB5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shd w:val="clear" w:color="000000" w:fill="FFFFFF"/>
            <w:noWrap/>
            <w:vAlign w:val="center"/>
            <w:hideMark/>
          </w:tcPr>
          <w:p w14:paraId="346C740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shd w:val="clear" w:color="000000" w:fill="FFFFFF"/>
            <w:noWrap/>
            <w:vAlign w:val="center"/>
            <w:hideMark/>
          </w:tcPr>
          <w:p w14:paraId="3FAB08C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417" w:type="dxa"/>
            <w:shd w:val="clear" w:color="000000" w:fill="FFFFFF"/>
            <w:noWrap/>
            <w:vAlign w:val="center"/>
            <w:hideMark/>
          </w:tcPr>
          <w:p w14:paraId="1F7C9FE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w:t>
            </w:r>
          </w:p>
        </w:tc>
        <w:tc>
          <w:tcPr>
            <w:tcW w:w="1552" w:type="dxa"/>
            <w:shd w:val="clear" w:color="000000" w:fill="FFFFFF"/>
            <w:noWrap/>
            <w:vAlign w:val="center"/>
            <w:hideMark/>
          </w:tcPr>
          <w:p w14:paraId="0B0EF9B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19-33</w:t>
            </w:r>
          </w:p>
        </w:tc>
      </w:tr>
    </w:tbl>
    <w:p w14:paraId="7D29E018" w14:textId="208C9FBA" w:rsidR="001F01CD" w:rsidRPr="00650EE4" w:rsidRDefault="001F01CD" w:rsidP="00332E90">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605C66">
        <w:rPr>
          <w:rFonts w:ascii="Times New Roman" w:hAnsi="Times New Roman"/>
          <w:i/>
          <w:iCs/>
          <w:color w:val="auto"/>
          <w:sz w:val="20"/>
          <w:szCs w:val="20"/>
        </w:rPr>
        <w:t>Lietuvos ilgalaikei renovacijos strategijai parengti</w:t>
      </w:r>
      <w:r w:rsidR="00605C66"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079E3DDC" w14:textId="2E330073" w:rsidR="00B2750B" w:rsidRPr="00650EE4" w:rsidRDefault="00B2750B" w:rsidP="00332E90">
      <w:pPr>
        <w:pStyle w:val="Pagrindinispaprastastekstas"/>
        <w:spacing w:before="120"/>
        <w:rPr>
          <w:rFonts w:ascii="Times New Roman" w:hAnsi="Times New Roman"/>
          <w:color w:val="000000" w:themeColor="text1"/>
          <w:szCs w:val="22"/>
        </w:rPr>
      </w:pPr>
      <w:bookmarkStart w:id="99" w:name="_Toc47613714"/>
    </w:p>
    <w:p w14:paraId="47465C23" w14:textId="7C51B81B" w:rsidR="00B2750B" w:rsidRPr="00650EE4" w:rsidRDefault="006A470E" w:rsidP="00BB45F0">
      <w:pPr>
        <w:pStyle w:val="Antrastes31"/>
        <w:numPr>
          <w:ilvl w:val="2"/>
          <w:numId w:val="4"/>
        </w:numPr>
        <w:spacing w:before="0"/>
        <w:ind w:left="720" w:hanging="720"/>
        <w:rPr>
          <w:rFonts w:ascii="Times New Roman" w:hAnsi="Times New Roman"/>
          <w:color w:val="000000" w:themeColor="text1"/>
          <w:sz w:val="22"/>
          <w:szCs w:val="28"/>
          <w:lang w:val="lt-LT"/>
        </w:rPr>
      </w:pPr>
      <w:bookmarkStart w:id="100" w:name="_Toc67925129"/>
      <w:r w:rsidRPr="00650EE4">
        <w:rPr>
          <w:rFonts w:ascii="Times New Roman" w:hAnsi="Times New Roman"/>
          <w:color w:val="000000" w:themeColor="text1"/>
          <w:sz w:val="24"/>
          <w:szCs w:val="24"/>
          <w:lang w:val="lt-LT"/>
        </w:rPr>
        <w:t>Pirminės e</w:t>
      </w:r>
      <w:r w:rsidR="005B5705" w:rsidRPr="00650EE4">
        <w:rPr>
          <w:rFonts w:ascii="Times New Roman" w:hAnsi="Times New Roman"/>
          <w:color w:val="000000" w:themeColor="text1"/>
          <w:sz w:val="24"/>
          <w:szCs w:val="24"/>
          <w:lang w:val="lt-LT"/>
        </w:rPr>
        <w:t>nergijos kai</w:t>
      </w:r>
      <w:r w:rsidRPr="00650EE4">
        <w:rPr>
          <w:rFonts w:ascii="Times New Roman" w:hAnsi="Times New Roman"/>
          <w:color w:val="000000" w:themeColor="text1"/>
          <w:sz w:val="24"/>
          <w:szCs w:val="24"/>
          <w:lang w:val="lt-LT"/>
        </w:rPr>
        <w:t>na (</w:t>
      </w:r>
      <w:proofErr w:type="spellStart"/>
      <w:r w:rsidRPr="00650EE4">
        <w:rPr>
          <w:rFonts w:ascii="Times New Roman" w:hAnsi="Times New Roman"/>
          <w:color w:val="000000" w:themeColor="text1"/>
          <w:sz w:val="24"/>
          <w:szCs w:val="24"/>
          <w:lang w:val="lt-LT"/>
        </w:rPr>
        <w:t>Eur</w:t>
      </w:r>
      <w:proofErr w:type="spellEnd"/>
      <w:r w:rsidRPr="00650EE4">
        <w:rPr>
          <w:rFonts w:ascii="Times New Roman" w:hAnsi="Times New Roman"/>
          <w:color w:val="000000" w:themeColor="text1"/>
          <w:sz w:val="24"/>
          <w:szCs w:val="24"/>
          <w:lang w:val="lt-LT"/>
        </w:rPr>
        <w:t>/</w:t>
      </w:r>
      <w:proofErr w:type="spellStart"/>
      <w:r w:rsidRPr="00650EE4">
        <w:rPr>
          <w:rFonts w:ascii="Times New Roman" w:hAnsi="Times New Roman"/>
          <w:color w:val="000000" w:themeColor="text1"/>
          <w:sz w:val="24"/>
          <w:szCs w:val="24"/>
          <w:lang w:val="lt-LT"/>
        </w:rPr>
        <w:t>kWh</w:t>
      </w:r>
      <w:proofErr w:type="spellEnd"/>
      <w:r w:rsidRPr="00650EE4">
        <w:rPr>
          <w:rFonts w:ascii="Times New Roman" w:hAnsi="Times New Roman"/>
          <w:color w:val="000000" w:themeColor="text1"/>
          <w:sz w:val="24"/>
          <w:szCs w:val="24"/>
          <w:lang w:val="lt-LT"/>
        </w:rPr>
        <w:t>)</w:t>
      </w:r>
      <w:bookmarkEnd w:id="100"/>
    </w:p>
    <w:p w14:paraId="0F67A6E8" w14:textId="77777777" w:rsidR="00B62276" w:rsidRPr="00650EE4" w:rsidRDefault="00B62276" w:rsidP="00B62276">
      <w:pPr>
        <w:pStyle w:val="BodyText"/>
        <w:jc w:val="both"/>
        <w:rPr>
          <w:rFonts w:ascii="Times New Roman" w:hAnsi="Times New Roman"/>
          <w:szCs w:val="22"/>
          <w:lang w:val="lt-LT" w:eastAsia="lt-LT"/>
        </w:rPr>
      </w:pPr>
      <w:r w:rsidRPr="00650EE4">
        <w:rPr>
          <w:rFonts w:ascii="Times New Roman" w:hAnsi="Times New Roman"/>
          <w:szCs w:val="22"/>
          <w:lang w:val="lt-LT" w:eastAsia="lt-LT"/>
        </w:rPr>
        <w:t>Pirminės energijos kaina – išvestinis dydis, apskaičiuojamas pagal šiluminės energijos ir elektros energijos kainas.</w:t>
      </w:r>
    </w:p>
    <w:p w14:paraId="167AD1B6" w14:textId="77777777" w:rsidR="00B62276" w:rsidRPr="00650EE4" w:rsidRDefault="00B62276" w:rsidP="00B62276">
      <w:pPr>
        <w:pStyle w:val="BodyText"/>
        <w:jc w:val="both"/>
        <w:rPr>
          <w:rFonts w:ascii="Times New Roman" w:hAnsi="Times New Roman"/>
          <w:szCs w:val="22"/>
          <w:lang w:val="lt-LT" w:eastAsia="lt-LT"/>
        </w:rPr>
      </w:pPr>
    </w:p>
    <w:p w14:paraId="00CBF086" w14:textId="77777777" w:rsidR="00B62276" w:rsidRPr="00650EE4" w:rsidRDefault="00B62276" w:rsidP="00B62276">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Šilumos energijos kaina</w:t>
      </w:r>
    </w:p>
    <w:p w14:paraId="2AD705C2" w14:textId="77777777" w:rsidR="00B62276" w:rsidRPr="00650EE4" w:rsidRDefault="00B62276" w:rsidP="00B62276">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Sutaupytos energijos vertės nustatoma kaip suminio per 30 metų sutaupyto energijos kiekio ir kainos sandaugos diskontuota vertė. Šiluminės energijos kaina vertinta remiantis centralizuotos šilumos vidutine kaina Lietuvoje, įvertinant prognozuojamą infliaciją, 3 scenarijais.</w:t>
      </w:r>
    </w:p>
    <w:p w14:paraId="1604A0BC" w14:textId="77777777" w:rsidR="00B62276" w:rsidRPr="00650EE4" w:rsidRDefault="00B62276" w:rsidP="00B62276">
      <w:pPr>
        <w:pStyle w:val="BodyText"/>
        <w:rPr>
          <w:rFonts w:ascii="Times New Roman" w:hAnsi="Times New Roman"/>
          <w:color w:val="000000" w:themeColor="text1"/>
          <w:szCs w:val="22"/>
          <w:lang w:val="lt-LT"/>
        </w:rPr>
      </w:pPr>
    </w:p>
    <w:p w14:paraId="4A970AF0" w14:textId="7774E7F6" w:rsidR="00B62276" w:rsidRPr="00650EE4" w:rsidRDefault="00B6227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01" w:name="_Toc67925222"/>
      <w:r w:rsidR="007744C1">
        <w:t>39</w:t>
      </w:r>
      <w:r w:rsidRPr="00650EE4">
        <w:rPr>
          <w:noProof w:val="0"/>
        </w:rPr>
        <w:fldChar w:fldCharType="end"/>
      </w:r>
      <w:r w:rsidRPr="00650EE4">
        <w:rPr>
          <w:noProof w:val="0"/>
        </w:rPr>
        <w:t xml:space="preserve"> lentelė. Šiluminės energijos kainos kitimo scenarijai (</w:t>
      </w:r>
      <w:proofErr w:type="spellStart"/>
      <w:r w:rsidRPr="00650EE4">
        <w:rPr>
          <w:noProof w:val="0"/>
        </w:rPr>
        <w:t>Eur</w:t>
      </w:r>
      <w:proofErr w:type="spellEnd"/>
      <w:r w:rsidRPr="00650EE4">
        <w:rPr>
          <w:noProof w:val="0"/>
        </w:rPr>
        <w:t>/</w:t>
      </w:r>
      <w:proofErr w:type="spellStart"/>
      <w:r w:rsidRPr="00650EE4">
        <w:rPr>
          <w:noProof w:val="0"/>
        </w:rPr>
        <w:t>MWh</w:t>
      </w:r>
      <w:proofErr w:type="spellEnd"/>
      <w:r w:rsidRPr="00650EE4">
        <w:rPr>
          <w:noProof w:val="0"/>
        </w:rPr>
        <w:t>)</w:t>
      </w:r>
      <w:bookmarkEnd w:id="101"/>
    </w:p>
    <w:tbl>
      <w:tblPr>
        <w:tblStyle w:val="TableGrid"/>
        <w:tblW w:w="0" w:type="auto"/>
        <w:tblLook w:val="04A0" w:firstRow="1" w:lastRow="0" w:firstColumn="1" w:lastColumn="0" w:noHBand="0" w:noVBand="1"/>
      </w:tblPr>
      <w:tblGrid>
        <w:gridCol w:w="552"/>
        <w:gridCol w:w="3412"/>
        <w:gridCol w:w="2127"/>
        <w:gridCol w:w="2976"/>
        <w:gridCol w:w="1127"/>
      </w:tblGrid>
      <w:tr w:rsidR="00B62276" w:rsidRPr="00650EE4" w14:paraId="7154B998" w14:textId="77777777" w:rsidTr="002D37AB">
        <w:tc>
          <w:tcPr>
            <w:tcW w:w="552" w:type="dxa"/>
          </w:tcPr>
          <w:p w14:paraId="1F8B6D56"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Nr.</w:t>
            </w:r>
          </w:p>
        </w:tc>
        <w:tc>
          <w:tcPr>
            <w:tcW w:w="3412" w:type="dxa"/>
          </w:tcPr>
          <w:p w14:paraId="42EE2F0B"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Scenarijus</w:t>
            </w:r>
          </w:p>
        </w:tc>
        <w:tc>
          <w:tcPr>
            <w:tcW w:w="2127" w:type="dxa"/>
          </w:tcPr>
          <w:p w14:paraId="468F98AE"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2020</w:t>
            </w:r>
          </w:p>
        </w:tc>
        <w:tc>
          <w:tcPr>
            <w:tcW w:w="2976" w:type="dxa"/>
          </w:tcPr>
          <w:p w14:paraId="0DE12354"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Metinis pokytis</w:t>
            </w:r>
          </w:p>
        </w:tc>
        <w:tc>
          <w:tcPr>
            <w:tcW w:w="1127" w:type="dxa"/>
          </w:tcPr>
          <w:p w14:paraId="1115185F"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2050</w:t>
            </w:r>
          </w:p>
        </w:tc>
      </w:tr>
      <w:tr w:rsidR="00B62276" w:rsidRPr="00650EE4" w14:paraId="6AB33BC4" w14:textId="77777777" w:rsidTr="002D37AB">
        <w:tc>
          <w:tcPr>
            <w:tcW w:w="552" w:type="dxa"/>
          </w:tcPr>
          <w:p w14:paraId="5A60E830"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w:t>
            </w:r>
          </w:p>
        </w:tc>
        <w:tc>
          <w:tcPr>
            <w:tcW w:w="3412" w:type="dxa"/>
          </w:tcPr>
          <w:p w14:paraId="52B86FE6"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2020 m. kainų lygis</w:t>
            </w:r>
          </w:p>
        </w:tc>
        <w:tc>
          <w:tcPr>
            <w:tcW w:w="2127" w:type="dxa"/>
          </w:tcPr>
          <w:p w14:paraId="08A9AB11"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47,0</w:t>
            </w:r>
          </w:p>
        </w:tc>
        <w:tc>
          <w:tcPr>
            <w:tcW w:w="2976" w:type="dxa"/>
          </w:tcPr>
          <w:p w14:paraId="70145CDA"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583B0171"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85,1</w:t>
            </w:r>
          </w:p>
        </w:tc>
      </w:tr>
      <w:tr w:rsidR="00B62276" w:rsidRPr="00650EE4" w14:paraId="6C8678E3" w14:textId="77777777" w:rsidTr="002D37AB">
        <w:tc>
          <w:tcPr>
            <w:tcW w:w="552" w:type="dxa"/>
          </w:tcPr>
          <w:p w14:paraId="7908C7BC"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w:t>
            </w:r>
          </w:p>
        </w:tc>
        <w:tc>
          <w:tcPr>
            <w:tcW w:w="3412" w:type="dxa"/>
          </w:tcPr>
          <w:p w14:paraId="60E368F6"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2019 m. kainų lygis</w:t>
            </w:r>
          </w:p>
        </w:tc>
        <w:tc>
          <w:tcPr>
            <w:tcW w:w="2127" w:type="dxa"/>
          </w:tcPr>
          <w:p w14:paraId="0F3E9457"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54,0</w:t>
            </w:r>
          </w:p>
        </w:tc>
        <w:tc>
          <w:tcPr>
            <w:tcW w:w="2976" w:type="dxa"/>
          </w:tcPr>
          <w:p w14:paraId="6ECD8174"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5CEC33A7"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97,8</w:t>
            </w:r>
          </w:p>
        </w:tc>
      </w:tr>
      <w:tr w:rsidR="00B62276" w:rsidRPr="00650EE4" w14:paraId="6139509B" w14:textId="77777777" w:rsidTr="002D37AB">
        <w:tc>
          <w:tcPr>
            <w:tcW w:w="552" w:type="dxa"/>
          </w:tcPr>
          <w:p w14:paraId="7DD899E4"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w:t>
            </w:r>
          </w:p>
        </w:tc>
        <w:tc>
          <w:tcPr>
            <w:tcW w:w="3412" w:type="dxa"/>
          </w:tcPr>
          <w:p w14:paraId="7994C2BA"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2015-2016 m. kainų lygis</w:t>
            </w:r>
          </w:p>
        </w:tc>
        <w:tc>
          <w:tcPr>
            <w:tcW w:w="2127" w:type="dxa"/>
          </w:tcPr>
          <w:p w14:paraId="5AFF3FFF"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61,0</w:t>
            </w:r>
          </w:p>
        </w:tc>
        <w:tc>
          <w:tcPr>
            <w:tcW w:w="2976" w:type="dxa"/>
          </w:tcPr>
          <w:p w14:paraId="0D46FF2B"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77B7CCD0"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110,5</w:t>
            </w:r>
          </w:p>
        </w:tc>
      </w:tr>
    </w:tbl>
    <w:p w14:paraId="6ED62CB0" w14:textId="7FC8B7C3" w:rsidR="00B62276" w:rsidRPr="00650EE4" w:rsidRDefault="00B62276" w:rsidP="00B62276">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605C66" w:rsidRPr="00605C66">
        <w:rPr>
          <w:rFonts w:ascii="Times New Roman" w:hAnsi="Times New Roman"/>
          <w:i/>
          <w:iCs/>
          <w:color w:val="auto"/>
          <w:sz w:val="20"/>
          <w:szCs w:val="20"/>
        </w:rPr>
        <w:t xml:space="preserve"> </w:t>
      </w:r>
      <w:r w:rsidR="00605C66">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297D48BC" w14:textId="77777777" w:rsidR="00B62276" w:rsidRPr="00650EE4" w:rsidRDefault="00B62276" w:rsidP="00B62276">
      <w:pPr>
        <w:pStyle w:val="BodyText"/>
        <w:rPr>
          <w:rFonts w:ascii="Times New Roman" w:hAnsi="Times New Roman"/>
          <w:color w:val="000000" w:themeColor="text1"/>
          <w:szCs w:val="22"/>
          <w:lang w:val="lt-LT"/>
        </w:rPr>
      </w:pPr>
    </w:p>
    <w:p w14:paraId="465C243F" w14:textId="77777777" w:rsidR="00B62276" w:rsidRPr="00650EE4" w:rsidRDefault="00B62276" w:rsidP="00B62276">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Elektros energijos kaina</w:t>
      </w:r>
    </w:p>
    <w:p w14:paraId="57E75775" w14:textId="77777777" w:rsidR="00B62276" w:rsidRPr="00650EE4" w:rsidRDefault="00B62276" w:rsidP="00B62276">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Elektros energijos kaina vertinta remiantis vidutine elektros kaina Lietuvoje buitiniams vartotojams, įvertinant prognozuojamą infliaciją.</w:t>
      </w:r>
    </w:p>
    <w:p w14:paraId="611303C9" w14:textId="77777777" w:rsidR="00B62276" w:rsidRPr="00650EE4" w:rsidRDefault="00B62276" w:rsidP="00B62276">
      <w:pPr>
        <w:pStyle w:val="BodyText"/>
        <w:rPr>
          <w:rFonts w:ascii="Times New Roman" w:hAnsi="Times New Roman"/>
          <w:color w:val="000000" w:themeColor="text1"/>
          <w:szCs w:val="22"/>
          <w:lang w:val="lt-LT"/>
        </w:rPr>
      </w:pPr>
    </w:p>
    <w:p w14:paraId="31851F85" w14:textId="70FD282F" w:rsidR="00B62276" w:rsidRPr="00650EE4" w:rsidRDefault="00B6227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02" w:name="_Toc67925223"/>
      <w:r w:rsidR="007744C1">
        <w:t>40</w:t>
      </w:r>
      <w:r w:rsidRPr="00650EE4">
        <w:rPr>
          <w:noProof w:val="0"/>
        </w:rPr>
        <w:fldChar w:fldCharType="end"/>
      </w:r>
      <w:r w:rsidRPr="00650EE4">
        <w:rPr>
          <w:noProof w:val="0"/>
        </w:rPr>
        <w:t xml:space="preserve"> lentelė. Elektros energijos kainos kitimo scenarijai (</w:t>
      </w:r>
      <w:proofErr w:type="spellStart"/>
      <w:r w:rsidRPr="00650EE4">
        <w:rPr>
          <w:noProof w:val="0"/>
        </w:rPr>
        <w:t>Eur</w:t>
      </w:r>
      <w:proofErr w:type="spellEnd"/>
      <w:r w:rsidRPr="00650EE4">
        <w:rPr>
          <w:noProof w:val="0"/>
        </w:rPr>
        <w:t>/</w:t>
      </w:r>
      <w:proofErr w:type="spellStart"/>
      <w:r w:rsidRPr="00650EE4">
        <w:rPr>
          <w:noProof w:val="0"/>
        </w:rPr>
        <w:t>MWh</w:t>
      </w:r>
      <w:proofErr w:type="spellEnd"/>
      <w:r w:rsidRPr="00650EE4">
        <w:rPr>
          <w:noProof w:val="0"/>
        </w:rPr>
        <w:t>)</w:t>
      </w:r>
      <w:bookmarkEnd w:id="102"/>
    </w:p>
    <w:tbl>
      <w:tblPr>
        <w:tblStyle w:val="TableGrid"/>
        <w:tblW w:w="0" w:type="auto"/>
        <w:tblLook w:val="04A0" w:firstRow="1" w:lastRow="0" w:firstColumn="1" w:lastColumn="0" w:noHBand="0" w:noVBand="1"/>
      </w:tblPr>
      <w:tblGrid>
        <w:gridCol w:w="552"/>
        <w:gridCol w:w="3412"/>
        <w:gridCol w:w="2127"/>
        <w:gridCol w:w="2976"/>
        <w:gridCol w:w="1127"/>
      </w:tblGrid>
      <w:tr w:rsidR="00B62276" w:rsidRPr="00650EE4" w14:paraId="27F13503" w14:textId="77777777" w:rsidTr="002D37AB">
        <w:tc>
          <w:tcPr>
            <w:tcW w:w="552" w:type="dxa"/>
          </w:tcPr>
          <w:p w14:paraId="5B170190"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Nr.</w:t>
            </w:r>
          </w:p>
        </w:tc>
        <w:tc>
          <w:tcPr>
            <w:tcW w:w="3412" w:type="dxa"/>
          </w:tcPr>
          <w:p w14:paraId="1CA3DFC2"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Scenarijus</w:t>
            </w:r>
          </w:p>
        </w:tc>
        <w:tc>
          <w:tcPr>
            <w:tcW w:w="2127" w:type="dxa"/>
          </w:tcPr>
          <w:p w14:paraId="55CBE546"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2020</w:t>
            </w:r>
          </w:p>
        </w:tc>
        <w:tc>
          <w:tcPr>
            <w:tcW w:w="2976" w:type="dxa"/>
          </w:tcPr>
          <w:p w14:paraId="0A27996E"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Metinis pokytis</w:t>
            </w:r>
          </w:p>
        </w:tc>
        <w:tc>
          <w:tcPr>
            <w:tcW w:w="1127" w:type="dxa"/>
          </w:tcPr>
          <w:p w14:paraId="2C35D320"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2050</w:t>
            </w:r>
          </w:p>
        </w:tc>
      </w:tr>
      <w:tr w:rsidR="00B62276" w:rsidRPr="00650EE4" w14:paraId="31F83F86" w14:textId="77777777" w:rsidTr="002D37AB">
        <w:tc>
          <w:tcPr>
            <w:tcW w:w="552" w:type="dxa"/>
          </w:tcPr>
          <w:p w14:paraId="6B8B8B61"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w:t>
            </w:r>
          </w:p>
        </w:tc>
        <w:tc>
          <w:tcPr>
            <w:tcW w:w="3412" w:type="dxa"/>
          </w:tcPr>
          <w:p w14:paraId="636EF987"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2020 m. kainų lygis</w:t>
            </w:r>
          </w:p>
        </w:tc>
        <w:tc>
          <w:tcPr>
            <w:tcW w:w="2127" w:type="dxa"/>
          </w:tcPr>
          <w:p w14:paraId="3367A276"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94,7</w:t>
            </w:r>
          </w:p>
        </w:tc>
        <w:tc>
          <w:tcPr>
            <w:tcW w:w="2976" w:type="dxa"/>
          </w:tcPr>
          <w:p w14:paraId="29D04A5B"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36C15575"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171,5</w:t>
            </w:r>
          </w:p>
        </w:tc>
      </w:tr>
    </w:tbl>
    <w:p w14:paraId="1BA9BF3D" w14:textId="28E5908B" w:rsidR="00B62276" w:rsidRDefault="00B62276" w:rsidP="00B62276">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2D38BB">
        <w:rPr>
          <w:rFonts w:ascii="Times New Roman" w:eastAsia="Times New Roman" w:hAnsi="Times New Roman"/>
          <w:i/>
          <w:color w:val="000000" w:themeColor="text1"/>
          <w:sz w:val="20"/>
          <w:szCs w:val="20"/>
        </w:rPr>
        <w:t xml:space="preserve"> </w:t>
      </w:r>
      <w:r w:rsidR="002D38B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1061473D" w14:textId="77777777" w:rsidR="00CA09C2" w:rsidRPr="00650EE4" w:rsidRDefault="00CA09C2" w:rsidP="00B62276">
      <w:pPr>
        <w:spacing w:before="60" w:line="240" w:lineRule="auto"/>
        <w:jc w:val="both"/>
        <w:rPr>
          <w:rFonts w:ascii="Times New Roman" w:eastAsia="Times New Roman" w:hAnsi="Times New Roman"/>
          <w:i/>
          <w:color w:val="000000" w:themeColor="text1"/>
          <w:sz w:val="20"/>
          <w:szCs w:val="20"/>
        </w:rPr>
      </w:pPr>
    </w:p>
    <w:p w14:paraId="00B163D6" w14:textId="12CA661B" w:rsidR="00AA0D43" w:rsidRPr="00650EE4" w:rsidRDefault="006A470E" w:rsidP="006A470E">
      <w:pPr>
        <w:pStyle w:val="Antrastes31"/>
        <w:numPr>
          <w:ilvl w:val="2"/>
          <w:numId w:val="4"/>
        </w:numPr>
        <w:spacing w:before="0"/>
        <w:ind w:left="720" w:hanging="720"/>
        <w:rPr>
          <w:rFonts w:ascii="Times New Roman" w:hAnsi="Times New Roman"/>
          <w:color w:val="000000" w:themeColor="text1"/>
          <w:sz w:val="24"/>
          <w:szCs w:val="24"/>
          <w:lang w:val="lt-LT"/>
        </w:rPr>
      </w:pPr>
      <w:bookmarkStart w:id="103" w:name="_Toc67925130"/>
      <w:r w:rsidRPr="00650EE4">
        <w:rPr>
          <w:rFonts w:ascii="Times New Roman" w:hAnsi="Times New Roman"/>
          <w:color w:val="000000" w:themeColor="text1"/>
          <w:sz w:val="24"/>
          <w:szCs w:val="24"/>
          <w:lang w:val="lt-LT"/>
        </w:rPr>
        <w:t>CO2 emisijų kaina</w:t>
      </w:r>
      <w:bookmarkEnd w:id="103"/>
    </w:p>
    <w:p w14:paraId="7F367387" w14:textId="77777777" w:rsidR="00AA0D43" w:rsidRPr="00650EE4" w:rsidRDefault="00AA0D43" w:rsidP="00AA0D43">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vertė įvertinta remiantis Europos komisijos skelbiamomis anglies dioksido apyvartinių taršos leidimų kainų kitimo tendencijomis (scenarijais):</w:t>
      </w:r>
    </w:p>
    <w:p w14:paraId="66FB0C19" w14:textId="77777777" w:rsidR="00AA0D43" w:rsidRPr="00650EE4" w:rsidRDefault="00AA0D43" w:rsidP="00AA0D43">
      <w:pPr>
        <w:pStyle w:val="Default"/>
        <w:rPr>
          <w:rFonts w:ascii="Times New Roman" w:hAnsi="Times New Roman" w:cs="Times New Roman"/>
          <w:sz w:val="22"/>
          <w:szCs w:val="22"/>
          <w:lang w:val="lt-LT"/>
        </w:rPr>
      </w:pPr>
    </w:p>
    <w:p w14:paraId="480BFBAA" w14:textId="138B118A" w:rsidR="00AA0D43" w:rsidRPr="00650EE4" w:rsidRDefault="00AA0D43"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04" w:name="_Toc67925224"/>
      <w:r w:rsidR="007744C1">
        <w:t>41</w:t>
      </w:r>
      <w:r w:rsidRPr="00650EE4">
        <w:rPr>
          <w:noProof w:val="0"/>
        </w:rPr>
        <w:fldChar w:fldCharType="end"/>
      </w:r>
      <w:r w:rsidRPr="00650EE4">
        <w:rPr>
          <w:noProof w:val="0"/>
        </w:rPr>
        <w:t xml:space="preserve"> lentelė. Europos komisijos išmetamo anglies dioksido kainų kitimo scenarijai (tCO</w:t>
      </w:r>
      <w:r w:rsidRPr="00650EE4">
        <w:rPr>
          <w:noProof w:val="0"/>
          <w:vertAlign w:val="subscript"/>
        </w:rPr>
        <w:t>2</w:t>
      </w:r>
      <w:r w:rsidRPr="00650EE4">
        <w:rPr>
          <w:noProof w:val="0"/>
        </w:rPr>
        <w:t>)</w:t>
      </w:r>
      <w:bookmarkEnd w:id="104"/>
    </w:p>
    <w:tbl>
      <w:tblPr>
        <w:tblStyle w:val="TableGrid"/>
        <w:tblW w:w="10194" w:type="dxa"/>
        <w:tblLook w:val="04A0" w:firstRow="1" w:lastRow="0" w:firstColumn="1" w:lastColumn="0" w:noHBand="0" w:noVBand="1"/>
      </w:tblPr>
      <w:tblGrid>
        <w:gridCol w:w="552"/>
        <w:gridCol w:w="4546"/>
        <w:gridCol w:w="728"/>
        <w:gridCol w:w="728"/>
        <w:gridCol w:w="728"/>
        <w:gridCol w:w="728"/>
        <w:gridCol w:w="728"/>
        <w:gridCol w:w="728"/>
        <w:gridCol w:w="728"/>
      </w:tblGrid>
      <w:tr w:rsidR="00AA0D43" w:rsidRPr="00650EE4" w14:paraId="07C0E1F9" w14:textId="77777777" w:rsidTr="000C1D71">
        <w:tc>
          <w:tcPr>
            <w:tcW w:w="552" w:type="dxa"/>
          </w:tcPr>
          <w:p w14:paraId="0EC287C5"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Nr.</w:t>
            </w:r>
          </w:p>
        </w:tc>
        <w:tc>
          <w:tcPr>
            <w:tcW w:w="4546" w:type="dxa"/>
          </w:tcPr>
          <w:p w14:paraId="57DF5054"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Anglies dioksido apyvartinių taršos leidimų kainos kitimo tendencija</w:t>
            </w:r>
          </w:p>
        </w:tc>
        <w:tc>
          <w:tcPr>
            <w:tcW w:w="728" w:type="dxa"/>
          </w:tcPr>
          <w:p w14:paraId="2D199676"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2020</w:t>
            </w:r>
          </w:p>
        </w:tc>
        <w:tc>
          <w:tcPr>
            <w:tcW w:w="728" w:type="dxa"/>
          </w:tcPr>
          <w:p w14:paraId="49ADEE94"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2025</w:t>
            </w:r>
          </w:p>
        </w:tc>
        <w:tc>
          <w:tcPr>
            <w:tcW w:w="728" w:type="dxa"/>
          </w:tcPr>
          <w:p w14:paraId="30A68912"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2030</w:t>
            </w:r>
          </w:p>
        </w:tc>
        <w:tc>
          <w:tcPr>
            <w:tcW w:w="728" w:type="dxa"/>
          </w:tcPr>
          <w:p w14:paraId="7FE54131"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2035</w:t>
            </w:r>
          </w:p>
        </w:tc>
        <w:tc>
          <w:tcPr>
            <w:tcW w:w="728" w:type="dxa"/>
          </w:tcPr>
          <w:p w14:paraId="1902E3D9"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2040</w:t>
            </w:r>
          </w:p>
        </w:tc>
        <w:tc>
          <w:tcPr>
            <w:tcW w:w="728" w:type="dxa"/>
          </w:tcPr>
          <w:p w14:paraId="1EEBB6CE"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2045</w:t>
            </w:r>
          </w:p>
        </w:tc>
        <w:tc>
          <w:tcPr>
            <w:tcW w:w="728" w:type="dxa"/>
          </w:tcPr>
          <w:p w14:paraId="53D0AE70"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2050</w:t>
            </w:r>
          </w:p>
        </w:tc>
      </w:tr>
      <w:tr w:rsidR="00AA0D43" w:rsidRPr="00650EE4" w14:paraId="74B20DFB" w14:textId="77777777" w:rsidTr="000C1D71">
        <w:tc>
          <w:tcPr>
            <w:tcW w:w="552" w:type="dxa"/>
          </w:tcPr>
          <w:p w14:paraId="0DA9B46C"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w:t>
            </w:r>
          </w:p>
        </w:tc>
        <w:tc>
          <w:tcPr>
            <w:tcW w:w="4546" w:type="dxa"/>
          </w:tcPr>
          <w:p w14:paraId="427B5818"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Pamatinė (pavieniai veiksmai, pamatinės iškastinio kuro kainos)</w:t>
            </w:r>
          </w:p>
        </w:tc>
        <w:tc>
          <w:tcPr>
            <w:tcW w:w="728" w:type="dxa"/>
          </w:tcPr>
          <w:p w14:paraId="10EF67CA"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16,5</w:t>
            </w:r>
          </w:p>
        </w:tc>
        <w:tc>
          <w:tcPr>
            <w:tcW w:w="728" w:type="dxa"/>
          </w:tcPr>
          <w:p w14:paraId="4B6D6668"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w:t>
            </w:r>
          </w:p>
        </w:tc>
        <w:tc>
          <w:tcPr>
            <w:tcW w:w="728" w:type="dxa"/>
          </w:tcPr>
          <w:p w14:paraId="3EFE7C32"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36</w:t>
            </w:r>
          </w:p>
        </w:tc>
        <w:tc>
          <w:tcPr>
            <w:tcW w:w="728" w:type="dxa"/>
          </w:tcPr>
          <w:p w14:paraId="43EF70E4"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50</w:t>
            </w:r>
          </w:p>
        </w:tc>
        <w:tc>
          <w:tcPr>
            <w:tcW w:w="728" w:type="dxa"/>
          </w:tcPr>
          <w:p w14:paraId="53CAB5CA"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52</w:t>
            </w:r>
          </w:p>
        </w:tc>
        <w:tc>
          <w:tcPr>
            <w:tcW w:w="728" w:type="dxa"/>
          </w:tcPr>
          <w:p w14:paraId="22ACF3DB"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51</w:t>
            </w:r>
          </w:p>
        </w:tc>
        <w:tc>
          <w:tcPr>
            <w:tcW w:w="728" w:type="dxa"/>
          </w:tcPr>
          <w:p w14:paraId="6013DA7E"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50</w:t>
            </w:r>
          </w:p>
        </w:tc>
      </w:tr>
      <w:tr w:rsidR="00AA0D43" w:rsidRPr="00650EE4" w14:paraId="7F17DC71" w14:textId="77777777" w:rsidTr="000C1D71">
        <w:tc>
          <w:tcPr>
            <w:tcW w:w="552" w:type="dxa"/>
          </w:tcPr>
          <w:p w14:paraId="6DCF39D6"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w:t>
            </w:r>
          </w:p>
        </w:tc>
        <w:tc>
          <w:tcPr>
            <w:tcW w:w="4546" w:type="dxa"/>
          </w:tcPr>
          <w:p w14:paraId="41EAB70F"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Veiksmingos technologijos (pavieniai veiksmai, pamatinės iškastinio kuro kainos)</w:t>
            </w:r>
          </w:p>
        </w:tc>
        <w:tc>
          <w:tcPr>
            <w:tcW w:w="728" w:type="dxa"/>
          </w:tcPr>
          <w:p w14:paraId="647D9F13"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w:t>
            </w:r>
          </w:p>
        </w:tc>
        <w:tc>
          <w:tcPr>
            <w:tcW w:w="728" w:type="dxa"/>
          </w:tcPr>
          <w:p w14:paraId="424C99EF"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34</w:t>
            </w:r>
          </w:p>
        </w:tc>
        <w:tc>
          <w:tcPr>
            <w:tcW w:w="728" w:type="dxa"/>
          </w:tcPr>
          <w:p w14:paraId="0FBA2D3C"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51</w:t>
            </w:r>
          </w:p>
        </w:tc>
        <w:tc>
          <w:tcPr>
            <w:tcW w:w="728" w:type="dxa"/>
          </w:tcPr>
          <w:p w14:paraId="74660E3E"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53</w:t>
            </w:r>
          </w:p>
        </w:tc>
        <w:tc>
          <w:tcPr>
            <w:tcW w:w="728" w:type="dxa"/>
          </w:tcPr>
          <w:p w14:paraId="0A3D4A40"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64</w:t>
            </w:r>
          </w:p>
        </w:tc>
        <w:tc>
          <w:tcPr>
            <w:tcW w:w="728" w:type="dxa"/>
          </w:tcPr>
          <w:p w14:paraId="6C56381D"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92</w:t>
            </w:r>
          </w:p>
        </w:tc>
        <w:tc>
          <w:tcPr>
            <w:tcW w:w="728" w:type="dxa"/>
          </w:tcPr>
          <w:p w14:paraId="42B39996"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147</w:t>
            </w:r>
          </w:p>
        </w:tc>
      </w:tr>
      <w:tr w:rsidR="00AA0D43" w:rsidRPr="00650EE4" w14:paraId="4DC92C8C" w14:textId="77777777" w:rsidTr="000C1D71">
        <w:tc>
          <w:tcPr>
            <w:tcW w:w="552" w:type="dxa"/>
          </w:tcPr>
          <w:p w14:paraId="5170C9CB"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w:t>
            </w:r>
          </w:p>
        </w:tc>
        <w:tc>
          <w:tcPr>
            <w:tcW w:w="4546" w:type="dxa"/>
          </w:tcPr>
          <w:p w14:paraId="6EFA5C91"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Veiksmingos technologijos (bendri veiksmai, mažos iškastinio kuro kainos)</w:t>
            </w:r>
          </w:p>
        </w:tc>
        <w:tc>
          <w:tcPr>
            <w:tcW w:w="728" w:type="dxa"/>
          </w:tcPr>
          <w:p w14:paraId="15BE0F21"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w:t>
            </w:r>
          </w:p>
        </w:tc>
        <w:tc>
          <w:tcPr>
            <w:tcW w:w="728" w:type="dxa"/>
          </w:tcPr>
          <w:p w14:paraId="3757208F"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38</w:t>
            </w:r>
          </w:p>
        </w:tc>
        <w:tc>
          <w:tcPr>
            <w:tcW w:w="728" w:type="dxa"/>
          </w:tcPr>
          <w:p w14:paraId="2488D0F0"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60</w:t>
            </w:r>
          </w:p>
        </w:tc>
        <w:tc>
          <w:tcPr>
            <w:tcW w:w="728" w:type="dxa"/>
          </w:tcPr>
          <w:p w14:paraId="2FC44980"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64</w:t>
            </w:r>
          </w:p>
        </w:tc>
        <w:tc>
          <w:tcPr>
            <w:tcW w:w="728" w:type="dxa"/>
          </w:tcPr>
          <w:p w14:paraId="184483D3"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78</w:t>
            </w:r>
          </w:p>
        </w:tc>
        <w:tc>
          <w:tcPr>
            <w:tcW w:w="728" w:type="dxa"/>
          </w:tcPr>
          <w:p w14:paraId="178204B4"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115</w:t>
            </w:r>
          </w:p>
        </w:tc>
        <w:tc>
          <w:tcPr>
            <w:tcW w:w="728" w:type="dxa"/>
          </w:tcPr>
          <w:p w14:paraId="71FB3911"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190</w:t>
            </w:r>
          </w:p>
        </w:tc>
      </w:tr>
    </w:tbl>
    <w:p w14:paraId="39BEDBF0" w14:textId="17C25842" w:rsidR="00AA0D43" w:rsidRPr="00650EE4" w:rsidRDefault="00AA0D43" w:rsidP="00332E90">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2F421C" w:rsidRPr="00650EE4">
        <w:rPr>
          <w:rFonts w:ascii="Times New Roman" w:eastAsia="Times New Roman" w:hAnsi="Times New Roman"/>
          <w:i/>
          <w:color w:val="000000" w:themeColor="text1"/>
          <w:sz w:val="20"/>
          <w:szCs w:val="20"/>
        </w:rPr>
        <w:t>Europos komisija</w:t>
      </w:r>
    </w:p>
    <w:p w14:paraId="7F42867F" w14:textId="6F4F16DC" w:rsidR="0064426D" w:rsidRPr="00650EE4" w:rsidRDefault="0064426D" w:rsidP="0064426D">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05" w:name="_Toc67925131"/>
      <w:r w:rsidRPr="00650EE4">
        <w:rPr>
          <w:rFonts w:ascii="Times New Roman" w:hAnsi="Times New Roman"/>
          <w:color w:val="auto"/>
          <w:sz w:val="24"/>
          <w:szCs w:val="24"/>
          <w:lang w:val="lt-LT"/>
        </w:rPr>
        <w:t>Kitų modeliavimo parametrų nustatymas</w:t>
      </w:r>
      <w:bookmarkEnd w:id="105"/>
    </w:p>
    <w:p w14:paraId="325B016A" w14:textId="77777777" w:rsidR="00EF66CC" w:rsidRPr="00650EE4" w:rsidRDefault="00EF66CC" w:rsidP="00EF66CC">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Modeliuojamos kombinacijos</w:t>
      </w:r>
    </w:p>
    <w:p w14:paraId="4A4D9ED4" w14:textId="77777777" w:rsidR="00EB1D81" w:rsidRPr="00650EE4" w:rsidRDefault="00710FEE" w:rsidP="00EB1D81">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Modeliavimo metu, iš žemiau nurodytų unikalių pastatų požymių bu</w:t>
      </w:r>
      <w:r w:rsidR="00EB1D81" w:rsidRPr="00650EE4">
        <w:rPr>
          <w:rFonts w:ascii="Times New Roman" w:hAnsi="Times New Roman"/>
          <w:color w:val="000000" w:themeColor="text1"/>
          <w:szCs w:val="22"/>
        </w:rPr>
        <w:t xml:space="preserve">vo sudaryta </w:t>
      </w:r>
      <w:r w:rsidRPr="00650EE4">
        <w:rPr>
          <w:rFonts w:ascii="Times New Roman" w:hAnsi="Times New Roman"/>
          <w:color w:val="000000" w:themeColor="text1"/>
          <w:szCs w:val="22"/>
        </w:rPr>
        <w:t xml:space="preserve">816 </w:t>
      </w:r>
      <w:r w:rsidR="00EB1D81" w:rsidRPr="00650EE4">
        <w:rPr>
          <w:rFonts w:ascii="Times New Roman" w:hAnsi="Times New Roman"/>
          <w:color w:val="000000" w:themeColor="text1"/>
          <w:szCs w:val="22"/>
        </w:rPr>
        <w:t>unikalių</w:t>
      </w:r>
      <w:r w:rsidRPr="00650EE4">
        <w:rPr>
          <w:rFonts w:ascii="Times New Roman" w:hAnsi="Times New Roman"/>
          <w:color w:val="000000" w:themeColor="text1"/>
          <w:szCs w:val="22"/>
        </w:rPr>
        <w:t xml:space="preserve"> kombinaci</w:t>
      </w:r>
      <w:r w:rsidR="00EB1D81" w:rsidRPr="00650EE4">
        <w:rPr>
          <w:rFonts w:ascii="Times New Roman" w:hAnsi="Times New Roman"/>
          <w:color w:val="000000" w:themeColor="text1"/>
          <w:szCs w:val="22"/>
        </w:rPr>
        <w:t>jų.</w:t>
      </w:r>
    </w:p>
    <w:p w14:paraId="0847717E" w14:textId="1ED31843" w:rsidR="00EF66CC" w:rsidRPr="00650EE4" w:rsidRDefault="00EF66CC" w:rsidP="00EB1D81">
      <w:pPr>
        <w:pStyle w:val="BodyText"/>
        <w:numPr>
          <w:ilvl w:val="0"/>
          <w:numId w:val="9"/>
        </w:numPr>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paskirtis (17 šildomų pastatų paskirčių);</w:t>
      </w:r>
    </w:p>
    <w:p w14:paraId="37D9AB2B" w14:textId="77777777" w:rsidR="00EF66CC" w:rsidRPr="00650EE4" w:rsidRDefault="00EF66CC" w:rsidP="00EF66CC">
      <w:pPr>
        <w:pStyle w:val="BodyText"/>
        <w:numPr>
          <w:ilvl w:val="0"/>
          <w:numId w:val="9"/>
        </w:numPr>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Statybos metai (8 periodai);</w:t>
      </w:r>
    </w:p>
    <w:p w14:paraId="34885388" w14:textId="77777777" w:rsidR="00EF66CC" w:rsidRPr="00650EE4" w:rsidRDefault="00EF66CC" w:rsidP="00EF66CC">
      <w:pPr>
        <w:pStyle w:val="BodyText"/>
        <w:numPr>
          <w:ilvl w:val="0"/>
          <w:numId w:val="9"/>
        </w:numPr>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Energinio naudingumo klasė (6 klasės);</w:t>
      </w:r>
    </w:p>
    <w:p w14:paraId="76B44FDA" w14:textId="12662529" w:rsidR="00EF66CC" w:rsidRPr="00650EE4" w:rsidRDefault="00EF66CC" w:rsidP="00EF66CC">
      <w:pPr>
        <w:spacing w:line="240" w:lineRule="auto"/>
        <w:jc w:val="both"/>
        <w:rPr>
          <w:rFonts w:ascii="Times New Roman" w:hAnsi="Times New Roman"/>
          <w:color w:val="000000" w:themeColor="text1"/>
          <w:szCs w:val="22"/>
        </w:rPr>
      </w:pPr>
    </w:p>
    <w:p w14:paraId="41E3B7AC" w14:textId="5CA013C1" w:rsidR="0010127C" w:rsidRPr="00650EE4" w:rsidRDefault="0010127C" w:rsidP="00EF66C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Šioms</w:t>
      </w:r>
      <w:r w:rsidR="00EF66CC" w:rsidRPr="00650EE4">
        <w:rPr>
          <w:rFonts w:ascii="Times New Roman" w:hAnsi="Times New Roman"/>
          <w:color w:val="000000" w:themeColor="text1"/>
          <w:szCs w:val="22"/>
        </w:rPr>
        <w:t xml:space="preserve"> pastatų </w:t>
      </w:r>
      <w:r w:rsidRPr="00650EE4">
        <w:rPr>
          <w:rFonts w:ascii="Times New Roman" w:hAnsi="Times New Roman"/>
          <w:color w:val="000000" w:themeColor="text1"/>
          <w:szCs w:val="22"/>
        </w:rPr>
        <w:t xml:space="preserve">kombinacijoms </w:t>
      </w:r>
      <w:r w:rsidR="00EF66CC" w:rsidRPr="00650EE4">
        <w:rPr>
          <w:rFonts w:ascii="Times New Roman" w:hAnsi="Times New Roman"/>
          <w:color w:val="000000" w:themeColor="text1"/>
          <w:szCs w:val="22"/>
        </w:rPr>
        <w:t xml:space="preserve">buvo </w:t>
      </w:r>
      <w:r w:rsidR="00EF34A2" w:rsidRPr="00650EE4">
        <w:rPr>
          <w:rFonts w:ascii="Times New Roman" w:hAnsi="Times New Roman"/>
          <w:color w:val="000000" w:themeColor="text1"/>
          <w:szCs w:val="22"/>
        </w:rPr>
        <w:t xml:space="preserve">priskirti </w:t>
      </w:r>
      <w:r w:rsidR="00EF66CC" w:rsidRPr="00650EE4">
        <w:rPr>
          <w:rFonts w:ascii="Times New Roman" w:hAnsi="Times New Roman"/>
          <w:color w:val="000000" w:themeColor="text1"/>
          <w:szCs w:val="22"/>
        </w:rPr>
        <w:t>3</w:t>
      </w:r>
      <w:r w:rsidRPr="00650EE4">
        <w:rPr>
          <w:rFonts w:ascii="Times New Roman" w:hAnsi="Times New Roman"/>
          <w:color w:val="000000" w:themeColor="text1"/>
          <w:szCs w:val="22"/>
        </w:rPr>
        <w:t>7 renovacijos priemonių paketai ir apskaičiuoti fin</w:t>
      </w:r>
      <w:r w:rsidR="00086DC2" w:rsidRPr="00650EE4">
        <w:rPr>
          <w:rFonts w:ascii="Times New Roman" w:hAnsi="Times New Roman"/>
          <w:color w:val="000000" w:themeColor="text1"/>
          <w:szCs w:val="22"/>
        </w:rPr>
        <w:t>ansinio bei</w:t>
      </w:r>
      <w:r w:rsidRPr="00650EE4">
        <w:rPr>
          <w:rFonts w:ascii="Times New Roman" w:hAnsi="Times New Roman"/>
          <w:color w:val="000000" w:themeColor="text1"/>
          <w:szCs w:val="22"/>
        </w:rPr>
        <w:t xml:space="preserve"> ekonominio  efektyvumo rodikliai (iš viso </w:t>
      </w:r>
      <w:r w:rsidR="00775642" w:rsidRPr="00650EE4">
        <w:rPr>
          <w:rFonts w:ascii="Times New Roman" w:hAnsi="Times New Roman"/>
          <w:color w:val="000000" w:themeColor="text1"/>
          <w:szCs w:val="22"/>
        </w:rPr>
        <w:t>8844</w:t>
      </w:r>
      <w:r w:rsidR="00775642" w:rsidRPr="00650EE4">
        <w:rPr>
          <w:rFonts w:ascii="Times New Roman" w:hAnsi="Times New Roman"/>
          <w:bCs/>
          <w:color w:val="000000" w:themeColor="text1"/>
          <w:szCs w:val="22"/>
        </w:rPr>
        <w:t xml:space="preserve"> unikalios</w:t>
      </w:r>
      <w:r w:rsidRPr="00650EE4">
        <w:rPr>
          <w:rFonts w:ascii="Times New Roman" w:hAnsi="Times New Roman"/>
          <w:bCs/>
          <w:color w:val="000000" w:themeColor="text1"/>
          <w:szCs w:val="22"/>
        </w:rPr>
        <w:t xml:space="preserve"> modeliavimo kombinacijos), t.y.</w:t>
      </w:r>
      <w:r w:rsidR="00086DC2" w:rsidRPr="00650EE4">
        <w:rPr>
          <w:rFonts w:ascii="Times New Roman" w:hAnsi="Times New Roman"/>
          <w:bCs/>
          <w:color w:val="000000" w:themeColor="text1"/>
          <w:szCs w:val="22"/>
        </w:rPr>
        <w:t>,</w:t>
      </w:r>
      <w:r w:rsidR="003833C1" w:rsidRPr="00650EE4">
        <w:rPr>
          <w:rFonts w:ascii="Times New Roman" w:hAnsi="Times New Roman"/>
          <w:color w:val="000000" w:themeColor="text1"/>
          <w:szCs w:val="22"/>
        </w:rPr>
        <w:t xml:space="preserve"> ta pati pastatų grupė</w:t>
      </w:r>
      <w:r w:rsidR="000C1D71" w:rsidRPr="00650EE4">
        <w:rPr>
          <w:rFonts w:ascii="Times New Roman" w:hAnsi="Times New Roman"/>
          <w:color w:val="000000" w:themeColor="text1"/>
          <w:szCs w:val="22"/>
        </w:rPr>
        <w:t xml:space="preserve"> modeliuojama tiek kartų, kiek skirtingų renovacijos priemonių paketų jai galima pritaikyti.</w:t>
      </w:r>
    </w:p>
    <w:p w14:paraId="5A472AAF" w14:textId="77777777" w:rsidR="001115ED" w:rsidRPr="00650EE4" w:rsidRDefault="001115ED" w:rsidP="00016352">
      <w:pPr>
        <w:pStyle w:val="Pagrindinispaprastastekstas"/>
        <w:spacing w:after="120"/>
        <w:rPr>
          <w:rFonts w:ascii="Times New Roman" w:hAnsi="Times New Roman"/>
          <w:b/>
          <w:bCs/>
          <w:color w:val="000000" w:themeColor="text1"/>
          <w:szCs w:val="22"/>
        </w:rPr>
      </w:pPr>
    </w:p>
    <w:p w14:paraId="57BB7DAF" w14:textId="77777777" w:rsidR="00B4765E" w:rsidRPr="00650EE4" w:rsidRDefault="00B4765E" w:rsidP="00016352">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Kitos prielaidos</w:t>
      </w:r>
    </w:p>
    <w:p w14:paraId="593C5689" w14:textId="77777777" w:rsidR="00B4765E" w:rsidRPr="00650EE4" w:rsidRDefault="00B4765E" w:rsidP="007C2F3A">
      <w:pPr>
        <w:pStyle w:val="BodyText"/>
        <w:spacing w:after="120"/>
        <w:rPr>
          <w:rFonts w:ascii="Times New Roman" w:hAnsi="Times New Roman"/>
          <w:color w:val="000000" w:themeColor="text1"/>
          <w:szCs w:val="22"/>
          <w:lang w:val="lt-LT"/>
        </w:rPr>
      </w:pPr>
      <w:r w:rsidRPr="00650EE4">
        <w:rPr>
          <w:rFonts w:ascii="Times New Roman" w:hAnsi="Times New Roman"/>
          <w:color w:val="000000" w:themeColor="text1"/>
          <w:szCs w:val="22"/>
          <w:lang w:val="lt-LT"/>
        </w:rPr>
        <w:t>Kitos skaičiavimuose taikytos prielaidos:</w:t>
      </w:r>
    </w:p>
    <w:p w14:paraId="32D25AF6" w14:textId="4E2A3E70"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v</w:t>
      </w:r>
      <w:r w:rsidR="00882041" w:rsidRPr="00650EE4">
        <w:rPr>
          <w:rFonts w:ascii="Times New Roman" w:hAnsi="Times New Roman"/>
          <w:color w:val="000000" w:themeColor="text1"/>
          <w:szCs w:val="22"/>
        </w:rPr>
        <w:t>ertinimo</w:t>
      </w:r>
      <w:r>
        <w:rPr>
          <w:rFonts w:ascii="Times New Roman" w:hAnsi="Times New Roman"/>
          <w:color w:val="000000" w:themeColor="text1"/>
          <w:szCs w:val="22"/>
        </w:rPr>
        <w:t xml:space="preserve"> periodas: 30 m;</w:t>
      </w:r>
    </w:p>
    <w:p w14:paraId="4AF86C34" w14:textId="667A0AF2"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d</w:t>
      </w:r>
      <w:r w:rsidR="00B4765E" w:rsidRPr="00650EE4">
        <w:rPr>
          <w:rFonts w:ascii="Times New Roman" w:hAnsi="Times New Roman"/>
          <w:color w:val="000000" w:themeColor="text1"/>
          <w:szCs w:val="22"/>
        </w:rPr>
        <w:t>iskonto faktorius: 4 proc.</w:t>
      </w:r>
      <w:r w:rsidR="00B4765E" w:rsidRPr="00650EE4">
        <w:rPr>
          <w:rStyle w:val="FootnoteReference"/>
          <w:rFonts w:ascii="Times New Roman" w:hAnsi="Times New Roman"/>
          <w:color w:val="000000" w:themeColor="text1"/>
          <w:szCs w:val="22"/>
        </w:rPr>
        <w:footnoteReference w:id="13"/>
      </w:r>
      <w:r>
        <w:rPr>
          <w:rFonts w:ascii="Times New Roman" w:hAnsi="Times New Roman"/>
          <w:color w:val="000000" w:themeColor="text1"/>
          <w:szCs w:val="22"/>
        </w:rPr>
        <w:t>;</w:t>
      </w:r>
    </w:p>
    <w:p w14:paraId="375BE2C1" w14:textId="2A3827DB"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 xml:space="preserve">metinė infliacija: 2,5 </w:t>
      </w:r>
      <w:proofErr w:type="spellStart"/>
      <w:r>
        <w:rPr>
          <w:rFonts w:ascii="Times New Roman" w:hAnsi="Times New Roman"/>
          <w:color w:val="000000" w:themeColor="text1"/>
          <w:szCs w:val="22"/>
        </w:rPr>
        <w:t>proc</w:t>
      </w:r>
      <w:proofErr w:type="spellEnd"/>
      <w:r>
        <w:rPr>
          <w:rFonts w:ascii="Times New Roman" w:hAnsi="Times New Roman"/>
          <w:color w:val="000000" w:themeColor="text1"/>
          <w:szCs w:val="22"/>
        </w:rPr>
        <w:t>;</w:t>
      </w:r>
    </w:p>
    <w:p w14:paraId="5B16D41D" w14:textId="7D7C5A6C"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v</w:t>
      </w:r>
      <w:r w:rsidR="00B4765E" w:rsidRPr="00650EE4">
        <w:rPr>
          <w:rFonts w:ascii="Times New Roman" w:hAnsi="Times New Roman"/>
          <w:color w:val="000000" w:themeColor="text1"/>
          <w:szCs w:val="22"/>
        </w:rPr>
        <w:t xml:space="preserve">isos kainos </w:t>
      </w:r>
      <w:proofErr w:type="spellStart"/>
      <w:r w:rsidR="00B4765E" w:rsidRPr="00650EE4">
        <w:rPr>
          <w:rFonts w:ascii="Times New Roman" w:hAnsi="Times New Roman"/>
          <w:color w:val="000000" w:themeColor="text1"/>
          <w:szCs w:val="22"/>
        </w:rPr>
        <w:t>Eur</w:t>
      </w:r>
      <w:proofErr w:type="spellEnd"/>
      <w:r w:rsidR="00B4765E" w:rsidRPr="00650EE4">
        <w:rPr>
          <w:rFonts w:ascii="Times New Roman" w:hAnsi="Times New Roman"/>
          <w:color w:val="000000" w:themeColor="text1"/>
          <w:szCs w:val="22"/>
        </w:rPr>
        <w:t xml:space="preserve"> be PVM</w:t>
      </w:r>
      <w:r>
        <w:rPr>
          <w:rFonts w:ascii="Times New Roman" w:hAnsi="Times New Roman"/>
          <w:color w:val="000000" w:themeColor="text1"/>
          <w:szCs w:val="22"/>
        </w:rPr>
        <w:t>;</w:t>
      </w:r>
    </w:p>
    <w:p w14:paraId="635BD768" w14:textId="038A8B4C" w:rsidR="0046606F"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n</w:t>
      </w:r>
      <w:r w:rsidR="00882041" w:rsidRPr="00650EE4">
        <w:rPr>
          <w:rFonts w:ascii="Times New Roman" w:hAnsi="Times New Roman"/>
          <w:color w:val="000000" w:themeColor="text1"/>
          <w:szCs w:val="22"/>
        </w:rPr>
        <w:t>audingo t</w:t>
      </w:r>
      <w:r w:rsidR="001630DA" w:rsidRPr="00650EE4">
        <w:rPr>
          <w:rFonts w:ascii="Times New Roman" w:hAnsi="Times New Roman"/>
          <w:color w:val="000000" w:themeColor="text1"/>
          <w:szCs w:val="22"/>
        </w:rPr>
        <w:t xml:space="preserve">arnavimo </w:t>
      </w:r>
      <w:r w:rsidR="00215AC8" w:rsidRPr="00650EE4">
        <w:rPr>
          <w:rFonts w:ascii="Times New Roman" w:hAnsi="Times New Roman"/>
          <w:color w:val="000000" w:themeColor="text1"/>
          <w:szCs w:val="22"/>
        </w:rPr>
        <w:t>laikotarpiai</w:t>
      </w:r>
      <w:r w:rsidR="00882041" w:rsidRPr="00650EE4">
        <w:rPr>
          <w:rFonts w:ascii="Times New Roman" w:hAnsi="Times New Roman"/>
          <w:color w:val="000000" w:themeColor="text1"/>
          <w:szCs w:val="22"/>
        </w:rPr>
        <w:t xml:space="preserve"> (metais): EE priemonės – 30 m.</w:t>
      </w:r>
      <w:r w:rsidR="00B762E7" w:rsidRPr="00650EE4">
        <w:rPr>
          <w:rFonts w:ascii="Times New Roman" w:hAnsi="Times New Roman"/>
          <w:color w:val="000000" w:themeColor="text1"/>
          <w:szCs w:val="22"/>
        </w:rPr>
        <w:t>, šilumo</w:t>
      </w:r>
      <w:r w:rsidR="00882041" w:rsidRPr="00650EE4">
        <w:rPr>
          <w:rFonts w:ascii="Times New Roman" w:hAnsi="Times New Roman"/>
          <w:color w:val="000000" w:themeColor="text1"/>
          <w:szCs w:val="22"/>
        </w:rPr>
        <w:t>s siurblių kolektoriai – 30 m.</w:t>
      </w:r>
      <w:r w:rsidR="00B762E7" w:rsidRPr="00650EE4">
        <w:rPr>
          <w:rFonts w:ascii="Times New Roman" w:hAnsi="Times New Roman"/>
          <w:color w:val="000000" w:themeColor="text1"/>
          <w:szCs w:val="22"/>
        </w:rPr>
        <w:t>, šilumos siur</w:t>
      </w:r>
      <w:r w:rsidR="00882041" w:rsidRPr="00650EE4">
        <w:rPr>
          <w:rFonts w:ascii="Times New Roman" w:hAnsi="Times New Roman"/>
          <w:color w:val="000000" w:themeColor="text1"/>
          <w:szCs w:val="22"/>
        </w:rPr>
        <w:t>bliai (gruntas-vanduo) – 20 m.</w:t>
      </w:r>
      <w:r w:rsidR="00B762E7" w:rsidRPr="00650EE4">
        <w:rPr>
          <w:rFonts w:ascii="Times New Roman" w:hAnsi="Times New Roman"/>
          <w:color w:val="000000" w:themeColor="text1"/>
          <w:szCs w:val="22"/>
        </w:rPr>
        <w:t>, fotovolt</w:t>
      </w:r>
      <w:r w:rsidR="00882041" w:rsidRPr="00650EE4">
        <w:rPr>
          <w:rFonts w:ascii="Times New Roman" w:hAnsi="Times New Roman"/>
          <w:color w:val="000000" w:themeColor="text1"/>
          <w:szCs w:val="22"/>
        </w:rPr>
        <w:t>iniai saulės elementai – 20 m.</w:t>
      </w:r>
      <w:r w:rsidR="00B762E7" w:rsidRPr="00650EE4">
        <w:rPr>
          <w:rFonts w:ascii="Times New Roman" w:hAnsi="Times New Roman"/>
          <w:color w:val="000000" w:themeColor="text1"/>
          <w:szCs w:val="22"/>
        </w:rPr>
        <w:t>, šilumos si</w:t>
      </w:r>
      <w:r>
        <w:rPr>
          <w:rFonts w:ascii="Times New Roman" w:hAnsi="Times New Roman"/>
          <w:color w:val="000000" w:themeColor="text1"/>
          <w:szCs w:val="22"/>
        </w:rPr>
        <w:t>urbliai (oras-vanduo) – 15 m;</w:t>
      </w:r>
      <w:r w:rsidR="0046606F" w:rsidRPr="00650EE4">
        <w:rPr>
          <w:rFonts w:ascii="Times New Roman" w:hAnsi="Times New Roman"/>
          <w:color w:val="000000" w:themeColor="text1"/>
          <w:szCs w:val="22"/>
        </w:rPr>
        <w:t xml:space="preserve"> </w:t>
      </w:r>
    </w:p>
    <w:p w14:paraId="5D7A3858" w14:textId="34857671" w:rsidR="00B762E7"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i</w:t>
      </w:r>
      <w:r w:rsidR="00B8506E" w:rsidRPr="00650EE4">
        <w:rPr>
          <w:rFonts w:ascii="Times New Roman" w:hAnsi="Times New Roman"/>
          <w:color w:val="000000" w:themeColor="text1"/>
          <w:szCs w:val="22"/>
        </w:rPr>
        <w:t>nvesticijoms</w:t>
      </w:r>
      <w:r w:rsidR="0046606F" w:rsidRPr="00650EE4">
        <w:rPr>
          <w:rFonts w:ascii="Times New Roman" w:hAnsi="Times New Roman"/>
          <w:color w:val="000000" w:themeColor="text1"/>
          <w:szCs w:val="22"/>
        </w:rPr>
        <w:t>, kurių naudingi tarnavimo laikotarpiai trumpesni nei vertinimo laiko</w:t>
      </w:r>
      <w:r>
        <w:rPr>
          <w:rFonts w:ascii="Times New Roman" w:hAnsi="Times New Roman"/>
          <w:color w:val="000000" w:themeColor="text1"/>
          <w:szCs w:val="22"/>
        </w:rPr>
        <w:t>tarpis numatomos reinvesticijos;</w:t>
      </w:r>
      <w:r w:rsidR="0046606F" w:rsidRPr="00650EE4">
        <w:rPr>
          <w:rFonts w:ascii="Times New Roman" w:hAnsi="Times New Roman"/>
          <w:color w:val="000000" w:themeColor="text1"/>
          <w:szCs w:val="22"/>
        </w:rPr>
        <w:t xml:space="preserve"> </w:t>
      </w:r>
    </w:p>
    <w:p w14:paraId="09B82CBB" w14:textId="2DC69F74"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n</w:t>
      </w:r>
      <w:r w:rsidR="00B4765E" w:rsidRPr="00650EE4">
        <w:rPr>
          <w:rFonts w:ascii="Times New Roman" w:hAnsi="Times New Roman"/>
          <w:color w:val="000000" w:themeColor="text1"/>
          <w:szCs w:val="22"/>
        </w:rPr>
        <w:t xml:space="preserve">evertinamos investicijos, kurios turėtų būti </w:t>
      </w:r>
      <w:r w:rsidR="001B1307" w:rsidRPr="00650EE4">
        <w:rPr>
          <w:rFonts w:ascii="Times New Roman" w:hAnsi="Times New Roman"/>
          <w:color w:val="000000" w:themeColor="text1"/>
          <w:szCs w:val="22"/>
        </w:rPr>
        <w:t>bet kokiu atveju atliktos (net ir</w:t>
      </w:r>
      <w:r w:rsidR="00B4765E" w:rsidRPr="00650EE4">
        <w:rPr>
          <w:rFonts w:ascii="Times New Roman" w:hAnsi="Times New Roman"/>
          <w:color w:val="000000" w:themeColor="text1"/>
          <w:szCs w:val="22"/>
        </w:rPr>
        <w:t xml:space="preserve"> nevykdant renovacijos</w:t>
      </w:r>
      <w:r w:rsidR="001B1307" w:rsidRPr="00650EE4">
        <w:rPr>
          <w:rFonts w:ascii="Times New Roman" w:hAnsi="Times New Roman"/>
          <w:color w:val="000000" w:themeColor="text1"/>
          <w:szCs w:val="22"/>
        </w:rPr>
        <w:t>)</w:t>
      </w:r>
      <w:r w:rsidR="00B4765E" w:rsidRPr="00650EE4">
        <w:rPr>
          <w:rFonts w:ascii="Times New Roman" w:hAnsi="Times New Roman"/>
          <w:color w:val="000000" w:themeColor="text1"/>
          <w:szCs w:val="22"/>
        </w:rPr>
        <w:t xml:space="preserve">. </w:t>
      </w:r>
    </w:p>
    <w:p w14:paraId="6ABC9FA0" w14:textId="418D6948" w:rsidR="00E74E23" w:rsidRPr="00650EE4" w:rsidRDefault="00E74E23" w:rsidP="001B1307">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06" w:name="_Toc67925132"/>
      <w:r w:rsidRPr="00650EE4">
        <w:rPr>
          <w:rFonts w:ascii="Times New Roman" w:hAnsi="Times New Roman"/>
          <w:color w:val="auto"/>
          <w:sz w:val="24"/>
          <w:szCs w:val="24"/>
          <w:lang w:val="lt-LT"/>
        </w:rPr>
        <w:t>Modeliavimo algoritmas</w:t>
      </w:r>
      <w:bookmarkEnd w:id="106"/>
    </w:p>
    <w:p w14:paraId="6144BB61" w14:textId="13B6FD1A" w:rsidR="00E74E23" w:rsidRPr="00650EE4" w:rsidRDefault="00E74E23" w:rsidP="00AF435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E</w:t>
      </w:r>
      <w:r w:rsidR="00B61CC9" w:rsidRPr="00650EE4">
        <w:rPr>
          <w:rFonts w:ascii="Times New Roman" w:hAnsi="Times New Roman"/>
          <w:color w:val="000000" w:themeColor="text1"/>
          <w:szCs w:val="22"/>
        </w:rPr>
        <w:t>konomiškai e</w:t>
      </w:r>
      <w:r w:rsidRPr="00650EE4">
        <w:rPr>
          <w:rFonts w:ascii="Times New Roman" w:hAnsi="Times New Roman"/>
          <w:color w:val="000000" w:themeColor="text1"/>
          <w:szCs w:val="22"/>
        </w:rPr>
        <w:t xml:space="preserve">fektyviausi renovacijos </w:t>
      </w:r>
      <w:r w:rsidR="00B61CC9" w:rsidRPr="00650EE4">
        <w:rPr>
          <w:rFonts w:ascii="Times New Roman" w:hAnsi="Times New Roman"/>
          <w:color w:val="000000" w:themeColor="text1"/>
          <w:szCs w:val="22"/>
        </w:rPr>
        <w:t xml:space="preserve">būdai </w:t>
      </w:r>
      <w:r w:rsidR="007A52B6">
        <w:rPr>
          <w:rFonts w:ascii="Times New Roman" w:hAnsi="Times New Roman"/>
          <w:color w:val="000000" w:themeColor="text1"/>
          <w:szCs w:val="22"/>
        </w:rPr>
        <w:t>p</w:t>
      </w:r>
      <w:r w:rsidR="00B22B2E" w:rsidRPr="00650EE4">
        <w:rPr>
          <w:rFonts w:ascii="Times New Roman" w:hAnsi="Times New Roman"/>
          <w:color w:val="000000" w:themeColor="text1"/>
          <w:szCs w:val="22"/>
        </w:rPr>
        <w:t>astatų</w:t>
      </w:r>
      <w:r w:rsidR="00B61CC9" w:rsidRPr="00650EE4">
        <w:rPr>
          <w:rFonts w:ascii="Times New Roman" w:hAnsi="Times New Roman"/>
          <w:color w:val="000000" w:themeColor="text1"/>
          <w:szCs w:val="22"/>
        </w:rPr>
        <w:t xml:space="preserve"> fondo lygmeniu buvo nustatyti </w:t>
      </w:r>
      <w:r w:rsidR="00F36C5C" w:rsidRPr="00650EE4">
        <w:rPr>
          <w:rFonts w:ascii="Times New Roman" w:hAnsi="Times New Roman"/>
          <w:color w:val="000000" w:themeColor="text1"/>
          <w:szCs w:val="22"/>
        </w:rPr>
        <w:t>žemiau nurodytais etapais</w:t>
      </w:r>
      <w:r w:rsidRPr="00650EE4">
        <w:rPr>
          <w:rFonts w:ascii="Times New Roman" w:hAnsi="Times New Roman"/>
          <w:color w:val="000000" w:themeColor="text1"/>
          <w:szCs w:val="22"/>
        </w:rPr>
        <w:t>:</w:t>
      </w:r>
    </w:p>
    <w:p w14:paraId="3B1ED6DB" w14:textId="47765857" w:rsidR="005C31E4" w:rsidRPr="00650EE4" w:rsidRDefault="0017670E" w:rsidP="00BD4925">
      <w:pPr>
        <w:pStyle w:val="Pagrindinispaprastastekstas"/>
        <w:numPr>
          <w:ilvl w:val="0"/>
          <w:numId w:val="23"/>
        </w:numPr>
        <w:spacing w:after="60"/>
        <w:rPr>
          <w:rFonts w:ascii="Times New Roman" w:hAnsi="Times New Roman"/>
          <w:color w:val="000000" w:themeColor="text1"/>
          <w:szCs w:val="22"/>
        </w:rPr>
      </w:pPr>
      <w:r w:rsidRPr="00650EE4">
        <w:rPr>
          <w:rFonts w:ascii="Times New Roman" w:hAnsi="Times New Roman"/>
          <w:color w:val="000000" w:themeColor="text1"/>
          <w:szCs w:val="22"/>
        </w:rPr>
        <w:t>Apskaičiuojami</w:t>
      </w:r>
      <w:r w:rsidR="005C31E4" w:rsidRPr="00650EE4">
        <w:rPr>
          <w:rFonts w:ascii="Times New Roman" w:hAnsi="Times New Roman"/>
          <w:color w:val="000000" w:themeColor="text1"/>
          <w:szCs w:val="22"/>
        </w:rPr>
        <w:t xml:space="preserve"> kiekvienos </w:t>
      </w:r>
      <w:r w:rsidR="001A75A5" w:rsidRPr="00650EE4">
        <w:rPr>
          <w:rFonts w:ascii="Times New Roman" w:hAnsi="Times New Roman"/>
          <w:color w:val="000000" w:themeColor="text1"/>
          <w:szCs w:val="22"/>
        </w:rPr>
        <w:t>modeliavimo</w:t>
      </w:r>
      <w:r w:rsidR="005C31E4" w:rsidRPr="00650EE4">
        <w:rPr>
          <w:rFonts w:ascii="Times New Roman" w:hAnsi="Times New Roman"/>
          <w:color w:val="000000" w:themeColor="text1"/>
          <w:szCs w:val="22"/>
        </w:rPr>
        <w:t xml:space="preserve"> kombinacijos </w:t>
      </w:r>
      <w:r w:rsidRPr="00650EE4">
        <w:rPr>
          <w:rFonts w:ascii="Times New Roman" w:hAnsi="Times New Roman"/>
          <w:color w:val="000000" w:themeColor="text1"/>
          <w:szCs w:val="22"/>
        </w:rPr>
        <w:t>pagrindiniai rodikliai</w:t>
      </w:r>
      <w:r w:rsidR="005C31E4" w:rsidRPr="00650EE4">
        <w:rPr>
          <w:rFonts w:ascii="Times New Roman" w:hAnsi="Times New Roman"/>
          <w:color w:val="000000" w:themeColor="text1"/>
          <w:szCs w:val="22"/>
        </w:rPr>
        <w:t xml:space="preserve">, </w:t>
      </w:r>
      <w:proofErr w:type="spellStart"/>
      <w:r w:rsidR="005C31E4" w:rsidRPr="00650EE4">
        <w:rPr>
          <w:rFonts w:ascii="Times New Roman" w:hAnsi="Times New Roman"/>
          <w:color w:val="000000" w:themeColor="text1"/>
          <w:szCs w:val="22"/>
        </w:rPr>
        <w:t>t.y</w:t>
      </w:r>
      <w:proofErr w:type="spellEnd"/>
      <w:r w:rsidR="005C31E4" w:rsidRPr="00650EE4">
        <w:rPr>
          <w:rFonts w:ascii="Times New Roman" w:hAnsi="Times New Roman"/>
          <w:color w:val="000000" w:themeColor="text1"/>
          <w:szCs w:val="22"/>
        </w:rPr>
        <w:t xml:space="preserve">: </w:t>
      </w:r>
    </w:p>
    <w:p w14:paraId="292575FD" w14:textId="5267010F"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priemonių paketui įgyve</w:t>
      </w:r>
      <w:r w:rsidR="007013A3">
        <w:rPr>
          <w:rFonts w:ascii="Times New Roman" w:hAnsi="Times New Roman"/>
          <w:color w:val="000000" w:themeColor="text1"/>
          <w:szCs w:val="22"/>
        </w:rPr>
        <w:t>ndinti reikalingos investicijos;</w:t>
      </w:r>
    </w:p>
    <w:p w14:paraId="1D2C2A01" w14:textId="2EA3FB7E"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prognozuojamas energijos sutaupymas ir jo vertė</w:t>
      </w:r>
      <w:r w:rsidR="00E54415"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finansinė nauda</w:t>
      </w:r>
      <w:r w:rsidR="00E54415" w:rsidRPr="00650EE4">
        <w:rPr>
          <w:rFonts w:ascii="Times New Roman" w:hAnsi="Times New Roman"/>
          <w:color w:val="000000" w:themeColor="text1"/>
          <w:szCs w:val="22"/>
        </w:rPr>
        <w:t>)</w:t>
      </w:r>
      <w:r w:rsidR="007013A3">
        <w:rPr>
          <w:rFonts w:ascii="Times New Roman" w:hAnsi="Times New Roman"/>
          <w:color w:val="000000" w:themeColor="text1"/>
          <w:szCs w:val="22"/>
        </w:rPr>
        <w:t>;</w:t>
      </w:r>
    </w:p>
    <w:p w14:paraId="42541997" w14:textId="1AFBAE92"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prognozu</w:t>
      </w:r>
      <w:r w:rsidR="0017670E" w:rsidRPr="00650EE4">
        <w:rPr>
          <w:rFonts w:ascii="Times New Roman" w:hAnsi="Times New Roman"/>
          <w:color w:val="000000" w:themeColor="text1"/>
          <w:szCs w:val="22"/>
        </w:rPr>
        <w:t xml:space="preserve">ojama </w:t>
      </w:r>
      <w:r w:rsidRPr="00650EE4">
        <w:rPr>
          <w:rFonts w:ascii="Times New Roman" w:hAnsi="Times New Roman"/>
          <w:color w:val="000000" w:themeColor="text1"/>
          <w:szCs w:val="22"/>
        </w:rPr>
        <w:t>ek</w:t>
      </w:r>
      <w:r w:rsidR="0017670E" w:rsidRPr="00650EE4">
        <w:rPr>
          <w:rFonts w:ascii="Times New Roman" w:hAnsi="Times New Roman"/>
          <w:color w:val="000000" w:themeColor="text1"/>
          <w:szCs w:val="22"/>
        </w:rPr>
        <w:t xml:space="preserve">onominių naudų vertė </w:t>
      </w:r>
      <w:r w:rsidR="00E54415" w:rsidRPr="00650EE4">
        <w:rPr>
          <w:rFonts w:ascii="Times New Roman" w:hAnsi="Times New Roman"/>
          <w:color w:val="000000" w:themeColor="text1"/>
          <w:szCs w:val="22"/>
        </w:rPr>
        <w:t>(</w:t>
      </w:r>
      <w:r w:rsidRPr="00650EE4">
        <w:rPr>
          <w:rFonts w:ascii="Times New Roman" w:hAnsi="Times New Roman"/>
          <w:color w:val="000000" w:themeColor="text1"/>
          <w:szCs w:val="22"/>
        </w:rPr>
        <w:t>ekonominė nauda</w:t>
      </w:r>
      <w:r w:rsidR="00E54415" w:rsidRPr="00650EE4">
        <w:rPr>
          <w:rFonts w:ascii="Times New Roman" w:hAnsi="Times New Roman"/>
          <w:color w:val="000000" w:themeColor="text1"/>
          <w:szCs w:val="22"/>
        </w:rPr>
        <w:t>)</w:t>
      </w:r>
      <w:r w:rsidR="007013A3">
        <w:rPr>
          <w:rFonts w:ascii="Times New Roman" w:hAnsi="Times New Roman"/>
          <w:color w:val="000000" w:themeColor="text1"/>
          <w:szCs w:val="22"/>
        </w:rPr>
        <w:t>;</w:t>
      </w:r>
    </w:p>
    <w:p w14:paraId="2F669CA9" w14:textId="7A89367C"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prognozuojama fina</w:t>
      </w:r>
      <w:r w:rsidR="0017670E" w:rsidRPr="00650EE4">
        <w:rPr>
          <w:rFonts w:ascii="Times New Roman" w:hAnsi="Times New Roman"/>
          <w:color w:val="000000" w:themeColor="text1"/>
          <w:szCs w:val="22"/>
        </w:rPr>
        <w:t>nsinė ir ekonominė grąža (</w:t>
      </w:r>
      <w:r w:rsidRPr="00650EE4">
        <w:rPr>
          <w:rFonts w:ascii="Times New Roman" w:hAnsi="Times New Roman"/>
          <w:color w:val="000000" w:themeColor="text1"/>
          <w:szCs w:val="22"/>
        </w:rPr>
        <w:t xml:space="preserve">skirtumas tarp reikalingos investicijos ir </w:t>
      </w:r>
      <w:r w:rsidR="0017670E" w:rsidRPr="00650EE4">
        <w:rPr>
          <w:rFonts w:ascii="Times New Roman" w:hAnsi="Times New Roman"/>
          <w:color w:val="000000" w:themeColor="text1"/>
          <w:szCs w:val="22"/>
        </w:rPr>
        <w:t xml:space="preserve">jos pasiekiamos finansinės ir </w:t>
      </w:r>
      <w:r w:rsidRPr="00650EE4">
        <w:rPr>
          <w:rFonts w:ascii="Times New Roman" w:hAnsi="Times New Roman"/>
          <w:color w:val="000000" w:themeColor="text1"/>
          <w:szCs w:val="22"/>
        </w:rPr>
        <w:t>ekonominės naudos</w:t>
      </w:r>
      <w:r w:rsidR="00ED030C" w:rsidRPr="00650EE4">
        <w:rPr>
          <w:rFonts w:ascii="Times New Roman" w:hAnsi="Times New Roman"/>
          <w:color w:val="000000" w:themeColor="text1"/>
          <w:szCs w:val="22"/>
        </w:rPr>
        <w:t xml:space="preserve"> per </w:t>
      </w:r>
      <w:r w:rsidR="0017670E" w:rsidRPr="00650EE4">
        <w:rPr>
          <w:rFonts w:ascii="Times New Roman" w:hAnsi="Times New Roman"/>
          <w:color w:val="000000" w:themeColor="text1"/>
          <w:szCs w:val="22"/>
        </w:rPr>
        <w:t>vertinimo</w:t>
      </w:r>
      <w:r w:rsidR="00ED030C" w:rsidRPr="00650EE4">
        <w:rPr>
          <w:rFonts w:ascii="Times New Roman" w:hAnsi="Times New Roman"/>
          <w:color w:val="000000" w:themeColor="text1"/>
          <w:szCs w:val="22"/>
        </w:rPr>
        <w:t xml:space="preserve"> laikotarpį</w:t>
      </w:r>
      <w:r w:rsidR="0017670E" w:rsidRPr="00650EE4">
        <w:rPr>
          <w:rFonts w:ascii="Times New Roman" w:hAnsi="Times New Roman"/>
          <w:color w:val="000000" w:themeColor="text1"/>
          <w:szCs w:val="22"/>
        </w:rPr>
        <w:t>).</w:t>
      </w:r>
    </w:p>
    <w:p w14:paraId="1F1FB8EB" w14:textId="0E0A69D0" w:rsidR="0017670E" w:rsidRPr="00650EE4" w:rsidRDefault="0017670E"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 xml:space="preserve">Kiekvienai modeliuojamai kombinacijai apskaičiuojama kokią finansinę arba ekonominę grąžą atneša sutaupyta 1 </w:t>
      </w:r>
      <w:proofErr w:type="spellStart"/>
      <w:r w:rsidRPr="00650EE4">
        <w:rPr>
          <w:rFonts w:ascii="Times New Roman" w:hAnsi="Times New Roman"/>
          <w:color w:val="000000" w:themeColor="text1"/>
          <w:szCs w:val="22"/>
        </w:rPr>
        <w:t>kWh</w:t>
      </w:r>
      <w:proofErr w:type="spellEnd"/>
      <w:r w:rsidRPr="00650EE4">
        <w:rPr>
          <w:rFonts w:ascii="Times New Roman" w:hAnsi="Times New Roman"/>
          <w:color w:val="000000" w:themeColor="text1"/>
          <w:szCs w:val="22"/>
        </w:rPr>
        <w:t xml:space="preserve"> (žr. lentelėje žemiau).</w:t>
      </w:r>
    </w:p>
    <w:p w14:paraId="0A94AC0F" w14:textId="324B011F" w:rsidR="001115ED" w:rsidRPr="007013A3" w:rsidRDefault="00BE1B05"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 xml:space="preserve">Visos modeliuojamos kombinacijos </w:t>
      </w:r>
      <w:proofErr w:type="spellStart"/>
      <w:r w:rsidRPr="00650EE4">
        <w:rPr>
          <w:rFonts w:ascii="Times New Roman" w:hAnsi="Times New Roman"/>
          <w:color w:val="000000" w:themeColor="text1"/>
          <w:szCs w:val="22"/>
        </w:rPr>
        <w:t>suranguojamos</w:t>
      </w:r>
      <w:proofErr w:type="spellEnd"/>
      <w:r w:rsidRPr="00650EE4">
        <w:rPr>
          <w:rFonts w:ascii="Times New Roman" w:hAnsi="Times New Roman"/>
          <w:color w:val="000000" w:themeColor="text1"/>
          <w:szCs w:val="22"/>
        </w:rPr>
        <w:t xml:space="preserve"> pagal grąžos kriterijų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w:t>
      </w:r>
      <w:proofErr w:type="spellStart"/>
      <w:r w:rsidRPr="00650EE4">
        <w:rPr>
          <w:rFonts w:ascii="Times New Roman" w:hAnsi="Times New Roman"/>
          <w:color w:val="000000" w:themeColor="text1"/>
          <w:szCs w:val="22"/>
        </w:rPr>
        <w:t>kWh</w:t>
      </w:r>
      <w:proofErr w:type="spellEnd"/>
      <w:r w:rsidRPr="00650EE4">
        <w:rPr>
          <w:rFonts w:ascii="Times New Roman" w:hAnsi="Times New Roman"/>
          <w:color w:val="000000" w:themeColor="text1"/>
          <w:szCs w:val="22"/>
        </w:rPr>
        <w:t>) – aukščiausias rangas priskiriamas maksimalią ekonominę naudą teikiantiems renovacijos priemonių paketams.</w:t>
      </w:r>
    </w:p>
    <w:p w14:paraId="40C90FFF" w14:textId="3CBED363" w:rsidR="00087A7F" w:rsidRPr="00650EE4" w:rsidRDefault="00087A7F"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Nustatomas siektinas pirminės energijos su</w:t>
      </w:r>
      <w:r w:rsidR="007A52B6">
        <w:rPr>
          <w:rFonts w:ascii="Times New Roman" w:hAnsi="Times New Roman"/>
          <w:color w:val="000000" w:themeColor="text1"/>
          <w:szCs w:val="22"/>
        </w:rPr>
        <w:t>taupymo dydis (</w:t>
      </w:r>
      <w:proofErr w:type="spellStart"/>
      <w:r w:rsidR="007A52B6">
        <w:rPr>
          <w:rFonts w:ascii="Times New Roman" w:hAnsi="Times New Roman"/>
          <w:color w:val="000000" w:themeColor="text1"/>
          <w:szCs w:val="22"/>
        </w:rPr>
        <w:t>GWh</w:t>
      </w:r>
      <w:proofErr w:type="spellEnd"/>
      <w:r w:rsidR="007A52B6">
        <w:rPr>
          <w:rFonts w:ascii="Times New Roman" w:hAnsi="Times New Roman"/>
          <w:color w:val="000000" w:themeColor="text1"/>
          <w:szCs w:val="22"/>
        </w:rPr>
        <w:t xml:space="preserve"> arba proc.) p</w:t>
      </w:r>
      <w:r w:rsidRPr="00650EE4">
        <w:rPr>
          <w:rFonts w:ascii="Times New Roman" w:hAnsi="Times New Roman"/>
          <w:color w:val="000000" w:themeColor="text1"/>
          <w:szCs w:val="22"/>
        </w:rPr>
        <w:t>astatų fondo lygmeniu;</w:t>
      </w:r>
    </w:p>
    <w:p w14:paraId="7C777B3B" w14:textId="068796D2" w:rsidR="00087A7F" w:rsidRPr="00650EE4" w:rsidRDefault="00087A7F"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 xml:space="preserve">Judant nuo </w:t>
      </w:r>
      <w:proofErr w:type="spellStart"/>
      <w:r w:rsidRPr="00650EE4">
        <w:rPr>
          <w:rFonts w:ascii="Times New Roman" w:hAnsi="Times New Roman"/>
          <w:color w:val="000000" w:themeColor="text1"/>
          <w:szCs w:val="22"/>
        </w:rPr>
        <w:t>suranguotų</w:t>
      </w:r>
      <w:proofErr w:type="spellEnd"/>
      <w:r w:rsidRPr="00650EE4">
        <w:rPr>
          <w:rFonts w:ascii="Times New Roman" w:hAnsi="Times New Roman"/>
          <w:color w:val="000000" w:themeColor="text1"/>
          <w:szCs w:val="22"/>
        </w:rPr>
        <w:t xml:space="preserve"> modeliavimo kombinacijų sąrašo viršaus, parenkamas modeliavimo kombinacijų sąrašas, tenkinantis 4 žingsnyje nustatytą pirminės energijos sutaupymo tikslą.</w:t>
      </w:r>
    </w:p>
    <w:p w14:paraId="0EBF7F39" w14:textId="2B506177" w:rsidR="00087A7F" w:rsidRPr="00650EE4" w:rsidRDefault="00087A7F" w:rsidP="00BD4925">
      <w:pPr>
        <w:pStyle w:val="Pagrindinispaprastastekstas"/>
        <w:numPr>
          <w:ilvl w:val="0"/>
          <w:numId w:val="23"/>
        </w:numPr>
        <w:spacing w:before="120" w:after="60"/>
        <w:rPr>
          <w:rFonts w:ascii="Times New Roman" w:hAnsi="Times New Roman"/>
          <w:color w:val="000000" w:themeColor="text1"/>
          <w:szCs w:val="22"/>
        </w:rPr>
      </w:pPr>
      <w:r w:rsidRPr="00650EE4">
        <w:rPr>
          <w:rFonts w:ascii="Times New Roman" w:hAnsi="Times New Roman"/>
          <w:color w:val="000000" w:themeColor="text1"/>
          <w:szCs w:val="22"/>
        </w:rPr>
        <w:t>Keičiant energijos sutaupymo tikslą, t.y. kartojant 4 žingsnį (kas 5 proc.) ir 5 žingsnį. gaunama renovacijos investicijų ir sutaupymo kreivė (žr. paveikslą žemiau).</w:t>
      </w:r>
    </w:p>
    <w:p w14:paraId="34F90516" w14:textId="77777777" w:rsidR="00087A7F" w:rsidRPr="00650EE4" w:rsidRDefault="00087A7F" w:rsidP="00613E0A">
      <w:pPr>
        <w:spacing w:line="240" w:lineRule="auto"/>
        <w:rPr>
          <w:rFonts w:ascii="Times New Roman" w:eastAsiaTheme="minorHAnsi" w:hAnsi="Times New Roman"/>
          <w:bCs/>
          <w:i/>
          <w:color w:val="000000" w:themeColor="text1"/>
          <w:sz w:val="20"/>
          <w:szCs w:val="20"/>
        </w:rPr>
      </w:pPr>
    </w:p>
    <w:p w14:paraId="23B8D0B3" w14:textId="77777777" w:rsidR="007013A3" w:rsidRDefault="007013A3">
      <w:pPr>
        <w:spacing w:after="240"/>
        <w:rPr>
          <w:rFonts w:ascii="Times New Roman" w:eastAsiaTheme="minorHAnsi" w:hAnsi="Times New Roman"/>
          <w:bCs/>
          <w:i/>
          <w:color w:val="000000" w:themeColor="text1"/>
          <w:sz w:val="20"/>
          <w:szCs w:val="20"/>
        </w:rPr>
      </w:pPr>
      <w:r>
        <w:br w:type="page"/>
      </w:r>
    </w:p>
    <w:p w14:paraId="05B12B7D" w14:textId="0276D43D" w:rsidR="00E74E23"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07" w:name="_Toc67925263"/>
      <w:r w:rsidR="007744C1">
        <w:t>15</w:t>
      </w:r>
      <w:r w:rsidRPr="00650EE4">
        <w:rPr>
          <w:noProof w:val="0"/>
        </w:rPr>
        <w:fldChar w:fldCharType="end"/>
      </w:r>
      <w:r w:rsidR="00253E79" w:rsidRPr="00650EE4">
        <w:rPr>
          <w:noProof w:val="0"/>
        </w:rPr>
        <w:t xml:space="preserve"> paveikslas. Ekonominio modeliavimo rezultatai</w:t>
      </w:r>
      <w:bookmarkEnd w:id="107"/>
    </w:p>
    <w:p w14:paraId="78DE124E" w14:textId="68B99C5C" w:rsidR="00E74E23" w:rsidRPr="00650EE4" w:rsidRDefault="004446CD" w:rsidP="00E74E23">
      <w:pPr>
        <w:pStyle w:val="Pagrindinispaprastastekstas"/>
        <w:rPr>
          <w:rFonts w:ascii="Times New Roman" w:hAnsi="Times New Roman"/>
          <w:color w:val="000000" w:themeColor="text1"/>
          <w:sz w:val="24"/>
        </w:rPr>
      </w:pPr>
      <w:r w:rsidRPr="00650EE4">
        <w:rPr>
          <w:rFonts w:ascii="Times New Roman" w:hAnsi="Times New Roman"/>
          <w:noProof/>
          <w:lang w:eastAsia="lt-LT"/>
        </w:rPr>
        <w:drawing>
          <wp:inline distT="0" distB="0" distL="0" distR="0" wp14:anchorId="33B07434" wp14:editId="014362E9">
            <wp:extent cx="6479540" cy="2670279"/>
            <wp:effectExtent l="0" t="0" r="16510" b="15875"/>
            <wp:docPr id="14" name="Chart 14">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7D3EDC-3B6A-4788-8D3B-AB7577938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8C9E74" w14:textId="01214BA2" w:rsidR="00E410B0" w:rsidRPr="00650EE4" w:rsidRDefault="00E410B0" w:rsidP="00E410B0">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E12EB6">
        <w:rPr>
          <w:rFonts w:ascii="Times New Roman" w:hAnsi="Times New Roman"/>
          <w:i/>
          <w:iCs/>
          <w:color w:val="auto"/>
          <w:sz w:val="20"/>
          <w:szCs w:val="20"/>
        </w:rPr>
        <w:t>Lietuvos ilgalaikei renovacijos strategijai parengti</w:t>
      </w:r>
      <w:r w:rsidR="00E12EB6"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8"/>
        </w:rPr>
        <w:t>autoriai.</w:t>
      </w:r>
    </w:p>
    <w:p w14:paraId="6E210368" w14:textId="77777777" w:rsidR="00E410B0" w:rsidRPr="00650EE4" w:rsidRDefault="00E410B0" w:rsidP="00E74E23">
      <w:pPr>
        <w:pStyle w:val="Pagrindinispaprastastekstas"/>
        <w:rPr>
          <w:rFonts w:ascii="Times New Roman" w:hAnsi="Times New Roman"/>
          <w:color w:val="000000" w:themeColor="text1"/>
          <w:szCs w:val="22"/>
        </w:rPr>
      </w:pPr>
    </w:p>
    <w:p w14:paraId="419953CD" w14:textId="77777777" w:rsidR="00B33095" w:rsidRPr="00650EE4" w:rsidRDefault="00B33095" w:rsidP="00B219C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Pagrindiniai modeliavimo rezultatai:</w:t>
      </w:r>
    </w:p>
    <w:p w14:paraId="3230C287" w14:textId="77777777" w:rsidR="00B33095" w:rsidRPr="00650EE4" w:rsidRDefault="00B33095" w:rsidP="00BD4925">
      <w:pPr>
        <w:pStyle w:val="Pagrindinispaprastastekstas"/>
        <w:numPr>
          <w:ilvl w:val="0"/>
          <w:numId w:val="22"/>
        </w:numPr>
        <w:spacing w:after="60"/>
        <w:rPr>
          <w:rFonts w:ascii="Times New Roman" w:hAnsi="Times New Roman"/>
          <w:color w:val="000000" w:themeColor="text1"/>
          <w:szCs w:val="22"/>
        </w:rPr>
      </w:pPr>
      <w:r w:rsidRPr="00650EE4">
        <w:rPr>
          <w:rFonts w:ascii="Times New Roman" w:hAnsi="Times New Roman"/>
          <w:color w:val="000000" w:themeColor="text1"/>
          <w:szCs w:val="22"/>
        </w:rPr>
        <w:t>X ašis: siektinas pirminės energijos vartojimo sutaupymas, proc.;</w:t>
      </w:r>
    </w:p>
    <w:p w14:paraId="13A393D5" w14:textId="77777777" w:rsidR="00B33095" w:rsidRPr="00650EE4" w:rsidRDefault="00B33095" w:rsidP="00BD4925">
      <w:pPr>
        <w:pStyle w:val="Pagrindinispaprastastekstas"/>
        <w:numPr>
          <w:ilvl w:val="0"/>
          <w:numId w:val="22"/>
        </w:numPr>
        <w:spacing w:after="60"/>
        <w:rPr>
          <w:rFonts w:ascii="Times New Roman" w:hAnsi="Times New Roman"/>
          <w:color w:val="000000" w:themeColor="text1"/>
          <w:szCs w:val="22"/>
        </w:rPr>
      </w:pPr>
      <w:r w:rsidRPr="00650EE4">
        <w:rPr>
          <w:rFonts w:ascii="Times New Roman" w:hAnsi="Times New Roman"/>
          <w:color w:val="000000" w:themeColor="text1"/>
          <w:szCs w:val="22"/>
        </w:rPr>
        <w:t xml:space="preserve">Y ašis: investicijų ir energijos sutaupymų vertė vertinamu laikotarpiu,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w:t>
      </w:r>
    </w:p>
    <w:p w14:paraId="056AFD3E" w14:textId="059509D3" w:rsidR="00B33095"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B33095" w:rsidRPr="00650EE4">
        <w:rPr>
          <w:rFonts w:ascii="Times New Roman" w:hAnsi="Times New Roman"/>
          <w:color w:val="000000" w:themeColor="text1"/>
          <w:szCs w:val="22"/>
        </w:rPr>
        <w:t>reivė „Investicijos“: investicijos</w:t>
      </w:r>
      <w:r w:rsidR="00D0295F" w:rsidRPr="00650EE4">
        <w:rPr>
          <w:rFonts w:ascii="Times New Roman" w:hAnsi="Times New Roman"/>
          <w:color w:val="000000" w:themeColor="text1"/>
          <w:szCs w:val="22"/>
        </w:rPr>
        <w:t xml:space="preserve"> (</w:t>
      </w:r>
      <w:proofErr w:type="spellStart"/>
      <w:r w:rsidR="00D0295F" w:rsidRPr="00650EE4">
        <w:rPr>
          <w:rFonts w:ascii="Times New Roman" w:hAnsi="Times New Roman"/>
          <w:color w:val="000000" w:themeColor="text1"/>
          <w:szCs w:val="22"/>
        </w:rPr>
        <w:t>Eur</w:t>
      </w:r>
      <w:proofErr w:type="spellEnd"/>
      <w:r w:rsidR="00D0295F" w:rsidRPr="00650EE4">
        <w:rPr>
          <w:rFonts w:ascii="Times New Roman" w:hAnsi="Times New Roman"/>
          <w:color w:val="000000" w:themeColor="text1"/>
          <w:szCs w:val="22"/>
        </w:rPr>
        <w:t>)</w:t>
      </w:r>
      <w:r w:rsidR="00B33095" w:rsidRPr="00650EE4">
        <w:rPr>
          <w:rFonts w:ascii="Times New Roman" w:hAnsi="Times New Roman"/>
          <w:color w:val="000000" w:themeColor="text1"/>
          <w:szCs w:val="22"/>
        </w:rPr>
        <w:t>, reikalingos energijos sutaupymui pasiekti;</w:t>
      </w:r>
    </w:p>
    <w:p w14:paraId="7481E31A" w14:textId="2F345C55" w:rsidR="00B33095"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B33095" w:rsidRPr="00650EE4">
        <w:rPr>
          <w:rFonts w:ascii="Times New Roman" w:hAnsi="Times New Roman"/>
          <w:color w:val="000000" w:themeColor="text1"/>
          <w:szCs w:val="22"/>
        </w:rPr>
        <w:t>reivė „</w:t>
      </w:r>
      <w:r w:rsidR="00435878" w:rsidRPr="00650EE4">
        <w:rPr>
          <w:rFonts w:ascii="Times New Roman" w:hAnsi="Times New Roman"/>
          <w:color w:val="000000" w:themeColor="text1"/>
          <w:szCs w:val="22"/>
        </w:rPr>
        <w:t>Finansinė nauda</w:t>
      </w:r>
      <w:r w:rsidR="00B33095" w:rsidRPr="00650EE4">
        <w:rPr>
          <w:rFonts w:ascii="Times New Roman" w:hAnsi="Times New Roman"/>
          <w:color w:val="000000" w:themeColor="text1"/>
          <w:szCs w:val="22"/>
        </w:rPr>
        <w:t>“: pasiektų energijos sutaupymų vertė</w:t>
      </w:r>
      <w:r w:rsidR="00D0295F" w:rsidRPr="00650EE4">
        <w:rPr>
          <w:rFonts w:ascii="Times New Roman" w:hAnsi="Times New Roman"/>
          <w:color w:val="000000" w:themeColor="text1"/>
          <w:szCs w:val="22"/>
        </w:rPr>
        <w:t xml:space="preserve"> (</w:t>
      </w:r>
      <w:proofErr w:type="spellStart"/>
      <w:r w:rsidR="00D0295F" w:rsidRPr="00650EE4">
        <w:rPr>
          <w:rFonts w:ascii="Times New Roman" w:hAnsi="Times New Roman"/>
          <w:color w:val="000000" w:themeColor="text1"/>
          <w:szCs w:val="22"/>
        </w:rPr>
        <w:t>Eur</w:t>
      </w:r>
      <w:proofErr w:type="spellEnd"/>
      <w:r w:rsidR="00D0295F" w:rsidRPr="00650EE4">
        <w:rPr>
          <w:rFonts w:ascii="Times New Roman" w:hAnsi="Times New Roman"/>
          <w:color w:val="000000" w:themeColor="text1"/>
          <w:szCs w:val="22"/>
        </w:rPr>
        <w:t>)</w:t>
      </w:r>
      <w:r w:rsidR="00B33095" w:rsidRPr="00650EE4">
        <w:rPr>
          <w:rFonts w:ascii="Times New Roman" w:hAnsi="Times New Roman"/>
          <w:color w:val="000000" w:themeColor="text1"/>
          <w:szCs w:val="22"/>
        </w:rPr>
        <w:t xml:space="preserve"> (energijos ir CO</w:t>
      </w:r>
      <w:r w:rsidR="00B33095" w:rsidRPr="00650EE4">
        <w:rPr>
          <w:rFonts w:ascii="Times New Roman" w:hAnsi="Times New Roman"/>
          <w:color w:val="000000" w:themeColor="text1"/>
          <w:szCs w:val="22"/>
          <w:vertAlign w:val="subscript"/>
        </w:rPr>
        <w:t>2</w:t>
      </w:r>
      <w:r w:rsidR="00B33095" w:rsidRPr="00650EE4">
        <w:rPr>
          <w:rFonts w:ascii="Times New Roman" w:hAnsi="Times New Roman"/>
          <w:color w:val="000000" w:themeColor="text1"/>
          <w:szCs w:val="22"/>
        </w:rPr>
        <w:t xml:space="preserve"> emisijų kaina, pagal pasirinktą kainos kitimo prognozės scenarijų);</w:t>
      </w:r>
    </w:p>
    <w:p w14:paraId="1AD9F4FA" w14:textId="1C109AE6" w:rsidR="00D0295F"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D0295F" w:rsidRPr="00650EE4">
        <w:rPr>
          <w:rFonts w:ascii="Times New Roman" w:hAnsi="Times New Roman"/>
          <w:color w:val="000000" w:themeColor="text1"/>
          <w:szCs w:val="22"/>
        </w:rPr>
        <w:t>reivė „</w:t>
      </w:r>
      <w:r w:rsidR="00435878" w:rsidRPr="00650EE4">
        <w:rPr>
          <w:rFonts w:ascii="Times New Roman" w:hAnsi="Times New Roman"/>
          <w:color w:val="000000" w:themeColor="text1"/>
          <w:szCs w:val="22"/>
        </w:rPr>
        <w:t>Ekonominė nauda</w:t>
      </w:r>
      <w:r w:rsidR="00D0295F" w:rsidRPr="00650EE4">
        <w:rPr>
          <w:rFonts w:ascii="Times New Roman" w:hAnsi="Times New Roman"/>
          <w:color w:val="000000" w:themeColor="text1"/>
          <w:szCs w:val="22"/>
        </w:rPr>
        <w:t xml:space="preserve">“: pasiektų energijos sutaupymų vertė </w:t>
      </w:r>
      <w:r w:rsidR="00453932" w:rsidRPr="00650EE4">
        <w:rPr>
          <w:rFonts w:ascii="Times New Roman" w:hAnsi="Times New Roman"/>
          <w:color w:val="000000" w:themeColor="text1"/>
          <w:szCs w:val="22"/>
        </w:rPr>
        <w:t xml:space="preserve">ir ekonominių naudų vertė </w:t>
      </w:r>
      <w:r w:rsidR="00D0295F" w:rsidRPr="00650EE4">
        <w:rPr>
          <w:rFonts w:ascii="Times New Roman" w:hAnsi="Times New Roman"/>
          <w:color w:val="000000" w:themeColor="text1"/>
          <w:szCs w:val="22"/>
        </w:rPr>
        <w:t>(</w:t>
      </w:r>
      <w:proofErr w:type="spellStart"/>
      <w:r w:rsidR="00D0295F" w:rsidRPr="00650EE4">
        <w:rPr>
          <w:rFonts w:ascii="Times New Roman" w:hAnsi="Times New Roman"/>
          <w:color w:val="000000" w:themeColor="text1"/>
          <w:szCs w:val="22"/>
        </w:rPr>
        <w:t>Eur</w:t>
      </w:r>
      <w:proofErr w:type="spellEnd"/>
      <w:r w:rsidR="00D0295F" w:rsidRPr="00650EE4">
        <w:rPr>
          <w:rFonts w:ascii="Times New Roman" w:hAnsi="Times New Roman"/>
          <w:color w:val="000000" w:themeColor="text1"/>
          <w:szCs w:val="22"/>
        </w:rPr>
        <w:t>);</w:t>
      </w:r>
    </w:p>
    <w:p w14:paraId="35F24366" w14:textId="2C30CEDF" w:rsidR="00B33095" w:rsidRPr="00650EE4" w:rsidRDefault="007013A3" w:rsidP="00BD4925">
      <w:pPr>
        <w:pStyle w:val="Pagrindinispaprastastekstas"/>
        <w:numPr>
          <w:ilvl w:val="0"/>
          <w:numId w:val="22"/>
        </w:numPr>
        <w:spacing w:after="240"/>
        <w:rPr>
          <w:rFonts w:ascii="Times New Roman" w:hAnsi="Times New Roman"/>
          <w:color w:val="000000" w:themeColor="text1"/>
          <w:szCs w:val="22"/>
        </w:rPr>
      </w:pPr>
      <w:r>
        <w:rPr>
          <w:rFonts w:ascii="Times New Roman" w:hAnsi="Times New Roman"/>
          <w:color w:val="000000" w:themeColor="text1"/>
          <w:szCs w:val="22"/>
        </w:rPr>
        <w:t>t</w:t>
      </w:r>
      <w:r w:rsidR="00B33095" w:rsidRPr="00650EE4">
        <w:rPr>
          <w:rFonts w:ascii="Times New Roman" w:hAnsi="Times New Roman"/>
          <w:color w:val="000000" w:themeColor="text1"/>
          <w:szCs w:val="22"/>
        </w:rPr>
        <w:t>aškas „Maksimali reikšmė“: Maksimalūs pirminės energijos sutaupymai.</w:t>
      </w:r>
    </w:p>
    <w:p w14:paraId="7F380151" w14:textId="5D287238" w:rsidR="00E74E23" w:rsidRPr="00650EE4" w:rsidRDefault="000C151D" w:rsidP="00625082">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Paveiksle </w:t>
      </w:r>
      <w:r w:rsidR="001B1683" w:rsidRPr="00650EE4">
        <w:rPr>
          <w:rFonts w:ascii="Times New Roman" w:hAnsi="Times New Roman"/>
          <w:color w:val="000000" w:themeColor="text1"/>
          <w:szCs w:val="22"/>
        </w:rPr>
        <w:t xml:space="preserve">aukščiau </w:t>
      </w:r>
      <w:r w:rsidRPr="00650EE4">
        <w:rPr>
          <w:rFonts w:ascii="Times New Roman" w:hAnsi="Times New Roman"/>
          <w:color w:val="000000" w:themeColor="text1"/>
          <w:szCs w:val="22"/>
        </w:rPr>
        <w:t>pateikti duomenys atskleidžia šią informaciją</w:t>
      </w:r>
      <w:r w:rsidR="00E74E23" w:rsidRPr="00650EE4">
        <w:rPr>
          <w:rFonts w:ascii="Times New Roman" w:hAnsi="Times New Roman"/>
          <w:color w:val="000000" w:themeColor="text1"/>
          <w:szCs w:val="22"/>
        </w:rPr>
        <w:t>:</w:t>
      </w:r>
    </w:p>
    <w:p w14:paraId="229771A5" w14:textId="7F9FDC7B" w:rsidR="00E74E23"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t</w:t>
      </w:r>
      <w:r w:rsidR="005A7BF1" w:rsidRPr="00650EE4">
        <w:rPr>
          <w:rFonts w:ascii="Times New Roman" w:hAnsi="Times New Roman"/>
          <w:color w:val="000000" w:themeColor="text1"/>
          <w:szCs w:val="22"/>
        </w:rPr>
        <w:t xml:space="preserve">aškas </w:t>
      </w:r>
      <w:r w:rsidR="00625082" w:rsidRPr="00650EE4">
        <w:rPr>
          <w:rFonts w:ascii="Times New Roman" w:hAnsi="Times New Roman"/>
          <w:color w:val="000000" w:themeColor="text1"/>
          <w:szCs w:val="22"/>
        </w:rPr>
        <w:t xml:space="preserve">„Maksimali reikšmė“ </w:t>
      </w:r>
      <w:r w:rsidR="005A7BF1" w:rsidRPr="00650EE4">
        <w:rPr>
          <w:rFonts w:ascii="Times New Roman" w:hAnsi="Times New Roman"/>
          <w:color w:val="000000" w:themeColor="text1"/>
          <w:szCs w:val="22"/>
        </w:rPr>
        <w:t xml:space="preserve">(65 proc.) </w:t>
      </w:r>
      <w:r w:rsidR="00E74E23" w:rsidRPr="00650EE4">
        <w:rPr>
          <w:rFonts w:ascii="Times New Roman" w:hAnsi="Times New Roman"/>
          <w:color w:val="000000" w:themeColor="text1"/>
          <w:szCs w:val="22"/>
        </w:rPr>
        <w:t xml:space="preserve">parodo maksimalų galimą pirminės energijos sutaupymą įgyvendinus daugiausiai energijos taupančias priemones, t.y. visam pastatų fondui pasiekus A+ arba </w:t>
      </w:r>
      <w:r>
        <w:rPr>
          <w:rFonts w:ascii="Times New Roman" w:hAnsi="Times New Roman"/>
          <w:color w:val="000000" w:themeColor="text1"/>
          <w:szCs w:val="22"/>
        </w:rPr>
        <w:t>A++ energinio naudingumo klases;</w:t>
      </w:r>
    </w:p>
    <w:p w14:paraId="26EF8C1A" w14:textId="4E7D7055" w:rsidR="00E74E23"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E74E23" w:rsidRPr="00650EE4">
        <w:rPr>
          <w:rFonts w:ascii="Times New Roman" w:hAnsi="Times New Roman"/>
          <w:color w:val="000000" w:themeColor="text1"/>
          <w:szCs w:val="22"/>
        </w:rPr>
        <w:t xml:space="preserve">reivės </w:t>
      </w:r>
      <w:r w:rsidR="00625082" w:rsidRPr="00650EE4">
        <w:rPr>
          <w:rFonts w:ascii="Times New Roman" w:hAnsi="Times New Roman"/>
          <w:color w:val="000000" w:themeColor="text1"/>
          <w:szCs w:val="22"/>
        </w:rPr>
        <w:t xml:space="preserve">„Investicijos“ </w:t>
      </w:r>
      <w:r w:rsidR="00E74E23" w:rsidRPr="00650EE4">
        <w:rPr>
          <w:rFonts w:ascii="Times New Roman" w:hAnsi="Times New Roman"/>
          <w:color w:val="000000" w:themeColor="text1"/>
          <w:szCs w:val="22"/>
        </w:rPr>
        <w:t>statumas parodo investicijų intensyvumą, reikalinga papildomam energijos sutaupymui pasiekti, t.y. kiekvienas papildomas sutaupytos energijos vienetas ka</w:t>
      </w:r>
      <w:r>
        <w:rPr>
          <w:rFonts w:ascii="Times New Roman" w:hAnsi="Times New Roman"/>
          <w:color w:val="000000" w:themeColor="text1"/>
          <w:szCs w:val="22"/>
        </w:rPr>
        <w:t>inuoja brangiau;</w:t>
      </w:r>
    </w:p>
    <w:p w14:paraId="4EDE8E05" w14:textId="0F266D04" w:rsidR="00E74E23" w:rsidRPr="00650EE4" w:rsidRDefault="007013A3" w:rsidP="00BD4925">
      <w:pPr>
        <w:pStyle w:val="Pagrindinispaprastastekstas"/>
        <w:numPr>
          <w:ilvl w:val="0"/>
          <w:numId w:val="22"/>
        </w:numPr>
        <w:rPr>
          <w:rFonts w:ascii="Times New Roman" w:hAnsi="Times New Roman"/>
          <w:color w:val="000000" w:themeColor="text1"/>
          <w:szCs w:val="22"/>
        </w:rPr>
      </w:pPr>
      <w:r>
        <w:rPr>
          <w:rFonts w:ascii="Times New Roman" w:hAnsi="Times New Roman"/>
          <w:color w:val="000000" w:themeColor="text1"/>
          <w:szCs w:val="22"/>
        </w:rPr>
        <w:t>k</w:t>
      </w:r>
      <w:r w:rsidR="00625082" w:rsidRPr="00650EE4">
        <w:rPr>
          <w:rFonts w:ascii="Times New Roman" w:hAnsi="Times New Roman"/>
          <w:color w:val="000000" w:themeColor="text1"/>
          <w:szCs w:val="22"/>
        </w:rPr>
        <w:t xml:space="preserve">reivių „Investicijos“ ir „Sutaupymo vertė“ </w:t>
      </w:r>
      <w:r w:rsidR="000C151D" w:rsidRPr="00650EE4">
        <w:rPr>
          <w:rFonts w:ascii="Times New Roman" w:hAnsi="Times New Roman"/>
          <w:color w:val="000000" w:themeColor="text1"/>
          <w:szCs w:val="22"/>
        </w:rPr>
        <w:t xml:space="preserve">susikirtimo vieta atskleidžia tašką už kurio </w:t>
      </w:r>
      <w:r w:rsidR="00E74E23" w:rsidRPr="00650EE4">
        <w:rPr>
          <w:rFonts w:ascii="Times New Roman" w:hAnsi="Times New Roman"/>
          <w:color w:val="000000" w:themeColor="text1"/>
          <w:szCs w:val="22"/>
        </w:rPr>
        <w:t xml:space="preserve">kiekvienas papildomai investuojamas 1 </w:t>
      </w:r>
      <w:proofErr w:type="spellStart"/>
      <w:r w:rsidR="00E74E23" w:rsidRPr="00650EE4">
        <w:rPr>
          <w:rFonts w:ascii="Times New Roman" w:hAnsi="Times New Roman"/>
          <w:color w:val="000000" w:themeColor="text1"/>
          <w:szCs w:val="22"/>
        </w:rPr>
        <w:t>Eur</w:t>
      </w:r>
      <w:proofErr w:type="spellEnd"/>
      <w:r w:rsidR="00E74E23" w:rsidRPr="00650EE4">
        <w:rPr>
          <w:rFonts w:ascii="Times New Roman" w:hAnsi="Times New Roman"/>
          <w:color w:val="000000" w:themeColor="text1"/>
          <w:szCs w:val="22"/>
        </w:rPr>
        <w:t xml:space="preserve"> atneš</w:t>
      </w:r>
      <w:r w:rsidR="00625082" w:rsidRPr="00650EE4">
        <w:rPr>
          <w:rFonts w:ascii="Times New Roman" w:hAnsi="Times New Roman"/>
          <w:color w:val="000000" w:themeColor="text1"/>
          <w:szCs w:val="22"/>
        </w:rPr>
        <w:t xml:space="preserve"> </w:t>
      </w:r>
      <w:r w:rsidR="000C151D" w:rsidRPr="00650EE4">
        <w:rPr>
          <w:rFonts w:ascii="Times New Roman" w:hAnsi="Times New Roman"/>
          <w:color w:val="000000" w:themeColor="text1"/>
          <w:szCs w:val="22"/>
        </w:rPr>
        <w:t xml:space="preserve">mažiau nei 1 </w:t>
      </w:r>
      <w:proofErr w:type="spellStart"/>
      <w:r w:rsidR="000C151D" w:rsidRPr="00650EE4">
        <w:rPr>
          <w:rFonts w:ascii="Times New Roman" w:hAnsi="Times New Roman"/>
          <w:color w:val="000000" w:themeColor="text1"/>
          <w:szCs w:val="22"/>
        </w:rPr>
        <w:t>Eur</w:t>
      </w:r>
      <w:proofErr w:type="spellEnd"/>
      <w:r w:rsidR="000C151D" w:rsidRPr="00650EE4">
        <w:rPr>
          <w:rFonts w:ascii="Times New Roman" w:hAnsi="Times New Roman"/>
          <w:color w:val="000000" w:themeColor="text1"/>
          <w:szCs w:val="22"/>
        </w:rPr>
        <w:t xml:space="preserve"> finansinę naudą (prie pasirinkto energijos ir CO</w:t>
      </w:r>
      <w:r w:rsidR="000C151D" w:rsidRPr="00650EE4">
        <w:rPr>
          <w:rFonts w:ascii="Times New Roman" w:hAnsi="Times New Roman"/>
          <w:color w:val="000000" w:themeColor="text1"/>
          <w:szCs w:val="22"/>
          <w:vertAlign w:val="subscript"/>
        </w:rPr>
        <w:t>2</w:t>
      </w:r>
      <w:r w:rsidR="000C151D" w:rsidRPr="00650EE4">
        <w:rPr>
          <w:rFonts w:ascii="Times New Roman" w:hAnsi="Times New Roman"/>
          <w:color w:val="000000" w:themeColor="text1"/>
          <w:szCs w:val="22"/>
        </w:rPr>
        <w:t xml:space="preserve"> emisijų kainų lygio).</w:t>
      </w:r>
    </w:p>
    <w:p w14:paraId="40B32417" w14:textId="6F56DA76" w:rsidR="000C151D" w:rsidRPr="00650EE4" w:rsidRDefault="000C151D" w:rsidP="00B219C4">
      <w:pPr>
        <w:pStyle w:val="Pagrindinispaprastastekstas"/>
        <w:spacing w:before="240"/>
        <w:rPr>
          <w:rFonts w:ascii="Times New Roman" w:hAnsi="Times New Roman"/>
          <w:color w:val="000000" w:themeColor="text1"/>
          <w:szCs w:val="22"/>
        </w:rPr>
      </w:pPr>
    </w:p>
    <w:p w14:paraId="6B3ED822" w14:textId="12C59333" w:rsidR="00E74E23" w:rsidRPr="00650EE4" w:rsidRDefault="00E74E23" w:rsidP="00BF6DB0">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08" w:name="_Toc67925133"/>
      <w:r w:rsidRPr="00650EE4">
        <w:rPr>
          <w:rFonts w:ascii="Times New Roman" w:hAnsi="Times New Roman"/>
          <w:color w:val="auto"/>
          <w:sz w:val="24"/>
          <w:szCs w:val="24"/>
          <w:lang w:val="lt-LT"/>
        </w:rPr>
        <w:t>Finansi</w:t>
      </w:r>
      <w:bookmarkEnd w:id="99"/>
      <w:r w:rsidR="00BF6DB0" w:rsidRPr="00650EE4">
        <w:rPr>
          <w:rFonts w:ascii="Times New Roman" w:hAnsi="Times New Roman"/>
          <w:color w:val="auto"/>
          <w:sz w:val="24"/>
          <w:szCs w:val="24"/>
          <w:lang w:val="lt-LT"/>
        </w:rPr>
        <w:t>nio efektyvumo vertinimas</w:t>
      </w:r>
      <w:bookmarkEnd w:id="108"/>
    </w:p>
    <w:p w14:paraId="010C1D6A" w14:textId="10CAD360" w:rsidR="003C3CFF" w:rsidRPr="00650EE4" w:rsidRDefault="00C6230D" w:rsidP="00B73EAC">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Finansin</w:t>
      </w:r>
      <w:r w:rsidR="00215AC8" w:rsidRPr="00650EE4">
        <w:rPr>
          <w:rFonts w:ascii="Times New Roman" w:hAnsi="Times New Roman"/>
          <w:color w:val="000000" w:themeColor="text1"/>
          <w:szCs w:val="22"/>
          <w:lang w:val="lt-LT"/>
        </w:rPr>
        <w:t>i</w:t>
      </w:r>
      <w:r w:rsidR="00B1084F" w:rsidRPr="00650EE4">
        <w:rPr>
          <w:rFonts w:ascii="Times New Roman" w:hAnsi="Times New Roman"/>
          <w:color w:val="000000" w:themeColor="text1"/>
          <w:szCs w:val="22"/>
          <w:lang w:val="lt-LT"/>
        </w:rPr>
        <w:t>o</w:t>
      </w:r>
      <w:r w:rsidRPr="00650EE4">
        <w:rPr>
          <w:rFonts w:ascii="Times New Roman" w:hAnsi="Times New Roman"/>
          <w:color w:val="000000" w:themeColor="text1"/>
          <w:szCs w:val="22"/>
          <w:lang w:val="lt-LT"/>
        </w:rPr>
        <w:t xml:space="preserve"> atsipirkimo vertinimo metu modeliuojamas taškas už kurio kiekvienas papildomai investuotas 1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 xml:space="preserve"> sukuria mažiau nei 1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 xml:space="preserve"> finansinę naudą (sutaupytą pirminės energijos ir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vertę)</w:t>
      </w:r>
      <w:r w:rsidR="00B1084F" w:rsidRPr="00650EE4">
        <w:rPr>
          <w:rFonts w:ascii="Times New Roman" w:hAnsi="Times New Roman"/>
          <w:color w:val="000000" w:themeColor="text1"/>
          <w:szCs w:val="22"/>
          <w:lang w:val="lt-LT"/>
        </w:rPr>
        <w:t>, t</w:t>
      </w:r>
      <w:r w:rsidR="004F6509" w:rsidRPr="00650EE4">
        <w:rPr>
          <w:rFonts w:ascii="Times New Roman" w:hAnsi="Times New Roman"/>
          <w:color w:val="000000" w:themeColor="text1"/>
          <w:szCs w:val="22"/>
          <w:lang w:val="lt-LT"/>
        </w:rPr>
        <w:t xml:space="preserve">.y. ieškomos finansiškai atsiperkančios </w:t>
      </w:r>
      <w:r w:rsidR="00B1084F" w:rsidRPr="00650EE4">
        <w:rPr>
          <w:rFonts w:ascii="Times New Roman" w:hAnsi="Times New Roman"/>
          <w:color w:val="000000" w:themeColor="text1"/>
          <w:szCs w:val="22"/>
          <w:lang w:val="lt-LT"/>
        </w:rPr>
        <w:t>pirminės ener</w:t>
      </w:r>
      <w:r w:rsidR="004F6509" w:rsidRPr="00650EE4">
        <w:rPr>
          <w:rFonts w:ascii="Times New Roman" w:hAnsi="Times New Roman"/>
          <w:color w:val="000000" w:themeColor="text1"/>
          <w:szCs w:val="22"/>
          <w:lang w:val="lt-LT"/>
        </w:rPr>
        <w:t>gijos ir CO</w:t>
      </w:r>
      <w:r w:rsidR="004F6509" w:rsidRPr="00650EE4">
        <w:rPr>
          <w:rFonts w:ascii="Times New Roman" w:hAnsi="Times New Roman"/>
          <w:color w:val="000000" w:themeColor="text1"/>
          <w:szCs w:val="22"/>
          <w:vertAlign w:val="subscript"/>
          <w:lang w:val="lt-LT"/>
        </w:rPr>
        <w:t>2</w:t>
      </w:r>
      <w:r w:rsidR="004F6509" w:rsidRPr="00650EE4">
        <w:rPr>
          <w:rFonts w:ascii="Times New Roman" w:hAnsi="Times New Roman"/>
          <w:color w:val="000000" w:themeColor="text1"/>
          <w:szCs w:val="22"/>
          <w:lang w:val="lt-LT"/>
        </w:rPr>
        <w:t xml:space="preserve"> emisijų sutaupymų apimtys. </w:t>
      </w:r>
    </w:p>
    <w:p w14:paraId="67788DAD" w14:textId="77777777" w:rsidR="004F6509" w:rsidRPr="00650EE4" w:rsidRDefault="004F6509" w:rsidP="00B73EAC">
      <w:pPr>
        <w:pStyle w:val="BodyText"/>
        <w:rPr>
          <w:rFonts w:ascii="Times New Roman" w:hAnsi="Times New Roman"/>
          <w:color w:val="000000" w:themeColor="text1"/>
          <w:szCs w:val="22"/>
          <w:lang w:val="lt-LT"/>
        </w:rPr>
      </w:pPr>
    </w:p>
    <w:p w14:paraId="2C899B5A" w14:textId="701A49BC" w:rsidR="00D63055" w:rsidRPr="00650EE4" w:rsidRDefault="00E74E23" w:rsidP="00B73EAC">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Paveiksl</w:t>
      </w:r>
      <w:r w:rsidR="00A36DD2" w:rsidRPr="00650EE4">
        <w:rPr>
          <w:rFonts w:ascii="Times New Roman" w:hAnsi="Times New Roman"/>
          <w:color w:val="000000" w:themeColor="text1"/>
          <w:szCs w:val="22"/>
          <w:lang w:val="lt-LT"/>
        </w:rPr>
        <w:t>e</w:t>
      </w:r>
      <w:r w:rsidR="00EE19C8" w:rsidRPr="00650EE4">
        <w:rPr>
          <w:rFonts w:ascii="Times New Roman" w:hAnsi="Times New Roman"/>
          <w:color w:val="000000" w:themeColor="text1"/>
          <w:szCs w:val="22"/>
          <w:lang w:val="lt-LT"/>
        </w:rPr>
        <w:t xml:space="preserve"> žemiau pateikiami finansinio efektyvumo modeliavimo rezultatai</w:t>
      </w:r>
      <w:r w:rsidR="003C3CFF" w:rsidRPr="00650EE4">
        <w:rPr>
          <w:rFonts w:ascii="Times New Roman" w:hAnsi="Times New Roman"/>
          <w:color w:val="000000" w:themeColor="text1"/>
          <w:szCs w:val="22"/>
          <w:lang w:val="lt-LT"/>
        </w:rPr>
        <w:t xml:space="preserve"> 3 skirtingais šilumos energijos kainos scenarijais.</w:t>
      </w:r>
    </w:p>
    <w:p w14:paraId="3419F03F" w14:textId="77777777" w:rsidR="005022C8" w:rsidRPr="00650EE4" w:rsidRDefault="005022C8" w:rsidP="00B73EAC">
      <w:pPr>
        <w:pStyle w:val="BodyText"/>
        <w:rPr>
          <w:rFonts w:ascii="Times New Roman" w:hAnsi="Times New Roman"/>
          <w:color w:val="000000" w:themeColor="text1"/>
          <w:szCs w:val="22"/>
          <w:lang w:val="lt-LT"/>
        </w:rPr>
      </w:pPr>
    </w:p>
    <w:p w14:paraId="71DB731E" w14:textId="77777777" w:rsidR="007013A3" w:rsidRDefault="007013A3">
      <w:pPr>
        <w:spacing w:after="240"/>
        <w:rPr>
          <w:rFonts w:ascii="Times New Roman" w:eastAsiaTheme="minorHAnsi" w:hAnsi="Times New Roman"/>
          <w:bCs/>
          <w:i/>
          <w:color w:val="000000" w:themeColor="text1"/>
          <w:sz w:val="20"/>
          <w:szCs w:val="20"/>
        </w:rPr>
      </w:pPr>
      <w:r>
        <w:br w:type="page"/>
      </w:r>
    </w:p>
    <w:p w14:paraId="5CCEC399" w14:textId="17D2177A" w:rsidR="00E74E23"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09" w:name="_Toc67925264"/>
      <w:r w:rsidR="007744C1">
        <w:t>16</w:t>
      </w:r>
      <w:r w:rsidRPr="00650EE4">
        <w:rPr>
          <w:noProof w:val="0"/>
        </w:rPr>
        <w:fldChar w:fldCharType="end"/>
      </w:r>
      <w:r w:rsidR="00761ECA" w:rsidRPr="00650EE4">
        <w:rPr>
          <w:noProof w:val="0"/>
        </w:rPr>
        <w:t xml:space="preserve"> paveikslas.</w:t>
      </w:r>
      <w:r w:rsidR="00E74E23" w:rsidRPr="00650EE4">
        <w:rPr>
          <w:noProof w:val="0"/>
        </w:rPr>
        <w:t xml:space="preserve"> </w:t>
      </w:r>
      <w:r w:rsidR="00FD0366" w:rsidRPr="00650EE4">
        <w:rPr>
          <w:noProof w:val="0"/>
        </w:rPr>
        <w:t xml:space="preserve">Finansinio efektyvumo </w:t>
      </w:r>
      <w:r w:rsidR="009638F3" w:rsidRPr="00650EE4">
        <w:rPr>
          <w:noProof w:val="0"/>
        </w:rPr>
        <w:t>modeliavimo</w:t>
      </w:r>
      <w:r w:rsidR="00FD0366" w:rsidRPr="00650EE4">
        <w:rPr>
          <w:noProof w:val="0"/>
        </w:rPr>
        <w:t xml:space="preserve"> rezultatai</w:t>
      </w:r>
      <w:bookmarkEnd w:id="109"/>
    </w:p>
    <w:p w14:paraId="0332ADC9" w14:textId="142F9E35" w:rsidR="00E74E23" w:rsidRPr="00650EE4" w:rsidRDefault="000C1DED" w:rsidP="00E74E23">
      <w:pPr>
        <w:pStyle w:val="BodyText"/>
        <w:rPr>
          <w:rFonts w:ascii="Times New Roman" w:hAnsi="Times New Roman"/>
          <w:color w:val="000000" w:themeColor="text1"/>
          <w:sz w:val="24"/>
          <w:szCs w:val="24"/>
          <w:lang w:val="lt-LT"/>
        </w:rPr>
      </w:pPr>
      <w:r w:rsidRPr="00650EE4">
        <w:rPr>
          <w:rFonts w:ascii="Times New Roman" w:hAnsi="Times New Roman"/>
          <w:noProof/>
          <w:lang w:val="lt-LT" w:eastAsia="lt-LT"/>
        </w:rPr>
        <w:drawing>
          <wp:inline distT="0" distB="0" distL="0" distR="0" wp14:anchorId="01D50B68" wp14:editId="528D58FC">
            <wp:extent cx="6479540" cy="2656205"/>
            <wp:effectExtent l="0" t="0" r="16510" b="10795"/>
            <wp:docPr id="1" name="Chart 1">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768725-5D77-47C4-9F7E-4F6E41625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18E2AE" w14:textId="01EEF4D6" w:rsidR="001B1683" w:rsidRDefault="00E410B0" w:rsidP="007013A3">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E12EB6">
        <w:rPr>
          <w:rFonts w:ascii="Times New Roman" w:hAnsi="Times New Roman"/>
          <w:i/>
          <w:iCs/>
          <w:color w:val="auto"/>
          <w:sz w:val="20"/>
          <w:szCs w:val="20"/>
        </w:rPr>
        <w:t>Lietuvos ilgalaikei renovacijos strategijai parengti</w:t>
      </w:r>
      <w:r w:rsidR="00E12EB6" w:rsidRPr="00650EE4">
        <w:rPr>
          <w:rFonts w:ascii="Times New Roman" w:eastAsia="Times New Roman" w:hAnsi="Times New Roman"/>
          <w:i/>
          <w:color w:val="000000" w:themeColor="text1"/>
          <w:sz w:val="20"/>
          <w:szCs w:val="20"/>
        </w:rPr>
        <w:t xml:space="preserve"> </w:t>
      </w:r>
      <w:bookmarkStart w:id="110" w:name="_Toc47613715"/>
      <w:r w:rsidR="007013A3">
        <w:rPr>
          <w:rFonts w:ascii="Times New Roman" w:eastAsia="Times New Roman" w:hAnsi="Times New Roman"/>
          <w:i/>
          <w:color w:val="000000" w:themeColor="text1"/>
          <w:sz w:val="20"/>
          <w:szCs w:val="28"/>
        </w:rPr>
        <w:t>autoriai.</w:t>
      </w:r>
    </w:p>
    <w:p w14:paraId="473354C3" w14:textId="77777777" w:rsidR="007013A3" w:rsidRPr="007013A3" w:rsidRDefault="007013A3" w:rsidP="007013A3">
      <w:pPr>
        <w:spacing w:before="60" w:line="240" w:lineRule="auto"/>
        <w:jc w:val="both"/>
        <w:rPr>
          <w:rFonts w:ascii="Times New Roman" w:eastAsia="Times New Roman" w:hAnsi="Times New Roman"/>
          <w:i/>
          <w:color w:val="000000" w:themeColor="text1"/>
          <w:sz w:val="20"/>
          <w:szCs w:val="28"/>
        </w:rPr>
      </w:pPr>
    </w:p>
    <w:p w14:paraId="59442C64" w14:textId="73B2A961" w:rsidR="00A230C6" w:rsidRPr="00650EE4" w:rsidRDefault="00A230C6" w:rsidP="00A230C6">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54E82DF0" w14:textId="26DBECF7" w:rsidR="00A230C6" w:rsidRPr="00650EE4" w:rsidRDefault="00120FAF" w:rsidP="00A230C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A230C6" w:rsidRPr="00650EE4">
        <w:rPr>
          <w:rFonts w:ascii="Times New Roman" w:hAnsi="Times New Roman"/>
          <w:color w:val="000000" w:themeColor="text1"/>
          <w:szCs w:val="22"/>
        </w:rPr>
        <w:t>rielaidos</w:t>
      </w:r>
      <w:r w:rsidR="00EE19C8" w:rsidRPr="00650EE4">
        <w:rPr>
          <w:rFonts w:ascii="Times New Roman" w:hAnsi="Times New Roman"/>
          <w:color w:val="000000" w:themeColor="text1"/>
          <w:szCs w:val="22"/>
        </w:rPr>
        <w:t xml:space="preserve"> dėl energijos ir CO</w:t>
      </w:r>
      <w:r w:rsidR="00EE19C8" w:rsidRPr="00650EE4">
        <w:rPr>
          <w:rFonts w:ascii="Times New Roman" w:hAnsi="Times New Roman"/>
          <w:color w:val="000000" w:themeColor="text1"/>
          <w:szCs w:val="22"/>
          <w:vertAlign w:val="subscript"/>
        </w:rPr>
        <w:t>2</w:t>
      </w:r>
      <w:r w:rsidR="00EE19C8" w:rsidRPr="00650EE4">
        <w:rPr>
          <w:rFonts w:ascii="Times New Roman" w:hAnsi="Times New Roman"/>
          <w:color w:val="000000" w:themeColor="text1"/>
          <w:szCs w:val="22"/>
        </w:rPr>
        <w:t xml:space="preserve"> kainų kitimo tendencijų </w:t>
      </w:r>
      <w:r w:rsidR="00A230C6" w:rsidRPr="00650EE4">
        <w:rPr>
          <w:rFonts w:ascii="Times New Roman" w:hAnsi="Times New Roman"/>
          <w:color w:val="000000" w:themeColor="text1"/>
          <w:szCs w:val="22"/>
        </w:rPr>
        <w:t>reikšmingai įtakoja finansin</w:t>
      </w:r>
      <w:r w:rsidR="00122C88" w:rsidRPr="00650EE4">
        <w:rPr>
          <w:rFonts w:ascii="Times New Roman" w:hAnsi="Times New Roman"/>
          <w:color w:val="000000" w:themeColor="text1"/>
          <w:szCs w:val="22"/>
        </w:rPr>
        <w:t xml:space="preserve">ę naudą ir </w:t>
      </w:r>
      <w:r w:rsidR="00A230C6" w:rsidRPr="00650EE4">
        <w:rPr>
          <w:rFonts w:ascii="Times New Roman" w:hAnsi="Times New Roman"/>
          <w:color w:val="000000" w:themeColor="text1"/>
          <w:szCs w:val="22"/>
        </w:rPr>
        <w:t>atsiperkamumą;</w:t>
      </w:r>
    </w:p>
    <w:p w14:paraId="3E97E16F" w14:textId="52503D40" w:rsidR="00EE19C8" w:rsidRPr="00650EE4" w:rsidRDefault="00120FAF" w:rsidP="00EE19C8">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EE19C8" w:rsidRPr="00650EE4">
        <w:rPr>
          <w:rFonts w:ascii="Times New Roman" w:hAnsi="Times New Roman"/>
          <w:color w:val="000000" w:themeColor="text1"/>
          <w:szCs w:val="22"/>
        </w:rPr>
        <w:t xml:space="preserve">rielaidų patikimumas 30 m. laikotarpiu nėra didelis, atitinkamai negalima remtis vien tik </w:t>
      </w:r>
      <w:r w:rsidR="009901D2" w:rsidRPr="00650EE4">
        <w:rPr>
          <w:rFonts w:ascii="Times New Roman" w:hAnsi="Times New Roman"/>
          <w:color w:val="000000" w:themeColor="text1"/>
          <w:szCs w:val="22"/>
        </w:rPr>
        <w:t>finansinio</w:t>
      </w:r>
      <w:r w:rsidR="00FD0366" w:rsidRPr="00650EE4">
        <w:rPr>
          <w:rFonts w:ascii="Times New Roman" w:hAnsi="Times New Roman"/>
          <w:color w:val="000000" w:themeColor="text1"/>
          <w:szCs w:val="22"/>
        </w:rPr>
        <w:t xml:space="preserve"> vertinimo rezultatais;</w:t>
      </w:r>
    </w:p>
    <w:p w14:paraId="04B9DF1E" w14:textId="2AAC9782" w:rsidR="005802BA" w:rsidRPr="00650EE4" w:rsidRDefault="00120FAF" w:rsidP="009A511C">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5802BA" w:rsidRPr="00650EE4">
        <w:rPr>
          <w:rFonts w:ascii="Times New Roman" w:hAnsi="Times New Roman"/>
          <w:color w:val="000000" w:themeColor="text1"/>
          <w:szCs w:val="22"/>
        </w:rPr>
        <w:t>lgalaikė</w:t>
      </w:r>
      <w:r w:rsidR="00EE19C8" w:rsidRPr="00650EE4">
        <w:rPr>
          <w:rFonts w:ascii="Times New Roman" w:hAnsi="Times New Roman"/>
          <w:color w:val="000000" w:themeColor="text1"/>
          <w:szCs w:val="22"/>
        </w:rPr>
        <w:t xml:space="preserve">je perspektyvoje </w:t>
      </w:r>
      <w:r w:rsidR="00621D99" w:rsidRPr="00650EE4">
        <w:rPr>
          <w:rFonts w:ascii="Times New Roman" w:hAnsi="Times New Roman"/>
          <w:color w:val="000000" w:themeColor="text1"/>
          <w:szCs w:val="22"/>
        </w:rPr>
        <w:t xml:space="preserve">labiau </w:t>
      </w:r>
      <w:r w:rsidR="00EE19C8" w:rsidRPr="00650EE4">
        <w:rPr>
          <w:rFonts w:ascii="Times New Roman" w:hAnsi="Times New Roman"/>
          <w:color w:val="000000" w:themeColor="text1"/>
          <w:szCs w:val="22"/>
        </w:rPr>
        <w:t>tikėtina</w:t>
      </w:r>
      <w:r w:rsidR="00621D99" w:rsidRPr="00650EE4">
        <w:rPr>
          <w:rFonts w:ascii="Times New Roman" w:hAnsi="Times New Roman"/>
          <w:color w:val="000000" w:themeColor="text1"/>
          <w:szCs w:val="22"/>
        </w:rPr>
        <w:t xml:space="preserve">s agresyvesnio energijos kainų didėjimo scenarijus </w:t>
      </w:r>
      <w:r w:rsidR="005802BA" w:rsidRPr="00650EE4">
        <w:rPr>
          <w:rFonts w:ascii="Times New Roman" w:hAnsi="Times New Roman"/>
          <w:color w:val="000000" w:themeColor="text1"/>
          <w:szCs w:val="22"/>
        </w:rPr>
        <w:t>(</w:t>
      </w:r>
      <w:r w:rsidR="00EE19C8" w:rsidRPr="00650EE4">
        <w:rPr>
          <w:rFonts w:ascii="Times New Roman" w:hAnsi="Times New Roman"/>
          <w:color w:val="000000" w:themeColor="text1"/>
          <w:szCs w:val="22"/>
        </w:rPr>
        <w:t>dabartinis žaliavų kainų lygis istorinėse žemumose</w:t>
      </w:r>
      <w:r w:rsidR="005802BA" w:rsidRPr="00650EE4">
        <w:rPr>
          <w:rFonts w:ascii="Times New Roman" w:hAnsi="Times New Roman"/>
          <w:color w:val="000000" w:themeColor="text1"/>
          <w:szCs w:val="22"/>
        </w:rPr>
        <w:t>, tikėtina</w:t>
      </w:r>
      <w:r w:rsidR="00EE19C8" w:rsidRPr="00650EE4">
        <w:rPr>
          <w:rFonts w:ascii="Times New Roman" w:hAnsi="Times New Roman"/>
          <w:color w:val="000000" w:themeColor="text1"/>
          <w:szCs w:val="22"/>
        </w:rPr>
        <w:t>s</w:t>
      </w:r>
      <w:r w:rsidR="005802BA" w:rsidRPr="00650EE4">
        <w:rPr>
          <w:rFonts w:ascii="Times New Roman" w:hAnsi="Times New Roman"/>
          <w:color w:val="000000" w:themeColor="text1"/>
          <w:szCs w:val="22"/>
        </w:rPr>
        <w:t xml:space="preserve"> </w:t>
      </w:r>
      <w:r w:rsidR="00EE19C8" w:rsidRPr="00650EE4">
        <w:rPr>
          <w:rFonts w:ascii="Times New Roman" w:hAnsi="Times New Roman"/>
          <w:color w:val="000000" w:themeColor="text1"/>
          <w:szCs w:val="22"/>
        </w:rPr>
        <w:t>ES subsidijų energetikos infrastruktūrai mažėjimas).</w:t>
      </w:r>
    </w:p>
    <w:p w14:paraId="59C5CEEB" w14:textId="77777777" w:rsidR="001B1683" w:rsidRPr="00650EE4" w:rsidRDefault="001B1683" w:rsidP="001B1683">
      <w:pPr>
        <w:pStyle w:val="Pagrindinispaprastastekstas"/>
        <w:spacing w:after="120"/>
        <w:ind w:left="714"/>
        <w:rPr>
          <w:rFonts w:ascii="Times New Roman" w:hAnsi="Times New Roman"/>
          <w:color w:val="000000" w:themeColor="text1"/>
          <w:szCs w:val="22"/>
        </w:rPr>
      </w:pPr>
    </w:p>
    <w:p w14:paraId="0ABDED81" w14:textId="733873BC" w:rsidR="00E74E23" w:rsidRPr="00650EE4" w:rsidRDefault="00BF6DB0" w:rsidP="00BF6DB0">
      <w:pPr>
        <w:pStyle w:val="Antrastes2"/>
        <w:numPr>
          <w:ilvl w:val="1"/>
          <w:numId w:val="4"/>
        </w:numPr>
        <w:pBdr>
          <w:bottom w:val="single" w:sz="4" w:space="2" w:color="auto"/>
        </w:pBdr>
        <w:spacing w:before="0"/>
        <w:ind w:left="576" w:hanging="576"/>
        <w:jc w:val="both"/>
        <w:rPr>
          <w:rFonts w:ascii="Times New Roman" w:hAnsi="Times New Roman"/>
          <w:color w:val="auto"/>
          <w:sz w:val="24"/>
          <w:szCs w:val="24"/>
          <w:lang w:val="lt-LT"/>
        </w:rPr>
      </w:pPr>
      <w:bookmarkStart w:id="111" w:name="_Toc67925134"/>
      <w:r w:rsidRPr="00650EE4">
        <w:rPr>
          <w:rFonts w:ascii="Times New Roman" w:hAnsi="Times New Roman"/>
          <w:color w:val="auto"/>
          <w:sz w:val="24"/>
          <w:szCs w:val="24"/>
          <w:lang w:val="lt-LT"/>
        </w:rPr>
        <w:t xml:space="preserve">Ekonominio efektyvumo </w:t>
      </w:r>
      <w:bookmarkEnd w:id="110"/>
      <w:r w:rsidRPr="00650EE4">
        <w:rPr>
          <w:rFonts w:ascii="Times New Roman" w:hAnsi="Times New Roman"/>
          <w:color w:val="auto"/>
          <w:sz w:val="24"/>
          <w:szCs w:val="24"/>
          <w:lang w:val="lt-LT"/>
        </w:rPr>
        <w:t>vertinimas</w:t>
      </w:r>
      <w:bookmarkEnd w:id="111"/>
      <w:r w:rsidR="00E74E23" w:rsidRPr="00650EE4">
        <w:rPr>
          <w:rFonts w:ascii="Times New Roman" w:hAnsi="Times New Roman"/>
          <w:color w:val="auto"/>
          <w:sz w:val="24"/>
          <w:szCs w:val="24"/>
          <w:lang w:val="lt-LT"/>
        </w:rPr>
        <w:t xml:space="preserve"> </w:t>
      </w:r>
    </w:p>
    <w:p w14:paraId="2A6A86AF" w14:textId="2F0B6FB4" w:rsidR="004F6509" w:rsidRPr="00650EE4" w:rsidRDefault="009A511C" w:rsidP="004F6509">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Ekonominį atsipirkimo vertinimo metu </w:t>
      </w:r>
      <w:r w:rsidR="00424552" w:rsidRPr="00650EE4">
        <w:rPr>
          <w:rFonts w:ascii="Times New Roman" w:hAnsi="Times New Roman"/>
          <w:color w:val="000000" w:themeColor="text1"/>
          <w:szCs w:val="22"/>
          <w:lang w:val="lt-LT"/>
        </w:rPr>
        <w:t xml:space="preserve">modeliuojamas taškas už kurio kiekvienas papildomai investuotas 1 </w:t>
      </w:r>
      <w:proofErr w:type="spellStart"/>
      <w:r w:rsidR="00424552" w:rsidRPr="00650EE4">
        <w:rPr>
          <w:rFonts w:ascii="Times New Roman" w:hAnsi="Times New Roman"/>
          <w:color w:val="000000" w:themeColor="text1"/>
          <w:szCs w:val="22"/>
          <w:lang w:val="lt-LT"/>
        </w:rPr>
        <w:t>Eur</w:t>
      </w:r>
      <w:proofErr w:type="spellEnd"/>
      <w:r w:rsidR="00424552" w:rsidRPr="00650EE4">
        <w:rPr>
          <w:rFonts w:ascii="Times New Roman" w:hAnsi="Times New Roman"/>
          <w:color w:val="000000" w:themeColor="text1"/>
          <w:szCs w:val="22"/>
          <w:lang w:val="lt-LT"/>
        </w:rPr>
        <w:t xml:space="preserve"> sukuria mažiau nei 1 </w:t>
      </w:r>
      <w:proofErr w:type="spellStart"/>
      <w:r w:rsidR="00424552" w:rsidRPr="00650EE4">
        <w:rPr>
          <w:rFonts w:ascii="Times New Roman" w:hAnsi="Times New Roman"/>
          <w:color w:val="000000" w:themeColor="text1"/>
          <w:szCs w:val="22"/>
          <w:lang w:val="lt-LT"/>
        </w:rPr>
        <w:t>Eur</w:t>
      </w:r>
      <w:proofErr w:type="spellEnd"/>
      <w:r w:rsidR="00424552" w:rsidRPr="00650EE4">
        <w:rPr>
          <w:rFonts w:ascii="Times New Roman" w:hAnsi="Times New Roman"/>
          <w:color w:val="000000" w:themeColor="text1"/>
          <w:szCs w:val="22"/>
          <w:lang w:val="lt-LT"/>
        </w:rPr>
        <w:t xml:space="preserve"> ekonominę naudą (finansinė nauda + </w:t>
      </w:r>
      <w:r w:rsidRPr="00650EE4">
        <w:rPr>
          <w:rFonts w:ascii="Times New Roman" w:hAnsi="Times New Roman"/>
          <w:color w:val="000000" w:themeColor="text1"/>
          <w:szCs w:val="22"/>
          <w:lang w:val="lt-LT"/>
        </w:rPr>
        <w:t xml:space="preserve"> ekonominių naudų </w:t>
      </w:r>
      <w:r w:rsidR="00424552" w:rsidRPr="00650EE4">
        <w:rPr>
          <w:rFonts w:ascii="Times New Roman" w:hAnsi="Times New Roman"/>
          <w:color w:val="000000" w:themeColor="text1"/>
          <w:szCs w:val="22"/>
          <w:lang w:val="lt-LT"/>
        </w:rPr>
        <w:t>vertė</w:t>
      </w:r>
      <w:r w:rsidR="008E7EE4" w:rsidRPr="00650EE4">
        <w:rPr>
          <w:rFonts w:ascii="Times New Roman" w:hAnsi="Times New Roman"/>
          <w:color w:val="000000" w:themeColor="text1"/>
          <w:szCs w:val="22"/>
          <w:lang w:val="lt-LT"/>
        </w:rPr>
        <w:t xml:space="preserve">), t.y. </w:t>
      </w:r>
      <w:r w:rsidR="004F6509" w:rsidRPr="00650EE4">
        <w:rPr>
          <w:rFonts w:ascii="Times New Roman" w:hAnsi="Times New Roman"/>
          <w:color w:val="000000" w:themeColor="text1"/>
          <w:szCs w:val="22"/>
          <w:lang w:val="lt-LT"/>
        </w:rPr>
        <w:t>ieškomos ekonomiškai atsiperkančios pirminės energijos ir CO</w:t>
      </w:r>
      <w:r w:rsidR="004F6509" w:rsidRPr="00650EE4">
        <w:rPr>
          <w:rFonts w:ascii="Times New Roman" w:hAnsi="Times New Roman"/>
          <w:color w:val="000000" w:themeColor="text1"/>
          <w:szCs w:val="22"/>
          <w:vertAlign w:val="subscript"/>
          <w:lang w:val="lt-LT"/>
        </w:rPr>
        <w:t>2</w:t>
      </w:r>
      <w:r w:rsidR="004F6509" w:rsidRPr="00650EE4">
        <w:rPr>
          <w:rFonts w:ascii="Times New Roman" w:hAnsi="Times New Roman"/>
          <w:color w:val="000000" w:themeColor="text1"/>
          <w:szCs w:val="22"/>
          <w:lang w:val="lt-LT"/>
        </w:rPr>
        <w:t xml:space="preserve"> emisijų sutaupymų apimtys. </w:t>
      </w:r>
    </w:p>
    <w:p w14:paraId="78ABAE6B" w14:textId="6FBC6B3A" w:rsidR="004F6509" w:rsidRPr="00650EE4" w:rsidRDefault="004F6509" w:rsidP="008E7EE4">
      <w:pPr>
        <w:pStyle w:val="BodyText"/>
        <w:rPr>
          <w:rFonts w:ascii="Times New Roman" w:hAnsi="Times New Roman"/>
          <w:color w:val="000000" w:themeColor="text1"/>
          <w:szCs w:val="22"/>
          <w:lang w:val="lt-LT"/>
        </w:rPr>
      </w:pPr>
    </w:p>
    <w:p w14:paraId="1486E9D4" w14:textId="6CFDE639" w:rsidR="004F6509" w:rsidRPr="00650EE4" w:rsidRDefault="00CF2266" w:rsidP="004F6509">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Esmines renovacijos </w:t>
      </w:r>
      <w:r w:rsidR="004F6509" w:rsidRPr="00650EE4">
        <w:rPr>
          <w:rFonts w:ascii="Times New Roman" w:hAnsi="Times New Roman"/>
          <w:color w:val="000000" w:themeColor="text1"/>
          <w:szCs w:val="22"/>
          <w:lang w:val="lt-LT"/>
        </w:rPr>
        <w:t>ekonomines naudas sudaro</w:t>
      </w:r>
      <w:r w:rsidRPr="00650EE4">
        <w:rPr>
          <w:rFonts w:ascii="Times New Roman" w:hAnsi="Times New Roman"/>
          <w:color w:val="000000" w:themeColor="text1"/>
          <w:szCs w:val="22"/>
          <w:lang w:val="lt-LT"/>
        </w:rPr>
        <w:t xml:space="preserve"> (detalus aprašymas pateiktas </w:t>
      </w:r>
      <w:r w:rsidR="00D34A7B">
        <w:rPr>
          <w:rFonts w:ascii="Times New Roman" w:hAnsi="Times New Roman"/>
          <w:color w:val="000000" w:themeColor="text1"/>
          <w:szCs w:val="22"/>
          <w:lang w:val="lt-LT"/>
        </w:rPr>
        <w:t>5</w:t>
      </w:r>
      <w:r w:rsidRPr="00650EE4">
        <w:rPr>
          <w:rFonts w:ascii="Times New Roman" w:hAnsi="Times New Roman"/>
          <w:color w:val="000000" w:themeColor="text1"/>
          <w:szCs w:val="22"/>
          <w:lang w:val="lt-LT"/>
        </w:rPr>
        <w:t>.3 skyriuje)</w:t>
      </w:r>
      <w:r w:rsidR="004F6509" w:rsidRPr="00650EE4">
        <w:rPr>
          <w:rFonts w:ascii="Times New Roman" w:hAnsi="Times New Roman"/>
          <w:color w:val="000000" w:themeColor="text1"/>
          <w:szCs w:val="22"/>
          <w:lang w:val="lt-LT"/>
        </w:rPr>
        <w:t xml:space="preserve">: </w:t>
      </w:r>
    </w:p>
    <w:p w14:paraId="16C518B3" w14:textId="136AA105" w:rsidR="004F6509" w:rsidRPr="00650EE4" w:rsidRDefault="004F6509" w:rsidP="00BD4925">
      <w:pPr>
        <w:pStyle w:val="Pagrindinispaprastastekstas"/>
        <w:numPr>
          <w:ilvl w:val="0"/>
          <w:numId w:val="25"/>
        </w:numPr>
        <w:spacing w:after="60"/>
        <w:rPr>
          <w:rFonts w:ascii="Times New Roman" w:hAnsi="Times New Roman"/>
          <w:color w:val="000000" w:themeColor="text1"/>
          <w:szCs w:val="22"/>
        </w:rPr>
      </w:pPr>
      <w:r w:rsidRPr="00650EE4">
        <w:rPr>
          <w:rFonts w:ascii="Times New Roman" w:hAnsi="Times New Roman"/>
          <w:bCs/>
          <w:color w:val="000000" w:themeColor="text1"/>
          <w:szCs w:val="22"/>
        </w:rPr>
        <w:t>BVP padidėjimas</w:t>
      </w:r>
      <w:r w:rsidRPr="00650EE4">
        <w:rPr>
          <w:rFonts w:ascii="Times New Roman" w:hAnsi="Times New Roman"/>
          <w:color w:val="000000" w:themeColor="text1"/>
          <w:szCs w:val="22"/>
        </w:rPr>
        <w:t xml:space="preserve">: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 nuo 0,88 iki 1,06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BVP padidėjimas</w:t>
      </w:r>
      <w:r w:rsidR="00996814" w:rsidRPr="00650EE4">
        <w:rPr>
          <w:rFonts w:ascii="Times New Roman" w:hAnsi="Times New Roman"/>
          <w:color w:val="000000" w:themeColor="text1"/>
          <w:szCs w:val="22"/>
        </w:rPr>
        <w:t>;</w:t>
      </w:r>
    </w:p>
    <w:p w14:paraId="225144B9" w14:textId="41CC553E" w:rsidR="004F6509" w:rsidRPr="00650EE4" w:rsidRDefault="008E14A3" w:rsidP="00BD4925">
      <w:pPr>
        <w:pStyle w:val="Pagrindinispaprastastekstas"/>
        <w:numPr>
          <w:ilvl w:val="0"/>
          <w:numId w:val="25"/>
        </w:numPr>
        <w:spacing w:after="60"/>
        <w:rPr>
          <w:rFonts w:ascii="Times New Roman" w:hAnsi="Times New Roman"/>
          <w:color w:val="000000" w:themeColor="text1"/>
          <w:szCs w:val="22"/>
        </w:rPr>
      </w:pPr>
      <w:r>
        <w:rPr>
          <w:rFonts w:ascii="Times New Roman" w:hAnsi="Times New Roman"/>
          <w:bCs/>
          <w:color w:val="000000" w:themeColor="text1"/>
          <w:szCs w:val="22"/>
        </w:rPr>
        <w:t>p</w:t>
      </w:r>
      <w:r w:rsidR="004F6509" w:rsidRPr="00650EE4">
        <w:rPr>
          <w:rFonts w:ascii="Times New Roman" w:hAnsi="Times New Roman"/>
          <w:bCs/>
          <w:color w:val="000000" w:themeColor="text1"/>
          <w:szCs w:val="22"/>
        </w:rPr>
        <w:t>agerėjusi žmonių sveikata ir darbingumas</w:t>
      </w:r>
      <w:r w:rsidR="004F6509" w:rsidRPr="00650EE4">
        <w:rPr>
          <w:rFonts w:ascii="Times New Roman" w:hAnsi="Times New Roman"/>
          <w:color w:val="000000" w:themeColor="text1"/>
          <w:szCs w:val="22"/>
        </w:rPr>
        <w:t xml:space="preserve">: investuotas 1 </w:t>
      </w:r>
      <w:proofErr w:type="spellStart"/>
      <w:r w:rsidR="004F6509" w:rsidRPr="00650EE4">
        <w:rPr>
          <w:rFonts w:ascii="Times New Roman" w:hAnsi="Times New Roman"/>
          <w:color w:val="000000" w:themeColor="text1"/>
          <w:szCs w:val="22"/>
        </w:rPr>
        <w:t>Eur</w:t>
      </w:r>
      <w:proofErr w:type="spellEnd"/>
      <w:r w:rsidR="004F6509" w:rsidRPr="00650EE4">
        <w:rPr>
          <w:rFonts w:ascii="Times New Roman" w:hAnsi="Times New Roman"/>
          <w:color w:val="000000" w:themeColor="text1"/>
          <w:szCs w:val="22"/>
        </w:rPr>
        <w:t xml:space="preserve"> = nuo 0,21 iki 0,44 </w:t>
      </w:r>
      <w:proofErr w:type="spellStart"/>
      <w:r w:rsidR="004F6509" w:rsidRPr="00650EE4">
        <w:rPr>
          <w:rFonts w:ascii="Times New Roman" w:hAnsi="Times New Roman"/>
          <w:color w:val="000000" w:themeColor="text1"/>
          <w:szCs w:val="22"/>
        </w:rPr>
        <w:t>Eur</w:t>
      </w:r>
      <w:proofErr w:type="spellEnd"/>
      <w:r w:rsidR="004F6509" w:rsidRPr="00650EE4">
        <w:rPr>
          <w:rFonts w:ascii="Times New Roman" w:hAnsi="Times New Roman"/>
          <w:color w:val="000000" w:themeColor="text1"/>
          <w:szCs w:val="22"/>
        </w:rPr>
        <w:t xml:space="preserve"> ekonominė nauda;</w:t>
      </w:r>
    </w:p>
    <w:p w14:paraId="22C641CE" w14:textId="278B968A" w:rsidR="004F6509" w:rsidRPr="00650EE4" w:rsidRDefault="008E14A3" w:rsidP="00BD4925">
      <w:pPr>
        <w:pStyle w:val="Pagrindinispaprastastekstas"/>
        <w:numPr>
          <w:ilvl w:val="0"/>
          <w:numId w:val="25"/>
        </w:numPr>
        <w:spacing w:after="60"/>
        <w:rPr>
          <w:rFonts w:ascii="Times New Roman" w:hAnsi="Times New Roman"/>
          <w:color w:val="000000" w:themeColor="text1"/>
          <w:szCs w:val="22"/>
        </w:rPr>
      </w:pPr>
      <w:r>
        <w:rPr>
          <w:rFonts w:ascii="Times New Roman" w:hAnsi="Times New Roman"/>
          <w:bCs/>
          <w:color w:val="000000" w:themeColor="text1"/>
          <w:szCs w:val="22"/>
        </w:rPr>
        <w:t>g</w:t>
      </w:r>
      <w:r w:rsidR="004F6509" w:rsidRPr="00650EE4">
        <w:rPr>
          <w:rFonts w:ascii="Times New Roman" w:hAnsi="Times New Roman"/>
          <w:bCs/>
          <w:color w:val="000000" w:themeColor="text1"/>
          <w:szCs w:val="22"/>
        </w:rPr>
        <w:t>yvenamojo būsto vertės padidėjimas</w:t>
      </w:r>
      <w:r w:rsidR="004F6509" w:rsidRPr="00650EE4">
        <w:rPr>
          <w:rFonts w:ascii="Times New Roman" w:hAnsi="Times New Roman"/>
          <w:color w:val="000000" w:themeColor="text1"/>
          <w:szCs w:val="22"/>
        </w:rPr>
        <w:t>: gyvenamojo būsto pagrindiniuose 5 miestuose (Vilnius, Kaunas, Klaipėda, Šiauliai ir Panevėžys) vertė padidėja iki 15%;</w:t>
      </w:r>
    </w:p>
    <w:p w14:paraId="2AD73216" w14:textId="06B04741" w:rsidR="004F6509" w:rsidRPr="00650EE4" w:rsidRDefault="004F6509" w:rsidP="00BD4925">
      <w:pPr>
        <w:pStyle w:val="Pagrindinispaprastastekstas"/>
        <w:numPr>
          <w:ilvl w:val="0"/>
          <w:numId w:val="25"/>
        </w:numPr>
        <w:spacing w:after="240"/>
        <w:rPr>
          <w:rFonts w:ascii="Times New Roman" w:hAnsi="Times New Roman"/>
          <w:color w:val="000000" w:themeColor="text1"/>
          <w:szCs w:val="22"/>
        </w:rPr>
      </w:pPr>
      <w:proofErr w:type="spellStart"/>
      <w:r w:rsidRPr="00650EE4">
        <w:rPr>
          <w:rFonts w:ascii="Times New Roman" w:hAnsi="Times New Roman"/>
          <w:bCs/>
          <w:color w:val="000000" w:themeColor="text1"/>
          <w:szCs w:val="22"/>
        </w:rPr>
        <w:t>NO</w:t>
      </w:r>
      <w:r w:rsidRPr="00650EE4">
        <w:rPr>
          <w:rFonts w:ascii="Times New Roman" w:hAnsi="Times New Roman"/>
          <w:bCs/>
          <w:color w:val="000000" w:themeColor="text1"/>
          <w:szCs w:val="22"/>
          <w:vertAlign w:val="subscript"/>
        </w:rPr>
        <w:t>x</w:t>
      </w:r>
      <w:proofErr w:type="spellEnd"/>
      <w:r w:rsidRPr="00650EE4">
        <w:rPr>
          <w:rFonts w:ascii="Times New Roman" w:hAnsi="Times New Roman"/>
          <w:bCs/>
          <w:color w:val="000000" w:themeColor="text1"/>
          <w:szCs w:val="22"/>
        </w:rPr>
        <w:t>, SO</w:t>
      </w:r>
      <w:r w:rsidRPr="00650EE4">
        <w:rPr>
          <w:rFonts w:ascii="Times New Roman" w:hAnsi="Times New Roman"/>
          <w:bCs/>
          <w:color w:val="000000" w:themeColor="text1"/>
          <w:szCs w:val="22"/>
          <w:vertAlign w:val="subscript"/>
        </w:rPr>
        <w:t>2</w:t>
      </w:r>
      <w:r w:rsidRPr="00650EE4">
        <w:rPr>
          <w:rFonts w:ascii="Times New Roman" w:hAnsi="Times New Roman"/>
          <w:bCs/>
          <w:color w:val="000000" w:themeColor="text1"/>
          <w:szCs w:val="22"/>
        </w:rPr>
        <w:t xml:space="preserve"> ir kietųjų dalelių sumažėjimas</w:t>
      </w:r>
      <w:r w:rsidRPr="00650EE4">
        <w:rPr>
          <w:rFonts w:ascii="Times New Roman" w:hAnsi="Times New Roman"/>
          <w:color w:val="000000" w:themeColor="text1"/>
          <w:szCs w:val="22"/>
        </w:rPr>
        <w:t xml:space="preserve">: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 0,015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ekonominė nauda.</w:t>
      </w:r>
    </w:p>
    <w:p w14:paraId="70392A1A" w14:textId="369617AA" w:rsidR="00CF2266" w:rsidRPr="00650EE4" w:rsidRDefault="004F6509" w:rsidP="00CF2266">
      <w:pPr>
        <w:pStyle w:val="BodyText"/>
        <w:spacing w:after="120"/>
        <w:jc w:val="both"/>
        <w:rPr>
          <w:rFonts w:ascii="Times New Roman" w:hAnsi="Times New Roman"/>
          <w:b/>
          <w:color w:val="000000" w:themeColor="text1"/>
          <w:szCs w:val="22"/>
          <w:lang w:val="lt-LT"/>
        </w:rPr>
      </w:pPr>
      <w:r w:rsidRPr="00650EE4">
        <w:rPr>
          <w:rFonts w:ascii="Times New Roman" w:hAnsi="Times New Roman"/>
          <w:color w:val="000000" w:themeColor="text1"/>
          <w:szCs w:val="22"/>
          <w:lang w:val="lt-LT"/>
        </w:rPr>
        <w:t>Tačiau, vadovaujantis atsargum</w:t>
      </w:r>
      <w:r w:rsidR="00A90895" w:rsidRPr="00650EE4">
        <w:rPr>
          <w:rFonts w:ascii="Times New Roman" w:hAnsi="Times New Roman"/>
          <w:color w:val="000000" w:themeColor="text1"/>
          <w:szCs w:val="22"/>
          <w:lang w:val="lt-LT"/>
        </w:rPr>
        <w:t xml:space="preserve">o ir konservatyvumo principais </w:t>
      </w:r>
      <w:r w:rsidR="00CF2266" w:rsidRPr="00650EE4">
        <w:rPr>
          <w:rFonts w:ascii="Times New Roman" w:hAnsi="Times New Roman"/>
          <w:color w:val="000000" w:themeColor="text1"/>
          <w:szCs w:val="22"/>
          <w:lang w:val="lt-LT"/>
        </w:rPr>
        <w:t xml:space="preserve">bei </w:t>
      </w:r>
      <w:r w:rsidRPr="00650EE4">
        <w:rPr>
          <w:rFonts w:ascii="Times New Roman" w:hAnsi="Times New Roman"/>
          <w:color w:val="000000" w:themeColor="text1"/>
          <w:szCs w:val="22"/>
          <w:lang w:val="lt-LT"/>
        </w:rPr>
        <w:t>siekiant neiškreipti modeliavimo rezultatų pernelyg optimistiniais lūkesčiais, vertinant ekonom</w:t>
      </w:r>
      <w:r w:rsidR="00CF2266" w:rsidRPr="00650EE4">
        <w:rPr>
          <w:rFonts w:ascii="Times New Roman" w:hAnsi="Times New Roman"/>
          <w:color w:val="000000" w:themeColor="text1"/>
          <w:szCs w:val="22"/>
          <w:lang w:val="lt-LT"/>
        </w:rPr>
        <w:t>inį efektyvumą:</w:t>
      </w:r>
    </w:p>
    <w:p w14:paraId="70D47A19" w14:textId="1D7562AD" w:rsidR="00CF2266" w:rsidRPr="00650EE4" w:rsidRDefault="008E14A3" w:rsidP="00BD4925">
      <w:pPr>
        <w:pStyle w:val="Pagrindinispaprastastekstas"/>
        <w:numPr>
          <w:ilvl w:val="0"/>
          <w:numId w:val="25"/>
        </w:numPr>
        <w:spacing w:after="60"/>
        <w:rPr>
          <w:rFonts w:ascii="Times New Roman" w:hAnsi="Times New Roman"/>
          <w:color w:val="000000" w:themeColor="text1"/>
          <w:szCs w:val="22"/>
        </w:rPr>
      </w:pPr>
      <w:r>
        <w:rPr>
          <w:rFonts w:ascii="Times New Roman" w:hAnsi="Times New Roman"/>
          <w:color w:val="000000" w:themeColor="text1"/>
          <w:szCs w:val="22"/>
        </w:rPr>
        <w:t>n</w:t>
      </w:r>
      <w:r w:rsidR="00CF2266" w:rsidRPr="00650EE4">
        <w:rPr>
          <w:rFonts w:ascii="Times New Roman" w:hAnsi="Times New Roman"/>
          <w:bCs/>
          <w:color w:val="000000" w:themeColor="text1"/>
          <w:szCs w:val="22"/>
        </w:rPr>
        <w:t xml:space="preserve">audotas tik vienas ekonominių </w:t>
      </w:r>
      <w:r w:rsidR="004F6509" w:rsidRPr="00650EE4">
        <w:rPr>
          <w:rFonts w:ascii="Times New Roman" w:hAnsi="Times New Roman"/>
          <w:bCs/>
          <w:color w:val="000000" w:themeColor="text1"/>
          <w:szCs w:val="22"/>
        </w:rPr>
        <w:t>naudų kriterijus – BVP padidėjimas</w:t>
      </w:r>
      <w:r w:rsidR="00CF2266" w:rsidRPr="00650EE4">
        <w:rPr>
          <w:rFonts w:ascii="Times New Roman" w:hAnsi="Times New Roman"/>
          <w:bCs/>
          <w:color w:val="000000" w:themeColor="text1"/>
          <w:szCs w:val="22"/>
        </w:rPr>
        <w:t xml:space="preserve"> (</w:t>
      </w:r>
      <w:r w:rsidR="004F6509" w:rsidRPr="00650EE4">
        <w:rPr>
          <w:rFonts w:ascii="Times New Roman" w:hAnsi="Times New Roman"/>
          <w:bCs/>
          <w:color w:val="000000" w:themeColor="text1"/>
          <w:szCs w:val="22"/>
        </w:rPr>
        <w:t xml:space="preserve">kriterijus turintis didžiausią potencialą konvertuotis į finansines </w:t>
      </w:r>
      <w:r w:rsidR="00CF2266" w:rsidRPr="00650EE4">
        <w:rPr>
          <w:rFonts w:ascii="Times New Roman" w:hAnsi="Times New Roman"/>
          <w:bCs/>
          <w:color w:val="000000" w:themeColor="text1"/>
          <w:szCs w:val="22"/>
        </w:rPr>
        <w:t>naudas t.y. realų pinigų srautą)</w:t>
      </w:r>
      <w:r>
        <w:rPr>
          <w:rFonts w:ascii="Times New Roman" w:hAnsi="Times New Roman"/>
          <w:bCs/>
          <w:color w:val="000000" w:themeColor="text1"/>
          <w:szCs w:val="22"/>
        </w:rPr>
        <w:t>;</w:t>
      </w:r>
      <w:r w:rsidR="004F6509" w:rsidRPr="00650EE4">
        <w:rPr>
          <w:rFonts w:ascii="Times New Roman" w:hAnsi="Times New Roman"/>
          <w:bCs/>
          <w:color w:val="000000" w:themeColor="text1"/>
          <w:szCs w:val="22"/>
        </w:rPr>
        <w:t xml:space="preserve"> </w:t>
      </w:r>
    </w:p>
    <w:p w14:paraId="024F3FAB" w14:textId="1F39B33D" w:rsidR="004F6509" w:rsidRPr="00650EE4" w:rsidRDefault="008E14A3" w:rsidP="00BD4925">
      <w:pPr>
        <w:pStyle w:val="Pagrindinispaprastastekstas"/>
        <w:numPr>
          <w:ilvl w:val="0"/>
          <w:numId w:val="25"/>
        </w:numPr>
        <w:rPr>
          <w:rFonts w:ascii="Times New Roman" w:hAnsi="Times New Roman"/>
          <w:color w:val="000000" w:themeColor="text1"/>
          <w:szCs w:val="22"/>
        </w:rPr>
      </w:pPr>
      <w:r>
        <w:rPr>
          <w:rFonts w:ascii="Times New Roman" w:hAnsi="Times New Roman"/>
          <w:bCs/>
          <w:color w:val="000000" w:themeColor="text1"/>
          <w:szCs w:val="22"/>
        </w:rPr>
        <w:t>n</w:t>
      </w:r>
      <w:r w:rsidR="004F6509" w:rsidRPr="00650EE4">
        <w:rPr>
          <w:rFonts w:ascii="Times New Roman" w:hAnsi="Times New Roman"/>
          <w:bCs/>
          <w:color w:val="000000" w:themeColor="text1"/>
          <w:szCs w:val="22"/>
        </w:rPr>
        <w:t>audojamo kriterijaus vertė buvo dvigubai sumažinta nuo žemiausios reikšmės t.y., investuotas 1</w:t>
      </w:r>
      <w:r w:rsidR="00CF2266" w:rsidRPr="00650EE4">
        <w:rPr>
          <w:rFonts w:ascii="Times New Roman" w:hAnsi="Times New Roman"/>
          <w:bCs/>
          <w:color w:val="000000" w:themeColor="text1"/>
          <w:szCs w:val="22"/>
        </w:rPr>
        <w:t xml:space="preserve"> </w:t>
      </w:r>
      <w:proofErr w:type="spellStart"/>
      <w:r w:rsidR="00CF2266" w:rsidRPr="00650EE4">
        <w:rPr>
          <w:rFonts w:ascii="Times New Roman" w:hAnsi="Times New Roman"/>
          <w:bCs/>
          <w:color w:val="000000" w:themeColor="text1"/>
          <w:szCs w:val="22"/>
        </w:rPr>
        <w:t>Eur</w:t>
      </w:r>
      <w:proofErr w:type="spellEnd"/>
      <w:r w:rsidR="00CF2266" w:rsidRPr="00650EE4">
        <w:rPr>
          <w:rFonts w:ascii="Times New Roman" w:hAnsi="Times New Roman"/>
          <w:bCs/>
          <w:color w:val="000000" w:themeColor="text1"/>
          <w:szCs w:val="22"/>
        </w:rPr>
        <w:t xml:space="preserve"> = 0,5 </w:t>
      </w:r>
      <w:proofErr w:type="spellStart"/>
      <w:r w:rsidR="00CF2266" w:rsidRPr="00650EE4">
        <w:rPr>
          <w:rFonts w:ascii="Times New Roman" w:hAnsi="Times New Roman"/>
          <w:bCs/>
          <w:color w:val="000000" w:themeColor="text1"/>
          <w:szCs w:val="22"/>
        </w:rPr>
        <w:t>Eur</w:t>
      </w:r>
      <w:proofErr w:type="spellEnd"/>
      <w:r w:rsidR="00CF2266" w:rsidRPr="00650EE4">
        <w:rPr>
          <w:rFonts w:ascii="Times New Roman" w:hAnsi="Times New Roman"/>
          <w:bCs/>
          <w:color w:val="000000" w:themeColor="text1"/>
          <w:szCs w:val="22"/>
        </w:rPr>
        <w:t xml:space="preserve"> BVP padidėjimas (atsižvelgiant į tai, kad kriterijų vertės modeliuotos </w:t>
      </w:r>
      <w:r w:rsidR="00996814" w:rsidRPr="00650EE4">
        <w:rPr>
          <w:rFonts w:ascii="Times New Roman" w:hAnsi="Times New Roman"/>
          <w:bCs/>
          <w:color w:val="000000" w:themeColor="text1"/>
          <w:szCs w:val="22"/>
        </w:rPr>
        <w:t>visos ES</w:t>
      </w:r>
      <w:r w:rsidR="00CF2266" w:rsidRPr="00650EE4">
        <w:rPr>
          <w:rFonts w:ascii="Times New Roman" w:hAnsi="Times New Roman"/>
          <w:bCs/>
          <w:color w:val="000000" w:themeColor="text1"/>
          <w:szCs w:val="22"/>
        </w:rPr>
        <w:t xml:space="preserve"> lygmeniu)</w:t>
      </w:r>
      <w:r w:rsidR="00996814" w:rsidRPr="00650EE4">
        <w:rPr>
          <w:rFonts w:ascii="Times New Roman" w:hAnsi="Times New Roman"/>
          <w:bCs/>
          <w:color w:val="000000" w:themeColor="text1"/>
          <w:szCs w:val="22"/>
        </w:rPr>
        <w:t>.</w:t>
      </w:r>
    </w:p>
    <w:p w14:paraId="6D4F413E" w14:textId="77777777" w:rsidR="004F6509" w:rsidRPr="00650EE4" w:rsidRDefault="004F6509" w:rsidP="008E7EE4">
      <w:pPr>
        <w:pStyle w:val="BodyText"/>
        <w:rPr>
          <w:rFonts w:ascii="Times New Roman" w:hAnsi="Times New Roman"/>
          <w:color w:val="000000" w:themeColor="text1"/>
          <w:szCs w:val="22"/>
          <w:lang w:val="lt-LT"/>
        </w:rPr>
      </w:pPr>
    </w:p>
    <w:p w14:paraId="0494E4C2" w14:textId="42812C9F" w:rsidR="00FD0366" w:rsidRPr="00650EE4" w:rsidRDefault="00FD0366" w:rsidP="00A90895">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Paveiksle žemiau pateikiami ekonominio efektyvumo modeliavimo rezultatai</w:t>
      </w:r>
      <w:r w:rsidR="0004518A" w:rsidRPr="00650EE4">
        <w:rPr>
          <w:rFonts w:ascii="Times New Roman" w:hAnsi="Times New Roman"/>
          <w:color w:val="000000" w:themeColor="text1"/>
          <w:szCs w:val="22"/>
          <w:lang w:val="lt-LT"/>
        </w:rPr>
        <w:t xml:space="preserve"> reikšmingiausio energijos kainų didėjimo scenariju</w:t>
      </w:r>
      <w:r w:rsidR="00E3173A" w:rsidRPr="00650EE4">
        <w:rPr>
          <w:rFonts w:ascii="Times New Roman" w:hAnsi="Times New Roman"/>
          <w:color w:val="000000" w:themeColor="text1"/>
          <w:szCs w:val="22"/>
          <w:lang w:val="lt-LT"/>
        </w:rPr>
        <w:t>mi.</w:t>
      </w:r>
    </w:p>
    <w:p w14:paraId="4EC0F48C" w14:textId="4F3E4785" w:rsidR="00E74E23" w:rsidRPr="00650EE4" w:rsidRDefault="00E74E23" w:rsidP="00E74E23">
      <w:pPr>
        <w:pStyle w:val="BodyText"/>
        <w:jc w:val="both"/>
        <w:rPr>
          <w:rFonts w:ascii="Times New Roman" w:hAnsi="Times New Roman"/>
          <w:color w:val="000000" w:themeColor="text1"/>
          <w:szCs w:val="22"/>
          <w:lang w:val="lt-LT"/>
        </w:rPr>
      </w:pPr>
    </w:p>
    <w:p w14:paraId="59FA2A51" w14:textId="77777777" w:rsidR="008E14A3" w:rsidRDefault="008E14A3">
      <w:pPr>
        <w:spacing w:after="240"/>
        <w:rPr>
          <w:rFonts w:ascii="Times New Roman" w:eastAsiaTheme="minorHAnsi" w:hAnsi="Times New Roman"/>
          <w:bCs/>
          <w:i/>
          <w:color w:val="000000" w:themeColor="text1"/>
          <w:sz w:val="20"/>
          <w:szCs w:val="20"/>
        </w:rPr>
      </w:pPr>
      <w:r>
        <w:br w:type="page"/>
      </w:r>
    </w:p>
    <w:p w14:paraId="234A915C" w14:textId="039DDB7E" w:rsidR="00E410B0" w:rsidRPr="00650EE4" w:rsidRDefault="00761ECA"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12" w:name="_Toc67925265"/>
      <w:r w:rsidR="007744C1">
        <w:t>17</w:t>
      </w:r>
      <w:r w:rsidRPr="00650EE4">
        <w:rPr>
          <w:noProof w:val="0"/>
        </w:rPr>
        <w:fldChar w:fldCharType="end"/>
      </w:r>
      <w:r w:rsidRPr="00650EE4">
        <w:rPr>
          <w:noProof w:val="0"/>
        </w:rPr>
        <w:t xml:space="preserve"> paveikslas.</w:t>
      </w:r>
      <w:r w:rsidR="00E410B0" w:rsidRPr="00650EE4">
        <w:rPr>
          <w:noProof w:val="0"/>
        </w:rPr>
        <w:t xml:space="preserve">. </w:t>
      </w:r>
      <w:r w:rsidR="00C815BF" w:rsidRPr="00650EE4">
        <w:rPr>
          <w:noProof w:val="0"/>
        </w:rPr>
        <w:t>Ekonominio</w:t>
      </w:r>
      <w:r w:rsidR="00FD0366" w:rsidRPr="00650EE4">
        <w:rPr>
          <w:noProof w:val="0"/>
        </w:rPr>
        <w:t xml:space="preserve"> efektyvumo </w:t>
      </w:r>
      <w:r w:rsidR="00C815BF" w:rsidRPr="00650EE4">
        <w:rPr>
          <w:noProof w:val="0"/>
        </w:rPr>
        <w:t>modeliavimo</w:t>
      </w:r>
      <w:r w:rsidR="00FD0366" w:rsidRPr="00650EE4">
        <w:rPr>
          <w:noProof w:val="0"/>
        </w:rPr>
        <w:t xml:space="preserve"> rezultatai</w:t>
      </w:r>
      <w:bookmarkEnd w:id="112"/>
      <w:r w:rsidR="00FD0366" w:rsidRPr="00650EE4">
        <w:rPr>
          <w:noProof w:val="0"/>
        </w:rPr>
        <w:t xml:space="preserve"> </w:t>
      </w:r>
    </w:p>
    <w:p w14:paraId="5B7271A7" w14:textId="5C46AFBD" w:rsidR="00E74E23" w:rsidRPr="00650EE4" w:rsidRDefault="006A5B6F" w:rsidP="00E74E23">
      <w:pPr>
        <w:pStyle w:val="BodyText"/>
        <w:jc w:val="both"/>
        <w:rPr>
          <w:rFonts w:ascii="Times New Roman" w:hAnsi="Times New Roman"/>
          <w:color w:val="000000" w:themeColor="text1"/>
          <w:sz w:val="24"/>
          <w:szCs w:val="24"/>
          <w:lang w:val="lt-LT"/>
        </w:rPr>
      </w:pPr>
      <w:r w:rsidRPr="00650EE4">
        <w:rPr>
          <w:rFonts w:ascii="Times New Roman" w:hAnsi="Times New Roman"/>
          <w:noProof/>
          <w:lang w:val="lt-LT" w:eastAsia="lt-LT"/>
        </w:rPr>
        <mc:AlternateContent>
          <mc:Choice Requires="wps">
            <w:drawing>
              <wp:anchor distT="0" distB="0" distL="114300" distR="114300" simplePos="0" relativeHeight="251815936" behindDoc="0" locked="0" layoutInCell="1" allowOverlap="1" wp14:anchorId="1E497220" wp14:editId="5985B257">
                <wp:simplePos x="0" y="0"/>
                <wp:positionH relativeFrom="column">
                  <wp:posOffset>4953679</wp:posOffset>
                </wp:positionH>
                <wp:positionV relativeFrom="paragraph">
                  <wp:posOffset>2038087</wp:posOffset>
                </wp:positionV>
                <wp:extent cx="323193" cy="109592"/>
                <wp:effectExtent l="0" t="0" r="1270" b="5080"/>
                <wp:wrapNone/>
                <wp:docPr id="20" name="Rectangle 20"/>
                <wp:cNvGraphicFramePr/>
                <a:graphic xmlns:a="http://schemas.openxmlformats.org/drawingml/2006/main">
                  <a:graphicData uri="http://schemas.microsoft.com/office/word/2010/wordprocessingShape">
                    <wps:wsp>
                      <wps:cNvSpPr/>
                      <wps:spPr bwMode="ltGray">
                        <a:xfrm>
                          <a:off x="0" y="0"/>
                          <a:ext cx="323193" cy="109592"/>
                        </a:xfrm>
                        <a:prstGeom prst="rect">
                          <a:avLst/>
                        </a:prstGeom>
                        <a:solidFill>
                          <a:srgbClr val="D9D9D9">
                            <a:alpha val="50196"/>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90.05pt;margin-top:160.5pt;width:25.45pt;height: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5KtAIAAMAFAAAOAAAAZHJzL2Uyb0RvYy54bWysVFFP2zAQfp+0/2D5fSQpFNaIFFUg0CQG&#10;FTDx7Dp2E8nxebbbtPv1O9tpYID2ME2RLJ/v7ru7L3d3frHrFNkK61rQFS2OckqE5lC3el3RH0/X&#10;X75S4jzTNVOgRUX3wtGL+edP570pxQQaULWwBEG0K3tT0cZ7U2aZ443omDsCIzQqJdiOeRTtOqst&#10;6xG9U9kkz0+zHmxtLHDhHL5eJSWdR3wpBff3Ujrhiaoo5ubjaeO5Cmc2P2fl2jLTtHxIg/1DFh1r&#10;NQYdoa6YZ2Rj23dQXcstOJD+iEOXgZQtF7EGrKbI31Tz2DAjYi1IjjMjTe7/wfK77dKStq7oBOnR&#10;rMN/9ICsMb1WguAbEtQbV6Ldo1naQXJ4Jav+O9RorvyNZftY/U7aLrCAdZFdJHk/kix2nnB8PJ4c&#10;F7NjSjiqinw2nU1CjIyVB2djnb8R0JFwqajFbCI42946n0wPJiGWA9XW161SUbDr1aWyZMvwf1/N&#10;wpd8lWlYep3mxex0COmSeQz/B47SpMdUi7NpdNcQAqTYSqN5oCSQkMhxfq9ECK/0g5DIJpY5iY6x&#10;j8WYEeNcaF8kVcNqcUgpzyPTyMLoEZOKgAFZYvwRewAIM/IeO2U52AdXEcdgdM7/llhyHj1iZNB+&#10;dO5aDfYjAIVVDZGT/YGkRE3gawX1HtvGQhpCZ/h1i3/4ljm/ZBanDhsQN4m/x0MqQP5huFHSgP31&#10;0Xuwx2FALSU9TnFF3c8Ns4IS9U3jmMyKk5Mw9lE4mZ6FJrevNavXGr3pLgEbp8CdZXi8BnuvDldp&#10;oXvGhbMIUVHFNMfYFeXeHoRLn7YLriwuFotohqNumL/Vj4YH8MBq6OCn3TOzZmhzj/NxB4eJZ+Wb&#10;bk+2wVPDYuNBtnEUXngd+MY1ERtnWGlhD72Wo9XL4p3/BgAA//8DAFBLAwQUAAYACAAAACEAt6LQ&#10;Z98AAAALAQAADwAAAGRycy9kb3ducmV2LnhtbEyPQU/DMAyF70j8h8hIXBBLuyKIStOJTUKcOLAh&#10;cU0b0xQapzTZVv493ondbL+n5+9Vq9kP4oBT7ANpyBcZCKQ22J46De+751sFIiZD1gyBUMMvRljV&#10;lxeVKW040hsetqkTHEKxNBpcSmMpZWwdehMXYURi7TNM3iRep07ayRw53A9ymWX30pue+IMzI24c&#10;tt/bvdew/nnZrWf1IbEZGze9Jtzcfd1ofX01Pz2CSDinfzOc8BkdamZqwp5sFIOGB5XlbNVQLHMu&#10;xQ5VnIaGL4UqQNaVPO9Q/wEAAP//AwBQSwECLQAUAAYACAAAACEAtoM4kv4AAADhAQAAEwAAAAAA&#10;AAAAAAAAAAAAAAAAW0NvbnRlbnRfVHlwZXNdLnhtbFBLAQItABQABgAIAAAAIQA4/SH/1gAAAJQB&#10;AAALAAAAAAAAAAAAAAAAAC8BAABfcmVscy8ucmVsc1BLAQItABQABgAIAAAAIQDlLu5KtAIAAMAF&#10;AAAOAAAAAAAAAAAAAAAAAC4CAABkcnMvZTJvRG9jLnhtbFBLAQItABQABgAIAAAAIQC3otBn3wAA&#10;AAsBAAAPAAAAAAAAAAAAAAAAAA4FAABkcnMvZG93bnJldi54bWxQSwUGAAAAAAQABADzAAAAGgYA&#10;AAAA&#10;" fillcolor="#d9d9d9" stroked="f" strokeweight=".25pt">
                <v:fill opacity="32896f"/>
              </v:rect>
            </w:pict>
          </mc:Fallback>
        </mc:AlternateContent>
      </w:r>
      <w:r w:rsidRPr="00650EE4">
        <w:rPr>
          <w:rFonts w:ascii="Times New Roman" w:hAnsi="Times New Roman"/>
          <w:noProof/>
          <w:lang w:val="lt-LT" w:eastAsia="lt-LT"/>
        </w:rPr>
        <mc:AlternateContent>
          <mc:Choice Requires="wps">
            <w:drawing>
              <wp:anchor distT="0" distB="0" distL="114300" distR="114300" simplePos="0" relativeHeight="251813888" behindDoc="0" locked="0" layoutInCell="1" allowOverlap="1" wp14:anchorId="10832AAE" wp14:editId="7917A2A5">
                <wp:simplePos x="0" y="0"/>
                <wp:positionH relativeFrom="column">
                  <wp:posOffset>2478383</wp:posOffset>
                </wp:positionH>
                <wp:positionV relativeFrom="paragraph">
                  <wp:posOffset>91068</wp:posOffset>
                </wp:positionV>
                <wp:extent cx="536028" cy="2151993"/>
                <wp:effectExtent l="0" t="0" r="0" b="1270"/>
                <wp:wrapNone/>
                <wp:docPr id="11" name="Rectangle 11"/>
                <wp:cNvGraphicFramePr/>
                <a:graphic xmlns:a="http://schemas.openxmlformats.org/drawingml/2006/main">
                  <a:graphicData uri="http://schemas.microsoft.com/office/word/2010/wordprocessingShape">
                    <wps:wsp>
                      <wps:cNvSpPr/>
                      <wps:spPr bwMode="ltGray">
                        <a:xfrm>
                          <a:off x="0" y="0"/>
                          <a:ext cx="536028" cy="2151993"/>
                        </a:xfrm>
                        <a:prstGeom prst="rect">
                          <a:avLst/>
                        </a:prstGeom>
                        <a:solidFill>
                          <a:srgbClr val="D9D9D9">
                            <a:alpha val="50196"/>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95.15pt;margin-top:7.15pt;width:42.2pt;height:169.45pt;z-index:251813888;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ttgIAAMEFAAAOAAAAZHJzL2Uyb0RvYy54bWysVFFP2zAQfp+0/2D5fSQpFNaIFFUg0CQG&#10;FTDx7Dp2E8nxebbbtPv1O9tpYID2ME2RLJ/v7ru7L3d3frHrFNkK61rQFS2OckqE5lC3el3RH0/X&#10;X75S4jzTNVOgRUX3wtGL+edP570pxQQaULWwBEG0K3tT0cZ7U2aZ443omDsCIzQqJdiOeRTtOqst&#10;6xG9U9kkz0+zHmxtLHDhHL5eJSWdR3wpBff3Ujrhiaoo5ubjaeO5Cmc2P2fl2jLTtHxIg/1DFh1r&#10;NQYdoa6YZ2Rj23dQXcstOJD+iEOXgZQtF7EGrKbI31Tz2DAjYi1IjjMjTe7/wfK77dKStsZ/V1Ci&#10;WYf/6AFZY3qtBME3JKg3rkS7R7O0g+TwSlb9d6jRXPkby/ax+p20XWAB6yK7SPJ+JFnsPOH4OD0+&#10;zSfYFRxVk2JazGbHIUjGyoO3sc7fCOhIuFTUYjoRnW1vnU+mB5MQzIFq6+tWqSjY9epSWbJl+MOv&#10;ZuFLvso0LL1O82J2OoR0yTyG/wNHadJX9Lg4m0Z3DSFAiq00mgdOAguJHef3SoTwSj8IiXRinZPo&#10;GBtZjBkxzoX2RVI1rBaHlPI89iKyMHrEpCJgQJYYf8QeAMKQvMdOWQ72wVXEORid878llpxHjxgZ&#10;tB+du1aD/QhAYVVD5GR/IClRE/haQb3HvrGQptAZft3iH75lzi+ZxbHDAcVV4u/xkAqQfxhulDRg&#10;f330HuxxGlBLSY9jXFH3c8OsoER90zgns+LkJMx9FE6mZxMU7GvN6rVGb7pLwMbBUcDs4jXYe3W4&#10;SgvdM26cRYiKKqY5xq4o9/YgXPq0XnBncbFYRDOcdcP8rX40PIAHVkMHP+2emTVDm3sckDs4jDwr&#10;33R7sg2eGhYbD7KNo/DC68A37onYOMNOC4votRytXjbv/DcAAAD//wMAUEsDBBQABgAIAAAAIQBQ&#10;RVny3wAAAAoBAAAPAAAAZHJzL2Rvd25yZXYueG1sTI/BTsMwDIbvSLxDZCQuiKWshY3SdGKTEKcd&#10;2JC4po1pCo1Tkmwrb485wcmyvl+/P1eryQ3iiCH2nhTczDIQSK03PXUKXvdP10sQMWkyevCECr4x&#10;wqo+P6t0afyJXvC4S53gEoqlVmBTGkspY2vR6TjzIxKzdx+cTryGTpqgT1zuBjnPsjvpdE98weoR&#10;Nxbbz93BKVh/Pe/X0/JNYjM2NmwTboqPK6UuL6bHBxAJp/QXhl99VoeanRp/IBPFoCC/z3KOMih4&#10;cqBYFAsQDZPbfA6yruT/F+ofAAAA//8DAFBLAQItABQABgAIAAAAIQC2gziS/gAAAOEBAAATAAAA&#10;AAAAAAAAAAAAAAAAAABbQ29udGVudF9UeXBlc10ueG1sUEsBAi0AFAAGAAgAAAAhADj9If/WAAAA&#10;lAEAAAsAAAAAAAAAAAAAAAAALwEAAF9yZWxzLy5yZWxzUEsBAi0AFAAGAAgAAAAhADH4J+22AgAA&#10;wQUAAA4AAAAAAAAAAAAAAAAALgIAAGRycy9lMm9Eb2MueG1sUEsBAi0AFAAGAAgAAAAhAFBFWfLf&#10;AAAACgEAAA8AAAAAAAAAAAAAAAAAEAUAAGRycy9kb3ducmV2LnhtbFBLBQYAAAAABAAEAPMAAAAc&#10;BgAAAAA=&#10;" fillcolor="#d9d9d9" stroked="f" strokeweight=".25pt">
                <v:fill opacity="32896f"/>
              </v:rect>
            </w:pict>
          </mc:Fallback>
        </mc:AlternateContent>
      </w:r>
      <w:r w:rsidR="00426FFE" w:rsidRPr="00650EE4">
        <w:rPr>
          <w:rFonts w:ascii="Times New Roman" w:hAnsi="Times New Roman"/>
          <w:noProof/>
          <w:lang w:val="lt-LT" w:eastAsia="lt-LT"/>
        </w:rPr>
        <w:drawing>
          <wp:inline distT="0" distB="0" distL="0" distR="0" wp14:anchorId="1ED0C44C" wp14:editId="4A075AE5">
            <wp:extent cx="6088380" cy="2640842"/>
            <wp:effectExtent l="0" t="0" r="7620" b="7620"/>
            <wp:docPr id="90" name="Chart 90">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70821E-68B5-47EC-9C96-C226A2E63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DCFD11" w14:textId="1FD55CF8" w:rsidR="00E410B0" w:rsidRPr="00650EE4" w:rsidRDefault="00E410B0" w:rsidP="00E410B0">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D34A7B" w:rsidRPr="00D34A7B">
        <w:rPr>
          <w:rFonts w:ascii="Times New Roman" w:hAnsi="Times New Roman"/>
          <w:i/>
          <w:iCs/>
          <w:color w:val="auto"/>
          <w:sz w:val="20"/>
          <w:szCs w:val="20"/>
        </w:rPr>
        <w:t xml:space="preserve"> </w:t>
      </w:r>
      <w:r w:rsidR="00D34A7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5805C444" w14:textId="77777777" w:rsidR="008E14A3" w:rsidRDefault="008E14A3" w:rsidP="009A511C">
      <w:pPr>
        <w:spacing w:after="120"/>
        <w:rPr>
          <w:rFonts w:ascii="Times New Roman" w:hAnsi="Times New Roman"/>
          <w:color w:val="000000" w:themeColor="text1"/>
          <w:szCs w:val="22"/>
        </w:rPr>
      </w:pPr>
    </w:p>
    <w:p w14:paraId="754B700B" w14:textId="02B28F04" w:rsidR="009A511C" w:rsidRPr="00650EE4" w:rsidRDefault="009A511C" w:rsidP="009A511C">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5CBCEE66" w14:textId="758D98B9" w:rsidR="009A511C" w:rsidRPr="00650EE4" w:rsidRDefault="008E14A3" w:rsidP="009A511C">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N</w:t>
      </w:r>
      <w:r w:rsidR="009A511C" w:rsidRPr="00650EE4">
        <w:rPr>
          <w:rFonts w:ascii="Times New Roman" w:hAnsi="Times New Roman"/>
          <w:color w:val="000000" w:themeColor="text1"/>
          <w:szCs w:val="22"/>
        </w:rPr>
        <w:t xml:space="preserve">et ir </w:t>
      </w:r>
      <w:r w:rsidR="00FF7BB6" w:rsidRPr="00650EE4">
        <w:rPr>
          <w:rFonts w:ascii="Times New Roman" w:hAnsi="Times New Roman"/>
          <w:color w:val="000000" w:themeColor="text1"/>
          <w:szCs w:val="22"/>
        </w:rPr>
        <w:t>konservatyviu vertinimu</w:t>
      </w:r>
      <w:r w:rsidR="009A511C" w:rsidRPr="00650EE4">
        <w:rPr>
          <w:rFonts w:ascii="Times New Roman" w:hAnsi="Times New Roman"/>
          <w:color w:val="000000" w:themeColor="text1"/>
          <w:szCs w:val="22"/>
        </w:rPr>
        <w:t xml:space="preserve"> ekonominės naudos viršija investicijų vertę net ir tolimiausiame taške (t.y. ekon</w:t>
      </w:r>
      <w:r w:rsidR="00F63A8F" w:rsidRPr="00650EE4">
        <w:rPr>
          <w:rFonts w:ascii="Times New Roman" w:hAnsi="Times New Roman"/>
          <w:color w:val="000000" w:themeColor="text1"/>
          <w:szCs w:val="22"/>
        </w:rPr>
        <w:t xml:space="preserve">omiškai atsiperka ir maksimalios renovacijos </w:t>
      </w:r>
      <w:r w:rsidR="009A511C" w:rsidRPr="00650EE4">
        <w:rPr>
          <w:rFonts w:ascii="Times New Roman" w:hAnsi="Times New Roman"/>
          <w:color w:val="000000" w:themeColor="text1"/>
          <w:szCs w:val="22"/>
        </w:rPr>
        <w:t>scenarijus)</w:t>
      </w:r>
      <w:r>
        <w:rPr>
          <w:rFonts w:ascii="Times New Roman" w:hAnsi="Times New Roman"/>
          <w:color w:val="000000" w:themeColor="text1"/>
          <w:szCs w:val="22"/>
        </w:rPr>
        <w:t>.</w:t>
      </w:r>
    </w:p>
    <w:p w14:paraId="1523AFF9" w14:textId="40F32434" w:rsidR="009A511C" w:rsidRPr="00650EE4" w:rsidRDefault="008E14A3" w:rsidP="008D4D5F">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9A511C" w:rsidRPr="00650EE4">
        <w:rPr>
          <w:rFonts w:ascii="Times New Roman" w:hAnsi="Times New Roman"/>
          <w:color w:val="000000" w:themeColor="text1"/>
          <w:szCs w:val="22"/>
        </w:rPr>
        <w:t xml:space="preserve">idžiausia ekonominė grąža (skirtumas tarp ekonominės naudos ir investicijų) </w:t>
      </w:r>
      <w:r w:rsidR="00C56A63" w:rsidRPr="00650EE4">
        <w:rPr>
          <w:rFonts w:ascii="Times New Roman" w:hAnsi="Times New Roman"/>
          <w:color w:val="000000" w:themeColor="text1"/>
          <w:szCs w:val="22"/>
        </w:rPr>
        <w:t xml:space="preserve">pastatų fondo lygmeniu </w:t>
      </w:r>
      <w:r w:rsidR="009A511C" w:rsidRPr="00650EE4">
        <w:rPr>
          <w:rFonts w:ascii="Times New Roman" w:hAnsi="Times New Roman"/>
          <w:color w:val="000000" w:themeColor="text1"/>
          <w:szCs w:val="22"/>
        </w:rPr>
        <w:t xml:space="preserve">yra </w:t>
      </w:r>
      <w:r w:rsidR="00F63A8F" w:rsidRPr="00650EE4">
        <w:rPr>
          <w:rFonts w:ascii="Times New Roman" w:hAnsi="Times New Roman"/>
          <w:color w:val="000000" w:themeColor="text1"/>
          <w:szCs w:val="22"/>
        </w:rPr>
        <w:t>45 – 55</w:t>
      </w:r>
      <w:r w:rsidR="00CB5ABD" w:rsidRPr="00650EE4">
        <w:rPr>
          <w:rFonts w:ascii="Times New Roman" w:hAnsi="Times New Roman"/>
          <w:color w:val="000000" w:themeColor="text1"/>
          <w:szCs w:val="22"/>
        </w:rPr>
        <w:t xml:space="preserve"> proc. energijos sutaupymų zonoje</w:t>
      </w:r>
      <w:r w:rsidR="0046606F" w:rsidRPr="00650EE4">
        <w:rPr>
          <w:rFonts w:ascii="Times New Roman" w:hAnsi="Times New Roman"/>
          <w:color w:val="000000" w:themeColor="text1"/>
          <w:szCs w:val="22"/>
        </w:rPr>
        <w:t xml:space="preserve">. </w:t>
      </w:r>
      <w:r w:rsidR="00C56A63" w:rsidRPr="00650EE4">
        <w:rPr>
          <w:rFonts w:ascii="Times New Roman" w:hAnsi="Times New Roman"/>
          <w:color w:val="000000" w:themeColor="text1"/>
          <w:szCs w:val="22"/>
        </w:rPr>
        <w:t>Modeliavimo rezultatai atskleidžia, kad š</w:t>
      </w:r>
      <w:r w:rsidR="0046606F" w:rsidRPr="00650EE4">
        <w:rPr>
          <w:rFonts w:ascii="Times New Roman" w:hAnsi="Times New Roman"/>
          <w:color w:val="000000" w:themeColor="text1"/>
          <w:szCs w:val="22"/>
        </w:rPr>
        <w:t>ioje zonoje</w:t>
      </w:r>
      <w:r w:rsidR="00CA0890" w:rsidRPr="00650EE4">
        <w:rPr>
          <w:rFonts w:ascii="Times New Roman" w:hAnsi="Times New Roman"/>
          <w:color w:val="000000" w:themeColor="text1"/>
          <w:szCs w:val="22"/>
        </w:rPr>
        <w:t xml:space="preserve"> ekonomiškai</w:t>
      </w:r>
      <w:r w:rsidR="00C56A63" w:rsidRPr="00650EE4">
        <w:rPr>
          <w:rFonts w:ascii="Times New Roman" w:hAnsi="Times New Roman"/>
          <w:color w:val="000000" w:themeColor="text1"/>
          <w:szCs w:val="22"/>
        </w:rPr>
        <w:t xml:space="preserve"> </w:t>
      </w:r>
      <w:r w:rsidR="00B8506E" w:rsidRPr="00650EE4">
        <w:rPr>
          <w:rFonts w:ascii="Times New Roman" w:hAnsi="Times New Roman"/>
          <w:color w:val="000000" w:themeColor="text1"/>
          <w:szCs w:val="22"/>
        </w:rPr>
        <w:t>efektyviausi</w:t>
      </w:r>
      <w:r w:rsidR="00C56A63" w:rsidRPr="00650EE4">
        <w:rPr>
          <w:rFonts w:ascii="Times New Roman" w:hAnsi="Times New Roman"/>
          <w:color w:val="000000" w:themeColor="text1"/>
          <w:szCs w:val="22"/>
        </w:rPr>
        <w:t xml:space="preserve"> renovacijos priemonių paketai yra:</w:t>
      </w:r>
    </w:p>
    <w:p w14:paraId="7C86EC94" w14:textId="4E100E48" w:rsidR="00D879E3" w:rsidRPr="00650EE4" w:rsidRDefault="008E14A3" w:rsidP="00BD4925">
      <w:pPr>
        <w:pStyle w:val="Pagrindinispaprastastekstas"/>
        <w:numPr>
          <w:ilvl w:val="1"/>
          <w:numId w:val="61"/>
        </w:numPr>
        <w:spacing w:after="60"/>
        <w:ind w:left="1134" w:hanging="283"/>
        <w:rPr>
          <w:rFonts w:ascii="Times New Roman" w:hAnsi="Times New Roman"/>
          <w:color w:val="000000" w:themeColor="text1"/>
          <w:szCs w:val="22"/>
        </w:rPr>
      </w:pPr>
      <w:r>
        <w:rPr>
          <w:rFonts w:ascii="Times New Roman" w:hAnsi="Times New Roman"/>
          <w:iCs/>
        </w:rPr>
        <w:t>r</w:t>
      </w:r>
      <w:r w:rsidR="0001270B" w:rsidRPr="00650EE4">
        <w:rPr>
          <w:rFonts w:ascii="Times New Roman" w:hAnsi="Times New Roman"/>
          <w:iCs/>
        </w:rPr>
        <w:t>enovacijos paketas Nr. 6: B klasė + Šilumos siurblys + Fotovoltiniai (FV) saulės elementai</w:t>
      </w:r>
      <w:r>
        <w:rPr>
          <w:rFonts w:ascii="Times New Roman" w:hAnsi="Times New Roman"/>
          <w:color w:val="000000" w:themeColor="text1"/>
          <w:szCs w:val="22"/>
        </w:rPr>
        <w:t>;</w:t>
      </w:r>
    </w:p>
    <w:p w14:paraId="375917AD" w14:textId="3A319DC2" w:rsidR="00164B8D" w:rsidRPr="00650EE4" w:rsidRDefault="008E14A3" w:rsidP="00BD4925">
      <w:pPr>
        <w:pStyle w:val="Pagrindinispaprastastekstas"/>
        <w:numPr>
          <w:ilvl w:val="1"/>
          <w:numId w:val="61"/>
        </w:numPr>
        <w:spacing w:after="60"/>
        <w:ind w:left="1134" w:hanging="283"/>
        <w:rPr>
          <w:rFonts w:ascii="Times New Roman" w:hAnsi="Times New Roman"/>
          <w:color w:val="000000" w:themeColor="text1"/>
          <w:szCs w:val="22"/>
        </w:rPr>
      </w:pPr>
      <w:r>
        <w:rPr>
          <w:rFonts w:ascii="Times New Roman" w:hAnsi="Times New Roman"/>
          <w:iCs/>
        </w:rPr>
        <w:t>r</w:t>
      </w:r>
      <w:r w:rsidR="00164B8D" w:rsidRPr="00650EE4">
        <w:rPr>
          <w:rFonts w:ascii="Times New Roman" w:hAnsi="Times New Roman"/>
          <w:iCs/>
        </w:rPr>
        <w:t>enovacijos paketas Nr.9: A klasė + Šilumos siurblys + Fotovoltiniai (FV) saulės elementai</w:t>
      </w:r>
      <w:r>
        <w:rPr>
          <w:rFonts w:ascii="Times New Roman" w:hAnsi="Times New Roman"/>
          <w:iCs/>
        </w:rPr>
        <w:t>.</w:t>
      </w:r>
    </w:p>
    <w:p w14:paraId="30EE9DEF" w14:textId="46603E7A" w:rsidR="00F63A8F" w:rsidRPr="00650EE4" w:rsidRDefault="00CB5ABD" w:rsidP="001B1683">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Atitinkamai, vertinama, kad abu šie paketai yra ekonomiškai efektyvus būdas transformuoti </w:t>
      </w:r>
      <w:r w:rsidR="0037040E">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fondą. </w:t>
      </w:r>
    </w:p>
    <w:p w14:paraId="74FCDAA1" w14:textId="77777777" w:rsidR="006558D8" w:rsidRPr="00650EE4" w:rsidRDefault="006558D8" w:rsidP="006558D8">
      <w:pPr>
        <w:pStyle w:val="Pagrindinispaprastastekstas"/>
        <w:ind w:left="714"/>
        <w:rPr>
          <w:rFonts w:ascii="Times New Roman" w:hAnsi="Times New Roman"/>
          <w:color w:val="000000" w:themeColor="text1"/>
          <w:szCs w:val="22"/>
        </w:rPr>
      </w:pPr>
    </w:p>
    <w:p w14:paraId="380133E0" w14:textId="417A8562" w:rsidR="00E74E23" w:rsidRPr="00650EE4" w:rsidRDefault="008A21C5" w:rsidP="00BF6DB0">
      <w:pPr>
        <w:pStyle w:val="Antrastes2"/>
        <w:numPr>
          <w:ilvl w:val="1"/>
          <w:numId w:val="4"/>
        </w:numPr>
        <w:pBdr>
          <w:bottom w:val="single" w:sz="4" w:space="2" w:color="auto"/>
        </w:pBdr>
        <w:spacing w:before="0"/>
        <w:ind w:left="576" w:hanging="576"/>
        <w:jc w:val="both"/>
        <w:rPr>
          <w:rFonts w:ascii="Times New Roman" w:hAnsi="Times New Roman"/>
          <w:color w:val="auto"/>
          <w:sz w:val="24"/>
          <w:szCs w:val="24"/>
          <w:lang w:val="lt-LT"/>
        </w:rPr>
      </w:pPr>
      <w:bookmarkStart w:id="113" w:name="_Toc47613716"/>
      <w:bookmarkStart w:id="114" w:name="_Toc67925135"/>
      <w:r w:rsidRPr="00650EE4">
        <w:rPr>
          <w:rFonts w:ascii="Times New Roman" w:hAnsi="Times New Roman"/>
          <w:color w:val="auto"/>
          <w:sz w:val="24"/>
          <w:szCs w:val="24"/>
          <w:lang w:val="lt-LT"/>
        </w:rPr>
        <w:t>Techniniai</w:t>
      </w:r>
      <w:r w:rsidR="00E74E23" w:rsidRPr="00650EE4">
        <w:rPr>
          <w:rFonts w:ascii="Times New Roman" w:hAnsi="Times New Roman"/>
          <w:color w:val="auto"/>
          <w:sz w:val="24"/>
          <w:szCs w:val="24"/>
          <w:lang w:val="lt-LT"/>
        </w:rPr>
        <w:t xml:space="preserve"> apribojimai</w:t>
      </w:r>
      <w:bookmarkEnd w:id="113"/>
      <w:bookmarkEnd w:id="114"/>
    </w:p>
    <w:p w14:paraId="4496CDDD" w14:textId="40142B33" w:rsidR="00EA28ED" w:rsidRPr="00650EE4" w:rsidRDefault="00613E6D"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Nustačius </w:t>
      </w:r>
      <w:r w:rsidR="00227BE4" w:rsidRPr="00650EE4">
        <w:rPr>
          <w:rFonts w:ascii="Times New Roman" w:hAnsi="Times New Roman"/>
          <w:color w:val="000000" w:themeColor="text1"/>
          <w:szCs w:val="22"/>
          <w:lang w:val="lt-LT"/>
        </w:rPr>
        <w:t>ekonomiškai</w:t>
      </w:r>
      <w:r w:rsidR="00E74E23" w:rsidRPr="00650EE4">
        <w:rPr>
          <w:rFonts w:ascii="Times New Roman" w:hAnsi="Times New Roman"/>
          <w:color w:val="000000" w:themeColor="text1"/>
          <w:szCs w:val="22"/>
          <w:lang w:val="lt-LT"/>
        </w:rPr>
        <w:t xml:space="preserve"> efektyviausią renovacijos priemonių paketą, papildomai </w:t>
      </w:r>
      <w:r w:rsidRPr="00650EE4">
        <w:rPr>
          <w:rFonts w:ascii="Times New Roman" w:hAnsi="Times New Roman"/>
          <w:color w:val="000000" w:themeColor="text1"/>
          <w:szCs w:val="22"/>
          <w:lang w:val="lt-LT"/>
        </w:rPr>
        <w:t xml:space="preserve">atlikta techninių </w:t>
      </w:r>
      <w:r w:rsidR="00E74E23" w:rsidRPr="00650EE4">
        <w:rPr>
          <w:rFonts w:ascii="Times New Roman" w:hAnsi="Times New Roman"/>
          <w:color w:val="000000" w:themeColor="text1"/>
          <w:szCs w:val="22"/>
          <w:lang w:val="lt-LT"/>
        </w:rPr>
        <w:t>įgyvendin</w:t>
      </w:r>
      <w:r w:rsidR="00EA28ED" w:rsidRPr="00650EE4">
        <w:rPr>
          <w:rFonts w:ascii="Times New Roman" w:hAnsi="Times New Roman"/>
          <w:color w:val="000000" w:themeColor="text1"/>
          <w:szCs w:val="22"/>
          <w:lang w:val="lt-LT"/>
        </w:rPr>
        <w:t xml:space="preserve">imo barjerų analizė, siekiant įvertinti ar nėra techninių (inžinerinių) apribojimų įgyvendinti numatytas renovacijos priemones. </w:t>
      </w:r>
    </w:p>
    <w:p w14:paraId="728810F2" w14:textId="77777777" w:rsidR="00EA28ED" w:rsidRPr="00650EE4" w:rsidRDefault="00EA28ED" w:rsidP="00E74E23">
      <w:pPr>
        <w:pStyle w:val="BodyText"/>
        <w:jc w:val="both"/>
        <w:rPr>
          <w:rFonts w:ascii="Times New Roman" w:hAnsi="Times New Roman"/>
          <w:color w:val="000000" w:themeColor="text1"/>
          <w:szCs w:val="22"/>
          <w:lang w:val="lt-LT"/>
        </w:rPr>
      </w:pPr>
    </w:p>
    <w:p w14:paraId="3A2BD9C5" w14:textId="68647FCF" w:rsidR="00E74E23" w:rsidRPr="00650EE4" w:rsidRDefault="00E74E23"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Nagrinėjant galimus techninius apribojimus, pastatai suskirstyti į individualius, daugiabučius, negyvenamuosius ir pramonės pastatus, atsižvelgiant į pastatų paskirtį, nuosavybę ir STR 2.02.01:2016 keliamus reikalavimus.</w:t>
      </w:r>
    </w:p>
    <w:p w14:paraId="3F4E20D9" w14:textId="77777777" w:rsidR="00E74E23" w:rsidRPr="00650EE4" w:rsidRDefault="00E74E23"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w:t>
      </w:r>
    </w:p>
    <w:p w14:paraId="334F0D35" w14:textId="77777777" w:rsidR="00E74E23" w:rsidRPr="00650EE4" w:rsidRDefault="00E74E23" w:rsidP="00613E6D">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Individualūs namai</w:t>
      </w:r>
    </w:p>
    <w:p w14:paraId="608FBCB5" w14:textId="3F7F952B" w:rsidR="00E74E23" w:rsidRPr="00650EE4" w:rsidRDefault="00E74E23"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Individualūs namai gali susidurti su techniniais apribojimais siekiant aukščiausių energinio naudingumo klasių dėl pastato sandarumo neužtikrinimo. A+ ir A++ klasei taikomi gerokai aukštesni sandarumo reikalavimai, nei žemesnių klasių pastatams. Dažnu atveju senesnės paskirties pastatuose gali būti sunku pasiekti atitinkamus sandarumo reikalavimus, nes fiziškai neįmanoma užsandarinti kritinių vietų.</w:t>
      </w:r>
    </w:p>
    <w:p w14:paraId="05475C60" w14:textId="77777777" w:rsidR="00E74E23" w:rsidRPr="00650EE4" w:rsidRDefault="00E74E23" w:rsidP="00E74E23">
      <w:pPr>
        <w:pStyle w:val="BodyText"/>
        <w:jc w:val="both"/>
        <w:rPr>
          <w:rFonts w:ascii="Times New Roman" w:hAnsi="Times New Roman"/>
          <w:color w:val="000000" w:themeColor="text1"/>
          <w:szCs w:val="22"/>
          <w:lang w:val="lt-LT"/>
        </w:rPr>
      </w:pPr>
    </w:p>
    <w:p w14:paraId="1DAF8294" w14:textId="77777777" w:rsidR="00E74E23" w:rsidRPr="00650EE4" w:rsidRDefault="00E74E23" w:rsidP="00613E6D">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Daugiabučiai</w:t>
      </w:r>
    </w:p>
    <w:p w14:paraId="05D79537" w14:textId="66A523A9" w:rsidR="00E74E23" w:rsidRPr="00650EE4" w:rsidRDefault="00525A5A"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Daugiabučių paskirties pastatuose su kliūtimis galima susidurti jau siekiant ir B energinio naudingumo klasės – dėl karšto vandens sistemos modernizavimo ir vamzdynų keitimo. Vamzdynų keitimas butuose gali pareikalauti daug derinimo su gyventojais. Siekiant aukštesnių </w:t>
      </w:r>
      <w:r w:rsidR="0064125B" w:rsidRPr="00650EE4">
        <w:rPr>
          <w:rFonts w:ascii="Times New Roman" w:hAnsi="Times New Roman"/>
          <w:color w:val="000000" w:themeColor="text1"/>
          <w:szCs w:val="22"/>
          <w:lang w:val="lt-LT"/>
        </w:rPr>
        <w:t>ENK</w:t>
      </w:r>
      <w:r w:rsidRPr="00650EE4">
        <w:rPr>
          <w:rFonts w:ascii="Times New Roman" w:hAnsi="Times New Roman"/>
          <w:color w:val="000000" w:themeColor="text1"/>
          <w:szCs w:val="22"/>
          <w:lang w:val="lt-LT"/>
        </w:rPr>
        <w:t xml:space="preserve"> taip pat reikalingas visų balkonų stiklinimas bei langų keitimas. Kadangi dalis gyventojų jau yra pasikeitę langus, praktika rodo, jog sudėtinga gyventojus vėl įtikinti mokėti už langų keitimą, tačiau siekiant pastatą sertifikuoti A klasei, kiekvienam langui reikalinga gamintojo teikiama eksploatacinių savybių deklaracija. Kai kuriais atvejais sudėtinga apšiltinti pastato atitvaras dėl storesnio šiluminės izoliacijos sluoksnio, nes atsiranda papildomos techninės ir estetinės problemos, pvz., lango įgilinimas. Kaip ir </w:t>
      </w:r>
      <w:r w:rsidRPr="00650EE4">
        <w:rPr>
          <w:rFonts w:ascii="Times New Roman" w:hAnsi="Times New Roman"/>
          <w:color w:val="000000" w:themeColor="text1"/>
          <w:szCs w:val="22"/>
          <w:lang w:val="lt-LT"/>
        </w:rPr>
        <w:lastRenderedPageBreak/>
        <w:t xml:space="preserve">individualiuose namuose, A+ ir A++ klasei taikomi gerokai aukštesni sandarumo reikalavimai, nei žemesnių klasių pastatams. </w:t>
      </w:r>
      <w:r w:rsidR="005A5722" w:rsidRPr="00650EE4">
        <w:rPr>
          <w:rFonts w:ascii="Times New Roman" w:hAnsi="Times New Roman"/>
          <w:color w:val="000000" w:themeColor="text1"/>
          <w:szCs w:val="22"/>
          <w:lang w:val="lt-LT"/>
        </w:rPr>
        <w:t xml:space="preserve">Taip pat senesniuose pastatuose </w:t>
      </w:r>
      <w:r w:rsidRPr="00650EE4">
        <w:rPr>
          <w:rFonts w:ascii="Times New Roman" w:hAnsi="Times New Roman"/>
          <w:color w:val="000000" w:themeColor="text1"/>
          <w:szCs w:val="22"/>
          <w:lang w:val="lt-LT"/>
        </w:rPr>
        <w:t xml:space="preserve">gali būti </w:t>
      </w:r>
      <w:r w:rsidR="005A5722" w:rsidRPr="00650EE4">
        <w:rPr>
          <w:rFonts w:ascii="Times New Roman" w:hAnsi="Times New Roman"/>
          <w:color w:val="000000" w:themeColor="text1"/>
          <w:szCs w:val="22"/>
          <w:lang w:val="lt-LT"/>
        </w:rPr>
        <w:t>techniškai sudėtinga</w:t>
      </w:r>
      <w:r w:rsidRPr="00650EE4">
        <w:rPr>
          <w:rFonts w:ascii="Times New Roman" w:hAnsi="Times New Roman"/>
          <w:color w:val="000000" w:themeColor="text1"/>
          <w:szCs w:val="22"/>
          <w:lang w:val="lt-LT"/>
        </w:rPr>
        <w:t xml:space="preserve"> pasiekti </w:t>
      </w:r>
      <w:r w:rsidR="005A5722" w:rsidRPr="00650EE4">
        <w:rPr>
          <w:rFonts w:ascii="Times New Roman" w:hAnsi="Times New Roman"/>
          <w:color w:val="000000" w:themeColor="text1"/>
          <w:szCs w:val="22"/>
          <w:lang w:val="lt-LT"/>
        </w:rPr>
        <w:t xml:space="preserve">keliamus </w:t>
      </w:r>
      <w:r w:rsidRPr="00650EE4">
        <w:rPr>
          <w:rFonts w:ascii="Times New Roman" w:hAnsi="Times New Roman"/>
          <w:color w:val="000000" w:themeColor="text1"/>
          <w:szCs w:val="22"/>
          <w:lang w:val="lt-LT"/>
        </w:rPr>
        <w:t>sandarumo reikalavimus</w:t>
      </w:r>
      <w:r w:rsidR="00E74E23" w:rsidRPr="00650EE4">
        <w:rPr>
          <w:rFonts w:ascii="Times New Roman" w:hAnsi="Times New Roman"/>
          <w:color w:val="000000" w:themeColor="text1"/>
          <w:szCs w:val="22"/>
          <w:lang w:val="lt-LT"/>
        </w:rPr>
        <w:t>.</w:t>
      </w:r>
    </w:p>
    <w:p w14:paraId="3A8407F8" w14:textId="77777777" w:rsidR="00E74E23" w:rsidRPr="00E86726" w:rsidRDefault="00E74E23" w:rsidP="00E74E23">
      <w:pPr>
        <w:pStyle w:val="BodyText"/>
        <w:jc w:val="both"/>
        <w:rPr>
          <w:rFonts w:ascii="Times New Roman" w:hAnsi="Times New Roman"/>
          <w:color w:val="000000" w:themeColor="text1"/>
          <w:sz w:val="12"/>
          <w:szCs w:val="22"/>
          <w:lang w:val="lt-LT"/>
        </w:rPr>
      </w:pPr>
    </w:p>
    <w:p w14:paraId="76327647" w14:textId="77777777" w:rsidR="00E74E23" w:rsidRPr="00650EE4" w:rsidRDefault="00E74E23" w:rsidP="00613E6D">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Kiti negyvenamieji pastatai</w:t>
      </w:r>
    </w:p>
    <w:p w14:paraId="0DE02394" w14:textId="5B47D0D4" w:rsidR="00E74E23" w:rsidRPr="00650EE4" w:rsidRDefault="00A27E0A"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Iš dabar egzistuojančios praktikos matyti, jog </w:t>
      </w:r>
      <w:r w:rsidR="00D34A7B">
        <w:rPr>
          <w:rFonts w:ascii="Times New Roman" w:hAnsi="Times New Roman"/>
          <w:color w:val="000000" w:themeColor="text1"/>
          <w:szCs w:val="22"/>
          <w:lang w:val="lt-LT"/>
        </w:rPr>
        <w:t xml:space="preserve">įgyvendinant viešųjų </w:t>
      </w:r>
      <w:r w:rsidRPr="00650EE4">
        <w:rPr>
          <w:rFonts w:ascii="Times New Roman" w:hAnsi="Times New Roman"/>
          <w:color w:val="000000" w:themeColor="text1"/>
          <w:szCs w:val="22"/>
          <w:lang w:val="lt-LT"/>
        </w:rPr>
        <w:t>negyvenamosios paskirties pastat</w:t>
      </w:r>
      <w:r w:rsidR="00D34A7B">
        <w:rPr>
          <w:rFonts w:ascii="Times New Roman" w:hAnsi="Times New Roman"/>
          <w:color w:val="000000" w:themeColor="text1"/>
          <w:szCs w:val="22"/>
          <w:lang w:val="lt-LT"/>
        </w:rPr>
        <w:t>ų</w:t>
      </w:r>
      <w:r w:rsidR="00426FFE">
        <w:rPr>
          <w:rFonts w:ascii="Times New Roman" w:hAnsi="Times New Roman"/>
          <w:color w:val="000000" w:themeColor="text1"/>
          <w:szCs w:val="22"/>
          <w:lang w:val="lt-LT"/>
        </w:rPr>
        <w:t xml:space="preserve"> (administraciniai, mokslo, gydymo, kultūros, viešbučių, paslaugų prekybos, maitinimo, poilsio, specialioji, sporto, t</w:t>
      </w:r>
      <w:r w:rsidRPr="00650EE4">
        <w:rPr>
          <w:rFonts w:ascii="Times New Roman" w:hAnsi="Times New Roman"/>
          <w:color w:val="000000" w:themeColor="text1"/>
          <w:szCs w:val="22"/>
          <w:lang w:val="lt-LT"/>
        </w:rPr>
        <w:t xml:space="preserve">ransporto) </w:t>
      </w:r>
      <w:r w:rsidR="00D34A7B">
        <w:rPr>
          <w:rFonts w:ascii="Times New Roman" w:hAnsi="Times New Roman"/>
          <w:color w:val="000000" w:themeColor="text1"/>
          <w:szCs w:val="22"/>
          <w:lang w:val="lt-LT"/>
        </w:rPr>
        <w:t>renovacijos projektus dažnu atveju</w:t>
      </w:r>
      <w:r w:rsidRPr="00650EE4">
        <w:rPr>
          <w:rFonts w:ascii="Times New Roman" w:hAnsi="Times New Roman"/>
          <w:color w:val="000000" w:themeColor="text1"/>
          <w:szCs w:val="22"/>
          <w:lang w:val="lt-LT"/>
        </w:rPr>
        <w:t xml:space="preserve"> siekiama C, o ne B klasės tik todėl, kad patiriama sunkumų </w:t>
      </w:r>
      <w:r w:rsidR="00D34A7B">
        <w:rPr>
          <w:rFonts w:ascii="Times New Roman" w:hAnsi="Times New Roman"/>
          <w:color w:val="000000" w:themeColor="text1"/>
          <w:szCs w:val="22"/>
          <w:lang w:val="lt-LT"/>
        </w:rPr>
        <w:t>visiškai</w:t>
      </w:r>
      <w:r w:rsidR="00D34A7B"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renovuojant karšto vandens ir šildymo vamzdynus. Siekiant aukštesnių energinio naudingumo klasių taip pat reikalingas visų balkonų stiklinimas bei langų keitimas. Kai kuriais atvejais sudėtingiau apšiltinti pastato atitvaras dėl storesnio šiluminės izoliacijos sluoksnio, nes atsiranda papildomos techninės ir estetinės problemos, pvz., lango įgilinimas. Kaip ir anksčiau minėta, A+ ir A++ klasei taikomi gerokai aukštesni sandarumo reikalavimai, nei žemesnių klasių pastatams. </w:t>
      </w:r>
      <w:r w:rsidR="005A5722" w:rsidRPr="00650EE4">
        <w:rPr>
          <w:rFonts w:ascii="Times New Roman" w:hAnsi="Times New Roman"/>
          <w:color w:val="000000" w:themeColor="text1"/>
          <w:szCs w:val="22"/>
          <w:lang w:val="lt-LT"/>
        </w:rPr>
        <w:t>Taip pat senesniuose pastatuose gali būti techniškai sudėtinga pasiekti keliamus sandarumo reikalavimus</w:t>
      </w:r>
      <w:r w:rsidRPr="00650EE4">
        <w:rPr>
          <w:rFonts w:ascii="Times New Roman" w:hAnsi="Times New Roman"/>
          <w:color w:val="000000" w:themeColor="text1"/>
          <w:szCs w:val="22"/>
          <w:lang w:val="lt-LT"/>
        </w:rPr>
        <w:t>. Užsandarinus pastatą iki A+ ar A+</w:t>
      </w:r>
      <w:r w:rsidR="007C661D"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klasės reikalavimų būtina gerinti arba įdiegti naujas vėdinimo sistemas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Dėl pastatų savybių (pvz., lubų aukščio), kai kuriuose pastatuose įrengti kokybišką ir estetiškai priimtiną vėdinimo sistemą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neįmanoma. Nors egzistuoja vėdinimo sprendimai per sieną, tačiau tokio tipo sistemos dažniau taikomos daugiabučiams, ir netinka pastatams, kuriems reikalinga tiekti didelius oro kiekius</w:t>
      </w:r>
      <w:r w:rsidR="00E74E23" w:rsidRPr="00650EE4">
        <w:rPr>
          <w:rFonts w:ascii="Times New Roman" w:hAnsi="Times New Roman"/>
          <w:color w:val="000000" w:themeColor="text1"/>
          <w:szCs w:val="22"/>
          <w:lang w:val="lt-LT"/>
        </w:rPr>
        <w:t>.</w:t>
      </w:r>
    </w:p>
    <w:p w14:paraId="6AC18B6D" w14:textId="77777777" w:rsidR="00E74E23" w:rsidRPr="00E86726" w:rsidRDefault="00E74E23" w:rsidP="00E74E23">
      <w:pPr>
        <w:pStyle w:val="BodyText"/>
        <w:jc w:val="both"/>
        <w:rPr>
          <w:rFonts w:ascii="Times New Roman" w:hAnsi="Times New Roman"/>
          <w:color w:val="000000" w:themeColor="text1"/>
          <w:sz w:val="12"/>
          <w:szCs w:val="22"/>
          <w:lang w:val="lt-LT"/>
        </w:rPr>
      </w:pPr>
    </w:p>
    <w:p w14:paraId="1E0ECA50" w14:textId="095D72CC" w:rsidR="00E74E23" w:rsidRPr="00650EE4" w:rsidRDefault="00E74E23" w:rsidP="006918F0">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Pramonės pastatai</w:t>
      </w:r>
    </w:p>
    <w:p w14:paraId="5587F227" w14:textId="5AA3250E" w:rsidR="005F1556" w:rsidRPr="00650EE4" w:rsidRDefault="00E74E23" w:rsidP="000075BF">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Pramonės pastatai nesusiduria su reikšmingais techniniais apribojimais, nes šiems pastatams nėra keliami </w:t>
      </w:r>
      <w:r w:rsidR="00795028" w:rsidRPr="00650EE4">
        <w:rPr>
          <w:rFonts w:ascii="Times New Roman" w:hAnsi="Times New Roman"/>
          <w:color w:val="000000" w:themeColor="text1"/>
          <w:szCs w:val="22"/>
          <w:lang w:val="lt-LT"/>
        </w:rPr>
        <w:t xml:space="preserve">norminiai </w:t>
      </w:r>
      <w:r w:rsidRPr="00650EE4">
        <w:rPr>
          <w:rFonts w:ascii="Times New Roman" w:hAnsi="Times New Roman"/>
          <w:color w:val="000000" w:themeColor="text1"/>
          <w:szCs w:val="22"/>
          <w:lang w:val="lt-LT"/>
        </w:rPr>
        <w:t>sandarumo reikalavimai.</w:t>
      </w:r>
    </w:p>
    <w:p w14:paraId="6855E581" w14:textId="4489DCB3" w:rsidR="0064125B" w:rsidRPr="00E86726" w:rsidRDefault="0064125B" w:rsidP="000075BF">
      <w:pPr>
        <w:pStyle w:val="BodyText"/>
        <w:jc w:val="both"/>
        <w:rPr>
          <w:rFonts w:ascii="Times New Roman" w:hAnsi="Times New Roman"/>
          <w:color w:val="000000" w:themeColor="text1"/>
          <w:sz w:val="12"/>
          <w:szCs w:val="22"/>
          <w:lang w:val="lt-LT"/>
        </w:rPr>
      </w:pPr>
    </w:p>
    <w:p w14:paraId="77E492CB" w14:textId="568DBBAE" w:rsidR="007D500D" w:rsidRPr="00650EE4" w:rsidRDefault="007D500D" w:rsidP="000075BF">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Apibendrinant galima teigti, kad reikšmingų techninių apribojimų, renovuojant pastatus iki A ir B e</w:t>
      </w:r>
      <w:r w:rsidR="00B219C4" w:rsidRPr="00650EE4">
        <w:rPr>
          <w:rFonts w:ascii="Times New Roman" w:hAnsi="Times New Roman"/>
          <w:color w:val="000000" w:themeColor="text1"/>
          <w:szCs w:val="22"/>
          <w:lang w:val="lt-LT"/>
        </w:rPr>
        <w:t>nerginio naudingumo klasių, neidentifikuota</w:t>
      </w:r>
      <w:r w:rsidRPr="00650EE4">
        <w:rPr>
          <w:rFonts w:ascii="Times New Roman" w:hAnsi="Times New Roman"/>
          <w:color w:val="000000" w:themeColor="text1"/>
          <w:szCs w:val="22"/>
          <w:lang w:val="lt-LT"/>
        </w:rPr>
        <w:t>.</w:t>
      </w:r>
    </w:p>
    <w:p w14:paraId="397707FD" w14:textId="77777777" w:rsidR="00C95543" w:rsidRPr="00650EE4" w:rsidRDefault="00C95543" w:rsidP="00196396">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15" w:name="_Toc67925136"/>
      <w:r w:rsidRPr="00650EE4">
        <w:rPr>
          <w:rFonts w:ascii="Times New Roman" w:hAnsi="Times New Roman"/>
          <w:color w:val="auto"/>
          <w:sz w:val="24"/>
          <w:szCs w:val="24"/>
          <w:lang w:val="lt-LT"/>
        </w:rPr>
        <w:t>Inicijavimo momentas</w:t>
      </w:r>
      <w:bookmarkEnd w:id="115"/>
    </w:p>
    <w:p w14:paraId="267A56B2" w14:textId="65A94C6C"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Svarbus renovacijos proceso elementas – tinkamo renovacijos inicijavimo momento identifikavimas. Tipiniai renovacijos inicijavimo momentai</w:t>
      </w:r>
      <w:r w:rsidR="00E16805" w:rsidRPr="00650EE4">
        <w:rPr>
          <w:rFonts w:ascii="Times New Roman" w:hAnsi="Times New Roman"/>
          <w:color w:val="000000" w:themeColor="text1"/>
          <w:szCs w:val="22"/>
          <w:lang w:val="lt-LT"/>
        </w:rPr>
        <w:t xml:space="preserve"> yra</w:t>
      </w:r>
      <w:r w:rsidRPr="00650EE4">
        <w:rPr>
          <w:rFonts w:ascii="Times New Roman" w:hAnsi="Times New Roman"/>
          <w:color w:val="000000" w:themeColor="text1"/>
          <w:szCs w:val="22"/>
          <w:lang w:val="lt-LT"/>
        </w:rPr>
        <w:t xml:space="preserve">: sandoris (pvz., pastato pardavimas, naudojimo paskirties pakeitimas ir pan., renovacija (pvz., </w:t>
      </w:r>
      <w:r w:rsidR="00111537">
        <w:rPr>
          <w:rFonts w:ascii="Times New Roman" w:hAnsi="Times New Roman"/>
          <w:color w:val="000000" w:themeColor="text1"/>
          <w:szCs w:val="22"/>
          <w:lang w:val="lt-LT"/>
        </w:rPr>
        <w:t xml:space="preserve">savininko </w:t>
      </w:r>
      <w:r w:rsidRPr="00650EE4">
        <w:rPr>
          <w:rFonts w:ascii="Times New Roman" w:hAnsi="Times New Roman"/>
          <w:color w:val="000000" w:themeColor="text1"/>
          <w:szCs w:val="22"/>
          <w:lang w:val="lt-LT"/>
        </w:rPr>
        <w:t>jau suplanuota</w:t>
      </w:r>
      <w:r w:rsidR="00111537">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w:t>
      </w:r>
      <w:r w:rsidR="00111537">
        <w:rPr>
          <w:rFonts w:ascii="Times New Roman" w:hAnsi="Times New Roman"/>
          <w:color w:val="000000" w:themeColor="text1"/>
          <w:szCs w:val="22"/>
          <w:lang w:val="lt-LT"/>
        </w:rPr>
        <w:t>pastato techninės būklės pagerinimas, atstatymas</w:t>
      </w:r>
      <w:r w:rsidRPr="00650EE4">
        <w:rPr>
          <w:rFonts w:ascii="Times New Roman" w:hAnsi="Times New Roman"/>
          <w:color w:val="000000" w:themeColor="text1"/>
          <w:szCs w:val="22"/>
          <w:lang w:val="lt-LT"/>
        </w:rPr>
        <w:t>), nelaimė/incidentas (pvz., gaisras, žemės drebėjimas, potvynis).</w:t>
      </w:r>
    </w:p>
    <w:p w14:paraId="2ABF5F91" w14:textId="77777777" w:rsidR="002B3426" w:rsidRPr="00E86726" w:rsidRDefault="002B3426" w:rsidP="002B3426">
      <w:pPr>
        <w:pStyle w:val="BodyText"/>
        <w:jc w:val="both"/>
        <w:rPr>
          <w:rFonts w:ascii="Times New Roman" w:hAnsi="Times New Roman"/>
          <w:color w:val="000000" w:themeColor="text1"/>
          <w:sz w:val="12"/>
          <w:szCs w:val="22"/>
          <w:lang w:val="lt-LT"/>
        </w:rPr>
      </w:pPr>
    </w:p>
    <w:p w14:paraId="0AC21066" w14:textId="527C7040" w:rsidR="002B3426" w:rsidRPr="00650EE4" w:rsidRDefault="002B3426" w:rsidP="002B342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Atsižvelgiant į Lietuvos gyventojų norą renovuotis ir atnaujinti savo būstą savarankiškai (žr. </w:t>
      </w:r>
      <w:r w:rsidR="00D34A7B">
        <w:rPr>
          <w:rFonts w:ascii="Times New Roman" w:hAnsi="Times New Roman"/>
          <w:color w:val="000000" w:themeColor="text1"/>
          <w:szCs w:val="22"/>
        </w:rPr>
        <w:t>1</w:t>
      </w:r>
      <w:r w:rsidRPr="00650EE4">
        <w:rPr>
          <w:rFonts w:ascii="Times New Roman" w:hAnsi="Times New Roman"/>
          <w:color w:val="000000" w:themeColor="text1"/>
          <w:szCs w:val="22"/>
          <w:lang w:val="lt-LT"/>
        </w:rPr>
        <w:t xml:space="preserve">.4.4 skyrių), vienas reikšmingiausių inicijavimo momentų – pastatų atnaujinimas dėl kitų (su energijos taupymu nesusijusių) priežasčių. Europos komisijos užsakymu atliktas „Išsamus pastatų renovacijos ir beveik energijos </w:t>
      </w:r>
      <w:r w:rsidR="00781599" w:rsidRPr="00650EE4">
        <w:rPr>
          <w:rFonts w:ascii="Times New Roman" w:hAnsi="Times New Roman"/>
          <w:color w:val="000000" w:themeColor="text1"/>
          <w:szCs w:val="22"/>
          <w:lang w:val="lt-LT"/>
        </w:rPr>
        <w:t>nevartojančių</w:t>
      </w:r>
      <w:r w:rsidRPr="00650EE4">
        <w:rPr>
          <w:rFonts w:ascii="Times New Roman" w:hAnsi="Times New Roman"/>
          <w:color w:val="000000" w:themeColor="text1"/>
          <w:szCs w:val="22"/>
          <w:lang w:val="lt-LT"/>
        </w:rPr>
        <w:t xml:space="preserve"> pastatų plėtros ES tyrimas“</w:t>
      </w:r>
      <w:r w:rsidRPr="00650EE4">
        <w:rPr>
          <w:rFonts w:ascii="Times New Roman" w:hAnsi="Times New Roman"/>
          <w:szCs w:val="22"/>
          <w:vertAlign w:val="superscript"/>
          <w:lang w:val="lt-LT"/>
        </w:rPr>
        <w:footnoteReference w:id="14"/>
      </w:r>
      <w:r w:rsidRPr="00650EE4">
        <w:rPr>
          <w:rFonts w:ascii="Times New Roman" w:hAnsi="Times New Roman"/>
          <w:color w:val="000000" w:themeColor="text1"/>
          <w:szCs w:val="22"/>
          <w:lang w:val="lt-LT"/>
        </w:rPr>
        <w:t xml:space="preserve"> atskleidžia, kad šiuo metu tik ketvirtadalis pastatų atnaujinimo darbų apima su energijos taupymu susijusias priemones. Tuo tarpu daugiau nei 90 proc. renovacijos darbų atliekama įtraukiant papildomus (ne tik su energiniu efektyvumu susijusius) pastatų atnaujinimo darbus, t.y. tik 10 proc. renovacijos atvejų vykdomi išskirtinai su energijos taupymu susiję darbai (žr. paveikslą žemiau).</w:t>
      </w:r>
    </w:p>
    <w:p w14:paraId="51FBE0E9" w14:textId="77777777" w:rsidR="002B3426" w:rsidRPr="00E86726" w:rsidRDefault="002B3426" w:rsidP="002B3426">
      <w:pPr>
        <w:pStyle w:val="BodyText"/>
        <w:jc w:val="both"/>
        <w:rPr>
          <w:rFonts w:ascii="Times New Roman" w:hAnsi="Times New Roman"/>
          <w:color w:val="000000" w:themeColor="text1"/>
          <w:sz w:val="14"/>
          <w:szCs w:val="22"/>
          <w:lang w:val="lt-LT"/>
        </w:rPr>
      </w:pPr>
    </w:p>
    <w:p w14:paraId="1005F4D6" w14:textId="77777777" w:rsidR="00E86726" w:rsidRDefault="00E86726">
      <w:pPr>
        <w:spacing w:after="240"/>
        <w:rPr>
          <w:rFonts w:ascii="Times New Roman" w:eastAsiaTheme="minorHAnsi" w:hAnsi="Times New Roman"/>
          <w:bCs/>
          <w:i/>
          <w:color w:val="000000" w:themeColor="text1"/>
          <w:sz w:val="20"/>
          <w:szCs w:val="20"/>
        </w:rPr>
      </w:pPr>
      <w:r>
        <w:br w:type="page"/>
      </w:r>
    </w:p>
    <w:p w14:paraId="46F02BE7" w14:textId="69161A90" w:rsidR="002B3426" w:rsidRPr="00650EE4" w:rsidRDefault="002B342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16" w:name="_Toc67925266"/>
      <w:r w:rsidR="007744C1">
        <w:t>18</w:t>
      </w:r>
      <w:r w:rsidRPr="00650EE4">
        <w:rPr>
          <w:noProof w:val="0"/>
        </w:rPr>
        <w:fldChar w:fldCharType="end"/>
      </w:r>
      <w:r w:rsidRPr="00650EE4">
        <w:rPr>
          <w:noProof w:val="0"/>
        </w:rPr>
        <w:t xml:space="preserve"> paveikslas. Energiją taupančių priemonių panaudojimas pastatų atnaujinime</w:t>
      </w:r>
      <w:bookmarkEnd w:id="116"/>
      <w:r w:rsidRPr="00650EE4">
        <w:rPr>
          <w:noProof w:val="0"/>
        </w:rPr>
        <w:t xml:space="preserve"> </w:t>
      </w:r>
    </w:p>
    <w:p w14:paraId="06D10DEB" w14:textId="09694300" w:rsidR="002B3426" w:rsidRPr="00650EE4" w:rsidRDefault="002E4AB5" w:rsidP="002B3426">
      <w:pPr>
        <w:pStyle w:val="BodyText"/>
        <w:jc w:val="both"/>
        <w:rPr>
          <w:rFonts w:ascii="Times New Roman" w:hAnsi="Times New Roman"/>
          <w:color w:val="000000" w:themeColor="text1"/>
          <w:szCs w:val="22"/>
          <w:lang w:val="lt-LT"/>
        </w:rPr>
      </w:pPr>
      <w:r w:rsidRPr="00650EE4">
        <w:rPr>
          <w:rFonts w:ascii="Times New Roman" w:hAnsi="Times New Roman"/>
          <w:noProof/>
          <w:color w:val="000000" w:themeColor="text1"/>
          <w:szCs w:val="22"/>
          <w:lang w:val="lt-LT" w:eastAsia="lt-LT"/>
        </w:rPr>
        <w:drawing>
          <wp:inline distT="0" distB="0" distL="0" distR="0" wp14:anchorId="68F94921" wp14:editId="2A84F615">
            <wp:extent cx="3767328" cy="2016320"/>
            <wp:effectExtent l="19050" t="19050" r="2413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1987" cy="2029518"/>
                    </a:xfrm>
                    <a:prstGeom prst="rect">
                      <a:avLst/>
                    </a:prstGeom>
                    <a:noFill/>
                    <a:ln>
                      <a:solidFill>
                        <a:schemeClr val="tx1"/>
                      </a:solidFill>
                    </a:ln>
                  </pic:spPr>
                </pic:pic>
              </a:graphicData>
            </a:graphic>
          </wp:inline>
        </w:drawing>
      </w:r>
    </w:p>
    <w:p w14:paraId="1D0FB169" w14:textId="67C48478" w:rsidR="002B3426" w:rsidRPr="00650EE4" w:rsidRDefault="002B3426" w:rsidP="002B3426">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Išsamus pastatų renovacijos ir beveik energijos </w:t>
      </w:r>
      <w:r w:rsidR="00781599" w:rsidRPr="00650EE4">
        <w:rPr>
          <w:rFonts w:ascii="Times New Roman" w:eastAsia="Times New Roman" w:hAnsi="Times New Roman"/>
          <w:i/>
          <w:color w:val="000000" w:themeColor="text1"/>
          <w:sz w:val="20"/>
          <w:szCs w:val="28"/>
        </w:rPr>
        <w:t>nevartojančių</w:t>
      </w:r>
      <w:r w:rsidRPr="00650EE4">
        <w:rPr>
          <w:rFonts w:ascii="Times New Roman" w:eastAsia="Times New Roman" w:hAnsi="Times New Roman"/>
          <w:i/>
          <w:color w:val="000000" w:themeColor="text1"/>
          <w:sz w:val="20"/>
          <w:szCs w:val="28"/>
        </w:rPr>
        <w:t xml:space="preserve"> pastatų plėtros ES tyrimas</w:t>
      </w:r>
    </w:p>
    <w:p w14:paraId="7E15D618" w14:textId="77777777" w:rsidR="002B3426" w:rsidRPr="00650EE4" w:rsidRDefault="002B3426" w:rsidP="002B3426">
      <w:pPr>
        <w:pStyle w:val="BodyText"/>
        <w:jc w:val="both"/>
        <w:rPr>
          <w:rFonts w:ascii="Times New Roman" w:hAnsi="Times New Roman"/>
          <w:color w:val="000000" w:themeColor="text1"/>
          <w:szCs w:val="22"/>
          <w:lang w:val="lt-LT"/>
        </w:rPr>
      </w:pPr>
    </w:p>
    <w:p w14:paraId="26C34577" w14:textId="77777777" w:rsidR="002B3426" w:rsidRPr="00650EE4" w:rsidRDefault="002B3426" w:rsidP="002B342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Atitinkamai, atsižvelgiant į inicijavimo momentus gali pavykti atlikti renovaciją ekonomiškai efektyviai dėl masto ekonomijos, kurią galima užtikrinti, jeigu su energija susijusi renovacija vykdoma tuo pačiu metu, kai vykdomi kiti būtini darbai arba planinė renovacija. </w:t>
      </w:r>
    </w:p>
    <w:p w14:paraId="2C4CABB1" w14:textId="77777777" w:rsidR="002B3426" w:rsidRPr="00650EE4" w:rsidRDefault="002B3426" w:rsidP="002B3426">
      <w:pPr>
        <w:pStyle w:val="BodyText"/>
        <w:jc w:val="both"/>
        <w:rPr>
          <w:rFonts w:ascii="Times New Roman" w:hAnsi="Times New Roman"/>
          <w:color w:val="000000" w:themeColor="text1"/>
          <w:szCs w:val="22"/>
          <w:lang w:val="lt-LT"/>
        </w:rPr>
      </w:pPr>
    </w:p>
    <w:p w14:paraId="14636764" w14:textId="77777777" w:rsidR="002B3426" w:rsidRPr="00650EE4" w:rsidRDefault="002B3426" w:rsidP="002B342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Toliau pateikiama kiekvienai pastatų grupei taikytinų inicijavimo momentų apžvalga.</w:t>
      </w:r>
    </w:p>
    <w:p w14:paraId="69EFFAD7" w14:textId="77777777" w:rsidR="00C95543" w:rsidRPr="00650EE4" w:rsidRDefault="00C95543" w:rsidP="00C95543">
      <w:pPr>
        <w:pStyle w:val="BodyText"/>
        <w:jc w:val="both"/>
        <w:rPr>
          <w:rFonts w:ascii="Times New Roman" w:hAnsi="Times New Roman"/>
          <w:color w:val="000000" w:themeColor="text1"/>
          <w:szCs w:val="22"/>
          <w:lang w:val="lt-LT"/>
        </w:rPr>
      </w:pPr>
    </w:p>
    <w:p w14:paraId="36770691" w14:textId="77777777"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Individualūs namai</w:t>
      </w:r>
    </w:p>
    <w:p w14:paraId="0F43A7D8" w14:textId="3789D566"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Pagrindinis individualių namų renovacijos iniciavimo momentas – pastato nuosavybės teisės pasikeitimas. Pagal Lietuvos Respublikos statybos įstatymą parduodant ar išnuomojant pastatą savininkas naujam nuomininkui arba pirkėjui privalo perduoti galiojantį pastato ar jo dalies energinio naudingumo sertifikatą. Potencialiems naujiems pastato savininkams suteikiama informacija apie pastato būklę ir visus renovacijos poreikius atliekant pastato energinio naudingumo sertifikavimą, reikalingą sandoriui. Siekiant padidinti būsto vertę, savininkas gali siekti atlikti pastato modernizavimo darbus (pvz.</w:t>
      </w:r>
      <w:r w:rsidR="00DC2BD2"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dalin</w:t>
      </w:r>
      <w:r w:rsidR="003213D1">
        <w:rPr>
          <w:rFonts w:ascii="Times New Roman" w:hAnsi="Times New Roman"/>
          <w:color w:val="000000" w:themeColor="text1"/>
          <w:szCs w:val="22"/>
          <w:lang w:val="lt-LT"/>
        </w:rPr>
        <w:t>ę</w:t>
      </w:r>
      <w:r w:rsidRPr="00650EE4">
        <w:rPr>
          <w:rFonts w:ascii="Times New Roman" w:hAnsi="Times New Roman"/>
          <w:color w:val="000000" w:themeColor="text1"/>
          <w:szCs w:val="22"/>
          <w:lang w:val="lt-LT"/>
        </w:rPr>
        <w:t xml:space="preserve"> renovacij</w:t>
      </w:r>
      <w:r w:rsidR="003213D1">
        <w:rPr>
          <w:rFonts w:ascii="Times New Roman" w:hAnsi="Times New Roman"/>
          <w:color w:val="000000" w:themeColor="text1"/>
          <w:szCs w:val="22"/>
          <w:lang w:val="lt-LT"/>
        </w:rPr>
        <w:t>ą</w:t>
      </w:r>
      <w:r w:rsidRPr="00650EE4">
        <w:rPr>
          <w:rFonts w:ascii="Times New Roman" w:hAnsi="Times New Roman"/>
          <w:color w:val="000000" w:themeColor="text1"/>
          <w:szCs w:val="22"/>
          <w:lang w:val="lt-LT"/>
        </w:rPr>
        <w:t>)</w:t>
      </w:r>
      <w:r w:rsidR="00DC2BD2" w:rsidRPr="00650EE4">
        <w:rPr>
          <w:rFonts w:ascii="Times New Roman" w:hAnsi="Times New Roman"/>
          <w:color w:val="000000" w:themeColor="text1"/>
          <w:szCs w:val="22"/>
          <w:lang w:val="lt-LT"/>
        </w:rPr>
        <w:t>.</w:t>
      </w:r>
    </w:p>
    <w:p w14:paraId="235AF483" w14:textId="77777777" w:rsidR="00A544B7" w:rsidRPr="00650EE4" w:rsidRDefault="00A544B7" w:rsidP="00C95543">
      <w:pPr>
        <w:pStyle w:val="BodyText"/>
        <w:jc w:val="both"/>
        <w:rPr>
          <w:rFonts w:ascii="Times New Roman" w:hAnsi="Times New Roman"/>
          <w:color w:val="000000" w:themeColor="text1"/>
          <w:szCs w:val="22"/>
          <w:lang w:val="lt-LT"/>
        </w:rPr>
      </w:pPr>
    </w:p>
    <w:p w14:paraId="33347971" w14:textId="77777777"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Daugiabučiai</w:t>
      </w:r>
    </w:p>
    <w:p w14:paraId="7F239FFD" w14:textId="6E60E6B2"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Daugiabučių namų gyventojai renkasi renovaciją dėl daugybės priežasčių: šildymo sąnaudų sumažėjimo, estetinės išvaizdos pagerėjimo, komforto lygio ir turto vertės padidėjimo. Ypatingas dėmesys turėtų būti skirtas kritinės būklės daugiabučių pastatų (kiauras stogas, krentanti sienų apdaila ar plytos, </w:t>
      </w:r>
      <w:r w:rsidR="006013CC">
        <w:rPr>
          <w:rFonts w:ascii="Times New Roman" w:hAnsi="Times New Roman"/>
          <w:color w:val="000000" w:themeColor="text1"/>
          <w:szCs w:val="22"/>
          <w:lang w:val="lt-LT"/>
        </w:rPr>
        <w:t>susilpnėjusios</w:t>
      </w:r>
      <w:r w:rsidRPr="00650EE4">
        <w:rPr>
          <w:rFonts w:ascii="Times New Roman" w:hAnsi="Times New Roman"/>
          <w:color w:val="000000" w:themeColor="text1"/>
          <w:szCs w:val="22"/>
          <w:lang w:val="lt-LT"/>
        </w:rPr>
        <w:t xml:space="preserve"> konstrukcijos balkonai ar stogeliai) modernizavimui, taip siekiant ne tik išvengti nelaimingų atsitikimų, bet ir prailginti pastatų gyvavimo ciklą.</w:t>
      </w:r>
    </w:p>
    <w:p w14:paraId="14BDB91B" w14:textId="77777777" w:rsidR="00C95543" w:rsidRPr="00650EE4" w:rsidRDefault="00C95543" w:rsidP="00C95543">
      <w:pPr>
        <w:pStyle w:val="BodyText"/>
        <w:jc w:val="both"/>
        <w:rPr>
          <w:rFonts w:ascii="Times New Roman" w:hAnsi="Times New Roman"/>
          <w:color w:val="000000" w:themeColor="text1"/>
          <w:szCs w:val="22"/>
          <w:lang w:val="lt-LT"/>
        </w:rPr>
      </w:pPr>
    </w:p>
    <w:p w14:paraId="4D72EE97" w14:textId="3DCC7595" w:rsidR="00C95543" w:rsidRPr="00650EE4" w:rsidRDefault="00C95543" w:rsidP="00C95543">
      <w:pPr>
        <w:pStyle w:val="BodyText"/>
        <w:jc w:val="both"/>
        <w:rPr>
          <w:rFonts w:ascii="Times New Roman" w:hAnsi="Times New Roman"/>
          <w:color w:val="000000" w:themeColor="text1"/>
          <w:szCs w:val="22"/>
          <w:lang w:val="lt-LT"/>
        </w:rPr>
      </w:pPr>
      <w:proofErr w:type="spellStart"/>
      <w:r w:rsidRPr="00650EE4">
        <w:rPr>
          <w:rFonts w:ascii="Times New Roman" w:hAnsi="Times New Roman"/>
          <w:color w:val="000000" w:themeColor="text1"/>
          <w:szCs w:val="22"/>
          <w:lang w:val="lt-LT"/>
        </w:rPr>
        <w:t>Kvartalinė</w:t>
      </w:r>
      <w:proofErr w:type="spellEnd"/>
      <w:r w:rsidRPr="00650EE4">
        <w:rPr>
          <w:rFonts w:ascii="Times New Roman" w:hAnsi="Times New Roman"/>
          <w:color w:val="000000" w:themeColor="text1"/>
          <w:szCs w:val="22"/>
          <w:lang w:val="lt-LT"/>
        </w:rPr>
        <w:t xml:space="preserve"> renovacija gali būti viena iš esminių daugiabučių renovacijos iniciavimo ir tempų didinimo priemonių. Taip pat atnaujinant visą kvartalą vienu metu galima ženkliai pagerinti kvartalo funkcionalumą, patrauklumą bei </w:t>
      </w:r>
      <w:proofErr w:type="spellStart"/>
      <w:r w:rsidRPr="00650EE4">
        <w:rPr>
          <w:rFonts w:ascii="Times New Roman" w:hAnsi="Times New Roman"/>
          <w:color w:val="000000" w:themeColor="text1"/>
          <w:szCs w:val="22"/>
          <w:lang w:val="lt-LT"/>
        </w:rPr>
        <w:t>gerbūvį</w:t>
      </w:r>
      <w:proofErr w:type="spellEnd"/>
      <w:r w:rsidRPr="00650EE4">
        <w:rPr>
          <w:rFonts w:ascii="Times New Roman" w:hAnsi="Times New Roman"/>
          <w:color w:val="000000" w:themeColor="text1"/>
          <w:szCs w:val="22"/>
          <w:lang w:val="lt-LT"/>
        </w:rPr>
        <w:t xml:space="preserve">. Renovaciją vykdyti kvartalais yra svarbu siekiant pritraukti daugiau renovacijos paslaugų pasiūlos. Renovaciją įgyvendinant ne po vieną pastatą, o kvartalais, būtų galima pritraukti didžiąsias statybos įmones, kas leistų sumažinti renovacijos kainą ir padidintų tempus. Detaliau apie </w:t>
      </w:r>
      <w:proofErr w:type="spellStart"/>
      <w:r w:rsidRPr="00650EE4">
        <w:rPr>
          <w:rFonts w:ascii="Times New Roman" w:hAnsi="Times New Roman"/>
          <w:color w:val="000000" w:themeColor="text1"/>
          <w:szCs w:val="22"/>
          <w:lang w:val="lt-LT"/>
        </w:rPr>
        <w:t>kvartalinę</w:t>
      </w:r>
      <w:proofErr w:type="spellEnd"/>
      <w:r w:rsidRPr="00650EE4">
        <w:rPr>
          <w:rFonts w:ascii="Times New Roman" w:hAnsi="Times New Roman"/>
          <w:color w:val="000000" w:themeColor="text1"/>
          <w:szCs w:val="22"/>
          <w:lang w:val="lt-LT"/>
        </w:rPr>
        <w:t xml:space="preserve"> renovaciją skaityti skyriuje </w:t>
      </w:r>
      <w:r w:rsidR="003213D1">
        <w:rPr>
          <w:rFonts w:ascii="Times New Roman" w:hAnsi="Times New Roman"/>
          <w:color w:val="000000" w:themeColor="text1"/>
          <w:szCs w:val="22"/>
        </w:rPr>
        <w:t>5</w:t>
      </w:r>
      <w:r w:rsidRPr="00650EE4">
        <w:rPr>
          <w:rFonts w:ascii="Times New Roman" w:hAnsi="Times New Roman"/>
          <w:color w:val="000000" w:themeColor="text1"/>
          <w:szCs w:val="22"/>
          <w:lang w:val="lt-LT"/>
        </w:rPr>
        <w:t>.2.6.</w:t>
      </w:r>
    </w:p>
    <w:p w14:paraId="4D37F005" w14:textId="77777777" w:rsidR="00C95543" w:rsidRPr="00650EE4" w:rsidRDefault="00C95543" w:rsidP="00C95543">
      <w:pPr>
        <w:pStyle w:val="BodyText"/>
        <w:jc w:val="both"/>
        <w:rPr>
          <w:rFonts w:ascii="Times New Roman" w:hAnsi="Times New Roman"/>
          <w:b/>
          <w:bCs/>
          <w:color w:val="000000" w:themeColor="text1"/>
          <w:szCs w:val="22"/>
          <w:lang w:val="lt-LT"/>
        </w:rPr>
      </w:pPr>
    </w:p>
    <w:p w14:paraId="75FFCF7F" w14:textId="77777777"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Kiti negyvenamieji pastatai</w:t>
      </w:r>
    </w:p>
    <w:p w14:paraId="71C8399D" w14:textId="77777777"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Daugelis negyvenamųjų pastatų yra komerciniai, nuomojami objektai. Pastatų nuomotojai yra suinteresuoti pritraukti patalpų nuomininkus, o vienas svarbiausių aspektų renkantis nuomos vietą – modernus ir energetiškai efektyvus pastatas. Keičiantis ar bandant išlaikyti esamus nuomininkus, pastatų savininkai privalės modernizuoti valdomą pastatą ir inžinerines sistemas, įdiegti atsinaujinančius energijos šaltinius siekiant išlikti konkurencingais rinkoje.</w:t>
      </w:r>
    </w:p>
    <w:p w14:paraId="29572D41" w14:textId="77777777" w:rsidR="00C95543" w:rsidRPr="00650EE4" w:rsidRDefault="00C95543" w:rsidP="00C95543">
      <w:pPr>
        <w:pStyle w:val="BodyText"/>
        <w:jc w:val="both"/>
        <w:rPr>
          <w:rFonts w:ascii="Times New Roman" w:hAnsi="Times New Roman"/>
          <w:color w:val="000000" w:themeColor="text1"/>
          <w:szCs w:val="22"/>
          <w:lang w:val="lt-LT"/>
        </w:rPr>
      </w:pPr>
    </w:p>
    <w:p w14:paraId="106FDBC6" w14:textId="77777777"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Valstybė ir savivaldybės suinteresuotos modernizuoti savo valdomus pastatus siekiant sumažinti pastatų išlaikymo kaštus, pagerinant darbo ir komforto sąlygas.</w:t>
      </w:r>
    </w:p>
    <w:p w14:paraId="2E4F0782" w14:textId="77777777" w:rsidR="00C95543" w:rsidRPr="00650EE4" w:rsidRDefault="00C95543" w:rsidP="00C95543">
      <w:pPr>
        <w:pStyle w:val="BodyText"/>
        <w:jc w:val="both"/>
        <w:rPr>
          <w:rFonts w:ascii="Times New Roman" w:hAnsi="Times New Roman"/>
          <w:color w:val="000000" w:themeColor="text1"/>
          <w:szCs w:val="22"/>
          <w:lang w:val="lt-LT"/>
        </w:rPr>
      </w:pPr>
    </w:p>
    <w:p w14:paraId="24F18052" w14:textId="77777777" w:rsidR="00E86726" w:rsidRDefault="00E86726">
      <w:pPr>
        <w:spacing w:after="240"/>
        <w:rPr>
          <w:rFonts w:ascii="Times New Roman" w:hAnsi="Times New Roman"/>
          <w:b/>
          <w:bCs/>
          <w:color w:val="000000" w:themeColor="text1"/>
          <w:szCs w:val="22"/>
        </w:rPr>
      </w:pPr>
      <w:r>
        <w:rPr>
          <w:rFonts w:ascii="Times New Roman" w:hAnsi="Times New Roman"/>
          <w:b/>
          <w:bCs/>
          <w:color w:val="000000" w:themeColor="text1"/>
          <w:szCs w:val="22"/>
        </w:rPr>
        <w:br w:type="page"/>
      </w:r>
    </w:p>
    <w:p w14:paraId="28DFD221" w14:textId="4F8E6625"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lastRenderedPageBreak/>
        <w:t>Pramonės pastatai</w:t>
      </w:r>
    </w:p>
    <w:p w14:paraId="188E1790" w14:textId="223F6E0F"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Pramonės pastatų savininkai siekdami pastatų išlaikymo kaštų optimizavimo, reguliariai investuoja į pastatų modernizavimą, inžinerinių sistemų atnaujinimą. Kaip ir komercinių negyvenamųjų pastatų ar individualių namų atveju, pastato nuomos ar pardavimo metu savininkas bus priverstas atlikti pastato energinio naudingumo sertifikavimą, apsvarstyti modernizavimo galimybes keliant pastato vertę.</w:t>
      </w:r>
    </w:p>
    <w:p w14:paraId="42A0CC4A" w14:textId="5E6F9420" w:rsidR="0064148C" w:rsidRPr="00650EE4" w:rsidRDefault="0064148C" w:rsidP="0064148C">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17" w:name="_Toc67925137"/>
      <w:r w:rsidRPr="00650EE4">
        <w:rPr>
          <w:rFonts w:ascii="Times New Roman" w:hAnsi="Times New Roman"/>
          <w:color w:val="auto"/>
          <w:sz w:val="24"/>
          <w:szCs w:val="24"/>
          <w:lang w:val="lt-LT"/>
        </w:rPr>
        <w:t>Esminiai skyriaus pastebėjimai</w:t>
      </w:r>
      <w:bookmarkEnd w:id="117"/>
    </w:p>
    <w:tbl>
      <w:tblPr>
        <w:tblW w:w="10161" w:type="dxa"/>
        <w:tblBorders>
          <w:left w:val="single" w:sz="36" w:space="0" w:color="EA0D2C"/>
        </w:tblBorders>
        <w:tblLayout w:type="fixed"/>
        <w:tblLook w:val="00A0" w:firstRow="1" w:lastRow="0" w:firstColumn="1" w:lastColumn="0" w:noHBand="0" w:noVBand="0"/>
      </w:tblPr>
      <w:tblGrid>
        <w:gridCol w:w="10161"/>
      </w:tblGrid>
      <w:tr w:rsidR="0064148C" w:rsidRPr="00650EE4" w14:paraId="24BDEFB3" w14:textId="77777777" w:rsidTr="003D42F9">
        <w:tc>
          <w:tcPr>
            <w:tcW w:w="10161" w:type="dxa"/>
            <w:tcBorders>
              <w:left w:val="single" w:sz="36" w:space="0" w:color="002060"/>
            </w:tcBorders>
            <w:shd w:val="clear" w:color="auto" w:fill="F0F0F0"/>
          </w:tcPr>
          <w:p w14:paraId="60BB9A98" w14:textId="5D4A9831"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Vertinant finansinį atsipirkimą su esamomis energijos kainomis, finansiškai atsip</w:t>
            </w:r>
            <w:r w:rsidR="00BB7210" w:rsidRPr="00650EE4">
              <w:rPr>
                <w:rFonts w:ascii="Times New Roman" w:hAnsi="Times New Roman"/>
                <w:szCs w:val="22"/>
                <w:lang w:val="lt-LT"/>
              </w:rPr>
              <w:t>erkančios renovacijos priemonės sutaupytų</w:t>
            </w:r>
            <w:r w:rsidRPr="00650EE4">
              <w:rPr>
                <w:rFonts w:ascii="Times New Roman" w:hAnsi="Times New Roman"/>
                <w:szCs w:val="22"/>
                <w:lang w:val="lt-LT"/>
              </w:rPr>
              <w:t xml:space="preserve"> tik 7,4% (3,0 </w:t>
            </w:r>
            <w:proofErr w:type="spellStart"/>
            <w:r w:rsidRPr="00650EE4">
              <w:rPr>
                <w:rFonts w:ascii="Times New Roman" w:hAnsi="Times New Roman"/>
                <w:szCs w:val="22"/>
                <w:lang w:val="lt-LT"/>
              </w:rPr>
              <w:t>GWh</w:t>
            </w:r>
            <w:proofErr w:type="spellEnd"/>
            <w:r w:rsidRPr="00650EE4">
              <w:rPr>
                <w:rFonts w:ascii="Times New Roman" w:hAnsi="Times New Roman"/>
                <w:szCs w:val="22"/>
                <w:lang w:val="lt-LT"/>
              </w:rPr>
              <w:t>/metus) pirminės energijos.</w:t>
            </w:r>
          </w:p>
          <w:p w14:paraId="1826AD10" w14:textId="4C81428A"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 xml:space="preserve">Įvertinus galimą šilumos kainų didėjimą 30%, </w:t>
            </w:r>
            <w:r w:rsidR="009C3AFC" w:rsidRPr="00650EE4">
              <w:rPr>
                <w:rFonts w:ascii="Times New Roman" w:hAnsi="Times New Roman"/>
                <w:szCs w:val="22"/>
                <w:lang w:val="lt-LT"/>
              </w:rPr>
              <w:t xml:space="preserve">padaugėtų </w:t>
            </w:r>
            <w:r w:rsidRPr="00650EE4">
              <w:rPr>
                <w:rFonts w:ascii="Times New Roman" w:hAnsi="Times New Roman"/>
                <w:szCs w:val="22"/>
                <w:lang w:val="lt-LT"/>
              </w:rPr>
              <w:t xml:space="preserve">finansiškai </w:t>
            </w:r>
            <w:r w:rsidR="009C3AFC" w:rsidRPr="00650EE4">
              <w:rPr>
                <w:rFonts w:ascii="Times New Roman" w:hAnsi="Times New Roman"/>
                <w:szCs w:val="22"/>
                <w:lang w:val="lt-LT"/>
              </w:rPr>
              <w:t>atsiperkančių renovacijos priemonių ir jų</w:t>
            </w:r>
            <w:r w:rsidRPr="00650EE4">
              <w:rPr>
                <w:rFonts w:ascii="Times New Roman" w:hAnsi="Times New Roman"/>
                <w:szCs w:val="22"/>
                <w:lang w:val="lt-LT"/>
              </w:rPr>
              <w:t xml:space="preserve"> energijos sutaupymai padidėtų daugiau nei 4 kartus (iki 30,8% arba 12,6 </w:t>
            </w:r>
            <w:proofErr w:type="spellStart"/>
            <w:r w:rsidRPr="00650EE4">
              <w:rPr>
                <w:rFonts w:ascii="Times New Roman" w:hAnsi="Times New Roman"/>
                <w:szCs w:val="22"/>
                <w:lang w:val="lt-LT"/>
              </w:rPr>
              <w:t>GWh</w:t>
            </w:r>
            <w:proofErr w:type="spellEnd"/>
            <w:r w:rsidRPr="00650EE4">
              <w:rPr>
                <w:rFonts w:ascii="Times New Roman" w:hAnsi="Times New Roman"/>
                <w:szCs w:val="22"/>
                <w:lang w:val="lt-LT"/>
              </w:rPr>
              <w:t>/metus pirminės energijos).</w:t>
            </w:r>
          </w:p>
          <w:p w14:paraId="43529EB6" w14:textId="77777777"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Vertinant ekonominį atsipirkimą net konservatyviu vertinimu, ekonomiškai atsipirktų visos taikomos renovacijos priemonės, t.y. ekonomiškai apsimoka vykdyti maksimalią renovaciją.</w:t>
            </w:r>
          </w:p>
          <w:p w14:paraId="539F8941" w14:textId="3A67B829"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Didžiausia ekonominė nauda gaunama pasiekus 4</w:t>
            </w:r>
            <w:r w:rsidR="00605E95" w:rsidRPr="00650EE4">
              <w:rPr>
                <w:rFonts w:ascii="Times New Roman" w:hAnsi="Times New Roman"/>
                <w:szCs w:val="22"/>
                <w:lang w:val="lt-LT"/>
              </w:rPr>
              <w:t>5</w:t>
            </w:r>
            <w:r w:rsidRPr="00650EE4">
              <w:rPr>
                <w:rFonts w:ascii="Times New Roman" w:hAnsi="Times New Roman"/>
                <w:szCs w:val="22"/>
                <w:lang w:val="lt-LT"/>
              </w:rPr>
              <w:t>-5</w:t>
            </w:r>
            <w:r w:rsidR="00605E95" w:rsidRPr="00650EE4">
              <w:rPr>
                <w:rFonts w:ascii="Times New Roman" w:hAnsi="Times New Roman"/>
                <w:szCs w:val="22"/>
                <w:lang w:val="lt-LT"/>
              </w:rPr>
              <w:t>5</w:t>
            </w:r>
            <w:r w:rsidRPr="00650EE4">
              <w:rPr>
                <w:rFonts w:ascii="Times New Roman" w:hAnsi="Times New Roman"/>
                <w:szCs w:val="22"/>
                <w:lang w:val="lt-LT"/>
              </w:rPr>
              <w:t xml:space="preserve">% (arba 16-20 </w:t>
            </w:r>
            <w:proofErr w:type="spellStart"/>
            <w:r w:rsidRPr="00650EE4">
              <w:rPr>
                <w:rFonts w:ascii="Times New Roman" w:hAnsi="Times New Roman"/>
                <w:szCs w:val="22"/>
                <w:lang w:val="lt-LT"/>
              </w:rPr>
              <w:t>GWh</w:t>
            </w:r>
            <w:proofErr w:type="spellEnd"/>
            <w:r w:rsidRPr="00650EE4">
              <w:rPr>
                <w:rFonts w:ascii="Times New Roman" w:hAnsi="Times New Roman"/>
                <w:szCs w:val="22"/>
                <w:lang w:val="lt-LT"/>
              </w:rPr>
              <w:t>/metus) pirminės energijos sutaupymą. Į šį intervalą patenka viso pastatų fondo renovacija iki B energinio naudingumo klasės (pritaikant AEI priemones) arba mažesnės fondo dalies (vertinant ne maksimalų pastatų fondo įsitraukimą) renovaciją iki B ir A energinio naudingumo klasės.</w:t>
            </w:r>
          </w:p>
          <w:p w14:paraId="2A6153FD" w14:textId="77777777"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Vertinant techninius apribojimus, reikšmingi sunkumai prasidėtų renovacijos priemonėmis siekiant A+ ir A++ energinio naudingumo klasių. Atliekant renovaciją iki A ir B energinio naudingumo klasių techniniai apribojimai pasireiškia dalinai ir gali būti sprendžiami.</w:t>
            </w:r>
          </w:p>
          <w:p w14:paraId="0DA241AB" w14:textId="6CB93B8C" w:rsidR="00E86726" w:rsidRPr="00E86726"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Apibendrinant ekonominio vertinimo rezultatus galima teigti, kad siektinas renovacijos tikslas būtų renovuoti pastatų fondą iki A arba B energinio naudingumo klasių (pritaikant AEI priemones).</w:t>
            </w:r>
          </w:p>
        </w:tc>
      </w:tr>
    </w:tbl>
    <w:p w14:paraId="78183161" w14:textId="77777777" w:rsidR="00E86726" w:rsidRDefault="00E86726" w:rsidP="00E86726">
      <w:pPr>
        <w:pStyle w:val="Nenumeruojamosantrastes"/>
        <w:pageBreakBefore w:val="0"/>
        <w:pBdr>
          <w:bottom w:val="single" w:sz="4" w:space="1" w:color="auto"/>
        </w:pBdr>
        <w:spacing w:before="0"/>
        <w:jc w:val="both"/>
        <w:outlineLvl w:val="0"/>
        <w:rPr>
          <w:rFonts w:ascii="Times New Roman" w:hAnsi="Times New Roman"/>
          <w:color w:val="002060"/>
          <w:sz w:val="24"/>
          <w:szCs w:val="24"/>
        </w:rPr>
      </w:pPr>
    </w:p>
    <w:p w14:paraId="51EF002D" w14:textId="14584493" w:rsidR="00386023" w:rsidRPr="00650EE4" w:rsidRDefault="002178D5" w:rsidP="00DC1083">
      <w:pPr>
        <w:pStyle w:val="Nenumeruojamosantrastes"/>
        <w:pageBreakBefore w:val="0"/>
        <w:numPr>
          <w:ilvl w:val="0"/>
          <w:numId w:val="4"/>
        </w:numPr>
        <w:pBdr>
          <w:bottom w:val="single" w:sz="4" w:space="1" w:color="auto"/>
        </w:pBdr>
        <w:spacing w:before="0"/>
        <w:ind w:left="357" w:hanging="357"/>
        <w:jc w:val="both"/>
        <w:outlineLvl w:val="0"/>
        <w:rPr>
          <w:rFonts w:ascii="Times New Roman" w:hAnsi="Times New Roman"/>
          <w:color w:val="002060"/>
          <w:sz w:val="24"/>
          <w:szCs w:val="24"/>
        </w:rPr>
      </w:pPr>
      <w:bookmarkStart w:id="118" w:name="_Toc67925138"/>
      <w:r w:rsidRPr="00650EE4">
        <w:rPr>
          <w:rFonts w:ascii="Times New Roman" w:hAnsi="Times New Roman"/>
          <w:color w:val="002060"/>
          <w:sz w:val="24"/>
          <w:szCs w:val="24"/>
        </w:rPr>
        <w:t>TAIKOMOS PASTATŲ RENOVACIJOS POLITIKOS IR PRIEMONIŲ APŽVALGA</w:t>
      </w:r>
      <w:bookmarkEnd w:id="118"/>
    </w:p>
    <w:p w14:paraId="459B3C72" w14:textId="77777777" w:rsidR="00240506" w:rsidRPr="00650EE4" w:rsidRDefault="00240506" w:rsidP="00240506">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19" w:name="_Toc67925139"/>
      <w:r w:rsidRPr="00650EE4">
        <w:rPr>
          <w:rFonts w:ascii="Times New Roman" w:hAnsi="Times New Roman"/>
          <w:color w:val="auto"/>
          <w:sz w:val="24"/>
          <w:szCs w:val="24"/>
          <w:lang w:val="lt-LT"/>
        </w:rPr>
        <w:t>Taikoma politika ir veiksmai, kuriais skatinama ekonomiškai efektyvi esminė pastatų renovacija</w:t>
      </w:r>
      <w:bookmarkEnd w:id="119"/>
    </w:p>
    <w:p w14:paraId="6F6AB5C8" w14:textId="77777777" w:rsidR="00240506" w:rsidRPr="00650EE4" w:rsidRDefault="00240506" w:rsidP="00240506">
      <w:pPr>
        <w:pStyle w:val="BodyText"/>
        <w:spacing w:line="280" w:lineRule="atLeast"/>
        <w:jc w:val="both"/>
        <w:rPr>
          <w:rFonts w:ascii="Times New Roman" w:hAnsi="Times New Roman"/>
          <w:color w:val="000000" w:themeColor="text1"/>
          <w:sz w:val="24"/>
          <w:szCs w:val="24"/>
          <w:lang w:val="lt-LT"/>
        </w:rPr>
      </w:pPr>
      <w:r w:rsidRPr="00650EE4">
        <w:rPr>
          <w:rFonts w:ascii="Times New Roman" w:hAnsi="Times New Roman"/>
          <w:noProof/>
          <w:color w:val="000000" w:themeColor="text1"/>
          <w:sz w:val="24"/>
          <w:szCs w:val="24"/>
          <w:lang w:val="lt-LT" w:eastAsia="lt-LT"/>
        </w:rPr>
        <mc:AlternateContent>
          <mc:Choice Requires="wps">
            <w:drawing>
              <wp:inline distT="0" distB="0" distL="0" distR="0" wp14:anchorId="64C3F257" wp14:editId="2C799815">
                <wp:extent cx="6479540" cy="800100"/>
                <wp:effectExtent l="0"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00100"/>
                        </a:xfrm>
                        <a:prstGeom prst="rect">
                          <a:avLst/>
                        </a:prstGeom>
                        <a:solidFill>
                          <a:schemeClr val="bg1">
                            <a:lumMod val="85000"/>
                          </a:schemeClr>
                        </a:solidFill>
                        <a:ln>
                          <a:noFill/>
                        </a:ln>
                      </wps:spPr>
                      <wps:txbx>
                        <w:txbxContent>
                          <w:p w14:paraId="7DD56357" w14:textId="77777777" w:rsidR="005E392B" w:rsidRPr="00445553" w:rsidRDefault="005E392B" w:rsidP="00240506">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c</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5E0A26">
                              <w:rPr>
                                <w:rFonts w:ascii="Times New Roman" w:hAnsi="Times New Roman" w:cs="Times New Roman"/>
                                <w:bCs/>
                                <w:color w:val="000000" w:themeColor="text1"/>
                                <w:sz w:val="22"/>
                              </w:rPr>
                              <w:t>politika ir veiksmai, kuriais skatinama ekonomiškai efektyvi esminė pastatų renovacija, įskaitant keliais etapais vykdomą esminę renovaciją, ir remiamos tikslinės priemonės ir renovacija, kuriomis užtikrinamas išlaidų ekonominis efektyvumas, pavyzdžiui, nustatant neprivalomą pastato renovacijos pasų sistemą</w:t>
                            </w:r>
                            <w:r>
                              <w:rPr>
                                <w:rFonts w:ascii="Times New Roman" w:hAnsi="Times New Roman" w:cs="Times New Roman"/>
                                <w:bCs/>
                                <w:color w:val="000000" w:themeColor="text1"/>
                                <w:sz w:val="22"/>
                              </w:rPr>
                              <w:t>“.</w:t>
                            </w:r>
                          </w:p>
                          <w:p w14:paraId="7E50F2F1" w14:textId="77777777" w:rsidR="005E392B" w:rsidRPr="00445553" w:rsidRDefault="005E392B" w:rsidP="00240506">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33" o:spid="_x0000_s1032" type="#_x0000_t202" style="width:510.2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PpGQIAABsEAAAOAAAAZHJzL2Uyb0RvYy54bWysU21v0zAQ/o7Ef7D8nSbt2q6Lmk6j0xDS&#10;GEgbP8BxnMbC8Zmz22T8es5OWwp8Q3yxfC9+7rnnzuvboTPsoNBrsCWfTnLOlJVQa7sr+deXh3cr&#10;znwQthYGrCr5q/L8dvP2zbp3hZpBC6ZWyAjE+qJ3JW9DcEWWedmqTvgJOGUp2AB2IpCJu6xG0RN6&#10;Z7JZni+zHrB2CFJ5T977Mcg3Cb9plAyfm8arwEzJiVtIJ6azime2WYtih8K1Wh5piH9g0QltqegZ&#10;6l4Ewfao/4LqtETw0ISJhC6DptFSpR6om2n+RzfPrXAq9ULieHeWyf8/WPl0+IJM1yW/uuLMio5m&#10;9KKGwN7DwMhF+vTOF5T27CgxDOSnOadevXsE+c0zC9tW2J26Q4S+VaImftP4Mrt4OuL4CFL1n6Cm&#10;OmIfIAENDXZRPJKDETrN6fU8m8hFknM5v75ZzCkkKbbKSaw0vEwUp9cOffigoGPxUnKk2Sd0cXj0&#10;IbIRxSklFvNgdP2gjUlG3De1NcgOgjal2o0dmn1HVEffapGfS6b1jOkJ9TckYyOehYg8Fo2epERs&#10;fpQhDNWQRF+eBK6gfiVpEMYNpR9FlxbwB2c9bWfJ/fe9QMWZ+WhJ3pvpPGoRkjFfXM/IwMtIdRkR&#10;VhJUyQNn43Ubxi+wd6h3LVUa27VwRyNpdFIrzm5kdaRPG5jaPf6WuOKXdsr69ac3PwEAAP//AwBQ&#10;SwMEFAAGAAgAAAAhABtI5T/cAAAABgEAAA8AAABkcnMvZG93bnJldi54bWxMj0FLw0AQhe+C/2EZ&#10;wZvdNUgtMZsigqBShbbqeZqdJsHsbNjdNLG/3q0XvQxveMN73xTLyXbiQD60jjVczxQI4sqZlmsN&#10;79vHqwWIEJENdo5JwzcFWJbnZwXmxo28psMm1iKFcMhRQxNjn0sZqoYshpnriZO3d95iTKuvpfE4&#10;pnDbyUypubTYcmposKeHhqqvzWA1rPjlGffbxevxmA3jx+fT7fi28lpfXkz3dyAiTfHvGE74CR3K&#10;xLRzA5sgOg3pkfg7T57K1A2IXVLZXIEsC/kfv/wBAAD//wMAUEsBAi0AFAAGAAgAAAAhALaDOJL+&#10;AAAA4QEAABMAAAAAAAAAAAAAAAAAAAAAAFtDb250ZW50X1R5cGVzXS54bWxQSwECLQAUAAYACAAA&#10;ACEAOP0h/9YAAACUAQAACwAAAAAAAAAAAAAAAAAvAQAAX3JlbHMvLnJlbHNQSwECLQAUAAYACAAA&#10;ACEAdZdD6RkCAAAbBAAADgAAAAAAAAAAAAAAAAAuAgAAZHJzL2Uyb0RvYy54bWxQSwECLQAUAAYA&#10;CAAAACEAG0jlP9wAAAAGAQAADwAAAAAAAAAAAAAAAABzBAAAZHJzL2Rvd25yZXYueG1sUEsFBgAA&#10;AAAEAAQA8wAAAHwFAAAAAA==&#10;" fillcolor="#d8d8d8 [2732]" stroked="f">
                <v:textbox>
                  <w:txbxContent>
                    <w:p w14:paraId="7DD56357" w14:textId="77777777" w:rsidR="005E392B" w:rsidRPr="00445553" w:rsidRDefault="005E392B" w:rsidP="00240506">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c</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5E0A26">
                        <w:rPr>
                          <w:rFonts w:ascii="Times New Roman" w:hAnsi="Times New Roman" w:cs="Times New Roman"/>
                          <w:bCs/>
                          <w:color w:val="000000" w:themeColor="text1"/>
                          <w:sz w:val="22"/>
                        </w:rPr>
                        <w:t>politika ir veiksmai, kuriais skatinama ekonomiškai efektyvi esminė pastatų renovacija, įskaitant keliais etapais vykdomą esminę renovaciją, ir remiamos tikslinės priemonės ir renovacija, kuriomis užtikrinamas išlaidų ekonominis efektyvumas, pavyzdžiui, nustatant neprivalomą pastato renovacijos pasų sistemą</w:t>
                      </w:r>
                      <w:r>
                        <w:rPr>
                          <w:rFonts w:ascii="Times New Roman" w:hAnsi="Times New Roman" w:cs="Times New Roman"/>
                          <w:bCs/>
                          <w:color w:val="000000" w:themeColor="text1"/>
                          <w:sz w:val="22"/>
                        </w:rPr>
                        <w:t>“.</w:t>
                      </w:r>
                    </w:p>
                    <w:p w14:paraId="7E50F2F1" w14:textId="77777777" w:rsidR="005E392B" w:rsidRPr="00445553" w:rsidRDefault="005E392B" w:rsidP="00240506">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6BCCBEBA"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28BDD630" w14:textId="6170C5E0" w:rsidR="00240506" w:rsidRPr="00650EE4" w:rsidRDefault="00240506" w:rsidP="00240506">
      <w:pPr>
        <w:jc w:val="both"/>
        <w:rPr>
          <w:rFonts w:ascii="Times New Roman" w:hAnsi="Times New Roman"/>
          <w:color w:val="000000" w:themeColor="text1"/>
          <w:szCs w:val="22"/>
        </w:rPr>
      </w:pPr>
      <w:r w:rsidRPr="00650EE4">
        <w:rPr>
          <w:rFonts w:ascii="Times New Roman" w:hAnsi="Times New Roman"/>
          <w:color w:val="000000" w:themeColor="text1"/>
          <w:szCs w:val="22"/>
        </w:rPr>
        <w:t>Lietuvos ilgalaikė pastatų renovacijos strategija yra Nacionalinio energetikos ir klimato srities veiksmų plano 2021 - 2030 m. (NECP) dalis. NECP</w:t>
      </w:r>
      <w:r w:rsidRPr="00650EE4">
        <w:rPr>
          <w:rFonts w:ascii="Times New Roman" w:hAnsi="Times New Roman"/>
          <w:szCs w:val="22"/>
        </w:rPr>
        <w:t xml:space="preserve"> apjungė ir integravo Lietuvos nacionalinių teisės aktų, tarptautinių įsipareigojimų, strategijų ir kitų planavimo dokumentų nuostatas, tikslus, uždavinius bei įgyvendinamas ir planuojamas įgyvendinti priemones. </w:t>
      </w:r>
    </w:p>
    <w:p w14:paraId="15CEC994" w14:textId="77777777" w:rsidR="00240506" w:rsidRPr="00650EE4" w:rsidRDefault="00240506" w:rsidP="00240506">
      <w:pPr>
        <w:jc w:val="both"/>
        <w:rPr>
          <w:rFonts w:ascii="Times New Roman" w:hAnsi="Times New Roman"/>
          <w:color w:val="000000" w:themeColor="text1"/>
          <w:szCs w:val="22"/>
        </w:rPr>
      </w:pPr>
    </w:p>
    <w:p w14:paraId="3917F9F3" w14:textId="77777777" w:rsidR="00240506" w:rsidRPr="00650EE4" w:rsidRDefault="00240506" w:rsidP="00240506">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NECP numatytų priemonių, kuriomis skatinama esminė pastatų renovacija, energijos vartojimo efektyvumas arba AEI platesnis panaudojimas pastatuose, suvestinė pateikiama lentelėje žemiau. Siekiant išlaikyti </w:t>
      </w:r>
      <w:proofErr w:type="spellStart"/>
      <w:r w:rsidRPr="00650EE4">
        <w:rPr>
          <w:rFonts w:ascii="Times New Roman" w:hAnsi="Times New Roman"/>
          <w:color w:val="000000" w:themeColor="text1"/>
          <w:szCs w:val="22"/>
        </w:rPr>
        <w:t>atsekamumą</w:t>
      </w:r>
      <w:proofErr w:type="spellEnd"/>
      <w:r w:rsidRPr="00650EE4">
        <w:rPr>
          <w:rFonts w:ascii="Times New Roman" w:hAnsi="Times New Roman"/>
          <w:color w:val="000000" w:themeColor="text1"/>
          <w:szCs w:val="22"/>
        </w:rPr>
        <w:t>, išlaikomi tokie pat priemonių kodai, kaip ir NECP.</w:t>
      </w:r>
    </w:p>
    <w:p w14:paraId="67DCA82E" w14:textId="77777777" w:rsidR="00240506" w:rsidRPr="00650EE4" w:rsidRDefault="00240506" w:rsidP="00240506">
      <w:pPr>
        <w:rPr>
          <w:rFonts w:ascii="Times New Roman" w:hAnsi="Times New Roman"/>
          <w:color w:val="000000" w:themeColor="text1"/>
          <w:szCs w:val="22"/>
        </w:rPr>
      </w:pPr>
    </w:p>
    <w:p w14:paraId="57AD623F" w14:textId="77777777" w:rsidR="00C5035E" w:rsidRDefault="00C5035E">
      <w:pPr>
        <w:spacing w:after="240"/>
        <w:rPr>
          <w:rFonts w:ascii="Times New Roman" w:eastAsiaTheme="minorHAnsi" w:hAnsi="Times New Roman"/>
          <w:bCs/>
          <w:i/>
          <w:color w:val="000000" w:themeColor="text1"/>
          <w:sz w:val="20"/>
          <w:szCs w:val="20"/>
        </w:rPr>
      </w:pPr>
      <w:r>
        <w:br w:type="page"/>
      </w:r>
    </w:p>
    <w:p w14:paraId="172CE2CD" w14:textId="1D4E15F7" w:rsidR="00240506"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20" w:name="_Toc67925225"/>
      <w:r w:rsidR="007744C1">
        <w:t>42</w:t>
      </w:r>
      <w:r w:rsidRPr="00650EE4">
        <w:rPr>
          <w:noProof w:val="0"/>
        </w:rPr>
        <w:fldChar w:fldCharType="end"/>
      </w:r>
      <w:r w:rsidR="00240506" w:rsidRPr="00650EE4">
        <w:rPr>
          <w:noProof w:val="0"/>
        </w:rPr>
        <w:t xml:space="preserve"> lentelė. Esamos politikos priemonės, kuriomis skatinama esminė pastatų renovacija</w:t>
      </w:r>
      <w:bookmarkEnd w:id="120"/>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48"/>
        <w:gridCol w:w="3143"/>
        <w:gridCol w:w="1579"/>
        <w:gridCol w:w="1434"/>
        <w:gridCol w:w="2020"/>
      </w:tblGrid>
      <w:tr w:rsidR="00240506" w:rsidRPr="00650EE4" w14:paraId="1554F640" w14:textId="77777777" w:rsidTr="00B219C4">
        <w:trPr>
          <w:tblHeader/>
          <w:jc w:val="center"/>
        </w:trPr>
        <w:tc>
          <w:tcPr>
            <w:tcW w:w="2122" w:type="dxa"/>
          </w:tcPr>
          <w:p w14:paraId="30059024"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Priemonė </w:t>
            </w:r>
          </w:p>
        </w:tc>
        <w:tc>
          <w:tcPr>
            <w:tcW w:w="3106" w:type="dxa"/>
          </w:tcPr>
          <w:p w14:paraId="60777B5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Planuojamos apimtys ir rezultatai / efektas </w:t>
            </w:r>
          </w:p>
        </w:tc>
        <w:tc>
          <w:tcPr>
            <w:tcW w:w="1560" w:type="dxa"/>
          </w:tcPr>
          <w:p w14:paraId="62C460C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Įgyvendinimo laikotarpis </w:t>
            </w:r>
          </w:p>
        </w:tc>
        <w:tc>
          <w:tcPr>
            <w:tcW w:w="1417" w:type="dxa"/>
          </w:tcPr>
          <w:p w14:paraId="22C24CE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Atsakinga institucija </w:t>
            </w:r>
          </w:p>
        </w:tc>
        <w:tc>
          <w:tcPr>
            <w:tcW w:w="1996" w:type="dxa"/>
          </w:tcPr>
          <w:p w14:paraId="130DD945"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Energijos sutaupymas ir suminis ŠESD sumažinimo efektas</w:t>
            </w:r>
          </w:p>
        </w:tc>
      </w:tr>
      <w:tr w:rsidR="00240506" w:rsidRPr="00650EE4" w14:paraId="2AF01483" w14:textId="77777777" w:rsidTr="00B219C4">
        <w:trPr>
          <w:jc w:val="center"/>
        </w:trPr>
        <w:tc>
          <w:tcPr>
            <w:tcW w:w="2122" w:type="dxa"/>
          </w:tcPr>
          <w:p w14:paraId="7777A1FB" w14:textId="77777777" w:rsidR="00240506" w:rsidRPr="00650EE4" w:rsidRDefault="00240506" w:rsidP="00677FE7">
            <w:pPr>
              <w:autoSpaceDE w:val="0"/>
              <w:autoSpaceDN w:val="0"/>
              <w:adjustRightInd w:val="0"/>
              <w:spacing w:line="240" w:lineRule="auto"/>
              <w:rPr>
                <w:rFonts w:ascii="Times New Roman" w:eastAsiaTheme="minorHAnsi" w:hAnsi="Times New Roman"/>
                <w:b/>
                <w:color w:val="000000" w:themeColor="text1"/>
                <w:sz w:val="20"/>
                <w:szCs w:val="20"/>
              </w:rPr>
            </w:pPr>
            <w:r w:rsidRPr="00650EE4">
              <w:rPr>
                <w:rFonts w:ascii="Times New Roman" w:eastAsiaTheme="minorHAnsi" w:hAnsi="Times New Roman"/>
                <w:b/>
                <w:bCs/>
                <w:color w:val="000000" w:themeColor="text1"/>
                <w:sz w:val="20"/>
                <w:szCs w:val="20"/>
              </w:rPr>
              <w:t xml:space="preserve">AEI2. </w:t>
            </w:r>
            <w:r w:rsidRPr="00650EE4">
              <w:rPr>
                <w:rFonts w:ascii="Times New Roman" w:eastAsiaTheme="minorHAnsi" w:hAnsi="Times New Roman"/>
                <w:b/>
                <w:color w:val="000000" w:themeColor="text1"/>
                <w:sz w:val="20"/>
                <w:szCs w:val="20"/>
              </w:rPr>
              <w:t xml:space="preserve">Finansinė parama gaminantiems vartotojams (ES parama) </w:t>
            </w:r>
          </w:p>
        </w:tc>
        <w:tc>
          <w:tcPr>
            <w:tcW w:w="3106" w:type="dxa"/>
          </w:tcPr>
          <w:p w14:paraId="438E04E2"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AEI-E metinis padidėjimas </w:t>
            </w:r>
          </w:p>
          <w:p w14:paraId="3A5E1EC1"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0,075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iki 2024 m. </w:t>
            </w:r>
          </w:p>
        </w:tc>
        <w:tc>
          <w:tcPr>
            <w:tcW w:w="1560" w:type="dxa"/>
          </w:tcPr>
          <w:p w14:paraId="47CEA4F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2018–2024 m. </w:t>
            </w:r>
          </w:p>
        </w:tc>
        <w:tc>
          <w:tcPr>
            <w:tcW w:w="1417" w:type="dxa"/>
          </w:tcPr>
          <w:p w14:paraId="5D9C2D57"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Energetikos ministerija,</w:t>
            </w:r>
          </w:p>
        </w:tc>
        <w:tc>
          <w:tcPr>
            <w:tcW w:w="1996" w:type="dxa"/>
          </w:tcPr>
          <w:p w14:paraId="4B843B9F"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w:t>
            </w:r>
          </w:p>
        </w:tc>
      </w:tr>
      <w:tr w:rsidR="00240506" w:rsidRPr="00650EE4" w14:paraId="1BC3E29B"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574F9F95" w14:textId="77777777" w:rsidR="00240506" w:rsidRPr="00650EE4" w:rsidRDefault="00240506" w:rsidP="00677FE7">
            <w:pPr>
              <w:autoSpaceDE w:val="0"/>
              <w:autoSpaceDN w:val="0"/>
              <w:adjustRightInd w:val="0"/>
              <w:spacing w:line="240" w:lineRule="auto"/>
              <w:rPr>
                <w:rFonts w:ascii="Times New Roman" w:eastAsiaTheme="minorHAnsi" w:hAnsi="Times New Roman"/>
                <w:b/>
                <w:color w:val="000000" w:themeColor="text1"/>
                <w:sz w:val="20"/>
                <w:szCs w:val="20"/>
              </w:rPr>
            </w:pPr>
            <w:r w:rsidRPr="00650EE4">
              <w:rPr>
                <w:rFonts w:ascii="Times New Roman" w:eastAsiaTheme="minorHAnsi" w:hAnsi="Times New Roman"/>
                <w:b/>
                <w:bCs/>
                <w:color w:val="000000" w:themeColor="text1"/>
                <w:sz w:val="20"/>
                <w:szCs w:val="20"/>
              </w:rPr>
              <w:t>AEI20.</w:t>
            </w:r>
            <w:r w:rsidRPr="00650EE4">
              <w:rPr>
                <w:rFonts w:ascii="Times New Roman" w:eastAsiaTheme="minorHAnsi" w:hAnsi="Times New Roman"/>
                <w:b/>
                <w:color w:val="000000" w:themeColor="text1"/>
                <w:sz w:val="20"/>
                <w:szCs w:val="20"/>
              </w:rPr>
              <w:t xml:space="preserve"> Atlikti decentralizuoto sektoriaus aprūpinimo šiluma esamos situacijos ir perspektyvinės raidos įvertinimą </w:t>
            </w:r>
          </w:p>
        </w:tc>
        <w:tc>
          <w:tcPr>
            <w:tcW w:w="3106" w:type="dxa"/>
            <w:tcBorders>
              <w:top w:val="single" w:sz="4" w:space="0" w:color="auto"/>
              <w:left w:val="single" w:sz="4" w:space="0" w:color="auto"/>
              <w:bottom w:val="single" w:sz="4" w:space="0" w:color="auto"/>
              <w:right w:val="single" w:sz="4" w:space="0" w:color="auto"/>
            </w:tcBorders>
          </w:tcPr>
          <w:p w14:paraId="24AA0799"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Atlikta studija ir priimti atitinkami teisės aktai, sukuriantys palankią reguliacinę aplinką, kad individualiai šildomi namų ūkiai (būstai) palaipsniui pereitų prie netaršių ir mažą šiltnamio efektą sukeliančių dujų kiekio technologijų arba prisijungtų prie CŠT sistemos </w:t>
            </w:r>
          </w:p>
        </w:tc>
        <w:tc>
          <w:tcPr>
            <w:tcW w:w="1560" w:type="dxa"/>
            <w:tcBorders>
              <w:top w:val="single" w:sz="4" w:space="0" w:color="auto"/>
              <w:left w:val="single" w:sz="4" w:space="0" w:color="auto"/>
              <w:bottom w:val="single" w:sz="4" w:space="0" w:color="auto"/>
              <w:right w:val="single" w:sz="4" w:space="0" w:color="auto"/>
            </w:tcBorders>
          </w:tcPr>
          <w:p w14:paraId="29F244B6"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2019–2021 m. </w:t>
            </w:r>
          </w:p>
        </w:tc>
        <w:tc>
          <w:tcPr>
            <w:tcW w:w="1417" w:type="dxa"/>
            <w:tcBorders>
              <w:top w:val="single" w:sz="4" w:space="0" w:color="auto"/>
              <w:left w:val="single" w:sz="4" w:space="0" w:color="auto"/>
              <w:bottom w:val="single" w:sz="4" w:space="0" w:color="auto"/>
              <w:right w:val="single" w:sz="4" w:space="0" w:color="auto"/>
            </w:tcBorders>
          </w:tcPr>
          <w:p w14:paraId="4E42C293"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Energetikos ministerija</w:t>
            </w:r>
          </w:p>
        </w:tc>
        <w:tc>
          <w:tcPr>
            <w:tcW w:w="1996" w:type="dxa"/>
            <w:tcBorders>
              <w:top w:val="single" w:sz="4" w:space="0" w:color="auto"/>
              <w:left w:val="single" w:sz="4" w:space="0" w:color="auto"/>
              <w:bottom w:val="single" w:sz="4" w:space="0" w:color="auto"/>
              <w:right w:val="single" w:sz="4" w:space="0" w:color="auto"/>
            </w:tcBorders>
          </w:tcPr>
          <w:p w14:paraId="722F4DA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w:t>
            </w:r>
          </w:p>
        </w:tc>
      </w:tr>
      <w:tr w:rsidR="00240506" w:rsidRPr="00650EE4" w14:paraId="18518B23"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44D9186B"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EE2. Daugiabučių pastatų atnaujinimas (modernizavimas) </w:t>
            </w:r>
          </w:p>
        </w:tc>
        <w:tc>
          <w:tcPr>
            <w:tcW w:w="3106" w:type="dxa"/>
            <w:tcBorders>
              <w:top w:val="single" w:sz="4" w:space="0" w:color="auto"/>
              <w:left w:val="single" w:sz="4" w:space="0" w:color="auto"/>
              <w:bottom w:val="single" w:sz="4" w:space="0" w:color="auto"/>
              <w:right w:val="single" w:sz="4" w:space="0" w:color="auto"/>
            </w:tcBorders>
          </w:tcPr>
          <w:p w14:paraId="578A9EFB"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Atnaujinti daugiabutį pastatą iki C klasės ir sutaupyti 40 proc. energijos. Iki 2030 m. pabaigos turėtų būti renovuota apie 5000 daugiabučių, arba kasmet bus renovuojama beveik 500 daugiabučių </w:t>
            </w:r>
          </w:p>
        </w:tc>
        <w:tc>
          <w:tcPr>
            <w:tcW w:w="1560" w:type="dxa"/>
            <w:tcBorders>
              <w:top w:val="single" w:sz="4" w:space="0" w:color="auto"/>
              <w:left w:val="single" w:sz="4" w:space="0" w:color="auto"/>
              <w:bottom w:val="single" w:sz="4" w:space="0" w:color="auto"/>
              <w:right w:val="single" w:sz="4" w:space="0" w:color="auto"/>
            </w:tcBorders>
          </w:tcPr>
          <w:p w14:paraId="7C01E26A"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2021–2023 m. </w:t>
            </w:r>
          </w:p>
        </w:tc>
        <w:tc>
          <w:tcPr>
            <w:tcW w:w="1417" w:type="dxa"/>
            <w:tcBorders>
              <w:top w:val="single" w:sz="4" w:space="0" w:color="auto"/>
              <w:left w:val="single" w:sz="4" w:space="0" w:color="auto"/>
              <w:bottom w:val="single" w:sz="4" w:space="0" w:color="auto"/>
              <w:right w:val="single" w:sz="4" w:space="0" w:color="auto"/>
            </w:tcBorders>
          </w:tcPr>
          <w:p w14:paraId="6F57F78A"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AM, BETA </w:t>
            </w:r>
          </w:p>
        </w:tc>
        <w:tc>
          <w:tcPr>
            <w:tcW w:w="1996" w:type="dxa"/>
            <w:tcBorders>
              <w:top w:val="single" w:sz="4" w:space="0" w:color="auto"/>
              <w:left w:val="single" w:sz="4" w:space="0" w:color="auto"/>
              <w:bottom w:val="single" w:sz="4" w:space="0" w:color="auto"/>
              <w:right w:val="single" w:sz="4" w:space="0" w:color="auto"/>
            </w:tcBorders>
          </w:tcPr>
          <w:p w14:paraId="1CC04CD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1,9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r w:rsidR="00240506" w:rsidRPr="00650EE4" w14:paraId="170A6CD7"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0B5370D2"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EE3. Viešųjų pastatų atnaujinimas </w:t>
            </w:r>
          </w:p>
        </w:tc>
        <w:tc>
          <w:tcPr>
            <w:tcW w:w="3106" w:type="dxa"/>
            <w:tcBorders>
              <w:top w:val="single" w:sz="4" w:space="0" w:color="auto"/>
              <w:left w:val="single" w:sz="4" w:space="0" w:color="auto"/>
              <w:bottom w:val="single" w:sz="4" w:space="0" w:color="auto"/>
              <w:right w:val="single" w:sz="4" w:space="0" w:color="auto"/>
            </w:tcBorders>
          </w:tcPr>
          <w:p w14:paraId="1B1BD71F"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Atnaujinti viešąjį pastatą iki C klasės, ir iki 2030 m. bus atnaujinta apie 960 000 m2 viešųjų pastatų ploto </w:t>
            </w:r>
          </w:p>
        </w:tc>
        <w:tc>
          <w:tcPr>
            <w:tcW w:w="1560" w:type="dxa"/>
            <w:tcBorders>
              <w:top w:val="single" w:sz="4" w:space="0" w:color="auto"/>
              <w:left w:val="single" w:sz="4" w:space="0" w:color="auto"/>
              <w:bottom w:val="single" w:sz="4" w:space="0" w:color="auto"/>
              <w:right w:val="single" w:sz="4" w:space="0" w:color="auto"/>
            </w:tcBorders>
          </w:tcPr>
          <w:p w14:paraId="161887E5"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2021–2023 m. </w:t>
            </w:r>
          </w:p>
        </w:tc>
        <w:tc>
          <w:tcPr>
            <w:tcW w:w="1417" w:type="dxa"/>
            <w:tcBorders>
              <w:top w:val="single" w:sz="4" w:space="0" w:color="auto"/>
              <w:left w:val="single" w:sz="4" w:space="0" w:color="auto"/>
              <w:bottom w:val="single" w:sz="4" w:space="0" w:color="auto"/>
              <w:right w:val="single" w:sz="4" w:space="0" w:color="auto"/>
            </w:tcBorders>
          </w:tcPr>
          <w:p w14:paraId="4622288B"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AM </w:t>
            </w:r>
          </w:p>
        </w:tc>
        <w:tc>
          <w:tcPr>
            <w:tcW w:w="1996" w:type="dxa"/>
            <w:tcBorders>
              <w:top w:val="single" w:sz="4" w:space="0" w:color="auto"/>
              <w:left w:val="single" w:sz="4" w:space="0" w:color="auto"/>
              <w:bottom w:val="single" w:sz="4" w:space="0" w:color="auto"/>
              <w:right w:val="single" w:sz="4" w:space="0" w:color="auto"/>
            </w:tcBorders>
          </w:tcPr>
          <w:p w14:paraId="277A39D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0,19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r w:rsidR="00240506" w:rsidRPr="00650EE4" w14:paraId="6524AD71"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05FE2543"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EE4. Susitarimai su energijos tiekėjais dėl vartotojų švietimo ir konsultavimo </w:t>
            </w:r>
          </w:p>
        </w:tc>
        <w:tc>
          <w:tcPr>
            <w:tcW w:w="3106" w:type="dxa"/>
            <w:tcBorders>
              <w:top w:val="single" w:sz="4" w:space="0" w:color="auto"/>
              <w:left w:val="single" w:sz="4" w:space="0" w:color="auto"/>
              <w:bottom w:val="single" w:sz="4" w:space="0" w:color="auto"/>
              <w:right w:val="single" w:sz="4" w:space="0" w:color="auto"/>
            </w:tcBorders>
          </w:tcPr>
          <w:p w14:paraId="01E834D0"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užtikrins vartotojų švietimo ir konsultavimo apimties ir priemonių, kurios numatytos jų tarpusavio susitarimuose ar per kitus asmenis sudarytuose susitarimuose, įgyvendinimą (įskaitant išmaniųjų skaitiklių diegimą) </w:t>
            </w:r>
          </w:p>
        </w:tc>
        <w:tc>
          <w:tcPr>
            <w:tcW w:w="1560" w:type="dxa"/>
            <w:tcBorders>
              <w:top w:val="single" w:sz="4" w:space="0" w:color="auto"/>
              <w:left w:val="single" w:sz="4" w:space="0" w:color="auto"/>
              <w:bottom w:val="single" w:sz="4" w:space="0" w:color="auto"/>
              <w:right w:val="single" w:sz="4" w:space="0" w:color="auto"/>
            </w:tcBorders>
          </w:tcPr>
          <w:p w14:paraId="443ECF40"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38A1B33A"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EM </w:t>
            </w:r>
          </w:p>
        </w:tc>
        <w:tc>
          <w:tcPr>
            <w:tcW w:w="1996" w:type="dxa"/>
            <w:tcBorders>
              <w:top w:val="single" w:sz="4" w:space="0" w:color="auto"/>
              <w:left w:val="single" w:sz="4" w:space="0" w:color="auto"/>
              <w:bottom w:val="single" w:sz="4" w:space="0" w:color="auto"/>
              <w:right w:val="single" w:sz="4" w:space="0" w:color="auto"/>
            </w:tcBorders>
          </w:tcPr>
          <w:p w14:paraId="2E6594E8"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3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p w14:paraId="0A0E6426" w14:textId="791AD186"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p>
        </w:tc>
      </w:tr>
      <w:tr w:rsidR="00240506" w:rsidRPr="00650EE4" w14:paraId="6B19DBCD"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4B1EA543"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EE6. Susitarimai su energetikos įmonėmis dėl energijos taupymo </w:t>
            </w:r>
          </w:p>
        </w:tc>
        <w:tc>
          <w:tcPr>
            <w:tcW w:w="3106" w:type="dxa"/>
            <w:tcBorders>
              <w:top w:val="single" w:sz="4" w:space="0" w:color="auto"/>
              <w:left w:val="single" w:sz="4" w:space="0" w:color="auto"/>
              <w:bottom w:val="single" w:sz="4" w:space="0" w:color="auto"/>
              <w:right w:val="single" w:sz="4" w:space="0" w:color="auto"/>
            </w:tcBorders>
          </w:tcPr>
          <w:p w14:paraId="71B6D3A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Energetikos bendrovės taupys energiją pagal susitarimuose dėl energijos taupymo nurodytus energijos lygius (pačios ar per kitus asmenis), taikydamos ekonomiškai pagrįstas energijos vartojimo efektyvumo didinimo priemones galutinės energijos vartotojų įrenginiuose (įrenginiuose, įrangoje, transporte) </w:t>
            </w:r>
          </w:p>
        </w:tc>
        <w:tc>
          <w:tcPr>
            <w:tcW w:w="1560" w:type="dxa"/>
            <w:tcBorders>
              <w:top w:val="single" w:sz="4" w:space="0" w:color="auto"/>
              <w:left w:val="single" w:sz="4" w:space="0" w:color="auto"/>
              <w:bottom w:val="single" w:sz="4" w:space="0" w:color="auto"/>
              <w:right w:val="single" w:sz="4" w:space="0" w:color="auto"/>
            </w:tcBorders>
          </w:tcPr>
          <w:p w14:paraId="0DE399F9"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6F969E53"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energetikos įmonės </w:t>
            </w:r>
          </w:p>
        </w:tc>
        <w:tc>
          <w:tcPr>
            <w:tcW w:w="1996" w:type="dxa"/>
            <w:tcBorders>
              <w:top w:val="single" w:sz="4" w:space="0" w:color="auto"/>
              <w:left w:val="single" w:sz="4" w:space="0" w:color="auto"/>
              <w:bottom w:val="single" w:sz="4" w:space="0" w:color="auto"/>
              <w:right w:val="single" w:sz="4" w:space="0" w:color="auto"/>
            </w:tcBorders>
          </w:tcPr>
          <w:p w14:paraId="0044D130"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5,5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bl>
    <w:p w14:paraId="5A123E9C" w14:textId="3E63FF83"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ED2E55">
        <w:rPr>
          <w:rFonts w:ascii="Times New Roman" w:eastAsia="Times New Roman" w:hAnsi="Times New Roman"/>
          <w:i/>
          <w:color w:val="000000" w:themeColor="text1"/>
          <w:sz w:val="20"/>
          <w:szCs w:val="28"/>
        </w:rPr>
        <w:t>NECP</w:t>
      </w:r>
    </w:p>
    <w:p w14:paraId="08F8C78F"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p>
    <w:p w14:paraId="4B0C671B" w14:textId="77777777" w:rsidR="00240506" w:rsidRPr="00650EE4" w:rsidRDefault="00240506" w:rsidP="00240506">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Žemiau pateikiamas trumpas šiuo metu taikomų politikos priemonių aprašymas:</w:t>
      </w:r>
    </w:p>
    <w:p w14:paraId="35DC4C74" w14:textId="0C72DF84"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Priemone „AEI2. Finansinė param</w:t>
      </w:r>
      <w:r w:rsidR="007744C1">
        <w:rPr>
          <w:rFonts w:ascii="Times New Roman" w:hAnsi="Times New Roman"/>
          <w:color w:val="000000" w:themeColor="text1"/>
          <w:szCs w:val="22"/>
        </w:rPr>
        <w:t>a</w:t>
      </w:r>
      <w:r w:rsidRPr="00650EE4">
        <w:rPr>
          <w:rFonts w:ascii="Times New Roman" w:hAnsi="Times New Roman"/>
          <w:color w:val="000000" w:themeColor="text1"/>
          <w:szCs w:val="22"/>
        </w:rPr>
        <w:t xml:space="preserve"> gaminantiems vartotojams“ siekiama didinti elektros gamybą iš atsinaujinančių šaltinių ir pasiekti, kad pusė elektros vartotojų taptų gaminančiais vartotojais iki 2050 m. 2020 m. sausio mėnesį, sulaukus didesnio paraiškų skaičiaus nei numatytas preliminarus 4,5 milijono eurų biudžetas, buvo nutarta padidinti biudžetą. 2020 m. numatomi papildomi šaukimai paramai gaminantiems vartotojams. Nepaisant to, numatytas biudžetas nėra pakankamas pasiekti 34 tūkst. Gaminančių vartotojų iki 2021 m. vien šia priemone. Tačiau, tikėtina, kad nutolusių saulės elektrinių plėtra leis pasiekti šį tikslą.</w:t>
      </w:r>
    </w:p>
    <w:p w14:paraId="5F6DC938" w14:textId="77777777"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EE2. Daugiabučių pastatų atnaujinimo (modernizavimo) priemonė tikimasi, kad pasieks 2020 m. tikslą, arba iki tikslo trūks santykinai nedaug. Tačiau, priemonės mastas yra nepakankamas pasiekti 2050 m. tikslą, sumažinti pastatų fondo energetines sąnaudas bent 60 proc., o tuo labiau kad pastatų fondas būtų energetiškai neutralus. Vidutiniu dabartiniu renovacijos tempu, visų daugiabučių namų renovacija truktų daugiau nei šimtą metų.</w:t>
      </w:r>
    </w:p>
    <w:p w14:paraId="11CD4356" w14:textId="2F6597E4"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EE3. Viešųjų pastatų atnaujinimas priemonė yra paklausi ir tinkama,</w:t>
      </w:r>
      <w:r w:rsidR="000F6F56">
        <w:rPr>
          <w:rFonts w:ascii="Times New Roman" w:hAnsi="Times New Roman"/>
          <w:color w:val="000000" w:themeColor="text1"/>
          <w:szCs w:val="22"/>
        </w:rPr>
        <w:t xml:space="preserve"> finansuojama ES </w:t>
      </w:r>
      <w:r w:rsidR="000F6F56">
        <w:rPr>
          <w:rFonts w:ascii="Times New Roman" w:hAnsi="Times New Roman"/>
          <w:color w:val="000000" w:themeColor="text1"/>
          <w:szCs w:val="22"/>
          <w:lang w:val="en-GB"/>
        </w:rPr>
        <w:t xml:space="preserve">2014-2020 </w:t>
      </w:r>
      <w:r w:rsidR="000F6F56" w:rsidRPr="000F6F56">
        <w:rPr>
          <w:rFonts w:ascii="Times New Roman" w:hAnsi="Times New Roman"/>
          <w:color w:val="000000" w:themeColor="text1"/>
          <w:szCs w:val="22"/>
        </w:rPr>
        <w:t>metų lėšomis</w:t>
      </w:r>
      <w:r w:rsidRPr="00650EE4">
        <w:rPr>
          <w:rFonts w:ascii="Times New Roman" w:hAnsi="Times New Roman"/>
          <w:color w:val="000000" w:themeColor="text1"/>
          <w:szCs w:val="22"/>
        </w:rPr>
        <w:t>.</w:t>
      </w:r>
    </w:p>
    <w:p w14:paraId="0A9CF37E" w14:textId="77777777"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lastRenderedPageBreak/>
        <w:t>EE4. Susitarimai su energijos tiekėjais dėl vartotojų švietimo ir konsultavimo priemonė yra reikalinga ir tikslinga, tačiau objektyviai įvertinti sutaupymus nėra galimybės. Priemonės efektyvumą šiuo metu įvertinti sudėtinga, tačiau remiantis „</w:t>
      </w:r>
      <w:proofErr w:type="spellStart"/>
      <w:r w:rsidRPr="00650EE4">
        <w:rPr>
          <w:rFonts w:ascii="Times New Roman" w:hAnsi="Times New Roman"/>
          <w:color w:val="000000" w:themeColor="text1"/>
          <w:szCs w:val="22"/>
        </w:rPr>
        <w:t>Sprinter</w:t>
      </w:r>
      <w:proofErr w:type="spellEnd"/>
      <w:r w:rsidRPr="00650EE4">
        <w:rPr>
          <w:rFonts w:ascii="Times New Roman" w:hAnsi="Times New Roman"/>
          <w:color w:val="000000" w:themeColor="text1"/>
          <w:szCs w:val="22"/>
        </w:rPr>
        <w:t xml:space="preserve"> tyrimai“ atlikta apklausa, 77 proc. respondentų gyvenančių daugiabučiuose, pastatytuose iki 1993 m. pritaria daugiabučių atnaujinimui ir esant tinkamoms aplinkybėms dalyvautų savo pastato atnaujinimo procesuose, kai 2018 m. šiam klausimui pritarė 62 proc. renovuotinų daugiabučių gyventojų. Tai rodo, kad gyventojų suvokimas apie energetinio efektyvumo svarbą ir pritarimas tam auga, tačiau tai neįrodo šios priemonės efektyvumo.</w:t>
      </w:r>
    </w:p>
    <w:p w14:paraId="7B6A27B0" w14:textId="6B154872" w:rsidR="00236CB0" w:rsidRDefault="00240506" w:rsidP="00C5035E">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EE6. Susitarimai su energetikos įmonėmis dėl energijos taupymo pasiekti 1 </w:t>
      </w:r>
      <w:proofErr w:type="spellStart"/>
      <w:r w:rsidRPr="00650EE4">
        <w:rPr>
          <w:rFonts w:ascii="Times New Roman" w:hAnsi="Times New Roman"/>
          <w:color w:val="000000" w:themeColor="text1"/>
          <w:szCs w:val="22"/>
        </w:rPr>
        <w:t>TWh</w:t>
      </w:r>
      <w:proofErr w:type="spellEnd"/>
      <w:r w:rsidRPr="00650EE4">
        <w:rPr>
          <w:rFonts w:ascii="Times New Roman" w:hAnsi="Times New Roman"/>
          <w:color w:val="000000" w:themeColor="text1"/>
          <w:szCs w:val="22"/>
        </w:rPr>
        <w:t xml:space="preserve"> energetinių sutaupymų 2014-2019 m. buvo pasirašyti, ir dvi iš trijų energetikos įmonių AB „</w:t>
      </w:r>
      <w:proofErr w:type="spellStart"/>
      <w:r w:rsidRPr="00650EE4">
        <w:rPr>
          <w:rFonts w:ascii="Times New Roman" w:hAnsi="Times New Roman"/>
          <w:color w:val="000000" w:themeColor="text1"/>
          <w:szCs w:val="22"/>
        </w:rPr>
        <w:t>Amber</w:t>
      </w:r>
      <w:proofErr w:type="spellEnd"/>
      <w:r w:rsidRPr="00650EE4">
        <w:rPr>
          <w:rFonts w:ascii="Times New Roman" w:hAnsi="Times New Roman"/>
          <w:color w:val="000000" w:themeColor="text1"/>
          <w:szCs w:val="22"/>
        </w:rPr>
        <w:t xml:space="preserve"> </w:t>
      </w:r>
      <w:proofErr w:type="spellStart"/>
      <w:r w:rsidRPr="00650EE4">
        <w:rPr>
          <w:rFonts w:ascii="Times New Roman" w:hAnsi="Times New Roman"/>
          <w:color w:val="000000" w:themeColor="text1"/>
          <w:szCs w:val="22"/>
        </w:rPr>
        <w:t>Grid</w:t>
      </w:r>
      <w:proofErr w:type="spellEnd"/>
      <w:r w:rsidRPr="00650EE4">
        <w:rPr>
          <w:rFonts w:ascii="Times New Roman" w:hAnsi="Times New Roman"/>
          <w:color w:val="000000" w:themeColor="text1"/>
          <w:szCs w:val="22"/>
        </w:rPr>
        <w:t>“ ir AB „</w:t>
      </w:r>
      <w:proofErr w:type="spellStart"/>
      <w:r w:rsidRPr="00650EE4">
        <w:rPr>
          <w:rFonts w:ascii="Times New Roman" w:hAnsi="Times New Roman"/>
          <w:color w:val="000000" w:themeColor="text1"/>
          <w:szCs w:val="22"/>
        </w:rPr>
        <w:t>Litgrid</w:t>
      </w:r>
      <w:proofErr w:type="spellEnd"/>
      <w:r w:rsidRPr="00650EE4">
        <w:rPr>
          <w:rFonts w:ascii="Times New Roman" w:hAnsi="Times New Roman"/>
          <w:color w:val="000000" w:themeColor="text1"/>
          <w:szCs w:val="22"/>
        </w:rPr>
        <w:t xml:space="preserve">“ savo tikslus pasiekė, tačiau AB „ESO“ atsilieka nuo iškelto tikslo beveik trečdaliu. Tokia situacija susiklostė dėl to, kad nebuvo užskaityti sutaupymai, kurie buvo pasiekti atliekant pastočių ar tinklo atnaujinimą, nes šie sutaupymai nėra pasiekti pas galutinį vartotoją. Taip pat dėl skaičiavimo metodologijos skirtumų padidino neatitikimą.  </w:t>
      </w:r>
    </w:p>
    <w:p w14:paraId="2A893EAB" w14:textId="77777777" w:rsidR="00C5035E" w:rsidRPr="00C5035E" w:rsidRDefault="00C5035E" w:rsidP="00C5035E">
      <w:pPr>
        <w:pStyle w:val="Pagrindinispaprastastekstas"/>
        <w:spacing w:after="60"/>
        <w:rPr>
          <w:rFonts w:ascii="Times New Roman" w:hAnsi="Times New Roman"/>
          <w:color w:val="000000" w:themeColor="text1"/>
          <w:szCs w:val="22"/>
        </w:rPr>
      </w:pPr>
    </w:p>
    <w:p w14:paraId="4438AF0A" w14:textId="0E4B578B" w:rsidR="00240506" w:rsidRPr="00650EE4" w:rsidRDefault="00240506" w:rsidP="00240506">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21" w:name="_Toc67925140"/>
      <w:r w:rsidRPr="00650EE4">
        <w:rPr>
          <w:rFonts w:ascii="Times New Roman" w:hAnsi="Times New Roman"/>
          <w:color w:val="auto"/>
          <w:sz w:val="24"/>
          <w:szCs w:val="24"/>
          <w:lang w:val="lt-LT"/>
        </w:rPr>
        <w:t>Taikoma politika ir veiksmai orientuoti į tikslinius renovacijos segmentus</w:t>
      </w:r>
      <w:bookmarkEnd w:id="121"/>
      <w:r w:rsidR="00EB10DC" w:rsidRPr="00650EE4">
        <w:rPr>
          <w:rFonts w:ascii="Times New Roman" w:hAnsi="Times New Roman"/>
          <w:color w:val="auto"/>
          <w:sz w:val="24"/>
          <w:szCs w:val="24"/>
          <w:lang w:val="lt-LT"/>
        </w:rPr>
        <w:t xml:space="preserve"> </w:t>
      </w:r>
    </w:p>
    <w:p w14:paraId="4D9FF457" w14:textId="77777777" w:rsidR="00240506" w:rsidRPr="00650EE4" w:rsidRDefault="00240506" w:rsidP="00240506">
      <w:pPr>
        <w:pStyle w:val="Pagrindinispaprastastekstas"/>
        <w:rPr>
          <w:rFonts w:ascii="Times New Roman" w:hAnsi="Times New Roman"/>
        </w:rPr>
      </w:pPr>
      <w:r w:rsidRPr="00650EE4">
        <w:rPr>
          <w:rFonts w:ascii="Times New Roman" w:hAnsi="Times New Roman"/>
          <w:noProof/>
          <w:color w:val="000000" w:themeColor="text1"/>
          <w:sz w:val="24"/>
          <w:lang w:eastAsia="lt-LT"/>
        </w:rPr>
        <mc:AlternateContent>
          <mc:Choice Requires="wps">
            <w:drawing>
              <wp:inline distT="0" distB="0" distL="0" distR="0" wp14:anchorId="222D2F68" wp14:editId="4FCC2615">
                <wp:extent cx="6479540" cy="779228"/>
                <wp:effectExtent l="0" t="0" r="0" b="190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79228"/>
                        </a:xfrm>
                        <a:prstGeom prst="rect">
                          <a:avLst/>
                        </a:prstGeom>
                        <a:solidFill>
                          <a:schemeClr val="bg1">
                            <a:lumMod val="85000"/>
                          </a:schemeClr>
                        </a:solidFill>
                        <a:ln>
                          <a:noFill/>
                        </a:ln>
                      </wps:spPr>
                      <wps:txbx>
                        <w:txbxContent>
                          <w:p w14:paraId="02850EF3" w14:textId="77777777" w:rsidR="005E392B" w:rsidRPr="0011475D" w:rsidRDefault="005E392B" w:rsidP="00240506">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d</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745B7">
                              <w:rPr>
                                <w:rFonts w:ascii="Times New Roman" w:hAnsi="Times New Roman" w:cs="Times New Roman"/>
                                <w:bCs/>
                                <w:color w:val="000000" w:themeColor="text1"/>
                                <w:sz w:val="22"/>
                              </w:rPr>
                              <w:t>politikos ir veiksmų, kuriais būtų sprendžiami klausimai, susiję su prasčiausiai veikiančiais nacionalinio pastatų ūkio segmentais, skirtingų paskatų dilemomis ir rinkos nepakankamumo atvejais, apžvalga ir atitinkamų nacionalinių veiksmų, kuriais prisidedama prie energijos nepritekliaus mažinimo, apibendrinimas</w:t>
                            </w:r>
                            <w:r>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34" o:spid="_x0000_s1033" type="#_x0000_t202" style="width:510.2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uYHAIAABsEAAAOAAAAZHJzL2Uyb0RvYy54bWysU9uO0zAQfUfiHyy/06Sl3bZR09XS1SKk&#10;5SLt8gGO4zQWjseM3SbL1zN22lLgDfFieS4+c+bMeHM7dIYdFXoNtuTTSc6ZshJqbfcl//r88GbF&#10;mQ/C1sKAVSV/UZ7fbl+/2vSuUDNowdQKGYFYX/Su5G0IrsgyL1vVCT8BpywFG8BOBDJxn9UoekLv&#10;TDbL85usB6wdglTek/d+DPJtwm8aJcPnpvEqMFNy4hbSiems4pltN6LYo3Ctlica4h9YdEJbKnqB&#10;uhdBsAPqv6A6LRE8NGEiocugabRUqQfqZpr/0c1TK5xKvZA43l1k8v8PVn46fkGm65K/nXNmRUcz&#10;elZDYO9gYOQifXrnC0p7cpQYBvLTnFOv3j2C/OaZhV0r7F7dIULfKlETv2l8mV09HXF8BKn6j1BT&#10;HXEIkICGBrsoHsnBCJ3m9HKZTeQiyXkzX64XcwpJii2X69lslUqI4vzaoQ/vFXQsXkqONPuELo6P&#10;PkQ2ojinxGIejK4ftDHJiPumdgbZUdCmVPuxQ3PoiOroWy3yPO0L4aT1jOkJ9TckYyOehYg8Fo2e&#10;pERsfpQhDNWQRF+eBa6gfiFpEMYNpR9FlxbwB2c9bWfJ/feDQMWZ+WBJ3vV0HrUIyZgvljMy8DpS&#10;XUeElQRV8sDZeN2F8QscHOp9S5XGdi3c0UgandSKsxtZnejTBqZ2T78lrvi1nbJ+/entTwAAAP//&#10;AwBQSwMEFAAGAAgAAAAhAAkoNjvcAAAABgEAAA8AAABkcnMvZG93bnJldi54bWxMj0FLw0AQhe+C&#10;/2EZwZvddRFbYjZFBEGlCm3V8zQ7TYLZ2ZDdNLG/3q0XvQxveMN73+TLybXiQH1oPBu4nikQxKW3&#10;DVcG3rePVwsQISJbbD2TgW8KsCzOz3LMrB95TYdNrEQK4ZChgTrGLpMylDU5DDPfESdv73uHMa19&#10;JW2PYwp3rdRK3UqHDaeGGjt6qKn82gzOwIpfnnG/Xbwej3oYPz6f5uPbqjfm8mK6vwMRaYp/x3DC&#10;T+hQJKadH9gG0RpIj8TfefKUVjcgdklpPQdZ5PI/fvEDAAD//wMAUEsBAi0AFAAGAAgAAAAhALaD&#10;OJL+AAAA4QEAABMAAAAAAAAAAAAAAAAAAAAAAFtDb250ZW50X1R5cGVzXS54bWxQSwECLQAUAAYA&#10;CAAAACEAOP0h/9YAAACUAQAACwAAAAAAAAAAAAAAAAAvAQAAX3JlbHMvLnJlbHNQSwECLQAUAAYA&#10;CAAAACEANvKbmBwCAAAbBAAADgAAAAAAAAAAAAAAAAAuAgAAZHJzL2Uyb0RvYy54bWxQSwECLQAU&#10;AAYACAAAACEACSg2O9wAAAAGAQAADwAAAAAAAAAAAAAAAAB2BAAAZHJzL2Rvd25yZXYueG1sUEsF&#10;BgAAAAAEAAQA8wAAAH8FAAAAAA==&#10;" fillcolor="#d8d8d8 [2732]" stroked="f">
                <v:textbox>
                  <w:txbxContent>
                    <w:p w14:paraId="02850EF3" w14:textId="77777777" w:rsidR="005E392B" w:rsidRPr="0011475D" w:rsidRDefault="005E392B" w:rsidP="00240506">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d</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745B7">
                        <w:rPr>
                          <w:rFonts w:ascii="Times New Roman" w:hAnsi="Times New Roman" w:cs="Times New Roman"/>
                          <w:bCs/>
                          <w:color w:val="000000" w:themeColor="text1"/>
                          <w:sz w:val="22"/>
                        </w:rPr>
                        <w:t>politikos ir veiksmų, kuriais būtų sprendžiami klausimai, susiję su prasčiausiai veikiančiais nacionalinio pastatų ūkio segmentais, skirtingų paskatų dilemomis ir rinkos nepakankamumo atvejais, apžvalga ir atitinkamų nacionalinių veiksmų, kuriais prisidedama prie energijos nepritekliaus mažinimo, apibendrinimas</w:t>
                      </w:r>
                      <w:r>
                        <w:rPr>
                          <w:rFonts w:ascii="Times New Roman" w:hAnsi="Times New Roman" w:cs="Times New Roman"/>
                          <w:bCs/>
                          <w:color w:val="000000" w:themeColor="text1"/>
                          <w:sz w:val="22"/>
                        </w:rPr>
                        <w:t>“</w:t>
                      </w:r>
                    </w:p>
                  </w:txbxContent>
                </v:textbox>
                <w10:anchorlock/>
              </v:shape>
            </w:pict>
          </mc:Fallback>
        </mc:AlternateContent>
      </w:r>
    </w:p>
    <w:p w14:paraId="0C6D820E" w14:textId="77777777" w:rsidR="00240506" w:rsidRPr="00650EE4" w:rsidRDefault="00240506" w:rsidP="00240506">
      <w:pPr>
        <w:pStyle w:val="Pagrindinispaprastastekstas"/>
        <w:rPr>
          <w:rFonts w:ascii="Times New Roman" w:hAnsi="Times New Roman"/>
        </w:rPr>
      </w:pPr>
    </w:p>
    <w:p w14:paraId="6022FB65" w14:textId="3F87EBE3" w:rsidR="00240506" w:rsidRPr="00650EE4" w:rsidRDefault="00C8349D" w:rsidP="00240506">
      <w:pPr>
        <w:pStyle w:val="Antrastes31"/>
        <w:numPr>
          <w:ilvl w:val="2"/>
          <w:numId w:val="4"/>
        </w:numPr>
        <w:spacing w:before="0" w:after="120"/>
        <w:ind w:left="720" w:hanging="720"/>
        <w:rPr>
          <w:rFonts w:ascii="Times New Roman" w:hAnsi="Times New Roman"/>
          <w:color w:val="000000" w:themeColor="text1"/>
          <w:sz w:val="24"/>
          <w:szCs w:val="26"/>
          <w:lang w:val="lt-LT"/>
        </w:rPr>
      </w:pPr>
      <w:bookmarkStart w:id="122" w:name="_Toc48028393"/>
      <w:bookmarkStart w:id="123" w:name="_Toc67925141"/>
      <w:r w:rsidRPr="00650EE4">
        <w:rPr>
          <w:rFonts w:ascii="Times New Roman" w:hAnsi="Times New Roman"/>
          <w:color w:val="000000" w:themeColor="text1"/>
          <w:sz w:val="24"/>
          <w:szCs w:val="26"/>
          <w:lang w:val="lt-LT"/>
        </w:rPr>
        <w:t>Prasčiausiai veikiantys</w:t>
      </w:r>
      <w:r w:rsidR="00240506" w:rsidRPr="00650EE4">
        <w:rPr>
          <w:rFonts w:ascii="Times New Roman" w:hAnsi="Times New Roman"/>
          <w:color w:val="000000" w:themeColor="text1"/>
          <w:sz w:val="24"/>
          <w:szCs w:val="26"/>
          <w:lang w:val="lt-LT"/>
        </w:rPr>
        <w:t xml:space="preserve"> pastatų fondo segmentai</w:t>
      </w:r>
      <w:bookmarkEnd w:id="122"/>
      <w:bookmarkEnd w:id="123"/>
    </w:p>
    <w:p w14:paraId="39134741" w14:textId="7312BD66" w:rsidR="00240506" w:rsidRPr="00650EE4" w:rsidRDefault="00240506" w:rsidP="00D66C99">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Žemiausio energetinio efektyvumo pastatai šiuo metu prioriteto tvarka renovuojami įgyvendinant Daugiabučių namų atnaujinimo (modernizavimo) programą. </w:t>
      </w:r>
    </w:p>
    <w:p w14:paraId="30F8F435" w14:textId="77777777" w:rsidR="00D66C99" w:rsidRPr="00650EE4" w:rsidRDefault="00D66C99" w:rsidP="00D66C99">
      <w:pPr>
        <w:jc w:val="both"/>
        <w:rPr>
          <w:rFonts w:ascii="Times New Roman" w:hAnsi="Times New Roman"/>
          <w:color w:val="000000" w:themeColor="text1"/>
          <w:szCs w:val="22"/>
        </w:rPr>
      </w:pPr>
    </w:p>
    <w:p w14:paraId="33A1623B" w14:textId="77777777" w:rsidR="00240506" w:rsidRPr="00650EE4" w:rsidRDefault="00240506" w:rsidP="00240506">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Programa pradėta įgyvendinti 2005 metais. Pirminės sąlygos dalyvauti daugiabučių namų atnaujinimo (modernizavimo) programoje (toliau – Programa):</w:t>
      </w:r>
    </w:p>
    <w:p w14:paraId="51422E33" w14:textId="5ED68B3D" w:rsidR="00240506" w:rsidRPr="00650EE4" w:rsidRDefault="00C5035E" w:rsidP="00BD4925">
      <w:pPr>
        <w:pStyle w:val="Pagrindinispaprastastekstas"/>
        <w:numPr>
          <w:ilvl w:val="0"/>
          <w:numId w:val="25"/>
        </w:numPr>
        <w:spacing w:after="60"/>
        <w:rPr>
          <w:rFonts w:ascii="Times New Roman" w:hAnsi="Times New Roman"/>
          <w:bCs/>
          <w:color w:val="000000" w:themeColor="text1"/>
          <w:szCs w:val="22"/>
        </w:rPr>
      </w:pPr>
      <w:r>
        <w:rPr>
          <w:rFonts w:ascii="Times New Roman" w:hAnsi="Times New Roman"/>
          <w:bCs/>
          <w:color w:val="000000" w:themeColor="text1"/>
          <w:szCs w:val="22"/>
        </w:rPr>
        <w:t>p</w:t>
      </w:r>
      <w:r w:rsidR="00240506" w:rsidRPr="00650EE4">
        <w:rPr>
          <w:rFonts w:ascii="Times New Roman" w:hAnsi="Times New Roman"/>
          <w:bCs/>
          <w:color w:val="000000" w:themeColor="text1"/>
          <w:szCs w:val="22"/>
        </w:rPr>
        <w:t>rogramoje gali dalyvauti tik daugiabučiai namai (trijų ir daugiau butų gyvenamasis namas, kuriame gali būti ir negyvenamųjų patalpų – prekybos, administracinės, viešojo maitinimo ir kitos);</w:t>
      </w:r>
    </w:p>
    <w:p w14:paraId="72F34047" w14:textId="03B5A956" w:rsidR="00240506" w:rsidRPr="00650EE4" w:rsidRDefault="00C5035E" w:rsidP="00BD4925">
      <w:pPr>
        <w:pStyle w:val="Pagrindinispaprastastekstas"/>
        <w:numPr>
          <w:ilvl w:val="0"/>
          <w:numId w:val="25"/>
        </w:numPr>
        <w:rPr>
          <w:rFonts w:ascii="Times New Roman" w:hAnsi="Times New Roman"/>
          <w:bCs/>
          <w:color w:val="000000" w:themeColor="text1"/>
          <w:szCs w:val="22"/>
        </w:rPr>
      </w:pPr>
      <w:r>
        <w:rPr>
          <w:rFonts w:ascii="Times New Roman" w:hAnsi="Times New Roman"/>
          <w:bCs/>
          <w:color w:val="000000" w:themeColor="text1"/>
          <w:szCs w:val="22"/>
        </w:rPr>
        <w:t>d</w:t>
      </w:r>
      <w:r w:rsidR="00ED3996" w:rsidRPr="00650EE4">
        <w:rPr>
          <w:rFonts w:ascii="Times New Roman" w:hAnsi="Times New Roman"/>
          <w:bCs/>
          <w:color w:val="000000" w:themeColor="text1"/>
          <w:szCs w:val="22"/>
        </w:rPr>
        <w:t>augiabuči</w:t>
      </w:r>
      <w:r w:rsidR="00ED2E55">
        <w:rPr>
          <w:rFonts w:ascii="Times New Roman" w:hAnsi="Times New Roman"/>
          <w:bCs/>
          <w:color w:val="000000" w:themeColor="text1"/>
          <w:szCs w:val="22"/>
        </w:rPr>
        <w:t>ai</w:t>
      </w:r>
      <w:r w:rsidR="00ED3996" w:rsidRPr="00650EE4">
        <w:rPr>
          <w:rFonts w:ascii="Times New Roman" w:hAnsi="Times New Roman"/>
          <w:bCs/>
          <w:color w:val="000000" w:themeColor="text1"/>
          <w:szCs w:val="22"/>
        </w:rPr>
        <w:t xml:space="preserve"> </w:t>
      </w:r>
      <w:r w:rsidR="00240506" w:rsidRPr="00650EE4">
        <w:rPr>
          <w:rFonts w:ascii="Times New Roman" w:hAnsi="Times New Roman"/>
          <w:bCs/>
          <w:color w:val="000000" w:themeColor="text1"/>
          <w:szCs w:val="22"/>
        </w:rPr>
        <w:t>nam</w:t>
      </w:r>
      <w:r w:rsidR="00ED2E55">
        <w:rPr>
          <w:rFonts w:ascii="Times New Roman" w:hAnsi="Times New Roman"/>
          <w:bCs/>
          <w:color w:val="000000" w:themeColor="text1"/>
          <w:szCs w:val="22"/>
        </w:rPr>
        <w:t>ai</w:t>
      </w:r>
      <w:r w:rsidR="00240506" w:rsidRPr="00650EE4">
        <w:rPr>
          <w:rFonts w:ascii="Times New Roman" w:hAnsi="Times New Roman"/>
          <w:bCs/>
          <w:color w:val="000000" w:themeColor="text1"/>
          <w:szCs w:val="22"/>
        </w:rPr>
        <w:t xml:space="preserve"> </w:t>
      </w:r>
      <w:r w:rsidR="00ED2E55">
        <w:rPr>
          <w:rFonts w:ascii="Times New Roman" w:hAnsi="Times New Roman"/>
          <w:bCs/>
          <w:color w:val="000000" w:themeColor="text1"/>
          <w:szCs w:val="22"/>
        </w:rPr>
        <w:t>turi būti pastatyti</w:t>
      </w:r>
      <w:r w:rsidR="00ED2E55" w:rsidRPr="00ED2E55">
        <w:rPr>
          <w:rFonts w:ascii="Times New Roman" w:hAnsi="Times New Roman"/>
          <w:bCs/>
          <w:color w:val="000000" w:themeColor="text1"/>
          <w:szCs w:val="22"/>
        </w:rPr>
        <w:t xml:space="preserve"> pagal galiojusius iki 1993 metų</w:t>
      </w:r>
      <w:r w:rsidR="00ED2E55">
        <w:rPr>
          <w:rFonts w:ascii="Times New Roman" w:hAnsi="Times New Roman"/>
          <w:bCs/>
          <w:color w:val="000000" w:themeColor="text1"/>
          <w:szCs w:val="22"/>
        </w:rPr>
        <w:t xml:space="preserve"> statybos techninius normatyvus</w:t>
      </w:r>
      <w:r w:rsidR="00240506" w:rsidRPr="00650EE4">
        <w:rPr>
          <w:rFonts w:ascii="Times New Roman" w:hAnsi="Times New Roman"/>
          <w:bCs/>
          <w:color w:val="000000" w:themeColor="text1"/>
          <w:szCs w:val="22"/>
        </w:rPr>
        <w:t>.</w:t>
      </w:r>
    </w:p>
    <w:p w14:paraId="3069255B" w14:textId="77777777" w:rsidR="00E618FF" w:rsidRPr="00650EE4" w:rsidRDefault="00E618FF" w:rsidP="00E618FF">
      <w:pPr>
        <w:pStyle w:val="BodyText"/>
        <w:spacing w:line="240" w:lineRule="auto"/>
        <w:jc w:val="both"/>
        <w:rPr>
          <w:rFonts w:ascii="Times New Roman" w:hAnsi="Times New Roman"/>
          <w:color w:val="000000" w:themeColor="text1"/>
          <w:szCs w:val="22"/>
          <w:lang w:val="lt-LT"/>
        </w:rPr>
      </w:pPr>
    </w:p>
    <w:p w14:paraId="78F5D741" w14:textId="4CCAE701" w:rsidR="00240506" w:rsidRPr="00650EE4" w:rsidRDefault="00240506" w:rsidP="00E618FF">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Siekiant prioretizuoti ir spartinti žemiausio energetinio efektyvumo pastatų renovacijos procesą, 2013 m. savivaldybėms rekomenduota pasirengti energinio efektyvumo didinimo programas. Vykdydamos šią rekomendaciją savivaldybės savo teritorijose atrinko neefektyviausius daugiabučius namus, kurie suvartoja daugiau kaip 150 </w:t>
      </w:r>
      <w:proofErr w:type="spellStart"/>
      <w:r w:rsidRPr="00650EE4">
        <w:rPr>
          <w:rFonts w:ascii="Times New Roman" w:hAnsi="Times New Roman"/>
          <w:color w:val="000000" w:themeColor="text1"/>
          <w:szCs w:val="22"/>
          <w:lang w:val="lt-LT"/>
        </w:rPr>
        <w:t>kWh</w:t>
      </w:r>
      <w:proofErr w:type="spellEnd"/>
      <w:r w:rsidRPr="00650EE4">
        <w:rPr>
          <w:rFonts w:ascii="Times New Roman" w:hAnsi="Times New Roman"/>
          <w:color w:val="000000" w:themeColor="text1"/>
          <w:szCs w:val="22"/>
          <w:lang w:val="lt-LT"/>
        </w:rPr>
        <w:t>/m</w:t>
      </w:r>
      <w:r w:rsidRPr="00650EE4">
        <w:rPr>
          <w:rFonts w:ascii="Times New Roman" w:hAnsi="Times New Roman"/>
          <w:color w:val="000000" w:themeColor="text1"/>
          <w:szCs w:val="22"/>
          <w:vertAlign w:val="superscript"/>
          <w:lang w:val="lt-LT"/>
        </w:rPr>
        <w:t>2</w:t>
      </w:r>
      <w:r w:rsidRPr="00650EE4">
        <w:rPr>
          <w:rFonts w:ascii="Times New Roman" w:hAnsi="Times New Roman"/>
          <w:color w:val="000000" w:themeColor="text1"/>
          <w:szCs w:val="22"/>
          <w:lang w:val="lt-LT"/>
        </w:rPr>
        <w:t xml:space="preserve"> šiluminės energijos per metus (2 329 daugiabučių).</w:t>
      </w:r>
    </w:p>
    <w:p w14:paraId="1F0CEE20" w14:textId="77777777" w:rsidR="00E618FF" w:rsidRPr="00650EE4" w:rsidRDefault="00E618FF" w:rsidP="00E618FF">
      <w:pPr>
        <w:pStyle w:val="BodyText"/>
        <w:spacing w:line="240" w:lineRule="auto"/>
        <w:jc w:val="both"/>
        <w:rPr>
          <w:rFonts w:ascii="Times New Roman" w:hAnsi="Times New Roman"/>
          <w:color w:val="000000" w:themeColor="text1"/>
          <w:szCs w:val="22"/>
          <w:lang w:val="lt-LT"/>
        </w:rPr>
      </w:pPr>
    </w:p>
    <w:p w14:paraId="33B9619F" w14:textId="3F7D85AE" w:rsidR="00240506" w:rsidRPr="00650EE4" w:rsidRDefault="00240506" w:rsidP="002F28BB">
      <w:pPr>
        <w:pStyle w:val="BodyText"/>
        <w:spacing w:after="120" w:line="240" w:lineRule="auto"/>
        <w:jc w:val="both"/>
        <w:rPr>
          <w:rFonts w:ascii="Times New Roman" w:hAnsi="Times New Roman"/>
          <w:color w:val="000000" w:themeColor="text1"/>
          <w:szCs w:val="22"/>
          <w:lang w:val="lt-LT"/>
        </w:rPr>
      </w:pPr>
      <w:r w:rsidRPr="00650EE4">
        <w:rPr>
          <w:rFonts w:ascii="Times New Roman" w:hAnsi="Times New Roman"/>
          <w:szCs w:val="22"/>
          <w:lang w:val="lt-LT"/>
        </w:rPr>
        <w:t>Savivaldybių atrinktiems, neefektyviausiai energiją vartojantiems, daugiabučiams paskiriami Programos administratoriai, kurie įgyvendina šių daugiabučių namų atnaujinimą. Remiantis Valstybės kontrolės atskaita</w:t>
      </w:r>
      <w:r w:rsidRPr="00650EE4">
        <w:rPr>
          <w:rStyle w:val="FootnoteReference"/>
          <w:rFonts w:ascii="Times New Roman" w:hAnsi="Times New Roman"/>
          <w:szCs w:val="22"/>
          <w:lang w:val="lt-LT"/>
        </w:rPr>
        <w:footnoteReference w:id="15"/>
      </w:r>
      <w:r w:rsidRPr="00650EE4">
        <w:rPr>
          <w:rFonts w:ascii="Times New Roman" w:hAnsi="Times New Roman"/>
          <w:szCs w:val="22"/>
          <w:lang w:val="lt-LT"/>
        </w:rPr>
        <w:t>, iki</w:t>
      </w:r>
      <w:r w:rsidRPr="00650EE4">
        <w:rPr>
          <w:rFonts w:ascii="Times New Roman" w:hAnsi="Times New Roman"/>
          <w:color w:val="000000" w:themeColor="text1"/>
          <w:szCs w:val="22"/>
          <w:lang w:val="lt-LT"/>
        </w:rPr>
        <w:t xml:space="preserve"> 2019 m. liepos mėn. pagal savivaldybių parengtus neefektyviausių daugiabučių namų investicijų planus iš 2 329 daugiabučių namų modernizuota 1 319 (t.y. 56,6 proc.).  Likusi dalis, t.y. 1 010 daugiabučių nemodernizuoti nes:</w:t>
      </w:r>
    </w:p>
    <w:p w14:paraId="69E2EEDF" w14:textId="77777777" w:rsidR="00240506" w:rsidRPr="00650EE4" w:rsidRDefault="00240506" w:rsidP="00BD4925">
      <w:pPr>
        <w:pStyle w:val="Pagrindinispaprastastekstas"/>
        <w:numPr>
          <w:ilvl w:val="0"/>
          <w:numId w:val="25"/>
        </w:numPr>
        <w:spacing w:after="60"/>
        <w:rPr>
          <w:rFonts w:ascii="Times New Roman" w:hAnsi="Times New Roman"/>
          <w:bCs/>
          <w:color w:val="000000" w:themeColor="text1"/>
          <w:szCs w:val="22"/>
        </w:rPr>
      </w:pPr>
      <w:r w:rsidRPr="00650EE4">
        <w:rPr>
          <w:rFonts w:ascii="Times New Roman" w:hAnsi="Times New Roman"/>
          <w:bCs/>
          <w:color w:val="000000" w:themeColor="text1"/>
          <w:szCs w:val="22"/>
        </w:rPr>
        <w:t xml:space="preserve"> 81,4 proc. (822 iš 1 010) parengtų planų nepatvirtino butų ir kitų patalpų savininkai, t. y. nepritarė modernizavimui; </w:t>
      </w:r>
    </w:p>
    <w:p w14:paraId="41F2C03F" w14:textId="77777777" w:rsidR="00240506" w:rsidRPr="00650EE4" w:rsidRDefault="00240506" w:rsidP="00BD4925">
      <w:pPr>
        <w:pStyle w:val="Pagrindinispaprastastekstas"/>
        <w:numPr>
          <w:ilvl w:val="0"/>
          <w:numId w:val="25"/>
        </w:numPr>
        <w:spacing w:after="60"/>
        <w:rPr>
          <w:rFonts w:ascii="Times New Roman" w:hAnsi="Times New Roman"/>
          <w:bCs/>
          <w:color w:val="000000" w:themeColor="text1"/>
          <w:szCs w:val="22"/>
        </w:rPr>
      </w:pPr>
      <w:r w:rsidRPr="00650EE4">
        <w:rPr>
          <w:rFonts w:ascii="Times New Roman" w:hAnsi="Times New Roman"/>
          <w:bCs/>
          <w:color w:val="000000" w:themeColor="text1"/>
          <w:szCs w:val="22"/>
        </w:rPr>
        <w:t xml:space="preserve">18,6 proc. (188 iš 1010) dėl kitų priežasčių (neįteisinta butų nuosavybė, nepanaikinti įsiskolinimai už komunalines paslaugas ir kt.).  </w:t>
      </w:r>
    </w:p>
    <w:p w14:paraId="18C6058F" w14:textId="286A29E4" w:rsidR="00240506" w:rsidRPr="00650EE4" w:rsidRDefault="00240506" w:rsidP="00240506">
      <w:pPr>
        <w:spacing w:before="200" w:line="240" w:lineRule="auto"/>
        <w:ind w:left="51"/>
        <w:jc w:val="both"/>
        <w:rPr>
          <w:rFonts w:ascii="Times New Roman" w:hAnsi="Times New Roman"/>
          <w:szCs w:val="22"/>
        </w:rPr>
      </w:pPr>
      <w:r w:rsidRPr="00650EE4">
        <w:rPr>
          <w:rFonts w:ascii="Times New Roman" w:hAnsi="Times New Roman"/>
          <w:szCs w:val="22"/>
        </w:rPr>
        <w:t xml:space="preserve">Atitinkamai, galima konstatuoti, kad </w:t>
      </w:r>
      <w:r w:rsidR="00CC0D7C" w:rsidRPr="00650EE4">
        <w:rPr>
          <w:rFonts w:ascii="Times New Roman" w:hAnsi="Times New Roman"/>
          <w:szCs w:val="22"/>
        </w:rPr>
        <w:t xml:space="preserve">būtina sąlyga </w:t>
      </w:r>
      <w:r w:rsidRPr="00650EE4">
        <w:rPr>
          <w:rFonts w:ascii="Times New Roman" w:hAnsi="Times New Roman"/>
          <w:szCs w:val="22"/>
        </w:rPr>
        <w:t xml:space="preserve">sklandžiam daugiabučių namų modernizavimui </w:t>
      </w:r>
      <w:r w:rsidR="00CC0D7C" w:rsidRPr="00650EE4">
        <w:rPr>
          <w:rFonts w:ascii="Times New Roman" w:hAnsi="Times New Roman"/>
          <w:szCs w:val="22"/>
        </w:rPr>
        <w:t xml:space="preserve">– aktyvus ir konstruktyvus </w:t>
      </w:r>
      <w:r w:rsidRPr="00650EE4">
        <w:rPr>
          <w:rFonts w:ascii="Times New Roman" w:hAnsi="Times New Roman"/>
          <w:szCs w:val="22"/>
        </w:rPr>
        <w:t xml:space="preserve">savininkų įsitraukimas. </w:t>
      </w:r>
    </w:p>
    <w:p w14:paraId="3629233E" w14:textId="2B782B70" w:rsidR="00CC1E38" w:rsidRPr="00650EE4" w:rsidRDefault="00CC1E38">
      <w:pPr>
        <w:spacing w:after="240"/>
        <w:rPr>
          <w:rFonts w:ascii="Times New Roman" w:hAnsi="Times New Roman"/>
          <w:szCs w:val="22"/>
        </w:rPr>
      </w:pPr>
    </w:p>
    <w:p w14:paraId="4676F32C" w14:textId="77777777" w:rsidR="00C5035E" w:rsidRDefault="00C5035E">
      <w:pPr>
        <w:spacing w:after="240"/>
        <w:rPr>
          <w:rFonts w:ascii="Times New Roman" w:eastAsia="Times New Roman" w:hAnsi="Times New Roman"/>
          <w:b/>
          <w:bCs/>
          <w:color w:val="000000" w:themeColor="text1"/>
          <w:kern w:val="32"/>
          <w:sz w:val="24"/>
          <w:szCs w:val="26"/>
        </w:rPr>
      </w:pPr>
      <w:bookmarkStart w:id="124" w:name="_Toc48028394"/>
      <w:r>
        <w:rPr>
          <w:rFonts w:ascii="Times New Roman" w:hAnsi="Times New Roman"/>
          <w:color w:val="000000" w:themeColor="text1"/>
          <w:sz w:val="24"/>
          <w:szCs w:val="26"/>
        </w:rPr>
        <w:br w:type="page"/>
      </w:r>
    </w:p>
    <w:p w14:paraId="6339DA16" w14:textId="67A88158" w:rsidR="00240506" w:rsidRPr="00650EE4" w:rsidRDefault="00B400D9" w:rsidP="00240506">
      <w:pPr>
        <w:pStyle w:val="Antrastes31"/>
        <w:numPr>
          <w:ilvl w:val="2"/>
          <w:numId w:val="4"/>
        </w:numPr>
        <w:spacing w:before="0" w:after="120"/>
        <w:ind w:left="720" w:hanging="720"/>
        <w:rPr>
          <w:rFonts w:ascii="Times New Roman" w:hAnsi="Times New Roman"/>
          <w:color w:val="000000" w:themeColor="text1"/>
          <w:sz w:val="24"/>
          <w:szCs w:val="26"/>
          <w:lang w:val="lt-LT"/>
        </w:rPr>
      </w:pPr>
      <w:bookmarkStart w:id="125" w:name="_Toc67925142"/>
      <w:r w:rsidRPr="00650EE4">
        <w:rPr>
          <w:rFonts w:ascii="Times New Roman" w:hAnsi="Times New Roman"/>
          <w:color w:val="000000" w:themeColor="text1"/>
          <w:sz w:val="24"/>
          <w:szCs w:val="26"/>
          <w:lang w:val="lt-LT"/>
        </w:rPr>
        <w:lastRenderedPageBreak/>
        <w:t>Skirtingų paskatų dilemo</w:t>
      </w:r>
      <w:r w:rsidR="00240506" w:rsidRPr="00650EE4">
        <w:rPr>
          <w:rFonts w:ascii="Times New Roman" w:hAnsi="Times New Roman"/>
          <w:color w:val="000000" w:themeColor="text1"/>
          <w:sz w:val="24"/>
          <w:szCs w:val="26"/>
          <w:lang w:val="lt-LT"/>
        </w:rPr>
        <w:t>s</w:t>
      </w:r>
      <w:bookmarkEnd w:id="124"/>
      <w:r w:rsidRPr="00650EE4">
        <w:rPr>
          <w:rFonts w:ascii="Times New Roman" w:hAnsi="Times New Roman"/>
          <w:color w:val="000000" w:themeColor="text1"/>
          <w:sz w:val="24"/>
          <w:szCs w:val="26"/>
          <w:lang w:val="lt-LT"/>
        </w:rPr>
        <w:t xml:space="preserve"> ir kiti</w:t>
      </w:r>
      <w:r w:rsidR="00147FA6" w:rsidRPr="00650EE4">
        <w:rPr>
          <w:rFonts w:ascii="Times New Roman" w:hAnsi="Times New Roman"/>
          <w:color w:val="000000" w:themeColor="text1"/>
          <w:sz w:val="24"/>
          <w:szCs w:val="26"/>
          <w:lang w:val="lt-LT"/>
        </w:rPr>
        <w:t xml:space="preserve"> rinkos nepakankamumo atvejai</w:t>
      </w:r>
      <w:bookmarkEnd w:id="125"/>
    </w:p>
    <w:p w14:paraId="674C8DA1" w14:textId="5C5BAF88" w:rsidR="002F28BB" w:rsidRDefault="00147FA6" w:rsidP="00C5035E">
      <w:pPr>
        <w:spacing w:before="200" w:after="60" w:line="240" w:lineRule="auto"/>
        <w:jc w:val="both"/>
        <w:rPr>
          <w:rFonts w:ascii="Times New Roman" w:hAnsi="Times New Roman"/>
          <w:szCs w:val="22"/>
        </w:rPr>
      </w:pPr>
      <w:r w:rsidRPr="00650EE4">
        <w:rPr>
          <w:rFonts w:ascii="Times New Roman" w:hAnsi="Times New Roman"/>
          <w:szCs w:val="22"/>
        </w:rPr>
        <w:t>IRS apimtyje</w:t>
      </w:r>
      <w:r w:rsidR="000D12F5" w:rsidRPr="00650EE4">
        <w:rPr>
          <w:rFonts w:ascii="Times New Roman" w:hAnsi="Times New Roman"/>
          <w:szCs w:val="22"/>
        </w:rPr>
        <w:t xml:space="preserve"> terminas „rinkos nepakankamumas“ sietinas su įvairiomis problemomis, dėl kurių gali būti lėčiau pertvarkomas pastatų ūkis ir išnaudojamos galimybės ekonomiškai efektyviai užtikrinti energijos taupymą</w:t>
      </w:r>
      <w:r w:rsidR="00321B0E" w:rsidRPr="00650EE4">
        <w:rPr>
          <w:rFonts w:ascii="Times New Roman" w:hAnsi="Times New Roman"/>
          <w:szCs w:val="22"/>
        </w:rPr>
        <w:t xml:space="preserve">. Jis gali būti </w:t>
      </w:r>
      <w:r w:rsidRPr="00650EE4">
        <w:rPr>
          <w:rFonts w:ascii="Times New Roman" w:hAnsi="Times New Roman"/>
          <w:szCs w:val="22"/>
        </w:rPr>
        <w:t>suprantama</w:t>
      </w:r>
      <w:r w:rsidR="00321B0E" w:rsidRPr="00650EE4">
        <w:rPr>
          <w:rFonts w:ascii="Times New Roman" w:hAnsi="Times New Roman"/>
          <w:szCs w:val="22"/>
        </w:rPr>
        <w:t>s</w:t>
      </w:r>
      <w:r w:rsidRPr="00650EE4">
        <w:rPr>
          <w:rFonts w:ascii="Times New Roman" w:hAnsi="Times New Roman"/>
          <w:szCs w:val="22"/>
        </w:rPr>
        <w:t xml:space="preserve"> kaip visuma trikdžių ir barjerų dėl kurių </w:t>
      </w:r>
      <w:r w:rsidR="004302FE" w:rsidRPr="00650EE4">
        <w:rPr>
          <w:rFonts w:ascii="Times New Roman" w:hAnsi="Times New Roman"/>
          <w:szCs w:val="22"/>
        </w:rPr>
        <w:t>renovacijos</w:t>
      </w:r>
      <w:r w:rsidRPr="00650EE4">
        <w:rPr>
          <w:rFonts w:ascii="Times New Roman" w:hAnsi="Times New Roman"/>
          <w:szCs w:val="22"/>
        </w:rPr>
        <w:t xml:space="preserve"> proce</w:t>
      </w:r>
      <w:r w:rsidR="00C2113C" w:rsidRPr="00650EE4">
        <w:rPr>
          <w:rFonts w:ascii="Times New Roman" w:hAnsi="Times New Roman"/>
          <w:szCs w:val="22"/>
        </w:rPr>
        <w:t>sas nevyksta arba vyks</w:t>
      </w:r>
      <w:r w:rsidRPr="00650EE4">
        <w:rPr>
          <w:rFonts w:ascii="Times New Roman" w:hAnsi="Times New Roman"/>
          <w:szCs w:val="22"/>
        </w:rPr>
        <w:t xml:space="preserve">ta nepakankamu tempu. </w:t>
      </w:r>
    </w:p>
    <w:p w14:paraId="4469D85C" w14:textId="77777777" w:rsidR="00C5035E" w:rsidRPr="00C5035E" w:rsidRDefault="00C5035E" w:rsidP="00C5035E">
      <w:pPr>
        <w:spacing w:before="200" w:after="60" w:line="240" w:lineRule="auto"/>
        <w:jc w:val="both"/>
        <w:rPr>
          <w:rFonts w:ascii="Times New Roman" w:hAnsi="Times New Roman"/>
          <w:szCs w:val="22"/>
        </w:rPr>
      </w:pPr>
    </w:p>
    <w:p w14:paraId="4E060E9A" w14:textId="1593DC0D" w:rsidR="00881066" w:rsidRPr="00650EE4" w:rsidRDefault="00881066" w:rsidP="00C52BF4">
      <w:pPr>
        <w:pStyle w:val="BodyText"/>
        <w:spacing w:after="120"/>
        <w:jc w:val="both"/>
        <w:rPr>
          <w:rFonts w:ascii="Times New Roman" w:hAnsi="Times New Roman"/>
          <w:b/>
          <w:bCs/>
          <w:color w:val="000000" w:themeColor="text1"/>
          <w:sz w:val="24"/>
          <w:szCs w:val="22"/>
          <w:lang w:val="lt-LT"/>
        </w:rPr>
      </w:pPr>
      <w:r w:rsidRPr="00650EE4">
        <w:rPr>
          <w:rFonts w:ascii="Times New Roman" w:hAnsi="Times New Roman"/>
          <w:b/>
          <w:bCs/>
          <w:color w:val="000000" w:themeColor="text1"/>
          <w:sz w:val="24"/>
          <w:szCs w:val="22"/>
          <w:lang w:val="lt-LT"/>
        </w:rPr>
        <w:t xml:space="preserve">Skirtingų paskatų dilemos </w:t>
      </w:r>
    </w:p>
    <w:p w14:paraId="3D7072A8" w14:textId="77777777" w:rsidR="00240506" w:rsidRPr="00650EE4" w:rsidRDefault="00240506" w:rsidP="003F7E15">
      <w:pPr>
        <w:spacing w:before="200" w:after="60" w:line="240" w:lineRule="auto"/>
        <w:jc w:val="both"/>
        <w:rPr>
          <w:rFonts w:ascii="Times New Roman" w:hAnsi="Times New Roman"/>
          <w:szCs w:val="22"/>
        </w:rPr>
      </w:pPr>
      <w:r w:rsidRPr="00650EE4">
        <w:rPr>
          <w:rFonts w:ascii="Times New Roman" w:hAnsi="Times New Roman"/>
          <w:szCs w:val="22"/>
        </w:rPr>
        <w:t>Skirtingos paskatos atsiranda pastato savininkui ir nuomininkui arba savininkams, kai už energetikos infrastruktūros modernizavimą arba didesnio naudingumo užtikrinimo priemones mokanti šalis negali gauti visos naudos ir užsitikrinti taupymo.</w:t>
      </w:r>
    </w:p>
    <w:p w14:paraId="1DEB69C1" w14:textId="77777777" w:rsidR="00240506" w:rsidRPr="00650EE4" w:rsidRDefault="00240506" w:rsidP="003F7E15">
      <w:pPr>
        <w:spacing w:before="200" w:after="60" w:line="240" w:lineRule="auto"/>
        <w:jc w:val="both"/>
        <w:rPr>
          <w:rFonts w:ascii="Times New Roman" w:hAnsi="Times New Roman"/>
          <w:szCs w:val="22"/>
        </w:rPr>
      </w:pPr>
      <w:r w:rsidRPr="00650EE4">
        <w:rPr>
          <w:rFonts w:ascii="Times New Roman" w:hAnsi="Times New Roman"/>
          <w:szCs w:val="22"/>
        </w:rPr>
        <w:t>EVED 19 straipsnyje įtvirtintas reikalavimas, kad valstybės narės „Įvertina ir prireikus imasi atitinkamų priemonių, kad pašalintų reguliavimo ir su reguliavimu nesusijusias energijos vartojimo efektyvumo kliūtis, nedarant poveikio nuosavybę ir nuomą reglamentuojančios valstybių narių teisės pagrindiniams principams, visų pirma dėl: pastato savininkui ir nuomininkui arba skirtingiems savininkams skirtų skatinamųjų priemonių atskyrimo, siekiant užtikrinti, kad šios šalys nebūtų atgrasomos nuo investicijų į energijos vartojimo efektyvumo didinimą, kurias jos būtų vykdžiusios, jei jų nebūtų atgrasę tai, kad joms atskirai teks ne visa nauda arba kad nėra kaštų ir naudos pasidalijimo taisyklių, įskaitant nacionalines taisykles ir priemones, kuriomis reglamentuojamos sprendimų priėmimo procedūros bendrosios nuosavybės atveju“.</w:t>
      </w:r>
    </w:p>
    <w:p w14:paraId="6B44D8F8" w14:textId="77777777" w:rsidR="00240506" w:rsidRPr="00650EE4" w:rsidRDefault="00240506" w:rsidP="003F7E15">
      <w:pPr>
        <w:spacing w:before="200" w:after="60" w:line="240" w:lineRule="auto"/>
        <w:jc w:val="both"/>
        <w:rPr>
          <w:rFonts w:ascii="Times New Roman" w:hAnsi="Times New Roman"/>
          <w:szCs w:val="22"/>
        </w:rPr>
      </w:pPr>
      <w:r w:rsidRPr="00650EE4">
        <w:rPr>
          <w:rFonts w:ascii="Times New Roman" w:hAnsi="Times New Roman"/>
          <w:szCs w:val="22"/>
        </w:rPr>
        <w:t>Išskiriami šie pagrindiniai skirtingų paskatų dilemų tipai:</w:t>
      </w:r>
    </w:p>
    <w:p w14:paraId="4B44835A" w14:textId="06CD99F5" w:rsidR="00240506" w:rsidRPr="00650EE4" w:rsidRDefault="006013CC" w:rsidP="00BD4925">
      <w:pPr>
        <w:pStyle w:val="ListParagraph"/>
        <w:numPr>
          <w:ilvl w:val="0"/>
          <w:numId w:val="49"/>
        </w:numPr>
        <w:spacing w:after="60"/>
        <w:contextualSpacing w:val="0"/>
        <w:jc w:val="both"/>
        <w:rPr>
          <w:rFonts w:ascii="Times New Roman" w:hAnsi="Times New Roman"/>
          <w:szCs w:val="22"/>
          <w:lang w:val="lt-LT"/>
        </w:rPr>
      </w:pPr>
      <w:r>
        <w:rPr>
          <w:rFonts w:ascii="Times New Roman" w:hAnsi="Times New Roman"/>
          <w:szCs w:val="22"/>
          <w:lang w:val="lt-LT"/>
        </w:rPr>
        <w:t>n</w:t>
      </w:r>
      <w:r w:rsidR="007A6800" w:rsidRPr="00650EE4">
        <w:rPr>
          <w:rFonts w:ascii="Times New Roman" w:hAnsi="Times New Roman"/>
          <w:szCs w:val="22"/>
          <w:lang w:val="lt-LT"/>
        </w:rPr>
        <w:t>aud</w:t>
      </w:r>
      <w:r w:rsidR="00240506" w:rsidRPr="00650EE4">
        <w:rPr>
          <w:rFonts w:ascii="Times New Roman" w:hAnsi="Times New Roman"/>
          <w:szCs w:val="22"/>
          <w:lang w:val="lt-LT"/>
        </w:rPr>
        <w:t>otojo paskatų dilema</w:t>
      </w:r>
      <w:r>
        <w:rPr>
          <w:rFonts w:ascii="Times New Roman" w:hAnsi="Times New Roman"/>
          <w:szCs w:val="22"/>
          <w:lang w:val="lt-LT"/>
        </w:rPr>
        <w:t>;</w:t>
      </w:r>
    </w:p>
    <w:p w14:paraId="1E6FE4D8" w14:textId="5BCDB7EA" w:rsidR="00240506" w:rsidRPr="00650EE4" w:rsidRDefault="006013CC" w:rsidP="00BD4925">
      <w:pPr>
        <w:pStyle w:val="ListParagraph"/>
        <w:numPr>
          <w:ilvl w:val="0"/>
          <w:numId w:val="49"/>
        </w:numPr>
        <w:spacing w:after="60"/>
        <w:contextualSpacing w:val="0"/>
        <w:jc w:val="both"/>
        <w:rPr>
          <w:rFonts w:ascii="Times New Roman" w:hAnsi="Times New Roman"/>
          <w:szCs w:val="22"/>
          <w:lang w:val="lt-LT"/>
        </w:rPr>
      </w:pPr>
      <w:r>
        <w:rPr>
          <w:rFonts w:ascii="Times New Roman" w:hAnsi="Times New Roman"/>
          <w:szCs w:val="22"/>
          <w:lang w:val="lt-LT"/>
        </w:rPr>
        <w:t>e</w:t>
      </w:r>
      <w:r w:rsidR="00240506" w:rsidRPr="00650EE4">
        <w:rPr>
          <w:rFonts w:ascii="Times New Roman" w:hAnsi="Times New Roman"/>
          <w:szCs w:val="22"/>
          <w:lang w:val="lt-LT"/>
        </w:rPr>
        <w:t>fektyvumo paskatų dilema</w:t>
      </w:r>
      <w:r>
        <w:rPr>
          <w:rFonts w:ascii="Times New Roman" w:hAnsi="Times New Roman"/>
          <w:szCs w:val="22"/>
          <w:lang w:val="lt-LT"/>
        </w:rPr>
        <w:t>;</w:t>
      </w:r>
    </w:p>
    <w:p w14:paraId="45AB0171" w14:textId="58AD4BAD" w:rsidR="00240506" w:rsidRPr="00650EE4" w:rsidRDefault="006013CC" w:rsidP="00BD4925">
      <w:pPr>
        <w:pStyle w:val="ListParagraph"/>
        <w:numPr>
          <w:ilvl w:val="0"/>
          <w:numId w:val="49"/>
        </w:numPr>
        <w:spacing w:after="60"/>
        <w:contextualSpacing w:val="0"/>
        <w:jc w:val="both"/>
        <w:rPr>
          <w:rFonts w:ascii="Times New Roman" w:hAnsi="Times New Roman"/>
          <w:szCs w:val="22"/>
          <w:lang w:val="lt-LT"/>
        </w:rPr>
      </w:pPr>
      <w:r>
        <w:rPr>
          <w:rFonts w:ascii="Times New Roman" w:hAnsi="Times New Roman"/>
          <w:szCs w:val="22"/>
          <w:lang w:val="lt-LT"/>
        </w:rPr>
        <w:t>s</w:t>
      </w:r>
      <w:r w:rsidR="00240506" w:rsidRPr="00650EE4">
        <w:rPr>
          <w:rFonts w:ascii="Times New Roman" w:hAnsi="Times New Roman"/>
          <w:szCs w:val="22"/>
          <w:lang w:val="lt-LT"/>
        </w:rPr>
        <w:t>kirtingų savininkų (naudotojų) paskatų dilema</w:t>
      </w:r>
      <w:r>
        <w:rPr>
          <w:rFonts w:ascii="Times New Roman" w:hAnsi="Times New Roman"/>
          <w:szCs w:val="22"/>
          <w:lang w:val="lt-LT"/>
        </w:rPr>
        <w:t>;</w:t>
      </w:r>
    </w:p>
    <w:p w14:paraId="4C63371F" w14:textId="40E1ADA9" w:rsidR="00240506" w:rsidRPr="00650EE4" w:rsidRDefault="006013CC" w:rsidP="00BD4925">
      <w:pPr>
        <w:pStyle w:val="ListParagraph"/>
        <w:numPr>
          <w:ilvl w:val="0"/>
          <w:numId w:val="49"/>
        </w:numPr>
        <w:contextualSpacing w:val="0"/>
        <w:jc w:val="both"/>
        <w:rPr>
          <w:rFonts w:ascii="Times New Roman" w:hAnsi="Times New Roman"/>
          <w:szCs w:val="22"/>
          <w:lang w:val="lt-LT"/>
        </w:rPr>
      </w:pPr>
      <w:r>
        <w:rPr>
          <w:rFonts w:ascii="Times New Roman" w:hAnsi="Times New Roman"/>
          <w:szCs w:val="22"/>
          <w:lang w:val="lt-LT"/>
        </w:rPr>
        <w:t>l</w:t>
      </w:r>
      <w:r w:rsidR="007A6800" w:rsidRPr="00650EE4">
        <w:rPr>
          <w:rFonts w:ascii="Times New Roman" w:hAnsi="Times New Roman"/>
          <w:szCs w:val="22"/>
          <w:lang w:val="lt-LT"/>
        </w:rPr>
        <w:t>aikinos paskatų dilemos</w:t>
      </w:r>
      <w:r w:rsidR="00240506" w:rsidRPr="00650EE4">
        <w:rPr>
          <w:rFonts w:ascii="Times New Roman" w:hAnsi="Times New Roman"/>
          <w:szCs w:val="22"/>
          <w:lang w:val="lt-LT"/>
        </w:rPr>
        <w:t>.</w:t>
      </w:r>
    </w:p>
    <w:p w14:paraId="15468FC2" w14:textId="77777777" w:rsidR="00240506" w:rsidRPr="00650EE4" w:rsidRDefault="00240506" w:rsidP="00240506">
      <w:pPr>
        <w:spacing w:line="240" w:lineRule="auto"/>
        <w:ind w:left="51"/>
        <w:jc w:val="both"/>
        <w:rPr>
          <w:rFonts w:ascii="Times New Roman" w:hAnsi="Times New Roman"/>
          <w:szCs w:val="22"/>
        </w:rPr>
      </w:pPr>
    </w:p>
    <w:p w14:paraId="4F05C3BE" w14:textId="45D2111E" w:rsidR="00240506" w:rsidRPr="00650EE4" w:rsidRDefault="00240506" w:rsidP="00240506">
      <w:pPr>
        <w:spacing w:line="240" w:lineRule="auto"/>
        <w:ind w:left="51"/>
        <w:jc w:val="both"/>
        <w:rPr>
          <w:rFonts w:ascii="Times New Roman" w:hAnsi="Times New Roman"/>
          <w:szCs w:val="22"/>
        </w:rPr>
      </w:pPr>
      <w:r w:rsidRPr="00650EE4">
        <w:rPr>
          <w:rFonts w:ascii="Times New Roman" w:hAnsi="Times New Roman"/>
          <w:szCs w:val="22"/>
        </w:rPr>
        <w:t>Konkretus skirtingų paskatų dilemos tipas yra tiesiogiai siejamas su pastato ir pastato naudotojo tipais, žr. lentelę žemiau.</w:t>
      </w:r>
    </w:p>
    <w:p w14:paraId="347C64B4" w14:textId="77777777" w:rsidR="00496BF9" w:rsidRPr="00650EE4" w:rsidRDefault="00496BF9" w:rsidP="00240506">
      <w:pPr>
        <w:spacing w:line="240" w:lineRule="auto"/>
        <w:ind w:left="51"/>
        <w:jc w:val="both"/>
        <w:rPr>
          <w:rFonts w:ascii="Times New Roman" w:hAnsi="Times New Roman"/>
          <w:szCs w:val="22"/>
        </w:rPr>
      </w:pPr>
    </w:p>
    <w:p w14:paraId="648678B5" w14:textId="02EB7AFA"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26" w:name="_Toc67925226"/>
      <w:r w:rsidR="007744C1">
        <w:t>43</w:t>
      </w:r>
      <w:r w:rsidRPr="00650EE4">
        <w:rPr>
          <w:noProof w:val="0"/>
        </w:rPr>
        <w:fldChar w:fldCharType="end"/>
      </w:r>
      <w:r w:rsidR="00240506" w:rsidRPr="00650EE4">
        <w:rPr>
          <w:noProof w:val="0"/>
        </w:rPr>
        <w:t xml:space="preserve"> lentelė. Skirtingų paskatų dilemų klasifikacija</w:t>
      </w:r>
      <w:bookmarkEnd w:id="126"/>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727"/>
        <w:gridCol w:w="3586"/>
        <w:gridCol w:w="4005"/>
      </w:tblGrid>
      <w:tr w:rsidR="00240506" w:rsidRPr="00650EE4" w14:paraId="4C186E51" w14:textId="77777777" w:rsidTr="003F0F52">
        <w:trPr>
          <w:tblHeader/>
        </w:trPr>
        <w:tc>
          <w:tcPr>
            <w:tcW w:w="2694" w:type="dxa"/>
          </w:tcPr>
          <w:p w14:paraId="15D19591"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Pastato tipas</w:t>
            </w:r>
          </w:p>
        </w:tc>
        <w:tc>
          <w:tcPr>
            <w:tcW w:w="3543" w:type="dxa"/>
          </w:tcPr>
          <w:p w14:paraId="24639F0A" w14:textId="77777777" w:rsidR="00240506" w:rsidRPr="00650EE4" w:rsidRDefault="00240506" w:rsidP="003F0F52">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Naudotojas yra savininkas </w:t>
            </w:r>
          </w:p>
        </w:tc>
        <w:tc>
          <w:tcPr>
            <w:tcW w:w="3957" w:type="dxa"/>
          </w:tcPr>
          <w:p w14:paraId="1CD9016D"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Naudotojas yra nuomininkas </w:t>
            </w:r>
          </w:p>
        </w:tc>
      </w:tr>
      <w:tr w:rsidR="00240506" w:rsidRPr="00650EE4" w14:paraId="0AC33F4F" w14:textId="77777777" w:rsidTr="003F0F52">
        <w:tc>
          <w:tcPr>
            <w:tcW w:w="2694" w:type="dxa"/>
          </w:tcPr>
          <w:p w14:paraId="604CEA59" w14:textId="77777777" w:rsidR="00240506" w:rsidRPr="00650EE4" w:rsidRDefault="00240506" w:rsidP="003F0F52">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Vienbutis pastatas</w:t>
            </w:r>
          </w:p>
        </w:tc>
        <w:tc>
          <w:tcPr>
            <w:tcW w:w="3543" w:type="dxa"/>
          </w:tcPr>
          <w:p w14:paraId="01C738C5"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Nėra skirtingų paskatų dilemos</w:t>
            </w:r>
          </w:p>
        </w:tc>
        <w:tc>
          <w:tcPr>
            <w:tcW w:w="3957" w:type="dxa"/>
          </w:tcPr>
          <w:p w14:paraId="52D98846"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Naudotojo paskatų dilema</w:t>
            </w:r>
          </w:p>
          <w:p w14:paraId="7E4DD3CC"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Efektyvumo paskatų dilema</w:t>
            </w:r>
          </w:p>
        </w:tc>
      </w:tr>
      <w:tr w:rsidR="00240506" w:rsidRPr="00650EE4" w14:paraId="237F90BB" w14:textId="77777777" w:rsidTr="003F0F52">
        <w:tc>
          <w:tcPr>
            <w:tcW w:w="2694" w:type="dxa"/>
          </w:tcPr>
          <w:p w14:paraId="7F607976" w14:textId="77777777" w:rsidR="00240506" w:rsidRPr="00650EE4" w:rsidRDefault="00240506" w:rsidP="003F0F52">
            <w:pPr>
              <w:autoSpaceDE w:val="0"/>
              <w:autoSpaceDN w:val="0"/>
              <w:adjustRightInd w:val="0"/>
              <w:spacing w:line="240" w:lineRule="auto"/>
              <w:rPr>
                <w:rFonts w:ascii="Times New Roman" w:eastAsiaTheme="minorHAnsi" w:hAnsi="Times New Roman"/>
                <w:b/>
                <w:color w:val="000000" w:themeColor="text1"/>
                <w:sz w:val="20"/>
                <w:szCs w:val="20"/>
              </w:rPr>
            </w:pPr>
            <w:r w:rsidRPr="00650EE4">
              <w:rPr>
                <w:rFonts w:ascii="Times New Roman" w:eastAsiaTheme="minorHAnsi" w:hAnsi="Times New Roman"/>
                <w:b/>
                <w:color w:val="000000" w:themeColor="text1"/>
                <w:sz w:val="20"/>
                <w:szCs w:val="20"/>
              </w:rPr>
              <w:t>Daugiabutis pastatas</w:t>
            </w:r>
          </w:p>
        </w:tc>
        <w:tc>
          <w:tcPr>
            <w:tcW w:w="3543" w:type="dxa"/>
          </w:tcPr>
          <w:p w14:paraId="332093D0"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Skirtingų savininkų paskatų dilema</w:t>
            </w:r>
          </w:p>
        </w:tc>
        <w:tc>
          <w:tcPr>
            <w:tcW w:w="3957" w:type="dxa"/>
          </w:tcPr>
          <w:p w14:paraId="03D3546E"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Skirtingų naudotojų paskatų dilema</w:t>
            </w:r>
          </w:p>
          <w:p w14:paraId="5D5AA679"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Naudotojo paskatų dilema</w:t>
            </w:r>
          </w:p>
          <w:p w14:paraId="79B157BB"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Efektyvumo paskatų dilema</w:t>
            </w:r>
          </w:p>
        </w:tc>
      </w:tr>
    </w:tbl>
    <w:p w14:paraId="2307ADAA" w14:textId="368A8B19" w:rsidR="007E7C93" w:rsidRPr="00650EE4" w:rsidRDefault="007E7C93" w:rsidP="007E7C93">
      <w:pPr>
        <w:spacing w:before="60" w:line="240" w:lineRule="auto"/>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Studijos </w:t>
      </w:r>
      <w:r w:rsidR="00D47C9F">
        <w:rPr>
          <w:rFonts w:ascii="Times New Roman" w:hAnsi="Times New Roman"/>
          <w:i/>
          <w:iCs/>
          <w:color w:val="auto"/>
          <w:sz w:val="20"/>
          <w:szCs w:val="20"/>
        </w:rPr>
        <w:t>Lietuvos ilgalaikei renovacijos strategijai parengti</w:t>
      </w:r>
      <w:r w:rsidR="00D47C9F"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0"/>
        </w:rPr>
        <w:t>autoriai</w:t>
      </w:r>
    </w:p>
    <w:p w14:paraId="090E9035" w14:textId="77777777" w:rsidR="00082976" w:rsidRPr="00650EE4" w:rsidRDefault="00082976" w:rsidP="00552DDD">
      <w:pPr>
        <w:spacing w:line="240" w:lineRule="auto"/>
        <w:ind w:left="51"/>
        <w:jc w:val="both"/>
        <w:rPr>
          <w:rFonts w:ascii="Times New Roman" w:hAnsi="Times New Roman"/>
          <w:i/>
          <w:szCs w:val="22"/>
        </w:rPr>
      </w:pPr>
    </w:p>
    <w:p w14:paraId="00E1524E" w14:textId="48D9A98A" w:rsidR="00240506" w:rsidRPr="00650EE4" w:rsidRDefault="00DD76A7" w:rsidP="00201227">
      <w:pPr>
        <w:spacing w:before="120" w:after="60" w:line="240" w:lineRule="auto"/>
        <w:jc w:val="both"/>
        <w:rPr>
          <w:rFonts w:ascii="Times New Roman" w:hAnsi="Times New Roman"/>
          <w:b/>
          <w:bCs/>
          <w:iCs/>
          <w:szCs w:val="22"/>
        </w:rPr>
      </w:pPr>
      <w:r w:rsidRPr="00650EE4">
        <w:rPr>
          <w:rFonts w:ascii="Times New Roman" w:hAnsi="Times New Roman"/>
          <w:b/>
          <w:bCs/>
          <w:iCs/>
          <w:szCs w:val="22"/>
        </w:rPr>
        <w:t xml:space="preserve">a) </w:t>
      </w:r>
      <w:r w:rsidR="00240506" w:rsidRPr="00650EE4">
        <w:rPr>
          <w:rFonts w:ascii="Times New Roman" w:hAnsi="Times New Roman"/>
          <w:b/>
          <w:bCs/>
          <w:iCs/>
          <w:szCs w:val="22"/>
        </w:rPr>
        <w:t xml:space="preserve">Naudotojo paskatų dilema </w:t>
      </w:r>
    </w:p>
    <w:p w14:paraId="5F1F1D07" w14:textId="77777777" w:rsidR="00240506" w:rsidRPr="00650EE4" w:rsidRDefault="00240506" w:rsidP="00EB10DC">
      <w:pPr>
        <w:spacing w:before="120" w:line="240" w:lineRule="auto"/>
        <w:jc w:val="both"/>
        <w:rPr>
          <w:rFonts w:ascii="Times New Roman" w:hAnsi="Times New Roman"/>
          <w:szCs w:val="22"/>
        </w:rPr>
      </w:pPr>
      <w:r w:rsidRPr="00650EE4">
        <w:rPr>
          <w:rFonts w:ascii="Times New Roman" w:hAnsi="Times New Roman"/>
          <w:szCs w:val="22"/>
        </w:rPr>
        <w:t xml:space="preserve">Naudotojo paskatų dilema tipiniu atveju susiformuoja tuomet, kai pastato naudotojas yra nuomininkas, kurio mokėjimai už energiją nepriklauso nuo faktinio vartojimo t.y. nuomos mokestis yra fiksuotas ir apima visus komunalinius mokesčius. Tokiu atveju nuomininkas neturi tiesioginių ekonominių paskatų racionaliai ir taupiai vartoti energiją. </w:t>
      </w:r>
    </w:p>
    <w:p w14:paraId="53F0EA01" w14:textId="77777777" w:rsidR="00890194" w:rsidRPr="00650EE4" w:rsidRDefault="00890194" w:rsidP="00EB10DC">
      <w:pPr>
        <w:spacing w:line="240" w:lineRule="auto"/>
        <w:jc w:val="both"/>
        <w:rPr>
          <w:rFonts w:ascii="Times New Roman" w:hAnsi="Times New Roman"/>
          <w:b/>
          <w:szCs w:val="22"/>
        </w:rPr>
      </w:pPr>
    </w:p>
    <w:p w14:paraId="2EF53F75" w14:textId="6311A553" w:rsidR="00240506" w:rsidRPr="00650EE4" w:rsidRDefault="00DD76A7" w:rsidP="00201227">
      <w:pPr>
        <w:spacing w:after="60" w:line="240" w:lineRule="auto"/>
        <w:jc w:val="both"/>
        <w:rPr>
          <w:rFonts w:ascii="Times New Roman" w:hAnsi="Times New Roman"/>
          <w:b/>
          <w:bCs/>
          <w:iCs/>
          <w:szCs w:val="22"/>
        </w:rPr>
      </w:pPr>
      <w:r w:rsidRPr="00650EE4">
        <w:rPr>
          <w:rFonts w:ascii="Times New Roman" w:hAnsi="Times New Roman"/>
          <w:b/>
          <w:bCs/>
          <w:iCs/>
          <w:szCs w:val="22"/>
        </w:rPr>
        <w:t xml:space="preserve">b) </w:t>
      </w:r>
      <w:r w:rsidR="00240506" w:rsidRPr="00650EE4">
        <w:rPr>
          <w:rFonts w:ascii="Times New Roman" w:hAnsi="Times New Roman"/>
          <w:b/>
          <w:bCs/>
          <w:iCs/>
          <w:szCs w:val="22"/>
        </w:rPr>
        <w:t xml:space="preserve">Efektyvumo paskatų dilema </w:t>
      </w:r>
    </w:p>
    <w:p w14:paraId="11903C21" w14:textId="5E5CC7D6" w:rsidR="00240506" w:rsidRPr="00650EE4" w:rsidRDefault="00240506" w:rsidP="00201227">
      <w:pPr>
        <w:spacing w:before="120" w:line="240" w:lineRule="auto"/>
        <w:jc w:val="both"/>
        <w:rPr>
          <w:rFonts w:ascii="Times New Roman" w:hAnsi="Times New Roman"/>
          <w:szCs w:val="22"/>
        </w:rPr>
      </w:pPr>
      <w:r w:rsidRPr="00650EE4">
        <w:rPr>
          <w:rFonts w:ascii="Times New Roman" w:hAnsi="Times New Roman"/>
          <w:szCs w:val="22"/>
        </w:rPr>
        <w:t xml:space="preserve">Efektyvumo paskatų dilema tipiniu atveju susiformuoja tuomet, kai nuomininkas moka už suvartotą energiją, tačiau turi ribotą galimybę motyvuoti būsto </w:t>
      </w:r>
      <w:r w:rsidR="007A3F67" w:rsidRPr="00650EE4">
        <w:rPr>
          <w:rFonts w:ascii="Times New Roman" w:hAnsi="Times New Roman"/>
          <w:szCs w:val="22"/>
        </w:rPr>
        <w:t>savininką</w:t>
      </w:r>
      <w:r w:rsidRPr="00650EE4">
        <w:rPr>
          <w:rFonts w:ascii="Times New Roman" w:hAnsi="Times New Roman"/>
          <w:szCs w:val="22"/>
        </w:rPr>
        <w:t xml:space="preserve"> investuoti į energinio efektyvumo didinimo priemones. </w:t>
      </w:r>
      <w:r w:rsidR="007A3F67" w:rsidRPr="00650EE4">
        <w:rPr>
          <w:rFonts w:ascii="Times New Roman" w:hAnsi="Times New Roman"/>
          <w:szCs w:val="22"/>
        </w:rPr>
        <w:t>Papildomos</w:t>
      </w:r>
      <w:r w:rsidRPr="00650EE4">
        <w:rPr>
          <w:rFonts w:ascii="Times New Roman" w:hAnsi="Times New Roman"/>
          <w:szCs w:val="22"/>
        </w:rPr>
        <w:t xml:space="preserve"> palankios sąlygos dilemai susiformuoti yra  kai nuomos rinkoje paklausa viršija pasiūlą, </w:t>
      </w:r>
      <w:r w:rsidR="00170D53">
        <w:rPr>
          <w:rFonts w:ascii="Times New Roman" w:hAnsi="Times New Roman"/>
          <w:szCs w:val="22"/>
        </w:rPr>
        <w:t xml:space="preserve">energijos kaina nėra didelė, o </w:t>
      </w:r>
      <w:r w:rsidRPr="00650EE4">
        <w:rPr>
          <w:rFonts w:ascii="Times New Roman" w:hAnsi="Times New Roman"/>
          <w:szCs w:val="22"/>
        </w:rPr>
        <w:t xml:space="preserve">rinkos standartas yra trumpalaikės (1-2 metai) nuomos sutartys. Tokiu atveju, net nuomininkui pageidaujant, būsto </w:t>
      </w:r>
      <w:r w:rsidR="007A3F67" w:rsidRPr="00650EE4">
        <w:rPr>
          <w:rFonts w:ascii="Times New Roman" w:hAnsi="Times New Roman"/>
          <w:szCs w:val="22"/>
        </w:rPr>
        <w:t>savininkas</w:t>
      </w:r>
      <w:r w:rsidRPr="00650EE4">
        <w:rPr>
          <w:rFonts w:ascii="Times New Roman" w:hAnsi="Times New Roman"/>
          <w:szCs w:val="22"/>
        </w:rPr>
        <w:t xml:space="preserve"> nėra finansiškai motyvuotas investuoti į energiją taupančias priemones, kadangi energijos kaštai yra perkelti nuomininkui, o investicijos tikėtina finansinės grąžos iš nuomos nepadidins. </w:t>
      </w:r>
    </w:p>
    <w:p w14:paraId="35CBE7D7" w14:textId="77777777" w:rsidR="00EB10DC" w:rsidRPr="00650EE4" w:rsidRDefault="00EB10DC" w:rsidP="00201227">
      <w:pPr>
        <w:spacing w:after="60" w:line="240" w:lineRule="auto"/>
        <w:jc w:val="both"/>
        <w:rPr>
          <w:rFonts w:ascii="Times New Roman" w:hAnsi="Times New Roman"/>
          <w:b/>
          <w:bCs/>
          <w:iCs/>
          <w:szCs w:val="22"/>
        </w:rPr>
      </w:pPr>
    </w:p>
    <w:p w14:paraId="1C20166B" w14:textId="2938988F" w:rsidR="00240506" w:rsidRPr="00650EE4" w:rsidRDefault="00DD76A7" w:rsidP="00201227">
      <w:pPr>
        <w:spacing w:after="60" w:line="240" w:lineRule="auto"/>
        <w:jc w:val="both"/>
        <w:rPr>
          <w:rFonts w:ascii="Times New Roman" w:hAnsi="Times New Roman"/>
          <w:b/>
          <w:bCs/>
          <w:iCs/>
          <w:szCs w:val="22"/>
        </w:rPr>
      </w:pPr>
      <w:r w:rsidRPr="00650EE4">
        <w:rPr>
          <w:rFonts w:ascii="Times New Roman" w:hAnsi="Times New Roman"/>
          <w:b/>
          <w:bCs/>
          <w:iCs/>
          <w:szCs w:val="22"/>
        </w:rPr>
        <w:lastRenderedPageBreak/>
        <w:t xml:space="preserve">c) </w:t>
      </w:r>
      <w:r w:rsidR="00240506" w:rsidRPr="00650EE4">
        <w:rPr>
          <w:rFonts w:ascii="Times New Roman" w:hAnsi="Times New Roman"/>
          <w:b/>
          <w:bCs/>
          <w:iCs/>
          <w:szCs w:val="22"/>
        </w:rPr>
        <w:t>Skirtingų savininkų (naudotojų) paskatų dilema</w:t>
      </w:r>
    </w:p>
    <w:p w14:paraId="3E58D077" w14:textId="55EED836" w:rsidR="00E75EED" w:rsidRDefault="00240506" w:rsidP="00E75EED">
      <w:pPr>
        <w:spacing w:before="120" w:after="60" w:line="240" w:lineRule="auto"/>
        <w:jc w:val="both"/>
        <w:rPr>
          <w:rFonts w:ascii="Times New Roman" w:hAnsi="Times New Roman"/>
          <w:szCs w:val="22"/>
        </w:rPr>
      </w:pPr>
      <w:r w:rsidRPr="00650EE4">
        <w:rPr>
          <w:rFonts w:ascii="Times New Roman" w:hAnsi="Times New Roman"/>
          <w:szCs w:val="22"/>
        </w:rPr>
        <w:t>Skirtingų savininkų paskatų dilema yra papildomas barjeras būdingas situacijoms kai pastatu naudojasi daugiau nei vienas savininkas ir (ar) nuomininkas. Skirtingi savininkų (nuomininkų) interesai, lūkesčiai, finansinė situacija ir panašūs veiksniai apsunkina bendro sprendimo, tenkinančio daugumą ir būtino renovacijos procesui vykti, priėmimą.</w:t>
      </w:r>
      <w:r w:rsidR="00E67915" w:rsidRPr="00650EE4">
        <w:rPr>
          <w:rFonts w:ascii="Times New Roman" w:hAnsi="Times New Roman"/>
          <w:szCs w:val="22"/>
        </w:rPr>
        <w:t xml:space="preserve"> </w:t>
      </w:r>
    </w:p>
    <w:p w14:paraId="2B9E271A" w14:textId="77777777" w:rsidR="00C5035E" w:rsidRPr="00650EE4" w:rsidRDefault="00C5035E" w:rsidP="00C5035E">
      <w:pPr>
        <w:spacing w:line="240" w:lineRule="auto"/>
        <w:jc w:val="both"/>
        <w:rPr>
          <w:rFonts w:ascii="Times New Roman" w:hAnsi="Times New Roman"/>
          <w:szCs w:val="22"/>
        </w:rPr>
      </w:pPr>
    </w:p>
    <w:p w14:paraId="7B415ED1" w14:textId="088584D3" w:rsidR="00DD76A7" w:rsidRPr="00650EE4" w:rsidRDefault="00B00460" w:rsidP="007A6800">
      <w:pPr>
        <w:spacing w:after="120" w:line="240" w:lineRule="auto"/>
        <w:jc w:val="both"/>
        <w:rPr>
          <w:rFonts w:ascii="Times New Roman" w:hAnsi="Times New Roman"/>
          <w:b/>
          <w:bCs/>
          <w:iCs/>
          <w:szCs w:val="22"/>
        </w:rPr>
      </w:pPr>
      <w:r w:rsidRPr="00650EE4">
        <w:rPr>
          <w:rFonts w:ascii="Times New Roman" w:hAnsi="Times New Roman"/>
          <w:b/>
          <w:bCs/>
          <w:iCs/>
          <w:szCs w:val="22"/>
        </w:rPr>
        <w:t xml:space="preserve">d) </w:t>
      </w:r>
      <w:r w:rsidR="007A6800" w:rsidRPr="00650EE4">
        <w:rPr>
          <w:rFonts w:ascii="Times New Roman" w:hAnsi="Times New Roman"/>
          <w:b/>
          <w:bCs/>
          <w:iCs/>
          <w:szCs w:val="22"/>
        </w:rPr>
        <w:t>Laikinos</w:t>
      </w:r>
      <w:r w:rsidR="00D714AA" w:rsidRPr="00650EE4">
        <w:rPr>
          <w:rFonts w:ascii="Times New Roman" w:hAnsi="Times New Roman"/>
          <w:b/>
          <w:bCs/>
          <w:iCs/>
          <w:szCs w:val="22"/>
        </w:rPr>
        <w:t xml:space="preserve"> paskatų dilemos</w:t>
      </w:r>
    </w:p>
    <w:p w14:paraId="1B4D2BA9" w14:textId="65AC90D3" w:rsidR="00B00460" w:rsidRPr="00650EE4" w:rsidRDefault="007A6800" w:rsidP="007901DB">
      <w:pPr>
        <w:spacing w:after="60" w:line="240" w:lineRule="auto"/>
        <w:jc w:val="both"/>
        <w:rPr>
          <w:rFonts w:ascii="Times New Roman" w:hAnsi="Times New Roman"/>
          <w:b/>
          <w:bCs/>
          <w:iCs/>
          <w:szCs w:val="22"/>
        </w:rPr>
      </w:pPr>
      <w:r w:rsidRPr="00650EE4">
        <w:rPr>
          <w:rFonts w:ascii="Times New Roman" w:hAnsi="Times New Roman"/>
          <w:szCs w:val="22"/>
        </w:rPr>
        <w:t>Laikinos paskatų dilemos tipiniu atveju susiformuoja tuomet, kai nuomininkas ar savininkas nežino kiek ilgai jis naudosis pastatu arba žino, kad naudosi</w:t>
      </w:r>
      <w:r w:rsidR="00D714AA" w:rsidRPr="00650EE4">
        <w:rPr>
          <w:rFonts w:ascii="Times New Roman" w:hAnsi="Times New Roman"/>
          <w:szCs w:val="22"/>
        </w:rPr>
        <w:t>s</w:t>
      </w:r>
      <w:r w:rsidRPr="00650EE4">
        <w:rPr>
          <w:rFonts w:ascii="Times New Roman" w:hAnsi="Times New Roman"/>
          <w:szCs w:val="22"/>
        </w:rPr>
        <w:t xml:space="preserve"> pastatu </w:t>
      </w:r>
      <w:r w:rsidR="00D714AA" w:rsidRPr="00650EE4">
        <w:rPr>
          <w:rFonts w:ascii="Times New Roman" w:hAnsi="Times New Roman"/>
          <w:szCs w:val="22"/>
        </w:rPr>
        <w:t>tik trumpalaikėje perspektyvoje</w:t>
      </w:r>
      <w:r w:rsidRPr="00650EE4">
        <w:rPr>
          <w:rFonts w:ascii="Times New Roman" w:hAnsi="Times New Roman"/>
          <w:szCs w:val="22"/>
        </w:rPr>
        <w:t>. Atitinkama</w:t>
      </w:r>
      <w:r w:rsidR="0039646B">
        <w:rPr>
          <w:rFonts w:ascii="Times New Roman" w:hAnsi="Times New Roman"/>
          <w:szCs w:val="22"/>
        </w:rPr>
        <w:t>i</w:t>
      </w:r>
      <w:r w:rsidRPr="00650EE4">
        <w:rPr>
          <w:rFonts w:ascii="Times New Roman" w:hAnsi="Times New Roman"/>
          <w:szCs w:val="22"/>
        </w:rPr>
        <w:t xml:space="preserve"> nėra suinteresuotas investuoti </w:t>
      </w:r>
      <w:r w:rsidR="0039646B">
        <w:rPr>
          <w:rFonts w:ascii="Times New Roman" w:hAnsi="Times New Roman"/>
          <w:szCs w:val="22"/>
        </w:rPr>
        <w:t>ar</w:t>
      </w:r>
      <w:r w:rsidR="0039646B" w:rsidRPr="00650EE4">
        <w:rPr>
          <w:rFonts w:ascii="Times New Roman" w:hAnsi="Times New Roman"/>
          <w:szCs w:val="22"/>
        </w:rPr>
        <w:t xml:space="preserve"> </w:t>
      </w:r>
      <w:r w:rsidRPr="00650EE4">
        <w:rPr>
          <w:rFonts w:ascii="Times New Roman" w:hAnsi="Times New Roman"/>
          <w:szCs w:val="22"/>
        </w:rPr>
        <w:t xml:space="preserve">dalyvauti </w:t>
      </w:r>
      <w:r w:rsidR="00D714AA" w:rsidRPr="00650EE4">
        <w:rPr>
          <w:rFonts w:ascii="Times New Roman" w:hAnsi="Times New Roman"/>
          <w:szCs w:val="22"/>
        </w:rPr>
        <w:t>renovacijoje ar bet kokiame kitame kompleksiniame procese reik</w:t>
      </w:r>
      <w:r w:rsidR="007B7670" w:rsidRPr="00650EE4">
        <w:rPr>
          <w:rFonts w:ascii="Times New Roman" w:hAnsi="Times New Roman"/>
          <w:szCs w:val="22"/>
        </w:rPr>
        <w:t>a</w:t>
      </w:r>
      <w:r w:rsidR="00D714AA" w:rsidRPr="00650EE4">
        <w:rPr>
          <w:rFonts w:ascii="Times New Roman" w:hAnsi="Times New Roman"/>
          <w:szCs w:val="22"/>
        </w:rPr>
        <w:t xml:space="preserve">laujančiame laiko, dėmesio ir investicijų. Laikinos paskatų dilemos bendru atveju išsisprendžia pasikeitus pastato savininkui ar esamo savininko planams dėl pastato naudojimo. </w:t>
      </w:r>
    </w:p>
    <w:p w14:paraId="7A90B78D" w14:textId="77777777" w:rsidR="00B00460" w:rsidRPr="00650EE4" w:rsidRDefault="00B00460" w:rsidP="007901DB">
      <w:pPr>
        <w:spacing w:after="60" w:line="240" w:lineRule="auto"/>
        <w:jc w:val="both"/>
        <w:rPr>
          <w:rFonts w:ascii="Times New Roman" w:hAnsi="Times New Roman"/>
          <w:b/>
          <w:bCs/>
          <w:iCs/>
          <w:szCs w:val="22"/>
        </w:rPr>
      </w:pPr>
    </w:p>
    <w:p w14:paraId="4386A1FB" w14:textId="5CF8914A" w:rsidR="00240506" w:rsidRPr="00650EE4" w:rsidRDefault="00890194" w:rsidP="007901DB">
      <w:pPr>
        <w:spacing w:after="60" w:line="240" w:lineRule="auto"/>
        <w:jc w:val="both"/>
        <w:rPr>
          <w:rFonts w:ascii="Times New Roman" w:hAnsi="Times New Roman"/>
          <w:b/>
          <w:bCs/>
          <w:iCs/>
          <w:szCs w:val="22"/>
        </w:rPr>
      </w:pPr>
      <w:r w:rsidRPr="00650EE4">
        <w:rPr>
          <w:rFonts w:ascii="Times New Roman" w:hAnsi="Times New Roman"/>
          <w:b/>
          <w:bCs/>
          <w:iCs/>
          <w:szCs w:val="22"/>
        </w:rPr>
        <w:t>Taikoma</w:t>
      </w:r>
      <w:r w:rsidR="00240506" w:rsidRPr="00650EE4">
        <w:rPr>
          <w:rFonts w:ascii="Times New Roman" w:hAnsi="Times New Roman"/>
          <w:b/>
          <w:bCs/>
          <w:iCs/>
          <w:szCs w:val="22"/>
        </w:rPr>
        <w:t xml:space="preserve"> politika ir veiksmai</w:t>
      </w:r>
    </w:p>
    <w:p w14:paraId="03A3F016" w14:textId="77777777" w:rsidR="00240506" w:rsidRPr="00650EE4" w:rsidRDefault="00240506" w:rsidP="007901DB">
      <w:pPr>
        <w:spacing w:before="120" w:line="240" w:lineRule="auto"/>
        <w:jc w:val="both"/>
        <w:rPr>
          <w:rFonts w:ascii="Times New Roman" w:hAnsi="Times New Roman"/>
          <w:szCs w:val="22"/>
        </w:rPr>
      </w:pPr>
      <w:r w:rsidRPr="00650EE4">
        <w:rPr>
          <w:rFonts w:ascii="Times New Roman" w:hAnsi="Times New Roman"/>
          <w:szCs w:val="22"/>
        </w:rPr>
        <w:t xml:space="preserve">Svarbu pastebėti, kad situacijai kai pastato naudotojas yra ir pastato savininkas būdingas tik vienas skirtingų paskatų dilemos tipas „Skirtingų savininkų paskatų dilema“. Visi kiti skirtingų paskatų dilemų tipai yra būdingi situacijai kai pastato naudotojas nėra pastato savininkas t.y. esant nuomotojo ir nuomininko santykiui. </w:t>
      </w:r>
    </w:p>
    <w:p w14:paraId="433E37A3" w14:textId="42FEF3C5" w:rsidR="00240506" w:rsidRPr="00650EE4" w:rsidRDefault="00240506" w:rsidP="007901DB">
      <w:pPr>
        <w:spacing w:before="200" w:line="240" w:lineRule="auto"/>
        <w:jc w:val="both"/>
        <w:rPr>
          <w:rFonts w:ascii="Times New Roman" w:hAnsi="Times New Roman"/>
          <w:szCs w:val="22"/>
        </w:rPr>
      </w:pPr>
      <w:proofErr w:type="spellStart"/>
      <w:r w:rsidRPr="00650EE4">
        <w:rPr>
          <w:rFonts w:ascii="Times New Roman" w:hAnsi="Times New Roman"/>
          <w:szCs w:val="22"/>
        </w:rPr>
        <w:t>Eurostat</w:t>
      </w:r>
      <w:proofErr w:type="spellEnd"/>
      <w:r w:rsidRPr="00650EE4">
        <w:rPr>
          <w:rFonts w:ascii="Times New Roman" w:hAnsi="Times New Roman"/>
          <w:szCs w:val="22"/>
        </w:rPr>
        <w:t xml:space="preserve"> duomenimis, Lietuvoje absoliuti dauguma pastatų naudotojų yra ir pastatų savininkai (2018 m.  89,9 </w:t>
      </w:r>
      <w:r w:rsidR="002A5166" w:rsidRPr="00650EE4">
        <w:rPr>
          <w:rFonts w:ascii="Times New Roman" w:hAnsi="Times New Roman"/>
          <w:szCs w:val="22"/>
        </w:rPr>
        <w:t>proc.</w:t>
      </w:r>
      <w:r w:rsidRPr="00650EE4">
        <w:rPr>
          <w:rFonts w:ascii="Times New Roman" w:hAnsi="Times New Roman"/>
          <w:szCs w:val="22"/>
        </w:rPr>
        <w:t>)</w:t>
      </w:r>
      <w:r w:rsidRPr="00650EE4">
        <w:rPr>
          <w:rStyle w:val="FootnoteReference"/>
          <w:rFonts w:ascii="Times New Roman" w:hAnsi="Times New Roman"/>
          <w:szCs w:val="22"/>
        </w:rPr>
        <w:footnoteReference w:id="16"/>
      </w:r>
      <w:r w:rsidRPr="00650EE4">
        <w:rPr>
          <w:rFonts w:ascii="Times New Roman" w:hAnsi="Times New Roman"/>
          <w:szCs w:val="22"/>
        </w:rPr>
        <w:t xml:space="preserve">. Atitinkamai, skirtingų paskatų dilemos susiję su nuomotojo-nuomininko santykiu </w:t>
      </w:r>
      <w:r w:rsidR="007A3F67" w:rsidRPr="00650EE4">
        <w:rPr>
          <w:rFonts w:ascii="Times New Roman" w:hAnsi="Times New Roman"/>
          <w:szCs w:val="22"/>
        </w:rPr>
        <w:t>vertintinos</w:t>
      </w:r>
      <w:r w:rsidRPr="00650EE4">
        <w:rPr>
          <w:rFonts w:ascii="Times New Roman" w:hAnsi="Times New Roman"/>
          <w:szCs w:val="22"/>
        </w:rPr>
        <w:t xml:space="preserve"> kaip mažai reikšmingos, kurioms valdyti taikytinos bendrosios poveikio priemonės t.y. vartotojų informavimas apie taupymo naudą, neracionalaus energijos vartojimo žalą ir pan.</w:t>
      </w:r>
    </w:p>
    <w:p w14:paraId="44E9322B" w14:textId="77777777" w:rsidR="00240506" w:rsidRPr="00650EE4" w:rsidRDefault="00240506" w:rsidP="007901DB">
      <w:pPr>
        <w:spacing w:line="240" w:lineRule="auto"/>
        <w:jc w:val="both"/>
        <w:rPr>
          <w:rFonts w:ascii="Times New Roman" w:hAnsi="Times New Roman"/>
          <w:szCs w:val="22"/>
        </w:rPr>
      </w:pPr>
    </w:p>
    <w:p w14:paraId="673FEEA4" w14:textId="6D1C8FFC" w:rsidR="00E67915" w:rsidRPr="00650EE4" w:rsidRDefault="00240506" w:rsidP="00E67915">
      <w:pPr>
        <w:pStyle w:val="Pagrindinispaprastastekstas"/>
        <w:spacing w:after="120"/>
        <w:rPr>
          <w:rFonts w:ascii="Times New Roman" w:hAnsi="Times New Roman"/>
          <w:color w:val="000000" w:themeColor="text1"/>
          <w:szCs w:val="22"/>
        </w:rPr>
      </w:pPr>
      <w:r w:rsidRPr="00650EE4">
        <w:rPr>
          <w:rFonts w:ascii="Times New Roman" w:hAnsi="Times New Roman"/>
          <w:szCs w:val="22"/>
        </w:rPr>
        <w:t xml:space="preserve">Skirtingų savininkų paskatų dilemos </w:t>
      </w:r>
      <w:r w:rsidR="00E67915" w:rsidRPr="00650EE4">
        <w:rPr>
          <w:rFonts w:ascii="Times New Roman" w:hAnsi="Times New Roman"/>
          <w:szCs w:val="22"/>
        </w:rPr>
        <w:t>rizika vertintina kaip aktuali. Da</w:t>
      </w:r>
      <w:r w:rsidR="00E67915" w:rsidRPr="00650EE4">
        <w:rPr>
          <w:rFonts w:ascii="Times New Roman" w:hAnsi="Times New Roman"/>
          <w:color w:val="000000" w:themeColor="text1"/>
          <w:szCs w:val="22"/>
        </w:rPr>
        <w:t>lis daugiabučių butų savininkų ne tik skeptiškai vertina renovacijos teikiamas naudas, bet ir apskritai neidentifikuoja savęs kaip namo bendrosios nuosavybės savininko (atsakingo už tą nuosavybę).</w:t>
      </w:r>
    </w:p>
    <w:p w14:paraId="4136802D" w14:textId="283CD502" w:rsidR="00240506" w:rsidRPr="00650EE4" w:rsidRDefault="00E67915" w:rsidP="007901DB">
      <w:pPr>
        <w:spacing w:line="240" w:lineRule="auto"/>
        <w:jc w:val="both"/>
        <w:rPr>
          <w:rFonts w:ascii="Times New Roman" w:hAnsi="Times New Roman"/>
          <w:szCs w:val="22"/>
        </w:rPr>
      </w:pPr>
      <w:r w:rsidRPr="00650EE4">
        <w:rPr>
          <w:rFonts w:ascii="Times New Roman" w:hAnsi="Times New Roman"/>
          <w:szCs w:val="22"/>
        </w:rPr>
        <w:t>Skirtingų savininkų paskatų dilemos rizika</w:t>
      </w:r>
      <w:r w:rsidR="00240506" w:rsidRPr="00650EE4">
        <w:rPr>
          <w:rFonts w:ascii="Times New Roman" w:hAnsi="Times New Roman"/>
          <w:szCs w:val="22"/>
        </w:rPr>
        <w:t xml:space="preserve"> patvirtina ir LR Valstybės kontrolės 2020 m. atlikto audito, skirto įvertinti, ar efektyviai vykdomas daugiabučių namų atnaujinimo (modernizavimo) procesas, rezultatai. Audito ataskaitoje</w:t>
      </w:r>
      <w:r w:rsidR="00240506" w:rsidRPr="00650EE4">
        <w:rPr>
          <w:rStyle w:val="FootnoteReference"/>
          <w:rFonts w:ascii="Times New Roman" w:hAnsi="Times New Roman"/>
          <w:szCs w:val="22"/>
        </w:rPr>
        <w:footnoteReference w:id="17"/>
      </w:r>
      <w:r w:rsidR="00EF6F83" w:rsidRPr="00650EE4">
        <w:rPr>
          <w:rFonts w:ascii="Times New Roman" w:hAnsi="Times New Roman"/>
          <w:szCs w:val="22"/>
        </w:rPr>
        <w:t xml:space="preserve"> konstatuojama, kad „</w:t>
      </w:r>
      <w:r w:rsidR="00240506" w:rsidRPr="00650EE4">
        <w:rPr>
          <w:rFonts w:ascii="Times New Roman" w:hAnsi="Times New Roman"/>
          <w:szCs w:val="22"/>
        </w:rPr>
        <w:t xml:space="preserve">dėl savininkų nepritarimo modernizavimui iki 2019 m. liepos mėn. buvo neįgyvendinta 35 proc. (822 iš 2 329) projektų. Todėl sklandžiam daugiabučių namų modernizavimui reikalingas savininkų įsitraukimas. </w:t>
      </w:r>
    </w:p>
    <w:p w14:paraId="62E00F0B" w14:textId="77777777" w:rsidR="00240506" w:rsidRPr="00650EE4" w:rsidRDefault="00240506" w:rsidP="007901DB">
      <w:pPr>
        <w:rPr>
          <w:rFonts w:ascii="Times New Roman" w:hAnsi="Times New Roman"/>
          <w:szCs w:val="22"/>
        </w:rPr>
      </w:pPr>
    </w:p>
    <w:p w14:paraId="48AE0AE3" w14:textId="20CCCD77" w:rsidR="00240506" w:rsidRPr="00650EE4" w:rsidRDefault="00240506" w:rsidP="007901DB">
      <w:pPr>
        <w:spacing w:after="60" w:line="240" w:lineRule="auto"/>
        <w:jc w:val="both"/>
        <w:rPr>
          <w:rFonts w:ascii="Times New Roman" w:hAnsi="Times New Roman"/>
          <w:szCs w:val="22"/>
        </w:rPr>
      </w:pPr>
      <w:r w:rsidRPr="00650EE4">
        <w:rPr>
          <w:rFonts w:ascii="Times New Roman" w:hAnsi="Times New Roman"/>
          <w:szCs w:val="22"/>
        </w:rPr>
        <w:t>Skirtingų savininkų paskatų dilema Lietuvoje sprendžiama kompleksiškai taikant tiek teisines</w:t>
      </w:r>
      <w:r w:rsidR="007B7670" w:rsidRPr="00650EE4">
        <w:rPr>
          <w:rFonts w:ascii="Times New Roman" w:hAnsi="Times New Roman"/>
          <w:szCs w:val="22"/>
        </w:rPr>
        <w:t>,</w:t>
      </w:r>
      <w:r w:rsidRPr="00650EE4">
        <w:rPr>
          <w:rFonts w:ascii="Times New Roman" w:hAnsi="Times New Roman"/>
          <w:szCs w:val="22"/>
        </w:rPr>
        <w:t xml:space="preserve"> tiek viešinimo priemones:</w:t>
      </w:r>
    </w:p>
    <w:p w14:paraId="57E483E6" w14:textId="77777777" w:rsidR="00240506" w:rsidRPr="00650EE4" w:rsidRDefault="00240506" w:rsidP="00240506">
      <w:pPr>
        <w:pStyle w:val="ListParagraph"/>
        <w:numPr>
          <w:ilvl w:val="0"/>
          <w:numId w:val="12"/>
        </w:numPr>
        <w:spacing w:after="60"/>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Sprendimui dėl renovacijos pakanka 50 proc. plius vieno balso (minimali dauguma) - vadovaujantis Civilinio kodekso 4.85 straipsniu „sprendimai dėl bendrojo naudojimo objektų valdymo ir naudojimo priimami butų ir kitų patalpų savininkų balsų dauguma t.y. jeigu daugiabučio namo atnaujinimui pritaria daugiau kaip 50 procentų butų ir kitų patalpų savininkų, priimamas ir protokolu įtvirtinamas sprendimas dėl daugiabučio namo atnaujinimo. </w:t>
      </w:r>
    </w:p>
    <w:p w14:paraId="74A4FBCC" w14:textId="1D9A8870" w:rsidR="00240506" w:rsidRPr="00650EE4" w:rsidRDefault="00240506" w:rsidP="00240506">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Socialiai </w:t>
      </w:r>
      <w:r w:rsidR="00F94E89" w:rsidRPr="00650EE4">
        <w:rPr>
          <w:rFonts w:ascii="Times New Roman" w:hAnsi="Times New Roman"/>
          <w:szCs w:val="22"/>
          <w:lang w:val="lt-LT"/>
        </w:rPr>
        <w:t>remtini</w:t>
      </w:r>
      <w:r w:rsidRPr="00650EE4">
        <w:rPr>
          <w:rFonts w:ascii="Times New Roman" w:hAnsi="Times New Roman"/>
          <w:szCs w:val="22"/>
          <w:lang w:val="lt-LT"/>
        </w:rPr>
        <w:t xml:space="preserve"> asmenys yra remiami valstybės </w:t>
      </w:r>
      <w:r w:rsidR="007B7670" w:rsidRPr="00650EE4">
        <w:rPr>
          <w:rFonts w:ascii="Times New Roman" w:hAnsi="Times New Roman"/>
          <w:szCs w:val="22"/>
          <w:lang w:val="lt-LT"/>
        </w:rPr>
        <w:t xml:space="preserve">– </w:t>
      </w:r>
      <w:r w:rsidRPr="00650EE4">
        <w:rPr>
          <w:rFonts w:ascii="Times New Roman" w:hAnsi="Times New Roman"/>
          <w:szCs w:val="22"/>
          <w:lang w:val="lt-LT"/>
        </w:rPr>
        <w:t xml:space="preserve">socialiai remtini asmenys, turintys teisę į kompensaciją už šildymą, gauna 100 proc. valstybės paramą techninės dokumentacijos parengimui, bei statybos ir rangos darbams paimto kredito ir palūkanų padengimui. Jiems renovacija visiškai nieko nekainuoja. </w:t>
      </w:r>
    </w:p>
    <w:p w14:paraId="785CBADD" w14:textId="709B28E3" w:rsidR="00240506" w:rsidRPr="00650EE4" w:rsidRDefault="00EF6F83" w:rsidP="00240506">
      <w:pPr>
        <w:pStyle w:val="ListParagraph"/>
        <w:numPr>
          <w:ilvl w:val="0"/>
          <w:numId w:val="12"/>
        </w:numPr>
        <w:spacing w:after="60"/>
        <w:ind w:left="714" w:hanging="357"/>
        <w:contextualSpacing w:val="0"/>
        <w:jc w:val="both"/>
        <w:rPr>
          <w:rFonts w:ascii="Times New Roman" w:hAnsi="Times New Roman"/>
          <w:szCs w:val="22"/>
          <w:lang w:val="lt-LT"/>
        </w:rPr>
      </w:pPr>
      <w:r w:rsidRPr="00650EE4">
        <w:rPr>
          <w:rFonts w:ascii="Times New Roman" w:hAnsi="Times New Roman"/>
          <w:szCs w:val="22"/>
          <w:lang w:val="lt-LT"/>
        </w:rPr>
        <w:t>Visoms t</w:t>
      </w:r>
      <w:r w:rsidR="00240506" w:rsidRPr="00650EE4">
        <w:rPr>
          <w:rFonts w:ascii="Times New Roman" w:hAnsi="Times New Roman"/>
          <w:szCs w:val="22"/>
          <w:lang w:val="lt-LT"/>
        </w:rPr>
        <w:t>ikslinėms savininkų grupėms taikomos viešinimo ir informavimo priemonės</w:t>
      </w:r>
      <w:r w:rsidR="00240506" w:rsidRPr="00650EE4">
        <w:rPr>
          <w:rStyle w:val="FootnoteReference"/>
          <w:rFonts w:ascii="Times New Roman" w:hAnsi="Times New Roman"/>
          <w:szCs w:val="22"/>
          <w:lang w:val="lt-LT"/>
        </w:rPr>
        <w:footnoteReference w:id="18"/>
      </w:r>
      <w:r w:rsidRPr="00650EE4">
        <w:rPr>
          <w:rFonts w:ascii="Times New Roman" w:hAnsi="Times New Roman"/>
          <w:szCs w:val="22"/>
          <w:lang w:val="lt-LT"/>
        </w:rPr>
        <w:t>.</w:t>
      </w:r>
    </w:p>
    <w:p w14:paraId="5D6AA4A4" w14:textId="77777777" w:rsidR="00240506" w:rsidRPr="00650EE4" w:rsidRDefault="00240506" w:rsidP="00240506">
      <w:pPr>
        <w:rPr>
          <w:rFonts w:ascii="Times New Roman" w:hAnsi="Times New Roman"/>
          <w:szCs w:val="22"/>
        </w:rPr>
      </w:pPr>
    </w:p>
    <w:p w14:paraId="251C3F99" w14:textId="6A89F2C1" w:rsidR="00006196" w:rsidRPr="00650EE4" w:rsidRDefault="0029583B" w:rsidP="00C52BF4">
      <w:pPr>
        <w:pStyle w:val="BodyText"/>
        <w:spacing w:after="120"/>
        <w:jc w:val="both"/>
        <w:rPr>
          <w:rFonts w:ascii="Times New Roman" w:hAnsi="Times New Roman"/>
          <w:b/>
          <w:bCs/>
          <w:color w:val="000000" w:themeColor="text1"/>
          <w:sz w:val="24"/>
          <w:szCs w:val="22"/>
          <w:lang w:val="lt-LT"/>
        </w:rPr>
      </w:pPr>
      <w:r w:rsidRPr="00650EE4">
        <w:rPr>
          <w:rFonts w:ascii="Times New Roman" w:hAnsi="Times New Roman"/>
          <w:b/>
          <w:bCs/>
          <w:color w:val="000000" w:themeColor="text1"/>
          <w:sz w:val="24"/>
          <w:szCs w:val="22"/>
          <w:lang w:val="lt-LT"/>
        </w:rPr>
        <w:t>Kiti rinkos nepakankamumo atvejai</w:t>
      </w:r>
    </w:p>
    <w:p w14:paraId="2AC102DD" w14:textId="3D054DC5" w:rsidR="00082B36" w:rsidRPr="00650EE4" w:rsidRDefault="00082B36" w:rsidP="00C52BF4">
      <w:pPr>
        <w:spacing w:before="200" w:after="60" w:line="240" w:lineRule="auto"/>
        <w:jc w:val="both"/>
        <w:rPr>
          <w:rFonts w:ascii="Times New Roman" w:hAnsi="Times New Roman"/>
          <w:szCs w:val="22"/>
        </w:rPr>
      </w:pPr>
      <w:r w:rsidRPr="00650EE4">
        <w:rPr>
          <w:rFonts w:ascii="Times New Roman" w:hAnsi="Times New Roman"/>
          <w:szCs w:val="22"/>
        </w:rPr>
        <w:t>Prie PEND persvarstymo pasiūlymo</w:t>
      </w:r>
      <w:r w:rsidRPr="00650EE4">
        <w:rPr>
          <w:rStyle w:val="FootnoteReference"/>
          <w:rFonts w:ascii="Times New Roman" w:hAnsi="Times New Roman"/>
          <w:szCs w:val="22"/>
        </w:rPr>
        <w:footnoteReference w:id="19"/>
      </w:r>
      <w:r w:rsidRPr="00650EE4">
        <w:rPr>
          <w:rFonts w:ascii="Times New Roman" w:hAnsi="Times New Roman"/>
          <w:szCs w:val="22"/>
        </w:rPr>
        <w:t xml:space="preserve"> pridedamame pov</w:t>
      </w:r>
      <w:r w:rsidR="00EF6F83" w:rsidRPr="00650EE4">
        <w:rPr>
          <w:rFonts w:ascii="Times New Roman" w:hAnsi="Times New Roman"/>
          <w:szCs w:val="22"/>
        </w:rPr>
        <w:t>eikio vertinime yra pateikiami kiti tipiniai rinkos nepakankamumo atvejai</w:t>
      </w:r>
      <w:r w:rsidR="00EB10DC" w:rsidRPr="00650EE4">
        <w:rPr>
          <w:rFonts w:ascii="Times New Roman" w:hAnsi="Times New Roman"/>
          <w:szCs w:val="22"/>
        </w:rPr>
        <w:t>, susiję</w:t>
      </w:r>
      <w:r w:rsidRPr="00650EE4">
        <w:rPr>
          <w:rFonts w:ascii="Times New Roman" w:hAnsi="Times New Roman"/>
          <w:szCs w:val="22"/>
        </w:rPr>
        <w:t xml:space="preserve"> su investicijomis į pastatų energijos vartojimo efektyvumo didinimo priemones.</w:t>
      </w:r>
    </w:p>
    <w:p w14:paraId="47C08C26" w14:textId="77777777" w:rsidR="00006196" w:rsidRPr="00650EE4" w:rsidRDefault="00006196" w:rsidP="00006196">
      <w:pPr>
        <w:spacing w:line="240" w:lineRule="auto"/>
        <w:jc w:val="both"/>
        <w:rPr>
          <w:rFonts w:ascii="Times New Roman" w:hAnsi="Times New Roman"/>
          <w:szCs w:val="22"/>
        </w:rPr>
      </w:pPr>
    </w:p>
    <w:p w14:paraId="40CD7727" w14:textId="77777777" w:rsidR="00006196" w:rsidRPr="00650EE4" w:rsidRDefault="00006196" w:rsidP="00BD4925">
      <w:pPr>
        <w:pStyle w:val="ListParagraph"/>
        <w:numPr>
          <w:ilvl w:val="0"/>
          <w:numId w:val="30"/>
        </w:numPr>
        <w:spacing w:after="120" w:line="240" w:lineRule="auto"/>
        <w:contextualSpacing w:val="0"/>
        <w:jc w:val="both"/>
        <w:rPr>
          <w:rFonts w:ascii="Times New Roman" w:hAnsi="Times New Roman"/>
          <w:b/>
          <w:szCs w:val="22"/>
          <w:lang w:val="lt-LT"/>
        </w:rPr>
      </w:pPr>
      <w:r w:rsidRPr="00650EE4">
        <w:rPr>
          <w:rFonts w:ascii="Times New Roman" w:hAnsi="Times New Roman"/>
          <w:b/>
          <w:szCs w:val="22"/>
          <w:lang w:val="lt-LT"/>
        </w:rPr>
        <w:t>Informacijos apie renovacijos teikiamas naudas nepakankamumas</w:t>
      </w:r>
    </w:p>
    <w:p w14:paraId="2560FBD8" w14:textId="053EEF19" w:rsidR="00006196" w:rsidRPr="00650EE4" w:rsidRDefault="00793531" w:rsidP="00C52BF4">
      <w:pPr>
        <w:spacing w:line="240" w:lineRule="auto"/>
        <w:jc w:val="both"/>
        <w:rPr>
          <w:rFonts w:ascii="Times New Roman" w:hAnsi="Times New Roman"/>
          <w:szCs w:val="22"/>
        </w:rPr>
      </w:pPr>
      <w:r w:rsidRPr="00650EE4">
        <w:rPr>
          <w:rFonts w:ascii="Times New Roman" w:hAnsi="Times New Roman"/>
          <w:szCs w:val="22"/>
        </w:rPr>
        <w:t>Energijos vartotojai dažnai neturi pakankamai informacijos (nežino apie egzistuojančias technologijas energijos taupymui)</w:t>
      </w:r>
      <w:r w:rsidRPr="00650EE4">
        <w:rPr>
          <w:rFonts w:ascii="Times New Roman" w:hAnsi="Times New Roman"/>
          <w:szCs w:val="22"/>
          <w:vertAlign w:val="superscript"/>
        </w:rPr>
        <w:footnoteReference w:id="20"/>
      </w:r>
      <w:r w:rsidR="00FD7715" w:rsidRPr="00650EE4">
        <w:rPr>
          <w:rFonts w:ascii="Times New Roman" w:hAnsi="Times New Roman"/>
          <w:szCs w:val="22"/>
        </w:rPr>
        <w:t xml:space="preserve">. </w:t>
      </w:r>
      <w:r w:rsidR="00D37CAB" w:rsidRPr="00650EE4">
        <w:rPr>
          <w:rFonts w:ascii="Times New Roman" w:hAnsi="Times New Roman"/>
          <w:szCs w:val="22"/>
        </w:rPr>
        <w:t xml:space="preserve">Prie nepakankamų investicijų į renovacijos </w:t>
      </w:r>
      <w:r w:rsidR="007A591B" w:rsidRPr="00650EE4">
        <w:rPr>
          <w:rFonts w:ascii="Times New Roman" w:hAnsi="Times New Roman"/>
          <w:szCs w:val="22"/>
        </w:rPr>
        <w:t>priemones</w:t>
      </w:r>
      <w:r w:rsidR="00D37CAB" w:rsidRPr="00650EE4">
        <w:rPr>
          <w:rFonts w:ascii="Times New Roman" w:hAnsi="Times New Roman"/>
          <w:szCs w:val="22"/>
        </w:rPr>
        <w:t xml:space="preserve"> prisideda informacijos trūkumas, kurios priežastis yra energetinio išprusimo, mokymų ir tuo pačiu motyvacijos </w:t>
      </w:r>
      <w:r w:rsidR="007A591B" w:rsidRPr="00650EE4">
        <w:rPr>
          <w:rFonts w:ascii="Times New Roman" w:hAnsi="Times New Roman"/>
          <w:szCs w:val="22"/>
        </w:rPr>
        <w:t>stoka</w:t>
      </w:r>
      <w:r w:rsidR="00D37CAB" w:rsidRPr="00650EE4">
        <w:rPr>
          <w:rFonts w:ascii="Times New Roman" w:hAnsi="Times New Roman"/>
          <w:szCs w:val="22"/>
        </w:rPr>
        <w:t xml:space="preserve">. </w:t>
      </w:r>
      <w:r w:rsidR="00EF6F83" w:rsidRPr="00650EE4">
        <w:rPr>
          <w:rFonts w:ascii="Times New Roman" w:hAnsi="Times New Roman"/>
          <w:szCs w:val="22"/>
        </w:rPr>
        <w:t>G</w:t>
      </w:r>
      <w:r w:rsidR="00D37CAB" w:rsidRPr="00650EE4">
        <w:rPr>
          <w:rFonts w:ascii="Times New Roman" w:hAnsi="Times New Roman"/>
          <w:szCs w:val="22"/>
        </w:rPr>
        <w:t>alutiniai naudos gavėjai</w:t>
      </w:r>
      <w:r w:rsidR="00EF6F83" w:rsidRPr="00650EE4">
        <w:rPr>
          <w:rFonts w:ascii="Times New Roman" w:hAnsi="Times New Roman"/>
          <w:szCs w:val="22"/>
        </w:rPr>
        <w:t xml:space="preserve"> (pastatų savininkai)</w:t>
      </w:r>
      <w:r w:rsidR="00D37CAB" w:rsidRPr="00650EE4">
        <w:rPr>
          <w:rFonts w:ascii="Times New Roman" w:hAnsi="Times New Roman"/>
          <w:szCs w:val="22"/>
        </w:rPr>
        <w:t>, dažnai nežino energinio efektyvumo priemonių įdiegimo naudos.</w:t>
      </w:r>
    </w:p>
    <w:p w14:paraId="39EE612C" w14:textId="77777777" w:rsidR="00EF6F83" w:rsidRPr="00650EE4" w:rsidRDefault="00EF6F83" w:rsidP="00C52BF4">
      <w:pPr>
        <w:spacing w:line="240" w:lineRule="auto"/>
        <w:jc w:val="both"/>
        <w:rPr>
          <w:rFonts w:ascii="Times New Roman" w:hAnsi="Times New Roman"/>
          <w:szCs w:val="22"/>
        </w:rPr>
      </w:pPr>
    </w:p>
    <w:p w14:paraId="2D21206B" w14:textId="7DD57661" w:rsidR="007A591B" w:rsidRPr="00650EE4" w:rsidRDefault="007A591B" w:rsidP="00D312D7">
      <w:pPr>
        <w:spacing w:line="240" w:lineRule="auto"/>
        <w:jc w:val="both"/>
        <w:rPr>
          <w:rFonts w:ascii="Times New Roman" w:hAnsi="Times New Roman"/>
          <w:szCs w:val="22"/>
        </w:rPr>
      </w:pPr>
      <w:r w:rsidRPr="00650EE4">
        <w:rPr>
          <w:rFonts w:ascii="Times New Roman" w:hAnsi="Times New Roman"/>
          <w:szCs w:val="22"/>
        </w:rPr>
        <w:t>Šiuo metu Lietuvoje</w:t>
      </w:r>
      <w:r w:rsidR="00B92BDF" w:rsidRPr="00650EE4">
        <w:rPr>
          <w:rFonts w:ascii="Times New Roman" w:hAnsi="Times New Roman"/>
          <w:szCs w:val="22"/>
        </w:rPr>
        <w:t xml:space="preserve"> i</w:t>
      </w:r>
      <w:r w:rsidR="00B95F9D" w:rsidRPr="00650EE4">
        <w:rPr>
          <w:rFonts w:ascii="Times New Roman" w:hAnsi="Times New Roman"/>
          <w:szCs w:val="22"/>
        </w:rPr>
        <w:t xml:space="preserve">nformavimas </w:t>
      </w:r>
      <w:r w:rsidR="00B92BDF" w:rsidRPr="00650EE4">
        <w:rPr>
          <w:rFonts w:ascii="Times New Roman" w:hAnsi="Times New Roman"/>
          <w:szCs w:val="22"/>
        </w:rPr>
        <w:t xml:space="preserve">apie renovacijos naudas </w:t>
      </w:r>
      <w:r w:rsidR="00B95F9D" w:rsidRPr="00650EE4">
        <w:rPr>
          <w:rFonts w:ascii="Times New Roman" w:hAnsi="Times New Roman"/>
          <w:szCs w:val="22"/>
        </w:rPr>
        <w:t xml:space="preserve">vykdomas atskirų paramos priemonių apimtyje. </w:t>
      </w:r>
      <w:r w:rsidR="00B92BDF" w:rsidRPr="00650EE4">
        <w:rPr>
          <w:rFonts w:ascii="Times New Roman" w:hAnsi="Times New Roman"/>
          <w:szCs w:val="22"/>
        </w:rPr>
        <w:t>Taip pat vykdoma p</w:t>
      </w:r>
      <w:r w:rsidR="00B95F9D" w:rsidRPr="00650EE4">
        <w:rPr>
          <w:rFonts w:ascii="Times New Roman" w:hAnsi="Times New Roman"/>
          <w:szCs w:val="22"/>
        </w:rPr>
        <w:t>lat</w:t>
      </w:r>
      <w:r w:rsidR="00B92BDF" w:rsidRPr="00650EE4">
        <w:rPr>
          <w:rFonts w:ascii="Times New Roman" w:hAnsi="Times New Roman"/>
          <w:szCs w:val="22"/>
        </w:rPr>
        <w:t>esnio masto komunikacija</w:t>
      </w:r>
      <w:r w:rsidR="00B95F9D" w:rsidRPr="00650EE4">
        <w:rPr>
          <w:rFonts w:ascii="Times New Roman" w:hAnsi="Times New Roman"/>
          <w:szCs w:val="22"/>
        </w:rPr>
        <w:t xml:space="preserve">, pagal </w:t>
      </w:r>
      <w:r w:rsidR="00B92BDF" w:rsidRPr="00650EE4">
        <w:rPr>
          <w:rFonts w:ascii="Times New Roman" w:hAnsi="Times New Roman"/>
          <w:szCs w:val="22"/>
        </w:rPr>
        <w:t xml:space="preserve">BETA </w:t>
      </w:r>
      <w:r w:rsidR="00B95F9D" w:rsidRPr="00650EE4">
        <w:rPr>
          <w:rFonts w:ascii="Times New Roman" w:hAnsi="Times New Roman"/>
          <w:szCs w:val="22"/>
        </w:rPr>
        <w:t>2016–2020 m. visuomenės informavimo kampanijos strategiją.</w:t>
      </w:r>
    </w:p>
    <w:p w14:paraId="68FB6FA7" w14:textId="77777777" w:rsidR="00D312D7" w:rsidRPr="00650EE4" w:rsidRDefault="00D312D7" w:rsidP="00B95F9D">
      <w:pPr>
        <w:spacing w:after="60" w:line="240" w:lineRule="auto"/>
        <w:jc w:val="both"/>
        <w:rPr>
          <w:rFonts w:ascii="Times New Roman" w:hAnsi="Times New Roman"/>
          <w:szCs w:val="22"/>
        </w:rPr>
      </w:pPr>
    </w:p>
    <w:p w14:paraId="35D8AC85" w14:textId="4984118B" w:rsidR="00F937DE" w:rsidRPr="00650EE4" w:rsidRDefault="00B92BDF" w:rsidP="006F266D">
      <w:pPr>
        <w:spacing w:line="240" w:lineRule="auto"/>
        <w:jc w:val="both"/>
        <w:rPr>
          <w:rFonts w:ascii="Times New Roman" w:hAnsi="Times New Roman"/>
          <w:szCs w:val="22"/>
        </w:rPr>
      </w:pPr>
      <w:r w:rsidRPr="00650EE4">
        <w:rPr>
          <w:rFonts w:ascii="Times New Roman" w:hAnsi="Times New Roman"/>
          <w:szCs w:val="22"/>
        </w:rPr>
        <w:t xml:space="preserve">Papildoma šiuo metu įgyvendinama </w:t>
      </w:r>
      <w:r w:rsidR="00F937DE" w:rsidRPr="00650EE4">
        <w:rPr>
          <w:rFonts w:ascii="Times New Roman" w:hAnsi="Times New Roman"/>
          <w:szCs w:val="22"/>
        </w:rPr>
        <w:t xml:space="preserve">priemonė – energijos vartotojų švietimo ir konsultavimo susitarimai. Švietimo ir konsultavimo priemonių taikymas yra vienas būdų, kaip skatinant galutinių energijos vartotojų sąmoningumą bei darant įtaką jų elgsenai, įpročiams, didinti energijos vartojimo efektyvumą. Energijos tiekimo įmonės nuo 2017 metų vykdo švietimo ir konsultavimo veiklas galutiniams vartotojams ir jau skaičiuojama virš 200 </w:t>
      </w:r>
      <w:proofErr w:type="spellStart"/>
      <w:r w:rsidR="00F937DE" w:rsidRPr="00650EE4">
        <w:rPr>
          <w:rFonts w:ascii="Times New Roman" w:hAnsi="Times New Roman"/>
          <w:szCs w:val="22"/>
        </w:rPr>
        <w:t>GWh</w:t>
      </w:r>
      <w:proofErr w:type="spellEnd"/>
      <w:r w:rsidR="00F937DE" w:rsidRPr="00650EE4">
        <w:rPr>
          <w:rFonts w:ascii="Times New Roman" w:hAnsi="Times New Roman"/>
          <w:szCs w:val="22"/>
        </w:rPr>
        <w:t xml:space="preserve"> energijos sutaupymų. Švietimo ir konsultavimo</w:t>
      </w:r>
      <w:r w:rsidRPr="00650EE4">
        <w:rPr>
          <w:rFonts w:ascii="Times New Roman" w:hAnsi="Times New Roman"/>
          <w:szCs w:val="22"/>
        </w:rPr>
        <w:t xml:space="preserve"> veiklos yra tęstinės, numatomos</w:t>
      </w:r>
      <w:r w:rsidR="00F937DE" w:rsidRPr="00650EE4">
        <w:rPr>
          <w:rFonts w:ascii="Times New Roman" w:hAnsi="Times New Roman"/>
          <w:szCs w:val="22"/>
        </w:rPr>
        <w:t xml:space="preserve"> ir po 2020 metų, įgyvendinant energijos vartojimo efektyvumo didinimo politiką.</w:t>
      </w:r>
    </w:p>
    <w:p w14:paraId="14AA5DCB" w14:textId="77777777" w:rsidR="00006196" w:rsidRPr="00650EE4" w:rsidRDefault="00006196" w:rsidP="00D37CAB">
      <w:pPr>
        <w:spacing w:after="60" w:line="240" w:lineRule="auto"/>
        <w:jc w:val="both"/>
        <w:rPr>
          <w:rFonts w:ascii="Times New Roman" w:hAnsi="Times New Roman"/>
          <w:szCs w:val="22"/>
        </w:rPr>
      </w:pPr>
    </w:p>
    <w:p w14:paraId="66DD03CB" w14:textId="402708F0" w:rsidR="00006196" w:rsidRPr="00650EE4" w:rsidRDefault="00006196" w:rsidP="00BD4925">
      <w:pPr>
        <w:pStyle w:val="ListParagraph"/>
        <w:numPr>
          <w:ilvl w:val="0"/>
          <w:numId w:val="30"/>
        </w:numPr>
        <w:spacing w:after="60" w:line="240" w:lineRule="auto"/>
        <w:contextualSpacing w:val="0"/>
        <w:jc w:val="both"/>
        <w:rPr>
          <w:rFonts w:ascii="Times New Roman" w:hAnsi="Times New Roman"/>
          <w:b/>
          <w:szCs w:val="22"/>
          <w:lang w:val="lt-LT"/>
        </w:rPr>
      </w:pPr>
      <w:r w:rsidRPr="00650EE4">
        <w:rPr>
          <w:rFonts w:ascii="Times New Roman" w:hAnsi="Times New Roman"/>
          <w:b/>
          <w:szCs w:val="22"/>
          <w:lang w:val="lt-LT"/>
        </w:rPr>
        <w:t>Nepakankamas renovacijos tempas d</w:t>
      </w:r>
      <w:r w:rsidR="00693152" w:rsidRPr="00650EE4">
        <w:rPr>
          <w:rFonts w:ascii="Times New Roman" w:hAnsi="Times New Roman"/>
          <w:b/>
          <w:szCs w:val="22"/>
          <w:lang w:val="lt-LT"/>
        </w:rPr>
        <w:t>ėl nepalankaus ekonomikos ciklo</w:t>
      </w:r>
    </w:p>
    <w:p w14:paraId="1B48B02D" w14:textId="58A85658" w:rsidR="00006196" w:rsidRPr="00650EE4" w:rsidRDefault="0039646B" w:rsidP="00D90653">
      <w:pPr>
        <w:spacing w:before="120" w:after="60" w:line="240" w:lineRule="auto"/>
        <w:jc w:val="both"/>
        <w:rPr>
          <w:rFonts w:ascii="Times New Roman" w:hAnsi="Times New Roman"/>
          <w:szCs w:val="22"/>
        </w:rPr>
      </w:pPr>
      <w:r>
        <w:rPr>
          <w:rFonts w:ascii="Times New Roman" w:hAnsi="Times New Roman"/>
          <w:szCs w:val="22"/>
        </w:rPr>
        <w:t>V</w:t>
      </w:r>
      <w:r w:rsidR="00534DB5" w:rsidRPr="00650EE4">
        <w:rPr>
          <w:rFonts w:ascii="Times New Roman" w:hAnsi="Times New Roman"/>
          <w:szCs w:val="22"/>
        </w:rPr>
        <w:t xml:space="preserve">ertinant trumpalaikę perspektyvą, </w:t>
      </w:r>
      <w:r w:rsidR="00EB10DC" w:rsidRPr="00650EE4">
        <w:rPr>
          <w:rFonts w:ascii="Times New Roman" w:hAnsi="Times New Roman"/>
          <w:szCs w:val="22"/>
        </w:rPr>
        <w:t xml:space="preserve">dabartinis ekonomikos ciklas, esantis neapibrėžtume dėl COVID-19 įtakos, gali būti </w:t>
      </w:r>
      <w:r w:rsidR="00B92BDF" w:rsidRPr="00650EE4">
        <w:rPr>
          <w:rFonts w:ascii="Times New Roman" w:hAnsi="Times New Roman"/>
          <w:szCs w:val="22"/>
        </w:rPr>
        <w:t>nepalankus IRS priemonių įgyvendinimui</w:t>
      </w:r>
      <w:r w:rsidR="00EB10DC" w:rsidRPr="00650EE4">
        <w:rPr>
          <w:rFonts w:ascii="Times New Roman" w:hAnsi="Times New Roman"/>
          <w:szCs w:val="22"/>
        </w:rPr>
        <w:t xml:space="preserve"> dėl sumažėjusio pastatų savininkų noro ir galimybių investuoti</w:t>
      </w:r>
      <w:r w:rsidR="00534DB5" w:rsidRPr="00650EE4">
        <w:rPr>
          <w:rFonts w:ascii="Times New Roman" w:hAnsi="Times New Roman"/>
          <w:szCs w:val="22"/>
        </w:rPr>
        <w:t xml:space="preserve">. Tačiau, vertinant ilgo laikotarpio perspektyvą, </w:t>
      </w:r>
      <w:r w:rsidR="00693152" w:rsidRPr="00650EE4">
        <w:rPr>
          <w:rFonts w:ascii="Times New Roman" w:hAnsi="Times New Roman"/>
          <w:szCs w:val="22"/>
        </w:rPr>
        <w:t xml:space="preserve">tinkamai suformavus paramos priemonių paketą, </w:t>
      </w:r>
      <w:r w:rsidR="00534DB5" w:rsidRPr="00650EE4">
        <w:rPr>
          <w:rFonts w:ascii="Times New Roman" w:hAnsi="Times New Roman"/>
          <w:szCs w:val="22"/>
        </w:rPr>
        <w:t xml:space="preserve">renovacijos proveržis gali tapti </w:t>
      </w:r>
      <w:r w:rsidR="00693152" w:rsidRPr="00650EE4">
        <w:rPr>
          <w:rFonts w:ascii="Times New Roman" w:hAnsi="Times New Roman"/>
          <w:szCs w:val="22"/>
        </w:rPr>
        <w:t xml:space="preserve">impulsu tiek statybų sektoriui, tiek bendrai šalies ekonomikai. </w:t>
      </w:r>
    </w:p>
    <w:p w14:paraId="3CD3F88E" w14:textId="058A5A0B" w:rsidR="00070294" w:rsidRPr="00650EE4" w:rsidRDefault="00070294" w:rsidP="00D90653">
      <w:pPr>
        <w:spacing w:before="120" w:after="60" w:line="240" w:lineRule="auto"/>
        <w:jc w:val="both"/>
        <w:rPr>
          <w:rFonts w:ascii="Times New Roman" w:hAnsi="Times New Roman"/>
          <w:szCs w:val="22"/>
        </w:rPr>
      </w:pPr>
      <w:r w:rsidRPr="00650EE4">
        <w:rPr>
          <w:rFonts w:ascii="Times New Roman" w:hAnsi="Times New Roman"/>
          <w:szCs w:val="22"/>
        </w:rPr>
        <w:t xml:space="preserve">Kita vertus, ekonomikos skatinimo priemonės galėtų apimti ir renovacijos projektų skatinimą (pvz., daugiabučių renovacija yra Ekonomikos skatinimo ir </w:t>
      </w:r>
      <w:proofErr w:type="spellStart"/>
      <w:r w:rsidRPr="00650EE4">
        <w:rPr>
          <w:rFonts w:ascii="Times New Roman" w:hAnsi="Times New Roman"/>
          <w:szCs w:val="22"/>
        </w:rPr>
        <w:t>koronaviruso</w:t>
      </w:r>
      <w:proofErr w:type="spellEnd"/>
      <w:r w:rsidRPr="00650EE4">
        <w:rPr>
          <w:rFonts w:ascii="Times New Roman" w:hAnsi="Times New Roman"/>
          <w:szCs w:val="22"/>
        </w:rPr>
        <w:t xml:space="preserve"> (</w:t>
      </w:r>
      <w:proofErr w:type="spellStart"/>
      <w:r w:rsidRPr="00650EE4">
        <w:rPr>
          <w:rFonts w:ascii="Times New Roman" w:hAnsi="Times New Roman"/>
          <w:szCs w:val="22"/>
        </w:rPr>
        <w:t>Covid-19)</w:t>
      </w:r>
      <w:proofErr w:type="spellEnd"/>
      <w:r w:rsidRPr="00650EE4">
        <w:rPr>
          <w:rFonts w:ascii="Times New Roman" w:hAnsi="Times New Roman"/>
          <w:szCs w:val="22"/>
        </w:rPr>
        <w:t xml:space="preserve"> sukeltų pasekmių mažinimo priemonių plano dalis).</w:t>
      </w:r>
    </w:p>
    <w:p w14:paraId="3BC23947" w14:textId="77777777" w:rsidR="00006196" w:rsidRPr="00650EE4" w:rsidRDefault="00006196" w:rsidP="00240506">
      <w:pPr>
        <w:rPr>
          <w:rFonts w:ascii="Times New Roman" w:hAnsi="Times New Roman"/>
          <w:szCs w:val="22"/>
        </w:rPr>
      </w:pPr>
    </w:p>
    <w:p w14:paraId="3FF997F6" w14:textId="680453F9" w:rsidR="00890194" w:rsidRPr="00650EE4" w:rsidRDefault="00890194" w:rsidP="00BD4925">
      <w:pPr>
        <w:pStyle w:val="ListParagraph"/>
        <w:numPr>
          <w:ilvl w:val="0"/>
          <w:numId w:val="30"/>
        </w:numPr>
        <w:spacing w:after="120" w:line="240" w:lineRule="auto"/>
        <w:contextualSpacing w:val="0"/>
        <w:jc w:val="both"/>
        <w:rPr>
          <w:rFonts w:ascii="Times New Roman" w:hAnsi="Times New Roman"/>
          <w:b/>
          <w:szCs w:val="22"/>
          <w:lang w:val="lt-LT"/>
        </w:rPr>
      </w:pPr>
      <w:r w:rsidRPr="00650EE4">
        <w:rPr>
          <w:rFonts w:ascii="Times New Roman" w:hAnsi="Times New Roman"/>
          <w:b/>
          <w:szCs w:val="22"/>
          <w:lang w:val="lt-LT"/>
        </w:rPr>
        <w:t>Patrauklių finansinių instrument</w:t>
      </w:r>
      <w:r w:rsidR="00D766C9" w:rsidRPr="00650EE4">
        <w:rPr>
          <w:rFonts w:ascii="Times New Roman" w:hAnsi="Times New Roman"/>
          <w:b/>
          <w:szCs w:val="22"/>
          <w:lang w:val="lt-LT"/>
        </w:rPr>
        <w:t>ų</w:t>
      </w:r>
      <w:r w:rsidRPr="00650EE4">
        <w:rPr>
          <w:rFonts w:ascii="Times New Roman" w:hAnsi="Times New Roman"/>
          <w:b/>
          <w:szCs w:val="22"/>
          <w:lang w:val="lt-LT"/>
        </w:rPr>
        <w:t xml:space="preserve"> trūkumas</w:t>
      </w:r>
    </w:p>
    <w:p w14:paraId="490C4B0C" w14:textId="3B149787" w:rsidR="00D005C5" w:rsidRPr="00650EE4" w:rsidRDefault="00D005C5" w:rsidP="00D312D7">
      <w:pPr>
        <w:spacing w:before="120" w:after="120" w:line="240" w:lineRule="auto"/>
        <w:jc w:val="both"/>
        <w:rPr>
          <w:rFonts w:ascii="Times New Roman" w:hAnsi="Times New Roman"/>
          <w:szCs w:val="22"/>
        </w:rPr>
      </w:pPr>
      <w:r w:rsidRPr="00650EE4">
        <w:rPr>
          <w:rFonts w:ascii="Times New Roman" w:hAnsi="Times New Roman"/>
          <w:szCs w:val="22"/>
        </w:rPr>
        <w:t>Finansin</w:t>
      </w:r>
      <w:r w:rsidR="00F86EFF" w:rsidRPr="00650EE4">
        <w:rPr>
          <w:rFonts w:ascii="Times New Roman" w:hAnsi="Times New Roman"/>
          <w:szCs w:val="22"/>
        </w:rPr>
        <w:t>ė</w:t>
      </w:r>
      <w:r w:rsidRPr="00650EE4">
        <w:rPr>
          <w:rFonts w:ascii="Times New Roman" w:hAnsi="Times New Roman"/>
          <w:szCs w:val="22"/>
        </w:rPr>
        <w:t>s priemon</w:t>
      </w:r>
      <w:r w:rsidR="00F86EFF" w:rsidRPr="00650EE4">
        <w:rPr>
          <w:rFonts w:ascii="Times New Roman" w:hAnsi="Times New Roman"/>
          <w:szCs w:val="22"/>
        </w:rPr>
        <w:t>ė</w:t>
      </w:r>
      <w:r w:rsidRPr="00650EE4">
        <w:rPr>
          <w:rFonts w:ascii="Times New Roman" w:hAnsi="Times New Roman"/>
          <w:szCs w:val="22"/>
        </w:rPr>
        <w:t>s, susijusi</w:t>
      </w:r>
      <w:r w:rsidR="00F86EFF" w:rsidRPr="00650EE4">
        <w:rPr>
          <w:rFonts w:ascii="Times New Roman" w:hAnsi="Times New Roman"/>
          <w:szCs w:val="22"/>
        </w:rPr>
        <w:t>o</w:t>
      </w:r>
      <w:r w:rsidRPr="00650EE4">
        <w:rPr>
          <w:rFonts w:ascii="Times New Roman" w:hAnsi="Times New Roman"/>
          <w:szCs w:val="22"/>
        </w:rPr>
        <w:t xml:space="preserve">s su pastatų renovacija, </w:t>
      </w:r>
      <w:r w:rsidR="00F86EFF" w:rsidRPr="00650EE4">
        <w:rPr>
          <w:rFonts w:ascii="Times New Roman" w:hAnsi="Times New Roman"/>
          <w:szCs w:val="22"/>
        </w:rPr>
        <w:t>tiesiogiai atliepia vykdomas paramos priemones. Finansavimo priemonių administravim</w:t>
      </w:r>
      <w:r w:rsidR="00617BD3" w:rsidRPr="00650EE4">
        <w:rPr>
          <w:rFonts w:ascii="Times New Roman" w:hAnsi="Times New Roman"/>
          <w:szCs w:val="22"/>
        </w:rPr>
        <w:t>ą</w:t>
      </w:r>
      <w:r w:rsidR="00F86EFF" w:rsidRPr="00650EE4">
        <w:rPr>
          <w:rFonts w:ascii="Times New Roman" w:hAnsi="Times New Roman"/>
          <w:szCs w:val="22"/>
        </w:rPr>
        <w:t xml:space="preserve"> vykdo </w:t>
      </w:r>
      <w:r w:rsidRPr="00650EE4">
        <w:rPr>
          <w:rFonts w:ascii="Times New Roman" w:hAnsi="Times New Roman"/>
          <w:szCs w:val="22"/>
        </w:rPr>
        <w:t>VIPA. Žemiau pateikiamas vykdomų priemonių sąrašas:</w:t>
      </w:r>
    </w:p>
    <w:p w14:paraId="07B52EBA" w14:textId="3C9397F7" w:rsidR="00890194"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Paskolos saulės elektrinių įrengimui.</w:t>
      </w:r>
      <w:r w:rsidRPr="00650EE4">
        <w:rPr>
          <w:rFonts w:ascii="Times New Roman" w:hAnsi="Times New Roman"/>
          <w:szCs w:val="22"/>
          <w:lang w:val="lt-LT"/>
        </w:rPr>
        <w:t xml:space="preserve"> VIPA teikia paskolas, kuriomis gali būti finansuojamos pareiškėjo investicijos į atsinaujinančius išteklius naudojančios elektrinės jėgainės, atitinkančios gaminantiems vartotojams nustatomus reikalavimus, įrengimą ir (ar) jos dalies įsigijimą, taip pat nutolusių saulės parkų vystymą.</w:t>
      </w:r>
    </w:p>
    <w:p w14:paraId="4EB0C51C" w14:textId="3A544CED" w:rsidR="00890194"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Paskolos mažosios renovacijos projektams.</w:t>
      </w:r>
      <w:r w:rsidRPr="00650EE4">
        <w:rPr>
          <w:rFonts w:ascii="Times New Roman" w:hAnsi="Times New Roman"/>
          <w:szCs w:val="22"/>
          <w:lang w:val="lt-LT"/>
        </w:rPr>
        <w:t xml:space="preserve"> VIPA ir AB Energijos skirstymo operatoriaus įsteigta Energijos efektyvumo finansavimo platforma (toliau – EEFP) teikia bendrojo naudojimo objektų administratoriams ilgalaikes paskolas, skirtas mažosios renovacijos projektų įgyvendinimui. Mažoji renovacija – tai tokie daugiabučių namų atnaujinimo projektai, kurie padeda didinti energijos vartojimo efektyvumą investuojant į vieną ar kelias energijos efektyvumo priemones (pvz. šilumos sistemų atnaujinimas, stogo ar perdangos pastogėje šiltinimas, langai ir t.t.)</w:t>
      </w:r>
    </w:p>
    <w:p w14:paraId="1B9F2B48" w14:textId="3AC0A9E8" w:rsidR="00D005C5"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Daugiabučių namų modernizavimo fonda</w:t>
      </w:r>
      <w:r w:rsidR="00370F08" w:rsidRPr="00650EE4">
        <w:rPr>
          <w:rFonts w:ascii="Times New Roman" w:hAnsi="Times New Roman"/>
          <w:b/>
          <w:szCs w:val="22"/>
          <w:lang w:val="lt-LT"/>
        </w:rPr>
        <w:t>i</w:t>
      </w:r>
      <w:r w:rsidRPr="00650EE4">
        <w:rPr>
          <w:rFonts w:ascii="Times New Roman" w:hAnsi="Times New Roman"/>
          <w:b/>
          <w:szCs w:val="22"/>
          <w:lang w:val="lt-LT"/>
        </w:rPr>
        <w:t>.</w:t>
      </w:r>
      <w:r w:rsidRPr="00650EE4">
        <w:rPr>
          <w:rFonts w:ascii="Times New Roman" w:hAnsi="Times New Roman"/>
          <w:szCs w:val="22"/>
          <w:lang w:val="lt-LT"/>
        </w:rPr>
        <w:t xml:space="preserve"> </w:t>
      </w:r>
      <w:r w:rsidR="00370F08" w:rsidRPr="001A7FAE">
        <w:rPr>
          <w:rFonts w:ascii="Times New Roman" w:hAnsi="Times New Roman"/>
          <w:szCs w:val="22"/>
          <w:lang w:val="lt-LT"/>
        </w:rPr>
        <w:t xml:space="preserve">Lietuvoje veikia du lengvatines paskolas teikiantys fondai, skirti daugiabučiams namams atnaujinti (modernizuoti): VIPA valdomas Daugiabučių namų modernizavimo fondas (DNMF) ir </w:t>
      </w:r>
      <w:r w:rsidR="00FF465A">
        <w:rPr>
          <w:rFonts w:ascii="Times New Roman" w:hAnsi="Times New Roman"/>
          <w:szCs w:val="22"/>
          <w:lang w:val="lt-LT"/>
        </w:rPr>
        <w:t xml:space="preserve">Europos investicijų banko (toliau </w:t>
      </w:r>
      <w:r w:rsidR="00FF465A" w:rsidRPr="00650EE4">
        <w:rPr>
          <w:rFonts w:ascii="Times New Roman" w:hAnsi="Times New Roman"/>
          <w:szCs w:val="22"/>
          <w:lang w:val="lt-LT"/>
        </w:rPr>
        <w:t>–</w:t>
      </w:r>
      <w:r w:rsidR="00FF465A">
        <w:rPr>
          <w:rFonts w:ascii="Times New Roman" w:hAnsi="Times New Roman"/>
          <w:szCs w:val="22"/>
          <w:lang w:val="lt-LT"/>
        </w:rPr>
        <w:t xml:space="preserve"> </w:t>
      </w:r>
      <w:r w:rsidR="00370F08" w:rsidRPr="001A7FAE">
        <w:rPr>
          <w:rFonts w:ascii="Times New Roman" w:hAnsi="Times New Roman"/>
          <w:szCs w:val="22"/>
          <w:lang w:val="lt-LT"/>
        </w:rPr>
        <w:t>EIB</w:t>
      </w:r>
      <w:r w:rsidR="00FF465A">
        <w:rPr>
          <w:rFonts w:ascii="Times New Roman" w:hAnsi="Times New Roman"/>
          <w:szCs w:val="22"/>
          <w:lang w:val="lt-LT"/>
        </w:rPr>
        <w:t>)</w:t>
      </w:r>
      <w:r w:rsidR="00370F08" w:rsidRPr="001A7FAE">
        <w:rPr>
          <w:rFonts w:ascii="Times New Roman" w:hAnsi="Times New Roman"/>
          <w:szCs w:val="22"/>
          <w:lang w:val="lt-LT"/>
        </w:rPr>
        <w:t xml:space="preserve"> valdomas </w:t>
      </w:r>
      <w:proofErr w:type="spellStart"/>
      <w:r w:rsidR="00370F08" w:rsidRPr="001A7FAE">
        <w:rPr>
          <w:rFonts w:ascii="Times New Roman" w:hAnsi="Times New Roman"/>
          <w:szCs w:val="22"/>
          <w:lang w:val="lt-LT"/>
        </w:rPr>
        <w:t>Jessica</w:t>
      </w:r>
      <w:proofErr w:type="spellEnd"/>
      <w:r w:rsidR="00370F08" w:rsidRPr="001A7FAE">
        <w:rPr>
          <w:rFonts w:ascii="Times New Roman" w:hAnsi="Times New Roman"/>
          <w:szCs w:val="22"/>
          <w:lang w:val="lt-LT"/>
        </w:rPr>
        <w:t xml:space="preserve"> II Fondų fondas. Fondai</w:t>
      </w:r>
      <w:r w:rsidR="00370F08" w:rsidRPr="00650EE4">
        <w:rPr>
          <w:rFonts w:ascii="Times New Roman" w:hAnsi="Times New Roman"/>
          <w:szCs w:val="22"/>
          <w:lang w:val="lt-LT"/>
        </w:rPr>
        <w:t xml:space="preserve"> teikia paskolas pagal Lietuvos Respublikos Vyriausybės patvirtintą programą, kurios tikslas – sumažinti šiluminės energijos sąnaudas, racionaliai naudoti energijos išteklius, užtikrinti efektyvų būsto naudojimą, gerinti gyvenamąją aplinką bei gyventojų gyvenimo kokybę</w:t>
      </w:r>
      <w:r w:rsidRPr="00650EE4">
        <w:rPr>
          <w:rFonts w:ascii="Times New Roman" w:hAnsi="Times New Roman"/>
          <w:szCs w:val="22"/>
          <w:lang w:val="lt-LT"/>
        </w:rPr>
        <w:t>.</w:t>
      </w:r>
    </w:p>
    <w:p w14:paraId="3649AC28" w14:textId="07774181" w:rsidR="00D005C5"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Centrinės valdžios viešieji pastatai.</w:t>
      </w:r>
      <w:r w:rsidRPr="00650EE4">
        <w:rPr>
          <w:rFonts w:ascii="Times New Roman" w:hAnsi="Times New Roman"/>
          <w:szCs w:val="22"/>
          <w:lang w:val="lt-LT"/>
        </w:rPr>
        <w:t xml:space="preserve"> Centrinės valdžios viešųjų pastatų modernizavimo priemonės įgyvendinamos iš Energijos efektyvumo fondo (ENEF), finansuojamo Europos regioninio plėtros fondo lėšomis, tikslas – didinti energijos vartojimo viešiesiems pastatams šildyti ir apšviesti, efektyvumą, užtikrinti, kad veiksmingai būtų naudojamos LR Valstybės lėšos, skiriamos viešųjų pastatų energijos </w:t>
      </w:r>
      <w:r w:rsidRPr="00650EE4">
        <w:rPr>
          <w:rFonts w:ascii="Times New Roman" w:hAnsi="Times New Roman"/>
          <w:szCs w:val="22"/>
          <w:lang w:val="lt-LT"/>
        </w:rPr>
        <w:lastRenderedPageBreak/>
        <w:t>vartojimo efektyvumui didinti ir viešiesiems pastatams eksploatuoti, mažinti į atmosferą išmetamų šiltnamio efektą sukeliančių dujų (CO</w:t>
      </w:r>
      <w:r w:rsidRPr="00650EE4">
        <w:rPr>
          <w:rFonts w:ascii="Times New Roman" w:hAnsi="Times New Roman"/>
          <w:szCs w:val="22"/>
          <w:vertAlign w:val="subscript"/>
          <w:lang w:val="lt-LT"/>
        </w:rPr>
        <w:t>2</w:t>
      </w:r>
      <w:r w:rsidRPr="00650EE4">
        <w:rPr>
          <w:rFonts w:ascii="Times New Roman" w:hAnsi="Times New Roman"/>
          <w:szCs w:val="22"/>
          <w:lang w:val="lt-LT"/>
        </w:rPr>
        <w:t>), užtikrinti viešųjų pastatų infrastruktūros atitiktį higienos normos reikalavimams. Centrinės valdžios viešųjų pastatų atnaujinimui VIPA teikia lengvatines paskolas, taip pat galima pasinaudoti ir grąžinamosios subsidijos finansavimo modeliu.</w:t>
      </w:r>
    </w:p>
    <w:p w14:paraId="10F7DECE" w14:textId="71C4654F" w:rsidR="00D005C5" w:rsidRPr="00650EE4" w:rsidRDefault="00D005C5" w:rsidP="006F266D">
      <w:pPr>
        <w:pStyle w:val="ListParagraph"/>
        <w:numPr>
          <w:ilvl w:val="0"/>
          <w:numId w:val="12"/>
        </w:numPr>
        <w:spacing w:after="240"/>
        <w:ind w:left="714" w:hanging="357"/>
        <w:contextualSpacing w:val="0"/>
        <w:jc w:val="both"/>
        <w:rPr>
          <w:rFonts w:ascii="Times New Roman" w:hAnsi="Times New Roman"/>
          <w:szCs w:val="22"/>
          <w:lang w:val="lt-LT"/>
        </w:rPr>
      </w:pPr>
      <w:r w:rsidRPr="00650EE4">
        <w:rPr>
          <w:rFonts w:ascii="Times New Roman" w:hAnsi="Times New Roman"/>
          <w:b/>
          <w:szCs w:val="22"/>
          <w:lang w:val="lt-LT"/>
        </w:rPr>
        <w:t>Savivaldybių pastatų fondas.</w:t>
      </w:r>
      <w:r w:rsidRPr="00650EE4">
        <w:rPr>
          <w:rFonts w:ascii="Times New Roman" w:hAnsi="Times New Roman"/>
          <w:szCs w:val="22"/>
          <w:lang w:val="lt-LT"/>
        </w:rPr>
        <w:t xml:space="preserve"> Savivaldybių viešųjų pastatų modernizavimo priemonė įgyvendinama iš Europos regioninio plėtros fondo ir privačių lėšų, kurios tikslas – didinti energijos vartojimo savivaldybių viešiesiems pastatams šildyti ir apšviesti, efektyvumą, užtikrinti, kad veiksmingai būtų naudojamos lėšos, skiriamos savivaldybių viešųjų pastatų energijos vartojimo efektyvumui didinti ir viešiesiems pastatams eksploatuoti, mažinti į atmosferą išmetamų šiltnamio efektą sukeliančių dujų (CO</w:t>
      </w:r>
      <w:r w:rsidRPr="00650EE4">
        <w:rPr>
          <w:rFonts w:ascii="Times New Roman" w:hAnsi="Times New Roman"/>
          <w:szCs w:val="22"/>
          <w:vertAlign w:val="subscript"/>
          <w:lang w:val="lt-LT"/>
        </w:rPr>
        <w:t>2</w:t>
      </w:r>
      <w:r w:rsidRPr="00650EE4">
        <w:rPr>
          <w:rFonts w:ascii="Times New Roman" w:hAnsi="Times New Roman"/>
          <w:szCs w:val="22"/>
          <w:lang w:val="lt-LT"/>
        </w:rPr>
        <w:t>), užtikrinti savivaldybių viešųjų pastatų infrastruktūros atitiktį higienos normos reikalavimams.</w:t>
      </w:r>
    </w:p>
    <w:p w14:paraId="22292A24" w14:textId="3FC67869" w:rsidR="004D36EF" w:rsidRPr="00650EE4" w:rsidRDefault="004D36EF" w:rsidP="00D005C5">
      <w:pPr>
        <w:spacing w:before="120" w:after="60" w:line="240" w:lineRule="auto"/>
        <w:jc w:val="both"/>
        <w:rPr>
          <w:rFonts w:ascii="Times New Roman" w:hAnsi="Times New Roman"/>
          <w:szCs w:val="22"/>
        </w:rPr>
      </w:pPr>
      <w:r w:rsidRPr="00650EE4">
        <w:rPr>
          <w:rFonts w:ascii="Times New Roman" w:hAnsi="Times New Roman"/>
          <w:szCs w:val="22"/>
        </w:rPr>
        <w:t>Svarbu pažymėti, kad Europos auditorių rūmai 2020 m. specialiojoje ataskaitoje</w:t>
      </w:r>
      <w:r w:rsidRPr="00650EE4">
        <w:rPr>
          <w:rStyle w:val="FootnoteReference"/>
          <w:rFonts w:ascii="Times New Roman" w:hAnsi="Times New Roman"/>
          <w:szCs w:val="22"/>
        </w:rPr>
        <w:footnoteReference w:id="21"/>
      </w:r>
      <w:r w:rsidRPr="00650EE4">
        <w:rPr>
          <w:rFonts w:ascii="Times New Roman" w:hAnsi="Times New Roman"/>
          <w:szCs w:val="22"/>
        </w:rPr>
        <w:t xml:space="preserve"> kaip gerąją praktiką pripažino Lietuvos finansines priemones, naudojamas daugiabučių pastatų energijos vartojimo efektyvumo didinimo priemonėms</w:t>
      </w:r>
      <w:r w:rsidR="00B92BDF" w:rsidRPr="00650EE4">
        <w:rPr>
          <w:rFonts w:ascii="Times New Roman" w:hAnsi="Times New Roman"/>
          <w:szCs w:val="22"/>
        </w:rPr>
        <w:t xml:space="preserve">. Atitinkamai, taikoma politika šiame segmente vertinama </w:t>
      </w:r>
      <w:r w:rsidR="006F266D" w:rsidRPr="00650EE4">
        <w:rPr>
          <w:rFonts w:ascii="Times New Roman" w:hAnsi="Times New Roman"/>
          <w:szCs w:val="22"/>
        </w:rPr>
        <w:t>kaip efektyvi</w:t>
      </w:r>
      <w:r w:rsidR="00EE350D" w:rsidRPr="00650EE4">
        <w:rPr>
          <w:rFonts w:ascii="Times New Roman" w:hAnsi="Times New Roman"/>
          <w:szCs w:val="22"/>
        </w:rPr>
        <w:t xml:space="preserve"> iki šiol</w:t>
      </w:r>
      <w:r w:rsidR="006F266D" w:rsidRPr="00650EE4">
        <w:rPr>
          <w:rFonts w:ascii="Times New Roman" w:hAnsi="Times New Roman"/>
          <w:szCs w:val="22"/>
        </w:rPr>
        <w:t xml:space="preserve"> formuotiems tikslams pasiekti, tačiau </w:t>
      </w:r>
      <w:r w:rsidR="00781599" w:rsidRPr="00650EE4">
        <w:rPr>
          <w:rFonts w:ascii="Times New Roman" w:hAnsi="Times New Roman"/>
          <w:szCs w:val="22"/>
        </w:rPr>
        <w:t>reikalaujanti</w:t>
      </w:r>
      <w:r w:rsidR="006F266D" w:rsidRPr="00650EE4">
        <w:rPr>
          <w:rFonts w:ascii="Times New Roman" w:hAnsi="Times New Roman"/>
          <w:szCs w:val="22"/>
        </w:rPr>
        <w:t xml:space="preserve"> adaptacijos prie naujai keliamų tikslų. </w:t>
      </w:r>
    </w:p>
    <w:p w14:paraId="1DA2BC5B" w14:textId="77777777" w:rsidR="00EE350D" w:rsidRPr="00650EE4" w:rsidRDefault="00EE350D" w:rsidP="00C86ED5">
      <w:pPr>
        <w:spacing w:line="240" w:lineRule="auto"/>
        <w:jc w:val="both"/>
        <w:rPr>
          <w:rFonts w:ascii="Times New Roman" w:hAnsi="Times New Roman"/>
          <w:szCs w:val="22"/>
        </w:rPr>
      </w:pPr>
    </w:p>
    <w:p w14:paraId="4456E7EB" w14:textId="10A1A3CD" w:rsidR="00890194" w:rsidRPr="00650EE4" w:rsidRDefault="00890194" w:rsidP="00BD4925">
      <w:pPr>
        <w:pStyle w:val="ListParagraph"/>
        <w:numPr>
          <w:ilvl w:val="0"/>
          <w:numId w:val="30"/>
        </w:numPr>
        <w:spacing w:after="120" w:line="240" w:lineRule="auto"/>
        <w:jc w:val="both"/>
        <w:rPr>
          <w:rFonts w:ascii="Times New Roman" w:hAnsi="Times New Roman"/>
          <w:b/>
          <w:szCs w:val="22"/>
          <w:lang w:val="lt-LT"/>
        </w:rPr>
      </w:pPr>
      <w:r w:rsidRPr="00650EE4">
        <w:rPr>
          <w:rFonts w:ascii="Times New Roman" w:hAnsi="Times New Roman"/>
          <w:b/>
          <w:szCs w:val="22"/>
          <w:lang w:val="lt-LT"/>
        </w:rPr>
        <w:t>Nepakankamai išsamūs pastatų fondo duomenys</w:t>
      </w:r>
    </w:p>
    <w:p w14:paraId="361C125C" w14:textId="74D1AD89" w:rsidR="005E54EA" w:rsidRPr="00650EE4" w:rsidRDefault="0039646B" w:rsidP="005E54EA">
      <w:pPr>
        <w:spacing w:after="60" w:line="240" w:lineRule="auto"/>
        <w:ind w:left="51"/>
        <w:jc w:val="both"/>
        <w:rPr>
          <w:rFonts w:ascii="Times New Roman" w:hAnsi="Times New Roman"/>
          <w:szCs w:val="22"/>
        </w:rPr>
      </w:pPr>
      <w:r>
        <w:rPr>
          <w:rFonts w:ascii="Times New Roman" w:hAnsi="Times New Roman"/>
          <w:szCs w:val="22"/>
        </w:rPr>
        <w:t>Trūksta sistemingai kaupiamos</w:t>
      </w:r>
      <w:r w:rsidR="00EE350D" w:rsidRPr="00650EE4">
        <w:rPr>
          <w:rFonts w:ascii="Times New Roman" w:hAnsi="Times New Roman"/>
          <w:szCs w:val="22"/>
        </w:rPr>
        <w:t xml:space="preserve"> </w:t>
      </w:r>
      <w:r w:rsidR="005E54EA" w:rsidRPr="00650EE4">
        <w:rPr>
          <w:rFonts w:ascii="Times New Roman" w:hAnsi="Times New Roman"/>
          <w:szCs w:val="22"/>
        </w:rPr>
        <w:t>informacij</w:t>
      </w:r>
      <w:r>
        <w:rPr>
          <w:rFonts w:ascii="Times New Roman" w:hAnsi="Times New Roman"/>
          <w:szCs w:val="22"/>
        </w:rPr>
        <w:t>os</w:t>
      </w:r>
      <w:r w:rsidR="005E54EA" w:rsidRPr="00650EE4">
        <w:rPr>
          <w:rFonts w:ascii="Times New Roman" w:hAnsi="Times New Roman"/>
          <w:szCs w:val="22"/>
        </w:rPr>
        <w:t xml:space="preserve"> apie pastatų fondo charakte</w:t>
      </w:r>
      <w:r w:rsidR="00EE350D" w:rsidRPr="00650EE4">
        <w:rPr>
          <w:rFonts w:ascii="Times New Roman" w:hAnsi="Times New Roman"/>
          <w:szCs w:val="22"/>
        </w:rPr>
        <w:t>ristikas ir energijos vartojimą</w:t>
      </w:r>
      <w:r w:rsidR="007322B7" w:rsidRPr="00650EE4">
        <w:rPr>
          <w:rFonts w:ascii="Times New Roman" w:hAnsi="Times New Roman"/>
          <w:szCs w:val="22"/>
        </w:rPr>
        <w:t>.</w:t>
      </w:r>
    </w:p>
    <w:p w14:paraId="673A3669" w14:textId="77777777" w:rsidR="00890194" w:rsidRPr="00650EE4" w:rsidRDefault="00890194" w:rsidP="00240506">
      <w:pPr>
        <w:rPr>
          <w:rFonts w:ascii="Times New Roman" w:hAnsi="Times New Roman"/>
          <w:szCs w:val="22"/>
        </w:rPr>
      </w:pPr>
    </w:p>
    <w:p w14:paraId="409DC718" w14:textId="390164B4" w:rsidR="00890194" w:rsidRPr="00650EE4" w:rsidRDefault="00890194" w:rsidP="00BD4925">
      <w:pPr>
        <w:pStyle w:val="ListParagraph"/>
        <w:numPr>
          <w:ilvl w:val="0"/>
          <w:numId w:val="30"/>
        </w:numPr>
        <w:spacing w:after="120" w:line="240" w:lineRule="auto"/>
        <w:jc w:val="both"/>
        <w:rPr>
          <w:rFonts w:ascii="Times New Roman" w:hAnsi="Times New Roman"/>
          <w:b/>
          <w:szCs w:val="22"/>
          <w:lang w:val="lt-LT"/>
        </w:rPr>
      </w:pPr>
      <w:r w:rsidRPr="00650EE4">
        <w:rPr>
          <w:rFonts w:ascii="Times New Roman" w:hAnsi="Times New Roman"/>
          <w:b/>
          <w:szCs w:val="22"/>
          <w:lang w:val="lt-LT"/>
        </w:rPr>
        <w:t>Nepakankamas išmanių technologijų panaudojimas.</w:t>
      </w:r>
    </w:p>
    <w:p w14:paraId="4FA257DE" w14:textId="2AFB4C25" w:rsidR="00A70E95" w:rsidRPr="00650EE4" w:rsidRDefault="00444541" w:rsidP="00444541">
      <w:pPr>
        <w:spacing w:after="60" w:line="240" w:lineRule="auto"/>
        <w:ind w:left="51"/>
        <w:jc w:val="both"/>
        <w:rPr>
          <w:rFonts w:ascii="Times New Roman" w:hAnsi="Times New Roman"/>
          <w:szCs w:val="22"/>
        </w:rPr>
      </w:pPr>
      <w:r w:rsidRPr="00650EE4">
        <w:rPr>
          <w:rFonts w:ascii="Times New Roman" w:hAnsi="Times New Roman"/>
          <w:szCs w:val="22"/>
        </w:rPr>
        <w:t xml:space="preserve">Taikomos priemonės aptariamos </w:t>
      </w:r>
      <w:r w:rsidR="0039646B">
        <w:rPr>
          <w:rFonts w:ascii="Times New Roman" w:hAnsi="Times New Roman"/>
          <w:szCs w:val="22"/>
          <w:lang w:val="en-GB"/>
        </w:rPr>
        <w:t>3</w:t>
      </w:r>
      <w:r w:rsidRPr="00650EE4">
        <w:rPr>
          <w:rFonts w:ascii="Times New Roman" w:hAnsi="Times New Roman"/>
          <w:szCs w:val="22"/>
        </w:rPr>
        <w:t>.4.5 skyriuje.</w:t>
      </w:r>
      <w:r w:rsidR="00EE350D" w:rsidRPr="00650EE4">
        <w:rPr>
          <w:rFonts w:ascii="Times New Roman" w:hAnsi="Times New Roman"/>
          <w:szCs w:val="22"/>
        </w:rPr>
        <w:t xml:space="preserve"> </w:t>
      </w:r>
    </w:p>
    <w:p w14:paraId="78361A92" w14:textId="77777777" w:rsidR="00240506" w:rsidRPr="00650EE4" w:rsidRDefault="00240506" w:rsidP="00240506">
      <w:pPr>
        <w:rPr>
          <w:rFonts w:ascii="Times New Roman" w:hAnsi="Times New Roman"/>
          <w:szCs w:val="22"/>
        </w:rPr>
      </w:pPr>
    </w:p>
    <w:p w14:paraId="4EA65065" w14:textId="77777777" w:rsidR="00240506" w:rsidRPr="00650EE4" w:rsidRDefault="00240506" w:rsidP="00240506">
      <w:pPr>
        <w:pStyle w:val="Antrastes31"/>
        <w:numPr>
          <w:ilvl w:val="2"/>
          <w:numId w:val="4"/>
        </w:numPr>
        <w:spacing w:before="0" w:after="120"/>
        <w:ind w:left="720" w:hanging="720"/>
        <w:rPr>
          <w:rFonts w:ascii="Times New Roman" w:hAnsi="Times New Roman"/>
          <w:color w:val="000000" w:themeColor="text1"/>
          <w:sz w:val="26"/>
          <w:szCs w:val="26"/>
          <w:lang w:val="lt-LT"/>
        </w:rPr>
      </w:pPr>
      <w:bookmarkStart w:id="127" w:name="_Toc48028395"/>
      <w:bookmarkStart w:id="128" w:name="_Toc67925143"/>
      <w:r w:rsidRPr="00650EE4">
        <w:rPr>
          <w:rFonts w:ascii="Times New Roman" w:hAnsi="Times New Roman"/>
          <w:color w:val="000000" w:themeColor="text1"/>
          <w:sz w:val="24"/>
          <w:szCs w:val="26"/>
          <w:lang w:val="lt-LT"/>
        </w:rPr>
        <w:t>Taikoma politika ir veiksmai susiję su energijos nepritekliaus mažinimu</w:t>
      </w:r>
      <w:bookmarkEnd w:id="127"/>
      <w:bookmarkEnd w:id="128"/>
      <w:r w:rsidRPr="00650EE4">
        <w:rPr>
          <w:rFonts w:ascii="Times New Roman" w:hAnsi="Times New Roman"/>
          <w:color w:val="000000" w:themeColor="text1"/>
          <w:sz w:val="24"/>
          <w:szCs w:val="26"/>
          <w:lang w:val="lt-LT"/>
        </w:rPr>
        <w:t xml:space="preserve">  </w:t>
      </w:r>
    </w:p>
    <w:p w14:paraId="5D67082F" w14:textId="5B040D88" w:rsidR="00240506" w:rsidRPr="00650EE4" w:rsidRDefault="007A4910" w:rsidP="007A4910">
      <w:pPr>
        <w:pStyle w:val="BodyText"/>
        <w:spacing w:before="240" w:after="120"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Energijo</w:t>
      </w:r>
      <w:r w:rsidR="00BB73C0"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nepriteklius (energetinis skurdas)</w:t>
      </w:r>
      <w:r w:rsidR="00240506" w:rsidRPr="00650EE4">
        <w:rPr>
          <w:rFonts w:ascii="Times New Roman" w:hAnsi="Times New Roman"/>
          <w:color w:val="000000" w:themeColor="text1"/>
          <w:szCs w:val="22"/>
          <w:lang w:val="lt-LT"/>
        </w:rPr>
        <w:t xml:space="preserve"> kyla dėl keturių svarbiausių </w:t>
      </w:r>
      <w:r w:rsidR="00117C6E" w:rsidRPr="00650EE4">
        <w:rPr>
          <w:rFonts w:ascii="Times New Roman" w:hAnsi="Times New Roman"/>
          <w:color w:val="000000" w:themeColor="text1"/>
          <w:szCs w:val="22"/>
          <w:lang w:val="lt-LT"/>
        </w:rPr>
        <w:t>veiksnių</w:t>
      </w:r>
      <w:r w:rsidR="00240506" w:rsidRPr="00650EE4">
        <w:rPr>
          <w:rFonts w:ascii="Times New Roman" w:hAnsi="Times New Roman"/>
          <w:color w:val="000000" w:themeColor="text1"/>
          <w:szCs w:val="22"/>
          <w:lang w:val="lt-LT"/>
        </w:rPr>
        <w:t>:</w:t>
      </w:r>
    </w:p>
    <w:p w14:paraId="54B1D694" w14:textId="412A98E3" w:rsidR="00240506" w:rsidRPr="00650EE4" w:rsidRDefault="006013CC" w:rsidP="00BD4925">
      <w:pPr>
        <w:pStyle w:val="BodyText"/>
        <w:numPr>
          <w:ilvl w:val="0"/>
          <w:numId w:val="28"/>
        </w:numPr>
        <w:spacing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240506" w:rsidRPr="00650EE4">
        <w:rPr>
          <w:rFonts w:ascii="Times New Roman" w:hAnsi="Times New Roman"/>
          <w:color w:val="000000" w:themeColor="text1"/>
          <w:szCs w:val="22"/>
          <w:lang w:val="lt-LT"/>
        </w:rPr>
        <w:t>eefektyvaus energijos vartojimo;</w:t>
      </w:r>
    </w:p>
    <w:p w14:paraId="4581CDFF" w14:textId="383B4A64" w:rsidR="00240506" w:rsidRPr="00650EE4" w:rsidRDefault="006013CC" w:rsidP="00BD4925">
      <w:pPr>
        <w:pStyle w:val="BodyText"/>
        <w:numPr>
          <w:ilvl w:val="0"/>
          <w:numId w:val="28"/>
        </w:numPr>
        <w:spacing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240506" w:rsidRPr="00650EE4">
        <w:rPr>
          <w:rFonts w:ascii="Times New Roman" w:hAnsi="Times New Roman"/>
          <w:color w:val="000000" w:themeColor="text1"/>
          <w:szCs w:val="22"/>
          <w:lang w:val="lt-LT"/>
        </w:rPr>
        <w:t>ukštų energijos kainų;</w:t>
      </w:r>
    </w:p>
    <w:p w14:paraId="1FC88E80" w14:textId="229E6277" w:rsidR="00240506" w:rsidRPr="00650EE4" w:rsidRDefault="006013CC" w:rsidP="00BD4925">
      <w:pPr>
        <w:pStyle w:val="BodyText"/>
        <w:numPr>
          <w:ilvl w:val="0"/>
          <w:numId w:val="28"/>
        </w:numPr>
        <w:spacing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m</w:t>
      </w:r>
      <w:r w:rsidR="00240506" w:rsidRPr="00650EE4">
        <w:rPr>
          <w:rFonts w:ascii="Times New Roman" w:hAnsi="Times New Roman"/>
          <w:color w:val="000000" w:themeColor="text1"/>
          <w:szCs w:val="22"/>
          <w:lang w:val="lt-LT"/>
        </w:rPr>
        <w:t>ažų namų ūkių pajamų;</w:t>
      </w:r>
    </w:p>
    <w:p w14:paraId="6C0F7653" w14:textId="38E0D2C2" w:rsidR="00240506" w:rsidRPr="00650EE4" w:rsidRDefault="006013CC" w:rsidP="00BD4925">
      <w:pPr>
        <w:pStyle w:val="BodyText"/>
        <w:numPr>
          <w:ilvl w:val="0"/>
          <w:numId w:val="28"/>
        </w:numPr>
        <w:spacing w:after="120"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240506" w:rsidRPr="00650EE4">
        <w:rPr>
          <w:rFonts w:ascii="Times New Roman" w:hAnsi="Times New Roman"/>
          <w:color w:val="000000" w:themeColor="text1"/>
          <w:szCs w:val="22"/>
          <w:lang w:val="lt-LT"/>
        </w:rPr>
        <w:t>epakankamo vartotojų informuotumo apie energetinio skurdo mažinimo galimybes.</w:t>
      </w:r>
    </w:p>
    <w:p w14:paraId="283B4657" w14:textId="05A4E629" w:rsidR="00240506" w:rsidRPr="00650EE4" w:rsidRDefault="00240506" w:rsidP="00240506">
      <w:pPr>
        <w:pStyle w:val="BodyText"/>
        <w:spacing w:after="120"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IRS </w:t>
      </w:r>
      <w:r w:rsidR="00117C6E" w:rsidRPr="00650EE4">
        <w:rPr>
          <w:rFonts w:ascii="Times New Roman" w:hAnsi="Times New Roman"/>
          <w:color w:val="000000" w:themeColor="text1"/>
          <w:szCs w:val="22"/>
          <w:lang w:val="lt-LT"/>
        </w:rPr>
        <w:t xml:space="preserve">numatyta pastatų fondo transformacija </w:t>
      </w:r>
      <w:r w:rsidR="00AD79E1" w:rsidRPr="00650EE4">
        <w:rPr>
          <w:rFonts w:ascii="Times New Roman" w:hAnsi="Times New Roman"/>
          <w:color w:val="000000" w:themeColor="text1"/>
          <w:szCs w:val="22"/>
          <w:lang w:val="lt-LT"/>
        </w:rPr>
        <w:t xml:space="preserve">tiesiogiai </w:t>
      </w:r>
      <w:r w:rsidR="00BB73C0" w:rsidRPr="00650EE4">
        <w:rPr>
          <w:rFonts w:ascii="Times New Roman" w:hAnsi="Times New Roman"/>
          <w:color w:val="000000" w:themeColor="text1"/>
          <w:szCs w:val="22"/>
          <w:lang w:val="lt-LT"/>
        </w:rPr>
        <w:t>darys įtaką</w:t>
      </w:r>
      <w:r w:rsidRPr="00650EE4">
        <w:rPr>
          <w:rFonts w:ascii="Times New Roman" w:hAnsi="Times New Roman"/>
          <w:color w:val="000000" w:themeColor="text1"/>
          <w:szCs w:val="22"/>
          <w:lang w:val="lt-LT"/>
        </w:rPr>
        <w:t xml:space="preserve"> 1 ir 4</w:t>
      </w:r>
      <w:r w:rsidR="00117C6E" w:rsidRPr="00650EE4">
        <w:rPr>
          <w:rFonts w:ascii="Times New Roman" w:hAnsi="Times New Roman"/>
          <w:color w:val="000000" w:themeColor="text1"/>
          <w:szCs w:val="22"/>
          <w:lang w:val="lt-LT"/>
        </w:rPr>
        <w:t xml:space="preserve"> </w:t>
      </w:r>
      <w:r w:rsidR="00AD0223" w:rsidRPr="00650EE4">
        <w:rPr>
          <w:rFonts w:ascii="Times New Roman" w:hAnsi="Times New Roman"/>
          <w:color w:val="000000" w:themeColor="text1"/>
          <w:szCs w:val="22"/>
          <w:lang w:val="lt-LT"/>
        </w:rPr>
        <w:t xml:space="preserve"> </w:t>
      </w:r>
      <w:r w:rsidR="00117C6E" w:rsidRPr="00650EE4">
        <w:rPr>
          <w:rFonts w:ascii="Times New Roman" w:hAnsi="Times New Roman"/>
          <w:color w:val="000000" w:themeColor="text1"/>
          <w:szCs w:val="22"/>
          <w:lang w:val="lt-LT"/>
        </w:rPr>
        <w:t>veiksni</w:t>
      </w:r>
      <w:r w:rsidR="00BB73C0" w:rsidRPr="00650EE4">
        <w:rPr>
          <w:rFonts w:ascii="Times New Roman" w:hAnsi="Times New Roman"/>
          <w:color w:val="000000" w:themeColor="text1"/>
          <w:szCs w:val="22"/>
          <w:lang w:val="lt-LT"/>
        </w:rPr>
        <w:t>ams</w:t>
      </w:r>
      <w:r w:rsidR="00117C6E" w:rsidRPr="00650EE4">
        <w:rPr>
          <w:rFonts w:ascii="Times New Roman" w:hAnsi="Times New Roman"/>
          <w:color w:val="000000" w:themeColor="text1"/>
          <w:szCs w:val="22"/>
          <w:lang w:val="lt-LT"/>
        </w:rPr>
        <w:t xml:space="preserve">, </w:t>
      </w:r>
      <w:r w:rsidR="00AD79E1" w:rsidRPr="00650EE4">
        <w:rPr>
          <w:rFonts w:ascii="Times New Roman" w:hAnsi="Times New Roman"/>
          <w:color w:val="000000" w:themeColor="text1"/>
          <w:szCs w:val="22"/>
          <w:lang w:val="lt-LT"/>
        </w:rPr>
        <w:t xml:space="preserve">netiesiogiai – </w:t>
      </w:r>
      <w:r w:rsidRPr="00650EE4">
        <w:rPr>
          <w:rFonts w:ascii="Times New Roman" w:hAnsi="Times New Roman"/>
          <w:color w:val="000000" w:themeColor="text1"/>
          <w:szCs w:val="22"/>
          <w:lang w:val="lt-LT"/>
        </w:rPr>
        <w:t xml:space="preserve">2 </w:t>
      </w:r>
      <w:r w:rsidR="00117C6E" w:rsidRPr="00650EE4">
        <w:rPr>
          <w:rFonts w:ascii="Times New Roman" w:hAnsi="Times New Roman"/>
          <w:color w:val="000000" w:themeColor="text1"/>
          <w:szCs w:val="22"/>
          <w:lang w:val="lt-LT"/>
        </w:rPr>
        <w:t>veiksn</w:t>
      </w:r>
      <w:r w:rsidR="00BB73C0" w:rsidRPr="00650EE4">
        <w:rPr>
          <w:rFonts w:ascii="Times New Roman" w:hAnsi="Times New Roman"/>
          <w:color w:val="000000" w:themeColor="text1"/>
          <w:szCs w:val="22"/>
          <w:lang w:val="lt-LT"/>
        </w:rPr>
        <w:t>iui</w:t>
      </w:r>
      <w:r w:rsidRPr="00650EE4">
        <w:rPr>
          <w:rFonts w:ascii="Times New Roman" w:hAnsi="Times New Roman"/>
          <w:color w:val="000000" w:themeColor="text1"/>
          <w:szCs w:val="22"/>
          <w:lang w:val="lt-LT"/>
        </w:rPr>
        <w:t xml:space="preserve">. </w:t>
      </w:r>
    </w:p>
    <w:p w14:paraId="05063892" w14:textId="77777777" w:rsidR="00240506" w:rsidRPr="00650EE4" w:rsidRDefault="00240506" w:rsidP="00240506">
      <w:pPr>
        <w:pStyle w:val="BodyText"/>
        <w:spacing w:after="120"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Energetinį skurdo lygį galima vertinti matuojant šešis rodiklius:</w:t>
      </w:r>
    </w:p>
    <w:p w14:paraId="5AB4FF05" w14:textId="035519D4"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a</w:t>
      </w:r>
      <w:r w:rsidR="00240506" w:rsidRPr="00650EE4">
        <w:rPr>
          <w:rFonts w:ascii="Times New Roman" w:hAnsi="Times New Roman"/>
          <w:szCs w:val="22"/>
          <w:lang w:val="lt-LT"/>
        </w:rPr>
        <w:t>smenų, gyvenančių namų ūkiuose, kurie dėl pinigų stokos negali sau leisti pakankamai šildyti būsto, dalis;</w:t>
      </w:r>
    </w:p>
    <w:p w14:paraId="6CA855AE" w14:textId="29EA48A4"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amų ūkių sąnaudų dalis išleidžiama elektros ir šilumos energijai</w:t>
      </w:r>
      <w:r w:rsidR="00117C6E" w:rsidRPr="00650EE4">
        <w:rPr>
          <w:rFonts w:ascii="Times New Roman" w:hAnsi="Times New Roman"/>
          <w:szCs w:val="22"/>
          <w:lang w:val="lt-LT"/>
        </w:rPr>
        <w:t>;</w:t>
      </w:r>
    </w:p>
    <w:p w14:paraId="10EBDF83" w14:textId="1E03BB49"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amų ūkių dalis, kurių su namų išlaikymu susijusios sąnaudos viršija 40 proc. disponuojamųjų pajamų</w:t>
      </w:r>
      <w:r w:rsidR="00117C6E" w:rsidRPr="00650EE4">
        <w:rPr>
          <w:rFonts w:ascii="Times New Roman" w:hAnsi="Times New Roman"/>
          <w:szCs w:val="22"/>
          <w:lang w:val="lt-LT"/>
        </w:rPr>
        <w:t>;</w:t>
      </w:r>
    </w:p>
    <w:p w14:paraId="43EA5C43" w14:textId="506A5F18"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d</w:t>
      </w:r>
      <w:r w:rsidR="00240506" w:rsidRPr="00650EE4">
        <w:rPr>
          <w:rFonts w:ascii="Times New Roman" w:hAnsi="Times New Roman"/>
          <w:szCs w:val="22"/>
          <w:lang w:val="lt-LT"/>
        </w:rPr>
        <w:t xml:space="preserve">isponuojamų pajamų </w:t>
      </w:r>
      <w:r w:rsidR="0051748D" w:rsidRPr="00650EE4">
        <w:rPr>
          <w:rFonts w:ascii="Times New Roman" w:hAnsi="Times New Roman"/>
          <w:szCs w:val="22"/>
          <w:lang w:val="lt-LT"/>
        </w:rPr>
        <w:t xml:space="preserve">ir </w:t>
      </w:r>
      <w:r w:rsidR="00240506" w:rsidRPr="00650EE4">
        <w:rPr>
          <w:rFonts w:ascii="Times New Roman" w:hAnsi="Times New Roman"/>
          <w:szCs w:val="22"/>
          <w:lang w:val="lt-LT"/>
        </w:rPr>
        <w:t>namų išlaikymo sąnaudų dalis</w:t>
      </w:r>
      <w:r w:rsidR="00117C6E" w:rsidRPr="00650EE4">
        <w:rPr>
          <w:rFonts w:ascii="Times New Roman" w:hAnsi="Times New Roman"/>
          <w:szCs w:val="22"/>
          <w:lang w:val="lt-LT"/>
        </w:rPr>
        <w:t>;</w:t>
      </w:r>
    </w:p>
    <w:p w14:paraId="10E24E9C" w14:textId="704462E0"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amų ūkių dalis, turinčių pradelstų įsiskolinimų už komunalines paslaugas</w:t>
      </w:r>
      <w:r w:rsidR="00117C6E" w:rsidRPr="00650EE4">
        <w:rPr>
          <w:rFonts w:ascii="Times New Roman" w:hAnsi="Times New Roman"/>
          <w:szCs w:val="22"/>
          <w:lang w:val="lt-LT"/>
        </w:rPr>
        <w:t>;</w:t>
      </w:r>
    </w:p>
    <w:p w14:paraId="54EE6919" w14:textId="29C92704" w:rsidR="00240506" w:rsidRPr="00650EE4" w:rsidRDefault="006013CC" w:rsidP="00240506">
      <w:pPr>
        <w:pStyle w:val="ListParagraph"/>
        <w:numPr>
          <w:ilvl w:val="0"/>
          <w:numId w:val="12"/>
        </w:numPr>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 xml:space="preserve">amų ūkių dalis, kurių gyvenimo sąlygos netinkamos (prateka </w:t>
      </w:r>
      <w:r>
        <w:rPr>
          <w:rFonts w:ascii="Times New Roman" w:hAnsi="Times New Roman"/>
          <w:szCs w:val="22"/>
          <w:lang w:val="lt-LT"/>
        </w:rPr>
        <w:t>stog</w:t>
      </w:r>
      <w:r w:rsidR="00240506" w:rsidRPr="00650EE4">
        <w:rPr>
          <w:rFonts w:ascii="Times New Roman" w:hAnsi="Times New Roman"/>
          <w:szCs w:val="22"/>
          <w:lang w:val="lt-LT"/>
        </w:rPr>
        <w:t xml:space="preserve">as, </w:t>
      </w:r>
      <w:r w:rsidR="002A5166" w:rsidRPr="00650EE4">
        <w:rPr>
          <w:rFonts w:ascii="Times New Roman" w:hAnsi="Times New Roman"/>
          <w:szCs w:val="22"/>
          <w:lang w:val="lt-LT"/>
        </w:rPr>
        <w:t>drėksta</w:t>
      </w:r>
      <w:r w:rsidR="00240506" w:rsidRPr="00650EE4">
        <w:rPr>
          <w:rFonts w:ascii="Times New Roman" w:hAnsi="Times New Roman"/>
          <w:szCs w:val="22"/>
          <w:lang w:val="lt-LT"/>
        </w:rPr>
        <w:t xml:space="preserve"> sienos, pamatai ar langų rėmuose yra puvinys)</w:t>
      </w:r>
      <w:r w:rsidR="00117C6E" w:rsidRPr="00650EE4">
        <w:rPr>
          <w:rFonts w:ascii="Times New Roman" w:hAnsi="Times New Roman"/>
          <w:szCs w:val="22"/>
          <w:lang w:val="lt-LT"/>
        </w:rPr>
        <w:t>.</w:t>
      </w:r>
    </w:p>
    <w:p w14:paraId="230BAD3C" w14:textId="77777777" w:rsidR="00117C6E" w:rsidRPr="00650EE4" w:rsidRDefault="00117C6E" w:rsidP="00117C6E">
      <w:pPr>
        <w:pStyle w:val="ListParagraph"/>
        <w:ind w:left="714"/>
        <w:contextualSpacing w:val="0"/>
        <w:jc w:val="both"/>
        <w:rPr>
          <w:rFonts w:ascii="Times New Roman" w:hAnsi="Times New Roman"/>
          <w:szCs w:val="22"/>
          <w:lang w:val="lt-LT"/>
        </w:rPr>
      </w:pPr>
    </w:p>
    <w:p w14:paraId="5942C749" w14:textId="052D233B" w:rsidR="00240506" w:rsidRPr="00650EE4" w:rsidRDefault="00117C6E" w:rsidP="00117C6E">
      <w:pPr>
        <w:spacing w:after="120"/>
        <w:jc w:val="both"/>
        <w:rPr>
          <w:rFonts w:ascii="Times New Roman" w:hAnsi="Times New Roman"/>
          <w:b/>
          <w:szCs w:val="22"/>
        </w:rPr>
      </w:pPr>
      <w:r w:rsidRPr="00650EE4">
        <w:rPr>
          <w:rFonts w:ascii="Times New Roman" w:hAnsi="Times New Roman"/>
          <w:b/>
          <w:szCs w:val="22"/>
        </w:rPr>
        <w:t>Asmenų, gyvenančių namų ūkiuose, kurie dėl pinigų stokos negali sau leisti pakankamai šildyti būsto, dalis</w:t>
      </w:r>
    </w:p>
    <w:p w14:paraId="71E4283D" w14:textId="35A3AC76" w:rsidR="00240506" w:rsidRPr="00650EE4" w:rsidRDefault="00240506" w:rsidP="00240506">
      <w:pPr>
        <w:jc w:val="both"/>
        <w:rPr>
          <w:rFonts w:ascii="Times New Roman" w:hAnsi="Times New Roman"/>
          <w:szCs w:val="22"/>
        </w:rPr>
      </w:pPr>
      <w:r w:rsidRPr="00650EE4">
        <w:rPr>
          <w:rFonts w:ascii="Times New Roman" w:hAnsi="Times New Roman"/>
          <w:szCs w:val="22"/>
        </w:rPr>
        <w:t>Asmenų, gyvenančių namų ūkiuose, kurie dėl pinigų stokos negali sau leisti pakankamai šildyti būsto, dalis Lietuvoje nuo 2011 m. Lietuvoje mažėjo ir pasiekė 26</w:t>
      </w:r>
      <w:r w:rsidR="00954E34" w:rsidRPr="00650EE4">
        <w:rPr>
          <w:rFonts w:ascii="Times New Roman" w:hAnsi="Times New Roman"/>
          <w:szCs w:val="22"/>
        </w:rPr>
        <w:t>,</w:t>
      </w:r>
      <w:r w:rsidRPr="00650EE4">
        <w:rPr>
          <w:rFonts w:ascii="Times New Roman" w:hAnsi="Times New Roman"/>
          <w:szCs w:val="22"/>
        </w:rPr>
        <w:t xml:space="preserve">7%. Palyginus su kitomis ES šalimis, populiacijos dalis neišgalinti pakankamai šildyti savo namus Lietuvoje </w:t>
      </w:r>
      <w:r w:rsidR="00117C6E" w:rsidRPr="00650EE4">
        <w:rPr>
          <w:rFonts w:ascii="Times New Roman" w:hAnsi="Times New Roman"/>
          <w:szCs w:val="22"/>
        </w:rPr>
        <w:t xml:space="preserve">beveik ~3 kartus didesnė </w:t>
      </w:r>
      <w:r w:rsidRPr="00650EE4">
        <w:rPr>
          <w:rFonts w:ascii="Times New Roman" w:hAnsi="Times New Roman"/>
          <w:szCs w:val="22"/>
        </w:rPr>
        <w:t xml:space="preserve">nei ES </w:t>
      </w:r>
      <w:r w:rsidR="00117C6E" w:rsidRPr="00650EE4">
        <w:rPr>
          <w:rFonts w:ascii="Times New Roman" w:hAnsi="Times New Roman"/>
          <w:szCs w:val="22"/>
        </w:rPr>
        <w:t>šalių vidurkis (žr. lentelę</w:t>
      </w:r>
      <w:r w:rsidRPr="00650EE4">
        <w:rPr>
          <w:rFonts w:ascii="Times New Roman" w:hAnsi="Times New Roman"/>
          <w:szCs w:val="22"/>
        </w:rPr>
        <w:t xml:space="preserve"> žemiau</w:t>
      </w:r>
      <w:r w:rsidR="00117C6E" w:rsidRPr="00650EE4">
        <w:rPr>
          <w:rFonts w:ascii="Times New Roman" w:hAnsi="Times New Roman"/>
          <w:szCs w:val="22"/>
        </w:rPr>
        <w:t>)</w:t>
      </w:r>
      <w:r w:rsidRPr="00650EE4">
        <w:rPr>
          <w:rFonts w:ascii="Times New Roman" w:hAnsi="Times New Roman"/>
          <w:szCs w:val="22"/>
        </w:rPr>
        <w:t>.</w:t>
      </w:r>
    </w:p>
    <w:p w14:paraId="472295FD" w14:textId="77777777" w:rsidR="007A4910" w:rsidRPr="00650EE4" w:rsidRDefault="007A4910" w:rsidP="00240506">
      <w:pPr>
        <w:jc w:val="both"/>
        <w:rPr>
          <w:rFonts w:ascii="Times New Roman" w:hAnsi="Times New Roman"/>
          <w:szCs w:val="22"/>
        </w:rPr>
      </w:pPr>
    </w:p>
    <w:p w14:paraId="24598A84" w14:textId="77777777" w:rsidR="00C5035E" w:rsidRDefault="00C5035E">
      <w:pPr>
        <w:spacing w:after="240"/>
        <w:rPr>
          <w:rFonts w:ascii="Times New Roman" w:eastAsiaTheme="minorHAnsi" w:hAnsi="Times New Roman"/>
          <w:bCs/>
          <w:i/>
          <w:color w:val="000000" w:themeColor="text1"/>
          <w:sz w:val="20"/>
          <w:szCs w:val="20"/>
        </w:rPr>
      </w:pPr>
      <w:r>
        <w:br w:type="page"/>
      </w:r>
    </w:p>
    <w:p w14:paraId="6EA27AB4" w14:textId="03D1D809" w:rsidR="00240506"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29" w:name="_Toc67925227"/>
      <w:r w:rsidR="007744C1">
        <w:t>44</w:t>
      </w:r>
      <w:r w:rsidRPr="00650EE4">
        <w:rPr>
          <w:noProof w:val="0"/>
        </w:rPr>
        <w:fldChar w:fldCharType="end"/>
      </w:r>
      <w:r w:rsidR="00240506" w:rsidRPr="00650EE4">
        <w:rPr>
          <w:noProof w:val="0"/>
        </w:rPr>
        <w:t xml:space="preserve"> lentelė Asmenų, kurie dėl pinigų stokos negali sau leisti pakankamai šildyti būsto, dalis, proc.</w:t>
      </w:r>
      <w:bookmarkEnd w:id="129"/>
    </w:p>
    <w:tbl>
      <w:tblPr>
        <w:tblW w:w="0" w:type="auto"/>
        <w:tblLook w:val="04A0" w:firstRow="1" w:lastRow="0" w:firstColumn="1" w:lastColumn="0" w:noHBand="0" w:noVBand="1"/>
      </w:tblPr>
      <w:tblGrid>
        <w:gridCol w:w="4260"/>
        <w:gridCol w:w="616"/>
        <w:gridCol w:w="616"/>
        <w:gridCol w:w="616"/>
        <w:gridCol w:w="616"/>
        <w:gridCol w:w="616"/>
        <w:gridCol w:w="616"/>
        <w:gridCol w:w="616"/>
        <w:gridCol w:w="616"/>
        <w:gridCol w:w="616"/>
        <w:gridCol w:w="616"/>
      </w:tblGrid>
      <w:tr w:rsidR="00240506" w:rsidRPr="00650EE4" w14:paraId="1434D487" w14:textId="77777777" w:rsidTr="00677FE7">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393C"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8297BA"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0387BE"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7B87AD"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10B0DD"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5E1742"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AEF3F4"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D19B3A"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3CD3C3"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94DBEC"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C5BEC8"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2019</w:t>
            </w:r>
          </w:p>
        </w:tc>
      </w:tr>
      <w:tr w:rsidR="00240506" w:rsidRPr="00650EE4" w14:paraId="64F4FB96" w14:textId="77777777" w:rsidTr="00677FE7">
        <w:tc>
          <w:tcPr>
            <w:tcW w:w="0" w:type="auto"/>
            <w:tcBorders>
              <w:top w:val="nil"/>
              <w:left w:val="single" w:sz="4" w:space="0" w:color="auto"/>
              <w:bottom w:val="single" w:sz="4" w:space="0" w:color="auto"/>
              <w:right w:val="single" w:sz="4" w:space="0" w:color="auto"/>
            </w:tcBorders>
            <w:shd w:val="clear" w:color="auto" w:fill="auto"/>
            <w:vAlign w:val="bottom"/>
            <w:hideMark/>
          </w:tcPr>
          <w:p w14:paraId="49C9F8AA"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Asmenų, gyvenančių namų ūkiuose, kurie dėl pinigų stokos negali sau leisti pakankamai šildyti būsto, dalis (LT)</w:t>
            </w:r>
          </w:p>
        </w:tc>
        <w:tc>
          <w:tcPr>
            <w:tcW w:w="0" w:type="auto"/>
            <w:tcBorders>
              <w:top w:val="nil"/>
              <w:left w:val="nil"/>
              <w:bottom w:val="single" w:sz="4" w:space="0" w:color="auto"/>
              <w:right w:val="single" w:sz="4" w:space="0" w:color="auto"/>
            </w:tcBorders>
            <w:shd w:val="clear" w:color="auto" w:fill="auto"/>
            <w:noWrap/>
            <w:vAlign w:val="bottom"/>
            <w:hideMark/>
          </w:tcPr>
          <w:p w14:paraId="64555F6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25.2</w:t>
            </w:r>
          </w:p>
        </w:tc>
        <w:tc>
          <w:tcPr>
            <w:tcW w:w="0" w:type="auto"/>
            <w:tcBorders>
              <w:top w:val="nil"/>
              <w:left w:val="nil"/>
              <w:bottom w:val="single" w:sz="4" w:space="0" w:color="auto"/>
              <w:right w:val="single" w:sz="4" w:space="0" w:color="auto"/>
            </w:tcBorders>
            <w:shd w:val="clear" w:color="auto" w:fill="auto"/>
            <w:noWrap/>
            <w:vAlign w:val="bottom"/>
            <w:hideMark/>
          </w:tcPr>
          <w:p w14:paraId="3A39135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36.2</w:t>
            </w:r>
          </w:p>
        </w:tc>
        <w:tc>
          <w:tcPr>
            <w:tcW w:w="0" w:type="auto"/>
            <w:tcBorders>
              <w:top w:val="nil"/>
              <w:left w:val="nil"/>
              <w:bottom w:val="single" w:sz="4" w:space="0" w:color="auto"/>
              <w:right w:val="single" w:sz="4" w:space="0" w:color="auto"/>
            </w:tcBorders>
            <w:shd w:val="clear" w:color="auto" w:fill="auto"/>
            <w:noWrap/>
            <w:vAlign w:val="bottom"/>
            <w:hideMark/>
          </w:tcPr>
          <w:p w14:paraId="3AA790D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34.1</w:t>
            </w:r>
          </w:p>
        </w:tc>
        <w:tc>
          <w:tcPr>
            <w:tcW w:w="0" w:type="auto"/>
            <w:tcBorders>
              <w:top w:val="nil"/>
              <w:left w:val="nil"/>
              <w:bottom w:val="single" w:sz="4" w:space="0" w:color="auto"/>
              <w:right w:val="single" w:sz="4" w:space="0" w:color="auto"/>
            </w:tcBorders>
            <w:shd w:val="clear" w:color="auto" w:fill="auto"/>
            <w:noWrap/>
            <w:vAlign w:val="bottom"/>
            <w:hideMark/>
          </w:tcPr>
          <w:p w14:paraId="496BCC8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29.2</w:t>
            </w:r>
          </w:p>
        </w:tc>
        <w:tc>
          <w:tcPr>
            <w:tcW w:w="0" w:type="auto"/>
            <w:tcBorders>
              <w:top w:val="nil"/>
              <w:left w:val="nil"/>
              <w:bottom w:val="single" w:sz="4" w:space="0" w:color="auto"/>
              <w:right w:val="single" w:sz="4" w:space="0" w:color="auto"/>
            </w:tcBorders>
            <w:shd w:val="clear" w:color="auto" w:fill="auto"/>
            <w:noWrap/>
            <w:vAlign w:val="bottom"/>
            <w:hideMark/>
          </w:tcPr>
          <w:p w14:paraId="4792947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26.5</w:t>
            </w:r>
          </w:p>
        </w:tc>
        <w:tc>
          <w:tcPr>
            <w:tcW w:w="0" w:type="auto"/>
            <w:tcBorders>
              <w:top w:val="nil"/>
              <w:left w:val="nil"/>
              <w:bottom w:val="single" w:sz="4" w:space="0" w:color="auto"/>
              <w:right w:val="single" w:sz="4" w:space="0" w:color="auto"/>
            </w:tcBorders>
            <w:shd w:val="clear" w:color="auto" w:fill="auto"/>
            <w:noWrap/>
            <w:vAlign w:val="bottom"/>
            <w:hideMark/>
          </w:tcPr>
          <w:p w14:paraId="5D5653E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31.1</w:t>
            </w:r>
          </w:p>
        </w:tc>
        <w:tc>
          <w:tcPr>
            <w:tcW w:w="0" w:type="auto"/>
            <w:tcBorders>
              <w:top w:val="nil"/>
              <w:left w:val="nil"/>
              <w:bottom w:val="single" w:sz="4" w:space="0" w:color="auto"/>
              <w:right w:val="single" w:sz="4" w:space="0" w:color="auto"/>
            </w:tcBorders>
            <w:shd w:val="clear" w:color="auto" w:fill="auto"/>
            <w:noWrap/>
            <w:vAlign w:val="bottom"/>
            <w:hideMark/>
          </w:tcPr>
          <w:p w14:paraId="53DD810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29.3</w:t>
            </w:r>
          </w:p>
        </w:tc>
        <w:tc>
          <w:tcPr>
            <w:tcW w:w="0" w:type="auto"/>
            <w:tcBorders>
              <w:top w:val="nil"/>
              <w:left w:val="nil"/>
              <w:bottom w:val="single" w:sz="4" w:space="0" w:color="auto"/>
              <w:right w:val="single" w:sz="4" w:space="0" w:color="auto"/>
            </w:tcBorders>
            <w:shd w:val="clear" w:color="auto" w:fill="auto"/>
            <w:noWrap/>
            <w:vAlign w:val="bottom"/>
            <w:hideMark/>
          </w:tcPr>
          <w:p w14:paraId="73AB1D7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28.9</w:t>
            </w:r>
          </w:p>
        </w:tc>
        <w:tc>
          <w:tcPr>
            <w:tcW w:w="0" w:type="auto"/>
            <w:tcBorders>
              <w:top w:val="nil"/>
              <w:left w:val="nil"/>
              <w:bottom w:val="single" w:sz="4" w:space="0" w:color="auto"/>
              <w:right w:val="single" w:sz="4" w:space="0" w:color="auto"/>
            </w:tcBorders>
            <w:shd w:val="clear" w:color="auto" w:fill="auto"/>
            <w:noWrap/>
            <w:vAlign w:val="bottom"/>
            <w:hideMark/>
          </w:tcPr>
          <w:p w14:paraId="0697369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27.9</w:t>
            </w:r>
          </w:p>
        </w:tc>
        <w:tc>
          <w:tcPr>
            <w:tcW w:w="0" w:type="auto"/>
            <w:tcBorders>
              <w:top w:val="nil"/>
              <w:left w:val="nil"/>
              <w:bottom w:val="single" w:sz="4" w:space="0" w:color="auto"/>
              <w:right w:val="single" w:sz="4" w:space="0" w:color="auto"/>
            </w:tcBorders>
            <w:shd w:val="clear" w:color="auto" w:fill="auto"/>
            <w:noWrap/>
            <w:vAlign w:val="bottom"/>
            <w:hideMark/>
          </w:tcPr>
          <w:p w14:paraId="721684E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26.7</w:t>
            </w:r>
          </w:p>
        </w:tc>
      </w:tr>
      <w:tr w:rsidR="00240506" w:rsidRPr="00650EE4" w14:paraId="47641BD9" w14:textId="77777777" w:rsidTr="00677FE7">
        <w:tc>
          <w:tcPr>
            <w:tcW w:w="0" w:type="auto"/>
            <w:tcBorders>
              <w:top w:val="nil"/>
              <w:left w:val="single" w:sz="4" w:space="0" w:color="auto"/>
              <w:bottom w:val="single" w:sz="4" w:space="0" w:color="auto"/>
              <w:right w:val="single" w:sz="4" w:space="0" w:color="auto"/>
            </w:tcBorders>
            <w:shd w:val="clear" w:color="auto" w:fill="auto"/>
            <w:vAlign w:val="bottom"/>
            <w:hideMark/>
          </w:tcPr>
          <w:p w14:paraId="2564A4E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Asmenų, gyvenančių namų ūkiuose, kurie dėl pinigų stokos negali sau leisti pakankamai šildyti būsto, dalis (ES)</w:t>
            </w:r>
          </w:p>
        </w:tc>
        <w:tc>
          <w:tcPr>
            <w:tcW w:w="0" w:type="auto"/>
            <w:tcBorders>
              <w:top w:val="nil"/>
              <w:left w:val="nil"/>
              <w:bottom w:val="single" w:sz="4" w:space="0" w:color="auto"/>
              <w:right w:val="single" w:sz="4" w:space="0" w:color="auto"/>
            </w:tcBorders>
            <w:shd w:val="clear" w:color="auto" w:fill="auto"/>
            <w:noWrap/>
            <w:vAlign w:val="bottom"/>
            <w:hideMark/>
          </w:tcPr>
          <w:p w14:paraId="2116EB9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9.9</w:t>
            </w:r>
          </w:p>
        </w:tc>
        <w:tc>
          <w:tcPr>
            <w:tcW w:w="0" w:type="auto"/>
            <w:tcBorders>
              <w:top w:val="nil"/>
              <w:left w:val="nil"/>
              <w:bottom w:val="single" w:sz="4" w:space="0" w:color="auto"/>
              <w:right w:val="single" w:sz="4" w:space="0" w:color="auto"/>
            </w:tcBorders>
            <w:shd w:val="clear" w:color="auto" w:fill="auto"/>
            <w:noWrap/>
            <w:vAlign w:val="bottom"/>
            <w:hideMark/>
          </w:tcPr>
          <w:p w14:paraId="0759BA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10.3</w:t>
            </w:r>
          </w:p>
        </w:tc>
        <w:tc>
          <w:tcPr>
            <w:tcW w:w="0" w:type="auto"/>
            <w:tcBorders>
              <w:top w:val="nil"/>
              <w:left w:val="nil"/>
              <w:bottom w:val="single" w:sz="4" w:space="0" w:color="auto"/>
              <w:right w:val="single" w:sz="4" w:space="0" w:color="auto"/>
            </w:tcBorders>
            <w:shd w:val="clear" w:color="auto" w:fill="auto"/>
            <w:noWrap/>
            <w:vAlign w:val="bottom"/>
            <w:hideMark/>
          </w:tcPr>
          <w:p w14:paraId="18598F1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11.2</w:t>
            </w:r>
          </w:p>
        </w:tc>
        <w:tc>
          <w:tcPr>
            <w:tcW w:w="0" w:type="auto"/>
            <w:tcBorders>
              <w:top w:val="nil"/>
              <w:left w:val="nil"/>
              <w:bottom w:val="single" w:sz="4" w:space="0" w:color="auto"/>
              <w:right w:val="single" w:sz="4" w:space="0" w:color="auto"/>
            </w:tcBorders>
            <w:shd w:val="clear" w:color="auto" w:fill="auto"/>
            <w:noWrap/>
            <w:vAlign w:val="bottom"/>
            <w:hideMark/>
          </w:tcPr>
          <w:p w14:paraId="3ED39F6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10.8</w:t>
            </w:r>
          </w:p>
        </w:tc>
        <w:tc>
          <w:tcPr>
            <w:tcW w:w="0" w:type="auto"/>
            <w:tcBorders>
              <w:top w:val="nil"/>
              <w:left w:val="nil"/>
              <w:bottom w:val="single" w:sz="4" w:space="0" w:color="auto"/>
              <w:right w:val="single" w:sz="4" w:space="0" w:color="auto"/>
            </w:tcBorders>
            <w:shd w:val="clear" w:color="auto" w:fill="auto"/>
            <w:noWrap/>
            <w:vAlign w:val="bottom"/>
            <w:hideMark/>
          </w:tcPr>
          <w:p w14:paraId="57970CC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10.4</w:t>
            </w:r>
          </w:p>
        </w:tc>
        <w:tc>
          <w:tcPr>
            <w:tcW w:w="0" w:type="auto"/>
            <w:tcBorders>
              <w:top w:val="nil"/>
              <w:left w:val="nil"/>
              <w:bottom w:val="single" w:sz="4" w:space="0" w:color="auto"/>
              <w:right w:val="single" w:sz="4" w:space="0" w:color="auto"/>
            </w:tcBorders>
            <w:shd w:val="clear" w:color="auto" w:fill="auto"/>
            <w:noWrap/>
            <w:vAlign w:val="bottom"/>
            <w:hideMark/>
          </w:tcPr>
          <w:p w14:paraId="58D230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9.6</w:t>
            </w:r>
          </w:p>
        </w:tc>
        <w:tc>
          <w:tcPr>
            <w:tcW w:w="0" w:type="auto"/>
            <w:tcBorders>
              <w:top w:val="nil"/>
              <w:left w:val="nil"/>
              <w:bottom w:val="single" w:sz="4" w:space="0" w:color="auto"/>
              <w:right w:val="single" w:sz="4" w:space="0" w:color="auto"/>
            </w:tcBorders>
            <w:shd w:val="clear" w:color="auto" w:fill="auto"/>
            <w:noWrap/>
            <w:vAlign w:val="bottom"/>
            <w:hideMark/>
          </w:tcPr>
          <w:p w14:paraId="12A4CBE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14:paraId="57303A4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8.1</w:t>
            </w:r>
          </w:p>
        </w:tc>
        <w:tc>
          <w:tcPr>
            <w:tcW w:w="0" w:type="auto"/>
            <w:tcBorders>
              <w:top w:val="nil"/>
              <w:left w:val="nil"/>
              <w:bottom w:val="single" w:sz="4" w:space="0" w:color="auto"/>
              <w:right w:val="single" w:sz="4" w:space="0" w:color="auto"/>
            </w:tcBorders>
            <w:shd w:val="clear" w:color="auto" w:fill="auto"/>
            <w:noWrap/>
            <w:vAlign w:val="bottom"/>
            <w:hideMark/>
          </w:tcPr>
          <w:p w14:paraId="7039C22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7.6</w:t>
            </w:r>
          </w:p>
        </w:tc>
        <w:tc>
          <w:tcPr>
            <w:tcW w:w="0" w:type="auto"/>
            <w:tcBorders>
              <w:top w:val="nil"/>
              <w:left w:val="nil"/>
              <w:bottom w:val="single" w:sz="4" w:space="0" w:color="auto"/>
              <w:right w:val="single" w:sz="4" w:space="0" w:color="auto"/>
            </w:tcBorders>
            <w:shd w:val="clear" w:color="auto" w:fill="auto"/>
            <w:noWrap/>
            <w:vAlign w:val="bottom"/>
            <w:hideMark/>
          </w:tcPr>
          <w:p w14:paraId="72DA9A73" w14:textId="77777777" w:rsidR="00240506" w:rsidRPr="00650EE4" w:rsidRDefault="00240506" w:rsidP="00DC1083">
            <w:pPr>
              <w:spacing w:line="240" w:lineRule="auto"/>
              <w:rPr>
                <w:rFonts w:ascii="Times New Roman" w:eastAsia="Times New Roman" w:hAnsi="Times New Roman"/>
                <w:sz w:val="20"/>
                <w:szCs w:val="20"/>
                <w:lang w:eastAsia="en-GB"/>
              </w:rPr>
            </w:pPr>
            <w:proofErr w:type="spellStart"/>
            <w:r w:rsidRPr="00650EE4">
              <w:rPr>
                <w:rFonts w:ascii="Times New Roman" w:eastAsia="Times New Roman" w:hAnsi="Times New Roman"/>
                <w:sz w:val="20"/>
                <w:szCs w:val="20"/>
                <w:lang w:eastAsia="en-GB"/>
              </w:rPr>
              <w:t>n.d</w:t>
            </w:r>
            <w:proofErr w:type="spellEnd"/>
            <w:r w:rsidRPr="00650EE4">
              <w:rPr>
                <w:rFonts w:ascii="Times New Roman" w:eastAsia="Times New Roman" w:hAnsi="Times New Roman"/>
                <w:sz w:val="20"/>
                <w:szCs w:val="20"/>
                <w:lang w:eastAsia="en-GB"/>
              </w:rPr>
              <w:t>.</w:t>
            </w:r>
          </w:p>
        </w:tc>
      </w:tr>
    </w:tbl>
    <w:p w14:paraId="668D273A"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17D51019" w14:textId="77777777" w:rsidR="0039646B" w:rsidRDefault="0039646B" w:rsidP="00117C6E">
      <w:pPr>
        <w:spacing w:after="120"/>
        <w:jc w:val="both"/>
        <w:rPr>
          <w:rFonts w:ascii="Times New Roman" w:hAnsi="Times New Roman"/>
          <w:b/>
          <w:szCs w:val="22"/>
        </w:rPr>
      </w:pPr>
    </w:p>
    <w:p w14:paraId="3E06F925" w14:textId="034D8DE7" w:rsidR="00117C6E" w:rsidRPr="00650EE4" w:rsidRDefault="00117C6E" w:rsidP="00117C6E">
      <w:pPr>
        <w:spacing w:after="120"/>
        <w:jc w:val="both"/>
        <w:rPr>
          <w:rFonts w:ascii="Times New Roman" w:hAnsi="Times New Roman"/>
          <w:b/>
          <w:szCs w:val="22"/>
        </w:rPr>
      </w:pPr>
      <w:r w:rsidRPr="00650EE4">
        <w:rPr>
          <w:rFonts w:ascii="Times New Roman" w:hAnsi="Times New Roman"/>
          <w:b/>
          <w:szCs w:val="22"/>
        </w:rPr>
        <w:t>Namų ūkių sąnaudų dalis išleidžiama elektros ir šilumos energijai</w:t>
      </w:r>
    </w:p>
    <w:p w14:paraId="7911D252" w14:textId="283D595B" w:rsidR="00240506" w:rsidRPr="00650EE4" w:rsidRDefault="00240506" w:rsidP="00240506">
      <w:pPr>
        <w:jc w:val="both"/>
        <w:rPr>
          <w:rFonts w:ascii="Times New Roman" w:hAnsi="Times New Roman"/>
          <w:szCs w:val="22"/>
        </w:rPr>
      </w:pPr>
      <w:r w:rsidRPr="00650EE4">
        <w:rPr>
          <w:rFonts w:ascii="Times New Roman" w:hAnsi="Times New Roman"/>
          <w:szCs w:val="22"/>
        </w:rPr>
        <w:t xml:space="preserve">Apart pajamų dydžio, santykinai didelės išlaidos šilumai yra viena iš priežasčių, kodėl Lietuvoje tokia didelė dalis namų ūkių negali sau leisti pakankamai šildyti būsto. Vidutinės išlaidos elektrai nuo visų išlaidų sudarė iki dešimties kartų daugiau nei ES27 vidurkis 2015 metais. Tuo tarpu Lietuvos ūkių išlaidų dalis elektrai yra dešimtadaliu </w:t>
      </w:r>
      <w:r w:rsidR="00F24C3B" w:rsidRPr="00650EE4">
        <w:rPr>
          <w:rFonts w:ascii="Times New Roman" w:hAnsi="Times New Roman"/>
          <w:szCs w:val="22"/>
        </w:rPr>
        <w:t>mažesnės</w:t>
      </w:r>
      <w:r w:rsidRPr="00650EE4">
        <w:rPr>
          <w:rFonts w:ascii="Times New Roman" w:hAnsi="Times New Roman"/>
          <w:szCs w:val="22"/>
        </w:rPr>
        <w:t xml:space="preserve"> nei ES. Išlaidų dalis šilumai iš dalies lemiama fakto, kad didesnėje dalyje Europos žiemos šiltesnės nei Lietuvoje, todėl šildyti pastatus reikia mažiau, net jei jų energetinis efektyvumas panašus į pastatų Lietuvoje. Duomenys apie namų ūkių išlaidų dalį elektrai ir šilumai Lietuvoje ir ES27 pateikti lentelėje žemiau.</w:t>
      </w:r>
    </w:p>
    <w:p w14:paraId="5499C11D" w14:textId="77777777" w:rsidR="004E6D80" w:rsidRPr="00650EE4" w:rsidRDefault="004E6D80" w:rsidP="00240506">
      <w:pPr>
        <w:jc w:val="both"/>
        <w:rPr>
          <w:rFonts w:ascii="Times New Roman" w:hAnsi="Times New Roman"/>
          <w:szCs w:val="22"/>
        </w:rPr>
      </w:pPr>
    </w:p>
    <w:p w14:paraId="186E728A" w14:textId="27D2F4E7"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0" w:name="_Toc67925228"/>
      <w:r w:rsidR="007744C1">
        <w:t>45</w:t>
      </w:r>
      <w:r w:rsidRPr="00650EE4">
        <w:rPr>
          <w:noProof w:val="0"/>
        </w:rPr>
        <w:fldChar w:fldCharType="end"/>
      </w:r>
      <w:r w:rsidR="00240506" w:rsidRPr="00650EE4">
        <w:rPr>
          <w:noProof w:val="0"/>
        </w:rPr>
        <w:t xml:space="preserve"> lentelė. Namų ūkių sąnaudų dalis išleidžiama elektros ir šilumos energijai, proc.</w:t>
      </w:r>
      <w:bookmarkEnd w:id="130"/>
      <w:r w:rsidR="00240506" w:rsidRPr="00650EE4">
        <w:rPr>
          <w:noProof w:val="0"/>
        </w:rPr>
        <w:t> </w:t>
      </w:r>
    </w:p>
    <w:tbl>
      <w:tblPr>
        <w:tblStyle w:val="TableGrid"/>
        <w:tblW w:w="5000" w:type="pct"/>
        <w:tblLook w:val="04A0" w:firstRow="1" w:lastRow="0" w:firstColumn="1" w:lastColumn="0" w:noHBand="0" w:noVBand="1"/>
      </w:tblPr>
      <w:tblGrid>
        <w:gridCol w:w="3040"/>
        <w:gridCol w:w="2460"/>
        <w:gridCol w:w="2460"/>
        <w:gridCol w:w="2460"/>
      </w:tblGrid>
      <w:tr w:rsidR="00063D58" w:rsidRPr="00650EE4" w14:paraId="2A2B8232" w14:textId="77777777" w:rsidTr="00063D58">
        <w:tc>
          <w:tcPr>
            <w:tcW w:w="2405" w:type="dxa"/>
          </w:tcPr>
          <w:p w14:paraId="61AE55A2" w14:textId="22E481D6" w:rsidR="00063D58" w:rsidRPr="00650EE4" w:rsidRDefault="00063D58" w:rsidP="00631BA6">
            <w:pPr>
              <w:pStyle w:val="TESlentelspavadinimas"/>
              <w:rPr>
                <w:noProof w:val="0"/>
              </w:rPr>
            </w:pPr>
            <w:r w:rsidRPr="00650EE4">
              <w:rPr>
                <w:noProof w:val="0"/>
              </w:rPr>
              <w:t>Rodiklis</w:t>
            </w:r>
          </w:p>
        </w:tc>
        <w:tc>
          <w:tcPr>
            <w:tcW w:w="1947" w:type="dxa"/>
            <w:vAlign w:val="bottom"/>
          </w:tcPr>
          <w:p w14:paraId="78180835" w14:textId="3545097F" w:rsidR="00063D58" w:rsidRPr="00650EE4" w:rsidRDefault="00063D58" w:rsidP="00631BA6">
            <w:pPr>
              <w:pStyle w:val="TESlentelspavadinimas"/>
              <w:rPr>
                <w:noProof w:val="0"/>
              </w:rPr>
            </w:pPr>
            <w:r w:rsidRPr="00650EE4">
              <w:rPr>
                <w:noProof w:val="0"/>
                <w:lang w:eastAsia="en-GB"/>
              </w:rPr>
              <w:t>Šalis</w:t>
            </w:r>
          </w:p>
        </w:tc>
        <w:tc>
          <w:tcPr>
            <w:tcW w:w="1947" w:type="dxa"/>
            <w:vAlign w:val="bottom"/>
          </w:tcPr>
          <w:p w14:paraId="4CFFC9B9" w14:textId="348A13AF" w:rsidR="00063D58" w:rsidRPr="00650EE4" w:rsidRDefault="00063D58" w:rsidP="00631BA6">
            <w:pPr>
              <w:pStyle w:val="TESlentelspavadinimas"/>
              <w:rPr>
                <w:noProof w:val="0"/>
              </w:rPr>
            </w:pPr>
            <w:r w:rsidRPr="00650EE4">
              <w:rPr>
                <w:noProof w:val="0"/>
                <w:lang w:eastAsia="en-GB"/>
              </w:rPr>
              <w:t>2010</w:t>
            </w:r>
          </w:p>
        </w:tc>
        <w:tc>
          <w:tcPr>
            <w:tcW w:w="1947" w:type="dxa"/>
            <w:vAlign w:val="bottom"/>
          </w:tcPr>
          <w:p w14:paraId="0BEA8A6A" w14:textId="3021E7CB" w:rsidR="00063D58" w:rsidRPr="00650EE4" w:rsidRDefault="00063D58" w:rsidP="00631BA6">
            <w:pPr>
              <w:pStyle w:val="TESlentelspavadinimas"/>
              <w:rPr>
                <w:noProof w:val="0"/>
              </w:rPr>
            </w:pPr>
            <w:r w:rsidRPr="00650EE4">
              <w:rPr>
                <w:noProof w:val="0"/>
                <w:lang w:eastAsia="en-GB"/>
              </w:rPr>
              <w:t xml:space="preserve">2015 </w:t>
            </w:r>
          </w:p>
        </w:tc>
      </w:tr>
      <w:tr w:rsidR="00063D58" w:rsidRPr="00650EE4" w14:paraId="5AFF24EA" w14:textId="77777777" w:rsidTr="00063D58">
        <w:tc>
          <w:tcPr>
            <w:tcW w:w="2405" w:type="dxa"/>
            <w:vMerge w:val="restart"/>
            <w:vAlign w:val="center"/>
          </w:tcPr>
          <w:p w14:paraId="622E8EEE" w14:textId="2FA9AA5B" w:rsidR="00063D58" w:rsidRPr="00650EE4" w:rsidRDefault="00063D58" w:rsidP="00631BA6">
            <w:pPr>
              <w:pStyle w:val="TESlentelspavadinimas"/>
              <w:rPr>
                <w:noProof w:val="0"/>
              </w:rPr>
            </w:pPr>
            <w:r w:rsidRPr="00650EE4">
              <w:rPr>
                <w:noProof w:val="0"/>
                <w:lang w:eastAsia="en-GB"/>
              </w:rPr>
              <w:t>Namų ūkių sąnaudų dalis išleidžiama elektrai</w:t>
            </w:r>
          </w:p>
        </w:tc>
        <w:tc>
          <w:tcPr>
            <w:tcW w:w="1947" w:type="dxa"/>
            <w:vAlign w:val="center"/>
          </w:tcPr>
          <w:p w14:paraId="2F2E2757" w14:textId="121EA246" w:rsidR="00063D58" w:rsidRPr="00650EE4" w:rsidRDefault="00063D58" w:rsidP="00631BA6">
            <w:pPr>
              <w:pStyle w:val="TESlentelspavadinimas"/>
              <w:rPr>
                <w:noProof w:val="0"/>
              </w:rPr>
            </w:pPr>
            <w:r w:rsidRPr="00650EE4">
              <w:rPr>
                <w:noProof w:val="0"/>
                <w:lang w:eastAsia="en-GB"/>
              </w:rPr>
              <w:t>Lietuva</w:t>
            </w:r>
          </w:p>
        </w:tc>
        <w:tc>
          <w:tcPr>
            <w:tcW w:w="1947" w:type="dxa"/>
            <w:vAlign w:val="center"/>
          </w:tcPr>
          <w:p w14:paraId="18A7F725" w14:textId="3C441549" w:rsidR="00063D58" w:rsidRPr="00650EE4" w:rsidRDefault="00063D58" w:rsidP="00631BA6">
            <w:pPr>
              <w:pStyle w:val="TESlentelspavadinimas"/>
              <w:rPr>
                <w:noProof w:val="0"/>
              </w:rPr>
            </w:pPr>
            <w:r w:rsidRPr="00650EE4">
              <w:rPr>
                <w:noProof w:val="0"/>
                <w:lang w:eastAsia="en-GB"/>
              </w:rPr>
              <w:t>0.70%</w:t>
            </w:r>
          </w:p>
        </w:tc>
        <w:tc>
          <w:tcPr>
            <w:tcW w:w="1947" w:type="dxa"/>
            <w:vAlign w:val="center"/>
          </w:tcPr>
          <w:p w14:paraId="7EC1054E" w14:textId="1AF1560B" w:rsidR="00063D58" w:rsidRPr="00650EE4" w:rsidRDefault="00063D58" w:rsidP="00631BA6">
            <w:pPr>
              <w:pStyle w:val="TESlentelspavadinimas"/>
              <w:rPr>
                <w:noProof w:val="0"/>
              </w:rPr>
            </w:pPr>
            <w:r w:rsidRPr="00650EE4">
              <w:rPr>
                <w:noProof w:val="0"/>
                <w:lang w:eastAsia="en-GB"/>
              </w:rPr>
              <w:t>0.74%</w:t>
            </w:r>
          </w:p>
        </w:tc>
      </w:tr>
      <w:tr w:rsidR="00063D58" w:rsidRPr="00650EE4" w14:paraId="3D4E0AAB" w14:textId="77777777" w:rsidTr="00063D58">
        <w:tc>
          <w:tcPr>
            <w:tcW w:w="2405" w:type="dxa"/>
            <w:vMerge/>
            <w:vAlign w:val="center"/>
          </w:tcPr>
          <w:p w14:paraId="093813C1" w14:textId="77777777" w:rsidR="00063D58" w:rsidRPr="00650EE4" w:rsidRDefault="00063D58" w:rsidP="00631BA6">
            <w:pPr>
              <w:pStyle w:val="TESlentelspavadinimas"/>
              <w:rPr>
                <w:noProof w:val="0"/>
              </w:rPr>
            </w:pPr>
          </w:p>
        </w:tc>
        <w:tc>
          <w:tcPr>
            <w:tcW w:w="1947" w:type="dxa"/>
            <w:vAlign w:val="center"/>
          </w:tcPr>
          <w:p w14:paraId="475A986C" w14:textId="12098627" w:rsidR="00063D58" w:rsidRPr="00650EE4" w:rsidRDefault="00063D58" w:rsidP="00631BA6">
            <w:pPr>
              <w:pStyle w:val="TESlentelspavadinimas"/>
              <w:rPr>
                <w:noProof w:val="0"/>
              </w:rPr>
            </w:pPr>
            <w:r w:rsidRPr="00650EE4">
              <w:rPr>
                <w:noProof w:val="0"/>
                <w:lang w:eastAsia="en-GB"/>
              </w:rPr>
              <w:t>ES27</w:t>
            </w:r>
          </w:p>
        </w:tc>
        <w:tc>
          <w:tcPr>
            <w:tcW w:w="1947" w:type="dxa"/>
            <w:vAlign w:val="center"/>
          </w:tcPr>
          <w:p w14:paraId="799641BF" w14:textId="126C47A9" w:rsidR="00063D58" w:rsidRPr="00650EE4" w:rsidRDefault="00063D58" w:rsidP="00631BA6">
            <w:pPr>
              <w:pStyle w:val="TESlentelspavadinimas"/>
              <w:rPr>
                <w:noProof w:val="0"/>
              </w:rPr>
            </w:pPr>
            <w:r w:rsidRPr="00650EE4">
              <w:rPr>
                <w:noProof w:val="0"/>
                <w:lang w:eastAsia="en-GB"/>
              </w:rPr>
              <w:t>0.93%</w:t>
            </w:r>
          </w:p>
        </w:tc>
        <w:tc>
          <w:tcPr>
            <w:tcW w:w="1947" w:type="dxa"/>
            <w:vAlign w:val="center"/>
          </w:tcPr>
          <w:p w14:paraId="1465266A" w14:textId="5F05C86E" w:rsidR="00063D58" w:rsidRPr="00650EE4" w:rsidRDefault="00063D58" w:rsidP="00631BA6">
            <w:pPr>
              <w:pStyle w:val="TESlentelspavadinimas"/>
              <w:rPr>
                <w:noProof w:val="0"/>
              </w:rPr>
            </w:pPr>
            <w:r w:rsidRPr="00650EE4">
              <w:rPr>
                <w:noProof w:val="0"/>
                <w:lang w:eastAsia="en-GB"/>
              </w:rPr>
              <w:t>0.85%</w:t>
            </w:r>
          </w:p>
        </w:tc>
      </w:tr>
      <w:tr w:rsidR="00063D58" w:rsidRPr="00650EE4" w14:paraId="25FFFFE6" w14:textId="77777777" w:rsidTr="00063D58">
        <w:tc>
          <w:tcPr>
            <w:tcW w:w="2405" w:type="dxa"/>
            <w:vMerge w:val="restart"/>
            <w:vAlign w:val="center"/>
          </w:tcPr>
          <w:p w14:paraId="75FC106B" w14:textId="1157E66C" w:rsidR="00063D58" w:rsidRPr="00650EE4" w:rsidRDefault="00063D58" w:rsidP="00631BA6">
            <w:pPr>
              <w:pStyle w:val="TESlentelspavadinimas"/>
              <w:rPr>
                <w:noProof w:val="0"/>
              </w:rPr>
            </w:pPr>
            <w:r w:rsidRPr="00650EE4">
              <w:rPr>
                <w:noProof w:val="0"/>
                <w:lang w:eastAsia="en-GB"/>
              </w:rPr>
              <w:t>Namų ūkių sąnaudų dalis išleidžiama šilumai</w:t>
            </w:r>
          </w:p>
        </w:tc>
        <w:tc>
          <w:tcPr>
            <w:tcW w:w="1947" w:type="dxa"/>
            <w:vAlign w:val="center"/>
          </w:tcPr>
          <w:p w14:paraId="620ED1F4" w14:textId="6710D9BD" w:rsidR="00063D58" w:rsidRPr="00650EE4" w:rsidRDefault="00063D58" w:rsidP="00631BA6">
            <w:pPr>
              <w:pStyle w:val="TESlentelspavadinimas"/>
              <w:rPr>
                <w:noProof w:val="0"/>
              </w:rPr>
            </w:pPr>
            <w:r w:rsidRPr="00650EE4">
              <w:rPr>
                <w:noProof w:val="0"/>
                <w:lang w:eastAsia="en-GB"/>
              </w:rPr>
              <w:t>Lietuva</w:t>
            </w:r>
          </w:p>
        </w:tc>
        <w:tc>
          <w:tcPr>
            <w:tcW w:w="1947" w:type="dxa"/>
            <w:vAlign w:val="center"/>
          </w:tcPr>
          <w:p w14:paraId="6D996BDC" w14:textId="0C7E137C" w:rsidR="00063D58" w:rsidRPr="00650EE4" w:rsidRDefault="00063D58" w:rsidP="00631BA6">
            <w:pPr>
              <w:pStyle w:val="TESlentelspavadinimas"/>
              <w:rPr>
                <w:noProof w:val="0"/>
              </w:rPr>
            </w:pPr>
            <w:r w:rsidRPr="00650EE4">
              <w:rPr>
                <w:noProof w:val="0"/>
                <w:lang w:eastAsia="en-GB"/>
              </w:rPr>
              <w:t>1.04%</w:t>
            </w:r>
          </w:p>
        </w:tc>
        <w:tc>
          <w:tcPr>
            <w:tcW w:w="1947" w:type="dxa"/>
            <w:vAlign w:val="center"/>
          </w:tcPr>
          <w:p w14:paraId="31CBB82E" w14:textId="5BBE3E22" w:rsidR="00063D58" w:rsidRPr="00650EE4" w:rsidRDefault="00063D58" w:rsidP="00631BA6">
            <w:pPr>
              <w:pStyle w:val="TESlentelspavadinimas"/>
              <w:rPr>
                <w:noProof w:val="0"/>
              </w:rPr>
            </w:pPr>
            <w:r w:rsidRPr="00650EE4">
              <w:rPr>
                <w:noProof w:val="0"/>
                <w:lang w:eastAsia="en-GB"/>
              </w:rPr>
              <w:t>1.40%</w:t>
            </w:r>
          </w:p>
        </w:tc>
      </w:tr>
      <w:tr w:rsidR="00063D58" w:rsidRPr="00650EE4" w14:paraId="3FED34C8" w14:textId="77777777" w:rsidTr="00063D58">
        <w:tc>
          <w:tcPr>
            <w:tcW w:w="2405" w:type="dxa"/>
            <w:vMerge/>
          </w:tcPr>
          <w:p w14:paraId="6908DF69" w14:textId="77777777" w:rsidR="00063D58" w:rsidRPr="00650EE4" w:rsidRDefault="00063D58" w:rsidP="00631BA6">
            <w:pPr>
              <w:pStyle w:val="TESlentelspavadinimas"/>
              <w:rPr>
                <w:noProof w:val="0"/>
              </w:rPr>
            </w:pPr>
          </w:p>
        </w:tc>
        <w:tc>
          <w:tcPr>
            <w:tcW w:w="1947" w:type="dxa"/>
            <w:vAlign w:val="center"/>
          </w:tcPr>
          <w:p w14:paraId="146FBC94" w14:textId="59DA73C3" w:rsidR="00063D58" w:rsidRPr="00650EE4" w:rsidRDefault="00063D58" w:rsidP="00631BA6">
            <w:pPr>
              <w:pStyle w:val="TESlentelspavadinimas"/>
              <w:rPr>
                <w:noProof w:val="0"/>
              </w:rPr>
            </w:pPr>
            <w:r w:rsidRPr="00650EE4">
              <w:rPr>
                <w:noProof w:val="0"/>
                <w:lang w:eastAsia="en-GB"/>
              </w:rPr>
              <w:t>ES27</w:t>
            </w:r>
          </w:p>
        </w:tc>
        <w:tc>
          <w:tcPr>
            <w:tcW w:w="1947" w:type="dxa"/>
            <w:vAlign w:val="center"/>
          </w:tcPr>
          <w:p w14:paraId="1DA22FCB" w14:textId="2C97F0C2" w:rsidR="00063D58" w:rsidRPr="00650EE4" w:rsidRDefault="00063D58" w:rsidP="00631BA6">
            <w:pPr>
              <w:pStyle w:val="TESlentelspavadinimas"/>
              <w:rPr>
                <w:noProof w:val="0"/>
              </w:rPr>
            </w:pPr>
            <w:r w:rsidRPr="00650EE4">
              <w:rPr>
                <w:noProof w:val="0"/>
                <w:lang w:eastAsia="en-GB"/>
              </w:rPr>
              <w:t>0.21%</w:t>
            </w:r>
          </w:p>
        </w:tc>
        <w:tc>
          <w:tcPr>
            <w:tcW w:w="1947" w:type="dxa"/>
            <w:vAlign w:val="center"/>
          </w:tcPr>
          <w:p w14:paraId="721030CC" w14:textId="5BFC120D" w:rsidR="00063D58" w:rsidRPr="00650EE4" w:rsidRDefault="00063D58" w:rsidP="00631BA6">
            <w:pPr>
              <w:pStyle w:val="TESlentelspavadinimas"/>
              <w:rPr>
                <w:noProof w:val="0"/>
              </w:rPr>
            </w:pPr>
            <w:r w:rsidRPr="00650EE4">
              <w:rPr>
                <w:noProof w:val="0"/>
                <w:lang w:eastAsia="en-GB"/>
              </w:rPr>
              <w:t>0.14%</w:t>
            </w:r>
          </w:p>
        </w:tc>
      </w:tr>
    </w:tbl>
    <w:p w14:paraId="387C935A"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290D34D0" w14:textId="77777777" w:rsidR="0051748D" w:rsidRPr="00650EE4" w:rsidRDefault="0051748D" w:rsidP="00240506">
      <w:pPr>
        <w:spacing w:before="60" w:line="240" w:lineRule="auto"/>
        <w:rPr>
          <w:rFonts w:ascii="Times New Roman" w:eastAsia="Times New Roman" w:hAnsi="Times New Roman"/>
          <w:i/>
          <w:color w:val="000000" w:themeColor="text1"/>
          <w:sz w:val="20"/>
          <w:szCs w:val="28"/>
        </w:rPr>
      </w:pPr>
    </w:p>
    <w:p w14:paraId="44B9DAD7" w14:textId="77777777" w:rsidR="0051748D" w:rsidRPr="00650EE4" w:rsidRDefault="0051748D" w:rsidP="0051748D">
      <w:pPr>
        <w:spacing w:after="120"/>
        <w:jc w:val="both"/>
        <w:rPr>
          <w:rFonts w:ascii="Times New Roman" w:hAnsi="Times New Roman"/>
          <w:b/>
          <w:szCs w:val="22"/>
        </w:rPr>
      </w:pPr>
      <w:r w:rsidRPr="00650EE4">
        <w:rPr>
          <w:rFonts w:ascii="Times New Roman" w:hAnsi="Times New Roman"/>
          <w:b/>
          <w:szCs w:val="22"/>
        </w:rPr>
        <w:t>Namų ūkių dalis, kurių su namų išlaikymu susijusios sąnaudos viršija 40 proc. disponuojamųjų pajamų</w:t>
      </w:r>
    </w:p>
    <w:p w14:paraId="1B377062" w14:textId="6DF5AFF5" w:rsidR="00240506" w:rsidRPr="00650EE4" w:rsidRDefault="00240506" w:rsidP="0039646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Sparčiai augantis darbo užmokestis, mažėjančios energetinių išteklių kainos ir augantis biokuro panaudojimas centralizuotame šilumos </w:t>
      </w:r>
      <w:r w:rsidR="00364533" w:rsidRPr="00650EE4">
        <w:rPr>
          <w:rFonts w:ascii="Times New Roman" w:hAnsi="Times New Roman"/>
          <w:color w:val="000000" w:themeColor="text1"/>
          <w:szCs w:val="22"/>
          <w:lang w:val="lt-LT"/>
        </w:rPr>
        <w:t>ūkyje</w:t>
      </w:r>
      <w:r w:rsidRPr="00650EE4">
        <w:rPr>
          <w:rFonts w:ascii="Times New Roman" w:hAnsi="Times New Roman"/>
          <w:color w:val="000000" w:themeColor="text1"/>
          <w:szCs w:val="22"/>
          <w:lang w:val="lt-LT"/>
        </w:rPr>
        <w:t xml:space="preserve"> lėmė ir tai, kad Lietuvoje </w:t>
      </w:r>
      <w:r w:rsidR="00364533" w:rsidRPr="00650EE4">
        <w:rPr>
          <w:rFonts w:ascii="Times New Roman" w:hAnsi="Times New Roman"/>
          <w:color w:val="000000" w:themeColor="text1"/>
          <w:szCs w:val="22"/>
          <w:lang w:val="lt-LT"/>
        </w:rPr>
        <w:t>sparčiai</w:t>
      </w:r>
      <w:r w:rsidRPr="00650EE4">
        <w:rPr>
          <w:rFonts w:ascii="Times New Roman" w:hAnsi="Times New Roman"/>
          <w:color w:val="000000" w:themeColor="text1"/>
          <w:szCs w:val="22"/>
          <w:lang w:val="lt-LT"/>
        </w:rPr>
        <w:t xml:space="preserve"> mažėjo namų ūkių dalis, kurių su namų išlaikymu susijusios sąnaudos viršija 40 proc. disponuojamųjų pajamų. Per 2010-2018 m. periodą šis rodiklis sumažėjo perpus, kai likusioje ES šis rodiklis išliko daugmaž nepasike</w:t>
      </w:r>
      <w:r w:rsidR="00364533" w:rsidRPr="00650EE4">
        <w:rPr>
          <w:rFonts w:ascii="Times New Roman" w:hAnsi="Times New Roman"/>
          <w:color w:val="000000" w:themeColor="text1"/>
          <w:szCs w:val="22"/>
          <w:lang w:val="lt-LT"/>
        </w:rPr>
        <w:t>i</w:t>
      </w:r>
      <w:r w:rsidRPr="00650EE4">
        <w:rPr>
          <w:rFonts w:ascii="Times New Roman" w:hAnsi="Times New Roman"/>
          <w:color w:val="000000" w:themeColor="text1"/>
          <w:szCs w:val="22"/>
          <w:lang w:val="lt-LT"/>
        </w:rPr>
        <w:t xml:space="preserve">tęs, kai Lietuvoje ir ES šis rodiklis buvo vienodas. Šis pokytis taip pat patvirtina, kad nors ir šildymo sąnaudos Lietuvoje yra didesnės nei ES, šaltesnis klimatas tam turi didelę įtaką. </w:t>
      </w:r>
    </w:p>
    <w:p w14:paraId="38DF1DDE" w14:textId="77777777" w:rsidR="00240506" w:rsidRPr="00650EE4" w:rsidRDefault="00240506" w:rsidP="00DA7A9B">
      <w:pPr>
        <w:pStyle w:val="BodyText"/>
        <w:spacing w:line="280" w:lineRule="atLeast"/>
        <w:jc w:val="both"/>
        <w:rPr>
          <w:rFonts w:ascii="Times New Roman" w:hAnsi="Times New Roman"/>
          <w:color w:val="000000" w:themeColor="text1"/>
          <w:szCs w:val="22"/>
          <w:lang w:val="lt-LT"/>
        </w:rPr>
      </w:pPr>
    </w:p>
    <w:p w14:paraId="6289A550" w14:textId="7A9D07A3"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1" w:name="_Toc67925229"/>
      <w:r w:rsidR="007744C1">
        <w:t>46</w:t>
      </w:r>
      <w:r w:rsidRPr="00650EE4">
        <w:rPr>
          <w:noProof w:val="0"/>
        </w:rPr>
        <w:fldChar w:fldCharType="end"/>
      </w:r>
      <w:r w:rsidR="00240506" w:rsidRPr="00650EE4">
        <w:rPr>
          <w:noProof w:val="0"/>
        </w:rPr>
        <w:t xml:space="preserve"> lentelė. Namų ūkių dalis, kurių su namų išlaikymu susijusios sąnaudos viršija 40 proc. disponuojamųjų pajamų, proc.</w:t>
      </w:r>
      <w:bookmarkEnd w:id="131"/>
    </w:p>
    <w:tbl>
      <w:tblPr>
        <w:tblW w:w="10194" w:type="dxa"/>
        <w:tblLayout w:type="fixed"/>
        <w:tblLook w:val="04A0" w:firstRow="1" w:lastRow="0" w:firstColumn="1" w:lastColumn="0" w:noHBand="0" w:noVBand="1"/>
      </w:tblPr>
      <w:tblGrid>
        <w:gridCol w:w="3925"/>
        <w:gridCol w:w="696"/>
        <w:gridCol w:w="697"/>
        <w:gridCol w:w="696"/>
        <w:gridCol w:w="697"/>
        <w:gridCol w:w="696"/>
        <w:gridCol w:w="697"/>
        <w:gridCol w:w="696"/>
        <w:gridCol w:w="697"/>
        <w:gridCol w:w="697"/>
      </w:tblGrid>
      <w:tr w:rsidR="00240506" w:rsidRPr="00650EE4" w14:paraId="18270938" w14:textId="77777777" w:rsidTr="006B5FBC">
        <w:tc>
          <w:tcPr>
            <w:tcW w:w="3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7DBD5" w14:textId="77777777" w:rsidR="00240506" w:rsidRPr="00650EE4" w:rsidRDefault="00240506" w:rsidP="00DC1083">
            <w:pPr>
              <w:spacing w:line="240" w:lineRule="auto"/>
              <w:rPr>
                <w:rFonts w:ascii="Times New Roman" w:eastAsia="Times New Roman" w:hAnsi="Times New Roman"/>
                <w:color w:val="auto"/>
                <w:sz w:val="18"/>
                <w:szCs w:val="18"/>
                <w:lang w:eastAsia="en-GB"/>
              </w:rPr>
            </w:pPr>
            <w:r w:rsidRPr="00650EE4">
              <w:rPr>
                <w:rFonts w:ascii="Times New Roman" w:eastAsia="Times New Roman" w:hAnsi="Times New Roman"/>
                <w:color w:val="auto"/>
                <w:sz w:val="18"/>
                <w:szCs w:val="18"/>
                <w:lang w:eastAsia="en-GB"/>
              </w:rPr>
              <w:t> </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3DD95831"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2010</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56191329"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2011</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1B00F10D"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2012</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0E2C3B72"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2013</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51F12EF9"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2014</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2CA3E6E4"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2015</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26DD89E7"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2016</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1C002AED"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2017</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4D7B8EED"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2018</w:t>
            </w:r>
          </w:p>
        </w:tc>
      </w:tr>
      <w:tr w:rsidR="00240506" w:rsidRPr="00650EE4" w14:paraId="34A51B25" w14:textId="77777777" w:rsidTr="006B5FBC">
        <w:tc>
          <w:tcPr>
            <w:tcW w:w="3925" w:type="dxa"/>
            <w:tcBorders>
              <w:top w:val="nil"/>
              <w:left w:val="single" w:sz="4" w:space="0" w:color="000000"/>
              <w:bottom w:val="single" w:sz="4" w:space="0" w:color="000000"/>
              <w:right w:val="single" w:sz="4" w:space="0" w:color="000000"/>
            </w:tcBorders>
            <w:shd w:val="clear" w:color="auto" w:fill="auto"/>
            <w:noWrap/>
            <w:vAlign w:val="bottom"/>
            <w:hideMark/>
          </w:tcPr>
          <w:p w14:paraId="2C996B22" w14:textId="77777777" w:rsidR="00240506" w:rsidRPr="00650EE4" w:rsidRDefault="00240506" w:rsidP="00DC1083">
            <w:pPr>
              <w:spacing w:line="240" w:lineRule="auto"/>
              <w:rPr>
                <w:rFonts w:ascii="Times New Roman" w:eastAsia="Times New Roman" w:hAnsi="Times New Roman"/>
                <w:color w:val="auto"/>
                <w:sz w:val="20"/>
                <w:szCs w:val="18"/>
                <w:lang w:eastAsia="en-GB"/>
              </w:rPr>
            </w:pPr>
            <w:r w:rsidRPr="00650EE4">
              <w:rPr>
                <w:rFonts w:ascii="Times New Roman" w:eastAsia="Times New Roman" w:hAnsi="Times New Roman"/>
                <w:color w:val="auto"/>
                <w:sz w:val="20"/>
                <w:szCs w:val="18"/>
                <w:lang w:eastAsia="en-GB"/>
              </w:rPr>
              <w:t>Namų ūkių dalis, kurių su namų išlaikymu susijusios sąnaudos viršija 40 proc. disponuojamųjų pajamų Lietuvoje</w:t>
            </w:r>
          </w:p>
        </w:tc>
        <w:tc>
          <w:tcPr>
            <w:tcW w:w="696" w:type="dxa"/>
            <w:tcBorders>
              <w:top w:val="nil"/>
              <w:left w:val="nil"/>
              <w:bottom w:val="single" w:sz="4" w:space="0" w:color="000000"/>
              <w:right w:val="single" w:sz="4" w:space="0" w:color="000000"/>
            </w:tcBorders>
            <w:shd w:val="clear" w:color="auto" w:fill="auto"/>
            <w:noWrap/>
            <w:vAlign w:val="bottom"/>
            <w:hideMark/>
          </w:tcPr>
          <w:p w14:paraId="14AFBD43"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10.6</w:t>
            </w:r>
          </w:p>
        </w:tc>
        <w:tc>
          <w:tcPr>
            <w:tcW w:w="697" w:type="dxa"/>
            <w:tcBorders>
              <w:top w:val="nil"/>
              <w:left w:val="nil"/>
              <w:bottom w:val="single" w:sz="4" w:space="0" w:color="000000"/>
              <w:right w:val="single" w:sz="4" w:space="0" w:color="000000"/>
            </w:tcBorders>
            <w:shd w:val="clear" w:color="auto" w:fill="auto"/>
            <w:noWrap/>
            <w:vAlign w:val="bottom"/>
            <w:hideMark/>
          </w:tcPr>
          <w:p w14:paraId="34FC78E0"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11.1</w:t>
            </w:r>
          </w:p>
        </w:tc>
        <w:tc>
          <w:tcPr>
            <w:tcW w:w="696" w:type="dxa"/>
            <w:tcBorders>
              <w:top w:val="nil"/>
              <w:left w:val="nil"/>
              <w:bottom w:val="single" w:sz="4" w:space="0" w:color="000000"/>
              <w:right w:val="single" w:sz="4" w:space="0" w:color="000000"/>
            </w:tcBorders>
            <w:shd w:val="clear" w:color="auto" w:fill="auto"/>
            <w:noWrap/>
            <w:vAlign w:val="bottom"/>
            <w:hideMark/>
          </w:tcPr>
          <w:p w14:paraId="54B5F26E"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8.9</w:t>
            </w:r>
          </w:p>
        </w:tc>
        <w:tc>
          <w:tcPr>
            <w:tcW w:w="697" w:type="dxa"/>
            <w:tcBorders>
              <w:top w:val="nil"/>
              <w:left w:val="nil"/>
              <w:bottom w:val="single" w:sz="4" w:space="0" w:color="000000"/>
              <w:right w:val="single" w:sz="4" w:space="0" w:color="000000"/>
            </w:tcBorders>
            <w:shd w:val="clear" w:color="auto" w:fill="auto"/>
            <w:noWrap/>
            <w:vAlign w:val="bottom"/>
            <w:hideMark/>
          </w:tcPr>
          <w:p w14:paraId="6322439F"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8.2</w:t>
            </w:r>
          </w:p>
        </w:tc>
        <w:tc>
          <w:tcPr>
            <w:tcW w:w="696" w:type="dxa"/>
            <w:tcBorders>
              <w:top w:val="nil"/>
              <w:left w:val="nil"/>
              <w:bottom w:val="single" w:sz="4" w:space="0" w:color="000000"/>
              <w:right w:val="single" w:sz="4" w:space="0" w:color="000000"/>
            </w:tcBorders>
            <w:shd w:val="clear" w:color="auto" w:fill="auto"/>
            <w:noWrap/>
            <w:vAlign w:val="bottom"/>
            <w:hideMark/>
          </w:tcPr>
          <w:p w14:paraId="3489068D"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7.1</w:t>
            </w:r>
          </w:p>
        </w:tc>
        <w:tc>
          <w:tcPr>
            <w:tcW w:w="697" w:type="dxa"/>
            <w:tcBorders>
              <w:top w:val="nil"/>
              <w:left w:val="nil"/>
              <w:bottom w:val="single" w:sz="4" w:space="0" w:color="000000"/>
              <w:right w:val="single" w:sz="4" w:space="0" w:color="000000"/>
            </w:tcBorders>
            <w:shd w:val="clear" w:color="auto" w:fill="auto"/>
            <w:noWrap/>
            <w:vAlign w:val="bottom"/>
            <w:hideMark/>
          </w:tcPr>
          <w:p w14:paraId="07CD1642"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9.1</w:t>
            </w:r>
          </w:p>
        </w:tc>
        <w:tc>
          <w:tcPr>
            <w:tcW w:w="696" w:type="dxa"/>
            <w:tcBorders>
              <w:top w:val="nil"/>
              <w:left w:val="nil"/>
              <w:bottom w:val="single" w:sz="4" w:space="0" w:color="000000"/>
              <w:right w:val="single" w:sz="4" w:space="0" w:color="000000"/>
            </w:tcBorders>
            <w:shd w:val="clear" w:color="auto" w:fill="auto"/>
            <w:noWrap/>
            <w:vAlign w:val="bottom"/>
            <w:hideMark/>
          </w:tcPr>
          <w:p w14:paraId="61DB9CF2"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7.8</w:t>
            </w:r>
          </w:p>
        </w:tc>
        <w:tc>
          <w:tcPr>
            <w:tcW w:w="697" w:type="dxa"/>
            <w:tcBorders>
              <w:top w:val="nil"/>
              <w:left w:val="nil"/>
              <w:bottom w:val="single" w:sz="4" w:space="0" w:color="000000"/>
              <w:right w:val="single" w:sz="4" w:space="0" w:color="000000"/>
            </w:tcBorders>
            <w:shd w:val="clear" w:color="auto" w:fill="auto"/>
            <w:noWrap/>
            <w:vAlign w:val="bottom"/>
            <w:hideMark/>
          </w:tcPr>
          <w:p w14:paraId="4120C7E1"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7.2</w:t>
            </w:r>
          </w:p>
        </w:tc>
        <w:tc>
          <w:tcPr>
            <w:tcW w:w="697" w:type="dxa"/>
            <w:tcBorders>
              <w:top w:val="nil"/>
              <w:left w:val="nil"/>
              <w:bottom w:val="single" w:sz="4" w:space="0" w:color="000000"/>
              <w:right w:val="single" w:sz="4" w:space="0" w:color="000000"/>
            </w:tcBorders>
            <w:shd w:val="clear" w:color="auto" w:fill="auto"/>
            <w:noWrap/>
            <w:vAlign w:val="bottom"/>
            <w:hideMark/>
          </w:tcPr>
          <w:p w14:paraId="21A0E605"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5.6</w:t>
            </w:r>
          </w:p>
        </w:tc>
      </w:tr>
      <w:tr w:rsidR="00240506" w:rsidRPr="00650EE4" w14:paraId="7916BAA5" w14:textId="77777777" w:rsidTr="006B5FBC">
        <w:tc>
          <w:tcPr>
            <w:tcW w:w="3925" w:type="dxa"/>
            <w:tcBorders>
              <w:top w:val="nil"/>
              <w:left w:val="single" w:sz="4" w:space="0" w:color="000000"/>
              <w:bottom w:val="single" w:sz="4" w:space="0" w:color="000000"/>
              <w:right w:val="single" w:sz="4" w:space="0" w:color="000000"/>
            </w:tcBorders>
            <w:shd w:val="clear" w:color="auto" w:fill="auto"/>
            <w:noWrap/>
            <w:vAlign w:val="bottom"/>
            <w:hideMark/>
          </w:tcPr>
          <w:p w14:paraId="3D0F1F4D" w14:textId="77777777" w:rsidR="00240506" w:rsidRPr="00650EE4" w:rsidRDefault="00240506" w:rsidP="00DC1083">
            <w:pPr>
              <w:spacing w:line="240" w:lineRule="auto"/>
              <w:rPr>
                <w:rFonts w:ascii="Times New Roman" w:eastAsia="Times New Roman" w:hAnsi="Times New Roman"/>
                <w:color w:val="auto"/>
                <w:sz w:val="20"/>
                <w:szCs w:val="18"/>
                <w:lang w:eastAsia="en-GB"/>
              </w:rPr>
            </w:pPr>
            <w:r w:rsidRPr="00650EE4">
              <w:rPr>
                <w:rFonts w:ascii="Times New Roman" w:eastAsia="Times New Roman" w:hAnsi="Times New Roman"/>
                <w:color w:val="auto"/>
                <w:sz w:val="20"/>
                <w:szCs w:val="18"/>
                <w:lang w:eastAsia="en-GB"/>
              </w:rPr>
              <w:t>Namų ūkių dalis, kurių su namų išlaikymu susijusios sąnaudos viršija 40 proc. disponuojamųjų pajamų ES28</w:t>
            </w:r>
          </w:p>
        </w:tc>
        <w:tc>
          <w:tcPr>
            <w:tcW w:w="696" w:type="dxa"/>
            <w:tcBorders>
              <w:top w:val="nil"/>
              <w:left w:val="nil"/>
              <w:bottom w:val="single" w:sz="4" w:space="0" w:color="000000"/>
              <w:right w:val="single" w:sz="4" w:space="0" w:color="000000"/>
            </w:tcBorders>
            <w:shd w:val="clear" w:color="auto" w:fill="auto"/>
            <w:noWrap/>
            <w:vAlign w:val="bottom"/>
            <w:hideMark/>
          </w:tcPr>
          <w:p w14:paraId="0830A40B"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10.8</w:t>
            </w:r>
          </w:p>
        </w:tc>
        <w:tc>
          <w:tcPr>
            <w:tcW w:w="697" w:type="dxa"/>
            <w:tcBorders>
              <w:top w:val="nil"/>
              <w:left w:val="nil"/>
              <w:bottom w:val="single" w:sz="4" w:space="0" w:color="000000"/>
              <w:right w:val="single" w:sz="4" w:space="0" w:color="000000"/>
            </w:tcBorders>
            <w:shd w:val="clear" w:color="auto" w:fill="auto"/>
            <w:noWrap/>
            <w:vAlign w:val="bottom"/>
            <w:hideMark/>
          </w:tcPr>
          <w:p w14:paraId="4D11F005"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11.4</w:t>
            </w:r>
          </w:p>
        </w:tc>
        <w:tc>
          <w:tcPr>
            <w:tcW w:w="696" w:type="dxa"/>
            <w:tcBorders>
              <w:top w:val="nil"/>
              <w:left w:val="nil"/>
              <w:bottom w:val="single" w:sz="4" w:space="0" w:color="000000"/>
              <w:right w:val="single" w:sz="4" w:space="0" w:color="000000"/>
            </w:tcBorders>
            <w:shd w:val="clear" w:color="auto" w:fill="auto"/>
            <w:noWrap/>
            <w:vAlign w:val="bottom"/>
            <w:hideMark/>
          </w:tcPr>
          <w:p w14:paraId="4431C83B"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11.0</w:t>
            </w:r>
          </w:p>
        </w:tc>
        <w:tc>
          <w:tcPr>
            <w:tcW w:w="697" w:type="dxa"/>
            <w:tcBorders>
              <w:top w:val="nil"/>
              <w:left w:val="nil"/>
              <w:bottom w:val="single" w:sz="4" w:space="0" w:color="000000"/>
              <w:right w:val="single" w:sz="4" w:space="0" w:color="000000"/>
            </w:tcBorders>
            <w:shd w:val="clear" w:color="auto" w:fill="auto"/>
            <w:noWrap/>
            <w:vAlign w:val="bottom"/>
            <w:hideMark/>
          </w:tcPr>
          <w:p w14:paraId="44DB6629"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11.1</w:t>
            </w:r>
          </w:p>
        </w:tc>
        <w:tc>
          <w:tcPr>
            <w:tcW w:w="696" w:type="dxa"/>
            <w:tcBorders>
              <w:top w:val="nil"/>
              <w:left w:val="nil"/>
              <w:bottom w:val="single" w:sz="4" w:space="0" w:color="000000"/>
              <w:right w:val="single" w:sz="4" w:space="0" w:color="000000"/>
            </w:tcBorders>
            <w:shd w:val="clear" w:color="auto" w:fill="auto"/>
            <w:noWrap/>
            <w:vAlign w:val="bottom"/>
            <w:hideMark/>
          </w:tcPr>
          <w:p w14:paraId="2FEB0DDC"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11.6</w:t>
            </w:r>
          </w:p>
        </w:tc>
        <w:tc>
          <w:tcPr>
            <w:tcW w:w="697" w:type="dxa"/>
            <w:tcBorders>
              <w:top w:val="nil"/>
              <w:left w:val="nil"/>
              <w:bottom w:val="single" w:sz="4" w:space="0" w:color="000000"/>
              <w:right w:val="single" w:sz="4" w:space="0" w:color="000000"/>
            </w:tcBorders>
            <w:shd w:val="clear" w:color="auto" w:fill="auto"/>
            <w:noWrap/>
            <w:vAlign w:val="bottom"/>
            <w:hideMark/>
          </w:tcPr>
          <w:p w14:paraId="677F7807"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11.4</w:t>
            </w:r>
          </w:p>
        </w:tc>
        <w:tc>
          <w:tcPr>
            <w:tcW w:w="696" w:type="dxa"/>
            <w:tcBorders>
              <w:top w:val="nil"/>
              <w:left w:val="nil"/>
              <w:bottom w:val="single" w:sz="4" w:space="0" w:color="000000"/>
              <w:right w:val="single" w:sz="4" w:space="0" w:color="000000"/>
            </w:tcBorders>
            <w:shd w:val="clear" w:color="auto" w:fill="auto"/>
            <w:noWrap/>
            <w:vAlign w:val="bottom"/>
            <w:hideMark/>
          </w:tcPr>
          <w:p w14:paraId="202C8CD8"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11.1</w:t>
            </w:r>
          </w:p>
        </w:tc>
        <w:tc>
          <w:tcPr>
            <w:tcW w:w="697" w:type="dxa"/>
            <w:tcBorders>
              <w:top w:val="nil"/>
              <w:left w:val="nil"/>
              <w:bottom w:val="single" w:sz="4" w:space="0" w:color="000000"/>
              <w:right w:val="single" w:sz="4" w:space="0" w:color="000000"/>
            </w:tcBorders>
            <w:shd w:val="clear" w:color="auto" w:fill="auto"/>
            <w:noWrap/>
            <w:vAlign w:val="bottom"/>
            <w:hideMark/>
          </w:tcPr>
          <w:p w14:paraId="68240E50"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10.4</w:t>
            </w:r>
          </w:p>
        </w:tc>
        <w:tc>
          <w:tcPr>
            <w:tcW w:w="697" w:type="dxa"/>
            <w:tcBorders>
              <w:top w:val="nil"/>
              <w:left w:val="nil"/>
              <w:bottom w:val="single" w:sz="4" w:space="0" w:color="000000"/>
              <w:right w:val="single" w:sz="4" w:space="0" w:color="000000"/>
            </w:tcBorders>
            <w:shd w:val="clear" w:color="auto" w:fill="auto"/>
            <w:noWrap/>
            <w:vAlign w:val="bottom"/>
            <w:hideMark/>
          </w:tcPr>
          <w:p w14:paraId="4A45F6B8"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10.3</w:t>
            </w:r>
          </w:p>
        </w:tc>
      </w:tr>
    </w:tbl>
    <w:p w14:paraId="780348EB"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31115EAD"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1CD7B776" w14:textId="77777777" w:rsidR="0051748D" w:rsidRPr="00650EE4" w:rsidRDefault="0051748D" w:rsidP="0051748D">
      <w:pPr>
        <w:spacing w:after="120"/>
        <w:jc w:val="both"/>
        <w:rPr>
          <w:rFonts w:ascii="Times New Roman" w:hAnsi="Times New Roman"/>
          <w:b/>
          <w:szCs w:val="22"/>
        </w:rPr>
      </w:pPr>
      <w:r w:rsidRPr="00650EE4">
        <w:rPr>
          <w:rFonts w:ascii="Times New Roman" w:hAnsi="Times New Roman"/>
          <w:b/>
          <w:szCs w:val="22"/>
        </w:rPr>
        <w:t>Disponuojamų pajamų ir namų išlaikymo sąnaudų dalis</w:t>
      </w:r>
    </w:p>
    <w:p w14:paraId="1AA5EB22" w14:textId="631C0DB2" w:rsidR="0051748D" w:rsidRPr="00650EE4" w:rsidRDefault="0051748D" w:rsidP="0051748D">
      <w:pPr>
        <w:jc w:val="both"/>
        <w:rPr>
          <w:rFonts w:ascii="Times New Roman" w:hAnsi="Times New Roman"/>
          <w:szCs w:val="22"/>
        </w:rPr>
      </w:pPr>
      <w:r w:rsidRPr="00650EE4">
        <w:rPr>
          <w:rFonts w:ascii="Times New Roman" w:hAnsi="Times New Roman"/>
          <w:szCs w:val="22"/>
        </w:rPr>
        <w:t xml:space="preserve">Nors Lietuvoje namų ūkių išlaidos šildymui yra santykinai didesnė nei ES, tačiau bendros išlaidos susijusios su namų išlaikymu sąnaudų dalis lyginant su disponuojamomis pajamos buvo mažesnės nei visu 2010-2018 m. periodu. Disponuojamų pajamų namų išlaikymui sąnaudų dalis Lietuvoje šiuo laikotarpiu sumažėjo ketvirtadaliu. Tam įtakos turėjo trys faktoriai: sparčiai augantis atlyginimas (6,1 proc. per metus), mažėjančios </w:t>
      </w:r>
      <w:r w:rsidR="00954E34" w:rsidRPr="00650EE4">
        <w:rPr>
          <w:rFonts w:ascii="Times New Roman" w:hAnsi="Times New Roman"/>
          <w:szCs w:val="22"/>
        </w:rPr>
        <w:t>kuro</w:t>
      </w:r>
      <w:r w:rsidRPr="00650EE4">
        <w:rPr>
          <w:rFonts w:ascii="Times New Roman" w:hAnsi="Times New Roman"/>
          <w:szCs w:val="22"/>
        </w:rPr>
        <w:t xml:space="preserve"> kainos (dujos 6,5 proc., biokuras 4,0 proc. per metus) bei išaugęs biokuro naudojimas centralizuotame šildyme (nuo 19 proc. 2010 m. iki virš 70 proc. 2019 m.). Renovacija iš dalies prisidėjo prie šio rodiklio gerėjimo, tačiau nebuvo esminis faktorius. Duomenys apie disponuojamų pajamų namų išlaikymo sąnaudų dalį Lietuvoje ir ES28 2010-2018 m. pateikti lentelėje apačioje.</w:t>
      </w:r>
    </w:p>
    <w:p w14:paraId="6A3A32D8" w14:textId="77777777" w:rsidR="0051748D" w:rsidRPr="00650EE4" w:rsidRDefault="0051748D" w:rsidP="0051748D">
      <w:pPr>
        <w:pStyle w:val="BodyText"/>
        <w:spacing w:line="280" w:lineRule="atLeast"/>
        <w:jc w:val="both"/>
        <w:rPr>
          <w:rFonts w:ascii="Times New Roman" w:hAnsi="Times New Roman"/>
          <w:color w:val="000000" w:themeColor="text1"/>
          <w:szCs w:val="22"/>
          <w:lang w:val="lt-LT"/>
        </w:rPr>
      </w:pPr>
    </w:p>
    <w:p w14:paraId="67CDA36B" w14:textId="77777777" w:rsidR="00C5035E" w:rsidRDefault="00C5035E">
      <w:pPr>
        <w:spacing w:after="240"/>
        <w:rPr>
          <w:rFonts w:ascii="Times New Roman" w:eastAsiaTheme="minorHAnsi" w:hAnsi="Times New Roman"/>
          <w:bCs/>
          <w:i/>
          <w:color w:val="000000" w:themeColor="text1"/>
          <w:sz w:val="20"/>
          <w:szCs w:val="20"/>
        </w:rPr>
      </w:pPr>
      <w:r>
        <w:br w:type="page"/>
      </w:r>
    </w:p>
    <w:p w14:paraId="55BD6AD9" w14:textId="1A23BB1A" w:rsidR="0051748D" w:rsidRPr="00650EE4" w:rsidRDefault="0051748D"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32" w:name="_Toc67925230"/>
      <w:r w:rsidR="007744C1">
        <w:t>47</w:t>
      </w:r>
      <w:r w:rsidRPr="00650EE4">
        <w:rPr>
          <w:noProof w:val="0"/>
        </w:rPr>
        <w:fldChar w:fldCharType="end"/>
      </w:r>
      <w:r w:rsidRPr="00650EE4">
        <w:rPr>
          <w:noProof w:val="0"/>
        </w:rPr>
        <w:t xml:space="preserve"> lentelė. Disponuojamų pajamų namų išlaikymo sąnaudų dalis, proc.</w:t>
      </w:r>
      <w:bookmarkEnd w:id="132"/>
    </w:p>
    <w:tbl>
      <w:tblPr>
        <w:tblW w:w="10194" w:type="dxa"/>
        <w:tblLayout w:type="fixed"/>
        <w:tblLook w:val="04A0" w:firstRow="1" w:lastRow="0" w:firstColumn="1" w:lastColumn="0" w:noHBand="0" w:noVBand="1"/>
      </w:tblPr>
      <w:tblGrid>
        <w:gridCol w:w="3925"/>
        <w:gridCol w:w="696"/>
        <w:gridCol w:w="697"/>
        <w:gridCol w:w="696"/>
        <w:gridCol w:w="697"/>
        <w:gridCol w:w="696"/>
        <w:gridCol w:w="697"/>
        <w:gridCol w:w="696"/>
        <w:gridCol w:w="697"/>
        <w:gridCol w:w="697"/>
      </w:tblGrid>
      <w:tr w:rsidR="0051748D" w:rsidRPr="00650EE4" w14:paraId="6859DD27" w14:textId="77777777" w:rsidTr="00C945BA">
        <w:tc>
          <w:tcPr>
            <w:tcW w:w="3925" w:type="dxa"/>
            <w:tcBorders>
              <w:top w:val="single" w:sz="4" w:space="0" w:color="auto"/>
              <w:left w:val="single" w:sz="4" w:space="0" w:color="auto"/>
              <w:bottom w:val="single" w:sz="4" w:space="0" w:color="auto"/>
              <w:right w:val="single" w:sz="4" w:space="0" w:color="auto"/>
            </w:tcBorders>
            <w:shd w:val="clear" w:color="auto" w:fill="auto"/>
            <w:noWrap/>
            <w:hideMark/>
          </w:tcPr>
          <w:p w14:paraId="5EB8F3A0" w14:textId="77777777" w:rsidR="0051748D" w:rsidRPr="00650EE4" w:rsidRDefault="0051748D" w:rsidP="006B1C87">
            <w:pPr>
              <w:spacing w:line="240" w:lineRule="auto"/>
              <w:rPr>
                <w:rFonts w:ascii="Times New Roman" w:eastAsia="Times New Roman" w:hAnsi="Times New Roman"/>
                <w:color w:val="auto"/>
                <w:sz w:val="20"/>
                <w:szCs w:val="18"/>
                <w:lang w:eastAsia="en-GB"/>
              </w:rPr>
            </w:pPr>
          </w:p>
        </w:tc>
        <w:tc>
          <w:tcPr>
            <w:tcW w:w="696" w:type="dxa"/>
            <w:tcBorders>
              <w:top w:val="single" w:sz="4" w:space="0" w:color="000000"/>
              <w:left w:val="nil"/>
              <w:bottom w:val="single" w:sz="4" w:space="0" w:color="000000"/>
              <w:right w:val="single" w:sz="4" w:space="0" w:color="000000"/>
            </w:tcBorders>
            <w:shd w:val="clear" w:color="auto" w:fill="auto"/>
            <w:noWrap/>
            <w:hideMark/>
          </w:tcPr>
          <w:p w14:paraId="7867376F"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2010</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2AC69643"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2011</w:t>
            </w:r>
          </w:p>
        </w:tc>
        <w:tc>
          <w:tcPr>
            <w:tcW w:w="696" w:type="dxa"/>
            <w:tcBorders>
              <w:top w:val="single" w:sz="4" w:space="0" w:color="000000"/>
              <w:left w:val="nil"/>
              <w:bottom w:val="single" w:sz="4" w:space="0" w:color="000000"/>
              <w:right w:val="single" w:sz="4" w:space="0" w:color="000000"/>
            </w:tcBorders>
            <w:shd w:val="clear" w:color="auto" w:fill="auto"/>
            <w:noWrap/>
            <w:hideMark/>
          </w:tcPr>
          <w:p w14:paraId="1F7F4269"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2012</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70238737"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2013</w:t>
            </w:r>
          </w:p>
        </w:tc>
        <w:tc>
          <w:tcPr>
            <w:tcW w:w="696" w:type="dxa"/>
            <w:tcBorders>
              <w:top w:val="single" w:sz="4" w:space="0" w:color="000000"/>
              <w:left w:val="nil"/>
              <w:bottom w:val="single" w:sz="4" w:space="0" w:color="000000"/>
              <w:right w:val="single" w:sz="4" w:space="0" w:color="000000"/>
            </w:tcBorders>
            <w:shd w:val="clear" w:color="auto" w:fill="auto"/>
            <w:noWrap/>
            <w:hideMark/>
          </w:tcPr>
          <w:p w14:paraId="1E07375A"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2014</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15E3409A"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2015</w:t>
            </w:r>
          </w:p>
        </w:tc>
        <w:tc>
          <w:tcPr>
            <w:tcW w:w="696" w:type="dxa"/>
            <w:tcBorders>
              <w:top w:val="single" w:sz="4" w:space="0" w:color="000000"/>
              <w:left w:val="nil"/>
              <w:bottom w:val="single" w:sz="4" w:space="0" w:color="000000"/>
              <w:right w:val="single" w:sz="4" w:space="0" w:color="000000"/>
            </w:tcBorders>
            <w:shd w:val="clear" w:color="auto" w:fill="auto"/>
            <w:noWrap/>
            <w:hideMark/>
          </w:tcPr>
          <w:p w14:paraId="4A3223AB"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2016</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008F3B28"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2017</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11DD0D74"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2018</w:t>
            </w:r>
          </w:p>
        </w:tc>
      </w:tr>
      <w:tr w:rsidR="0051748D" w:rsidRPr="00650EE4" w14:paraId="1767E4DA" w14:textId="77777777" w:rsidTr="00C945BA">
        <w:tc>
          <w:tcPr>
            <w:tcW w:w="3925" w:type="dxa"/>
            <w:tcBorders>
              <w:top w:val="nil"/>
              <w:left w:val="single" w:sz="4" w:space="0" w:color="000000"/>
              <w:bottom w:val="single" w:sz="4" w:space="0" w:color="000000"/>
              <w:right w:val="single" w:sz="4" w:space="0" w:color="000000"/>
            </w:tcBorders>
            <w:shd w:val="clear" w:color="auto" w:fill="auto"/>
            <w:noWrap/>
            <w:hideMark/>
          </w:tcPr>
          <w:p w14:paraId="5A86077B" w14:textId="77777777" w:rsidR="0051748D" w:rsidRPr="00650EE4" w:rsidRDefault="0051748D" w:rsidP="006B1C87">
            <w:pPr>
              <w:spacing w:line="240" w:lineRule="auto"/>
              <w:rPr>
                <w:rFonts w:ascii="Times New Roman" w:eastAsia="Times New Roman" w:hAnsi="Times New Roman"/>
                <w:color w:val="auto"/>
                <w:sz w:val="20"/>
                <w:szCs w:val="18"/>
                <w:lang w:eastAsia="en-GB"/>
              </w:rPr>
            </w:pPr>
            <w:r w:rsidRPr="00650EE4">
              <w:rPr>
                <w:rFonts w:ascii="Times New Roman" w:hAnsi="Times New Roman"/>
                <w:sz w:val="20"/>
                <w:szCs w:val="18"/>
              </w:rPr>
              <w:t>Disponuojamų pajamų namų išlaikymo sąnaudų dalis Lietuvoje</w:t>
            </w:r>
          </w:p>
        </w:tc>
        <w:tc>
          <w:tcPr>
            <w:tcW w:w="696" w:type="dxa"/>
            <w:tcBorders>
              <w:top w:val="nil"/>
              <w:left w:val="nil"/>
              <w:bottom w:val="single" w:sz="4" w:space="0" w:color="000000"/>
              <w:right w:val="single" w:sz="4" w:space="0" w:color="000000"/>
            </w:tcBorders>
            <w:shd w:val="clear" w:color="auto" w:fill="auto"/>
            <w:noWrap/>
            <w:hideMark/>
          </w:tcPr>
          <w:p w14:paraId="62D9E7D4"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20.3</w:t>
            </w:r>
          </w:p>
        </w:tc>
        <w:tc>
          <w:tcPr>
            <w:tcW w:w="697" w:type="dxa"/>
            <w:tcBorders>
              <w:top w:val="nil"/>
              <w:left w:val="nil"/>
              <w:bottom w:val="single" w:sz="4" w:space="0" w:color="000000"/>
              <w:right w:val="single" w:sz="4" w:space="0" w:color="000000"/>
            </w:tcBorders>
            <w:shd w:val="clear" w:color="auto" w:fill="auto"/>
            <w:noWrap/>
            <w:hideMark/>
          </w:tcPr>
          <w:p w14:paraId="5C9F8A4E"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21.8</w:t>
            </w:r>
          </w:p>
        </w:tc>
        <w:tc>
          <w:tcPr>
            <w:tcW w:w="696" w:type="dxa"/>
            <w:tcBorders>
              <w:top w:val="nil"/>
              <w:left w:val="nil"/>
              <w:bottom w:val="single" w:sz="4" w:space="0" w:color="000000"/>
              <w:right w:val="single" w:sz="4" w:space="0" w:color="000000"/>
            </w:tcBorders>
            <w:shd w:val="clear" w:color="auto" w:fill="auto"/>
            <w:noWrap/>
            <w:hideMark/>
          </w:tcPr>
          <w:p w14:paraId="6F89A774"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20.1</w:t>
            </w:r>
          </w:p>
        </w:tc>
        <w:tc>
          <w:tcPr>
            <w:tcW w:w="697" w:type="dxa"/>
            <w:tcBorders>
              <w:top w:val="nil"/>
              <w:left w:val="nil"/>
              <w:bottom w:val="single" w:sz="4" w:space="0" w:color="000000"/>
              <w:right w:val="single" w:sz="4" w:space="0" w:color="000000"/>
            </w:tcBorders>
            <w:shd w:val="clear" w:color="auto" w:fill="auto"/>
            <w:noWrap/>
            <w:hideMark/>
          </w:tcPr>
          <w:p w14:paraId="0EE9F42C"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19.5</w:t>
            </w:r>
          </w:p>
        </w:tc>
        <w:tc>
          <w:tcPr>
            <w:tcW w:w="696" w:type="dxa"/>
            <w:tcBorders>
              <w:top w:val="nil"/>
              <w:left w:val="nil"/>
              <w:bottom w:val="single" w:sz="4" w:space="0" w:color="000000"/>
              <w:right w:val="single" w:sz="4" w:space="0" w:color="000000"/>
            </w:tcBorders>
            <w:shd w:val="clear" w:color="auto" w:fill="auto"/>
            <w:noWrap/>
            <w:hideMark/>
          </w:tcPr>
          <w:p w14:paraId="4048E62B"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18.6</w:t>
            </w:r>
          </w:p>
        </w:tc>
        <w:tc>
          <w:tcPr>
            <w:tcW w:w="697" w:type="dxa"/>
            <w:tcBorders>
              <w:top w:val="nil"/>
              <w:left w:val="nil"/>
              <w:bottom w:val="single" w:sz="4" w:space="0" w:color="000000"/>
              <w:right w:val="single" w:sz="4" w:space="0" w:color="000000"/>
            </w:tcBorders>
            <w:shd w:val="clear" w:color="auto" w:fill="auto"/>
            <w:noWrap/>
            <w:hideMark/>
          </w:tcPr>
          <w:p w14:paraId="47B2E393"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19.0</w:t>
            </w:r>
          </w:p>
        </w:tc>
        <w:tc>
          <w:tcPr>
            <w:tcW w:w="696" w:type="dxa"/>
            <w:tcBorders>
              <w:top w:val="nil"/>
              <w:left w:val="nil"/>
              <w:bottom w:val="single" w:sz="4" w:space="0" w:color="000000"/>
              <w:right w:val="single" w:sz="4" w:space="0" w:color="000000"/>
            </w:tcBorders>
            <w:shd w:val="clear" w:color="auto" w:fill="auto"/>
            <w:noWrap/>
            <w:hideMark/>
          </w:tcPr>
          <w:p w14:paraId="34D16415"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17.2</w:t>
            </w:r>
          </w:p>
        </w:tc>
        <w:tc>
          <w:tcPr>
            <w:tcW w:w="697" w:type="dxa"/>
            <w:tcBorders>
              <w:top w:val="nil"/>
              <w:left w:val="nil"/>
              <w:bottom w:val="single" w:sz="4" w:space="0" w:color="000000"/>
              <w:right w:val="single" w:sz="4" w:space="0" w:color="000000"/>
            </w:tcBorders>
            <w:shd w:val="clear" w:color="auto" w:fill="auto"/>
            <w:noWrap/>
            <w:hideMark/>
          </w:tcPr>
          <w:p w14:paraId="5FF93FC3"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16.3</w:t>
            </w:r>
          </w:p>
        </w:tc>
        <w:tc>
          <w:tcPr>
            <w:tcW w:w="697" w:type="dxa"/>
            <w:tcBorders>
              <w:top w:val="nil"/>
              <w:left w:val="nil"/>
              <w:bottom w:val="single" w:sz="4" w:space="0" w:color="000000"/>
              <w:right w:val="single" w:sz="4" w:space="0" w:color="000000"/>
            </w:tcBorders>
            <w:shd w:val="clear" w:color="auto" w:fill="auto"/>
            <w:noWrap/>
            <w:hideMark/>
          </w:tcPr>
          <w:p w14:paraId="780FF646"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14.8</w:t>
            </w:r>
          </w:p>
        </w:tc>
      </w:tr>
      <w:tr w:rsidR="0051748D" w:rsidRPr="00650EE4" w14:paraId="488FFBF3" w14:textId="77777777" w:rsidTr="00C945BA">
        <w:tc>
          <w:tcPr>
            <w:tcW w:w="3925" w:type="dxa"/>
            <w:tcBorders>
              <w:top w:val="nil"/>
              <w:left w:val="single" w:sz="4" w:space="0" w:color="000000"/>
              <w:bottom w:val="single" w:sz="4" w:space="0" w:color="000000"/>
              <w:right w:val="single" w:sz="4" w:space="0" w:color="000000"/>
            </w:tcBorders>
            <w:shd w:val="clear" w:color="auto" w:fill="auto"/>
            <w:noWrap/>
            <w:hideMark/>
          </w:tcPr>
          <w:p w14:paraId="07C337C5" w14:textId="77777777" w:rsidR="0051748D" w:rsidRPr="00650EE4" w:rsidRDefault="0051748D" w:rsidP="006B1C87">
            <w:pPr>
              <w:spacing w:line="240" w:lineRule="auto"/>
              <w:rPr>
                <w:rFonts w:ascii="Times New Roman" w:eastAsia="Times New Roman" w:hAnsi="Times New Roman"/>
                <w:color w:val="auto"/>
                <w:sz w:val="20"/>
                <w:szCs w:val="18"/>
                <w:lang w:eastAsia="en-GB"/>
              </w:rPr>
            </w:pPr>
            <w:r w:rsidRPr="00650EE4">
              <w:rPr>
                <w:rFonts w:ascii="Times New Roman" w:hAnsi="Times New Roman"/>
                <w:sz w:val="20"/>
                <w:szCs w:val="18"/>
              </w:rPr>
              <w:t>Disponuojamų pajamų namų išlaikymo sąnaudų dalis ES28</w:t>
            </w:r>
          </w:p>
        </w:tc>
        <w:tc>
          <w:tcPr>
            <w:tcW w:w="696" w:type="dxa"/>
            <w:tcBorders>
              <w:top w:val="nil"/>
              <w:left w:val="nil"/>
              <w:bottom w:val="single" w:sz="4" w:space="0" w:color="000000"/>
              <w:right w:val="single" w:sz="4" w:space="0" w:color="000000"/>
            </w:tcBorders>
            <w:shd w:val="clear" w:color="auto" w:fill="auto"/>
            <w:noWrap/>
            <w:hideMark/>
          </w:tcPr>
          <w:p w14:paraId="673F395C"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22.4</w:t>
            </w:r>
          </w:p>
        </w:tc>
        <w:tc>
          <w:tcPr>
            <w:tcW w:w="697" w:type="dxa"/>
            <w:tcBorders>
              <w:top w:val="nil"/>
              <w:left w:val="nil"/>
              <w:bottom w:val="single" w:sz="4" w:space="0" w:color="000000"/>
              <w:right w:val="single" w:sz="4" w:space="0" w:color="000000"/>
            </w:tcBorders>
            <w:shd w:val="clear" w:color="auto" w:fill="auto"/>
            <w:noWrap/>
            <w:hideMark/>
          </w:tcPr>
          <w:p w14:paraId="7F88727B"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22.4</w:t>
            </w:r>
          </w:p>
        </w:tc>
        <w:tc>
          <w:tcPr>
            <w:tcW w:w="696" w:type="dxa"/>
            <w:tcBorders>
              <w:top w:val="nil"/>
              <w:left w:val="nil"/>
              <w:bottom w:val="single" w:sz="4" w:space="0" w:color="000000"/>
              <w:right w:val="single" w:sz="4" w:space="0" w:color="000000"/>
            </w:tcBorders>
            <w:shd w:val="clear" w:color="auto" w:fill="auto"/>
            <w:noWrap/>
            <w:hideMark/>
          </w:tcPr>
          <w:p w14:paraId="309CE6C0"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22.0</w:t>
            </w:r>
          </w:p>
        </w:tc>
        <w:tc>
          <w:tcPr>
            <w:tcW w:w="697" w:type="dxa"/>
            <w:tcBorders>
              <w:top w:val="nil"/>
              <w:left w:val="nil"/>
              <w:bottom w:val="single" w:sz="4" w:space="0" w:color="000000"/>
              <w:right w:val="single" w:sz="4" w:space="0" w:color="000000"/>
            </w:tcBorders>
            <w:shd w:val="clear" w:color="auto" w:fill="auto"/>
            <w:noWrap/>
            <w:hideMark/>
          </w:tcPr>
          <w:p w14:paraId="0E4D1637"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22.3</w:t>
            </w:r>
          </w:p>
        </w:tc>
        <w:tc>
          <w:tcPr>
            <w:tcW w:w="696" w:type="dxa"/>
            <w:tcBorders>
              <w:top w:val="nil"/>
              <w:left w:val="nil"/>
              <w:bottom w:val="single" w:sz="4" w:space="0" w:color="000000"/>
              <w:right w:val="single" w:sz="4" w:space="0" w:color="000000"/>
            </w:tcBorders>
            <w:shd w:val="clear" w:color="auto" w:fill="auto"/>
            <w:noWrap/>
            <w:hideMark/>
          </w:tcPr>
          <w:p w14:paraId="3E59F3E1"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22.7</w:t>
            </w:r>
          </w:p>
        </w:tc>
        <w:tc>
          <w:tcPr>
            <w:tcW w:w="697" w:type="dxa"/>
            <w:tcBorders>
              <w:top w:val="nil"/>
              <w:left w:val="nil"/>
              <w:bottom w:val="single" w:sz="4" w:space="0" w:color="000000"/>
              <w:right w:val="single" w:sz="4" w:space="0" w:color="000000"/>
            </w:tcBorders>
            <w:shd w:val="clear" w:color="auto" w:fill="auto"/>
            <w:noWrap/>
            <w:hideMark/>
          </w:tcPr>
          <w:p w14:paraId="1BEDC58C"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22.6</w:t>
            </w:r>
          </w:p>
        </w:tc>
        <w:tc>
          <w:tcPr>
            <w:tcW w:w="696" w:type="dxa"/>
            <w:tcBorders>
              <w:top w:val="nil"/>
              <w:left w:val="nil"/>
              <w:bottom w:val="single" w:sz="4" w:space="0" w:color="000000"/>
              <w:right w:val="single" w:sz="4" w:space="0" w:color="000000"/>
            </w:tcBorders>
            <w:shd w:val="clear" w:color="auto" w:fill="auto"/>
            <w:noWrap/>
            <w:hideMark/>
          </w:tcPr>
          <w:p w14:paraId="0BC0584A"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22.0</w:t>
            </w:r>
          </w:p>
        </w:tc>
        <w:tc>
          <w:tcPr>
            <w:tcW w:w="697" w:type="dxa"/>
            <w:tcBorders>
              <w:top w:val="nil"/>
              <w:left w:val="nil"/>
              <w:bottom w:val="single" w:sz="4" w:space="0" w:color="000000"/>
              <w:right w:val="single" w:sz="4" w:space="0" w:color="000000"/>
            </w:tcBorders>
            <w:shd w:val="clear" w:color="auto" w:fill="auto"/>
            <w:noWrap/>
            <w:hideMark/>
          </w:tcPr>
          <w:p w14:paraId="6D07CCD9"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21.4</w:t>
            </w:r>
          </w:p>
        </w:tc>
        <w:tc>
          <w:tcPr>
            <w:tcW w:w="697" w:type="dxa"/>
            <w:tcBorders>
              <w:top w:val="nil"/>
              <w:left w:val="nil"/>
              <w:bottom w:val="single" w:sz="4" w:space="0" w:color="000000"/>
              <w:right w:val="single" w:sz="4" w:space="0" w:color="000000"/>
            </w:tcBorders>
            <w:shd w:val="clear" w:color="auto" w:fill="auto"/>
            <w:noWrap/>
            <w:hideMark/>
          </w:tcPr>
          <w:p w14:paraId="5F4A82FD"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21.0</w:t>
            </w:r>
          </w:p>
        </w:tc>
      </w:tr>
    </w:tbl>
    <w:p w14:paraId="56C18386" w14:textId="77777777" w:rsidR="0051748D" w:rsidRPr="00650EE4" w:rsidRDefault="0051748D" w:rsidP="0051748D">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4C0233B2" w14:textId="77777777" w:rsidR="002F28BB" w:rsidRPr="00650EE4" w:rsidRDefault="002F28BB" w:rsidP="0051748D">
      <w:pPr>
        <w:spacing w:after="120"/>
        <w:jc w:val="both"/>
        <w:rPr>
          <w:rFonts w:ascii="Times New Roman" w:hAnsi="Times New Roman"/>
          <w:b/>
          <w:szCs w:val="22"/>
        </w:rPr>
      </w:pPr>
    </w:p>
    <w:p w14:paraId="45E68798" w14:textId="0ABF4671" w:rsidR="0051748D" w:rsidRPr="00650EE4" w:rsidRDefault="0051748D" w:rsidP="0051748D">
      <w:pPr>
        <w:spacing w:after="120"/>
        <w:jc w:val="both"/>
        <w:rPr>
          <w:rFonts w:ascii="Times New Roman" w:hAnsi="Times New Roman"/>
          <w:b/>
          <w:szCs w:val="22"/>
        </w:rPr>
      </w:pPr>
      <w:r w:rsidRPr="00650EE4">
        <w:rPr>
          <w:rFonts w:ascii="Times New Roman" w:hAnsi="Times New Roman"/>
          <w:b/>
          <w:szCs w:val="22"/>
        </w:rPr>
        <w:t>Namų ūkių dalis, turinčių pradelstų įsiskolinimų už komunalines paslaugas</w:t>
      </w:r>
    </w:p>
    <w:p w14:paraId="0269DDB5" w14:textId="23B0044D" w:rsidR="00240506" w:rsidRPr="00650EE4" w:rsidRDefault="00240506" w:rsidP="0051748D">
      <w:pPr>
        <w:pStyle w:val="BodyText"/>
        <w:spacing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Santykinai sunkią šildymo sąskaitų naštą namų ūkiams iliustruoja ir namų ūkių dalis turinti pradelstų įsiskolinimų už komunalines paslaugas, kuri Lietuvoje su svyravimais išlieka apie 10 proc. (9,2 proc. 2018 m.). Nors tai ir yra prasčiau nei ES vidurkis, analizuojant šį rodiklį yra daug svarbiau tendencija, nei lygis ir palyginimas su kitomis ES šalimis. Gyventojų drausmingas, atsiskaitymo už komunalines paslaugas ypatybės lemia didelius skirtumus tarp šalių. Atitinkamai, Lietuvoje įsiskolinimai už komunalines paslaugas palaipsniui mažėja, tai gali rodyti, kad komunalinių paslaugų sąskaitų našta mažėja, arba, kad didėja </w:t>
      </w:r>
      <w:r w:rsidR="00364533" w:rsidRPr="00650EE4">
        <w:rPr>
          <w:rFonts w:ascii="Times New Roman" w:hAnsi="Times New Roman"/>
          <w:color w:val="000000" w:themeColor="text1"/>
          <w:szCs w:val="22"/>
          <w:lang w:val="lt-LT"/>
        </w:rPr>
        <w:t>namų</w:t>
      </w:r>
      <w:r w:rsidRPr="00650EE4">
        <w:rPr>
          <w:rFonts w:ascii="Times New Roman" w:hAnsi="Times New Roman"/>
          <w:color w:val="000000" w:themeColor="text1"/>
          <w:szCs w:val="22"/>
          <w:lang w:val="lt-LT"/>
        </w:rPr>
        <w:t xml:space="preserve"> ūkių pajamos. Detalesni duomenys apie namų ūkių įsiskolinimus už komunalines paslaugas pateikiami lentelėje žemiau.</w:t>
      </w:r>
    </w:p>
    <w:p w14:paraId="3413B941" w14:textId="77777777" w:rsidR="002F28BB" w:rsidRPr="00650EE4" w:rsidRDefault="002F28BB" w:rsidP="00631BA6">
      <w:pPr>
        <w:pStyle w:val="TESlentelspavadinimas"/>
        <w:rPr>
          <w:noProof w:val="0"/>
        </w:rPr>
      </w:pPr>
    </w:p>
    <w:p w14:paraId="326B077A" w14:textId="7FA11735"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3" w:name="_Toc67925231"/>
      <w:r w:rsidR="007744C1">
        <w:t>48</w:t>
      </w:r>
      <w:r w:rsidRPr="00650EE4">
        <w:rPr>
          <w:noProof w:val="0"/>
        </w:rPr>
        <w:fldChar w:fldCharType="end"/>
      </w:r>
      <w:r w:rsidR="00240506" w:rsidRPr="00650EE4">
        <w:rPr>
          <w:noProof w:val="0"/>
        </w:rPr>
        <w:t xml:space="preserve"> lentelė. Namų ūkių dalis, turinčių pradelstų įsiskolinimų už komunalines paslaugas, proc.</w:t>
      </w:r>
      <w:bookmarkEnd w:id="133"/>
    </w:p>
    <w:tbl>
      <w:tblPr>
        <w:tblW w:w="5000" w:type="pct"/>
        <w:tblLayout w:type="fixed"/>
        <w:tblLook w:val="04A0" w:firstRow="1" w:lastRow="0" w:firstColumn="1" w:lastColumn="0" w:noHBand="0" w:noVBand="1"/>
      </w:tblPr>
      <w:tblGrid>
        <w:gridCol w:w="2055"/>
        <w:gridCol w:w="929"/>
        <w:gridCol w:w="929"/>
        <w:gridCol w:w="930"/>
        <w:gridCol w:w="929"/>
        <w:gridCol w:w="930"/>
        <w:gridCol w:w="929"/>
        <w:gridCol w:w="930"/>
        <w:gridCol w:w="929"/>
        <w:gridCol w:w="930"/>
      </w:tblGrid>
      <w:tr w:rsidR="00240506" w:rsidRPr="00650EE4" w14:paraId="2D3D521A" w14:textId="77777777" w:rsidTr="00530F05">
        <w:trPr>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98EE" w14:textId="37767FA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w:t>
            </w:r>
            <w:r w:rsidR="00694541" w:rsidRPr="00650EE4">
              <w:rPr>
                <w:rFonts w:ascii="Times New Roman" w:eastAsia="Times New Roman" w:hAnsi="Times New Roman"/>
                <w:b/>
                <w:bCs/>
                <w:color w:val="auto"/>
                <w:sz w:val="20"/>
                <w:szCs w:val="20"/>
                <w:lang w:eastAsia="en-GB"/>
              </w:rPr>
              <w:t>Valstybė</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6499C97C"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2010</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7AD390E1"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2011</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16A0B17"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2012</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7C3834DD"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2013</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1350F561"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2014</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23E23DB7"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2015</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9666727"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2016</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28901C8F"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2017</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BA4682D"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2018</w:t>
            </w:r>
          </w:p>
        </w:tc>
      </w:tr>
      <w:tr w:rsidR="00240506" w:rsidRPr="00650EE4" w14:paraId="06444A1A"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837B6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Graikija</w:t>
            </w:r>
          </w:p>
        </w:tc>
        <w:tc>
          <w:tcPr>
            <w:tcW w:w="895" w:type="dxa"/>
            <w:tcBorders>
              <w:top w:val="nil"/>
              <w:left w:val="nil"/>
              <w:bottom w:val="single" w:sz="4" w:space="0" w:color="auto"/>
              <w:right w:val="single" w:sz="4" w:space="0" w:color="auto"/>
            </w:tcBorders>
            <w:shd w:val="clear" w:color="auto" w:fill="auto"/>
            <w:noWrap/>
            <w:vAlign w:val="bottom"/>
            <w:hideMark/>
          </w:tcPr>
          <w:p w14:paraId="6322BF1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18.8 </w:t>
            </w:r>
          </w:p>
        </w:tc>
        <w:tc>
          <w:tcPr>
            <w:tcW w:w="895" w:type="dxa"/>
            <w:tcBorders>
              <w:top w:val="nil"/>
              <w:left w:val="nil"/>
              <w:bottom w:val="single" w:sz="4" w:space="0" w:color="auto"/>
              <w:right w:val="single" w:sz="4" w:space="0" w:color="auto"/>
            </w:tcBorders>
            <w:shd w:val="clear" w:color="auto" w:fill="auto"/>
            <w:noWrap/>
            <w:vAlign w:val="bottom"/>
            <w:hideMark/>
          </w:tcPr>
          <w:p w14:paraId="470AB66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23.3 </w:t>
            </w:r>
          </w:p>
        </w:tc>
        <w:tc>
          <w:tcPr>
            <w:tcW w:w="896" w:type="dxa"/>
            <w:tcBorders>
              <w:top w:val="nil"/>
              <w:left w:val="nil"/>
              <w:bottom w:val="single" w:sz="4" w:space="0" w:color="auto"/>
              <w:right w:val="single" w:sz="4" w:space="0" w:color="auto"/>
            </w:tcBorders>
            <w:shd w:val="clear" w:color="auto" w:fill="auto"/>
            <w:noWrap/>
            <w:vAlign w:val="bottom"/>
            <w:hideMark/>
          </w:tcPr>
          <w:p w14:paraId="0104FC8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31.8 </w:t>
            </w:r>
          </w:p>
        </w:tc>
        <w:tc>
          <w:tcPr>
            <w:tcW w:w="895" w:type="dxa"/>
            <w:tcBorders>
              <w:top w:val="nil"/>
              <w:left w:val="nil"/>
              <w:bottom w:val="single" w:sz="4" w:space="0" w:color="auto"/>
              <w:right w:val="single" w:sz="4" w:space="0" w:color="auto"/>
            </w:tcBorders>
            <w:shd w:val="clear" w:color="auto" w:fill="auto"/>
            <w:noWrap/>
            <w:vAlign w:val="bottom"/>
            <w:hideMark/>
          </w:tcPr>
          <w:p w14:paraId="37581F0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35.2 </w:t>
            </w:r>
          </w:p>
        </w:tc>
        <w:tc>
          <w:tcPr>
            <w:tcW w:w="896" w:type="dxa"/>
            <w:tcBorders>
              <w:top w:val="nil"/>
              <w:left w:val="nil"/>
              <w:bottom w:val="single" w:sz="4" w:space="0" w:color="auto"/>
              <w:right w:val="single" w:sz="4" w:space="0" w:color="auto"/>
            </w:tcBorders>
            <w:shd w:val="clear" w:color="auto" w:fill="auto"/>
            <w:noWrap/>
            <w:vAlign w:val="bottom"/>
            <w:hideMark/>
          </w:tcPr>
          <w:p w14:paraId="4AAB4F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37.3 </w:t>
            </w:r>
          </w:p>
        </w:tc>
        <w:tc>
          <w:tcPr>
            <w:tcW w:w="895" w:type="dxa"/>
            <w:tcBorders>
              <w:top w:val="nil"/>
              <w:left w:val="nil"/>
              <w:bottom w:val="single" w:sz="4" w:space="0" w:color="auto"/>
              <w:right w:val="single" w:sz="4" w:space="0" w:color="auto"/>
            </w:tcBorders>
            <w:shd w:val="clear" w:color="auto" w:fill="auto"/>
            <w:noWrap/>
            <w:vAlign w:val="bottom"/>
            <w:hideMark/>
          </w:tcPr>
          <w:p w14:paraId="2924EF4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42.0 </w:t>
            </w:r>
          </w:p>
        </w:tc>
        <w:tc>
          <w:tcPr>
            <w:tcW w:w="896" w:type="dxa"/>
            <w:tcBorders>
              <w:top w:val="nil"/>
              <w:left w:val="nil"/>
              <w:bottom w:val="single" w:sz="4" w:space="0" w:color="auto"/>
              <w:right w:val="single" w:sz="4" w:space="0" w:color="auto"/>
            </w:tcBorders>
            <w:shd w:val="clear" w:color="auto" w:fill="auto"/>
            <w:noWrap/>
            <w:vAlign w:val="bottom"/>
            <w:hideMark/>
          </w:tcPr>
          <w:p w14:paraId="08FBCCD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42.2 </w:t>
            </w:r>
          </w:p>
        </w:tc>
        <w:tc>
          <w:tcPr>
            <w:tcW w:w="895" w:type="dxa"/>
            <w:tcBorders>
              <w:top w:val="nil"/>
              <w:left w:val="nil"/>
              <w:bottom w:val="single" w:sz="4" w:space="0" w:color="auto"/>
              <w:right w:val="single" w:sz="4" w:space="0" w:color="auto"/>
            </w:tcBorders>
            <w:shd w:val="clear" w:color="auto" w:fill="auto"/>
            <w:noWrap/>
            <w:vAlign w:val="bottom"/>
            <w:hideMark/>
          </w:tcPr>
          <w:p w14:paraId="3EEDEC0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38.5 </w:t>
            </w:r>
          </w:p>
        </w:tc>
        <w:tc>
          <w:tcPr>
            <w:tcW w:w="896" w:type="dxa"/>
            <w:tcBorders>
              <w:top w:val="nil"/>
              <w:left w:val="nil"/>
              <w:bottom w:val="single" w:sz="4" w:space="0" w:color="auto"/>
              <w:right w:val="single" w:sz="4" w:space="0" w:color="auto"/>
            </w:tcBorders>
            <w:shd w:val="clear" w:color="auto" w:fill="auto"/>
            <w:noWrap/>
            <w:vAlign w:val="bottom"/>
            <w:hideMark/>
          </w:tcPr>
          <w:p w14:paraId="4883E06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35.6 </w:t>
            </w:r>
          </w:p>
        </w:tc>
      </w:tr>
      <w:tr w:rsidR="00240506" w:rsidRPr="00650EE4" w14:paraId="2504069F"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DB7E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Bulgarija</w:t>
            </w:r>
          </w:p>
        </w:tc>
        <w:tc>
          <w:tcPr>
            <w:tcW w:w="895" w:type="dxa"/>
            <w:tcBorders>
              <w:top w:val="nil"/>
              <w:left w:val="nil"/>
              <w:bottom w:val="single" w:sz="4" w:space="0" w:color="auto"/>
              <w:right w:val="single" w:sz="4" w:space="0" w:color="auto"/>
            </w:tcBorders>
            <w:shd w:val="clear" w:color="auto" w:fill="auto"/>
            <w:noWrap/>
            <w:vAlign w:val="bottom"/>
            <w:hideMark/>
          </w:tcPr>
          <w:p w14:paraId="739FDA8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31.6 </w:t>
            </w:r>
          </w:p>
        </w:tc>
        <w:tc>
          <w:tcPr>
            <w:tcW w:w="895" w:type="dxa"/>
            <w:tcBorders>
              <w:top w:val="nil"/>
              <w:left w:val="nil"/>
              <w:bottom w:val="single" w:sz="4" w:space="0" w:color="auto"/>
              <w:right w:val="single" w:sz="4" w:space="0" w:color="auto"/>
            </w:tcBorders>
            <w:shd w:val="clear" w:color="auto" w:fill="auto"/>
            <w:noWrap/>
            <w:vAlign w:val="bottom"/>
            <w:hideMark/>
          </w:tcPr>
          <w:p w14:paraId="5690386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28.6 </w:t>
            </w:r>
          </w:p>
        </w:tc>
        <w:tc>
          <w:tcPr>
            <w:tcW w:w="896" w:type="dxa"/>
            <w:tcBorders>
              <w:top w:val="nil"/>
              <w:left w:val="nil"/>
              <w:bottom w:val="single" w:sz="4" w:space="0" w:color="auto"/>
              <w:right w:val="single" w:sz="4" w:space="0" w:color="auto"/>
            </w:tcBorders>
            <w:shd w:val="clear" w:color="auto" w:fill="auto"/>
            <w:noWrap/>
            <w:vAlign w:val="bottom"/>
            <w:hideMark/>
          </w:tcPr>
          <w:p w14:paraId="75CF9D1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28.4 </w:t>
            </w:r>
          </w:p>
        </w:tc>
        <w:tc>
          <w:tcPr>
            <w:tcW w:w="895" w:type="dxa"/>
            <w:tcBorders>
              <w:top w:val="nil"/>
              <w:left w:val="nil"/>
              <w:bottom w:val="single" w:sz="4" w:space="0" w:color="auto"/>
              <w:right w:val="single" w:sz="4" w:space="0" w:color="auto"/>
            </w:tcBorders>
            <w:shd w:val="clear" w:color="auto" w:fill="auto"/>
            <w:noWrap/>
            <w:vAlign w:val="bottom"/>
            <w:hideMark/>
          </w:tcPr>
          <w:p w14:paraId="38CAF3A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34.0 </w:t>
            </w:r>
          </w:p>
        </w:tc>
        <w:tc>
          <w:tcPr>
            <w:tcW w:w="896" w:type="dxa"/>
            <w:tcBorders>
              <w:top w:val="nil"/>
              <w:left w:val="nil"/>
              <w:bottom w:val="single" w:sz="4" w:space="0" w:color="auto"/>
              <w:right w:val="single" w:sz="4" w:space="0" w:color="auto"/>
            </w:tcBorders>
            <w:shd w:val="clear" w:color="auto" w:fill="auto"/>
            <w:noWrap/>
            <w:vAlign w:val="bottom"/>
            <w:hideMark/>
          </w:tcPr>
          <w:p w14:paraId="5CF2BF7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32.9 </w:t>
            </w:r>
          </w:p>
        </w:tc>
        <w:tc>
          <w:tcPr>
            <w:tcW w:w="895" w:type="dxa"/>
            <w:tcBorders>
              <w:top w:val="nil"/>
              <w:left w:val="nil"/>
              <w:bottom w:val="single" w:sz="4" w:space="0" w:color="auto"/>
              <w:right w:val="single" w:sz="4" w:space="0" w:color="auto"/>
            </w:tcBorders>
            <w:shd w:val="clear" w:color="auto" w:fill="auto"/>
            <w:noWrap/>
            <w:vAlign w:val="bottom"/>
            <w:hideMark/>
          </w:tcPr>
          <w:p w14:paraId="67A7F1A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31.4 </w:t>
            </w:r>
          </w:p>
        </w:tc>
        <w:tc>
          <w:tcPr>
            <w:tcW w:w="896" w:type="dxa"/>
            <w:tcBorders>
              <w:top w:val="nil"/>
              <w:left w:val="nil"/>
              <w:bottom w:val="single" w:sz="4" w:space="0" w:color="auto"/>
              <w:right w:val="single" w:sz="4" w:space="0" w:color="auto"/>
            </w:tcBorders>
            <w:shd w:val="clear" w:color="auto" w:fill="auto"/>
            <w:noWrap/>
            <w:vAlign w:val="bottom"/>
            <w:hideMark/>
          </w:tcPr>
          <w:p w14:paraId="30ED663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31.7 </w:t>
            </w:r>
          </w:p>
        </w:tc>
        <w:tc>
          <w:tcPr>
            <w:tcW w:w="895" w:type="dxa"/>
            <w:tcBorders>
              <w:top w:val="nil"/>
              <w:left w:val="nil"/>
              <w:bottom w:val="single" w:sz="4" w:space="0" w:color="auto"/>
              <w:right w:val="single" w:sz="4" w:space="0" w:color="auto"/>
            </w:tcBorders>
            <w:shd w:val="clear" w:color="auto" w:fill="auto"/>
            <w:noWrap/>
            <w:vAlign w:val="bottom"/>
            <w:hideMark/>
          </w:tcPr>
          <w:p w14:paraId="1E76EC5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31.1 </w:t>
            </w:r>
          </w:p>
        </w:tc>
        <w:tc>
          <w:tcPr>
            <w:tcW w:w="896" w:type="dxa"/>
            <w:tcBorders>
              <w:top w:val="nil"/>
              <w:left w:val="nil"/>
              <w:bottom w:val="single" w:sz="4" w:space="0" w:color="auto"/>
              <w:right w:val="single" w:sz="4" w:space="0" w:color="auto"/>
            </w:tcBorders>
            <w:shd w:val="clear" w:color="auto" w:fill="auto"/>
            <w:noWrap/>
            <w:vAlign w:val="bottom"/>
            <w:hideMark/>
          </w:tcPr>
          <w:p w14:paraId="5355FE2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30.1 </w:t>
            </w:r>
          </w:p>
        </w:tc>
      </w:tr>
      <w:tr w:rsidR="00240506" w:rsidRPr="00650EE4" w14:paraId="5F1F6281"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7EBD2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Serbija</w:t>
            </w:r>
          </w:p>
        </w:tc>
        <w:tc>
          <w:tcPr>
            <w:tcW w:w="895" w:type="dxa"/>
            <w:tcBorders>
              <w:top w:val="nil"/>
              <w:left w:val="nil"/>
              <w:bottom w:val="single" w:sz="4" w:space="0" w:color="auto"/>
              <w:right w:val="single" w:sz="4" w:space="0" w:color="auto"/>
            </w:tcBorders>
            <w:shd w:val="clear" w:color="auto" w:fill="auto"/>
            <w:noWrap/>
            <w:vAlign w:val="bottom"/>
            <w:hideMark/>
          </w:tcPr>
          <w:p w14:paraId="672C691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w:t>
            </w:r>
          </w:p>
        </w:tc>
        <w:tc>
          <w:tcPr>
            <w:tcW w:w="895" w:type="dxa"/>
            <w:tcBorders>
              <w:top w:val="nil"/>
              <w:left w:val="nil"/>
              <w:bottom w:val="single" w:sz="4" w:space="0" w:color="auto"/>
              <w:right w:val="single" w:sz="4" w:space="0" w:color="auto"/>
            </w:tcBorders>
            <w:shd w:val="clear" w:color="auto" w:fill="auto"/>
            <w:noWrap/>
            <w:vAlign w:val="bottom"/>
            <w:hideMark/>
          </w:tcPr>
          <w:p w14:paraId="2DC9BB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14:paraId="2F1EA34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w:t>
            </w:r>
          </w:p>
        </w:tc>
        <w:tc>
          <w:tcPr>
            <w:tcW w:w="895" w:type="dxa"/>
            <w:tcBorders>
              <w:top w:val="nil"/>
              <w:left w:val="nil"/>
              <w:bottom w:val="single" w:sz="4" w:space="0" w:color="auto"/>
              <w:right w:val="single" w:sz="4" w:space="0" w:color="auto"/>
            </w:tcBorders>
            <w:shd w:val="clear" w:color="auto" w:fill="auto"/>
            <w:noWrap/>
            <w:vAlign w:val="bottom"/>
            <w:hideMark/>
          </w:tcPr>
          <w:p w14:paraId="456AFD9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36.7 </w:t>
            </w:r>
          </w:p>
        </w:tc>
        <w:tc>
          <w:tcPr>
            <w:tcW w:w="896" w:type="dxa"/>
            <w:tcBorders>
              <w:top w:val="nil"/>
              <w:left w:val="nil"/>
              <w:bottom w:val="single" w:sz="4" w:space="0" w:color="auto"/>
              <w:right w:val="single" w:sz="4" w:space="0" w:color="auto"/>
            </w:tcBorders>
            <w:shd w:val="clear" w:color="auto" w:fill="auto"/>
            <w:noWrap/>
            <w:vAlign w:val="bottom"/>
            <w:hideMark/>
          </w:tcPr>
          <w:p w14:paraId="34903E9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41.4 </w:t>
            </w:r>
          </w:p>
        </w:tc>
        <w:tc>
          <w:tcPr>
            <w:tcW w:w="895" w:type="dxa"/>
            <w:tcBorders>
              <w:top w:val="nil"/>
              <w:left w:val="nil"/>
              <w:bottom w:val="single" w:sz="4" w:space="0" w:color="auto"/>
              <w:right w:val="single" w:sz="4" w:space="0" w:color="auto"/>
            </w:tcBorders>
            <w:shd w:val="clear" w:color="auto" w:fill="auto"/>
            <w:noWrap/>
            <w:vAlign w:val="bottom"/>
            <w:hideMark/>
          </w:tcPr>
          <w:p w14:paraId="1CBCDB9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34.8 </w:t>
            </w:r>
          </w:p>
        </w:tc>
        <w:tc>
          <w:tcPr>
            <w:tcW w:w="896" w:type="dxa"/>
            <w:tcBorders>
              <w:top w:val="nil"/>
              <w:left w:val="nil"/>
              <w:bottom w:val="single" w:sz="4" w:space="0" w:color="auto"/>
              <w:right w:val="single" w:sz="4" w:space="0" w:color="auto"/>
            </w:tcBorders>
            <w:shd w:val="clear" w:color="auto" w:fill="auto"/>
            <w:noWrap/>
            <w:vAlign w:val="bottom"/>
            <w:hideMark/>
          </w:tcPr>
          <w:p w14:paraId="144078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34.8 </w:t>
            </w:r>
          </w:p>
        </w:tc>
        <w:tc>
          <w:tcPr>
            <w:tcW w:w="895" w:type="dxa"/>
            <w:tcBorders>
              <w:top w:val="nil"/>
              <w:left w:val="nil"/>
              <w:bottom w:val="single" w:sz="4" w:space="0" w:color="auto"/>
              <w:right w:val="single" w:sz="4" w:space="0" w:color="auto"/>
            </w:tcBorders>
            <w:shd w:val="clear" w:color="auto" w:fill="auto"/>
            <w:noWrap/>
            <w:vAlign w:val="bottom"/>
            <w:hideMark/>
          </w:tcPr>
          <w:p w14:paraId="08525E5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18.1 </w:t>
            </w:r>
          </w:p>
        </w:tc>
        <w:tc>
          <w:tcPr>
            <w:tcW w:w="896" w:type="dxa"/>
            <w:tcBorders>
              <w:top w:val="nil"/>
              <w:left w:val="nil"/>
              <w:bottom w:val="single" w:sz="4" w:space="0" w:color="auto"/>
              <w:right w:val="single" w:sz="4" w:space="0" w:color="auto"/>
            </w:tcBorders>
            <w:shd w:val="clear" w:color="auto" w:fill="auto"/>
            <w:noWrap/>
            <w:vAlign w:val="bottom"/>
            <w:hideMark/>
          </w:tcPr>
          <w:p w14:paraId="5AFAB5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28.4 </w:t>
            </w:r>
          </w:p>
        </w:tc>
      </w:tr>
      <w:tr w:rsidR="00240506" w:rsidRPr="00650EE4" w14:paraId="3DF7C24A"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12E7C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Kroatija</w:t>
            </w:r>
          </w:p>
        </w:tc>
        <w:tc>
          <w:tcPr>
            <w:tcW w:w="895" w:type="dxa"/>
            <w:tcBorders>
              <w:top w:val="nil"/>
              <w:left w:val="nil"/>
              <w:bottom w:val="single" w:sz="4" w:space="0" w:color="auto"/>
              <w:right w:val="single" w:sz="4" w:space="0" w:color="auto"/>
            </w:tcBorders>
            <w:shd w:val="clear" w:color="auto" w:fill="auto"/>
            <w:noWrap/>
            <w:vAlign w:val="bottom"/>
            <w:hideMark/>
          </w:tcPr>
          <w:p w14:paraId="3A535D6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28.0 </w:t>
            </w:r>
          </w:p>
        </w:tc>
        <w:tc>
          <w:tcPr>
            <w:tcW w:w="895" w:type="dxa"/>
            <w:tcBorders>
              <w:top w:val="nil"/>
              <w:left w:val="nil"/>
              <w:bottom w:val="single" w:sz="4" w:space="0" w:color="auto"/>
              <w:right w:val="single" w:sz="4" w:space="0" w:color="auto"/>
            </w:tcBorders>
            <w:shd w:val="clear" w:color="auto" w:fill="auto"/>
            <w:noWrap/>
            <w:vAlign w:val="bottom"/>
            <w:hideMark/>
          </w:tcPr>
          <w:p w14:paraId="2B32AED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27.5 </w:t>
            </w:r>
          </w:p>
        </w:tc>
        <w:tc>
          <w:tcPr>
            <w:tcW w:w="896" w:type="dxa"/>
            <w:tcBorders>
              <w:top w:val="nil"/>
              <w:left w:val="nil"/>
              <w:bottom w:val="single" w:sz="4" w:space="0" w:color="auto"/>
              <w:right w:val="single" w:sz="4" w:space="0" w:color="auto"/>
            </w:tcBorders>
            <w:shd w:val="clear" w:color="auto" w:fill="auto"/>
            <w:noWrap/>
            <w:vAlign w:val="bottom"/>
            <w:hideMark/>
          </w:tcPr>
          <w:p w14:paraId="5269CB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28.9 </w:t>
            </w:r>
          </w:p>
        </w:tc>
        <w:tc>
          <w:tcPr>
            <w:tcW w:w="895" w:type="dxa"/>
            <w:tcBorders>
              <w:top w:val="nil"/>
              <w:left w:val="nil"/>
              <w:bottom w:val="single" w:sz="4" w:space="0" w:color="auto"/>
              <w:right w:val="single" w:sz="4" w:space="0" w:color="auto"/>
            </w:tcBorders>
            <w:shd w:val="clear" w:color="auto" w:fill="auto"/>
            <w:noWrap/>
            <w:vAlign w:val="bottom"/>
            <w:hideMark/>
          </w:tcPr>
          <w:p w14:paraId="3FA7B7C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30.4 </w:t>
            </w:r>
          </w:p>
        </w:tc>
        <w:tc>
          <w:tcPr>
            <w:tcW w:w="896" w:type="dxa"/>
            <w:tcBorders>
              <w:top w:val="nil"/>
              <w:left w:val="nil"/>
              <w:bottom w:val="single" w:sz="4" w:space="0" w:color="auto"/>
              <w:right w:val="single" w:sz="4" w:space="0" w:color="auto"/>
            </w:tcBorders>
            <w:shd w:val="clear" w:color="auto" w:fill="auto"/>
            <w:noWrap/>
            <w:vAlign w:val="bottom"/>
            <w:hideMark/>
          </w:tcPr>
          <w:p w14:paraId="204269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29.1 </w:t>
            </w:r>
          </w:p>
        </w:tc>
        <w:tc>
          <w:tcPr>
            <w:tcW w:w="895" w:type="dxa"/>
            <w:tcBorders>
              <w:top w:val="nil"/>
              <w:left w:val="nil"/>
              <w:bottom w:val="single" w:sz="4" w:space="0" w:color="auto"/>
              <w:right w:val="single" w:sz="4" w:space="0" w:color="auto"/>
            </w:tcBorders>
            <w:shd w:val="clear" w:color="auto" w:fill="auto"/>
            <w:noWrap/>
            <w:vAlign w:val="bottom"/>
            <w:hideMark/>
          </w:tcPr>
          <w:p w14:paraId="2EE261E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28.7 </w:t>
            </w:r>
          </w:p>
        </w:tc>
        <w:tc>
          <w:tcPr>
            <w:tcW w:w="896" w:type="dxa"/>
            <w:tcBorders>
              <w:top w:val="nil"/>
              <w:left w:val="nil"/>
              <w:bottom w:val="single" w:sz="4" w:space="0" w:color="auto"/>
              <w:right w:val="single" w:sz="4" w:space="0" w:color="auto"/>
            </w:tcBorders>
            <w:shd w:val="clear" w:color="auto" w:fill="auto"/>
            <w:noWrap/>
            <w:vAlign w:val="bottom"/>
            <w:hideMark/>
          </w:tcPr>
          <w:p w14:paraId="3DD383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25.3 </w:t>
            </w:r>
          </w:p>
        </w:tc>
        <w:tc>
          <w:tcPr>
            <w:tcW w:w="895" w:type="dxa"/>
            <w:tcBorders>
              <w:top w:val="nil"/>
              <w:left w:val="nil"/>
              <w:bottom w:val="single" w:sz="4" w:space="0" w:color="auto"/>
              <w:right w:val="single" w:sz="4" w:space="0" w:color="auto"/>
            </w:tcBorders>
            <w:shd w:val="clear" w:color="auto" w:fill="auto"/>
            <w:noWrap/>
            <w:vAlign w:val="bottom"/>
            <w:hideMark/>
          </w:tcPr>
          <w:p w14:paraId="765F63B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21.0 </w:t>
            </w:r>
          </w:p>
        </w:tc>
        <w:tc>
          <w:tcPr>
            <w:tcW w:w="896" w:type="dxa"/>
            <w:tcBorders>
              <w:top w:val="nil"/>
              <w:left w:val="nil"/>
              <w:bottom w:val="single" w:sz="4" w:space="0" w:color="auto"/>
              <w:right w:val="single" w:sz="4" w:space="0" w:color="auto"/>
            </w:tcBorders>
            <w:shd w:val="clear" w:color="auto" w:fill="auto"/>
            <w:noWrap/>
            <w:vAlign w:val="bottom"/>
            <w:hideMark/>
          </w:tcPr>
          <w:p w14:paraId="4481AD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17.5 </w:t>
            </w:r>
          </w:p>
        </w:tc>
      </w:tr>
      <w:tr w:rsidR="00240506" w:rsidRPr="00650EE4" w14:paraId="00E422F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E563E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Rumunija</w:t>
            </w:r>
          </w:p>
        </w:tc>
        <w:tc>
          <w:tcPr>
            <w:tcW w:w="895" w:type="dxa"/>
            <w:tcBorders>
              <w:top w:val="nil"/>
              <w:left w:val="nil"/>
              <w:bottom w:val="single" w:sz="4" w:space="0" w:color="auto"/>
              <w:right w:val="single" w:sz="4" w:space="0" w:color="auto"/>
            </w:tcBorders>
            <w:shd w:val="clear" w:color="auto" w:fill="auto"/>
            <w:noWrap/>
            <w:vAlign w:val="bottom"/>
            <w:hideMark/>
          </w:tcPr>
          <w:p w14:paraId="4F3678A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26.5 </w:t>
            </w:r>
          </w:p>
        </w:tc>
        <w:tc>
          <w:tcPr>
            <w:tcW w:w="895" w:type="dxa"/>
            <w:tcBorders>
              <w:top w:val="nil"/>
              <w:left w:val="nil"/>
              <w:bottom w:val="single" w:sz="4" w:space="0" w:color="auto"/>
              <w:right w:val="single" w:sz="4" w:space="0" w:color="auto"/>
            </w:tcBorders>
            <w:shd w:val="clear" w:color="auto" w:fill="auto"/>
            <w:noWrap/>
            <w:vAlign w:val="bottom"/>
            <w:hideMark/>
          </w:tcPr>
          <w:p w14:paraId="77BF491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27.3 </w:t>
            </w:r>
          </w:p>
        </w:tc>
        <w:tc>
          <w:tcPr>
            <w:tcW w:w="896" w:type="dxa"/>
            <w:tcBorders>
              <w:top w:val="nil"/>
              <w:left w:val="nil"/>
              <w:bottom w:val="single" w:sz="4" w:space="0" w:color="auto"/>
              <w:right w:val="single" w:sz="4" w:space="0" w:color="auto"/>
            </w:tcBorders>
            <w:shd w:val="clear" w:color="auto" w:fill="auto"/>
            <w:noWrap/>
            <w:vAlign w:val="bottom"/>
            <w:hideMark/>
          </w:tcPr>
          <w:p w14:paraId="006356C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29.7 </w:t>
            </w:r>
          </w:p>
        </w:tc>
        <w:tc>
          <w:tcPr>
            <w:tcW w:w="895" w:type="dxa"/>
            <w:tcBorders>
              <w:top w:val="nil"/>
              <w:left w:val="nil"/>
              <w:bottom w:val="single" w:sz="4" w:space="0" w:color="auto"/>
              <w:right w:val="single" w:sz="4" w:space="0" w:color="auto"/>
            </w:tcBorders>
            <w:shd w:val="clear" w:color="auto" w:fill="auto"/>
            <w:noWrap/>
            <w:vAlign w:val="bottom"/>
            <w:hideMark/>
          </w:tcPr>
          <w:p w14:paraId="7E04503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29.7 </w:t>
            </w:r>
          </w:p>
        </w:tc>
        <w:tc>
          <w:tcPr>
            <w:tcW w:w="896" w:type="dxa"/>
            <w:tcBorders>
              <w:top w:val="nil"/>
              <w:left w:val="nil"/>
              <w:bottom w:val="single" w:sz="4" w:space="0" w:color="auto"/>
              <w:right w:val="single" w:sz="4" w:space="0" w:color="auto"/>
            </w:tcBorders>
            <w:shd w:val="clear" w:color="auto" w:fill="auto"/>
            <w:noWrap/>
            <w:vAlign w:val="bottom"/>
            <w:hideMark/>
          </w:tcPr>
          <w:p w14:paraId="0686B5A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21.5 </w:t>
            </w:r>
          </w:p>
        </w:tc>
        <w:tc>
          <w:tcPr>
            <w:tcW w:w="895" w:type="dxa"/>
            <w:tcBorders>
              <w:top w:val="nil"/>
              <w:left w:val="nil"/>
              <w:bottom w:val="single" w:sz="4" w:space="0" w:color="auto"/>
              <w:right w:val="single" w:sz="4" w:space="0" w:color="auto"/>
            </w:tcBorders>
            <w:shd w:val="clear" w:color="auto" w:fill="auto"/>
            <w:noWrap/>
            <w:vAlign w:val="bottom"/>
            <w:hideMark/>
          </w:tcPr>
          <w:p w14:paraId="78F3EE8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17.4 </w:t>
            </w:r>
          </w:p>
        </w:tc>
        <w:tc>
          <w:tcPr>
            <w:tcW w:w="896" w:type="dxa"/>
            <w:tcBorders>
              <w:top w:val="nil"/>
              <w:left w:val="nil"/>
              <w:bottom w:val="single" w:sz="4" w:space="0" w:color="auto"/>
              <w:right w:val="single" w:sz="4" w:space="0" w:color="auto"/>
            </w:tcBorders>
            <w:shd w:val="clear" w:color="auto" w:fill="auto"/>
            <w:noWrap/>
            <w:vAlign w:val="bottom"/>
            <w:hideMark/>
          </w:tcPr>
          <w:p w14:paraId="4112C4F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18.0 </w:t>
            </w:r>
          </w:p>
        </w:tc>
        <w:tc>
          <w:tcPr>
            <w:tcW w:w="895" w:type="dxa"/>
            <w:tcBorders>
              <w:top w:val="nil"/>
              <w:left w:val="nil"/>
              <w:bottom w:val="single" w:sz="4" w:space="0" w:color="auto"/>
              <w:right w:val="single" w:sz="4" w:space="0" w:color="auto"/>
            </w:tcBorders>
            <w:shd w:val="clear" w:color="auto" w:fill="auto"/>
            <w:noWrap/>
            <w:vAlign w:val="bottom"/>
            <w:hideMark/>
          </w:tcPr>
          <w:p w14:paraId="081A8DB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15.9 </w:t>
            </w:r>
          </w:p>
        </w:tc>
        <w:tc>
          <w:tcPr>
            <w:tcW w:w="896" w:type="dxa"/>
            <w:tcBorders>
              <w:top w:val="nil"/>
              <w:left w:val="nil"/>
              <w:bottom w:val="single" w:sz="4" w:space="0" w:color="auto"/>
              <w:right w:val="single" w:sz="4" w:space="0" w:color="auto"/>
            </w:tcBorders>
            <w:shd w:val="clear" w:color="auto" w:fill="auto"/>
            <w:noWrap/>
            <w:vAlign w:val="bottom"/>
            <w:hideMark/>
          </w:tcPr>
          <w:p w14:paraId="7DBAC35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14.4 </w:t>
            </w:r>
          </w:p>
        </w:tc>
      </w:tr>
      <w:tr w:rsidR="00240506" w:rsidRPr="00650EE4" w14:paraId="7B8F4734"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1D3EA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Slovėnija</w:t>
            </w:r>
          </w:p>
        </w:tc>
        <w:tc>
          <w:tcPr>
            <w:tcW w:w="895" w:type="dxa"/>
            <w:tcBorders>
              <w:top w:val="nil"/>
              <w:left w:val="nil"/>
              <w:bottom w:val="single" w:sz="4" w:space="0" w:color="auto"/>
              <w:right w:val="single" w:sz="4" w:space="0" w:color="auto"/>
            </w:tcBorders>
            <w:shd w:val="clear" w:color="auto" w:fill="auto"/>
            <w:noWrap/>
            <w:vAlign w:val="bottom"/>
            <w:hideMark/>
          </w:tcPr>
          <w:p w14:paraId="3BF99B5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18.0 </w:t>
            </w:r>
          </w:p>
        </w:tc>
        <w:tc>
          <w:tcPr>
            <w:tcW w:w="895" w:type="dxa"/>
            <w:tcBorders>
              <w:top w:val="nil"/>
              <w:left w:val="nil"/>
              <w:bottom w:val="single" w:sz="4" w:space="0" w:color="auto"/>
              <w:right w:val="single" w:sz="4" w:space="0" w:color="auto"/>
            </w:tcBorders>
            <w:shd w:val="clear" w:color="auto" w:fill="auto"/>
            <w:noWrap/>
            <w:vAlign w:val="bottom"/>
            <w:hideMark/>
          </w:tcPr>
          <w:p w14:paraId="71C8EB2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17.3 </w:t>
            </w:r>
          </w:p>
        </w:tc>
        <w:tc>
          <w:tcPr>
            <w:tcW w:w="896" w:type="dxa"/>
            <w:tcBorders>
              <w:top w:val="nil"/>
              <w:left w:val="nil"/>
              <w:bottom w:val="single" w:sz="4" w:space="0" w:color="auto"/>
              <w:right w:val="single" w:sz="4" w:space="0" w:color="auto"/>
            </w:tcBorders>
            <w:shd w:val="clear" w:color="auto" w:fill="auto"/>
            <w:noWrap/>
            <w:vAlign w:val="bottom"/>
            <w:hideMark/>
          </w:tcPr>
          <w:p w14:paraId="43F36C1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19.3 </w:t>
            </w:r>
          </w:p>
        </w:tc>
        <w:tc>
          <w:tcPr>
            <w:tcW w:w="895" w:type="dxa"/>
            <w:tcBorders>
              <w:top w:val="nil"/>
              <w:left w:val="nil"/>
              <w:bottom w:val="single" w:sz="4" w:space="0" w:color="auto"/>
              <w:right w:val="single" w:sz="4" w:space="0" w:color="auto"/>
            </w:tcBorders>
            <w:shd w:val="clear" w:color="auto" w:fill="auto"/>
            <w:noWrap/>
            <w:vAlign w:val="bottom"/>
            <w:hideMark/>
          </w:tcPr>
          <w:p w14:paraId="6C85F46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19.7 </w:t>
            </w:r>
          </w:p>
        </w:tc>
        <w:tc>
          <w:tcPr>
            <w:tcW w:w="896" w:type="dxa"/>
            <w:tcBorders>
              <w:top w:val="nil"/>
              <w:left w:val="nil"/>
              <w:bottom w:val="single" w:sz="4" w:space="0" w:color="auto"/>
              <w:right w:val="single" w:sz="4" w:space="0" w:color="auto"/>
            </w:tcBorders>
            <w:shd w:val="clear" w:color="auto" w:fill="auto"/>
            <w:noWrap/>
            <w:vAlign w:val="bottom"/>
            <w:hideMark/>
          </w:tcPr>
          <w:p w14:paraId="69FF36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20.3 </w:t>
            </w:r>
          </w:p>
        </w:tc>
        <w:tc>
          <w:tcPr>
            <w:tcW w:w="895" w:type="dxa"/>
            <w:tcBorders>
              <w:top w:val="nil"/>
              <w:left w:val="nil"/>
              <w:bottom w:val="single" w:sz="4" w:space="0" w:color="auto"/>
              <w:right w:val="single" w:sz="4" w:space="0" w:color="auto"/>
            </w:tcBorders>
            <w:shd w:val="clear" w:color="auto" w:fill="auto"/>
            <w:noWrap/>
            <w:vAlign w:val="bottom"/>
            <w:hideMark/>
          </w:tcPr>
          <w:p w14:paraId="7EE8B5E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17.5 </w:t>
            </w:r>
          </w:p>
        </w:tc>
        <w:tc>
          <w:tcPr>
            <w:tcW w:w="896" w:type="dxa"/>
            <w:tcBorders>
              <w:top w:val="nil"/>
              <w:left w:val="nil"/>
              <w:bottom w:val="single" w:sz="4" w:space="0" w:color="auto"/>
              <w:right w:val="single" w:sz="4" w:space="0" w:color="auto"/>
            </w:tcBorders>
            <w:shd w:val="clear" w:color="auto" w:fill="auto"/>
            <w:noWrap/>
            <w:vAlign w:val="bottom"/>
            <w:hideMark/>
          </w:tcPr>
          <w:p w14:paraId="4096E47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15.9 </w:t>
            </w:r>
          </w:p>
        </w:tc>
        <w:tc>
          <w:tcPr>
            <w:tcW w:w="895" w:type="dxa"/>
            <w:tcBorders>
              <w:top w:val="nil"/>
              <w:left w:val="nil"/>
              <w:bottom w:val="single" w:sz="4" w:space="0" w:color="auto"/>
              <w:right w:val="single" w:sz="4" w:space="0" w:color="auto"/>
            </w:tcBorders>
            <w:shd w:val="clear" w:color="auto" w:fill="auto"/>
            <w:noWrap/>
            <w:vAlign w:val="bottom"/>
            <w:hideMark/>
          </w:tcPr>
          <w:p w14:paraId="77C76DC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14.3 </w:t>
            </w:r>
          </w:p>
        </w:tc>
        <w:tc>
          <w:tcPr>
            <w:tcW w:w="896" w:type="dxa"/>
            <w:tcBorders>
              <w:top w:val="nil"/>
              <w:left w:val="nil"/>
              <w:bottom w:val="single" w:sz="4" w:space="0" w:color="auto"/>
              <w:right w:val="single" w:sz="4" w:space="0" w:color="auto"/>
            </w:tcBorders>
            <w:shd w:val="clear" w:color="auto" w:fill="auto"/>
            <w:noWrap/>
            <w:vAlign w:val="bottom"/>
            <w:hideMark/>
          </w:tcPr>
          <w:p w14:paraId="38CBBFF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12.5 </w:t>
            </w:r>
          </w:p>
        </w:tc>
      </w:tr>
      <w:tr w:rsidR="00240506" w:rsidRPr="00650EE4" w14:paraId="081E02B0"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2ABA11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Latvija</w:t>
            </w:r>
          </w:p>
        </w:tc>
        <w:tc>
          <w:tcPr>
            <w:tcW w:w="895" w:type="dxa"/>
            <w:tcBorders>
              <w:top w:val="nil"/>
              <w:left w:val="nil"/>
              <w:bottom w:val="single" w:sz="4" w:space="0" w:color="auto"/>
              <w:right w:val="single" w:sz="4" w:space="0" w:color="auto"/>
            </w:tcBorders>
            <w:shd w:val="clear" w:color="auto" w:fill="auto"/>
            <w:noWrap/>
            <w:vAlign w:val="bottom"/>
            <w:hideMark/>
          </w:tcPr>
          <w:p w14:paraId="4D50758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22.5 </w:t>
            </w:r>
          </w:p>
        </w:tc>
        <w:tc>
          <w:tcPr>
            <w:tcW w:w="895" w:type="dxa"/>
            <w:tcBorders>
              <w:top w:val="nil"/>
              <w:left w:val="nil"/>
              <w:bottom w:val="single" w:sz="4" w:space="0" w:color="auto"/>
              <w:right w:val="single" w:sz="4" w:space="0" w:color="auto"/>
            </w:tcBorders>
            <w:shd w:val="clear" w:color="auto" w:fill="auto"/>
            <w:noWrap/>
            <w:vAlign w:val="bottom"/>
            <w:hideMark/>
          </w:tcPr>
          <w:p w14:paraId="22B9AB6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23.4 </w:t>
            </w:r>
          </w:p>
        </w:tc>
        <w:tc>
          <w:tcPr>
            <w:tcW w:w="896" w:type="dxa"/>
            <w:tcBorders>
              <w:top w:val="nil"/>
              <w:left w:val="nil"/>
              <w:bottom w:val="single" w:sz="4" w:space="0" w:color="auto"/>
              <w:right w:val="single" w:sz="4" w:space="0" w:color="auto"/>
            </w:tcBorders>
            <w:shd w:val="clear" w:color="auto" w:fill="auto"/>
            <w:noWrap/>
            <w:vAlign w:val="bottom"/>
            <w:hideMark/>
          </w:tcPr>
          <w:p w14:paraId="47F0CBA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22.4 </w:t>
            </w:r>
          </w:p>
        </w:tc>
        <w:tc>
          <w:tcPr>
            <w:tcW w:w="895" w:type="dxa"/>
            <w:tcBorders>
              <w:top w:val="nil"/>
              <w:left w:val="nil"/>
              <w:bottom w:val="single" w:sz="4" w:space="0" w:color="auto"/>
              <w:right w:val="single" w:sz="4" w:space="0" w:color="auto"/>
            </w:tcBorders>
            <w:shd w:val="clear" w:color="auto" w:fill="auto"/>
            <w:noWrap/>
            <w:vAlign w:val="bottom"/>
            <w:hideMark/>
          </w:tcPr>
          <w:p w14:paraId="7BC1CBF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20.7 </w:t>
            </w:r>
          </w:p>
        </w:tc>
        <w:tc>
          <w:tcPr>
            <w:tcW w:w="896" w:type="dxa"/>
            <w:tcBorders>
              <w:top w:val="nil"/>
              <w:left w:val="nil"/>
              <w:bottom w:val="single" w:sz="4" w:space="0" w:color="auto"/>
              <w:right w:val="single" w:sz="4" w:space="0" w:color="auto"/>
            </w:tcBorders>
            <w:shd w:val="clear" w:color="auto" w:fill="auto"/>
            <w:noWrap/>
            <w:vAlign w:val="bottom"/>
            <w:hideMark/>
          </w:tcPr>
          <w:p w14:paraId="54B9A33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19.6 </w:t>
            </w:r>
          </w:p>
        </w:tc>
        <w:tc>
          <w:tcPr>
            <w:tcW w:w="895" w:type="dxa"/>
            <w:tcBorders>
              <w:top w:val="nil"/>
              <w:left w:val="nil"/>
              <w:bottom w:val="single" w:sz="4" w:space="0" w:color="auto"/>
              <w:right w:val="single" w:sz="4" w:space="0" w:color="auto"/>
            </w:tcBorders>
            <w:shd w:val="clear" w:color="auto" w:fill="auto"/>
            <w:noWrap/>
            <w:vAlign w:val="bottom"/>
            <w:hideMark/>
          </w:tcPr>
          <w:p w14:paraId="70B70D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16.7 </w:t>
            </w:r>
          </w:p>
        </w:tc>
        <w:tc>
          <w:tcPr>
            <w:tcW w:w="896" w:type="dxa"/>
            <w:tcBorders>
              <w:top w:val="nil"/>
              <w:left w:val="nil"/>
              <w:bottom w:val="single" w:sz="4" w:space="0" w:color="auto"/>
              <w:right w:val="single" w:sz="4" w:space="0" w:color="auto"/>
            </w:tcBorders>
            <w:shd w:val="clear" w:color="auto" w:fill="auto"/>
            <w:noWrap/>
            <w:vAlign w:val="bottom"/>
            <w:hideMark/>
          </w:tcPr>
          <w:p w14:paraId="3981914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13.2 </w:t>
            </w:r>
          </w:p>
        </w:tc>
        <w:tc>
          <w:tcPr>
            <w:tcW w:w="895" w:type="dxa"/>
            <w:tcBorders>
              <w:top w:val="nil"/>
              <w:left w:val="nil"/>
              <w:bottom w:val="single" w:sz="4" w:space="0" w:color="auto"/>
              <w:right w:val="single" w:sz="4" w:space="0" w:color="auto"/>
            </w:tcBorders>
            <w:shd w:val="clear" w:color="auto" w:fill="auto"/>
            <w:noWrap/>
            <w:vAlign w:val="bottom"/>
            <w:hideMark/>
          </w:tcPr>
          <w:p w14:paraId="3AAE21B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11.9 </w:t>
            </w:r>
          </w:p>
        </w:tc>
        <w:tc>
          <w:tcPr>
            <w:tcW w:w="896" w:type="dxa"/>
            <w:tcBorders>
              <w:top w:val="nil"/>
              <w:left w:val="nil"/>
              <w:bottom w:val="single" w:sz="4" w:space="0" w:color="auto"/>
              <w:right w:val="single" w:sz="4" w:space="0" w:color="auto"/>
            </w:tcBorders>
            <w:shd w:val="clear" w:color="auto" w:fill="auto"/>
            <w:noWrap/>
            <w:vAlign w:val="bottom"/>
            <w:hideMark/>
          </w:tcPr>
          <w:p w14:paraId="454F23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11.6 </w:t>
            </w:r>
          </w:p>
        </w:tc>
      </w:tr>
      <w:tr w:rsidR="00240506" w:rsidRPr="00650EE4" w14:paraId="563D163A"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59D3C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Vengrija</w:t>
            </w:r>
          </w:p>
        </w:tc>
        <w:tc>
          <w:tcPr>
            <w:tcW w:w="895" w:type="dxa"/>
            <w:tcBorders>
              <w:top w:val="nil"/>
              <w:left w:val="nil"/>
              <w:bottom w:val="single" w:sz="4" w:space="0" w:color="auto"/>
              <w:right w:val="single" w:sz="4" w:space="0" w:color="auto"/>
            </w:tcBorders>
            <w:shd w:val="clear" w:color="auto" w:fill="auto"/>
            <w:noWrap/>
            <w:vAlign w:val="bottom"/>
            <w:hideMark/>
          </w:tcPr>
          <w:p w14:paraId="4B1E823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22.1 </w:t>
            </w:r>
          </w:p>
        </w:tc>
        <w:tc>
          <w:tcPr>
            <w:tcW w:w="895" w:type="dxa"/>
            <w:tcBorders>
              <w:top w:val="nil"/>
              <w:left w:val="nil"/>
              <w:bottom w:val="single" w:sz="4" w:space="0" w:color="auto"/>
              <w:right w:val="single" w:sz="4" w:space="0" w:color="auto"/>
            </w:tcBorders>
            <w:shd w:val="clear" w:color="auto" w:fill="auto"/>
            <w:noWrap/>
            <w:vAlign w:val="bottom"/>
            <w:hideMark/>
          </w:tcPr>
          <w:p w14:paraId="6C753FC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22.7 </w:t>
            </w:r>
          </w:p>
        </w:tc>
        <w:tc>
          <w:tcPr>
            <w:tcW w:w="896" w:type="dxa"/>
            <w:tcBorders>
              <w:top w:val="nil"/>
              <w:left w:val="nil"/>
              <w:bottom w:val="single" w:sz="4" w:space="0" w:color="auto"/>
              <w:right w:val="single" w:sz="4" w:space="0" w:color="auto"/>
            </w:tcBorders>
            <w:shd w:val="clear" w:color="auto" w:fill="auto"/>
            <w:noWrap/>
            <w:vAlign w:val="bottom"/>
            <w:hideMark/>
          </w:tcPr>
          <w:p w14:paraId="691DC6E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24.4 </w:t>
            </w:r>
          </w:p>
        </w:tc>
        <w:tc>
          <w:tcPr>
            <w:tcW w:w="895" w:type="dxa"/>
            <w:tcBorders>
              <w:top w:val="nil"/>
              <w:left w:val="nil"/>
              <w:bottom w:val="single" w:sz="4" w:space="0" w:color="auto"/>
              <w:right w:val="single" w:sz="4" w:space="0" w:color="auto"/>
            </w:tcBorders>
            <w:shd w:val="clear" w:color="auto" w:fill="auto"/>
            <w:noWrap/>
            <w:vAlign w:val="bottom"/>
            <w:hideMark/>
          </w:tcPr>
          <w:p w14:paraId="3664A2E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25.0 </w:t>
            </w:r>
          </w:p>
        </w:tc>
        <w:tc>
          <w:tcPr>
            <w:tcW w:w="896" w:type="dxa"/>
            <w:tcBorders>
              <w:top w:val="nil"/>
              <w:left w:val="nil"/>
              <w:bottom w:val="single" w:sz="4" w:space="0" w:color="auto"/>
              <w:right w:val="single" w:sz="4" w:space="0" w:color="auto"/>
            </w:tcBorders>
            <w:shd w:val="clear" w:color="auto" w:fill="auto"/>
            <w:noWrap/>
            <w:vAlign w:val="bottom"/>
            <w:hideMark/>
          </w:tcPr>
          <w:p w14:paraId="4DCA2B9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22.3 </w:t>
            </w:r>
          </w:p>
        </w:tc>
        <w:tc>
          <w:tcPr>
            <w:tcW w:w="895" w:type="dxa"/>
            <w:tcBorders>
              <w:top w:val="nil"/>
              <w:left w:val="nil"/>
              <w:bottom w:val="single" w:sz="4" w:space="0" w:color="auto"/>
              <w:right w:val="single" w:sz="4" w:space="0" w:color="auto"/>
            </w:tcBorders>
            <w:shd w:val="clear" w:color="auto" w:fill="auto"/>
            <w:noWrap/>
            <w:vAlign w:val="bottom"/>
            <w:hideMark/>
          </w:tcPr>
          <w:p w14:paraId="5FF832F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19.4 </w:t>
            </w:r>
          </w:p>
        </w:tc>
        <w:tc>
          <w:tcPr>
            <w:tcW w:w="896" w:type="dxa"/>
            <w:tcBorders>
              <w:top w:val="nil"/>
              <w:left w:val="nil"/>
              <w:bottom w:val="single" w:sz="4" w:space="0" w:color="auto"/>
              <w:right w:val="single" w:sz="4" w:space="0" w:color="auto"/>
            </w:tcBorders>
            <w:shd w:val="clear" w:color="auto" w:fill="auto"/>
            <w:noWrap/>
            <w:vAlign w:val="bottom"/>
            <w:hideMark/>
          </w:tcPr>
          <w:p w14:paraId="4FC86DD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16.2 </w:t>
            </w:r>
          </w:p>
        </w:tc>
        <w:tc>
          <w:tcPr>
            <w:tcW w:w="895" w:type="dxa"/>
            <w:tcBorders>
              <w:top w:val="nil"/>
              <w:left w:val="nil"/>
              <w:bottom w:val="single" w:sz="4" w:space="0" w:color="auto"/>
              <w:right w:val="single" w:sz="4" w:space="0" w:color="auto"/>
            </w:tcBorders>
            <w:shd w:val="clear" w:color="auto" w:fill="auto"/>
            <w:noWrap/>
            <w:vAlign w:val="bottom"/>
            <w:hideMark/>
          </w:tcPr>
          <w:p w14:paraId="572AED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13.9 </w:t>
            </w:r>
          </w:p>
        </w:tc>
        <w:tc>
          <w:tcPr>
            <w:tcW w:w="896" w:type="dxa"/>
            <w:tcBorders>
              <w:top w:val="nil"/>
              <w:left w:val="nil"/>
              <w:bottom w:val="single" w:sz="4" w:space="0" w:color="auto"/>
              <w:right w:val="single" w:sz="4" w:space="0" w:color="auto"/>
            </w:tcBorders>
            <w:shd w:val="clear" w:color="auto" w:fill="auto"/>
            <w:noWrap/>
            <w:vAlign w:val="bottom"/>
            <w:hideMark/>
          </w:tcPr>
          <w:p w14:paraId="24D9E54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11.1 </w:t>
            </w:r>
          </w:p>
        </w:tc>
      </w:tr>
      <w:tr w:rsidR="00240506" w:rsidRPr="00650EE4" w14:paraId="2C09988C" w14:textId="77777777" w:rsidTr="00530F05">
        <w:tc>
          <w:tcPr>
            <w:tcW w:w="1980" w:type="dxa"/>
            <w:tcBorders>
              <w:top w:val="nil"/>
              <w:left w:val="single" w:sz="4" w:space="0" w:color="auto"/>
              <w:bottom w:val="single" w:sz="4" w:space="0" w:color="auto"/>
              <w:right w:val="single" w:sz="4" w:space="0" w:color="auto"/>
            </w:tcBorders>
            <w:shd w:val="clear" w:color="000000" w:fill="BFBFBF"/>
            <w:noWrap/>
            <w:vAlign w:val="bottom"/>
            <w:hideMark/>
          </w:tcPr>
          <w:p w14:paraId="008A959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Lietuva</w:t>
            </w:r>
          </w:p>
        </w:tc>
        <w:tc>
          <w:tcPr>
            <w:tcW w:w="895" w:type="dxa"/>
            <w:tcBorders>
              <w:top w:val="nil"/>
              <w:left w:val="nil"/>
              <w:bottom w:val="single" w:sz="4" w:space="0" w:color="auto"/>
              <w:right w:val="single" w:sz="4" w:space="0" w:color="auto"/>
            </w:tcBorders>
            <w:shd w:val="clear" w:color="000000" w:fill="BFBFBF"/>
            <w:noWrap/>
            <w:vAlign w:val="bottom"/>
            <w:hideMark/>
          </w:tcPr>
          <w:p w14:paraId="5F98EE7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10.9 </w:t>
            </w:r>
          </w:p>
        </w:tc>
        <w:tc>
          <w:tcPr>
            <w:tcW w:w="895" w:type="dxa"/>
            <w:tcBorders>
              <w:top w:val="nil"/>
              <w:left w:val="nil"/>
              <w:bottom w:val="single" w:sz="4" w:space="0" w:color="auto"/>
              <w:right w:val="single" w:sz="4" w:space="0" w:color="auto"/>
            </w:tcBorders>
            <w:shd w:val="clear" w:color="000000" w:fill="BFBFBF"/>
            <w:noWrap/>
            <w:vAlign w:val="bottom"/>
            <w:hideMark/>
          </w:tcPr>
          <w:p w14:paraId="0900F85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11.8 </w:t>
            </w:r>
          </w:p>
        </w:tc>
        <w:tc>
          <w:tcPr>
            <w:tcW w:w="896" w:type="dxa"/>
            <w:tcBorders>
              <w:top w:val="nil"/>
              <w:left w:val="nil"/>
              <w:bottom w:val="single" w:sz="4" w:space="0" w:color="auto"/>
              <w:right w:val="single" w:sz="4" w:space="0" w:color="auto"/>
            </w:tcBorders>
            <w:shd w:val="clear" w:color="000000" w:fill="BFBFBF"/>
            <w:noWrap/>
            <w:vAlign w:val="bottom"/>
            <w:hideMark/>
          </w:tcPr>
          <w:p w14:paraId="0543EDE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12.6 </w:t>
            </w:r>
          </w:p>
        </w:tc>
        <w:tc>
          <w:tcPr>
            <w:tcW w:w="895" w:type="dxa"/>
            <w:tcBorders>
              <w:top w:val="nil"/>
              <w:left w:val="nil"/>
              <w:bottom w:val="single" w:sz="4" w:space="0" w:color="auto"/>
              <w:right w:val="single" w:sz="4" w:space="0" w:color="auto"/>
            </w:tcBorders>
            <w:shd w:val="clear" w:color="000000" w:fill="BFBFBF"/>
            <w:noWrap/>
            <w:vAlign w:val="bottom"/>
            <w:hideMark/>
          </w:tcPr>
          <w:p w14:paraId="1A09CD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13.2 </w:t>
            </w:r>
          </w:p>
        </w:tc>
        <w:tc>
          <w:tcPr>
            <w:tcW w:w="896" w:type="dxa"/>
            <w:tcBorders>
              <w:top w:val="nil"/>
              <w:left w:val="nil"/>
              <w:bottom w:val="single" w:sz="4" w:space="0" w:color="auto"/>
              <w:right w:val="single" w:sz="4" w:space="0" w:color="auto"/>
            </w:tcBorders>
            <w:shd w:val="clear" w:color="000000" w:fill="BFBFBF"/>
            <w:noWrap/>
            <w:vAlign w:val="bottom"/>
            <w:hideMark/>
          </w:tcPr>
          <w:p w14:paraId="051D452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10.4 </w:t>
            </w:r>
          </w:p>
        </w:tc>
        <w:tc>
          <w:tcPr>
            <w:tcW w:w="895" w:type="dxa"/>
            <w:tcBorders>
              <w:top w:val="nil"/>
              <w:left w:val="nil"/>
              <w:bottom w:val="single" w:sz="4" w:space="0" w:color="auto"/>
              <w:right w:val="single" w:sz="4" w:space="0" w:color="auto"/>
            </w:tcBorders>
            <w:shd w:val="clear" w:color="000000" w:fill="BFBFBF"/>
            <w:noWrap/>
            <w:vAlign w:val="bottom"/>
            <w:hideMark/>
          </w:tcPr>
          <w:p w14:paraId="4EF3802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8.4 </w:t>
            </w:r>
          </w:p>
        </w:tc>
        <w:tc>
          <w:tcPr>
            <w:tcW w:w="896" w:type="dxa"/>
            <w:tcBorders>
              <w:top w:val="nil"/>
              <w:left w:val="nil"/>
              <w:bottom w:val="single" w:sz="4" w:space="0" w:color="auto"/>
              <w:right w:val="single" w:sz="4" w:space="0" w:color="auto"/>
            </w:tcBorders>
            <w:shd w:val="clear" w:color="000000" w:fill="BFBFBF"/>
            <w:noWrap/>
            <w:vAlign w:val="bottom"/>
            <w:hideMark/>
          </w:tcPr>
          <w:p w14:paraId="6E872EF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9.7 </w:t>
            </w:r>
          </w:p>
        </w:tc>
        <w:tc>
          <w:tcPr>
            <w:tcW w:w="895" w:type="dxa"/>
            <w:tcBorders>
              <w:top w:val="nil"/>
              <w:left w:val="nil"/>
              <w:bottom w:val="single" w:sz="4" w:space="0" w:color="auto"/>
              <w:right w:val="single" w:sz="4" w:space="0" w:color="auto"/>
            </w:tcBorders>
            <w:shd w:val="clear" w:color="000000" w:fill="BFBFBF"/>
            <w:noWrap/>
            <w:vAlign w:val="bottom"/>
            <w:hideMark/>
          </w:tcPr>
          <w:p w14:paraId="5322277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6" w:type="dxa"/>
            <w:tcBorders>
              <w:top w:val="nil"/>
              <w:left w:val="nil"/>
              <w:bottom w:val="single" w:sz="4" w:space="0" w:color="auto"/>
              <w:right w:val="single" w:sz="4" w:space="0" w:color="auto"/>
            </w:tcBorders>
            <w:shd w:val="clear" w:color="000000" w:fill="BFBFBF"/>
            <w:noWrap/>
            <w:vAlign w:val="bottom"/>
            <w:hideMark/>
          </w:tcPr>
          <w:p w14:paraId="60515A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9.2 </w:t>
            </w:r>
          </w:p>
        </w:tc>
      </w:tr>
      <w:tr w:rsidR="00240506" w:rsidRPr="00650EE4" w14:paraId="693FDF1C"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2E079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Airija</w:t>
            </w:r>
          </w:p>
        </w:tc>
        <w:tc>
          <w:tcPr>
            <w:tcW w:w="895" w:type="dxa"/>
            <w:tcBorders>
              <w:top w:val="nil"/>
              <w:left w:val="nil"/>
              <w:bottom w:val="single" w:sz="4" w:space="0" w:color="auto"/>
              <w:right w:val="single" w:sz="4" w:space="0" w:color="auto"/>
            </w:tcBorders>
            <w:shd w:val="clear" w:color="auto" w:fill="auto"/>
            <w:noWrap/>
            <w:vAlign w:val="bottom"/>
            <w:hideMark/>
          </w:tcPr>
          <w:p w14:paraId="0BE689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12.6 </w:t>
            </w:r>
          </w:p>
        </w:tc>
        <w:tc>
          <w:tcPr>
            <w:tcW w:w="895" w:type="dxa"/>
            <w:tcBorders>
              <w:top w:val="nil"/>
              <w:left w:val="nil"/>
              <w:bottom w:val="single" w:sz="4" w:space="0" w:color="auto"/>
              <w:right w:val="single" w:sz="4" w:space="0" w:color="auto"/>
            </w:tcBorders>
            <w:shd w:val="clear" w:color="auto" w:fill="auto"/>
            <w:noWrap/>
            <w:vAlign w:val="bottom"/>
            <w:hideMark/>
          </w:tcPr>
          <w:p w14:paraId="26358BD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14.8 </w:t>
            </w:r>
          </w:p>
        </w:tc>
        <w:tc>
          <w:tcPr>
            <w:tcW w:w="896" w:type="dxa"/>
            <w:tcBorders>
              <w:top w:val="nil"/>
              <w:left w:val="nil"/>
              <w:bottom w:val="single" w:sz="4" w:space="0" w:color="auto"/>
              <w:right w:val="single" w:sz="4" w:space="0" w:color="auto"/>
            </w:tcBorders>
            <w:shd w:val="clear" w:color="auto" w:fill="auto"/>
            <w:noWrap/>
            <w:vAlign w:val="bottom"/>
            <w:hideMark/>
          </w:tcPr>
          <w:p w14:paraId="6F43054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17.4 </w:t>
            </w:r>
          </w:p>
        </w:tc>
        <w:tc>
          <w:tcPr>
            <w:tcW w:w="895" w:type="dxa"/>
            <w:tcBorders>
              <w:top w:val="nil"/>
              <w:left w:val="nil"/>
              <w:bottom w:val="single" w:sz="4" w:space="0" w:color="auto"/>
              <w:right w:val="single" w:sz="4" w:space="0" w:color="auto"/>
            </w:tcBorders>
            <w:shd w:val="clear" w:color="auto" w:fill="auto"/>
            <w:noWrap/>
            <w:vAlign w:val="bottom"/>
            <w:hideMark/>
          </w:tcPr>
          <w:p w14:paraId="792F7CB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17.9 </w:t>
            </w:r>
          </w:p>
        </w:tc>
        <w:tc>
          <w:tcPr>
            <w:tcW w:w="896" w:type="dxa"/>
            <w:tcBorders>
              <w:top w:val="nil"/>
              <w:left w:val="nil"/>
              <w:bottom w:val="single" w:sz="4" w:space="0" w:color="auto"/>
              <w:right w:val="single" w:sz="4" w:space="0" w:color="auto"/>
            </w:tcBorders>
            <w:shd w:val="clear" w:color="auto" w:fill="auto"/>
            <w:noWrap/>
            <w:vAlign w:val="bottom"/>
            <w:hideMark/>
          </w:tcPr>
          <w:p w14:paraId="2DD1652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18.2 </w:t>
            </w:r>
          </w:p>
        </w:tc>
        <w:tc>
          <w:tcPr>
            <w:tcW w:w="895" w:type="dxa"/>
            <w:tcBorders>
              <w:top w:val="nil"/>
              <w:left w:val="nil"/>
              <w:bottom w:val="single" w:sz="4" w:space="0" w:color="auto"/>
              <w:right w:val="single" w:sz="4" w:space="0" w:color="auto"/>
            </w:tcBorders>
            <w:shd w:val="clear" w:color="auto" w:fill="auto"/>
            <w:noWrap/>
            <w:vAlign w:val="bottom"/>
            <w:hideMark/>
          </w:tcPr>
          <w:p w14:paraId="55228B2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15.2 </w:t>
            </w:r>
          </w:p>
        </w:tc>
        <w:tc>
          <w:tcPr>
            <w:tcW w:w="896" w:type="dxa"/>
            <w:tcBorders>
              <w:top w:val="nil"/>
              <w:left w:val="nil"/>
              <w:bottom w:val="single" w:sz="4" w:space="0" w:color="auto"/>
              <w:right w:val="single" w:sz="4" w:space="0" w:color="auto"/>
            </w:tcBorders>
            <w:shd w:val="clear" w:color="auto" w:fill="auto"/>
            <w:noWrap/>
            <w:vAlign w:val="bottom"/>
            <w:hideMark/>
          </w:tcPr>
          <w:p w14:paraId="2941D01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11.9 </w:t>
            </w:r>
          </w:p>
        </w:tc>
        <w:tc>
          <w:tcPr>
            <w:tcW w:w="895" w:type="dxa"/>
            <w:tcBorders>
              <w:top w:val="nil"/>
              <w:left w:val="nil"/>
              <w:bottom w:val="single" w:sz="4" w:space="0" w:color="auto"/>
              <w:right w:val="single" w:sz="4" w:space="0" w:color="auto"/>
            </w:tcBorders>
            <w:shd w:val="clear" w:color="auto" w:fill="auto"/>
            <w:noWrap/>
            <w:vAlign w:val="bottom"/>
            <w:hideMark/>
          </w:tcPr>
          <w:p w14:paraId="5CD878D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9.9 </w:t>
            </w:r>
          </w:p>
        </w:tc>
        <w:tc>
          <w:tcPr>
            <w:tcW w:w="896" w:type="dxa"/>
            <w:tcBorders>
              <w:top w:val="nil"/>
              <w:left w:val="nil"/>
              <w:bottom w:val="single" w:sz="4" w:space="0" w:color="auto"/>
              <w:right w:val="single" w:sz="4" w:space="0" w:color="auto"/>
            </w:tcBorders>
            <w:shd w:val="clear" w:color="auto" w:fill="auto"/>
            <w:noWrap/>
            <w:vAlign w:val="bottom"/>
            <w:hideMark/>
          </w:tcPr>
          <w:p w14:paraId="77A0A75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8.6 </w:t>
            </w:r>
          </w:p>
        </w:tc>
      </w:tr>
      <w:tr w:rsidR="00240506" w:rsidRPr="00650EE4" w14:paraId="3FFA1EA1"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5F2BC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Slovakija</w:t>
            </w:r>
          </w:p>
        </w:tc>
        <w:tc>
          <w:tcPr>
            <w:tcW w:w="895" w:type="dxa"/>
            <w:tcBorders>
              <w:top w:val="nil"/>
              <w:left w:val="nil"/>
              <w:bottom w:val="single" w:sz="4" w:space="0" w:color="auto"/>
              <w:right w:val="single" w:sz="4" w:space="0" w:color="auto"/>
            </w:tcBorders>
            <w:shd w:val="clear" w:color="auto" w:fill="auto"/>
            <w:noWrap/>
            <w:vAlign w:val="bottom"/>
            <w:hideMark/>
          </w:tcPr>
          <w:p w14:paraId="281F861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9.6 </w:t>
            </w:r>
          </w:p>
        </w:tc>
        <w:tc>
          <w:tcPr>
            <w:tcW w:w="895" w:type="dxa"/>
            <w:tcBorders>
              <w:top w:val="nil"/>
              <w:left w:val="nil"/>
              <w:bottom w:val="single" w:sz="4" w:space="0" w:color="auto"/>
              <w:right w:val="single" w:sz="4" w:space="0" w:color="auto"/>
            </w:tcBorders>
            <w:shd w:val="clear" w:color="auto" w:fill="auto"/>
            <w:noWrap/>
            <w:vAlign w:val="bottom"/>
            <w:hideMark/>
          </w:tcPr>
          <w:p w14:paraId="5C68633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6.4 </w:t>
            </w:r>
          </w:p>
        </w:tc>
        <w:tc>
          <w:tcPr>
            <w:tcW w:w="896" w:type="dxa"/>
            <w:tcBorders>
              <w:top w:val="nil"/>
              <w:left w:val="nil"/>
              <w:bottom w:val="single" w:sz="4" w:space="0" w:color="auto"/>
              <w:right w:val="single" w:sz="4" w:space="0" w:color="auto"/>
            </w:tcBorders>
            <w:shd w:val="clear" w:color="auto" w:fill="auto"/>
            <w:noWrap/>
            <w:vAlign w:val="bottom"/>
            <w:hideMark/>
          </w:tcPr>
          <w:p w14:paraId="2BB42C8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5.8 </w:t>
            </w:r>
          </w:p>
        </w:tc>
        <w:tc>
          <w:tcPr>
            <w:tcW w:w="895" w:type="dxa"/>
            <w:tcBorders>
              <w:top w:val="nil"/>
              <w:left w:val="nil"/>
              <w:bottom w:val="single" w:sz="4" w:space="0" w:color="auto"/>
              <w:right w:val="single" w:sz="4" w:space="0" w:color="auto"/>
            </w:tcBorders>
            <w:shd w:val="clear" w:color="auto" w:fill="auto"/>
            <w:noWrap/>
            <w:vAlign w:val="bottom"/>
            <w:hideMark/>
          </w:tcPr>
          <w:p w14:paraId="3A1CD2D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5.9 </w:t>
            </w:r>
          </w:p>
        </w:tc>
        <w:tc>
          <w:tcPr>
            <w:tcW w:w="896" w:type="dxa"/>
            <w:tcBorders>
              <w:top w:val="nil"/>
              <w:left w:val="nil"/>
              <w:bottom w:val="single" w:sz="4" w:space="0" w:color="auto"/>
              <w:right w:val="single" w:sz="4" w:space="0" w:color="auto"/>
            </w:tcBorders>
            <w:shd w:val="clear" w:color="auto" w:fill="auto"/>
            <w:noWrap/>
            <w:vAlign w:val="bottom"/>
            <w:hideMark/>
          </w:tcPr>
          <w:p w14:paraId="7ED16A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5" w:type="dxa"/>
            <w:tcBorders>
              <w:top w:val="nil"/>
              <w:left w:val="nil"/>
              <w:bottom w:val="single" w:sz="4" w:space="0" w:color="auto"/>
              <w:right w:val="single" w:sz="4" w:space="0" w:color="auto"/>
            </w:tcBorders>
            <w:shd w:val="clear" w:color="auto" w:fill="auto"/>
            <w:noWrap/>
            <w:vAlign w:val="bottom"/>
            <w:hideMark/>
          </w:tcPr>
          <w:p w14:paraId="42FD2A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6" w:type="dxa"/>
            <w:tcBorders>
              <w:top w:val="nil"/>
              <w:left w:val="nil"/>
              <w:bottom w:val="single" w:sz="4" w:space="0" w:color="auto"/>
              <w:right w:val="single" w:sz="4" w:space="0" w:color="auto"/>
            </w:tcBorders>
            <w:shd w:val="clear" w:color="auto" w:fill="auto"/>
            <w:noWrap/>
            <w:vAlign w:val="bottom"/>
            <w:hideMark/>
          </w:tcPr>
          <w:p w14:paraId="0561B83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5" w:type="dxa"/>
            <w:tcBorders>
              <w:top w:val="nil"/>
              <w:left w:val="nil"/>
              <w:bottom w:val="single" w:sz="4" w:space="0" w:color="auto"/>
              <w:right w:val="single" w:sz="4" w:space="0" w:color="auto"/>
            </w:tcBorders>
            <w:shd w:val="clear" w:color="auto" w:fill="auto"/>
            <w:noWrap/>
            <w:vAlign w:val="bottom"/>
            <w:hideMark/>
          </w:tcPr>
          <w:p w14:paraId="10E44F8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5.5 </w:t>
            </w:r>
          </w:p>
        </w:tc>
        <w:tc>
          <w:tcPr>
            <w:tcW w:w="896" w:type="dxa"/>
            <w:tcBorders>
              <w:top w:val="nil"/>
              <w:left w:val="nil"/>
              <w:bottom w:val="single" w:sz="4" w:space="0" w:color="auto"/>
              <w:right w:val="single" w:sz="4" w:space="0" w:color="auto"/>
            </w:tcBorders>
            <w:shd w:val="clear" w:color="auto" w:fill="auto"/>
            <w:noWrap/>
            <w:vAlign w:val="bottom"/>
            <w:hideMark/>
          </w:tcPr>
          <w:p w14:paraId="21CC919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r>
      <w:tr w:rsidR="00240506" w:rsidRPr="00650EE4" w14:paraId="517046E4"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75D8F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Suomija</w:t>
            </w:r>
          </w:p>
        </w:tc>
        <w:tc>
          <w:tcPr>
            <w:tcW w:w="895" w:type="dxa"/>
            <w:tcBorders>
              <w:top w:val="nil"/>
              <w:left w:val="nil"/>
              <w:bottom w:val="single" w:sz="4" w:space="0" w:color="auto"/>
              <w:right w:val="single" w:sz="4" w:space="0" w:color="auto"/>
            </w:tcBorders>
            <w:shd w:val="clear" w:color="auto" w:fill="auto"/>
            <w:noWrap/>
            <w:vAlign w:val="bottom"/>
            <w:hideMark/>
          </w:tcPr>
          <w:p w14:paraId="391214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6.9 </w:t>
            </w:r>
          </w:p>
        </w:tc>
        <w:tc>
          <w:tcPr>
            <w:tcW w:w="895" w:type="dxa"/>
            <w:tcBorders>
              <w:top w:val="nil"/>
              <w:left w:val="nil"/>
              <w:bottom w:val="single" w:sz="4" w:space="0" w:color="auto"/>
              <w:right w:val="single" w:sz="4" w:space="0" w:color="auto"/>
            </w:tcBorders>
            <w:shd w:val="clear" w:color="auto" w:fill="auto"/>
            <w:noWrap/>
            <w:vAlign w:val="bottom"/>
            <w:hideMark/>
          </w:tcPr>
          <w:p w14:paraId="05B7298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6" w:type="dxa"/>
            <w:tcBorders>
              <w:top w:val="nil"/>
              <w:left w:val="nil"/>
              <w:bottom w:val="single" w:sz="4" w:space="0" w:color="auto"/>
              <w:right w:val="single" w:sz="4" w:space="0" w:color="auto"/>
            </w:tcBorders>
            <w:shd w:val="clear" w:color="auto" w:fill="auto"/>
            <w:noWrap/>
            <w:vAlign w:val="bottom"/>
            <w:hideMark/>
          </w:tcPr>
          <w:p w14:paraId="5EC1895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5" w:type="dxa"/>
            <w:tcBorders>
              <w:top w:val="nil"/>
              <w:left w:val="nil"/>
              <w:bottom w:val="single" w:sz="4" w:space="0" w:color="auto"/>
              <w:right w:val="single" w:sz="4" w:space="0" w:color="auto"/>
            </w:tcBorders>
            <w:shd w:val="clear" w:color="auto" w:fill="auto"/>
            <w:noWrap/>
            <w:vAlign w:val="bottom"/>
            <w:hideMark/>
          </w:tcPr>
          <w:p w14:paraId="41BFCD1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8.4 </w:t>
            </w:r>
          </w:p>
        </w:tc>
        <w:tc>
          <w:tcPr>
            <w:tcW w:w="896" w:type="dxa"/>
            <w:tcBorders>
              <w:top w:val="nil"/>
              <w:left w:val="nil"/>
              <w:bottom w:val="single" w:sz="4" w:space="0" w:color="auto"/>
              <w:right w:val="single" w:sz="4" w:space="0" w:color="auto"/>
            </w:tcBorders>
            <w:shd w:val="clear" w:color="auto" w:fill="auto"/>
            <w:noWrap/>
            <w:vAlign w:val="bottom"/>
            <w:hideMark/>
          </w:tcPr>
          <w:p w14:paraId="762CB5F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5" w:type="dxa"/>
            <w:tcBorders>
              <w:top w:val="nil"/>
              <w:left w:val="nil"/>
              <w:bottom w:val="single" w:sz="4" w:space="0" w:color="auto"/>
              <w:right w:val="single" w:sz="4" w:space="0" w:color="auto"/>
            </w:tcBorders>
            <w:shd w:val="clear" w:color="auto" w:fill="auto"/>
            <w:noWrap/>
            <w:vAlign w:val="bottom"/>
            <w:hideMark/>
          </w:tcPr>
          <w:p w14:paraId="2C4CA15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7.5 </w:t>
            </w:r>
          </w:p>
        </w:tc>
        <w:tc>
          <w:tcPr>
            <w:tcW w:w="896" w:type="dxa"/>
            <w:tcBorders>
              <w:top w:val="nil"/>
              <w:left w:val="nil"/>
              <w:bottom w:val="single" w:sz="4" w:space="0" w:color="auto"/>
              <w:right w:val="single" w:sz="4" w:space="0" w:color="auto"/>
            </w:tcBorders>
            <w:shd w:val="clear" w:color="auto" w:fill="auto"/>
            <w:noWrap/>
            <w:vAlign w:val="bottom"/>
            <w:hideMark/>
          </w:tcPr>
          <w:p w14:paraId="12D54DE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7.7 </w:t>
            </w:r>
          </w:p>
        </w:tc>
        <w:tc>
          <w:tcPr>
            <w:tcW w:w="895" w:type="dxa"/>
            <w:tcBorders>
              <w:top w:val="nil"/>
              <w:left w:val="nil"/>
              <w:bottom w:val="single" w:sz="4" w:space="0" w:color="auto"/>
              <w:right w:val="single" w:sz="4" w:space="0" w:color="auto"/>
            </w:tcBorders>
            <w:shd w:val="clear" w:color="auto" w:fill="auto"/>
            <w:noWrap/>
            <w:vAlign w:val="bottom"/>
            <w:hideMark/>
          </w:tcPr>
          <w:p w14:paraId="1C1AA0F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6" w:type="dxa"/>
            <w:tcBorders>
              <w:top w:val="nil"/>
              <w:left w:val="nil"/>
              <w:bottom w:val="single" w:sz="4" w:space="0" w:color="auto"/>
              <w:right w:val="single" w:sz="4" w:space="0" w:color="auto"/>
            </w:tcBorders>
            <w:shd w:val="clear" w:color="auto" w:fill="auto"/>
            <w:noWrap/>
            <w:vAlign w:val="bottom"/>
            <w:hideMark/>
          </w:tcPr>
          <w:p w14:paraId="449CE0F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7.7 </w:t>
            </w:r>
          </w:p>
        </w:tc>
      </w:tr>
      <w:tr w:rsidR="00240506" w:rsidRPr="00650EE4" w14:paraId="128677E7"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B5C71C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Ispanija</w:t>
            </w:r>
          </w:p>
        </w:tc>
        <w:tc>
          <w:tcPr>
            <w:tcW w:w="895" w:type="dxa"/>
            <w:tcBorders>
              <w:top w:val="nil"/>
              <w:left w:val="nil"/>
              <w:bottom w:val="single" w:sz="4" w:space="0" w:color="auto"/>
              <w:right w:val="single" w:sz="4" w:space="0" w:color="auto"/>
            </w:tcBorders>
            <w:shd w:val="clear" w:color="auto" w:fill="auto"/>
            <w:noWrap/>
            <w:vAlign w:val="bottom"/>
            <w:hideMark/>
          </w:tcPr>
          <w:p w14:paraId="04855D5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7.5 </w:t>
            </w:r>
          </w:p>
        </w:tc>
        <w:tc>
          <w:tcPr>
            <w:tcW w:w="895" w:type="dxa"/>
            <w:tcBorders>
              <w:top w:val="nil"/>
              <w:left w:val="nil"/>
              <w:bottom w:val="single" w:sz="4" w:space="0" w:color="auto"/>
              <w:right w:val="single" w:sz="4" w:space="0" w:color="auto"/>
            </w:tcBorders>
            <w:shd w:val="clear" w:color="auto" w:fill="auto"/>
            <w:noWrap/>
            <w:vAlign w:val="bottom"/>
            <w:hideMark/>
          </w:tcPr>
          <w:p w14:paraId="0B5ADD7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6" w:type="dxa"/>
            <w:tcBorders>
              <w:top w:val="nil"/>
              <w:left w:val="nil"/>
              <w:bottom w:val="single" w:sz="4" w:space="0" w:color="auto"/>
              <w:right w:val="single" w:sz="4" w:space="0" w:color="auto"/>
            </w:tcBorders>
            <w:shd w:val="clear" w:color="auto" w:fill="auto"/>
            <w:noWrap/>
            <w:vAlign w:val="bottom"/>
            <w:hideMark/>
          </w:tcPr>
          <w:p w14:paraId="37EE4E8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7.5 </w:t>
            </w:r>
          </w:p>
        </w:tc>
        <w:tc>
          <w:tcPr>
            <w:tcW w:w="895" w:type="dxa"/>
            <w:tcBorders>
              <w:top w:val="nil"/>
              <w:left w:val="nil"/>
              <w:bottom w:val="single" w:sz="4" w:space="0" w:color="auto"/>
              <w:right w:val="single" w:sz="4" w:space="0" w:color="auto"/>
            </w:tcBorders>
            <w:shd w:val="clear" w:color="auto" w:fill="auto"/>
            <w:noWrap/>
            <w:vAlign w:val="bottom"/>
            <w:hideMark/>
          </w:tcPr>
          <w:p w14:paraId="4C46A0E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8.3 </w:t>
            </w:r>
          </w:p>
        </w:tc>
        <w:tc>
          <w:tcPr>
            <w:tcW w:w="896" w:type="dxa"/>
            <w:tcBorders>
              <w:top w:val="nil"/>
              <w:left w:val="nil"/>
              <w:bottom w:val="single" w:sz="4" w:space="0" w:color="auto"/>
              <w:right w:val="single" w:sz="4" w:space="0" w:color="auto"/>
            </w:tcBorders>
            <w:shd w:val="clear" w:color="auto" w:fill="auto"/>
            <w:noWrap/>
            <w:vAlign w:val="bottom"/>
            <w:hideMark/>
          </w:tcPr>
          <w:p w14:paraId="4C968E6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9.2 </w:t>
            </w:r>
          </w:p>
        </w:tc>
        <w:tc>
          <w:tcPr>
            <w:tcW w:w="895" w:type="dxa"/>
            <w:tcBorders>
              <w:top w:val="nil"/>
              <w:left w:val="nil"/>
              <w:bottom w:val="single" w:sz="4" w:space="0" w:color="auto"/>
              <w:right w:val="single" w:sz="4" w:space="0" w:color="auto"/>
            </w:tcBorders>
            <w:shd w:val="clear" w:color="auto" w:fill="auto"/>
            <w:noWrap/>
            <w:vAlign w:val="bottom"/>
            <w:hideMark/>
          </w:tcPr>
          <w:p w14:paraId="46E3291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8.8 </w:t>
            </w:r>
          </w:p>
        </w:tc>
        <w:tc>
          <w:tcPr>
            <w:tcW w:w="896" w:type="dxa"/>
            <w:tcBorders>
              <w:top w:val="nil"/>
              <w:left w:val="nil"/>
              <w:bottom w:val="single" w:sz="4" w:space="0" w:color="auto"/>
              <w:right w:val="single" w:sz="4" w:space="0" w:color="auto"/>
            </w:tcBorders>
            <w:shd w:val="clear" w:color="auto" w:fill="auto"/>
            <w:noWrap/>
            <w:vAlign w:val="bottom"/>
            <w:hideMark/>
          </w:tcPr>
          <w:p w14:paraId="13AC3F5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5" w:type="dxa"/>
            <w:tcBorders>
              <w:top w:val="nil"/>
              <w:left w:val="nil"/>
              <w:bottom w:val="single" w:sz="4" w:space="0" w:color="auto"/>
              <w:right w:val="single" w:sz="4" w:space="0" w:color="auto"/>
            </w:tcBorders>
            <w:shd w:val="clear" w:color="auto" w:fill="auto"/>
            <w:noWrap/>
            <w:vAlign w:val="bottom"/>
            <w:hideMark/>
          </w:tcPr>
          <w:p w14:paraId="5207646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7.4 </w:t>
            </w:r>
          </w:p>
        </w:tc>
        <w:tc>
          <w:tcPr>
            <w:tcW w:w="896" w:type="dxa"/>
            <w:tcBorders>
              <w:top w:val="nil"/>
              <w:left w:val="nil"/>
              <w:bottom w:val="single" w:sz="4" w:space="0" w:color="auto"/>
              <w:right w:val="single" w:sz="4" w:space="0" w:color="auto"/>
            </w:tcBorders>
            <w:shd w:val="clear" w:color="auto" w:fill="auto"/>
            <w:noWrap/>
            <w:vAlign w:val="bottom"/>
            <w:hideMark/>
          </w:tcPr>
          <w:p w14:paraId="00A3447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7.2 </w:t>
            </w:r>
          </w:p>
        </w:tc>
      </w:tr>
      <w:tr w:rsidR="00240506" w:rsidRPr="00650EE4" w14:paraId="73A9B706"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B2974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Estija</w:t>
            </w:r>
          </w:p>
        </w:tc>
        <w:tc>
          <w:tcPr>
            <w:tcW w:w="895" w:type="dxa"/>
            <w:tcBorders>
              <w:top w:val="nil"/>
              <w:left w:val="nil"/>
              <w:bottom w:val="single" w:sz="4" w:space="0" w:color="auto"/>
              <w:right w:val="single" w:sz="4" w:space="0" w:color="auto"/>
            </w:tcBorders>
            <w:shd w:val="clear" w:color="auto" w:fill="auto"/>
            <w:noWrap/>
            <w:vAlign w:val="bottom"/>
            <w:hideMark/>
          </w:tcPr>
          <w:p w14:paraId="1D61A91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11.0 </w:t>
            </w:r>
          </w:p>
        </w:tc>
        <w:tc>
          <w:tcPr>
            <w:tcW w:w="895" w:type="dxa"/>
            <w:tcBorders>
              <w:top w:val="nil"/>
              <w:left w:val="nil"/>
              <w:bottom w:val="single" w:sz="4" w:space="0" w:color="auto"/>
              <w:right w:val="single" w:sz="4" w:space="0" w:color="auto"/>
            </w:tcBorders>
            <w:shd w:val="clear" w:color="auto" w:fill="auto"/>
            <w:noWrap/>
            <w:vAlign w:val="bottom"/>
            <w:hideMark/>
          </w:tcPr>
          <w:p w14:paraId="46A18F8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11.8 </w:t>
            </w:r>
          </w:p>
        </w:tc>
        <w:tc>
          <w:tcPr>
            <w:tcW w:w="896" w:type="dxa"/>
            <w:tcBorders>
              <w:top w:val="nil"/>
              <w:left w:val="nil"/>
              <w:bottom w:val="single" w:sz="4" w:space="0" w:color="auto"/>
              <w:right w:val="single" w:sz="4" w:space="0" w:color="auto"/>
            </w:tcBorders>
            <w:shd w:val="clear" w:color="auto" w:fill="auto"/>
            <w:noWrap/>
            <w:vAlign w:val="bottom"/>
            <w:hideMark/>
          </w:tcPr>
          <w:p w14:paraId="3F0B3D2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10.9 </w:t>
            </w:r>
          </w:p>
        </w:tc>
        <w:tc>
          <w:tcPr>
            <w:tcW w:w="895" w:type="dxa"/>
            <w:tcBorders>
              <w:top w:val="nil"/>
              <w:left w:val="nil"/>
              <w:bottom w:val="single" w:sz="4" w:space="0" w:color="auto"/>
              <w:right w:val="single" w:sz="4" w:space="0" w:color="auto"/>
            </w:tcBorders>
            <w:shd w:val="clear" w:color="auto" w:fill="auto"/>
            <w:noWrap/>
            <w:vAlign w:val="bottom"/>
            <w:hideMark/>
          </w:tcPr>
          <w:p w14:paraId="2D34D8B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10.4 </w:t>
            </w:r>
          </w:p>
        </w:tc>
        <w:tc>
          <w:tcPr>
            <w:tcW w:w="896" w:type="dxa"/>
            <w:tcBorders>
              <w:top w:val="nil"/>
              <w:left w:val="nil"/>
              <w:bottom w:val="single" w:sz="4" w:space="0" w:color="auto"/>
              <w:right w:val="single" w:sz="4" w:space="0" w:color="auto"/>
            </w:tcBorders>
            <w:shd w:val="clear" w:color="auto" w:fill="auto"/>
            <w:noWrap/>
            <w:vAlign w:val="bottom"/>
            <w:hideMark/>
          </w:tcPr>
          <w:p w14:paraId="5F6B4B2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10.0 </w:t>
            </w:r>
          </w:p>
        </w:tc>
        <w:tc>
          <w:tcPr>
            <w:tcW w:w="895" w:type="dxa"/>
            <w:tcBorders>
              <w:top w:val="nil"/>
              <w:left w:val="nil"/>
              <w:bottom w:val="single" w:sz="4" w:space="0" w:color="auto"/>
              <w:right w:val="single" w:sz="4" w:space="0" w:color="auto"/>
            </w:tcBorders>
            <w:shd w:val="clear" w:color="auto" w:fill="auto"/>
            <w:noWrap/>
            <w:vAlign w:val="bottom"/>
            <w:hideMark/>
          </w:tcPr>
          <w:p w14:paraId="32302E5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6" w:type="dxa"/>
            <w:tcBorders>
              <w:top w:val="nil"/>
              <w:left w:val="nil"/>
              <w:bottom w:val="single" w:sz="4" w:space="0" w:color="auto"/>
              <w:right w:val="single" w:sz="4" w:space="0" w:color="auto"/>
            </w:tcBorders>
            <w:shd w:val="clear" w:color="auto" w:fill="auto"/>
            <w:noWrap/>
            <w:vAlign w:val="bottom"/>
            <w:hideMark/>
          </w:tcPr>
          <w:p w14:paraId="7D6E27B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5" w:type="dxa"/>
            <w:tcBorders>
              <w:top w:val="nil"/>
              <w:left w:val="nil"/>
              <w:bottom w:val="single" w:sz="4" w:space="0" w:color="auto"/>
              <w:right w:val="single" w:sz="4" w:space="0" w:color="auto"/>
            </w:tcBorders>
            <w:shd w:val="clear" w:color="auto" w:fill="auto"/>
            <w:noWrap/>
            <w:vAlign w:val="bottom"/>
            <w:hideMark/>
          </w:tcPr>
          <w:p w14:paraId="05F6006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6" w:type="dxa"/>
            <w:tcBorders>
              <w:top w:val="nil"/>
              <w:left w:val="nil"/>
              <w:bottom w:val="single" w:sz="4" w:space="0" w:color="auto"/>
              <w:right w:val="single" w:sz="4" w:space="0" w:color="auto"/>
            </w:tcBorders>
            <w:shd w:val="clear" w:color="auto" w:fill="auto"/>
            <w:noWrap/>
            <w:vAlign w:val="bottom"/>
            <w:hideMark/>
          </w:tcPr>
          <w:p w14:paraId="497A4B5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6.5 </w:t>
            </w:r>
          </w:p>
        </w:tc>
      </w:tr>
      <w:tr w:rsidR="00240506" w:rsidRPr="00650EE4" w14:paraId="0DBC9473"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DF60A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Prancūzija</w:t>
            </w:r>
          </w:p>
        </w:tc>
        <w:tc>
          <w:tcPr>
            <w:tcW w:w="895" w:type="dxa"/>
            <w:tcBorders>
              <w:top w:val="nil"/>
              <w:left w:val="nil"/>
              <w:bottom w:val="single" w:sz="4" w:space="0" w:color="auto"/>
              <w:right w:val="single" w:sz="4" w:space="0" w:color="auto"/>
            </w:tcBorders>
            <w:shd w:val="clear" w:color="auto" w:fill="auto"/>
            <w:noWrap/>
            <w:vAlign w:val="bottom"/>
            <w:hideMark/>
          </w:tcPr>
          <w:p w14:paraId="248AFFA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7.1 </w:t>
            </w:r>
          </w:p>
        </w:tc>
        <w:tc>
          <w:tcPr>
            <w:tcW w:w="895" w:type="dxa"/>
            <w:tcBorders>
              <w:top w:val="nil"/>
              <w:left w:val="nil"/>
              <w:bottom w:val="single" w:sz="4" w:space="0" w:color="auto"/>
              <w:right w:val="single" w:sz="4" w:space="0" w:color="auto"/>
            </w:tcBorders>
            <w:shd w:val="clear" w:color="auto" w:fill="auto"/>
            <w:noWrap/>
            <w:vAlign w:val="bottom"/>
            <w:hideMark/>
          </w:tcPr>
          <w:p w14:paraId="037E19C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7.1 </w:t>
            </w:r>
          </w:p>
        </w:tc>
        <w:tc>
          <w:tcPr>
            <w:tcW w:w="896" w:type="dxa"/>
            <w:tcBorders>
              <w:top w:val="nil"/>
              <w:left w:val="nil"/>
              <w:bottom w:val="single" w:sz="4" w:space="0" w:color="auto"/>
              <w:right w:val="single" w:sz="4" w:space="0" w:color="auto"/>
            </w:tcBorders>
            <w:shd w:val="clear" w:color="auto" w:fill="auto"/>
            <w:noWrap/>
            <w:vAlign w:val="bottom"/>
            <w:hideMark/>
          </w:tcPr>
          <w:p w14:paraId="17AFFA6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6.7 </w:t>
            </w:r>
          </w:p>
        </w:tc>
        <w:tc>
          <w:tcPr>
            <w:tcW w:w="895" w:type="dxa"/>
            <w:tcBorders>
              <w:top w:val="nil"/>
              <w:left w:val="nil"/>
              <w:bottom w:val="single" w:sz="4" w:space="0" w:color="auto"/>
              <w:right w:val="single" w:sz="4" w:space="0" w:color="auto"/>
            </w:tcBorders>
            <w:shd w:val="clear" w:color="auto" w:fill="auto"/>
            <w:noWrap/>
            <w:vAlign w:val="bottom"/>
            <w:hideMark/>
          </w:tcPr>
          <w:p w14:paraId="5525243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6.2 </w:t>
            </w:r>
          </w:p>
        </w:tc>
        <w:tc>
          <w:tcPr>
            <w:tcW w:w="896" w:type="dxa"/>
            <w:tcBorders>
              <w:top w:val="nil"/>
              <w:left w:val="nil"/>
              <w:bottom w:val="single" w:sz="4" w:space="0" w:color="auto"/>
              <w:right w:val="single" w:sz="4" w:space="0" w:color="auto"/>
            </w:tcBorders>
            <w:shd w:val="clear" w:color="auto" w:fill="auto"/>
            <w:noWrap/>
            <w:vAlign w:val="bottom"/>
            <w:hideMark/>
          </w:tcPr>
          <w:p w14:paraId="0CEB4F0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5" w:type="dxa"/>
            <w:tcBorders>
              <w:top w:val="nil"/>
              <w:left w:val="nil"/>
              <w:bottom w:val="single" w:sz="4" w:space="0" w:color="auto"/>
              <w:right w:val="single" w:sz="4" w:space="0" w:color="auto"/>
            </w:tcBorders>
            <w:shd w:val="clear" w:color="auto" w:fill="auto"/>
            <w:noWrap/>
            <w:vAlign w:val="bottom"/>
            <w:hideMark/>
          </w:tcPr>
          <w:p w14:paraId="3A43EC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5.9 </w:t>
            </w:r>
          </w:p>
        </w:tc>
        <w:tc>
          <w:tcPr>
            <w:tcW w:w="896" w:type="dxa"/>
            <w:tcBorders>
              <w:top w:val="nil"/>
              <w:left w:val="nil"/>
              <w:bottom w:val="single" w:sz="4" w:space="0" w:color="auto"/>
              <w:right w:val="single" w:sz="4" w:space="0" w:color="auto"/>
            </w:tcBorders>
            <w:shd w:val="clear" w:color="auto" w:fill="auto"/>
            <w:noWrap/>
            <w:vAlign w:val="bottom"/>
            <w:hideMark/>
          </w:tcPr>
          <w:p w14:paraId="5AC8675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5" w:type="dxa"/>
            <w:tcBorders>
              <w:top w:val="nil"/>
              <w:left w:val="nil"/>
              <w:bottom w:val="single" w:sz="4" w:space="0" w:color="auto"/>
              <w:right w:val="single" w:sz="4" w:space="0" w:color="auto"/>
            </w:tcBorders>
            <w:shd w:val="clear" w:color="auto" w:fill="auto"/>
            <w:noWrap/>
            <w:vAlign w:val="bottom"/>
            <w:hideMark/>
          </w:tcPr>
          <w:p w14:paraId="5532660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6" w:type="dxa"/>
            <w:tcBorders>
              <w:top w:val="nil"/>
              <w:left w:val="nil"/>
              <w:bottom w:val="single" w:sz="4" w:space="0" w:color="auto"/>
              <w:right w:val="single" w:sz="4" w:space="0" w:color="auto"/>
            </w:tcBorders>
            <w:shd w:val="clear" w:color="auto" w:fill="auto"/>
            <w:noWrap/>
            <w:vAlign w:val="bottom"/>
            <w:hideMark/>
          </w:tcPr>
          <w:p w14:paraId="097FFA9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6.4 </w:t>
            </w:r>
          </w:p>
        </w:tc>
      </w:tr>
      <w:tr w:rsidR="00240506" w:rsidRPr="00650EE4" w14:paraId="3E482210"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97B85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Lenkija</w:t>
            </w:r>
          </w:p>
        </w:tc>
        <w:tc>
          <w:tcPr>
            <w:tcW w:w="895" w:type="dxa"/>
            <w:tcBorders>
              <w:top w:val="nil"/>
              <w:left w:val="nil"/>
              <w:bottom w:val="single" w:sz="4" w:space="0" w:color="auto"/>
              <w:right w:val="single" w:sz="4" w:space="0" w:color="auto"/>
            </w:tcBorders>
            <w:shd w:val="clear" w:color="auto" w:fill="auto"/>
            <w:noWrap/>
            <w:vAlign w:val="bottom"/>
            <w:hideMark/>
          </w:tcPr>
          <w:p w14:paraId="55880D7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13.9 </w:t>
            </w:r>
          </w:p>
        </w:tc>
        <w:tc>
          <w:tcPr>
            <w:tcW w:w="895" w:type="dxa"/>
            <w:tcBorders>
              <w:top w:val="nil"/>
              <w:left w:val="nil"/>
              <w:bottom w:val="single" w:sz="4" w:space="0" w:color="auto"/>
              <w:right w:val="single" w:sz="4" w:space="0" w:color="auto"/>
            </w:tcBorders>
            <w:shd w:val="clear" w:color="auto" w:fill="auto"/>
            <w:noWrap/>
            <w:vAlign w:val="bottom"/>
            <w:hideMark/>
          </w:tcPr>
          <w:p w14:paraId="5F7A687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12.9 </w:t>
            </w:r>
          </w:p>
        </w:tc>
        <w:tc>
          <w:tcPr>
            <w:tcW w:w="896" w:type="dxa"/>
            <w:tcBorders>
              <w:top w:val="nil"/>
              <w:left w:val="nil"/>
              <w:bottom w:val="single" w:sz="4" w:space="0" w:color="auto"/>
              <w:right w:val="single" w:sz="4" w:space="0" w:color="auto"/>
            </w:tcBorders>
            <w:shd w:val="clear" w:color="auto" w:fill="auto"/>
            <w:noWrap/>
            <w:vAlign w:val="bottom"/>
            <w:hideMark/>
          </w:tcPr>
          <w:p w14:paraId="7606D1A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14.1 </w:t>
            </w:r>
          </w:p>
        </w:tc>
        <w:tc>
          <w:tcPr>
            <w:tcW w:w="895" w:type="dxa"/>
            <w:tcBorders>
              <w:top w:val="nil"/>
              <w:left w:val="nil"/>
              <w:bottom w:val="single" w:sz="4" w:space="0" w:color="auto"/>
              <w:right w:val="single" w:sz="4" w:space="0" w:color="auto"/>
            </w:tcBorders>
            <w:shd w:val="clear" w:color="auto" w:fill="auto"/>
            <w:noWrap/>
            <w:vAlign w:val="bottom"/>
            <w:hideMark/>
          </w:tcPr>
          <w:p w14:paraId="7EA602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14.0 </w:t>
            </w:r>
          </w:p>
        </w:tc>
        <w:tc>
          <w:tcPr>
            <w:tcW w:w="896" w:type="dxa"/>
            <w:tcBorders>
              <w:top w:val="nil"/>
              <w:left w:val="nil"/>
              <w:bottom w:val="single" w:sz="4" w:space="0" w:color="auto"/>
              <w:right w:val="single" w:sz="4" w:space="0" w:color="auto"/>
            </w:tcBorders>
            <w:shd w:val="clear" w:color="auto" w:fill="auto"/>
            <w:noWrap/>
            <w:vAlign w:val="bottom"/>
            <w:hideMark/>
          </w:tcPr>
          <w:p w14:paraId="41C869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14.4 </w:t>
            </w:r>
          </w:p>
        </w:tc>
        <w:tc>
          <w:tcPr>
            <w:tcW w:w="895" w:type="dxa"/>
            <w:tcBorders>
              <w:top w:val="nil"/>
              <w:left w:val="nil"/>
              <w:bottom w:val="single" w:sz="4" w:space="0" w:color="auto"/>
              <w:right w:val="single" w:sz="4" w:space="0" w:color="auto"/>
            </w:tcBorders>
            <w:shd w:val="clear" w:color="auto" w:fill="auto"/>
            <w:noWrap/>
            <w:vAlign w:val="bottom"/>
            <w:hideMark/>
          </w:tcPr>
          <w:p w14:paraId="4093440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9.2 </w:t>
            </w:r>
          </w:p>
        </w:tc>
        <w:tc>
          <w:tcPr>
            <w:tcW w:w="896" w:type="dxa"/>
            <w:tcBorders>
              <w:top w:val="nil"/>
              <w:left w:val="nil"/>
              <w:bottom w:val="single" w:sz="4" w:space="0" w:color="auto"/>
              <w:right w:val="single" w:sz="4" w:space="0" w:color="auto"/>
            </w:tcBorders>
            <w:shd w:val="clear" w:color="auto" w:fill="auto"/>
            <w:noWrap/>
            <w:vAlign w:val="bottom"/>
            <w:hideMark/>
          </w:tcPr>
          <w:p w14:paraId="6CA6294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9.5 </w:t>
            </w:r>
          </w:p>
        </w:tc>
        <w:tc>
          <w:tcPr>
            <w:tcW w:w="895" w:type="dxa"/>
            <w:tcBorders>
              <w:top w:val="nil"/>
              <w:left w:val="nil"/>
              <w:bottom w:val="single" w:sz="4" w:space="0" w:color="auto"/>
              <w:right w:val="single" w:sz="4" w:space="0" w:color="auto"/>
            </w:tcBorders>
            <w:shd w:val="clear" w:color="auto" w:fill="auto"/>
            <w:noWrap/>
            <w:vAlign w:val="bottom"/>
            <w:hideMark/>
          </w:tcPr>
          <w:p w14:paraId="3D8A1CA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8.5 </w:t>
            </w:r>
          </w:p>
        </w:tc>
        <w:tc>
          <w:tcPr>
            <w:tcW w:w="896" w:type="dxa"/>
            <w:tcBorders>
              <w:top w:val="nil"/>
              <w:left w:val="nil"/>
              <w:bottom w:val="single" w:sz="4" w:space="0" w:color="auto"/>
              <w:right w:val="single" w:sz="4" w:space="0" w:color="auto"/>
            </w:tcBorders>
            <w:shd w:val="clear" w:color="auto" w:fill="auto"/>
            <w:noWrap/>
            <w:vAlign w:val="bottom"/>
            <w:hideMark/>
          </w:tcPr>
          <w:p w14:paraId="7679EB6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r>
      <w:tr w:rsidR="00240506" w:rsidRPr="00650EE4" w14:paraId="7F02E32F"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04F854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Jungtinė Karalystė</w:t>
            </w:r>
          </w:p>
        </w:tc>
        <w:tc>
          <w:tcPr>
            <w:tcW w:w="895" w:type="dxa"/>
            <w:tcBorders>
              <w:top w:val="nil"/>
              <w:left w:val="nil"/>
              <w:bottom w:val="single" w:sz="4" w:space="0" w:color="auto"/>
              <w:right w:val="single" w:sz="4" w:space="0" w:color="auto"/>
            </w:tcBorders>
            <w:shd w:val="clear" w:color="auto" w:fill="auto"/>
            <w:noWrap/>
            <w:vAlign w:val="bottom"/>
            <w:hideMark/>
          </w:tcPr>
          <w:p w14:paraId="35B8908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5.6 </w:t>
            </w:r>
          </w:p>
        </w:tc>
        <w:tc>
          <w:tcPr>
            <w:tcW w:w="895" w:type="dxa"/>
            <w:tcBorders>
              <w:top w:val="nil"/>
              <w:left w:val="nil"/>
              <w:bottom w:val="single" w:sz="4" w:space="0" w:color="auto"/>
              <w:right w:val="single" w:sz="4" w:space="0" w:color="auto"/>
            </w:tcBorders>
            <w:shd w:val="clear" w:color="auto" w:fill="auto"/>
            <w:noWrap/>
            <w:vAlign w:val="bottom"/>
            <w:hideMark/>
          </w:tcPr>
          <w:p w14:paraId="048CF9E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6" w:type="dxa"/>
            <w:tcBorders>
              <w:top w:val="nil"/>
              <w:left w:val="nil"/>
              <w:bottom w:val="single" w:sz="4" w:space="0" w:color="auto"/>
              <w:right w:val="single" w:sz="4" w:space="0" w:color="auto"/>
            </w:tcBorders>
            <w:shd w:val="clear" w:color="auto" w:fill="auto"/>
            <w:noWrap/>
            <w:vAlign w:val="bottom"/>
            <w:hideMark/>
          </w:tcPr>
          <w:p w14:paraId="2F5B3C7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8.9 </w:t>
            </w:r>
          </w:p>
        </w:tc>
        <w:tc>
          <w:tcPr>
            <w:tcW w:w="895" w:type="dxa"/>
            <w:tcBorders>
              <w:top w:val="nil"/>
              <w:left w:val="nil"/>
              <w:bottom w:val="single" w:sz="4" w:space="0" w:color="auto"/>
              <w:right w:val="single" w:sz="4" w:space="0" w:color="auto"/>
            </w:tcBorders>
            <w:shd w:val="clear" w:color="auto" w:fill="auto"/>
            <w:noWrap/>
            <w:vAlign w:val="bottom"/>
            <w:hideMark/>
          </w:tcPr>
          <w:p w14:paraId="5A2AF07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8.7 </w:t>
            </w:r>
          </w:p>
        </w:tc>
        <w:tc>
          <w:tcPr>
            <w:tcW w:w="896" w:type="dxa"/>
            <w:tcBorders>
              <w:top w:val="nil"/>
              <w:left w:val="nil"/>
              <w:bottom w:val="single" w:sz="4" w:space="0" w:color="auto"/>
              <w:right w:val="single" w:sz="4" w:space="0" w:color="auto"/>
            </w:tcBorders>
            <w:shd w:val="clear" w:color="auto" w:fill="auto"/>
            <w:noWrap/>
            <w:vAlign w:val="bottom"/>
            <w:hideMark/>
          </w:tcPr>
          <w:p w14:paraId="3C57627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7.2 </w:t>
            </w:r>
          </w:p>
        </w:tc>
        <w:tc>
          <w:tcPr>
            <w:tcW w:w="895" w:type="dxa"/>
            <w:tcBorders>
              <w:top w:val="nil"/>
              <w:left w:val="nil"/>
              <w:bottom w:val="single" w:sz="4" w:space="0" w:color="auto"/>
              <w:right w:val="single" w:sz="4" w:space="0" w:color="auto"/>
            </w:tcBorders>
            <w:shd w:val="clear" w:color="auto" w:fill="auto"/>
            <w:noWrap/>
            <w:vAlign w:val="bottom"/>
            <w:hideMark/>
          </w:tcPr>
          <w:p w14:paraId="7F693E4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7.0 </w:t>
            </w:r>
          </w:p>
        </w:tc>
        <w:tc>
          <w:tcPr>
            <w:tcW w:w="896" w:type="dxa"/>
            <w:tcBorders>
              <w:top w:val="nil"/>
              <w:left w:val="nil"/>
              <w:bottom w:val="single" w:sz="4" w:space="0" w:color="auto"/>
              <w:right w:val="single" w:sz="4" w:space="0" w:color="auto"/>
            </w:tcBorders>
            <w:shd w:val="clear" w:color="auto" w:fill="auto"/>
            <w:noWrap/>
            <w:vAlign w:val="bottom"/>
            <w:hideMark/>
          </w:tcPr>
          <w:p w14:paraId="03871BD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5" w:type="dxa"/>
            <w:tcBorders>
              <w:top w:val="nil"/>
              <w:left w:val="nil"/>
              <w:bottom w:val="single" w:sz="4" w:space="0" w:color="auto"/>
              <w:right w:val="single" w:sz="4" w:space="0" w:color="auto"/>
            </w:tcBorders>
            <w:shd w:val="clear" w:color="auto" w:fill="auto"/>
            <w:noWrap/>
            <w:vAlign w:val="bottom"/>
            <w:hideMark/>
          </w:tcPr>
          <w:p w14:paraId="7143A5E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6" w:type="dxa"/>
            <w:tcBorders>
              <w:top w:val="nil"/>
              <w:left w:val="nil"/>
              <w:bottom w:val="single" w:sz="4" w:space="0" w:color="auto"/>
              <w:right w:val="single" w:sz="4" w:space="0" w:color="auto"/>
            </w:tcBorders>
            <w:shd w:val="clear" w:color="auto" w:fill="auto"/>
            <w:noWrap/>
            <w:vAlign w:val="bottom"/>
            <w:hideMark/>
          </w:tcPr>
          <w:p w14:paraId="4B405B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5.4 </w:t>
            </w:r>
          </w:p>
        </w:tc>
      </w:tr>
      <w:tr w:rsidR="00240506" w:rsidRPr="00650EE4" w14:paraId="1C9E5C78"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CD2904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Danija</w:t>
            </w:r>
          </w:p>
        </w:tc>
        <w:tc>
          <w:tcPr>
            <w:tcW w:w="895" w:type="dxa"/>
            <w:tcBorders>
              <w:top w:val="nil"/>
              <w:left w:val="nil"/>
              <w:bottom w:val="single" w:sz="4" w:space="0" w:color="auto"/>
              <w:right w:val="single" w:sz="4" w:space="0" w:color="auto"/>
            </w:tcBorders>
            <w:shd w:val="clear" w:color="auto" w:fill="auto"/>
            <w:noWrap/>
            <w:vAlign w:val="bottom"/>
            <w:hideMark/>
          </w:tcPr>
          <w:p w14:paraId="24F6376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5" w:type="dxa"/>
            <w:tcBorders>
              <w:top w:val="nil"/>
              <w:left w:val="nil"/>
              <w:bottom w:val="single" w:sz="4" w:space="0" w:color="auto"/>
              <w:right w:val="single" w:sz="4" w:space="0" w:color="auto"/>
            </w:tcBorders>
            <w:shd w:val="clear" w:color="auto" w:fill="auto"/>
            <w:noWrap/>
            <w:vAlign w:val="bottom"/>
            <w:hideMark/>
          </w:tcPr>
          <w:p w14:paraId="14B95AE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 </w:t>
            </w:r>
          </w:p>
        </w:tc>
        <w:tc>
          <w:tcPr>
            <w:tcW w:w="896" w:type="dxa"/>
            <w:tcBorders>
              <w:top w:val="nil"/>
              <w:left w:val="nil"/>
              <w:bottom w:val="single" w:sz="4" w:space="0" w:color="auto"/>
              <w:right w:val="single" w:sz="4" w:space="0" w:color="auto"/>
            </w:tcBorders>
            <w:shd w:val="clear" w:color="auto" w:fill="auto"/>
            <w:noWrap/>
            <w:vAlign w:val="bottom"/>
            <w:hideMark/>
          </w:tcPr>
          <w:p w14:paraId="25E1A8B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5" w:type="dxa"/>
            <w:tcBorders>
              <w:top w:val="nil"/>
              <w:left w:val="nil"/>
              <w:bottom w:val="single" w:sz="4" w:space="0" w:color="auto"/>
              <w:right w:val="single" w:sz="4" w:space="0" w:color="auto"/>
            </w:tcBorders>
            <w:shd w:val="clear" w:color="auto" w:fill="auto"/>
            <w:noWrap/>
            <w:vAlign w:val="bottom"/>
            <w:hideMark/>
          </w:tcPr>
          <w:p w14:paraId="5D112E1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772142F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5" w:type="dxa"/>
            <w:tcBorders>
              <w:top w:val="nil"/>
              <w:left w:val="nil"/>
              <w:bottom w:val="single" w:sz="4" w:space="0" w:color="auto"/>
              <w:right w:val="single" w:sz="4" w:space="0" w:color="auto"/>
            </w:tcBorders>
            <w:shd w:val="clear" w:color="auto" w:fill="auto"/>
            <w:noWrap/>
            <w:vAlign w:val="bottom"/>
            <w:hideMark/>
          </w:tcPr>
          <w:p w14:paraId="521353E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 </w:t>
            </w:r>
          </w:p>
        </w:tc>
        <w:tc>
          <w:tcPr>
            <w:tcW w:w="896" w:type="dxa"/>
            <w:tcBorders>
              <w:top w:val="nil"/>
              <w:left w:val="nil"/>
              <w:bottom w:val="single" w:sz="4" w:space="0" w:color="auto"/>
              <w:right w:val="single" w:sz="4" w:space="0" w:color="auto"/>
            </w:tcBorders>
            <w:shd w:val="clear" w:color="auto" w:fill="auto"/>
            <w:noWrap/>
            <w:vAlign w:val="bottom"/>
            <w:hideMark/>
          </w:tcPr>
          <w:p w14:paraId="4A85974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2.5 </w:t>
            </w:r>
          </w:p>
        </w:tc>
        <w:tc>
          <w:tcPr>
            <w:tcW w:w="895" w:type="dxa"/>
            <w:tcBorders>
              <w:top w:val="nil"/>
              <w:left w:val="nil"/>
              <w:bottom w:val="single" w:sz="4" w:space="0" w:color="auto"/>
              <w:right w:val="single" w:sz="4" w:space="0" w:color="auto"/>
            </w:tcBorders>
            <w:shd w:val="clear" w:color="auto" w:fill="auto"/>
            <w:noWrap/>
            <w:vAlign w:val="bottom"/>
            <w:hideMark/>
          </w:tcPr>
          <w:p w14:paraId="020A90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6" w:type="dxa"/>
            <w:tcBorders>
              <w:top w:val="nil"/>
              <w:left w:val="nil"/>
              <w:bottom w:val="single" w:sz="4" w:space="0" w:color="auto"/>
              <w:right w:val="single" w:sz="4" w:space="0" w:color="auto"/>
            </w:tcBorders>
            <w:shd w:val="clear" w:color="auto" w:fill="auto"/>
            <w:noWrap/>
            <w:vAlign w:val="bottom"/>
            <w:hideMark/>
          </w:tcPr>
          <w:p w14:paraId="6A64159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5.1 </w:t>
            </w:r>
          </w:p>
        </w:tc>
      </w:tr>
      <w:tr w:rsidR="00240506" w:rsidRPr="00650EE4" w14:paraId="23AEB8CF"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4E1AB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Belgija</w:t>
            </w:r>
          </w:p>
        </w:tc>
        <w:tc>
          <w:tcPr>
            <w:tcW w:w="895" w:type="dxa"/>
            <w:tcBorders>
              <w:top w:val="nil"/>
              <w:left w:val="nil"/>
              <w:bottom w:val="single" w:sz="4" w:space="0" w:color="auto"/>
              <w:right w:val="single" w:sz="4" w:space="0" w:color="auto"/>
            </w:tcBorders>
            <w:shd w:val="clear" w:color="auto" w:fill="auto"/>
            <w:noWrap/>
            <w:vAlign w:val="bottom"/>
            <w:hideMark/>
          </w:tcPr>
          <w:p w14:paraId="0962F3D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5.8 </w:t>
            </w:r>
          </w:p>
        </w:tc>
        <w:tc>
          <w:tcPr>
            <w:tcW w:w="895" w:type="dxa"/>
            <w:tcBorders>
              <w:top w:val="nil"/>
              <w:left w:val="nil"/>
              <w:bottom w:val="single" w:sz="4" w:space="0" w:color="auto"/>
              <w:right w:val="single" w:sz="4" w:space="0" w:color="auto"/>
            </w:tcBorders>
            <w:shd w:val="clear" w:color="auto" w:fill="auto"/>
            <w:noWrap/>
            <w:vAlign w:val="bottom"/>
            <w:hideMark/>
          </w:tcPr>
          <w:p w14:paraId="3432068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6.0 </w:t>
            </w:r>
          </w:p>
        </w:tc>
        <w:tc>
          <w:tcPr>
            <w:tcW w:w="896" w:type="dxa"/>
            <w:tcBorders>
              <w:top w:val="nil"/>
              <w:left w:val="nil"/>
              <w:bottom w:val="single" w:sz="4" w:space="0" w:color="auto"/>
              <w:right w:val="single" w:sz="4" w:space="0" w:color="auto"/>
            </w:tcBorders>
            <w:shd w:val="clear" w:color="auto" w:fill="auto"/>
            <w:noWrap/>
            <w:vAlign w:val="bottom"/>
            <w:hideMark/>
          </w:tcPr>
          <w:p w14:paraId="7E3258E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5" w:type="dxa"/>
            <w:tcBorders>
              <w:top w:val="nil"/>
              <w:left w:val="nil"/>
              <w:bottom w:val="single" w:sz="4" w:space="0" w:color="auto"/>
              <w:right w:val="single" w:sz="4" w:space="0" w:color="auto"/>
            </w:tcBorders>
            <w:shd w:val="clear" w:color="auto" w:fill="auto"/>
            <w:noWrap/>
            <w:vAlign w:val="bottom"/>
            <w:hideMark/>
          </w:tcPr>
          <w:p w14:paraId="6C8A8DD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6" w:type="dxa"/>
            <w:tcBorders>
              <w:top w:val="nil"/>
              <w:left w:val="nil"/>
              <w:bottom w:val="single" w:sz="4" w:space="0" w:color="auto"/>
              <w:right w:val="single" w:sz="4" w:space="0" w:color="auto"/>
            </w:tcBorders>
            <w:shd w:val="clear" w:color="auto" w:fill="auto"/>
            <w:noWrap/>
            <w:vAlign w:val="bottom"/>
            <w:hideMark/>
          </w:tcPr>
          <w:p w14:paraId="1A71795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5.8 </w:t>
            </w:r>
          </w:p>
        </w:tc>
        <w:tc>
          <w:tcPr>
            <w:tcW w:w="895" w:type="dxa"/>
            <w:tcBorders>
              <w:top w:val="nil"/>
              <w:left w:val="nil"/>
              <w:bottom w:val="single" w:sz="4" w:space="0" w:color="auto"/>
              <w:right w:val="single" w:sz="4" w:space="0" w:color="auto"/>
            </w:tcBorders>
            <w:shd w:val="clear" w:color="auto" w:fill="auto"/>
            <w:noWrap/>
            <w:vAlign w:val="bottom"/>
            <w:hideMark/>
          </w:tcPr>
          <w:p w14:paraId="0E496DB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5.1 </w:t>
            </w:r>
          </w:p>
        </w:tc>
        <w:tc>
          <w:tcPr>
            <w:tcW w:w="896" w:type="dxa"/>
            <w:tcBorders>
              <w:top w:val="nil"/>
              <w:left w:val="nil"/>
              <w:bottom w:val="single" w:sz="4" w:space="0" w:color="auto"/>
              <w:right w:val="single" w:sz="4" w:space="0" w:color="auto"/>
            </w:tcBorders>
            <w:shd w:val="clear" w:color="auto" w:fill="auto"/>
            <w:noWrap/>
            <w:vAlign w:val="bottom"/>
            <w:hideMark/>
          </w:tcPr>
          <w:p w14:paraId="32025D7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5" w:type="dxa"/>
            <w:tcBorders>
              <w:top w:val="nil"/>
              <w:left w:val="nil"/>
              <w:bottom w:val="single" w:sz="4" w:space="0" w:color="auto"/>
              <w:right w:val="single" w:sz="4" w:space="0" w:color="auto"/>
            </w:tcBorders>
            <w:shd w:val="clear" w:color="auto" w:fill="auto"/>
            <w:noWrap/>
            <w:vAlign w:val="bottom"/>
            <w:hideMark/>
          </w:tcPr>
          <w:p w14:paraId="1FC89E9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 </w:t>
            </w:r>
          </w:p>
        </w:tc>
        <w:tc>
          <w:tcPr>
            <w:tcW w:w="896" w:type="dxa"/>
            <w:tcBorders>
              <w:top w:val="nil"/>
              <w:left w:val="nil"/>
              <w:bottom w:val="single" w:sz="4" w:space="0" w:color="auto"/>
              <w:right w:val="single" w:sz="4" w:space="0" w:color="auto"/>
            </w:tcBorders>
            <w:shd w:val="clear" w:color="auto" w:fill="auto"/>
            <w:noWrap/>
            <w:vAlign w:val="bottom"/>
            <w:hideMark/>
          </w:tcPr>
          <w:p w14:paraId="6E7899B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r>
      <w:tr w:rsidR="00240506" w:rsidRPr="00650EE4" w14:paraId="2941E47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F4AC4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Italija</w:t>
            </w:r>
          </w:p>
        </w:tc>
        <w:tc>
          <w:tcPr>
            <w:tcW w:w="895" w:type="dxa"/>
            <w:tcBorders>
              <w:top w:val="nil"/>
              <w:left w:val="nil"/>
              <w:bottom w:val="single" w:sz="4" w:space="0" w:color="auto"/>
              <w:right w:val="single" w:sz="4" w:space="0" w:color="auto"/>
            </w:tcBorders>
            <w:shd w:val="clear" w:color="auto" w:fill="auto"/>
            <w:noWrap/>
            <w:vAlign w:val="bottom"/>
            <w:hideMark/>
          </w:tcPr>
          <w:p w14:paraId="4580DEE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11.2 </w:t>
            </w:r>
          </w:p>
        </w:tc>
        <w:tc>
          <w:tcPr>
            <w:tcW w:w="895" w:type="dxa"/>
            <w:tcBorders>
              <w:top w:val="nil"/>
              <w:left w:val="nil"/>
              <w:bottom w:val="single" w:sz="4" w:space="0" w:color="auto"/>
              <w:right w:val="single" w:sz="4" w:space="0" w:color="auto"/>
            </w:tcBorders>
            <w:shd w:val="clear" w:color="auto" w:fill="auto"/>
            <w:noWrap/>
            <w:vAlign w:val="bottom"/>
            <w:hideMark/>
          </w:tcPr>
          <w:p w14:paraId="7BF5157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12.0 </w:t>
            </w:r>
          </w:p>
        </w:tc>
        <w:tc>
          <w:tcPr>
            <w:tcW w:w="896" w:type="dxa"/>
            <w:tcBorders>
              <w:top w:val="nil"/>
              <w:left w:val="nil"/>
              <w:bottom w:val="single" w:sz="4" w:space="0" w:color="auto"/>
              <w:right w:val="single" w:sz="4" w:space="0" w:color="auto"/>
            </w:tcBorders>
            <w:shd w:val="clear" w:color="auto" w:fill="auto"/>
            <w:noWrap/>
            <w:vAlign w:val="bottom"/>
            <w:hideMark/>
          </w:tcPr>
          <w:p w14:paraId="04458D1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11.7 </w:t>
            </w:r>
          </w:p>
        </w:tc>
        <w:tc>
          <w:tcPr>
            <w:tcW w:w="895" w:type="dxa"/>
            <w:tcBorders>
              <w:top w:val="nil"/>
              <w:left w:val="nil"/>
              <w:bottom w:val="single" w:sz="4" w:space="0" w:color="auto"/>
              <w:right w:val="single" w:sz="4" w:space="0" w:color="auto"/>
            </w:tcBorders>
            <w:shd w:val="clear" w:color="auto" w:fill="auto"/>
            <w:noWrap/>
            <w:vAlign w:val="bottom"/>
            <w:hideMark/>
          </w:tcPr>
          <w:p w14:paraId="7B416B0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11.9 </w:t>
            </w:r>
          </w:p>
        </w:tc>
        <w:tc>
          <w:tcPr>
            <w:tcW w:w="896" w:type="dxa"/>
            <w:tcBorders>
              <w:top w:val="nil"/>
              <w:left w:val="nil"/>
              <w:bottom w:val="single" w:sz="4" w:space="0" w:color="auto"/>
              <w:right w:val="single" w:sz="4" w:space="0" w:color="auto"/>
            </w:tcBorders>
            <w:shd w:val="clear" w:color="auto" w:fill="auto"/>
            <w:noWrap/>
            <w:vAlign w:val="bottom"/>
            <w:hideMark/>
          </w:tcPr>
          <w:p w14:paraId="17B347E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12.2 </w:t>
            </w:r>
          </w:p>
        </w:tc>
        <w:tc>
          <w:tcPr>
            <w:tcW w:w="895" w:type="dxa"/>
            <w:tcBorders>
              <w:top w:val="nil"/>
              <w:left w:val="nil"/>
              <w:bottom w:val="single" w:sz="4" w:space="0" w:color="auto"/>
              <w:right w:val="single" w:sz="4" w:space="0" w:color="auto"/>
            </w:tcBorders>
            <w:shd w:val="clear" w:color="auto" w:fill="auto"/>
            <w:noWrap/>
            <w:vAlign w:val="bottom"/>
            <w:hideMark/>
          </w:tcPr>
          <w:p w14:paraId="53D94A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12.6 </w:t>
            </w:r>
          </w:p>
        </w:tc>
        <w:tc>
          <w:tcPr>
            <w:tcW w:w="896" w:type="dxa"/>
            <w:tcBorders>
              <w:top w:val="nil"/>
              <w:left w:val="nil"/>
              <w:bottom w:val="single" w:sz="4" w:space="0" w:color="auto"/>
              <w:right w:val="single" w:sz="4" w:space="0" w:color="auto"/>
            </w:tcBorders>
            <w:shd w:val="clear" w:color="auto" w:fill="auto"/>
            <w:noWrap/>
            <w:vAlign w:val="bottom"/>
            <w:hideMark/>
          </w:tcPr>
          <w:p w14:paraId="521B09F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8.9 </w:t>
            </w:r>
          </w:p>
        </w:tc>
        <w:tc>
          <w:tcPr>
            <w:tcW w:w="895" w:type="dxa"/>
            <w:tcBorders>
              <w:top w:val="nil"/>
              <w:left w:val="nil"/>
              <w:bottom w:val="single" w:sz="4" w:space="0" w:color="auto"/>
              <w:right w:val="single" w:sz="4" w:space="0" w:color="auto"/>
            </w:tcBorders>
            <w:shd w:val="clear" w:color="auto" w:fill="auto"/>
            <w:noWrap/>
            <w:vAlign w:val="bottom"/>
            <w:hideMark/>
          </w:tcPr>
          <w:p w14:paraId="7259E2E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4.8 </w:t>
            </w:r>
          </w:p>
        </w:tc>
        <w:tc>
          <w:tcPr>
            <w:tcW w:w="896" w:type="dxa"/>
            <w:tcBorders>
              <w:top w:val="nil"/>
              <w:left w:val="nil"/>
              <w:bottom w:val="single" w:sz="4" w:space="0" w:color="auto"/>
              <w:right w:val="single" w:sz="4" w:space="0" w:color="auto"/>
            </w:tcBorders>
            <w:shd w:val="clear" w:color="auto" w:fill="auto"/>
            <w:noWrap/>
            <w:vAlign w:val="bottom"/>
            <w:hideMark/>
          </w:tcPr>
          <w:p w14:paraId="7D61BAA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r>
      <w:tr w:rsidR="00240506" w:rsidRPr="00650EE4" w14:paraId="09544DD0"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E5AC2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Portugalija</w:t>
            </w:r>
          </w:p>
        </w:tc>
        <w:tc>
          <w:tcPr>
            <w:tcW w:w="895" w:type="dxa"/>
            <w:tcBorders>
              <w:top w:val="nil"/>
              <w:left w:val="nil"/>
              <w:bottom w:val="single" w:sz="4" w:space="0" w:color="auto"/>
              <w:right w:val="single" w:sz="4" w:space="0" w:color="auto"/>
            </w:tcBorders>
            <w:shd w:val="clear" w:color="auto" w:fill="auto"/>
            <w:noWrap/>
            <w:vAlign w:val="bottom"/>
            <w:hideMark/>
          </w:tcPr>
          <w:p w14:paraId="090B0E1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6.4 </w:t>
            </w:r>
          </w:p>
        </w:tc>
        <w:tc>
          <w:tcPr>
            <w:tcW w:w="895" w:type="dxa"/>
            <w:tcBorders>
              <w:top w:val="nil"/>
              <w:left w:val="nil"/>
              <w:bottom w:val="single" w:sz="4" w:space="0" w:color="auto"/>
              <w:right w:val="single" w:sz="4" w:space="0" w:color="auto"/>
            </w:tcBorders>
            <w:shd w:val="clear" w:color="auto" w:fill="auto"/>
            <w:noWrap/>
            <w:vAlign w:val="bottom"/>
            <w:hideMark/>
          </w:tcPr>
          <w:p w14:paraId="0829719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6.7 </w:t>
            </w:r>
          </w:p>
        </w:tc>
        <w:tc>
          <w:tcPr>
            <w:tcW w:w="896" w:type="dxa"/>
            <w:tcBorders>
              <w:top w:val="nil"/>
              <w:left w:val="nil"/>
              <w:bottom w:val="single" w:sz="4" w:space="0" w:color="auto"/>
              <w:right w:val="single" w:sz="4" w:space="0" w:color="auto"/>
            </w:tcBorders>
            <w:shd w:val="clear" w:color="auto" w:fill="auto"/>
            <w:noWrap/>
            <w:vAlign w:val="bottom"/>
            <w:hideMark/>
          </w:tcPr>
          <w:p w14:paraId="38F7556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5" w:type="dxa"/>
            <w:tcBorders>
              <w:top w:val="nil"/>
              <w:left w:val="nil"/>
              <w:bottom w:val="single" w:sz="4" w:space="0" w:color="auto"/>
              <w:right w:val="single" w:sz="4" w:space="0" w:color="auto"/>
            </w:tcBorders>
            <w:shd w:val="clear" w:color="auto" w:fill="auto"/>
            <w:noWrap/>
            <w:vAlign w:val="bottom"/>
            <w:hideMark/>
          </w:tcPr>
          <w:p w14:paraId="0394C01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8.2 </w:t>
            </w:r>
          </w:p>
        </w:tc>
        <w:tc>
          <w:tcPr>
            <w:tcW w:w="896" w:type="dxa"/>
            <w:tcBorders>
              <w:top w:val="nil"/>
              <w:left w:val="nil"/>
              <w:bottom w:val="single" w:sz="4" w:space="0" w:color="auto"/>
              <w:right w:val="single" w:sz="4" w:space="0" w:color="auto"/>
            </w:tcBorders>
            <w:shd w:val="clear" w:color="auto" w:fill="auto"/>
            <w:noWrap/>
            <w:vAlign w:val="bottom"/>
            <w:hideMark/>
          </w:tcPr>
          <w:p w14:paraId="7C9AF4F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8.5 </w:t>
            </w:r>
          </w:p>
        </w:tc>
        <w:tc>
          <w:tcPr>
            <w:tcW w:w="895" w:type="dxa"/>
            <w:tcBorders>
              <w:top w:val="nil"/>
              <w:left w:val="nil"/>
              <w:bottom w:val="single" w:sz="4" w:space="0" w:color="auto"/>
              <w:right w:val="single" w:sz="4" w:space="0" w:color="auto"/>
            </w:tcBorders>
            <w:shd w:val="clear" w:color="auto" w:fill="auto"/>
            <w:noWrap/>
            <w:vAlign w:val="bottom"/>
            <w:hideMark/>
          </w:tcPr>
          <w:p w14:paraId="5FB5BA0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6" w:type="dxa"/>
            <w:tcBorders>
              <w:top w:val="nil"/>
              <w:left w:val="nil"/>
              <w:bottom w:val="single" w:sz="4" w:space="0" w:color="auto"/>
              <w:right w:val="single" w:sz="4" w:space="0" w:color="auto"/>
            </w:tcBorders>
            <w:shd w:val="clear" w:color="auto" w:fill="auto"/>
            <w:noWrap/>
            <w:vAlign w:val="bottom"/>
            <w:hideMark/>
          </w:tcPr>
          <w:p w14:paraId="59AE34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7.3 </w:t>
            </w:r>
          </w:p>
        </w:tc>
        <w:tc>
          <w:tcPr>
            <w:tcW w:w="895" w:type="dxa"/>
            <w:tcBorders>
              <w:top w:val="nil"/>
              <w:left w:val="nil"/>
              <w:bottom w:val="single" w:sz="4" w:space="0" w:color="auto"/>
              <w:right w:val="single" w:sz="4" w:space="0" w:color="auto"/>
            </w:tcBorders>
            <w:shd w:val="clear" w:color="auto" w:fill="auto"/>
            <w:noWrap/>
            <w:vAlign w:val="bottom"/>
            <w:hideMark/>
          </w:tcPr>
          <w:p w14:paraId="0B20CE7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5.6 </w:t>
            </w:r>
          </w:p>
        </w:tc>
        <w:tc>
          <w:tcPr>
            <w:tcW w:w="896" w:type="dxa"/>
            <w:tcBorders>
              <w:top w:val="nil"/>
              <w:left w:val="nil"/>
              <w:bottom w:val="single" w:sz="4" w:space="0" w:color="auto"/>
              <w:right w:val="single" w:sz="4" w:space="0" w:color="auto"/>
            </w:tcBorders>
            <w:shd w:val="clear" w:color="auto" w:fill="auto"/>
            <w:noWrap/>
            <w:vAlign w:val="bottom"/>
            <w:hideMark/>
          </w:tcPr>
          <w:p w14:paraId="049CAAE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r>
      <w:tr w:rsidR="00240506" w:rsidRPr="00650EE4" w14:paraId="03276A08"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9D06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Šveicarija</w:t>
            </w:r>
          </w:p>
        </w:tc>
        <w:tc>
          <w:tcPr>
            <w:tcW w:w="895" w:type="dxa"/>
            <w:tcBorders>
              <w:top w:val="nil"/>
              <w:left w:val="nil"/>
              <w:bottom w:val="single" w:sz="4" w:space="0" w:color="auto"/>
              <w:right w:val="single" w:sz="4" w:space="0" w:color="auto"/>
            </w:tcBorders>
            <w:shd w:val="clear" w:color="auto" w:fill="auto"/>
            <w:noWrap/>
            <w:vAlign w:val="bottom"/>
            <w:hideMark/>
          </w:tcPr>
          <w:p w14:paraId="7EFC967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4.8 </w:t>
            </w:r>
          </w:p>
        </w:tc>
        <w:tc>
          <w:tcPr>
            <w:tcW w:w="895" w:type="dxa"/>
            <w:tcBorders>
              <w:top w:val="nil"/>
              <w:left w:val="nil"/>
              <w:bottom w:val="single" w:sz="4" w:space="0" w:color="auto"/>
              <w:right w:val="single" w:sz="4" w:space="0" w:color="auto"/>
            </w:tcBorders>
            <w:shd w:val="clear" w:color="auto" w:fill="auto"/>
            <w:noWrap/>
            <w:vAlign w:val="bottom"/>
            <w:hideMark/>
          </w:tcPr>
          <w:p w14:paraId="3B265DE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6" w:type="dxa"/>
            <w:tcBorders>
              <w:top w:val="nil"/>
              <w:left w:val="nil"/>
              <w:bottom w:val="single" w:sz="4" w:space="0" w:color="auto"/>
              <w:right w:val="single" w:sz="4" w:space="0" w:color="auto"/>
            </w:tcBorders>
            <w:shd w:val="clear" w:color="auto" w:fill="auto"/>
            <w:noWrap/>
            <w:vAlign w:val="bottom"/>
            <w:hideMark/>
          </w:tcPr>
          <w:p w14:paraId="49EC661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5" w:type="dxa"/>
            <w:tcBorders>
              <w:top w:val="nil"/>
              <w:left w:val="nil"/>
              <w:bottom w:val="single" w:sz="4" w:space="0" w:color="auto"/>
              <w:right w:val="single" w:sz="4" w:space="0" w:color="auto"/>
            </w:tcBorders>
            <w:shd w:val="clear" w:color="auto" w:fill="auto"/>
            <w:noWrap/>
            <w:vAlign w:val="bottom"/>
            <w:hideMark/>
          </w:tcPr>
          <w:p w14:paraId="0D165D8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6" w:type="dxa"/>
            <w:tcBorders>
              <w:top w:val="nil"/>
              <w:left w:val="nil"/>
              <w:bottom w:val="single" w:sz="4" w:space="0" w:color="auto"/>
              <w:right w:val="single" w:sz="4" w:space="0" w:color="auto"/>
            </w:tcBorders>
            <w:shd w:val="clear" w:color="auto" w:fill="auto"/>
            <w:noWrap/>
            <w:vAlign w:val="bottom"/>
            <w:hideMark/>
          </w:tcPr>
          <w:p w14:paraId="2E0EA23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0272DFB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0BFD5C5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c>
          <w:tcPr>
            <w:tcW w:w="895" w:type="dxa"/>
            <w:tcBorders>
              <w:top w:val="nil"/>
              <w:left w:val="nil"/>
              <w:bottom w:val="single" w:sz="4" w:space="0" w:color="auto"/>
              <w:right w:val="single" w:sz="4" w:space="0" w:color="auto"/>
            </w:tcBorders>
            <w:shd w:val="clear" w:color="auto" w:fill="auto"/>
            <w:noWrap/>
            <w:vAlign w:val="bottom"/>
            <w:hideMark/>
          </w:tcPr>
          <w:p w14:paraId="11CCBF9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76DFCF7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 </w:t>
            </w:r>
          </w:p>
        </w:tc>
      </w:tr>
      <w:tr w:rsidR="00240506" w:rsidRPr="00650EE4" w14:paraId="0F584BF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1B639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Liuksemburgas</w:t>
            </w:r>
          </w:p>
        </w:tc>
        <w:tc>
          <w:tcPr>
            <w:tcW w:w="895" w:type="dxa"/>
            <w:tcBorders>
              <w:top w:val="nil"/>
              <w:left w:val="nil"/>
              <w:bottom w:val="single" w:sz="4" w:space="0" w:color="auto"/>
              <w:right w:val="single" w:sz="4" w:space="0" w:color="auto"/>
            </w:tcBorders>
            <w:shd w:val="clear" w:color="auto" w:fill="auto"/>
            <w:noWrap/>
            <w:vAlign w:val="bottom"/>
            <w:hideMark/>
          </w:tcPr>
          <w:p w14:paraId="27C8518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5" w:type="dxa"/>
            <w:tcBorders>
              <w:top w:val="nil"/>
              <w:left w:val="nil"/>
              <w:bottom w:val="single" w:sz="4" w:space="0" w:color="auto"/>
              <w:right w:val="single" w:sz="4" w:space="0" w:color="auto"/>
            </w:tcBorders>
            <w:shd w:val="clear" w:color="auto" w:fill="auto"/>
            <w:noWrap/>
            <w:vAlign w:val="bottom"/>
            <w:hideMark/>
          </w:tcPr>
          <w:p w14:paraId="4AED79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c>
          <w:tcPr>
            <w:tcW w:w="896" w:type="dxa"/>
            <w:tcBorders>
              <w:top w:val="nil"/>
              <w:left w:val="nil"/>
              <w:bottom w:val="single" w:sz="4" w:space="0" w:color="auto"/>
              <w:right w:val="single" w:sz="4" w:space="0" w:color="auto"/>
            </w:tcBorders>
            <w:shd w:val="clear" w:color="auto" w:fill="auto"/>
            <w:noWrap/>
            <w:vAlign w:val="bottom"/>
            <w:hideMark/>
          </w:tcPr>
          <w:p w14:paraId="136740D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c>
          <w:tcPr>
            <w:tcW w:w="895" w:type="dxa"/>
            <w:tcBorders>
              <w:top w:val="nil"/>
              <w:left w:val="nil"/>
              <w:bottom w:val="single" w:sz="4" w:space="0" w:color="auto"/>
              <w:right w:val="single" w:sz="4" w:space="0" w:color="auto"/>
            </w:tcBorders>
            <w:shd w:val="clear" w:color="auto" w:fill="auto"/>
            <w:noWrap/>
            <w:vAlign w:val="bottom"/>
            <w:hideMark/>
          </w:tcPr>
          <w:p w14:paraId="7B2F198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 </w:t>
            </w:r>
          </w:p>
        </w:tc>
        <w:tc>
          <w:tcPr>
            <w:tcW w:w="896" w:type="dxa"/>
            <w:tcBorders>
              <w:top w:val="nil"/>
              <w:left w:val="nil"/>
              <w:bottom w:val="single" w:sz="4" w:space="0" w:color="auto"/>
              <w:right w:val="single" w:sz="4" w:space="0" w:color="auto"/>
            </w:tcBorders>
            <w:shd w:val="clear" w:color="auto" w:fill="auto"/>
            <w:noWrap/>
            <w:vAlign w:val="bottom"/>
            <w:hideMark/>
          </w:tcPr>
          <w:p w14:paraId="58F303F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5" w:type="dxa"/>
            <w:tcBorders>
              <w:top w:val="nil"/>
              <w:left w:val="nil"/>
              <w:bottom w:val="single" w:sz="4" w:space="0" w:color="auto"/>
              <w:right w:val="single" w:sz="4" w:space="0" w:color="auto"/>
            </w:tcBorders>
            <w:shd w:val="clear" w:color="auto" w:fill="auto"/>
            <w:noWrap/>
            <w:vAlign w:val="bottom"/>
            <w:hideMark/>
          </w:tcPr>
          <w:p w14:paraId="7DEC164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6" w:type="dxa"/>
            <w:tcBorders>
              <w:top w:val="nil"/>
              <w:left w:val="nil"/>
              <w:bottom w:val="single" w:sz="4" w:space="0" w:color="auto"/>
              <w:right w:val="single" w:sz="4" w:space="0" w:color="auto"/>
            </w:tcBorders>
            <w:shd w:val="clear" w:color="auto" w:fill="auto"/>
            <w:noWrap/>
            <w:vAlign w:val="bottom"/>
            <w:hideMark/>
          </w:tcPr>
          <w:p w14:paraId="651FDC8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5" w:type="dxa"/>
            <w:tcBorders>
              <w:top w:val="nil"/>
              <w:left w:val="nil"/>
              <w:bottom w:val="single" w:sz="4" w:space="0" w:color="auto"/>
              <w:right w:val="single" w:sz="4" w:space="0" w:color="auto"/>
            </w:tcBorders>
            <w:shd w:val="clear" w:color="auto" w:fill="auto"/>
            <w:noWrap/>
            <w:vAlign w:val="bottom"/>
            <w:hideMark/>
          </w:tcPr>
          <w:p w14:paraId="125B804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 </w:t>
            </w:r>
          </w:p>
        </w:tc>
        <w:tc>
          <w:tcPr>
            <w:tcW w:w="896" w:type="dxa"/>
            <w:tcBorders>
              <w:top w:val="nil"/>
              <w:left w:val="nil"/>
              <w:bottom w:val="single" w:sz="4" w:space="0" w:color="auto"/>
              <w:right w:val="single" w:sz="4" w:space="0" w:color="auto"/>
            </w:tcBorders>
            <w:shd w:val="clear" w:color="auto" w:fill="auto"/>
            <w:noWrap/>
            <w:vAlign w:val="bottom"/>
            <w:hideMark/>
          </w:tcPr>
          <w:p w14:paraId="5B560DB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r>
      <w:tr w:rsidR="00240506" w:rsidRPr="00650EE4" w14:paraId="09BE828D"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966341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Vokietija</w:t>
            </w:r>
          </w:p>
        </w:tc>
        <w:tc>
          <w:tcPr>
            <w:tcW w:w="895" w:type="dxa"/>
            <w:tcBorders>
              <w:top w:val="nil"/>
              <w:left w:val="nil"/>
              <w:bottom w:val="single" w:sz="4" w:space="0" w:color="auto"/>
              <w:right w:val="single" w:sz="4" w:space="0" w:color="auto"/>
            </w:tcBorders>
            <w:shd w:val="clear" w:color="auto" w:fill="auto"/>
            <w:noWrap/>
            <w:vAlign w:val="bottom"/>
            <w:hideMark/>
          </w:tcPr>
          <w:p w14:paraId="70E8500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5" w:type="dxa"/>
            <w:tcBorders>
              <w:top w:val="nil"/>
              <w:left w:val="nil"/>
              <w:bottom w:val="single" w:sz="4" w:space="0" w:color="auto"/>
              <w:right w:val="single" w:sz="4" w:space="0" w:color="auto"/>
            </w:tcBorders>
            <w:shd w:val="clear" w:color="auto" w:fill="auto"/>
            <w:noWrap/>
            <w:vAlign w:val="bottom"/>
            <w:hideMark/>
          </w:tcPr>
          <w:p w14:paraId="1B5242C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3.9 </w:t>
            </w:r>
          </w:p>
        </w:tc>
        <w:tc>
          <w:tcPr>
            <w:tcW w:w="896" w:type="dxa"/>
            <w:tcBorders>
              <w:top w:val="nil"/>
              <w:left w:val="nil"/>
              <w:bottom w:val="single" w:sz="4" w:space="0" w:color="auto"/>
              <w:right w:val="single" w:sz="4" w:space="0" w:color="auto"/>
            </w:tcBorders>
            <w:shd w:val="clear" w:color="auto" w:fill="auto"/>
            <w:noWrap/>
            <w:vAlign w:val="bottom"/>
            <w:hideMark/>
          </w:tcPr>
          <w:p w14:paraId="3DD8B56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 </w:t>
            </w:r>
          </w:p>
        </w:tc>
        <w:tc>
          <w:tcPr>
            <w:tcW w:w="895" w:type="dxa"/>
            <w:tcBorders>
              <w:top w:val="nil"/>
              <w:left w:val="nil"/>
              <w:bottom w:val="single" w:sz="4" w:space="0" w:color="auto"/>
              <w:right w:val="single" w:sz="4" w:space="0" w:color="auto"/>
            </w:tcBorders>
            <w:shd w:val="clear" w:color="auto" w:fill="auto"/>
            <w:noWrap/>
            <w:vAlign w:val="bottom"/>
            <w:hideMark/>
          </w:tcPr>
          <w:p w14:paraId="3DB49DA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551079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7408F3A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6" w:type="dxa"/>
            <w:tcBorders>
              <w:top w:val="nil"/>
              <w:left w:val="nil"/>
              <w:bottom w:val="single" w:sz="4" w:space="0" w:color="auto"/>
              <w:right w:val="single" w:sz="4" w:space="0" w:color="auto"/>
            </w:tcBorders>
            <w:shd w:val="clear" w:color="auto" w:fill="auto"/>
            <w:noWrap/>
            <w:vAlign w:val="bottom"/>
            <w:hideMark/>
          </w:tcPr>
          <w:p w14:paraId="16773DB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5" w:type="dxa"/>
            <w:tcBorders>
              <w:top w:val="nil"/>
              <w:left w:val="nil"/>
              <w:bottom w:val="single" w:sz="4" w:space="0" w:color="auto"/>
              <w:right w:val="single" w:sz="4" w:space="0" w:color="auto"/>
            </w:tcBorders>
            <w:shd w:val="clear" w:color="auto" w:fill="auto"/>
            <w:noWrap/>
            <w:vAlign w:val="bottom"/>
            <w:hideMark/>
          </w:tcPr>
          <w:p w14:paraId="77880B7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 </w:t>
            </w:r>
          </w:p>
        </w:tc>
        <w:tc>
          <w:tcPr>
            <w:tcW w:w="896" w:type="dxa"/>
            <w:tcBorders>
              <w:top w:val="nil"/>
              <w:left w:val="nil"/>
              <w:bottom w:val="single" w:sz="4" w:space="0" w:color="auto"/>
              <w:right w:val="single" w:sz="4" w:space="0" w:color="auto"/>
            </w:tcBorders>
            <w:shd w:val="clear" w:color="auto" w:fill="auto"/>
            <w:noWrap/>
            <w:vAlign w:val="bottom"/>
            <w:hideMark/>
          </w:tcPr>
          <w:p w14:paraId="392CE0F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r>
      <w:tr w:rsidR="00240506" w:rsidRPr="00650EE4" w14:paraId="496F7D59"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A31E8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Norvegija</w:t>
            </w:r>
          </w:p>
        </w:tc>
        <w:tc>
          <w:tcPr>
            <w:tcW w:w="895" w:type="dxa"/>
            <w:tcBorders>
              <w:top w:val="nil"/>
              <w:left w:val="nil"/>
              <w:bottom w:val="single" w:sz="4" w:space="0" w:color="auto"/>
              <w:right w:val="single" w:sz="4" w:space="0" w:color="auto"/>
            </w:tcBorders>
            <w:shd w:val="clear" w:color="auto" w:fill="auto"/>
            <w:noWrap/>
            <w:vAlign w:val="bottom"/>
            <w:hideMark/>
          </w:tcPr>
          <w:p w14:paraId="48D63F6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5" w:type="dxa"/>
            <w:tcBorders>
              <w:top w:val="nil"/>
              <w:left w:val="nil"/>
              <w:bottom w:val="single" w:sz="4" w:space="0" w:color="auto"/>
              <w:right w:val="single" w:sz="4" w:space="0" w:color="auto"/>
            </w:tcBorders>
            <w:shd w:val="clear" w:color="auto" w:fill="auto"/>
            <w:noWrap/>
            <w:vAlign w:val="bottom"/>
            <w:hideMark/>
          </w:tcPr>
          <w:p w14:paraId="5E4B856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6.9 </w:t>
            </w:r>
          </w:p>
        </w:tc>
        <w:tc>
          <w:tcPr>
            <w:tcW w:w="896" w:type="dxa"/>
            <w:tcBorders>
              <w:top w:val="nil"/>
              <w:left w:val="nil"/>
              <w:bottom w:val="single" w:sz="4" w:space="0" w:color="auto"/>
              <w:right w:val="single" w:sz="4" w:space="0" w:color="auto"/>
            </w:tcBorders>
            <w:shd w:val="clear" w:color="auto" w:fill="auto"/>
            <w:noWrap/>
            <w:vAlign w:val="bottom"/>
            <w:hideMark/>
          </w:tcPr>
          <w:p w14:paraId="124A57C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5" w:type="dxa"/>
            <w:tcBorders>
              <w:top w:val="nil"/>
              <w:left w:val="nil"/>
              <w:bottom w:val="single" w:sz="4" w:space="0" w:color="auto"/>
              <w:right w:val="single" w:sz="4" w:space="0" w:color="auto"/>
            </w:tcBorders>
            <w:shd w:val="clear" w:color="auto" w:fill="auto"/>
            <w:noWrap/>
            <w:vAlign w:val="bottom"/>
            <w:hideMark/>
          </w:tcPr>
          <w:p w14:paraId="4915409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c>
          <w:tcPr>
            <w:tcW w:w="896" w:type="dxa"/>
            <w:tcBorders>
              <w:top w:val="nil"/>
              <w:left w:val="nil"/>
              <w:bottom w:val="single" w:sz="4" w:space="0" w:color="auto"/>
              <w:right w:val="single" w:sz="4" w:space="0" w:color="auto"/>
            </w:tcBorders>
            <w:shd w:val="clear" w:color="auto" w:fill="auto"/>
            <w:noWrap/>
            <w:vAlign w:val="bottom"/>
            <w:hideMark/>
          </w:tcPr>
          <w:p w14:paraId="4F5B7A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 </w:t>
            </w:r>
          </w:p>
        </w:tc>
        <w:tc>
          <w:tcPr>
            <w:tcW w:w="895" w:type="dxa"/>
            <w:tcBorders>
              <w:top w:val="nil"/>
              <w:left w:val="nil"/>
              <w:bottom w:val="single" w:sz="4" w:space="0" w:color="auto"/>
              <w:right w:val="single" w:sz="4" w:space="0" w:color="auto"/>
            </w:tcBorders>
            <w:shd w:val="clear" w:color="auto" w:fill="auto"/>
            <w:noWrap/>
            <w:vAlign w:val="bottom"/>
            <w:hideMark/>
          </w:tcPr>
          <w:p w14:paraId="036B1FB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6" w:type="dxa"/>
            <w:tcBorders>
              <w:top w:val="nil"/>
              <w:left w:val="nil"/>
              <w:bottom w:val="single" w:sz="4" w:space="0" w:color="auto"/>
              <w:right w:val="single" w:sz="4" w:space="0" w:color="auto"/>
            </w:tcBorders>
            <w:shd w:val="clear" w:color="auto" w:fill="auto"/>
            <w:noWrap/>
            <w:vAlign w:val="bottom"/>
            <w:hideMark/>
          </w:tcPr>
          <w:p w14:paraId="3FAB68C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5" w:type="dxa"/>
            <w:tcBorders>
              <w:top w:val="nil"/>
              <w:left w:val="nil"/>
              <w:bottom w:val="single" w:sz="4" w:space="0" w:color="auto"/>
              <w:right w:val="single" w:sz="4" w:space="0" w:color="auto"/>
            </w:tcBorders>
            <w:shd w:val="clear" w:color="auto" w:fill="auto"/>
            <w:noWrap/>
            <w:vAlign w:val="bottom"/>
            <w:hideMark/>
          </w:tcPr>
          <w:p w14:paraId="2DDF32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6" w:type="dxa"/>
            <w:tcBorders>
              <w:top w:val="nil"/>
              <w:left w:val="nil"/>
              <w:bottom w:val="single" w:sz="4" w:space="0" w:color="auto"/>
              <w:right w:val="single" w:sz="4" w:space="0" w:color="auto"/>
            </w:tcBorders>
            <w:shd w:val="clear" w:color="auto" w:fill="auto"/>
            <w:noWrap/>
            <w:vAlign w:val="bottom"/>
            <w:hideMark/>
          </w:tcPr>
          <w:p w14:paraId="66A0FF5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 </w:t>
            </w:r>
          </w:p>
        </w:tc>
      </w:tr>
      <w:tr w:rsidR="00240506" w:rsidRPr="00650EE4" w14:paraId="6E0BE3BC"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89EA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Austrija</w:t>
            </w:r>
          </w:p>
        </w:tc>
        <w:tc>
          <w:tcPr>
            <w:tcW w:w="895" w:type="dxa"/>
            <w:tcBorders>
              <w:top w:val="nil"/>
              <w:left w:val="nil"/>
              <w:bottom w:val="single" w:sz="4" w:space="0" w:color="auto"/>
              <w:right w:val="single" w:sz="4" w:space="0" w:color="auto"/>
            </w:tcBorders>
            <w:shd w:val="clear" w:color="auto" w:fill="auto"/>
            <w:noWrap/>
            <w:vAlign w:val="bottom"/>
            <w:hideMark/>
          </w:tcPr>
          <w:p w14:paraId="125AD53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4.4 </w:t>
            </w:r>
          </w:p>
        </w:tc>
        <w:tc>
          <w:tcPr>
            <w:tcW w:w="895" w:type="dxa"/>
            <w:tcBorders>
              <w:top w:val="nil"/>
              <w:left w:val="nil"/>
              <w:bottom w:val="single" w:sz="4" w:space="0" w:color="auto"/>
              <w:right w:val="single" w:sz="4" w:space="0" w:color="auto"/>
            </w:tcBorders>
            <w:shd w:val="clear" w:color="auto" w:fill="auto"/>
            <w:noWrap/>
            <w:vAlign w:val="bottom"/>
            <w:hideMark/>
          </w:tcPr>
          <w:p w14:paraId="41B27E7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6" w:type="dxa"/>
            <w:tcBorders>
              <w:top w:val="nil"/>
              <w:left w:val="nil"/>
              <w:bottom w:val="single" w:sz="4" w:space="0" w:color="auto"/>
              <w:right w:val="single" w:sz="4" w:space="0" w:color="auto"/>
            </w:tcBorders>
            <w:shd w:val="clear" w:color="auto" w:fill="auto"/>
            <w:noWrap/>
            <w:vAlign w:val="bottom"/>
            <w:hideMark/>
          </w:tcPr>
          <w:p w14:paraId="77A9784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3.8 </w:t>
            </w:r>
          </w:p>
        </w:tc>
        <w:tc>
          <w:tcPr>
            <w:tcW w:w="895" w:type="dxa"/>
            <w:tcBorders>
              <w:top w:val="nil"/>
              <w:left w:val="nil"/>
              <w:bottom w:val="single" w:sz="4" w:space="0" w:color="auto"/>
              <w:right w:val="single" w:sz="4" w:space="0" w:color="auto"/>
            </w:tcBorders>
            <w:shd w:val="clear" w:color="auto" w:fill="auto"/>
            <w:noWrap/>
            <w:vAlign w:val="bottom"/>
            <w:hideMark/>
          </w:tcPr>
          <w:p w14:paraId="3B77798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6" w:type="dxa"/>
            <w:tcBorders>
              <w:top w:val="nil"/>
              <w:left w:val="nil"/>
              <w:bottom w:val="single" w:sz="4" w:space="0" w:color="auto"/>
              <w:right w:val="single" w:sz="4" w:space="0" w:color="auto"/>
            </w:tcBorders>
            <w:shd w:val="clear" w:color="auto" w:fill="auto"/>
            <w:noWrap/>
            <w:vAlign w:val="bottom"/>
            <w:hideMark/>
          </w:tcPr>
          <w:p w14:paraId="717F26E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5" w:type="dxa"/>
            <w:tcBorders>
              <w:top w:val="nil"/>
              <w:left w:val="nil"/>
              <w:bottom w:val="single" w:sz="4" w:space="0" w:color="auto"/>
              <w:right w:val="single" w:sz="4" w:space="0" w:color="auto"/>
            </w:tcBorders>
            <w:shd w:val="clear" w:color="auto" w:fill="auto"/>
            <w:noWrap/>
            <w:vAlign w:val="bottom"/>
            <w:hideMark/>
          </w:tcPr>
          <w:p w14:paraId="360488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6" w:type="dxa"/>
            <w:tcBorders>
              <w:top w:val="nil"/>
              <w:left w:val="nil"/>
              <w:bottom w:val="single" w:sz="4" w:space="0" w:color="auto"/>
              <w:right w:val="single" w:sz="4" w:space="0" w:color="auto"/>
            </w:tcBorders>
            <w:shd w:val="clear" w:color="auto" w:fill="auto"/>
            <w:noWrap/>
            <w:vAlign w:val="bottom"/>
            <w:hideMark/>
          </w:tcPr>
          <w:p w14:paraId="6701A18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449F801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360161A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r>
      <w:tr w:rsidR="00240506" w:rsidRPr="00650EE4" w14:paraId="1401C511"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C999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Švedija</w:t>
            </w:r>
          </w:p>
        </w:tc>
        <w:tc>
          <w:tcPr>
            <w:tcW w:w="895" w:type="dxa"/>
            <w:tcBorders>
              <w:top w:val="nil"/>
              <w:left w:val="nil"/>
              <w:bottom w:val="single" w:sz="4" w:space="0" w:color="auto"/>
              <w:right w:val="single" w:sz="4" w:space="0" w:color="auto"/>
            </w:tcBorders>
            <w:shd w:val="clear" w:color="auto" w:fill="auto"/>
            <w:noWrap/>
            <w:vAlign w:val="bottom"/>
            <w:hideMark/>
          </w:tcPr>
          <w:p w14:paraId="1F0DC85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5.2 </w:t>
            </w:r>
          </w:p>
        </w:tc>
        <w:tc>
          <w:tcPr>
            <w:tcW w:w="895" w:type="dxa"/>
            <w:tcBorders>
              <w:top w:val="nil"/>
              <w:left w:val="nil"/>
              <w:bottom w:val="single" w:sz="4" w:space="0" w:color="auto"/>
              <w:right w:val="single" w:sz="4" w:space="0" w:color="auto"/>
            </w:tcBorders>
            <w:shd w:val="clear" w:color="auto" w:fill="auto"/>
            <w:noWrap/>
            <w:vAlign w:val="bottom"/>
            <w:hideMark/>
          </w:tcPr>
          <w:p w14:paraId="6ECAB2A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6" w:type="dxa"/>
            <w:tcBorders>
              <w:top w:val="nil"/>
              <w:left w:val="nil"/>
              <w:bottom w:val="single" w:sz="4" w:space="0" w:color="auto"/>
              <w:right w:val="single" w:sz="4" w:space="0" w:color="auto"/>
            </w:tcBorders>
            <w:shd w:val="clear" w:color="auto" w:fill="auto"/>
            <w:noWrap/>
            <w:vAlign w:val="bottom"/>
            <w:hideMark/>
          </w:tcPr>
          <w:p w14:paraId="71357C3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4.3 </w:t>
            </w:r>
          </w:p>
        </w:tc>
        <w:tc>
          <w:tcPr>
            <w:tcW w:w="895" w:type="dxa"/>
            <w:tcBorders>
              <w:top w:val="nil"/>
              <w:left w:val="nil"/>
              <w:bottom w:val="single" w:sz="4" w:space="0" w:color="auto"/>
              <w:right w:val="single" w:sz="4" w:space="0" w:color="auto"/>
            </w:tcBorders>
            <w:shd w:val="clear" w:color="auto" w:fill="auto"/>
            <w:noWrap/>
            <w:vAlign w:val="bottom"/>
            <w:hideMark/>
          </w:tcPr>
          <w:p w14:paraId="2BEB8DC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4.7 </w:t>
            </w:r>
          </w:p>
        </w:tc>
        <w:tc>
          <w:tcPr>
            <w:tcW w:w="896" w:type="dxa"/>
            <w:tcBorders>
              <w:top w:val="nil"/>
              <w:left w:val="nil"/>
              <w:bottom w:val="single" w:sz="4" w:space="0" w:color="auto"/>
              <w:right w:val="single" w:sz="4" w:space="0" w:color="auto"/>
            </w:tcBorders>
            <w:shd w:val="clear" w:color="auto" w:fill="auto"/>
            <w:noWrap/>
            <w:vAlign w:val="bottom"/>
            <w:hideMark/>
          </w:tcPr>
          <w:p w14:paraId="06AA8A2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5" w:type="dxa"/>
            <w:tcBorders>
              <w:top w:val="nil"/>
              <w:left w:val="nil"/>
              <w:bottom w:val="single" w:sz="4" w:space="0" w:color="auto"/>
              <w:right w:val="single" w:sz="4" w:space="0" w:color="auto"/>
            </w:tcBorders>
            <w:shd w:val="clear" w:color="auto" w:fill="auto"/>
            <w:noWrap/>
            <w:vAlign w:val="bottom"/>
            <w:hideMark/>
          </w:tcPr>
          <w:p w14:paraId="5783780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6" w:type="dxa"/>
            <w:tcBorders>
              <w:top w:val="nil"/>
              <w:left w:val="nil"/>
              <w:bottom w:val="single" w:sz="4" w:space="0" w:color="auto"/>
              <w:right w:val="single" w:sz="4" w:space="0" w:color="auto"/>
            </w:tcBorders>
            <w:shd w:val="clear" w:color="auto" w:fill="auto"/>
            <w:noWrap/>
            <w:vAlign w:val="bottom"/>
            <w:hideMark/>
          </w:tcPr>
          <w:p w14:paraId="69A0674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2.6 </w:t>
            </w:r>
          </w:p>
        </w:tc>
        <w:tc>
          <w:tcPr>
            <w:tcW w:w="895" w:type="dxa"/>
            <w:tcBorders>
              <w:top w:val="nil"/>
              <w:left w:val="nil"/>
              <w:bottom w:val="single" w:sz="4" w:space="0" w:color="auto"/>
              <w:right w:val="single" w:sz="4" w:space="0" w:color="auto"/>
            </w:tcBorders>
            <w:shd w:val="clear" w:color="auto" w:fill="auto"/>
            <w:noWrap/>
            <w:vAlign w:val="bottom"/>
            <w:hideMark/>
          </w:tcPr>
          <w:p w14:paraId="49A7EF1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c>
          <w:tcPr>
            <w:tcW w:w="896" w:type="dxa"/>
            <w:tcBorders>
              <w:top w:val="nil"/>
              <w:left w:val="nil"/>
              <w:bottom w:val="single" w:sz="4" w:space="0" w:color="auto"/>
              <w:right w:val="single" w:sz="4" w:space="0" w:color="auto"/>
            </w:tcBorders>
            <w:shd w:val="clear" w:color="auto" w:fill="auto"/>
            <w:noWrap/>
            <w:vAlign w:val="bottom"/>
            <w:hideMark/>
          </w:tcPr>
          <w:p w14:paraId="4A8CBB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r>
      <w:tr w:rsidR="00240506" w:rsidRPr="00650EE4" w14:paraId="16FA6E2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2F1CD0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Čekija</w:t>
            </w:r>
          </w:p>
        </w:tc>
        <w:tc>
          <w:tcPr>
            <w:tcW w:w="895" w:type="dxa"/>
            <w:tcBorders>
              <w:top w:val="nil"/>
              <w:left w:val="nil"/>
              <w:bottom w:val="single" w:sz="4" w:space="0" w:color="auto"/>
              <w:right w:val="single" w:sz="4" w:space="0" w:color="auto"/>
            </w:tcBorders>
            <w:shd w:val="clear" w:color="auto" w:fill="auto"/>
            <w:noWrap/>
            <w:vAlign w:val="bottom"/>
            <w:hideMark/>
          </w:tcPr>
          <w:p w14:paraId="31546E8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0F21D03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4.3 </w:t>
            </w:r>
          </w:p>
        </w:tc>
        <w:tc>
          <w:tcPr>
            <w:tcW w:w="896" w:type="dxa"/>
            <w:tcBorders>
              <w:top w:val="nil"/>
              <w:left w:val="nil"/>
              <w:bottom w:val="single" w:sz="4" w:space="0" w:color="auto"/>
              <w:right w:val="single" w:sz="4" w:space="0" w:color="auto"/>
            </w:tcBorders>
            <w:shd w:val="clear" w:color="auto" w:fill="auto"/>
            <w:noWrap/>
            <w:vAlign w:val="bottom"/>
            <w:hideMark/>
          </w:tcPr>
          <w:p w14:paraId="1F3EBD2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 </w:t>
            </w:r>
          </w:p>
        </w:tc>
        <w:tc>
          <w:tcPr>
            <w:tcW w:w="895" w:type="dxa"/>
            <w:tcBorders>
              <w:top w:val="nil"/>
              <w:left w:val="nil"/>
              <w:bottom w:val="single" w:sz="4" w:space="0" w:color="auto"/>
              <w:right w:val="single" w:sz="4" w:space="0" w:color="auto"/>
            </w:tcBorders>
            <w:shd w:val="clear" w:color="auto" w:fill="auto"/>
            <w:noWrap/>
            <w:vAlign w:val="bottom"/>
            <w:hideMark/>
          </w:tcPr>
          <w:p w14:paraId="44EA765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6" w:type="dxa"/>
            <w:tcBorders>
              <w:top w:val="nil"/>
              <w:left w:val="nil"/>
              <w:bottom w:val="single" w:sz="4" w:space="0" w:color="auto"/>
              <w:right w:val="single" w:sz="4" w:space="0" w:color="auto"/>
            </w:tcBorders>
            <w:shd w:val="clear" w:color="auto" w:fill="auto"/>
            <w:noWrap/>
            <w:vAlign w:val="bottom"/>
            <w:hideMark/>
          </w:tcPr>
          <w:p w14:paraId="71CA381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4.7 </w:t>
            </w:r>
          </w:p>
        </w:tc>
        <w:tc>
          <w:tcPr>
            <w:tcW w:w="895" w:type="dxa"/>
            <w:tcBorders>
              <w:top w:val="nil"/>
              <w:left w:val="nil"/>
              <w:bottom w:val="single" w:sz="4" w:space="0" w:color="auto"/>
              <w:right w:val="single" w:sz="4" w:space="0" w:color="auto"/>
            </w:tcBorders>
            <w:shd w:val="clear" w:color="auto" w:fill="auto"/>
            <w:noWrap/>
            <w:vAlign w:val="bottom"/>
            <w:hideMark/>
          </w:tcPr>
          <w:p w14:paraId="75D7112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6" w:type="dxa"/>
            <w:tcBorders>
              <w:top w:val="nil"/>
              <w:left w:val="nil"/>
              <w:bottom w:val="single" w:sz="4" w:space="0" w:color="auto"/>
              <w:right w:val="single" w:sz="4" w:space="0" w:color="auto"/>
            </w:tcBorders>
            <w:shd w:val="clear" w:color="auto" w:fill="auto"/>
            <w:noWrap/>
            <w:vAlign w:val="bottom"/>
            <w:hideMark/>
          </w:tcPr>
          <w:p w14:paraId="56B967D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5" w:type="dxa"/>
            <w:tcBorders>
              <w:top w:val="nil"/>
              <w:left w:val="nil"/>
              <w:bottom w:val="single" w:sz="4" w:space="0" w:color="auto"/>
              <w:right w:val="single" w:sz="4" w:space="0" w:color="auto"/>
            </w:tcBorders>
            <w:shd w:val="clear" w:color="auto" w:fill="auto"/>
            <w:noWrap/>
            <w:vAlign w:val="bottom"/>
            <w:hideMark/>
          </w:tcPr>
          <w:p w14:paraId="21D2AF1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6" w:type="dxa"/>
            <w:tcBorders>
              <w:top w:val="nil"/>
              <w:left w:val="nil"/>
              <w:bottom w:val="single" w:sz="4" w:space="0" w:color="auto"/>
              <w:right w:val="single" w:sz="4" w:space="0" w:color="auto"/>
            </w:tcBorders>
            <w:shd w:val="clear" w:color="auto" w:fill="auto"/>
            <w:noWrap/>
            <w:vAlign w:val="bottom"/>
            <w:hideMark/>
          </w:tcPr>
          <w:p w14:paraId="2A94512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r>
      <w:tr w:rsidR="00240506" w:rsidRPr="00650EE4" w14:paraId="70D4C6BC"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5FD8D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Nyderlandai</w:t>
            </w:r>
          </w:p>
        </w:tc>
        <w:tc>
          <w:tcPr>
            <w:tcW w:w="895" w:type="dxa"/>
            <w:tcBorders>
              <w:top w:val="nil"/>
              <w:left w:val="nil"/>
              <w:bottom w:val="single" w:sz="4" w:space="0" w:color="auto"/>
              <w:right w:val="single" w:sz="4" w:space="0" w:color="auto"/>
            </w:tcBorders>
            <w:shd w:val="clear" w:color="auto" w:fill="auto"/>
            <w:noWrap/>
            <w:vAlign w:val="bottom"/>
            <w:hideMark/>
          </w:tcPr>
          <w:p w14:paraId="180E2BF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5" w:type="dxa"/>
            <w:tcBorders>
              <w:top w:val="nil"/>
              <w:left w:val="nil"/>
              <w:bottom w:val="single" w:sz="4" w:space="0" w:color="auto"/>
              <w:right w:val="single" w:sz="4" w:space="0" w:color="auto"/>
            </w:tcBorders>
            <w:shd w:val="clear" w:color="auto" w:fill="auto"/>
            <w:noWrap/>
            <w:vAlign w:val="bottom"/>
            <w:hideMark/>
          </w:tcPr>
          <w:p w14:paraId="72BA3CC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6" w:type="dxa"/>
            <w:tcBorders>
              <w:top w:val="nil"/>
              <w:left w:val="nil"/>
              <w:bottom w:val="single" w:sz="4" w:space="0" w:color="auto"/>
              <w:right w:val="single" w:sz="4" w:space="0" w:color="auto"/>
            </w:tcBorders>
            <w:shd w:val="clear" w:color="auto" w:fill="auto"/>
            <w:noWrap/>
            <w:vAlign w:val="bottom"/>
            <w:hideMark/>
          </w:tcPr>
          <w:p w14:paraId="6DB9D2F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2.3 </w:t>
            </w:r>
          </w:p>
        </w:tc>
        <w:tc>
          <w:tcPr>
            <w:tcW w:w="895" w:type="dxa"/>
            <w:tcBorders>
              <w:top w:val="nil"/>
              <w:left w:val="nil"/>
              <w:bottom w:val="single" w:sz="4" w:space="0" w:color="auto"/>
              <w:right w:val="single" w:sz="4" w:space="0" w:color="auto"/>
            </w:tcBorders>
            <w:shd w:val="clear" w:color="auto" w:fill="auto"/>
            <w:noWrap/>
            <w:vAlign w:val="bottom"/>
            <w:hideMark/>
          </w:tcPr>
          <w:p w14:paraId="0CE01F2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6" w:type="dxa"/>
            <w:tcBorders>
              <w:top w:val="nil"/>
              <w:left w:val="nil"/>
              <w:bottom w:val="single" w:sz="4" w:space="0" w:color="auto"/>
              <w:right w:val="single" w:sz="4" w:space="0" w:color="auto"/>
            </w:tcBorders>
            <w:shd w:val="clear" w:color="auto" w:fill="auto"/>
            <w:noWrap/>
            <w:vAlign w:val="bottom"/>
            <w:hideMark/>
          </w:tcPr>
          <w:p w14:paraId="0D1732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5" w:type="dxa"/>
            <w:tcBorders>
              <w:top w:val="nil"/>
              <w:left w:val="nil"/>
              <w:bottom w:val="single" w:sz="4" w:space="0" w:color="auto"/>
              <w:right w:val="single" w:sz="4" w:space="0" w:color="auto"/>
            </w:tcBorders>
            <w:shd w:val="clear" w:color="auto" w:fill="auto"/>
            <w:noWrap/>
            <w:vAlign w:val="bottom"/>
            <w:hideMark/>
          </w:tcPr>
          <w:p w14:paraId="4DF8EF2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 </w:t>
            </w:r>
          </w:p>
        </w:tc>
        <w:tc>
          <w:tcPr>
            <w:tcW w:w="896" w:type="dxa"/>
            <w:tcBorders>
              <w:top w:val="nil"/>
              <w:left w:val="nil"/>
              <w:bottom w:val="single" w:sz="4" w:space="0" w:color="auto"/>
              <w:right w:val="single" w:sz="4" w:space="0" w:color="auto"/>
            </w:tcBorders>
            <w:shd w:val="clear" w:color="auto" w:fill="auto"/>
            <w:noWrap/>
            <w:vAlign w:val="bottom"/>
            <w:hideMark/>
          </w:tcPr>
          <w:p w14:paraId="61FA994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2.0 </w:t>
            </w:r>
          </w:p>
        </w:tc>
        <w:tc>
          <w:tcPr>
            <w:tcW w:w="895" w:type="dxa"/>
            <w:tcBorders>
              <w:top w:val="nil"/>
              <w:left w:val="nil"/>
              <w:bottom w:val="single" w:sz="4" w:space="0" w:color="auto"/>
              <w:right w:val="single" w:sz="4" w:space="0" w:color="auto"/>
            </w:tcBorders>
            <w:shd w:val="clear" w:color="auto" w:fill="auto"/>
            <w:noWrap/>
            <w:vAlign w:val="bottom"/>
            <w:hideMark/>
          </w:tcPr>
          <w:p w14:paraId="65D7464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6" w:type="dxa"/>
            <w:tcBorders>
              <w:top w:val="nil"/>
              <w:left w:val="nil"/>
              <w:bottom w:val="single" w:sz="4" w:space="0" w:color="auto"/>
              <w:right w:val="single" w:sz="4" w:space="0" w:color="auto"/>
            </w:tcBorders>
            <w:shd w:val="clear" w:color="auto" w:fill="auto"/>
            <w:noWrap/>
            <w:vAlign w:val="bottom"/>
            <w:hideMark/>
          </w:tcPr>
          <w:p w14:paraId="0EAF296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 </w:t>
            </w:r>
          </w:p>
        </w:tc>
      </w:tr>
      <w:tr w:rsidR="00240506" w:rsidRPr="00650EE4" w14:paraId="19BA3E15"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D90479" w14:textId="0E42060C" w:rsidR="00240506" w:rsidRPr="00650EE4" w:rsidRDefault="00B219C4" w:rsidP="00B219C4">
            <w:pPr>
              <w:spacing w:line="240" w:lineRule="auto"/>
              <w:ind w:right="-78"/>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ES vidurkis</w:t>
            </w:r>
          </w:p>
        </w:tc>
        <w:tc>
          <w:tcPr>
            <w:tcW w:w="895" w:type="dxa"/>
            <w:tcBorders>
              <w:top w:val="nil"/>
              <w:left w:val="nil"/>
              <w:bottom w:val="single" w:sz="4" w:space="0" w:color="auto"/>
              <w:right w:val="single" w:sz="4" w:space="0" w:color="auto"/>
            </w:tcBorders>
            <w:shd w:val="clear" w:color="auto" w:fill="auto"/>
            <w:noWrap/>
            <w:vAlign w:val="bottom"/>
            <w:hideMark/>
          </w:tcPr>
          <w:p w14:paraId="798D5844"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9.1 </w:t>
            </w:r>
          </w:p>
        </w:tc>
        <w:tc>
          <w:tcPr>
            <w:tcW w:w="895" w:type="dxa"/>
            <w:tcBorders>
              <w:top w:val="nil"/>
              <w:left w:val="nil"/>
              <w:bottom w:val="single" w:sz="4" w:space="0" w:color="auto"/>
              <w:right w:val="single" w:sz="4" w:space="0" w:color="auto"/>
            </w:tcBorders>
            <w:shd w:val="clear" w:color="auto" w:fill="auto"/>
            <w:noWrap/>
            <w:vAlign w:val="bottom"/>
            <w:hideMark/>
          </w:tcPr>
          <w:p w14:paraId="3E801F64"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9.0 </w:t>
            </w:r>
          </w:p>
        </w:tc>
        <w:tc>
          <w:tcPr>
            <w:tcW w:w="896" w:type="dxa"/>
            <w:tcBorders>
              <w:top w:val="nil"/>
              <w:left w:val="nil"/>
              <w:bottom w:val="single" w:sz="4" w:space="0" w:color="auto"/>
              <w:right w:val="single" w:sz="4" w:space="0" w:color="auto"/>
            </w:tcBorders>
            <w:shd w:val="clear" w:color="auto" w:fill="auto"/>
            <w:noWrap/>
            <w:vAlign w:val="bottom"/>
            <w:hideMark/>
          </w:tcPr>
          <w:p w14:paraId="54410E60"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9.9 </w:t>
            </w:r>
          </w:p>
        </w:tc>
        <w:tc>
          <w:tcPr>
            <w:tcW w:w="895" w:type="dxa"/>
            <w:tcBorders>
              <w:top w:val="nil"/>
              <w:left w:val="nil"/>
              <w:bottom w:val="single" w:sz="4" w:space="0" w:color="auto"/>
              <w:right w:val="single" w:sz="4" w:space="0" w:color="auto"/>
            </w:tcBorders>
            <w:shd w:val="clear" w:color="auto" w:fill="auto"/>
            <w:noWrap/>
            <w:vAlign w:val="bottom"/>
            <w:hideMark/>
          </w:tcPr>
          <w:p w14:paraId="5ED16AEA"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10.2 </w:t>
            </w:r>
          </w:p>
        </w:tc>
        <w:tc>
          <w:tcPr>
            <w:tcW w:w="896" w:type="dxa"/>
            <w:tcBorders>
              <w:top w:val="nil"/>
              <w:left w:val="nil"/>
              <w:bottom w:val="single" w:sz="4" w:space="0" w:color="auto"/>
              <w:right w:val="single" w:sz="4" w:space="0" w:color="auto"/>
            </w:tcBorders>
            <w:shd w:val="clear" w:color="auto" w:fill="auto"/>
            <w:noWrap/>
            <w:vAlign w:val="bottom"/>
            <w:hideMark/>
          </w:tcPr>
          <w:p w14:paraId="22FF7E62"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9.9 </w:t>
            </w:r>
          </w:p>
        </w:tc>
        <w:tc>
          <w:tcPr>
            <w:tcW w:w="895" w:type="dxa"/>
            <w:tcBorders>
              <w:top w:val="nil"/>
              <w:left w:val="nil"/>
              <w:bottom w:val="single" w:sz="4" w:space="0" w:color="auto"/>
              <w:right w:val="single" w:sz="4" w:space="0" w:color="auto"/>
            </w:tcBorders>
            <w:shd w:val="clear" w:color="auto" w:fill="auto"/>
            <w:noWrap/>
            <w:vAlign w:val="bottom"/>
            <w:hideMark/>
          </w:tcPr>
          <w:p w14:paraId="3EA0343E"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9.1 </w:t>
            </w:r>
          </w:p>
        </w:tc>
        <w:tc>
          <w:tcPr>
            <w:tcW w:w="896" w:type="dxa"/>
            <w:tcBorders>
              <w:top w:val="nil"/>
              <w:left w:val="nil"/>
              <w:bottom w:val="single" w:sz="4" w:space="0" w:color="auto"/>
              <w:right w:val="single" w:sz="4" w:space="0" w:color="auto"/>
            </w:tcBorders>
            <w:shd w:val="clear" w:color="auto" w:fill="auto"/>
            <w:noWrap/>
            <w:vAlign w:val="bottom"/>
            <w:hideMark/>
          </w:tcPr>
          <w:p w14:paraId="230102AC"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8.1 </w:t>
            </w:r>
          </w:p>
        </w:tc>
        <w:tc>
          <w:tcPr>
            <w:tcW w:w="895" w:type="dxa"/>
            <w:tcBorders>
              <w:top w:val="nil"/>
              <w:left w:val="nil"/>
              <w:bottom w:val="single" w:sz="4" w:space="0" w:color="auto"/>
              <w:right w:val="single" w:sz="4" w:space="0" w:color="auto"/>
            </w:tcBorders>
            <w:shd w:val="clear" w:color="auto" w:fill="auto"/>
            <w:noWrap/>
            <w:vAlign w:val="bottom"/>
            <w:hideMark/>
          </w:tcPr>
          <w:p w14:paraId="78D03348"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7.0 </w:t>
            </w:r>
          </w:p>
        </w:tc>
        <w:tc>
          <w:tcPr>
            <w:tcW w:w="896" w:type="dxa"/>
            <w:tcBorders>
              <w:top w:val="nil"/>
              <w:left w:val="nil"/>
              <w:bottom w:val="single" w:sz="4" w:space="0" w:color="auto"/>
              <w:right w:val="single" w:sz="4" w:space="0" w:color="auto"/>
            </w:tcBorders>
            <w:shd w:val="clear" w:color="auto" w:fill="auto"/>
            <w:noWrap/>
            <w:vAlign w:val="bottom"/>
            <w:hideMark/>
          </w:tcPr>
          <w:p w14:paraId="664C5733"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6.6 </w:t>
            </w:r>
          </w:p>
        </w:tc>
      </w:tr>
    </w:tbl>
    <w:p w14:paraId="18EC7D74" w14:textId="77777777" w:rsidR="00240506" w:rsidRPr="00650EE4" w:rsidRDefault="00240506" w:rsidP="00240506">
      <w:pPr>
        <w:spacing w:before="60" w:line="240" w:lineRule="auto"/>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proofErr w:type="spellStart"/>
      <w:r w:rsidRPr="00650EE4">
        <w:rPr>
          <w:rFonts w:ascii="Times New Roman" w:eastAsia="Times New Roman" w:hAnsi="Times New Roman"/>
          <w:i/>
          <w:color w:val="000000" w:themeColor="text1"/>
          <w:sz w:val="20"/>
          <w:szCs w:val="20"/>
        </w:rPr>
        <w:t>Eurostat</w:t>
      </w:r>
      <w:proofErr w:type="spellEnd"/>
    </w:p>
    <w:p w14:paraId="43958C1B"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7DD24C94" w14:textId="0A8EF0EE" w:rsidR="0051748D" w:rsidRPr="00650EE4" w:rsidRDefault="0051748D" w:rsidP="0051748D">
      <w:pPr>
        <w:spacing w:after="120"/>
        <w:rPr>
          <w:rFonts w:ascii="Times New Roman" w:hAnsi="Times New Roman"/>
          <w:b/>
          <w:color w:val="000000" w:themeColor="text1"/>
          <w:szCs w:val="22"/>
        </w:rPr>
      </w:pPr>
      <w:r w:rsidRPr="00650EE4">
        <w:rPr>
          <w:rFonts w:ascii="Times New Roman" w:hAnsi="Times New Roman"/>
          <w:b/>
          <w:szCs w:val="22"/>
        </w:rPr>
        <w:t>Namų ūkių dalis, kurių gyvenimo sąlygos netinkamos</w:t>
      </w:r>
    </w:p>
    <w:p w14:paraId="5B2CADCA" w14:textId="5144CF11" w:rsidR="00240506" w:rsidRPr="00650EE4" w:rsidRDefault="00240506" w:rsidP="00240506">
      <w:pPr>
        <w:pStyle w:val="BodyText"/>
        <w:spacing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Gyvenimas pastatuose, kurių gyvenimo sąlygos netinkamos, ne tik yra </w:t>
      </w:r>
      <w:r w:rsidR="0011436F" w:rsidRPr="00650EE4">
        <w:rPr>
          <w:rFonts w:ascii="Times New Roman" w:hAnsi="Times New Roman"/>
          <w:color w:val="000000" w:themeColor="text1"/>
          <w:szCs w:val="22"/>
          <w:lang w:val="lt-LT"/>
        </w:rPr>
        <w:t>ne</w:t>
      </w:r>
      <w:r w:rsidRPr="00650EE4">
        <w:rPr>
          <w:rFonts w:ascii="Times New Roman" w:hAnsi="Times New Roman"/>
          <w:color w:val="000000" w:themeColor="text1"/>
          <w:szCs w:val="22"/>
          <w:lang w:val="lt-LT"/>
        </w:rPr>
        <w:t xml:space="preserve">komfortiškas ir gali turėti neigiamų pasekmių sveikatai, tačiau tokių pastatų šildymas, net ir nepakankamai </w:t>
      </w:r>
      <w:r w:rsidR="00A27B3B" w:rsidRPr="00650EE4">
        <w:rPr>
          <w:rFonts w:ascii="Times New Roman" w:hAnsi="Times New Roman"/>
          <w:color w:val="000000" w:themeColor="text1"/>
          <w:szCs w:val="22"/>
          <w:lang w:val="lt-LT"/>
        </w:rPr>
        <w:t>šildant iki</w:t>
      </w:r>
      <w:r w:rsidRPr="00650EE4">
        <w:rPr>
          <w:rFonts w:ascii="Times New Roman" w:hAnsi="Times New Roman"/>
          <w:color w:val="000000" w:themeColor="text1"/>
          <w:szCs w:val="22"/>
          <w:lang w:val="lt-LT"/>
        </w:rPr>
        <w:t xml:space="preserve"> higienos norm</w:t>
      </w:r>
      <w:r w:rsidR="00A27B3B" w:rsidRPr="00650EE4">
        <w:rPr>
          <w:rFonts w:ascii="Times New Roman" w:hAnsi="Times New Roman"/>
          <w:color w:val="000000" w:themeColor="text1"/>
          <w:szCs w:val="22"/>
          <w:lang w:val="lt-LT"/>
        </w:rPr>
        <w:t>ų atitikimo</w:t>
      </w:r>
      <w:r w:rsidRPr="00650EE4">
        <w:rPr>
          <w:rFonts w:ascii="Times New Roman" w:hAnsi="Times New Roman"/>
          <w:color w:val="000000" w:themeColor="text1"/>
          <w:szCs w:val="22"/>
          <w:lang w:val="lt-LT"/>
        </w:rPr>
        <w:t xml:space="preserve"> yra brangus ir gali turėti reikšmingos įtakos namų ūkių įsiskolinimui. Lietuvoje tokių namų ūkių dalis 2010-2018 m. mažėjo nuo 19,2 proc. iki 14,8 proc. 2018 m. ir priartėjo prie ES vidurkio 13,9 proc.. Daugiabučių renovacija yra </w:t>
      </w:r>
      <w:r w:rsidRPr="00650EE4">
        <w:rPr>
          <w:rFonts w:ascii="Times New Roman" w:hAnsi="Times New Roman"/>
          <w:color w:val="000000" w:themeColor="text1"/>
          <w:szCs w:val="22"/>
          <w:lang w:val="lt-LT"/>
        </w:rPr>
        <w:lastRenderedPageBreak/>
        <w:t>vienas iš faktorių gerinančių šią statistiką, tačiau didėjančios pajamos leido ir namų ūkiams patiems atlikti remonto darbus</w:t>
      </w:r>
      <w:r w:rsidR="00AF081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sprendžiančius esmines pastatų problemas. </w:t>
      </w:r>
      <w:r w:rsidR="00AF0810" w:rsidRPr="00650EE4">
        <w:rPr>
          <w:rFonts w:ascii="Times New Roman" w:hAnsi="Times New Roman"/>
          <w:color w:val="000000" w:themeColor="text1"/>
          <w:szCs w:val="22"/>
          <w:lang w:val="lt-LT"/>
        </w:rPr>
        <w:t xml:space="preserve">Atitinkamai, </w:t>
      </w:r>
      <w:r w:rsidRPr="00650EE4">
        <w:rPr>
          <w:rFonts w:ascii="Times New Roman" w:hAnsi="Times New Roman"/>
          <w:color w:val="000000" w:themeColor="text1"/>
          <w:szCs w:val="22"/>
          <w:lang w:val="lt-LT"/>
        </w:rPr>
        <w:t>finansavimo priemonių individualių namų renovacijai</w:t>
      </w:r>
      <w:r w:rsidR="00AF0810" w:rsidRPr="00650EE4">
        <w:rPr>
          <w:rFonts w:ascii="Times New Roman" w:hAnsi="Times New Roman"/>
          <w:color w:val="000000" w:themeColor="text1"/>
          <w:szCs w:val="22"/>
          <w:lang w:val="lt-LT"/>
        </w:rPr>
        <w:t xml:space="preserve"> trūkumas (</w:t>
      </w:r>
      <w:r w:rsidRPr="00650EE4">
        <w:rPr>
          <w:rFonts w:ascii="Times New Roman" w:hAnsi="Times New Roman"/>
          <w:color w:val="000000" w:themeColor="text1"/>
          <w:szCs w:val="22"/>
          <w:lang w:val="lt-LT"/>
        </w:rPr>
        <w:t>bent esminėms konstrukcijoms</w:t>
      </w:r>
      <w:r w:rsidR="00AF081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kaimo vietovėse</w:t>
      </w:r>
      <w:r w:rsidR="00AF0810" w:rsidRPr="00650EE4">
        <w:rPr>
          <w:rFonts w:ascii="Times New Roman" w:hAnsi="Times New Roman"/>
          <w:color w:val="000000" w:themeColor="text1"/>
          <w:szCs w:val="22"/>
          <w:lang w:val="lt-LT"/>
        </w:rPr>
        <w:t xml:space="preserve"> gali </w:t>
      </w:r>
      <w:r w:rsidR="00781599" w:rsidRPr="00650EE4">
        <w:rPr>
          <w:rFonts w:ascii="Times New Roman" w:hAnsi="Times New Roman"/>
          <w:color w:val="000000" w:themeColor="text1"/>
          <w:szCs w:val="22"/>
          <w:lang w:val="lt-LT"/>
        </w:rPr>
        <w:t>stipriai</w:t>
      </w:r>
      <w:r w:rsidR="00AF0810" w:rsidRPr="00650EE4">
        <w:rPr>
          <w:rFonts w:ascii="Times New Roman" w:hAnsi="Times New Roman"/>
          <w:color w:val="000000" w:themeColor="text1"/>
          <w:szCs w:val="22"/>
          <w:lang w:val="lt-LT"/>
        </w:rPr>
        <w:t xml:space="preserve"> riboti </w:t>
      </w:r>
      <w:r w:rsidRPr="00650EE4">
        <w:rPr>
          <w:rFonts w:ascii="Times New Roman" w:hAnsi="Times New Roman"/>
          <w:color w:val="000000" w:themeColor="text1"/>
          <w:szCs w:val="22"/>
          <w:lang w:val="lt-LT"/>
        </w:rPr>
        <w:t xml:space="preserve">galimybes sumažinti namų ūkių dalį, kurių gyvenimo sąlygos </w:t>
      </w:r>
      <w:r w:rsidR="00AF0810" w:rsidRPr="00650EE4">
        <w:rPr>
          <w:rFonts w:ascii="Times New Roman" w:hAnsi="Times New Roman"/>
          <w:color w:val="000000" w:themeColor="text1"/>
          <w:szCs w:val="22"/>
          <w:lang w:val="lt-LT"/>
        </w:rPr>
        <w:t>yra</w:t>
      </w:r>
      <w:r w:rsidRPr="00650EE4">
        <w:rPr>
          <w:rFonts w:ascii="Times New Roman" w:hAnsi="Times New Roman"/>
          <w:color w:val="000000" w:themeColor="text1"/>
          <w:szCs w:val="22"/>
          <w:lang w:val="lt-LT"/>
        </w:rPr>
        <w:t xml:space="preserve"> žemiau ES vidurkio.</w:t>
      </w:r>
    </w:p>
    <w:p w14:paraId="5C14113F"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08E68930" w14:textId="19191810"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4" w:name="_Toc67925232"/>
      <w:r w:rsidR="007744C1">
        <w:t>49</w:t>
      </w:r>
      <w:r w:rsidRPr="00650EE4">
        <w:rPr>
          <w:noProof w:val="0"/>
        </w:rPr>
        <w:fldChar w:fldCharType="end"/>
      </w:r>
      <w:r w:rsidR="00240506" w:rsidRPr="00650EE4">
        <w:rPr>
          <w:noProof w:val="0"/>
        </w:rPr>
        <w:t xml:space="preserve"> lentelė. Namų ūkių dalis, kurių gyvenimo sąlygos netinkamos, 2010-2018 m., proc.</w:t>
      </w:r>
      <w:bookmarkEnd w:id="134"/>
    </w:p>
    <w:tbl>
      <w:tblPr>
        <w:tblW w:w="5000" w:type="pct"/>
        <w:tblLayout w:type="fixed"/>
        <w:tblLook w:val="04A0" w:firstRow="1" w:lastRow="0" w:firstColumn="1" w:lastColumn="0" w:noHBand="0" w:noVBand="1"/>
      </w:tblPr>
      <w:tblGrid>
        <w:gridCol w:w="2049"/>
        <w:gridCol w:w="930"/>
        <w:gridCol w:w="930"/>
        <w:gridCol w:w="930"/>
        <w:gridCol w:w="930"/>
        <w:gridCol w:w="930"/>
        <w:gridCol w:w="930"/>
        <w:gridCol w:w="930"/>
        <w:gridCol w:w="930"/>
        <w:gridCol w:w="931"/>
      </w:tblGrid>
      <w:tr w:rsidR="00240506" w:rsidRPr="00650EE4" w14:paraId="2594D511" w14:textId="77777777" w:rsidTr="00DF628E">
        <w:trPr>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9AE1D" w14:textId="347251FE"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 </w:t>
            </w:r>
            <w:r w:rsidR="00057984" w:rsidRPr="00650EE4">
              <w:rPr>
                <w:rFonts w:ascii="Times New Roman" w:eastAsia="Times New Roman" w:hAnsi="Times New Roman"/>
                <w:b/>
                <w:bCs/>
                <w:sz w:val="20"/>
                <w:szCs w:val="20"/>
                <w:lang w:eastAsia="en-GB"/>
              </w:rPr>
              <w:t>Valstybė</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4D094070"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2010</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76F9E179"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2011</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6B4BE886"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2012</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5A244966"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2013</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3D20BD79"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2014</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2C11A89E"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2015</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3C7E9130"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2016</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5E94A578"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79CCDEE"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2018</w:t>
            </w:r>
          </w:p>
        </w:tc>
      </w:tr>
      <w:tr w:rsidR="00240506" w:rsidRPr="00650EE4" w14:paraId="42B6B2A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BEAA1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Portugalija</w:t>
            </w:r>
          </w:p>
        </w:tc>
        <w:tc>
          <w:tcPr>
            <w:tcW w:w="899" w:type="dxa"/>
            <w:tcBorders>
              <w:top w:val="nil"/>
              <w:left w:val="nil"/>
              <w:bottom w:val="single" w:sz="4" w:space="0" w:color="auto"/>
              <w:right w:val="single" w:sz="4" w:space="0" w:color="auto"/>
            </w:tcBorders>
            <w:shd w:val="clear" w:color="auto" w:fill="auto"/>
            <w:noWrap/>
            <w:vAlign w:val="bottom"/>
            <w:hideMark/>
          </w:tcPr>
          <w:p w14:paraId="0290280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21.9</w:t>
            </w:r>
          </w:p>
        </w:tc>
        <w:tc>
          <w:tcPr>
            <w:tcW w:w="899" w:type="dxa"/>
            <w:tcBorders>
              <w:top w:val="nil"/>
              <w:left w:val="nil"/>
              <w:bottom w:val="single" w:sz="4" w:space="0" w:color="auto"/>
              <w:right w:val="single" w:sz="4" w:space="0" w:color="auto"/>
            </w:tcBorders>
            <w:shd w:val="clear" w:color="auto" w:fill="auto"/>
            <w:noWrap/>
            <w:vAlign w:val="bottom"/>
            <w:hideMark/>
          </w:tcPr>
          <w:p w14:paraId="6F5D193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21.3</w:t>
            </w:r>
          </w:p>
        </w:tc>
        <w:tc>
          <w:tcPr>
            <w:tcW w:w="899" w:type="dxa"/>
            <w:tcBorders>
              <w:top w:val="nil"/>
              <w:left w:val="nil"/>
              <w:bottom w:val="single" w:sz="4" w:space="0" w:color="auto"/>
              <w:right w:val="single" w:sz="4" w:space="0" w:color="auto"/>
            </w:tcBorders>
            <w:shd w:val="clear" w:color="auto" w:fill="auto"/>
            <w:noWrap/>
            <w:vAlign w:val="bottom"/>
            <w:hideMark/>
          </w:tcPr>
          <w:p w14:paraId="619D506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w:t>
            </w:r>
          </w:p>
        </w:tc>
        <w:tc>
          <w:tcPr>
            <w:tcW w:w="899" w:type="dxa"/>
            <w:tcBorders>
              <w:top w:val="nil"/>
              <w:left w:val="nil"/>
              <w:bottom w:val="single" w:sz="4" w:space="0" w:color="auto"/>
              <w:right w:val="single" w:sz="4" w:space="0" w:color="auto"/>
            </w:tcBorders>
            <w:shd w:val="clear" w:color="auto" w:fill="auto"/>
            <w:noWrap/>
            <w:vAlign w:val="bottom"/>
            <w:hideMark/>
          </w:tcPr>
          <w:p w14:paraId="6B22BF9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31.9</w:t>
            </w:r>
          </w:p>
        </w:tc>
        <w:tc>
          <w:tcPr>
            <w:tcW w:w="899" w:type="dxa"/>
            <w:tcBorders>
              <w:top w:val="nil"/>
              <w:left w:val="nil"/>
              <w:bottom w:val="single" w:sz="4" w:space="0" w:color="auto"/>
              <w:right w:val="single" w:sz="4" w:space="0" w:color="auto"/>
            </w:tcBorders>
            <w:shd w:val="clear" w:color="auto" w:fill="auto"/>
            <w:noWrap/>
            <w:vAlign w:val="bottom"/>
            <w:hideMark/>
          </w:tcPr>
          <w:p w14:paraId="2F1D99F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32.8</w:t>
            </w:r>
          </w:p>
        </w:tc>
        <w:tc>
          <w:tcPr>
            <w:tcW w:w="899" w:type="dxa"/>
            <w:tcBorders>
              <w:top w:val="nil"/>
              <w:left w:val="nil"/>
              <w:bottom w:val="single" w:sz="4" w:space="0" w:color="auto"/>
              <w:right w:val="single" w:sz="4" w:space="0" w:color="auto"/>
            </w:tcBorders>
            <w:shd w:val="clear" w:color="auto" w:fill="auto"/>
            <w:noWrap/>
            <w:vAlign w:val="bottom"/>
            <w:hideMark/>
          </w:tcPr>
          <w:p w14:paraId="1DA9625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28.1</w:t>
            </w:r>
          </w:p>
        </w:tc>
        <w:tc>
          <w:tcPr>
            <w:tcW w:w="899" w:type="dxa"/>
            <w:tcBorders>
              <w:top w:val="nil"/>
              <w:left w:val="nil"/>
              <w:bottom w:val="single" w:sz="4" w:space="0" w:color="auto"/>
              <w:right w:val="single" w:sz="4" w:space="0" w:color="auto"/>
            </w:tcBorders>
            <w:shd w:val="clear" w:color="auto" w:fill="auto"/>
            <w:noWrap/>
            <w:vAlign w:val="bottom"/>
            <w:hideMark/>
          </w:tcPr>
          <w:p w14:paraId="062E7ED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30.5</w:t>
            </w:r>
          </w:p>
        </w:tc>
        <w:tc>
          <w:tcPr>
            <w:tcW w:w="899" w:type="dxa"/>
            <w:tcBorders>
              <w:top w:val="nil"/>
              <w:left w:val="nil"/>
              <w:bottom w:val="single" w:sz="4" w:space="0" w:color="auto"/>
              <w:right w:val="single" w:sz="4" w:space="0" w:color="auto"/>
            </w:tcBorders>
            <w:shd w:val="clear" w:color="auto" w:fill="auto"/>
            <w:noWrap/>
            <w:vAlign w:val="bottom"/>
            <w:hideMark/>
          </w:tcPr>
          <w:p w14:paraId="40C5EDA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25.5</w:t>
            </w:r>
          </w:p>
        </w:tc>
        <w:tc>
          <w:tcPr>
            <w:tcW w:w="900" w:type="dxa"/>
            <w:tcBorders>
              <w:top w:val="nil"/>
              <w:left w:val="nil"/>
              <w:bottom w:val="single" w:sz="4" w:space="0" w:color="auto"/>
              <w:right w:val="single" w:sz="4" w:space="0" w:color="auto"/>
            </w:tcBorders>
            <w:shd w:val="clear" w:color="auto" w:fill="auto"/>
            <w:noWrap/>
            <w:vAlign w:val="bottom"/>
            <w:hideMark/>
          </w:tcPr>
          <w:p w14:paraId="043A114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26.9</w:t>
            </w:r>
          </w:p>
        </w:tc>
      </w:tr>
      <w:tr w:rsidR="00240506" w:rsidRPr="00650EE4" w14:paraId="67C1AA9D"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F192C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Latvija</w:t>
            </w:r>
          </w:p>
        </w:tc>
        <w:tc>
          <w:tcPr>
            <w:tcW w:w="899" w:type="dxa"/>
            <w:tcBorders>
              <w:top w:val="nil"/>
              <w:left w:val="nil"/>
              <w:bottom w:val="single" w:sz="4" w:space="0" w:color="auto"/>
              <w:right w:val="single" w:sz="4" w:space="0" w:color="auto"/>
            </w:tcBorders>
            <w:shd w:val="clear" w:color="auto" w:fill="auto"/>
            <w:noWrap/>
            <w:vAlign w:val="bottom"/>
            <w:hideMark/>
          </w:tcPr>
          <w:p w14:paraId="4F98C6C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24.7</w:t>
            </w:r>
          </w:p>
        </w:tc>
        <w:tc>
          <w:tcPr>
            <w:tcW w:w="899" w:type="dxa"/>
            <w:tcBorders>
              <w:top w:val="nil"/>
              <w:left w:val="nil"/>
              <w:bottom w:val="single" w:sz="4" w:space="0" w:color="auto"/>
              <w:right w:val="single" w:sz="4" w:space="0" w:color="auto"/>
            </w:tcBorders>
            <w:shd w:val="clear" w:color="auto" w:fill="auto"/>
            <w:noWrap/>
            <w:vAlign w:val="bottom"/>
            <w:hideMark/>
          </w:tcPr>
          <w:p w14:paraId="330E2B6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26.0</w:t>
            </w:r>
          </w:p>
        </w:tc>
        <w:tc>
          <w:tcPr>
            <w:tcW w:w="899" w:type="dxa"/>
            <w:tcBorders>
              <w:top w:val="nil"/>
              <w:left w:val="nil"/>
              <w:bottom w:val="single" w:sz="4" w:space="0" w:color="auto"/>
              <w:right w:val="single" w:sz="4" w:space="0" w:color="auto"/>
            </w:tcBorders>
            <w:shd w:val="clear" w:color="auto" w:fill="auto"/>
            <w:noWrap/>
            <w:vAlign w:val="bottom"/>
            <w:hideMark/>
          </w:tcPr>
          <w:p w14:paraId="41A35B2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28.2</w:t>
            </w:r>
          </w:p>
        </w:tc>
        <w:tc>
          <w:tcPr>
            <w:tcW w:w="899" w:type="dxa"/>
            <w:tcBorders>
              <w:top w:val="nil"/>
              <w:left w:val="nil"/>
              <w:bottom w:val="single" w:sz="4" w:space="0" w:color="auto"/>
              <w:right w:val="single" w:sz="4" w:space="0" w:color="auto"/>
            </w:tcBorders>
            <w:shd w:val="clear" w:color="auto" w:fill="auto"/>
            <w:noWrap/>
            <w:vAlign w:val="bottom"/>
            <w:hideMark/>
          </w:tcPr>
          <w:p w14:paraId="32ED512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27.7</w:t>
            </w:r>
          </w:p>
        </w:tc>
        <w:tc>
          <w:tcPr>
            <w:tcW w:w="899" w:type="dxa"/>
            <w:tcBorders>
              <w:top w:val="nil"/>
              <w:left w:val="nil"/>
              <w:bottom w:val="single" w:sz="4" w:space="0" w:color="auto"/>
              <w:right w:val="single" w:sz="4" w:space="0" w:color="auto"/>
            </w:tcBorders>
            <w:shd w:val="clear" w:color="auto" w:fill="auto"/>
            <w:noWrap/>
            <w:vAlign w:val="bottom"/>
            <w:hideMark/>
          </w:tcPr>
          <w:p w14:paraId="554FC29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27.5</w:t>
            </w:r>
          </w:p>
        </w:tc>
        <w:tc>
          <w:tcPr>
            <w:tcW w:w="899" w:type="dxa"/>
            <w:tcBorders>
              <w:top w:val="nil"/>
              <w:left w:val="nil"/>
              <w:bottom w:val="single" w:sz="4" w:space="0" w:color="auto"/>
              <w:right w:val="single" w:sz="4" w:space="0" w:color="auto"/>
            </w:tcBorders>
            <w:shd w:val="clear" w:color="auto" w:fill="auto"/>
            <w:noWrap/>
            <w:vAlign w:val="bottom"/>
            <w:hideMark/>
          </w:tcPr>
          <w:p w14:paraId="6FE8671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24.4</w:t>
            </w:r>
          </w:p>
        </w:tc>
        <w:tc>
          <w:tcPr>
            <w:tcW w:w="899" w:type="dxa"/>
            <w:tcBorders>
              <w:top w:val="nil"/>
              <w:left w:val="nil"/>
              <w:bottom w:val="single" w:sz="4" w:space="0" w:color="auto"/>
              <w:right w:val="single" w:sz="4" w:space="0" w:color="auto"/>
            </w:tcBorders>
            <w:shd w:val="clear" w:color="auto" w:fill="auto"/>
            <w:noWrap/>
            <w:vAlign w:val="bottom"/>
            <w:hideMark/>
          </w:tcPr>
          <w:p w14:paraId="41C756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21.9</w:t>
            </w:r>
          </w:p>
        </w:tc>
        <w:tc>
          <w:tcPr>
            <w:tcW w:w="899" w:type="dxa"/>
            <w:tcBorders>
              <w:top w:val="nil"/>
              <w:left w:val="nil"/>
              <w:bottom w:val="single" w:sz="4" w:space="0" w:color="auto"/>
              <w:right w:val="single" w:sz="4" w:space="0" w:color="auto"/>
            </w:tcBorders>
            <w:shd w:val="clear" w:color="auto" w:fill="auto"/>
            <w:noWrap/>
            <w:vAlign w:val="bottom"/>
            <w:hideMark/>
          </w:tcPr>
          <w:p w14:paraId="1758514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22.8</w:t>
            </w:r>
          </w:p>
        </w:tc>
        <w:tc>
          <w:tcPr>
            <w:tcW w:w="900" w:type="dxa"/>
            <w:tcBorders>
              <w:top w:val="nil"/>
              <w:left w:val="nil"/>
              <w:bottom w:val="single" w:sz="4" w:space="0" w:color="auto"/>
              <w:right w:val="single" w:sz="4" w:space="0" w:color="auto"/>
            </w:tcBorders>
            <w:shd w:val="clear" w:color="auto" w:fill="auto"/>
            <w:noWrap/>
            <w:vAlign w:val="bottom"/>
            <w:hideMark/>
          </w:tcPr>
          <w:p w14:paraId="3232F3D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23.5</w:t>
            </w:r>
          </w:p>
        </w:tc>
      </w:tr>
      <w:tr w:rsidR="00240506" w:rsidRPr="00650EE4" w14:paraId="2C913C9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BB40A0"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Slovėnija</w:t>
            </w:r>
          </w:p>
        </w:tc>
        <w:tc>
          <w:tcPr>
            <w:tcW w:w="899" w:type="dxa"/>
            <w:tcBorders>
              <w:top w:val="nil"/>
              <w:left w:val="nil"/>
              <w:bottom w:val="single" w:sz="4" w:space="0" w:color="auto"/>
              <w:right w:val="single" w:sz="4" w:space="0" w:color="auto"/>
            </w:tcBorders>
            <w:shd w:val="clear" w:color="auto" w:fill="auto"/>
            <w:noWrap/>
            <w:vAlign w:val="bottom"/>
            <w:hideMark/>
          </w:tcPr>
          <w:p w14:paraId="29AAE9B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32.4</w:t>
            </w:r>
          </w:p>
        </w:tc>
        <w:tc>
          <w:tcPr>
            <w:tcW w:w="899" w:type="dxa"/>
            <w:tcBorders>
              <w:top w:val="nil"/>
              <w:left w:val="nil"/>
              <w:bottom w:val="single" w:sz="4" w:space="0" w:color="auto"/>
              <w:right w:val="single" w:sz="4" w:space="0" w:color="auto"/>
            </w:tcBorders>
            <w:shd w:val="clear" w:color="auto" w:fill="auto"/>
            <w:noWrap/>
            <w:vAlign w:val="bottom"/>
            <w:hideMark/>
          </w:tcPr>
          <w:p w14:paraId="1CD4855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34.7</w:t>
            </w:r>
          </w:p>
        </w:tc>
        <w:tc>
          <w:tcPr>
            <w:tcW w:w="899" w:type="dxa"/>
            <w:tcBorders>
              <w:top w:val="nil"/>
              <w:left w:val="nil"/>
              <w:bottom w:val="single" w:sz="4" w:space="0" w:color="auto"/>
              <w:right w:val="single" w:sz="4" w:space="0" w:color="auto"/>
            </w:tcBorders>
            <w:shd w:val="clear" w:color="auto" w:fill="auto"/>
            <w:noWrap/>
            <w:vAlign w:val="bottom"/>
            <w:hideMark/>
          </w:tcPr>
          <w:p w14:paraId="200C4A7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31.5</w:t>
            </w:r>
          </w:p>
        </w:tc>
        <w:tc>
          <w:tcPr>
            <w:tcW w:w="899" w:type="dxa"/>
            <w:tcBorders>
              <w:top w:val="nil"/>
              <w:left w:val="nil"/>
              <w:bottom w:val="single" w:sz="4" w:space="0" w:color="auto"/>
              <w:right w:val="single" w:sz="4" w:space="0" w:color="auto"/>
            </w:tcBorders>
            <w:shd w:val="clear" w:color="auto" w:fill="auto"/>
            <w:noWrap/>
            <w:vAlign w:val="bottom"/>
            <w:hideMark/>
          </w:tcPr>
          <w:p w14:paraId="1291E51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w:t>
            </w:r>
          </w:p>
        </w:tc>
        <w:tc>
          <w:tcPr>
            <w:tcW w:w="899" w:type="dxa"/>
            <w:tcBorders>
              <w:top w:val="nil"/>
              <w:left w:val="nil"/>
              <w:bottom w:val="single" w:sz="4" w:space="0" w:color="auto"/>
              <w:right w:val="single" w:sz="4" w:space="0" w:color="auto"/>
            </w:tcBorders>
            <w:shd w:val="clear" w:color="auto" w:fill="auto"/>
            <w:noWrap/>
            <w:vAlign w:val="bottom"/>
            <w:hideMark/>
          </w:tcPr>
          <w:p w14:paraId="020D803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29.9</w:t>
            </w:r>
          </w:p>
        </w:tc>
        <w:tc>
          <w:tcPr>
            <w:tcW w:w="899" w:type="dxa"/>
            <w:tcBorders>
              <w:top w:val="nil"/>
              <w:left w:val="nil"/>
              <w:bottom w:val="single" w:sz="4" w:space="0" w:color="auto"/>
              <w:right w:val="single" w:sz="4" w:space="0" w:color="auto"/>
            </w:tcBorders>
            <w:shd w:val="clear" w:color="auto" w:fill="auto"/>
            <w:noWrap/>
            <w:vAlign w:val="bottom"/>
            <w:hideMark/>
          </w:tcPr>
          <w:p w14:paraId="5AFD6D7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26.9</w:t>
            </w:r>
          </w:p>
        </w:tc>
        <w:tc>
          <w:tcPr>
            <w:tcW w:w="899" w:type="dxa"/>
            <w:tcBorders>
              <w:top w:val="nil"/>
              <w:left w:val="nil"/>
              <w:bottom w:val="single" w:sz="4" w:space="0" w:color="auto"/>
              <w:right w:val="single" w:sz="4" w:space="0" w:color="auto"/>
            </w:tcBorders>
            <w:shd w:val="clear" w:color="auto" w:fill="auto"/>
            <w:noWrap/>
            <w:vAlign w:val="bottom"/>
            <w:hideMark/>
          </w:tcPr>
          <w:p w14:paraId="475C544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23.8</w:t>
            </w:r>
          </w:p>
        </w:tc>
        <w:tc>
          <w:tcPr>
            <w:tcW w:w="899" w:type="dxa"/>
            <w:tcBorders>
              <w:top w:val="nil"/>
              <w:left w:val="nil"/>
              <w:bottom w:val="single" w:sz="4" w:space="0" w:color="auto"/>
              <w:right w:val="single" w:sz="4" w:space="0" w:color="auto"/>
            </w:tcBorders>
            <w:shd w:val="clear" w:color="auto" w:fill="auto"/>
            <w:noWrap/>
            <w:vAlign w:val="bottom"/>
            <w:hideMark/>
          </w:tcPr>
          <w:p w14:paraId="3C19280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w:t>
            </w:r>
          </w:p>
        </w:tc>
        <w:tc>
          <w:tcPr>
            <w:tcW w:w="900" w:type="dxa"/>
            <w:tcBorders>
              <w:top w:val="nil"/>
              <w:left w:val="nil"/>
              <w:bottom w:val="single" w:sz="4" w:space="0" w:color="auto"/>
              <w:right w:val="single" w:sz="4" w:space="0" w:color="auto"/>
            </w:tcBorders>
            <w:shd w:val="clear" w:color="auto" w:fill="auto"/>
            <w:noWrap/>
            <w:vAlign w:val="bottom"/>
            <w:hideMark/>
          </w:tcPr>
          <w:p w14:paraId="2C21ED1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22.7</w:t>
            </w:r>
          </w:p>
        </w:tc>
      </w:tr>
      <w:tr w:rsidR="00240506" w:rsidRPr="00650EE4" w14:paraId="56F1000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CE06EE"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Vengrija</w:t>
            </w:r>
          </w:p>
        </w:tc>
        <w:tc>
          <w:tcPr>
            <w:tcW w:w="899" w:type="dxa"/>
            <w:tcBorders>
              <w:top w:val="nil"/>
              <w:left w:val="nil"/>
              <w:bottom w:val="single" w:sz="4" w:space="0" w:color="auto"/>
              <w:right w:val="single" w:sz="4" w:space="0" w:color="auto"/>
            </w:tcBorders>
            <w:shd w:val="clear" w:color="auto" w:fill="auto"/>
            <w:noWrap/>
            <w:vAlign w:val="bottom"/>
            <w:hideMark/>
          </w:tcPr>
          <w:p w14:paraId="2CECBA6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24.2</w:t>
            </w:r>
          </w:p>
        </w:tc>
        <w:tc>
          <w:tcPr>
            <w:tcW w:w="899" w:type="dxa"/>
            <w:tcBorders>
              <w:top w:val="nil"/>
              <w:left w:val="nil"/>
              <w:bottom w:val="single" w:sz="4" w:space="0" w:color="auto"/>
              <w:right w:val="single" w:sz="4" w:space="0" w:color="auto"/>
            </w:tcBorders>
            <w:shd w:val="clear" w:color="auto" w:fill="auto"/>
            <w:noWrap/>
            <w:vAlign w:val="bottom"/>
            <w:hideMark/>
          </w:tcPr>
          <w:p w14:paraId="10B777A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22.1</w:t>
            </w:r>
          </w:p>
        </w:tc>
        <w:tc>
          <w:tcPr>
            <w:tcW w:w="899" w:type="dxa"/>
            <w:tcBorders>
              <w:top w:val="nil"/>
              <w:left w:val="nil"/>
              <w:bottom w:val="single" w:sz="4" w:space="0" w:color="auto"/>
              <w:right w:val="single" w:sz="4" w:space="0" w:color="auto"/>
            </w:tcBorders>
            <w:shd w:val="clear" w:color="auto" w:fill="auto"/>
            <w:noWrap/>
            <w:vAlign w:val="bottom"/>
            <w:hideMark/>
          </w:tcPr>
          <w:p w14:paraId="6977108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24.7</w:t>
            </w:r>
          </w:p>
        </w:tc>
        <w:tc>
          <w:tcPr>
            <w:tcW w:w="899" w:type="dxa"/>
            <w:tcBorders>
              <w:top w:val="nil"/>
              <w:left w:val="nil"/>
              <w:bottom w:val="single" w:sz="4" w:space="0" w:color="auto"/>
              <w:right w:val="single" w:sz="4" w:space="0" w:color="auto"/>
            </w:tcBorders>
            <w:shd w:val="clear" w:color="auto" w:fill="auto"/>
            <w:noWrap/>
            <w:vAlign w:val="bottom"/>
            <w:hideMark/>
          </w:tcPr>
          <w:p w14:paraId="17C1B50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26.7</w:t>
            </w:r>
          </w:p>
        </w:tc>
        <w:tc>
          <w:tcPr>
            <w:tcW w:w="899" w:type="dxa"/>
            <w:tcBorders>
              <w:top w:val="nil"/>
              <w:left w:val="nil"/>
              <w:bottom w:val="single" w:sz="4" w:space="0" w:color="auto"/>
              <w:right w:val="single" w:sz="4" w:space="0" w:color="auto"/>
            </w:tcBorders>
            <w:shd w:val="clear" w:color="auto" w:fill="auto"/>
            <w:noWrap/>
            <w:vAlign w:val="bottom"/>
            <w:hideMark/>
          </w:tcPr>
          <w:p w14:paraId="7D49B66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26.9</w:t>
            </w:r>
          </w:p>
        </w:tc>
        <w:tc>
          <w:tcPr>
            <w:tcW w:w="899" w:type="dxa"/>
            <w:tcBorders>
              <w:top w:val="nil"/>
              <w:left w:val="nil"/>
              <w:bottom w:val="single" w:sz="4" w:space="0" w:color="auto"/>
              <w:right w:val="single" w:sz="4" w:space="0" w:color="auto"/>
            </w:tcBorders>
            <w:shd w:val="clear" w:color="auto" w:fill="auto"/>
            <w:noWrap/>
            <w:vAlign w:val="bottom"/>
            <w:hideMark/>
          </w:tcPr>
          <w:p w14:paraId="0FE7CC3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25.4</w:t>
            </w:r>
          </w:p>
        </w:tc>
        <w:tc>
          <w:tcPr>
            <w:tcW w:w="899" w:type="dxa"/>
            <w:tcBorders>
              <w:top w:val="nil"/>
              <w:left w:val="nil"/>
              <w:bottom w:val="single" w:sz="4" w:space="0" w:color="auto"/>
              <w:right w:val="single" w:sz="4" w:space="0" w:color="auto"/>
            </w:tcBorders>
            <w:shd w:val="clear" w:color="auto" w:fill="auto"/>
            <w:noWrap/>
            <w:vAlign w:val="bottom"/>
            <w:hideMark/>
          </w:tcPr>
          <w:p w14:paraId="4A91129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26.7</w:t>
            </w:r>
          </w:p>
        </w:tc>
        <w:tc>
          <w:tcPr>
            <w:tcW w:w="899" w:type="dxa"/>
            <w:tcBorders>
              <w:top w:val="nil"/>
              <w:left w:val="nil"/>
              <w:bottom w:val="single" w:sz="4" w:space="0" w:color="auto"/>
              <w:right w:val="single" w:sz="4" w:space="0" w:color="auto"/>
            </w:tcBorders>
            <w:shd w:val="clear" w:color="auto" w:fill="auto"/>
            <w:noWrap/>
            <w:vAlign w:val="bottom"/>
            <w:hideMark/>
          </w:tcPr>
          <w:p w14:paraId="3A83442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24.8</w:t>
            </w:r>
          </w:p>
        </w:tc>
        <w:tc>
          <w:tcPr>
            <w:tcW w:w="900" w:type="dxa"/>
            <w:tcBorders>
              <w:top w:val="nil"/>
              <w:left w:val="nil"/>
              <w:bottom w:val="single" w:sz="4" w:space="0" w:color="auto"/>
              <w:right w:val="single" w:sz="4" w:space="0" w:color="auto"/>
            </w:tcBorders>
            <w:shd w:val="clear" w:color="auto" w:fill="auto"/>
            <w:noWrap/>
            <w:vAlign w:val="bottom"/>
            <w:hideMark/>
          </w:tcPr>
          <w:p w14:paraId="58DAA4C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22.5</w:t>
            </w:r>
          </w:p>
        </w:tc>
      </w:tr>
      <w:tr w:rsidR="00240506" w:rsidRPr="00650EE4" w14:paraId="39DD0763"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69ABED1"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Liuksemburgas</w:t>
            </w:r>
          </w:p>
        </w:tc>
        <w:tc>
          <w:tcPr>
            <w:tcW w:w="899" w:type="dxa"/>
            <w:tcBorders>
              <w:top w:val="nil"/>
              <w:left w:val="nil"/>
              <w:bottom w:val="single" w:sz="4" w:space="0" w:color="auto"/>
              <w:right w:val="single" w:sz="4" w:space="0" w:color="auto"/>
            </w:tcBorders>
            <w:shd w:val="clear" w:color="auto" w:fill="auto"/>
            <w:noWrap/>
            <w:vAlign w:val="bottom"/>
            <w:hideMark/>
          </w:tcPr>
          <w:p w14:paraId="2997538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17.2</w:t>
            </w:r>
          </w:p>
        </w:tc>
        <w:tc>
          <w:tcPr>
            <w:tcW w:w="899" w:type="dxa"/>
            <w:tcBorders>
              <w:top w:val="nil"/>
              <w:left w:val="nil"/>
              <w:bottom w:val="single" w:sz="4" w:space="0" w:color="auto"/>
              <w:right w:val="single" w:sz="4" w:space="0" w:color="auto"/>
            </w:tcBorders>
            <w:shd w:val="clear" w:color="auto" w:fill="auto"/>
            <w:noWrap/>
            <w:vAlign w:val="bottom"/>
            <w:hideMark/>
          </w:tcPr>
          <w:p w14:paraId="2D6D63B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15.5</w:t>
            </w:r>
          </w:p>
        </w:tc>
        <w:tc>
          <w:tcPr>
            <w:tcW w:w="899" w:type="dxa"/>
            <w:tcBorders>
              <w:top w:val="nil"/>
              <w:left w:val="nil"/>
              <w:bottom w:val="single" w:sz="4" w:space="0" w:color="auto"/>
              <w:right w:val="single" w:sz="4" w:space="0" w:color="auto"/>
            </w:tcBorders>
            <w:shd w:val="clear" w:color="auto" w:fill="auto"/>
            <w:noWrap/>
            <w:vAlign w:val="bottom"/>
            <w:hideMark/>
          </w:tcPr>
          <w:p w14:paraId="5896A03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17.1</w:t>
            </w:r>
          </w:p>
        </w:tc>
        <w:tc>
          <w:tcPr>
            <w:tcW w:w="899" w:type="dxa"/>
            <w:tcBorders>
              <w:top w:val="nil"/>
              <w:left w:val="nil"/>
              <w:bottom w:val="single" w:sz="4" w:space="0" w:color="auto"/>
              <w:right w:val="single" w:sz="4" w:space="0" w:color="auto"/>
            </w:tcBorders>
            <w:shd w:val="clear" w:color="auto" w:fill="auto"/>
            <w:noWrap/>
            <w:vAlign w:val="bottom"/>
            <w:hideMark/>
          </w:tcPr>
          <w:p w14:paraId="258C73A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15.3</w:t>
            </w:r>
          </w:p>
        </w:tc>
        <w:tc>
          <w:tcPr>
            <w:tcW w:w="899" w:type="dxa"/>
            <w:tcBorders>
              <w:top w:val="nil"/>
              <w:left w:val="nil"/>
              <w:bottom w:val="single" w:sz="4" w:space="0" w:color="auto"/>
              <w:right w:val="single" w:sz="4" w:space="0" w:color="auto"/>
            </w:tcBorders>
            <w:shd w:val="clear" w:color="auto" w:fill="auto"/>
            <w:noWrap/>
            <w:vAlign w:val="bottom"/>
            <w:hideMark/>
          </w:tcPr>
          <w:p w14:paraId="183DD78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w:t>
            </w:r>
          </w:p>
        </w:tc>
        <w:tc>
          <w:tcPr>
            <w:tcW w:w="899" w:type="dxa"/>
            <w:tcBorders>
              <w:top w:val="nil"/>
              <w:left w:val="nil"/>
              <w:bottom w:val="single" w:sz="4" w:space="0" w:color="auto"/>
              <w:right w:val="single" w:sz="4" w:space="0" w:color="auto"/>
            </w:tcBorders>
            <w:shd w:val="clear" w:color="auto" w:fill="auto"/>
            <w:noWrap/>
            <w:vAlign w:val="bottom"/>
            <w:hideMark/>
          </w:tcPr>
          <w:p w14:paraId="1782850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14.4</w:t>
            </w:r>
          </w:p>
        </w:tc>
        <w:tc>
          <w:tcPr>
            <w:tcW w:w="899" w:type="dxa"/>
            <w:tcBorders>
              <w:top w:val="nil"/>
              <w:left w:val="nil"/>
              <w:bottom w:val="single" w:sz="4" w:space="0" w:color="auto"/>
              <w:right w:val="single" w:sz="4" w:space="0" w:color="auto"/>
            </w:tcBorders>
            <w:shd w:val="clear" w:color="auto" w:fill="auto"/>
            <w:noWrap/>
            <w:vAlign w:val="bottom"/>
            <w:hideMark/>
          </w:tcPr>
          <w:p w14:paraId="05352FD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18.7</w:t>
            </w:r>
          </w:p>
        </w:tc>
        <w:tc>
          <w:tcPr>
            <w:tcW w:w="899" w:type="dxa"/>
            <w:tcBorders>
              <w:top w:val="nil"/>
              <w:left w:val="nil"/>
              <w:bottom w:val="single" w:sz="4" w:space="0" w:color="auto"/>
              <w:right w:val="single" w:sz="4" w:space="0" w:color="auto"/>
            </w:tcBorders>
            <w:shd w:val="clear" w:color="auto" w:fill="auto"/>
            <w:noWrap/>
            <w:vAlign w:val="bottom"/>
            <w:hideMark/>
          </w:tcPr>
          <w:p w14:paraId="6479E31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17.4</w:t>
            </w:r>
          </w:p>
        </w:tc>
        <w:tc>
          <w:tcPr>
            <w:tcW w:w="900" w:type="dxa"/>
            <w:tcBorders>
              <w:top w:val="nil"/>
              <w:left w:val="nil"/>
              <w:bottom w:val="single" w:sz="4" w:space="0" w:color="auto"/>
              <w:right w:val="single" w:sz="4" w:space="0" w:color="auto"/>
            </w:tcBorders>
            <w:shd w:val="clear" w:color="auto" w:fill="auto"/>
            <w:noWrap/>
            <w:vAlign w:val="bottom"/>
            <w:hideMark/>
          </w:tcPr>
          <w:p w14:paraId="330AA15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18.3</w:t>
            </w:r>
          </w:p>
        </w:tc>
      </w:tr>
      <w:tr w:rsidR="00240506" w:rsidRPr="00650EE4" w14:paraId="3D6BB680"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7126F2"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Belgija</w:t>
            </w:r>
          </w:p>
        </w:tc>
        <w:tc>
          <w:tcPr>
            <w:tcW w:w="899" w:type="dxa"/>
            <w:tcBorders>
              <w:top w:val="nil"/>
              <w:left w:val="nil"/>
              <w:bottom w:val="single" w:sz="4" w:space="0" w:color="auto"/>
              <w:right w:val="single" w:sz="4" w:space="0" w:color="auto"/>
            </w:tcBorders>
            <w:shd w:val="clear" w:color="auto" w:fill="auto"/>
            <w:noWrap/>
            <w:vAlign w:val="bottom"/>
            <w:hideMark/>
          </w:tcPr>
          <w:p w14:paraId="62F004C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w:t>
            </w:r>
          </w:p>
        </w:tc>
        <w:tc>
          <w:tcPr>
            <w:tcW w:w="899" w:type="dxa"/>
            <w:tcBorders>
              <w:top w:val="nil"/>
              <w:left w:val="nil"/>
              <w:bottom w:val="single" w:sz="4" w:space="0" w:color="auto"/>
              <w:right w:val="single" w:sz="4" w:space="0" w:color="auto"/>
            </w:tcBorders>
            <w:shd w:val="clear" w:color="auto" w:fill="auto"/>
            <w:noWrap/>
            <w:vAlign w:val="bottom"/>
            <w:hideMark/>
          </w:tcPr>
          <w:p w14:paraId="2CF431A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21.2</w:t>
            </w:r>
          </w:p>
        </w:tc>
        <w:tc>
          <w:tcPr>
            <w:tcW w:w="899" w:type="dxa"/>
            <w:tcBorders>
              <w:top w:val="nil"/>
              <w:left w:val="nil"/>
              <w:bottom w:val="single" w:sz="4" w:space="0" w:color="auto"/>
              <w:right w:val="single" w:sz="4" w:space="0" w:color="auto"/>
            </w:tcBorders>
            <w:shd w:val="clear" w:color="auto" w:fill="auto"/>
            <w:noWrap/>
            <w:vAlign w:val="bottom"/>
            <w:hideMark/>
          </w:tcPr>
          <w:p w14:paraId="2F222B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18.7</w:t>
            </w:r>
          </w:p>
        </w:tc>
        <w:tc>
          <w:tcPr>
            <w:tcW w:w="899" w:type="dxa"/>
            <w:tcBorders>
              <w:top w:val="nil"/>
              <w:left w:val="nil"/>
              <w:bottom w:val="single" w:sz="4" w:space="0" w:color="auto"/>
              <w:right w:val="single" w:sz="4" w:space="0" w:color="auto"/>
            </w:tcBorders>
            <w:shd w:val="clear" w:color="auto" w:fill="auto"/>
            <w:noWrap/>
            <w:vAlign w:val="bottom"/>
            <w:hideMark/>
          </w:tcPr>
          <w:p w14:paraId="4CF5ABF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18.1</w:t>
            </w:r>
          </w:p>
        </w:tc>
        <w:tc>
          <w:tcPr>
            <w:tcW w:w="899" w:type="dxa"/>
            <w:tcBorders>
              <w:top w:val="nil"/>
              <w:left w:val="nil"/>
              <w:bottom w:val="single" w:sz="4" w:space="0" w:color="auto"/>
              <w:right w:val="single" w:sz="4" w:space="0" w:color="auto"/>
            </w:tcBorders>
            <w:shd w:val="clear" w:color="auto" w:fill="auto"/>
            <w:noWrap/>
            <w:vAlign w:val="bottom"/>
            <w:hideMark/>
          </w:tcPr>
          <w:p w14:paraId="07D3BBB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17.5</w:t>
            </w:r>
          </w:p>
        </w:tc>
        <w:tc>
          <w:tcPr>
            <w:tcW w:w="899" w:type="dxa"/>
            <w:tcBorders>
              <w:top w:val="nil"/>
              <w:left w:val="nil"/>
              <w:bottom w:val="single" w:sz="4" w:space="0" w:color="auto"/>
              <w:right w:val="single" w:sz="4" w:space="0" w:color="auto"/>
            </w:tcBorders>
            <w:shd w:val="clear" w:color="auto" w:fill="auto"/>
            <w:noWrap/>
            <w:vAlign w:val="bottom"/>
            <w:hideMark/>
          </w:tcPr>
          <w:p w14:paraId="60D514C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18.2</w:t>
            </w:r>
          </w:p>
        </w:tc>
        <w:tc>
          <w:tcPr>
            <w:tcW w:w="899" w:type="dxa"/>
            <w:tcBorders>
              <w:top w:val="nil"/>
              <w:left w:val="nil"/>
              <w:bottom w:val="single" w:sz="4" w:space="0" w:color="auto"/>
              <w:right w:val="single" w:sz="4" w:space="0" w:color="auto"/>
            </w:tcBorders>
            <w:shd w:val="clear" w:color="auto" w:fill="auto"/>
            <w:noWrap/>
            <w:vAlign w:val="bottom"/>
            <w:hideMark/>
          </w:tcPr>
          <w:p w14:paraId="698BD49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19.2</w:t>
            </w:r>
          </w:p>
        </w:tc>
        <w:tc>
          <w:tcPr>
            <w:tcW w:w="899" w:type="dxa"/>
            <w:tcBorders>
              <w:top w:val="nil"/>
              <w:left w:val="nil"/>
              <w:bottom w:val="single" w:sz="4" w:space="0" w:color="auto"/>
              <w:right w:val="single" w:sz="4" w:space="0" w:color="auto"/>
            </w:tcBorders>
            <w:shd w:val="clear" w:color="auto" w:fill="auto"/>
            <w:noWrap/>
            <w:vAlign w:val="bottom"/>
            <w:hideMark/>
          </w:tcPr>
          <w:p w14:paraId="34676FB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18.4</w:t>
            </w:r>
          </w:p>
        </w:tc>
        <w:tc>
          <w:tcPr>
            <w:tcW w:w="900" w:type="dxa"/>
            <w:tcBorders>
              <w:top w:val="nil"/>
              <w:left w:val="nil"/>
              <w:bottom w:val="single" w:sz="4" w:space="0" w:color="auto"/>
              <w:right w:val="single" w:sz="4" w:space="0" w:color="auto"/>
            </w:tcBorders>
            <w:shd w:val="clear" w:color="auto" w:fill="auto"/>
            <w:noWrap/>
            <w:vAlign w:val="bottom"/>
            <w:hideMark/>
          </w:tcPr>
          <w:p w14:paraId="7F355E3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17.9</w:t>
            </w:r>
          </w:p>
        </w:tc>
      </w:tr>
      <w:tr w:rsidR="00240506" w:rsidRPr="00650EE4" w14:paraId="50F966B9"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451C9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Jungtinė Karalystė</w:t>
            </w:r>
          </w:p>
        </w:tc>
        <w:tc>
          <w:tcPr>
            <w:tcW w:w="899" w:type="dxa"/>
            <w:tcBorders>
              <w:top w:val="nil"/>
              <w:left w:val="nil"/>
              <w:bottom w:val="single" w:sz="4" w:space="0" w:color="auto"/>
              <w:right w:val="single" w:sz="4" w:space="0" w:color="auto"/>
            </w:tcBorders>
            <w:shd w:val="clear" w:color="auto" w:fill="auto"/>
            <w:noWrap/>
            <w:vAlign w:val="bottom"/>
            <w:hideMark/>
          </w:tcPr>
          <w:p w14:paraId="3E66FA1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w:t>
            </w:r>
          </w:p>
        </w:tc>
        <w:tc>
          <w:tcPr>
            <w:tcW w:w="899" w:type="dxa"/>
            <w:tcBorders>
              <w:top w:val="nil"/>
              <w:left w:val="nil"/>
              <w:bottom w:val="single" w:sz="4" w:space="0" w:color="auto"/>
              <w:right w:val="single" w:sz="4" w:space="0" w:color="auto"/>
            </w:tcBorders>
            <w:shd w:val="clear" w:color="auto" w:fill="auto"/>
            <w:noWrap/>
            <w:vAlign w:val="bottom"/>
            <w:hideMark/>
          </w:tcPr>
          <w:p w14:paraId="0F951C6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666F38F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17.2</w:t>
            </w:r>
          </w:p>
        </w:tc>
        <w:tc>
          <w:tcPr>
            <w:tcW w:w="899" w:type="dxa"/>
            <w:tcBorders>
              <w:top w:val="nil"/>
              <w:left w:val="nil"/>
              <w:bottom w:val="single" w:sz="4" w:space="0" w:color="auto"/>
              <w:right w:val="single" w:sz="4" w:space="0" w:color="auto"/>
            </w:tcBorders>
            <w:shd w:val="clear" w:color="auto" w:fill="auto"/>
            <w:noWrap/>
            <w:vAlign w:val="bottom"/>
            <w:hideMark/>
          </w:tcPr>
          <w:p w14:paraId="53E83EC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0FBC5DB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16.6</w:t>
            </w:r>
          </w:p>
        </w:tc>
        <w:tc>
          <w:tcPr>
            <w:tcW w:w="899" w:type="dxa"/>
            <w:tcBorders>
              <w:top w:val="nil"/>
              <w:left w:val="nil"/>
              <w:bottom w:val="single" w:sz="4" w:space="0" w:color="auto"/>
              <w:right w:val="single" w:sz="4" w:space="0" w:color="auto"/>
            </w:tcBorders>
            <w:shd w:val="clear" w:color="auto" w:fill="auto"/>
            <w:noWrap/>
            <w:vAlign w:val="bottom"/>
            <w:hideMark/>
          </w:tcPr>
          <w:p w14:paraId="4863E2A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14.8</w:t>
            </w:r>
          </w:p>
        </w:tc>
        <w:tc>
          <w:tcPr>
            <w:tcW w:w="899" w:type="dxa"/>
            <w:tcBorders>
              <w:top w:val="nil"/>
              <w:left w:val="nil"/>
              <w:bottom w:val="single" w:sz="4" w:space="0" w:color="auto"/>
              <w:right w:val="single" w:sz="4" w:space="0" w:color="auto"/>
            </w:tcBorders>
            <w:shd w:val="clear" w:color="auto" w:fill="auto"/>
            <w:noWrap/>
            <w:vAlign w:val="bottom"/>
            <w:hideMark/>
          </w:tcPr>
          <w:p w14:paraId="3AFB5B8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16.4</w:t>
            </w:r>
          </w:p>
        </w:tc>
        <w:tc>
          <w:tcPr>
            <w:tcW w:w="899" w:type="dxa"/>
            <w:tcBorders>
              <w:top w:val="nil"/>
              <w:left w:val="nil"/>
              <w:bottom w:val="single" w:sz="4" w:space="0" w:color="auto"/>
              <w:right w:val="single" w:sz="4" w:space="0" w:color="auto"/>
            </w:tcBorders>
            <w:shd w:val="clear" w:color="auto" w:fill="auto"/>
            <w:noWrap/>
            <w:vAlign w:val="bottom"/>
            <w:hideMark/>
          </w:tcPr>
          <w:p w14:paraId="57F3976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w:t>
            </w:r>
          </w:p>
        </w:tc>
        <w:tc>
          <w:tcPr>
            <w:tcW w:w="900" w:type="dxa"/>
            <w:tcBorders>
              <w:top w:val="nil"/>
              <w:left w:val="nil"/>
              <w:bottom w:val="single" w:sz="4" w:space="0" w:color="auto"/>
              <w:right w:val="single" w:sz="4" w:space="0" w:color="auto"/>
            </w:tcBorders>
            <w:shd w:val="clear" w:color="auto" w:fill="auto"/>
            <w:noWrap/>
            <w:vAlign w:val="bottom"/>
            <w:hideMark/>
          </w:tcPr>
          <w:p w14:paraId="3704DF5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17.6</w:t>
            </w:r>
          </w:p>
        </w:tc>
      </w:tr>
      <w:tr w:rsidR="00240506" w:rsidRPr="00650EE4" w14:paraId="668C6D4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E697AF"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Danija</w:t>
            </w:r>
          </w:p>
        </w:tc>
        <w:tc>
          <w:tcPr>
            <w:tcW w:w="899" w:type="dxa"/>
            <w:tcBorders>
              <w:top w:val="nil"/>
              <w:left w:val="nil"/>
              <w:bottom w:val="single" w:sz="4" w:space="0" w:color="auto"/>
              <w:right w:val="single" w:sz="4" w:space="0" w:color="auto"/>
            </w:tcBorders>
            <w:shd w:val="clear" w:color="auto" w:fill="auto"/>
            <w:noWrap/>
            <w:vAlign w:val="bottom"/>
            <w:hideMark/>
          </w:tcPr>
          <w:p w14:paraId="4B55CB3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w:t>
            </w:r>
          </w:p>
        </w:tc>
        <w:tc>
          <w:tcPr>
            <w:tcW w:w="899" w:type="dxa"/>
            <w:tcBorders>
              <w:top w:val="nil"/>
              <w:left w:val="nil"/>
              <w:bottom w:val="single" w:sz="4" w:space="0" w:color="auto"/>
              <w:right w:val="single" w:sz="4" w:space="0" w:color="auto"/>
            </w:tcBorders>
            <w:shd w:val="clear" w:color="auto" w:fill="auto"/>
            <w:noWrap/>
            <w:vAlign w:val="bottom"/>
            <w:hideMark/>
          </w:tcPr>
          <w:p w14:paraId="356126F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16.3</w:t>
            </w:r>
          </w:p>
        </w:tc>
        <w:tc>
          <w:tcPr>
            <w:tcW w:w="899" w:type="dxa"/>
            <w:tcBorders>
              <w:top w:val="nil"/>
              <w:left w:val="nil"/>
              <w:bottom w:val="single" w:sz="4" w:space="0" w:color="auto"/>
              <w:right w:val="single" w:sz="4" w:space="0" w:color="auto"/>
            </w:tcBorders>
            <w:shd w:val="clear" w:color="auto" w:fill="auto"/>
            <w:noWrap/>
            <w:vAlign w:val="bottom"/>
            <w:hideMark/>
          </w:tcPr>
          <w:p w14:paraId="6B20977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17.6</w:t>
            </w:r>
          </w:p>
        </w:tc>
        <w:tc>
          <w:tcPr>
            <w:tcW w:w="899" w:type="dxa"/>
            <w:tcBorders>
              <w:top w:val="nil"/>
              <w:left w:val="nil"/>
              <w:bottom w:val="single" w:sz="4" w:space="0" w:color="auto"/>
              <w:right w:val="single" w:sz="4" w:space="0" w:color="auto"/>
            </w:tcBorders>
            <w:shd w:val="clear" w:color="auto" w:fill="auto"/>
            <w:noWrap/>
            <w:vAlign w:val="bottom"/>
            <w:hideMark/>
          </w:tcPr>
          <w:p w14:paraId="5C60745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16.6</w:t>
            </w:r>
          </w:p>
        </w:tc>
        <w:tc>
          <w:tcPr>
            <w:tcW w:w="899" w:type="dxa"/>
            <w:tcBorders>
              <w:top w:val="nil"/>
              <w:left w:val="nil"/>
              <w:bottom w:val="single" w:sz="4" w:space="0" w:color="auto"/>
              <w:right w:val="single" w:sz="4" w:space="0" w:color="auto"/>
            </w:tcBorders>
            <w:shd w:val="clear" w:color="auto" w:fill="auto"/>
            <w:noWrap/>
            <w:vAlign w:val="bottom"/>
            <w:hideMark/>
          </w:tcPr>
          <w:p w14:paraId="7B5D31F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w:t>
            </w:r>
          </w:p>
        </w:tc>
        <w:tc>
          <w:tcPr>
            <w:tcW w:w="899" w:type="dxa"/>
            <w:tcBorders>
              <w:top w:val="nil"/>
              <w:left w:val="nil"/>
              <w:bottom w:val="single" w:sz="4" w:space="0" w:color="auto"/>
              <w:right w:val="single" w:sz="4" w:space="0" w:color="auto"/>
            </w:tcBorders>
            <w:shd w:val="clear" w:color="auto" w:fill="auto"/>
            <w:noWrap/>
            <w:vAlign w:val="bottom"/>
            <w:hideMark/>
          </w:tcPr>
          <w:p w14:paraId="41526ED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16.1</w:t>
            </w:r>
          </w:p>
        </w:tc>
        <w:tc>
          <w:tcPr>
            <w:tcW w:w="899" w:type="dxa"/>
            <w:tcBorders>
              <w:top w:val="nil"/>
              <w:left w:val="nil"/>
              <w:bottom w:val="single" w:sz="4" w:space="0" w:color="auto"/>
              <w:right w:val="single" w:sz="4" w:space="0" w:color="auto"/>
            </w:tcBorders>
            <w:shd w:val="clear" w:color="auto" w:fill="auto"/>
            <w:noWrap/>
            <w:vAlign w:val="bottom"/>
            <w:hideMark/>
          </w:tcPr>
          <w:p w14:paraId="12737BF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7366586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14.9</w:t>
            </w:r>
          </w:p>
        </w:tc>
        <w:tc>
          <w:tcPr>
            <w:tcW w:w="900" w:type="dxa"/>
            <w:tcBorders>
              <w:top w:val="nil"/>
              <w:left w:val="nil"/>
              <w:bottom w:val="single" w:sz="4" w:space="0" w:color="auto"/>
              <w:right w:val="single" w:sz="4" w:space="0" w:color="auto"/>
            </w:tcBorders>
            <w:shd w:val="clear" w:color="auto" w:fill="auto"/>
            <w:noWrap/>
            <w:vAlign w:val="bottom"/>
            <w:hideMark/>
          </w:tcPr>
          <w:p w14:paraId="3859C2A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16.4</w:t>
            </w:r>
          </w:p>
        </w:tc>
      </w:tr>
      <w:tr w:rsidR="00240506" w:rsidRPr="00650EE4" w14:paraId="447154F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495858"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Ispanija</w:t>
            </w:r>
          </w:p>
        </w:tc>
        <w:tc>
          <w:tcPr>
            <w:tcW w:w="899" w:type="dxa"/>
            <w:tcBorders>
              <w:top w:val="nil"/>
              <w:left w:val="nil"/>
              <w:bottom w:val="single" w:sz="4" w:space="0" w:color="auto"/>
              <w:right w:val="single" w:sz="4" w:space="0" w:color="auto"/>
            </w:tcBorders>
            <w:shd w:val="clear" w:color="auto" w:fill="auto"/>
            <w:noWrap/>
            <w:vAlign w:val="bottom"/>
            <w:hideMark/>
          </w:tcPr>
          <w:p w14:paraId="7CCF051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21.8</w:t>
            </w:r>
          </w:p>
        </w:tc>
        <w:tc>
          <w:tcPr>
            <w:tcW w:w="899" w:type="dxa"/>
            <w:tcBorders>
              <w:top w:val="nil"/>
              <w:left w:val="nil"/>
              <w:bottom w:val="single" w:sz="4" w:space="0" w:color="auto"/>
              <w:right w:val="single" w:sz="4" w:space="0" w:color="auto"/>
            </w:tcBorders>
            <w:shd w:val="clear" w:color="auto" w:fill="auto"/>
            <w:noWrap/>
            <w:vAlign w:val="bottom"/>
            <w:hideMark/>
          </w:tcPr>
          <w:p w14:paraId="2D03AE2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16.1</w:t>
            </w:r>
          </w:p>
        </w:tc>
        <w:tc>
          <w:tcPr>
            <w:tcW w:w="899" w:type="dxa"/>
            <w:tcBorders>
              <w:top w:val="nil"/>
              <w:left w:val="nil"/>
              <w:bottom w:val="single" w:sz="4" w:space="0" w:color="auto"/>
              <w:right w:val="single" w:sz="4" w:space="0" w:color="auto"/>
            </w:tcBorders>
            <w:shd w:val="clear" w:color="auto" w:fill="auto"/>
            <w:noWrap/>
            <w:vAlign w:val="bottom"/>
            <w:hideMark/>
          </w:tcPr>
          <w:p w14:paraId="013DFEB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w:t>
            </w:r>
          </w:p>
        </w:tc>
        <w:tc>
          <w:tcPr>
            <w:tcW w:w="899" w:type="dxa"/>
            <w:tcBorders>
              <w:top w:val="nil"/>
              <w:left w:val="nil"/>
              <w:bottom w:val="single" w:sz="4" w:space="0" w:color="auto"/>
              <w:right w:val="single" w:sz="4" w:space="0" w:color="auto"/>
            </w:tcBorders>
            <w:shd w:val="clear" w:color="auto" w:fill="auto"/>
            <w:noWrap/>
            <w:vAlign w:val="bottom"/>
            <w:hideMark/>
          </w:tcPr>
          <w:p w14:paraId="4262854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16.7</w:t>
            </w:r>
          </w:p>
        </w:tc>
        <w:tc>
          <w:tcPr>
            <w:tcW w:w="899" w:type="dxa"/>
            <w:tcBorders>
              <w:top w:val="nil"/>
              <w:left w:val="nil"/>
              <w:bottom w:val="single" w:sz="4" w:space="0" w:color="auto"/>
              <w:right w:val="single" w:sz="4" w:space="0" w:color="auto"/>
            </w:tcBorders>
            <w:shd w:val="clear" w:color="auto" w:fill="auto"/>
            <w:noWrap/>
            <w:vAlign w:val="bottom"/>
            <w:hideMark/>
          </w:tcPr>
          <w:p w14:paraId="58A0E9B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17.1</w:t>
            </w:r>
          </w:p>
        </w:tc>
        <w:tc>
          <w:tcPr>
            <w:tcW w:w="899" w:type="dxa"/>
            <w:tcBorders>
              <w:top w:val="nil"/>
              <w:left w:val="nil"/>
              <w:bottom w:val="single" w:sz="4" w:space="0" w:color="auto"/>
              <w:right w:val="single" w:sz="4" w:space="0" w:color="auto"/>
            </w:tcBorders>
            <w:shd w:val="clear" w:color="auto" w:fill="auto"/>
            <w:noWrap/>
            <w:vAlign w:val="bottom"/>
            <w:hideMark/>
          </w:tcPr>
          <w:p w14:paraId="3032D16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15.2</w:t>
            </w:r>
          </w:p>
        </w:tc>
        <w:tc>
          <w:tcPr>
            <w:tcW w:w="899" w:type="dxa"/>
            <w:tcBorders>
              <w:top w:val="nil"/>
              <w:left w:val="nil"/>
              <w:bottom w:val="single" w:sz="4" w:space="0" w:color="auto"/>
              <w:right w:val="single" w:sz="4" w:space="0" w:color="auto"/>
            </w:tcBorders>
            <w:shd w:val="clear" w:color="auto" w:fill="auto"/>
            <w:noWrap/>
            <w:vAlign w:val="bottom"/>
            <w:hideMark/>
          </w:tcPr>
          <w:p w14:paraId="2897E73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668DBC1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11.5</w:t>
            </w:r>
          </w:p>
        </w:tc>
        <w:tc>
          <w:tcPr>
            <w:tcW w:w="900" w:type="dxa"/>
            <w:tcBorders>
              <w:top w:val="nil"/>
              <w:left w:val="nil"/>
              <w:bottom w:val="single" w:sz="4" w:space="0" w:color="auto"/>
              <w:right w:val="single" w:sz="4" w:space="0" w:color="auto"/>
            </w:tcBorders>
            <w:shd w:val="clear" w:color="auto" w:fill="auto"/>
            <w:noWrap/>
            <w:vAlign w:val="bottom"/>
            <w:hideMark/>
          </w:tcPr>
          <w:p w14:paraId="66757E0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r>
      <w:tr w:rsidR="00240506" w:rsidRPr="00650EE4" w14:paraId="676B713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D59A4A"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Nyderlandai</w:t>
            </w:r>
          </w:p>
        </w:tc>
        <w:tc>
          <w:tcPr>
            <w:tcW w:w="899" w:type="dxa"/>
            <w:tcBorders>
              <w:top w:val="nil"/>
              <w:left w:val="nil"/>
              <w:bottom w:val="single" w:sz="4" w:space="0" w:color="auto"/>
              <w:right w:val="single" w:sz="4" w:space="0" w:color="auto"/>
            </w:tcBorders>
            <w:shd w:val="clear" w:color="auto" w:fill="auto"/>
            <w:noWrap/>
            <w:vAlign w:val="bottom"/>
            <w:hideMark/>
          </w:tcPr>
          <w:p w14:paraId="7F8CEDC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15.2</w:t>
            </w:r>
          </w:p>
        </w:tc>
        <w:tc>
          <w:tcPr>
            <w:tcW w:w="899" w:type="dxa"/>
            <w:tcBorders>
              <w:top w:val="nil"/>
              <w:left w:val="nil"/>
              <w:bottom w:val="single" w:sz="4" w:space="0" w:color="auto"/>
              <w:right w:val="single" w:sz="4" w:space="0" w:color="auto"/>
            </w:tcBorders>
            <w:shd w:val="clear" w:color="auto" w:fill="auto"/>
            <w:noWrap/>
            <w:vAlign w:val="bottom"/>
            <w:hideMark/>
          </w:tcPr>
          <w:p w14:paraId="5C8C11B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14.6</w:t>
            </w:r>
          </w:p>
        </w:tc>
        <w:tc>
          <w:tcPr>
            <w:tcW w:w="899" w:type="dxa"/>
            <w:tcBorders>
              <w:top w:val="nil"/>
              <w:left w:val="nil"/>
              <w:bottom w:val="single" w:sz="4" w:space="0" w:color="auto"/>
              <w:right w:val="single" w:sz="4" w:space="0" w:color="auto"/>
            </w:tcBorders>
            <w:shd w:val="clear" w:color="auto" w:fill="auto"/>
            <w:noWrap/>
            <w:vAlign w:val="bottom"/>
            <w:hideMark/>
          </w:tcPr>
          <w:p w14:paraId="04915D1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16.2</w:t>
            </w:r>
          </w:p>
        </w:tc>
        <w:tc>
          <w:tcPr>
            <w:tcW w:w="899" w:type="dxa"/>
            <w:tcBorders>
              <w:top w:val="nil"/>
              <w:left w:val="nil"/>
              <w:bottom w:val="single" w:sz="4" w:space="0" w:color="auto"/>
              <w:right w:val="single" w:sz="4" w:space="0" w:color="auto"/>
            </w:tcBorders>
            <w:shd w:val="clear" w:color="auto" w:fill="auto"/>
            <w:noWrap/>
            <w:vAlign w:val="bottom"/>
            <w:hideMark/>
          </w:tcPr>
          <w:p w14:paraId="57AD4EF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15.6</w:t>
            </w:r>
          </w:p>
        </w:tc>
        <w:tc>
          <w:tcPr>
            <w:tcW w:w="899" w:type="dxa"/>
            <w:tcBorders>
              <w:top w:val="nil"/>
              <w:left w:val="nil"/>
              <w:bottom w:val="single" w:sz="4" w:space="0" w:color="auto"/>
              <w:right w:val="single" w:sz="4" w:space="0" w:color="auto"/>
            </w:tcBorders>
            <w:shd w:val="clear" w:color="auto" w:fill="auto"/>
            <w:noWrap/>
            <w:vAlign w:val="bottom"/>
            <w:hideMark/>
          </w:tcPr>
          <w:p w14:paraId="2EBB2D2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15.8</w:t>
            </w:r>
          </w:p>
        </w:tc>
        <w:tc>
          <w:tcPr>
            <w:tcW w:w="899" w:type="dxa"/>
            <w:tcBorders>
              <w:top w:val="nil"/>
              <w:left w:val="nil"/>
              <w:bottom w:val="single" w:sz="4" w:space="0" w:color="auto"/>
              <w:right w:val="single" w:sz="4" w:space="0" w:color="auto"/>
            </w:tcBorders>
            <w:shd w:val="clear" w:color="auto" w:fill="auto"/>
            <w:noWrap/>
            <w:vAlign w:val="bottom"/>
            <w:hideMark/>
          </w:tcPr>
          <w:p w14:paraId="5DBF04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15.7</w:t>
            </w:r>
          </w:p>
        </w:tc>
        <w:tc>
          <w:tcPr>
            <w:tcW w:w="899" w:type="dxa"/>
            <w:tcBorders>
              <w:top w:val="nil"/>
              <w:left w:val="nil"/>
              <w:bottom w:val="single" w:sz="4" w:space="0" w:color="auto"/>
              <w:right w:val="single" w:sz="4" w:space="0" w:color="auto"/>
            </w:tcBorders>
            <w:shd w:val="clear" w:color="auto" w:fill="auto"/>
            <w:noWrap/>
            <w:vAlign w:val="bottom"/>
            <w:hideMark/>
          </w:tcPr>
          <w:p w14:paraId="042941E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16.3</w:t>
            </w:r>
          </w:p>
        </w:tc>
        <w:tc>
          <w:tcPr>
            <w:tcW w:w="899" w:type="dxa"/>
            <w:tcBorders>
              <w:top w:val="nil"/>
              <w:left w:val="nil"/>
              <w:bottom w:val="single" w:sz="4" w:space="0" w:color="auto"/>
              <w:right w:val="single" w:sz="4" w:space="0" w:color="auto"/>
            </w:tcBorders>
            <w:shd w:val="clear" w:color="auto" w:fill="auto"/>
            <w:noWrap/>
            <w:vAlign w:val="bottom"/>
            <w:hideMark/>
          </w:tcPr>
          <w:p w14:paraId="3DD25C0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13.5</w:t>
            </w:r>
          </w:p>
        </w:tc>
        <w:tc>
          <w:tcPr>
            <w:tcW w:w="900" w:type="dxa"/>
            <w:tcBorders>
              <w:top w:val="nil"/>
              <w:left w:val="nil"/>
              <w:bottom w:val="single" w:sz="4" w:space="0" w:color="auto"/>
              <w:right w:val="single" w:sz="4" w:space="0" w:color="auto"/>
            </w:tcBorders>
            <w:shd w:val="clear" w:color="auto" w:fill="auto"/>
            <w:noWrap/>
            <w:vAlign w:val="bottom"/>
            <w:hideMark/>
          </w:tcPr>
          <w:p w14:paraId="4A20CD2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15.8</w:t>
            </w:r>
          </w:p>
        </w:tc>
      </w:tr>
      <w:tr w:rsidR="00240506" w:rsidRPr="00650EE4" w14:paraId="08ED3E2B" w14:textId="77777777" w:rsidTr="00DF628E">
        <w:tc>
          <w:tcPr>
            <w:tcW w:w="198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FE3243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Lietuva</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67F15EF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19.2</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31D630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0114821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17.6</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0ACF213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19.9</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47392C2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18.9</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77604B0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442AD56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18.2</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3A4ADC4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15.7</w:t>
            </w:r>
          </w:p>
        </w:tc>
        <w:tc>
          <w:tcPr>
            <w:tcW w:w="900" w:type="dxa"/>
            <w:tcBorders>
              <w:top w:val="nil"/>
              <w:left w:val="nil"/>
              <w:bottom w:val="single" w:sz="4" w:space="0" w:color="auto"/>
              <w:right w:val="single" w:sz="4" w:space="0" w:color="auto"/>
            </w:tcBorders>
            <w:shd w:val="clear" w:color="auto" w:fill="BFBFBF" w:themeFill="background1" w:themeFillShade="BF"/>
            <w:noWrap/>
            <w:vAlign w:val="bottom"/>
            <w:hideMark/>
          </w:tcPr>
          <w:p w14:paraId="64F0E77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14.8</w:t>
            </w:r>
          </w:p>
        </w:tc>
      </w:tr>
      <w:tr w:rsidR="00240506" w:rsidRPr="00650EE4" w14:paraId="4B7072D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769AFE"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Estija</w:t>
            </w:r>
          </w:p>
        </w:tc>
        <w:tc>
          <w:tcPr>
            <w:tcW w:w="899" w:type="dxa"/>
            <w:tcBorders>
              <w:top w:val="nil"/>
              <w:left w:val="nil"/>
              <w:bottom w:val="single" w:sz="4" w:space="0" w:color="auto"/>
              <w:right w:val="single" w:sz="4" w:space="0" w:color="auto"/>
            </w:tcBorders>
            <w:shd w:val="clear" w:color="auto" w:fill="auto"/>
            <w:noWrap/>
            <w:vAlign w:val="bottom"/>
            <w:hideMark/>
          </w:tcPr>
          <w:p w14:paraId="3124AB8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18.8</w:t>
            </w:r>
          </w:p>
        </w:tc>
        <w:tc>
          <w:tcPr>
            <w:tcW w:w="899" w:type="dxa"/>
            <w:tcBorders>
              <w:top w:val="nil"/>
              <w:left w:val="nil"/>
              <w:bottom w:val="single" w:sz="4" w:space="0" w:color="auto"/>
              <w:right w:val="single" w:sz="4" w:space="0" w:color="auto"/>
            </w:tcBorders>
            <w:shd w:val="clear" w:color="auto" w:fill="auto"/>
            <w:noWrap/>
            <w:vAlign w:val="bottom"/>
            <w:hideMark/>
          </w:tcPr>
          <w:p w14:paraId="66D66A0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19.2</w:t>
            </w:r>
          </w:p>
        </w:tc>
        <w:tc>
          <w:tcPr>
            <w:tcW w:w="899" w:type="dxa"/>
            <w:tcBorders>
              <w:top w:val="nil"/>
              <w:left w:val="nil"/>
              <w:bottom w:val="single" w:sz="4" w:space="0" w:color="auto"/>
              <w:right w:val="single" w:sz="4" w:space="0" w:color="auto"/>
            </w:tcBorders>
            <w:shd w:val="clear" w:color="auto" w:fill="auto"/>
            <w:noWrap/>
            <w:vAlign w:val="bottom"/>
            <w:hideMark/>
          </w:tcPr>
          <w:p w14:paraId="4AADBF7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19.4</w:t>
            </w:r>
          </w:p>
        </w:tc>
        <w:tc>
          <w:tcPr>
            <w:tcW w:w="899" w:type="dxa"/>
            <w:tcBorders>
              <w:top w:val="nil"/>
              <w:left w:val="nil"/>
              <w:bottom w:val="single" w:sz="4" w:space="0" w:color="auto"/>
              <w:right w:val="single" w:sz="4" w:space="0" w:color="auto"/>
            </w:tcBorders>
            <w:shd w:val="clear" w:color="auto" w:fill="auto"/>
            <w:noWrap/>
            <w:vAlign w:val="bottom"/>
            <w:hideMark/>
          </w:tcPr>
          <w:p w14:paraId="06982CC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17.5</w:t>
            </w:r>
          </w:p>
        </w:tc>
        <w:tc>
          <w:tcPr>
            <w:tcW w:w="899" w:type="dxa"/>
            <w:tcBorders>
              <w:top w:val="nil"/>
              <w:left w:val="nil"/>
              <w:bottom w:val="single" w:sz="4" w:space="0" w:color="auto"/>
              <w:right w:val="single" w:sz="4" w:space="0" w:color="auto"/>
            </w:tcBorders>
            <w:shd w:val="clear" w:color="auto" w:fill="auto"/>
            <w:noWrap/>
            <w:vAlign w:val="bottom"/>
            <w:hideMark/>
          </w:tcPr>
          <w:p w14:paraId="16FA864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23FDAC7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13.4</w:t>
            </w:r>
          </w:p>
        </w:tc>
        <w:tc>
          <w:tcPr>
            <w:tcW w:w="899" w:type="dxa"/>
            <w:tcBorders>
              <w:top w:val="nil"/>
              <w:left w:val="nil"/>
              <w:bottom w:val="single" w:sz="4" w:space="0" w:color="auto"/>
              <w:right w:val="single" w:sz="4" w:space="0" w:color="auto"/>
            </w:tcBorders>
            <w:shd w:val="clear" w:color="auto" w:fill="auto"/>
            <w:noWrap/>
            <w:vAlign w:val="bottom"/>
            <w:hideMark/>
          </w:tcPr>
          <w:p w14:paraId="55CEB2F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13.9</w:t>
            </w:r>
          </w:p>
        </w:tc>
        <w:tc>
          <w:tcPr>
            <w:tcW w:w="899" w:type="dxa"/>
            <w:tcBorders>
              <w:top w:val="nil"/>
              <w:left w:val="nil"/>
              <w:bottom w:val="single" w:sz="4" w:space="0" w:color="auto"/>
              <w:right w:val="single" w:sz="4" w:space="0" w:color="auto"/>
            </w:tcBorders>
            <w:shd w:val="clear" w:color="auto" w:fill="auto"/>
            <w:noWrap/>
            <w:vAlign w:val="bottom"/>
            <w:hideMark/>
          </w:tcPr>
          <w:p w14:paraId="75B5789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13.9</w:t>
            </w:r>
          </w:p>
        </w:tc>
        <w:tc>
          <w:tcPr>
            <w:tcW w:w="900" w:type="dxa"/>
            <w:tcBorders>
              <w:top w:val="nil"/>
              <w:left w:val="nil"/>
              <w:bottom w:val="single" w:sz="4" w:space="0" w:color="auto"/>
              <w:right w:val="single" w:sz="4" w:space="0" w:color="auto"/>
            </w:tcBorders>
            <w:shd w:val="clear" w:color="auto" w:fill="auto"/>
            <w:noWrap/>
            <w:vAlign w:val="bottom"/>
            <w:hideMark/>
          </w:tcPr>
          <w:p w14:paraId="4DE0FDA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13.6</w:t>
            </w:r>
          </w:p>
        </w:tc>
      </w:tr>
      <w:tr w:rsidR="00240506" w:rsidRPr="00650EE4" w14:paraId="7AC0C90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3F2AD9F"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Vokietija</w:t>
            </w:r>
          </w:p>
        </w:tc>
        <w:tc>
          <w:tcPr>
            <w:tcW w:w="899" w:type="dxa"/>
            <w:tcBorders>
              <w:top w:val="nil"/>
              <w:left w:val="nil"/>
              <w:bottom w:val="single" w:sz="4" w:space="0" w:color="auto"/>
              <w:right w:val="single" w:sz="4" w:space="0" w:color="auto"/>
            </w:tcBorders>
            <w:shd w:val="clear" w:color="auto" w:fill="auto"/>
            <w:noWrap/>
            <w:vAlign w:val="bottom"/>
            <w:hideMark/>
          </w:tcPr>
          <w:p w14:paraId="7FFB8ED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13.3</w:t>
            </w:r>
          </w:p>
        </w:tc>
        <w:tc>
          <w:tcPr>
            <w:tcW w:w="899" w:type="dxa"/>
            <w:tcBorders>
              <w:top w:val="nil"/>
              <w:left w:val="nil"/>
              <w:bottom w:val="single" w:sz="4" w:space="0" w:color="auto"/>
              <w:right w:val="single" w:sz="4" w:space="0" w:color="auto"/>
            </w:tcBorders>
            <w:shd w:val="clear" w:color="auto" w:fill="auto"/>
            <w:noWrap/>
            <w:vAlign w:val="bottom"/>
            <w:hideMark/>
          </w:tcPr>
          <w:p w14:paraId="70A3C56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13.7</w:t>
            </w:r>
          </w:p>
        </w:tc>
        <w:tc>
          <w:tcPr>
            <w:tcW w:w="899" w:type="dxa"/>
            <w:tcBorders>
              <w:top w:val="nil"/>
              <w:left w:val="nil"/>
              <w:bottom w:val="single" w:sz="4" w:space="0" w:color="auto"/>
              <w:right w:val="single" w:sz="4" w:space="0" w:color="auto"/>
            </w:tcBorders>
            <w:shd w:val="clear" w:color="auto" w:fill="auto"/>
            <w:noWrap/>
            <w:vAlign w:val="bottom"/>
            <w:hideMark/>
          </w:tcPr>
          <w:p w14:paraId="55D86D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13.5</w:t>
            </w:r>
          </w:p>
        </w:tc>
        <w:tc>
          <w:tcPr>
            <w:tcW w:w="899" w:type="dxa"/>
            <w:tcBorders>
              <w:top w:val="nil"/>
              <w:left w:val="nil"/>
              <w:bottom w:val="single" w:sz="4" w:space="0" w:color="auto"/>
              <w:right w:val="single" w:sz="4" w:space="0" w:color="auto"/>
            </w:tcBorders>
            <w:shd w:val="clear" w:color="auto" w:fill="auto"/>
            <w:noWrap/>
            <w:vAlign w:val="bottom"/>
            <w:hideMark/>
          </w:tcPr>
          <w:p w14:paraId="6AF7A2F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13.1</w:t>
            </w:r>
          </w:p>
        </w:tc>
        <w:tc>
          <w:tcPr>
            <w:tcW w:w="899" w:type="dxa"/>
            <w:tcBorders>
              <w:top w:val="nil"/>
              <w:left w:val="nil"/>
              <w:bottom w:val="single" w:sz="4" w:space="0" w:color="auto"/>
              <w:right w:val="single" w:sz="4" w:space="0" w:color="auto"/>
            </w:tcBorders>
            <w:shd w:val="clear" w:color="auto" w:fill="auto"/>
            <w:noWrap/>
            <w:vAlign w:val="bottom"/>
            <w:hideMark/>
          </w:tcPr>
          <w:p w14:paraId="393492E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12.3</w:t>
            </w:r>
          </w:p>
        </w:tc>
        <w:tc>
          <w:tcPr>
            <w:tcW w:w="899" w:type="dxa"/>
            <w:tcBorders>
              <w:top w:val="nil"/>
              <w:left w:val="nil"/>
              <w:bottom w:val="single" w:sz="4" w:space="0" w:color="auto"/>
              <w:right w:val="single" w:sz="4" w:space="0" w:color="auto"/>
            </w:tcBorders>
            <w:shd w:val="clear" w:color="auto" w:fill="auto"/>
            <w:noWrap/>
            <w:vAlign w:val="bottom"/>
            <w:hideMark/>
          </w:tcPr>
          <w:p w14:paraId="30F3D35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14FEEE3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13.1</w:t>
            </w:r>
          </w:p>
        </w:tc>
        <w:tc>
          <w:tcPr>
            <w:tcW w:w="899" w:type="dxa"/>
            <w:tcBorders>
              <w:top w:val="nil"/>
              <w:left w:val="nil"/>
              <w:bottom w:val="single" w:sz="4" w:space="0" w:color="auto"/>
              <w:right w:val="single" w:sz="4" w:space="0" w:color="auto"/>
            </w:tcBorders>
            <w:shd w:val="clear" w:color="auto" w:fill="auto"/>
            <w:noWrap/>
            <w:vAlign w:val="bottom"/>
            <w:hideMark/>
          </w:tcPr>
          <w:p w14:paraId="1305B6B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12.5</w:t>
            </w:r>
          </w:p>
        </w:tc>
        <w:tc>
          <w:tcPr>
            <w:tcW w:w="900" w:type="dxa"/>
            <w:tcBorders>
              <w:top w:val="nil"/>
              <w:left w:val="nil"/>
              <w:bottom w:val="single" w:sz="4" w:space="0" w:color="auto"/>
              <w:right w:val="single" w:sz="4" w:space="0" w:color="auto"/>
            </w:tcBorders>
            <w:shd w:val="clear" w:color="auto" w:fill="auto"/>
            <w:noWrap/>
            <w:vAlign w:val="bottom"/>
            <w:hideMark/>
          </w:tcPr>
          <w:p w14:paraId="5D3FFC5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13.4</w:t>
            </w:r>
          </w:p>
        </w:tc>
      </w:tr>
      <w:tr w:rsidR="00240506" w:rsidRPr="00650EE4" w14:paraId="0AB7C53C"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EE1F6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Italija</w:t>
            </w:r>
          </w:p>
        </w:tc>
        <w:tc>
          <w:tcPr>
            <w:tcW w:w="899" w:type="dxa"/>
            <w:tcBorders>
              <w:top w:val="nil"/>
              <w:left w:val="nil"/>
              <w:bottom w:val="single" w:sz="4" w:space="0" w:color="auto"/>
              <w:right w:val="single" w:sz="4" w:space="0" w:color="auto"/>
            </w:tcBorders>
            <w:shd w:val="clear" w:color="auto" w:fill="auto"/>
            <w:noWrap/>
            <w:vAlign w:val="bottom"/>
            <w:hideMark/>
          </w:tcPr>
          <w:p w14:paraId="5A37EC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20.5</w:t>
            </w:r>
          </w:p>
        </w:tc>
        <w:tc>
          <w:tcPr>
            <w:tcW w:w="899" w:type="dxa"/>
            <w:tcBorders>
              <w:top w:val="nil"/>
              <w:left w:val="nil"/>
              <w:bottom w:val="single" w:sz="4" w:space="0" w:color="auto"/>
              <w:right w:val="single" w:sz="4" w:space="0" w:color="auto"/>
            </w:tcBorders>
            <w:shd w:val="clear" w:color="auto" w:fill="auto"/>
            <w:noWrap/>
            <w:vAlign w:val="bottom"/>
            <w:hideMark/>
          </w:tcPr>
          <w:p w14:paraId="2E82EB1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23.4</w:t>
            </w:r>
          </w:p>
        </w:tc>
        <w:tc>
          <w:tcPr>
            <w:tcW w:w="899" w:type="dxa"/>
            <w:tcBorders>
              <w:top w:val="nil"/>
              <w:left w:val="nil"/>
              <w:bottom w:val="single" w:sz="4" w:space="0" w:color="auto"/>
              <w:right w:val="single" w:sz="4" w:space="0" w:color="auto"/>
            </w:tcBorders>
            <w:shd w:val="clear" w:color="auto" w:fill="auto"/>
            <w:noWrap/>
            <w:vAlign w:val="bottom"/>
            <w:hideMark/>
          </w:tcPr>
          <w:p w14:paraId="6F8129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21.4</w:t>
            </w:r>
          </w:p>
        </w:tc>
        <w:tc>
          <w:tcPr>
            <w:tcW w:w="899" w:type="dxa"/>
            <w:tcBorders>
              <w:top w:val="nil"/>
              <w:left w:val="nil"/>
              <w:bottom w:val="single" w:sz="4" w:space="0" w:color="auto"/>
              <w:right w:val="single" w:sz="4" w:space="0" w:color="auto"/>
            </w:tcBorders>
            <w:shd w:val="clear" w:color="auto" w:fill="auto"/>
            <w:noWrap/>
            <w:vAlign w:val="bottom"/>
            <w:hideMark/>
          </w:tcPr>
          <w:p w14:paraId="49300E0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22.9</w:t>
            </w:r>
          </w:p>
        </w:tc>
        <w:tc>
          <w:tcPr>
            <w:tcW w:w="899" w:type="dxa"/>
            <w:tcBorders>
              <w:top w:val="nil"/>
              <w:left w:val="nil"/>
              <w:bottom w:val="single" w:sz="4" w:space="0" w:color="auto"/>
              <w:right w:val="single" w:sz="4" w:space="0" w:color="auto"/>
            </w:tcBorders>
            <w:shd w:val="clear" w:color="auto" w:fill="auto"/>
            <w:noWrap/>
            <w:vAlign w:val="bottom"/>
            <w:hideMark/>
          </w:tcPr>
          <w:p w14:paraId="5397F1D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w:t>
            </w:r>
          </w:p>
        </w:tc>
        <w:tc>
          <w:tcPr>
            <w:tcW w:w="899" w:type="dxa"/>
            <w:tcBorders>
              <w:top w:val="nil"/>
              <w:left w:val="nil"/>
              <w:bottom w:val="single" w:sz="4" w:space="0" w:color="auto"/>
              <w:right w:val="single" w:sz="4" w:space="0" w:color="auto"/>
            </w:tcBorders>
            <w:shd w:val="clear" w:color="auto" w:fill="auto"/>
            <w:noWrap/>
            <w:vAlign w:val="bottom"/>
            <w:hideMark/>
          </w:tcPr>
          <w:p w14:paraId="0725E59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24.1</w:t>
            </w:r>
          </w:p>
        </w:tc>
        <w:tc>
          <w:tcPr>
            <w:tcW w:w="899" w:type="dxa"/>
            <w:tcBorders>
              <w:top w:val="nil"/>
              <w:left w:val="nil"/>
              <w:bottom w:val="single" w:sz="4" w:space="0" w:color="auto"/>
              <w:right w:val="single" w:sz="4" w:space="0" w:color="auto"/>
            </w:tcBorders>
            <w:shd w:val="clear" w:color="auto" w:fill="auto"/>
            <w:noWrap/>
            <w:vAlign w:val="bottom"/>
            <w:hideMark/>
          </w:tcPr>
          <w:p w14:paraId="53E621A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w:t>
            </w:r>
          </w:p>
        </w:tc>
        <w:tc>
          <w:tcPr>
            <w:tcW w:w="899" w:type="dxa"/>
            <w:tcBorders>
              <w:top w:val="nil"/>
              <w:left w:val="nil"/>
              <w:bottom w:val="single" w:sz="4" w:space="0" w:color="auto"/>
              <w:right w:val="single" w:sz="4" w:space="0" w:color="auto"/>
            </w:tcBorders>
            <w:shd w:val="clear" w:color="auto" w:fill="auto"/>
            <w:noWrap/>
            <w:vAlign w:val="bottom"/>
            <w:hideMark/>
          </w:tcPr>
          <w:p w14:paraId="3EA511C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16.1</w:t>
            </w:r>
          </w:p>
        </w:tc>
        <w:tc>
          <w:tcPr>
            <w:tcW w:w="900" w:type="dxa"/>
            <w:tcBorders>
              <w:top w:val="nil"/>
              <w:left w:val="nil"/>
              <w:bottom w:val="single" w:sz="4" w:space="0" w:color="auto"/>
              <w:right w:val="single" w:sz="4" w:space="0" w:color="auto"/>
            </w:tcBorders>
            <w:shd w:val="clear" w:color="auto" w:fill="auto"/>
            <w:noWrap/>
            <w:vAlign w:val="bottom"/>
            <w:hideMark/>
          </w:tcPr>
          <w:p w14:paraId="5DA7D58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13.2</w:t>
            </w:r>
          </w:p>
        </w:tc>
      </w:tr>
      <w:tr w:rsidR="00240506" w:rsidRPr="00650EE4" w14:paraId="14C152F4"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1647D1"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Bulgarija</w:t>
            </w:r>
          </w:p>
        </w:tc>
        <w:tc>
          <w:tcPr>
            <w:tcW w:w="899" w:type="dxa"/>
            <w:tcBorders>
              <w:top w:val="nil"/>
              <w:left w:val="nil"/>
              <w:bottom w:val="single" w:sz="4" w:space="0" w:color="auto"/>
              <w:right w:val="single" w:sz="4" w:space="0" w:color="auto"/>
            </w:tcBorders>
            <w:shd w:val="clear" w:color="auto" w:fill="auto"/>
            <w:noWrap/>
            <w:vAlign w:val="bottom"/>
            <w:hideMark/>
          </w:tcPr>
          <w:p w14:paraId="3CCDFF8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15.4</w:t>
            </w:r>
          </w:p>
        </w:tc>
        <w:tc>
          <w:tcPr>
            <w:tcW w:w="899" w:type="dxa"/>
            <w:tcBorders>
              <w:top w:val="nil"/>
              <w:left w:val="nil"/>
              <w:bottom w:val="single" w:sz="4" w:space="0" w:color="auto"/>
              <w:right w:val="single" w:sz="4" w:space="0" w:color="auto"/>
            </w:tcBorders>
            <w:shd w:val="clear" w:color="auto" w:fill="auto"/>
            <w:noWrap/>
            <w:vAlign w:val="bottom"/>
            <w:hideMark/>
          </w:tcPr>
          <w:p w14:paraId="45D0DF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14.9</w:t>
            </w:r>
          </w:p>
        </w:tc>
        <w:tc>
          <w:tcPr>
            <w:tcW w:w="899" w:type="dxa"/>
            <w:tcBorders>
              <w:top w:val="nil"/>
              <w:left w:val="nil"/>
              <w:bottom w:val="single" w:sz="4" w:space="0" w:color="auto"/>
              <w:right w:val="single" w:sz="4" w:space="0" w:color="auto"/>
            </w:tcBorders>
            <w:shd w:val="clear" w:color="auto" w:fill="auto"/>
            <w:noWrap/>
            <w:vAlign w:val="bottom"/>
            <w:hideMark/>
          </w:tcPr>
          <w:p w14:paraId="792465F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13.8</w:t>
            </w:r>
          </w:p>
        </w:tc>
        <w:tc>
          <w:tcPr>
            <w:tcW w:w="899" w:type="dxa"/>
            <w:tcBorders>
              <w:top w:val="nil"/>
              <w:left w:val="nil"/>
              <w:bottom w:val="single" w:sz="4" w:space="0" w:color="auto"/>
              <w:right w:val="single" w:sz="4" w:space="0" w:color="auto"/>
            </w:tcBorders>
            <w:shd w:val="clear" w:color="auto" w:fill="auto"/>
            <w:noWrap/>
            <w:vAlign w:val="bottom"/>
            <w:hideMark/>
          </w:tcPr>
          <w:p w14:paraId="0468D52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12.9</w:t>
            </w:r>
          </w:p>
        </w:tc>
        <w:tc>
          <w:tcPr>
            <w:tcW w:w="899" w:type="dxa"/>
            <w:tcBorders>
              <w:top w:val="nil"/>
              <w:left w:val="nil"/>
              <w:bottom w:val="single" w:sz="4" w:space="0" w:color="auto"/>
              <w:right w:val="single" w:sz="4" w:space="0" w:color="auto"/>
            </w:tcBorders>
            <w:shd w:val="clear" w:color="auto" w:fill="auto"/>
            <w:noWrap/>
            <w:vAlign w:val="bottom"/>
            <w:hideMark/>
          </w:tcPr>
          <w:p w14:paraId="44C60EF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13.2</w:t>
            </w:r>
          </w:p>
        </w:tc>
        <w:tc>
          <w:tcPr>
            <w:tcW w:w="899" w:type="dxa"/>
            <w:tcBorders>
              <w:top w:val="nil"/>
              <w:left w:val="nil"/>
              <w:bottom w:val="single" w:sz="4" w:space="0" w:color="auto"/>
              <w:right w:val="single" w:sz="4" w:space="0" w:color="auto"/>
            </w:tcBorders>
            <w:shd w:val="clear" w:color="auto" w:fill="auto"/>
            <w:noWrap/>
            <w:vAlign w:val="bottom"/>
            <w:hideMark/>
          </w:tcPr>
          <w:p w14:paraId="7D38CC6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12.9</w:t>
            </w:r>
          </w:p>
        </w:tc>
        <w:tc>
          <w:tcPr>
            <w:tcW w:w="899" w:type="dxa"/>
            <w:tcBorders>
              <w:top w:val="nil"/>
              <w:left w:val="nil"/>
              <w:bottom w:val="single" w:sz="4" w:space="0" w:color="auto"/>
              <w:right w:val="single" w:sz="4" w:space="0" w:color="auto"/>
            </w:tcBorders>
            <w:shd w:val="clear" w:color="auto" w:fill="auto"/>
            <w:noWrap/>
            <w:vAlign w:val="bottom"/>
            <w:hideMark/>
          </w:tcPr>
          <w:p w14:paraId="07059D5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12.3</w:t>
            </w:r>
          </w:p>
        </w:tc>
        <w:tc>
          <w:tcPr>
            <w:tcW w:w="899" w:type="dxa"/>
            <w:tcBorders>
              <w:top w:val="nil"/>
              <w:left w:val="nil"/>
              <w:bottom w:val="single" w:sz="4" w:space="0" w:color="auto"/>
              <w:right w:val="single" w:sz="4" w:space="0" w:color="auto"/>
            </w:tcBorders>
            <w:shd w:val="clear" w:color="auto" w:fill="auto"/>
            <w:noWrap/>
            <w:vAlign w:val="bottom"/>
            <w:hideMark/>
          </w:tcPr>
          <w:p w14:paraId="7D723F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12.2</w:t>
            </w:r>
          </w:p>
        </w:tc>
        <w:tc>
          <w:tcPr>
            <w:tcW w:w="900" w:type="dxa"/>
            <w:tcBorders>
              <w:top w:val="nil"/>
              <w:left w:val="nil"/>
              <w:bottom w:val="single" w:sz="4" w:space="0" w:color="auto"/>
              <w:right w:val="single" w:sz="4" w:space="0" w:color="auto"/>
            </w:tcBorders>
            <w:shd w:val="clear" w:color="auto" w:fill="auto"/>
            <w:noWrap/>
            <w:vAlign w:val="bottom"/>
            <w:hideMark/>
          </w:tcPr>
          <w:p w14:paraId="2305134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w:t>
            </w:r>
          </w:p>
        </w:tc>
      </w:tr>
      <w:tr w:rsidR="00240506" w:rsidRPr="00650EE4" w14:paraId="2BFE4DF7"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980B0B"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Graikija</w:t>
            </w:r>
          </w:p>
        </w:tc>
        <w:tc>
          <w:tcPr>
            <w:tcW w:w="899" w:type="dxa"/>
            <w:tcBorders>
              <w:top w:val="nil"/>
              <w:left w:val="nil"/>
              <w:bottom w:val="single" w:sz="4" w:space="0" w:color="auto"/>
              <w:right w:val="single" w:sz="4" w:space="0" w:color="auto"/>
            </w:tcBorders>
            <w:shd w:val="clear" w:color="auto" w:fill="auto"/>
            <w:noWrap/>
            <w:vAlign w:val="bottom"/>
            <w:hideMark/>
          </w:tcPr>
          <w:p w14:paraId="7EEC8B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17.1</w:t>
            </w:r>
          </w:p>
        </w:tc>
        <w:tc>
          <w:tcPr>
            <w:tcW w:w="899" w:type="dxa"/>
            <w:tcBorders>
              <w:top w:val="nil"/>
              <w:left w:val="nil"/>
              <w:bottom w:val="single" w:sz="4" w:space="0" w:color="auto"/>
              <w:right w:val="single" w:sz="4" w:space="0" w:color="auto"/>
            </w:tcBorders>
            <w:shd w:val="clear" w:color="auto" w:fill="auto"/>
            <w:noWrap/>
            <w:vAlign w:val="bottom"/>
            <w:hideMark/>
          </w:tcPr>
          <w:p w14:paraId="53BED2E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15.3</w:t>
            </w:r>
          </w:p>
        </w:tc>
        <w:tc>
          <w:tcPr>
            <w:tcW w:w="899" w:type="dxa"/>
            <w:tcBorders>
              <w:top w:val="nil"/>
              <w:left w:val="nil"/>
              <w:bottom w:val="single" w:sz="4" w:space="0" w:color="auto"/>
              <w:right w:val="single" w:sz="4" w:space="0" w:color="auto"/>
            </w:tcBorders>
            <w:shd w:val="clear" w:color="auto" w:fill="auto"/>
            <w:noWrap/>
            <w:vAlign w:val="bottom"/>
            <w:hideMark/>
          </w:tcPr>
          <w:p w14:paraId="5AAE19D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14.7</w:t>
            </w:r>
          </w:p>
        </w:tc>
        <w:tc>
          <w:tcPr>
            <w:tcW w:w="899" w:type="dxa"/>
            <w:tcBorders>
              <w:top w:val="nil"/>
              <w:left w:val="nil"/>
              <w:bottom w:val="single" w:sz="4" w:space="0" w:color="auto"/>
              <w:right w:val="single" w:sz="4" w:space="0" w:color="auto"/>
            </w:tcBorders>
            <w:shd w:val="clear" w:color="auto" w:fill="auto"/>
            <w:noWrap/>
            <w:vAlign w:val="bottom"/>
            <w:hideMark/>
          </w:tcPr>
          <w:p w14:paraId="6423690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w:t>
            </w:r>
          </w:p>
        </w:tc>
        <w:tc>
          <w:tcPr>
            <w:tcW w:w="899" w:type="dxa"/>
            <w:tcBorders>
              <w:top w:val="nil"/>
              <w:left w:val="nil"/>
              <w:bottom w:val="single" w:sz="4" w:space="0" w:color="auto"/>
              <w:right w:val="single" w:sz="4" w:space="0" w:color="auto"/>
            </w:tcBorders>
            <w:shd w:val="clear" w:color="auto" w:fill="auto"/>
            <w:noWrap/>
            <w:vAlign w:val="bottom"/>
            <w:hideMark/>
          </w:tcPr>
          <w:p w14:paraId="3D82579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13.7</w:t>
            </w:r>
          </w:p>
        </w:tc>
        <w:tc>
          <w:tcPr>
            <w:tcW w:w="899" w:type="dxa"/>
            <w:tcBorders>
              <w:top w:val="nil"/>
              <w:left w:val="nil"/>
              <w:bottom w:val="single" w:sz="4" w:space="0" w:color="auto"/>
              <w:right w:val="single" w:sz="4" w:space="0" w:color="auto"/>
            </w:tcBorders>
            <w:shd w:val="clear" w:color="auto" w:fill="auto"/>
            <w:noWrap/>
            <w:vAlign w:val="bottom"/>
            <w:hideMark/>
          </w:tcPr>
          <w:p w14:paraId="4C6802D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15.1</w:t>
            </w:r>
          </w:p>
        </w:tc>
        <w:tc>
          <w:tcPr>
            <w:tcW w:w="899" w:type="dxa"/>
            <w:tcBorders>
              <w:top w:val="nil"/>
              <w:left w:val="nil"/>
              <w:bottom w:val="single" w:sz="4" w:space="0" w:color="auto"/>
              <w:right w:val="single" w:sz="4" w:space="0" w:color="auto"/>
            </w:tcBorders>
            <w:shd w:val="clear" w:color="auto" w:fill="auto"/>
            <w:noWrap/>
            <w:vAlign w:val="bottom"/>
            <w:hideMark/>
          </w:tcPr>
          <w:p w14:paraId="4D41E60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14.7</w:t>
            </w:r>
          </w:p>
        </w:tc>
        <w:tc>
          <w:tcPr>
            <w:tcW w:w="899" w:type="dxa"/>
            <w:tcBorders>
              <w:top w:val="nil"/>
              <w:left w:val="nil"/>
              <w:bottom w:val="single" w:sz="4" w:space="0" w:color="auto"/>
              <w:right w:val="single" w:sz="4" w:space="0" w:color="auto"/>
            </w:tcBorders>
            <w:shd w:val="clear" w:color="auto" w:fill="auto"/>
            <w:noWrap/>
            <w:vAlign w:val="bottom"/>
            <w:hideMark/>
          </w:tcPr>
          <w:p w14:paraId="7422279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13.5</w:t>
            </w:r>
          </w:p>
        </w:tc>
        <w:tc>
          <w:tcPr>
            <w:tcW w:w="900" w:type="dxa"/>
            <w:tcBorders>
              <w:top w:val="nil"/>
              <w:left w:val="nil"/>
              <w:bottom w:val="single" w:sz="4" w:space="0" w:color="auto"/>
              <w:right w:val="single" w:sz="4" w:space="0" w:color="auto"/>
            </w:tcBorders>
            <w:shd w:val="clear" w:color="auto" w:fill="auto"/>
            <w:noWrap/>
            <w:vAlign w:val="bottom"/>
            <w:hideMark/>
          </w:tcPr>
          <w:p w14:paraId="5D5549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12.9</w:t>
            </w:r>
          </w:p>
        </w:tc>
      </w:tr>
      <w:tr w:rsidR="00240506" w:rsidRPr="00650EE4" w14:paraId="64509762"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601D18C"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Prancūzija</w:t>
            </w:r>
          </w:p>
        </w:tc>
        <w:tc>
          <w:tcPr>
            <w:tcW w:w="899" w:type="dxa"/>
            <w:tcBorders>
              <w:top w:val="nil"/>
              <w:left w:val="nil"/>
              <w:bottom w:val="single" w:sz="4" w:space="0" w:color="auto"/>
              <w:right w:val="single" w:sz="4" w:space="0" w:color="auto"/>
            </w:tcBorders>
            <w:shd w:val="clear" w:color="auto" w:fill="auto"/>
            <w:noWrap/>
            <w:vAlign w:val="bottom"/>
            <w:hideMark/>
          </w:tcPr>
          <w:p w14:paraId="1ED0D96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12.5</w:t>
            </w:r>
          </w:p>
        </w:tc>
        <w:tc>
          <w:tcPr>
            <w:tcW w:w="899" w:type="dxa"/>
            <w:tcBorders>
              <w:top w:val="nil"/>
              <w:left w:val="nil"/>
              <w:bottom w:val="single" w:sz="4" w:space="0" w:color="auto"/>
              <w:right w:val="single" w:sz="4" w:space="0" w:color="auto"/>
            </w:tcBorders>
            <w:shd w:val="clear" w:color="auto" w:fill="auto"/>
            <w:noWrap/>
            <w:vAlign w:val="bottom"/>
            <w:hideMark/>
          </w:tcPr>
          <w:p w14:paraId="4D3018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10.9</w:t>
            </w:r>
          </w:p>
        </w:tc>
        <w:tc>
          <w:tcPr>
            <w:tcW w:w="899" w:type="dxa"/>
            <w:tcBorders>
              <w:top w:val="nil"/>
              <w:left w:val="nil"/>
              <w:bottom w:val="single" w:sz="4" w:space="0" w:color="auto"/>
              <w:right w:val="single" w:sz="4" w:space="0" w:color="auto"/>
            </w:tcBorders>
            <w:shd w:val="clear" w:color="auto" w:fill="auto"/>
            <w:noWrap/>
            <w:vAlign w:val="bottom"/>
            <w:hideMark/>
          </w:tcPr>
          <w:p w14:paraId="49357E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2450DC2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4D1B4F7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13.4</w:t>
            </w:r>
          </w:p>
        </w:tc>
        <w:tc>
          <w:tcPr>
            <w:tcW w:w="899" w:type="dxa"/>
            <w:tcBorders>
              <w:top w:val="nil"/>
              <w:left w:val="nil"/>
              <w:bottom w:val="single" w:sz="4" w:space="0" w:color="auto"/>
              <w:right w:val="single" w:sz="4" w:space="0" w:color="auto"/>
            </w:tcBorders>
            <w:shd w:val="clear" w:color="auto" w:fill="auto"/>
            <w:noWrap/>
            <w:vAlign w:val="bottom"/>
            <w:hideMark/>
          </w:tcPr>
          <w:p w14:paraId="2BC3522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12.6</w:t>
            </w:r>
          </w:p>
        </w:tc>
        <w:tc>
          <w:tcPr>
            <w:tcW w:w="899" w:type="dxa"/>
            <w:tcBorders>
              <w:top w:val="nil"/>
              <w:left w:val="nil"/>
              <w:bottom w:val="single" w:sz="4" w:space="0" w:color="auto"/>
              <w:right w:val="single" w:sz="4" w:space="0" w:color="auto"/>
            </w:tcBorders>
            <w:shd w:val="clear" w:color="auto" w:fill="auto"/>
            <w:noWrap/>
            <w:vAlign w:val="bottom"/>
            <w:hideMark/>
          </w:tcPr>
          <w:p w14:paraId="7F33938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w:t>
            </w:r>
          </w:p>
        </w:tc>
        <w:tc>
          <w:tcPr>
            <w:tcW w:w="899" w:type="dxa"/>
            <w:tcBorders>
              <w:top w:val="nil"/>
              <w:left w:val="nil"/>
              <w:bottom w:val="single" w:sz="4" w:space="0" w:color="auto"/>
              <w:right w:val="single" w:sz="4" w:space="0" w:color="auto"/>
            </w:tcBorders>
            <w:shd w:val="clear" w:color="auto" w:fill="auto"/>
            <w:noWrap/>
            <w:vAlign w:val="bottom"/>
            <w:hideMark/>
          </w:tcPr>
          <w:p w14:paraId="78AFC1C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11.1</w:t>
            </w:r>
          </w:p>
        </w:tc>
        <w:tc>
          <w:tcPr>
            <w:tcW w:w="900" w:type="dxa"/>
            <w:tcBorders>
              <w:top w:val="nil"/>
              <w:left w:val="nil"/>
              <w:bottom w:val="single" w:sz="4" w:space="0" w:color="auto"/>
              <w:right w:val="single" w:sz="4" w:space="0" w:color="auto"/>
            </w:tcBorders>
            <w:shd w:val="clear" w:color="auto" w:fill="auto"/>
            <w:noWrap/>
            <w:vAlign w:val="bottom"/>
            <w:hideMark/>
          </w:tcPr>
          <w:p w14:paraId="09AA461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12.7</w:t>
            </w:r>
          </w:p>
        </w:tc>
      </w:tr>
      <w:tr w:rsidR="00240506" w:rsidRPr="00650EE4" w14:paraId="75DAAF7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CC6412"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Airija</w:t>
            </w:r>
          </w:p>
        </w:tc>
        <w:tc>
          <w:tcPr>
            <w:tcW w:w="899" w:type="dxa"/>
            <w:tcBorders>
              <w:top w:val="nil"/>
              <w:left w:val="nil"/>
              <w:bottom w:val="single" w:sz="4" w:space="0" w:color="auto"/>
              <w:right w:val="single" w:sz="4" w:space="0" w:color="auto"/>
            </w:tcBorders>
            <w:shd w:val="clear" w:color="auto" w:fill="auto"/>
            <w:noWrap/>
            <w:vAlign w:val="bottom"/>
            <w:hideMark/>
          </w:tcPr>
          <w:p w14:paraId="7627B55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12.6</w:t>
            </w:r>
          </w:p>
        </w:tc>
        <w:tc>
          <w:tcPr>
            <w:tcW w:w="899" w:type="dxa"/>
            <w:tcBorders>
              <w:top w:val="nil"/>
              <w:left w:val="nil"/>
              <w:bottom w:val="single" w:sz="4" w:space="0" w:color="auto"/>
              <w:right w:val="single" w:sz="4" w:space="0" w:color="auto"/>
            </w:tcBorders>
            <w:shd w:val="clear" w:color="auto" w:fill="auto"/>
            <w:noWrap/>
            <w:vAlign w:val="bottom"/>
            <w:hideMark/>
          </w:tcPr>
          <w:p w14:paraId="6C65C52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11.1</w:t>
            </w:r>
          </w:p>
        </w:tc>
        <w:tc>
          <w:tcPr>
            <w:tcW w:w="899" w:type="dxa"/>
            <w:tcBorders>
              <w:top w:val="nil"/>
              <w:left w:val="nil"/>
              <w:bottom w:val="single" w:sz="4" w:space="0" w:color="auto"/>
              <w:right w:val="single" w:sz="4" w:space="0" w:color="auto"/>
            </w:tcBorders>
            <w:shd w:val="clear" w:color="auto" w:fill="auto"/>
            <w:noWrap/>
            <w:vAlign w:val="bottom"/>
            <w:hideMark/>
          </w:tcPr>
          <w:p w14:paraId="1748FFE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w:t>
            </w:r>
          </w:p>
        </w:tc>
        <w:tc>
          <w:tcPr>
            <w:tcW w:w="899" w:type="dxa"/>
            <w:tcBorders>
              <w:top w:val="nil"/>
              <w:left w:val="nil"/>
              <w:bottom w:val="single" w:sz="4" w:space="0" w:color="auto"/>
              <w:right w:val="single" w:sz="4" w:space="0" w:color="auto"/>
            </w:tcBorders>
            <w:shd w:val="clear" w:color="auto" w:fill="auto"/>
            <w:noWrap/>
            <w:vAlign w:val="bottom"/>
            <w:hideMark/>
          </w:tcPr>
          <w:p w14:paraId="668CE95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14.3</w:t>
            </w:r>
          </w:p>
        </w:tc>
        <w:tc>
          <w:tcPr>
            <w:tcW w:w="899" w:type="dxa"/>
            <w:tcBorders>
              <w:top w:val="nil"/>
              <w:left w:val="nil"/>
              <w:bottom w:val="single" w:sz="4" w:space="0" w:color="auto"/>
              <w:right w:val="single" w:sz="4" w:space="0" w:color="auto"/>
            </w:tcBorders>
            <w:shd w:val="clear" w:color="auto" w:fill="auto"/>
            <w:noWrap/>
            <w:vAlign w:val="bottom"/>
            <w:hideMark/>
          </w:tcPr>
          <w:p w14:paraId="46E0E54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14.5</w:t>
            </w:r>
          </w:p>
        </w:tc>
        <w:tc>
          <w:tcPr>
            <w:tcW w:w="899" w:type="dxa"/>
            <w:tcBorders>
              <w:top w:val="nil"/>
              <w:left w:val="nil"/>
              <w:bottom w:val="single" w:sz="4" w:space="0" w:color="auto"/>
              <w:right w:val="single" w:sz="4" w:space="0" w:color="auto"/>
            </w:tcBorders>
            <w:shd w:val="clear" w:color="auto" w:fill="auto"/>
            <w:noWrap/>
            <w:vAlign w:val="bottom"/>
            <w:hideMark/>
          </w:tcPr>
          <w:p w14:paraId="3CC8CED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13.6</w:t>
            </w:r>
          </w:p>
        </w:tc>
        <w:tc>
          <w:tcPr>
            <w:tcW w:w="899" w:type="dxa"/>
            <w:tcBorders>
              <w:top w:val="nil"/>
              <w:left w:val="nil"/>
              <w:bottom w:val="single" w:sz="4" w:space="0" w:color="auto"/>
              <w:right w:val="single" w:sz="4" w:space="0" w:color="auto"/>
            </w:tcBorders>
            <w:shd w:val="clear" w:color="auto" w:fill="auto"/>
            <w:noWrap/>
            <w:vAlign w:val="bottom"/>
            <w:hideMark/>
          </w:tcPr>
          <w:p w14:paraId="7EB456E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13.3</w:t>
            </w:r>
          </w:p>
        </w:tc>
        <w:tc>
          <w:tcPr>
            <w:tcW w:w="899" w:type="dxa"/>
            <w:tcBorders>
              <w:top w:val="nil"/>
              <w:left w:val="nil"/>
              <w:bottom w:val="single" w:sz="4" w:space="0" w:color="auto"/>
              <w:right w:val="single" w:sz="4" w:space="0" w:color="auto"/>
            </w:tcBorders>
            <w:shd w:val="clear" w:color="auto" w:fill="auto"/>
            <w:noWrap/>
            <w:vAlign w:val="bottom"/>
            <w:hideMark/>
          </w:tcPr>
          <w:p w14:paraId="6777210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12.6</w:t>
            </w:r>
          </w:p>
        </w:tc>
        <w:tc>
          <w:tcPr>
            <w:tcW w:w="900" w:type="dxa"/>
            <w:tcBorders>
              <w:top w:val="nil"/>
              <w:left w:val="nil"/>
              <w:bottom w:val="single" w:sz="4" w:space="0" w:color="auto"/>
              <w:right w:val="single" w:sz="4" w:space="0" w:color="auto"/>
            </w:tcBorders>
            <w:shd w:val="clear" w:color="auto" w:fill="auto"/>
            <w:noWrap/>
            <w:vAlign w:val="bottom"/>
            <w:hideMark/>
          </w:tcPr>
          <w:p w14:paraId="603BEC0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r>
      <w:tr w:rsidR="00240506" w:rsidRPr="00650EE4" w14:paraId="311D24C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8B64A4"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Lenkija</w:t>
            </w:r>
          </w:p>
        </w:tc>
        <w:tc>
          <w:tcPr>
            <w:tcW w:w="899" w:type="dxa"/>
            <w:tcBorders>
              <w:top w:val="nil"/>
              <w:left w:val="nil"/>
              <w:bottom w:val="single" w:sz="4" w:space="0" w:color="auto"/>
              <w:right w:val="single" w:sz="4" w:space="0" w:color="auto"/>
            </w:tcBorders>
            <w:shd w:val="clear" w:color="auto" w:fill="auto"/>
            <w:noWrap/>
            <w:vAlign w:val="bottom"/>
            <w:hideMark/>
          </w:tcPr>
          <w:p w14:paraId="3BA0C8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15.6</w:t>
            </w:r>
          </w:p>
        </w:tc>
        <w:tc>
          <w:tcPr>
            <w:tcW w:w="899" w:type="dxa"/>
            <w:tcBorders>
              <w:top w:val="nil"/>
              <w:left w:val="nil"/>
              <w:bottom w:val="single" w:sz="4" w:space="0" w:color="auto"/>
              <w:right w:val="single" w:sz="4" w:space="0" w:color="auto"/>
            </w:tcBorders>
            <w:shd w:val="clear" w:color="auto" w:fill="auto"/>
            <w:noWrap/>
            <w:vAlign w:val="bottom"/>
            <w:hideMark/>
          </w:tcPr>
          <w:p w14:paraId="2242AAD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11.5</w:t>
            </w:r>
          </w:p>
        </w:tc>
        <w:tc>
          <w:tcPr>
            <w:tcW w:w="899" w:type="dxa"/>
            <w:tcBorders>
              <w:top w:val="nil"/>
              <w:left w:val="nil"/>
              <w:bottom w:val="single" w:sz="4" w:space="0" w:color="auto"/>
              <w:right w:val="single" w:sz="4" w:space="0" w:color="auto"/>
            </w:tcBorders>
            <w:shd w:val="clear" w:color="auto" w:fill="auto"/>
            <w:noWrap/>
            <w:vAlign w:val="bottom"/>
            <w:hideMark/>
          </w:tcPr>
          <w:p w14:paraId="72A1F22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10.5</w:t>
            </w:r>
          </w:p>
        </w:tc>
        <w:tc>
          <w:tcPr>
            <w:tcW w:w="899" w:type="dxa"/>
            <w:tcBorders>
              <w:top w:val="nil"/>
              <w:left w:val="nil"/>
              <w:bottom w:val="single" w:sz="4" w:space="0" w:color="auto"/>
              <w:right w:val="single" w:sz="4" w:space="0" w:color="auto"/>
            </w:tcBorders>
            <w:shd w:val="clear" w:color="auto" w:fill="auto"/>
            <w:noWrap/>
            <w:vAlign w:val="bottom"/>
            <w:hideMark/>
          </w:tcPr>
          <w:p w14:paraId="49D44E9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10.1</w:t>
            </w:r>
          </w:p>
        </w:tc>
        <w:tc>
          <w:tcPr>
            <w:tcW w:w="899" w:type="dxa"/>
            <w:tcBorders>
              <w:top w:val="nil"/>
              <w:left w:val="nil"/>
              <w:bottom w:val="single" w:sz="4" w:space="0" w:color="auto"/>
              <w:right w:val="single" w:sz="4" w:space="0" w:color="auto"/>
            </w:tcBorders>
            <w:shd w:val="clear" w:color="auto" w:fill="auto"/>
            <w:noWrap/>
            <w:vAlign w:val="bottom"/>
            <w:hideMark/>
          </w:tcPr>
          <w:p w14:paraId="70D6B65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9.2</w:t>
            </w:r>
          </w:p>
        </w:tc>
        <w:tc>
          <w:tcPr>
            <w:tcW w:w="899" w:type="dxa"/>
            <w:tcBorders>
              <w:top w:val="nil"/>
              <w:left w:val="nil"/>
              <w:bottom w:val="single" w:sz="4" w:space="0" w:color="auto"/>
              <w:right w:val="single" w:sz="4" w:space="0" w:color="auto"/>
            </w:tcBorders>
            <w:shd w:val="clear" w:color="auto" w:fill="auto"/>
            <w:noWrap/>
            <w:vAlign w:val="bottom"/>
            <w:hideMark/>
          </w:tcPr>
          <w:p w14:paraId="781EF5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899" w:type="dxa"/>
            <w:tcBorders>
              <w:top w:val="nil"/>
              <w:left w:val="nil"/>
              <w:bottom w:val="single" w:sz="4" w:space="0" w:color="auto"/>
              <w:right w:val="single" w:sz="4" w:space="0" w:color="auto"/>
            </w:tcBorders>
            <w:shd w:val="clear" w:color="auto" w:fill="auto"/>
            <w:noWrap/>
            <w:vAlign w:val="bottom"/>
            <w:hideMark/>
          </w:tcPr>
          <w:p w14:paraId="56C23E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11.6</w:t>
            </w:r>
          </w:p>
        </w:tc>
        <w:tc>
          <w:tcPr>
            <w:tcW w:w="899" w:type="dxa"/>
            <w:tcBorders>
              <w:top w:val="nil"/>
              <w:left w:val="nil"/>
              <w:bottom w:val="single" w:sz="4" w:space="0" w:color="auto"/>
              <w:right w:val="single" w:sz="4" w:space="0" w:color="auto"/>
            </w:tcBorders>
            <w:shd w:val="clear" w:color="auto" w:fill="auto"/>
            <w:noWrap/>
            <w:vAlign w:val="bottom"/>
            <w:hideMark/>
          </w:tcPr>
          <w:p w14:paraId="74EEA2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900" w:type="dxa"/>
            <w:tcBorders>
              <w:top w:val="nil"/>
              <w:left w:val="nil"/>
              <w:bottom w:val="single" w:sz="4" w:space="0" w:color="auto"/>
              <w:right w:val="single" w:sz="4" w:space="0" w:color="auto"/>
            </w:tcBorders>
            <w:shd w:val="clear" w:color="auto" w:fill="auto"/>
            <w:noWrap/>
            <w:vAlign w:val="bottom"/>
            <w:hideMark/>
          </w:tcPr>
          <w:p w14:paraId="01EB0B4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11.6</w:t>
            </w:r>
          </w:p>
        </w:tc>
      </w:tr>
      <w:tr w:rsidR="00240506" w:rsidRPr="00650EE4" w14:paraId="29799E8A"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188252"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Austrija</w:t>
            </w:r>
          </w:p>
        </w:tc>
        <w:tc>
          <w:tcPr>
            <w:tcW w:w="899" w:type="dxa"/>
            <w:tcBorders>
              <w:top w:val="nil"/>
              <w:left w:val="nil"/>
              <w:bottom w:val="single" w:sz="4" w:space="0" w:color="auto"/>
              <w:right w:val="single" w:sz="4" w:space="0" w:color="auto"/>
            </w:tcBorders>
            <w:shd w:val="clear" w:color="auto" w:fill="auto"/>
            <w:noWrap/>
            <w:vAlign w:val="bottom"/>
            <w:hideMark/>
          </w:tcPr>
          <w:p w14:paraId="354C4BB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14.8</w:t>
            </w:r>
          </w:p>
        </w:tc>
        <w:tc>
          <w:tcPr>
            <w:tcW w:w="899" w:type="dxa"/>
            <w:tcBorders>
              <w:top w:val="nil"/>
              <w:left w:val="nil"/>
              <w:bottom w:val="single" w:sz="4" w:space="0" w:color="auto"/>
              <w:right w:val="single" w:sz="4" w:space="0" w:color="auto"/>
            </w:tcBorders>
            <w:shd w:val="clear" w:color="auto" w:fill="auto"/>
            <w:noWrap/>
            <w:vAlign w:val="bottom"/>
            <w:hideMark/>
          </w:tcPr>
          <w:p w14:paraId="4B01BA1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13.9</w:t>
            </w:r>
          </w:p>
        </w:tc>
        <w:tc>
          <w:tcPr>
            <w:tcW w:w="899" w:type="dxa"/>
            <w:tcBorders>
              <w:top w:val="nil"/>
              <w:left w:val="nil"/>
              <w:bottom w:val="single" w:sz="4" w:space="0" w:color="auto"/>
              <w:right w:val="single" w:sz="4" w:space="0" w:color="auto"/>
            </w:tcBorders>
            <w:shd w:val="clear" w:color="auto" w:fill="auto"/>
            <w:noWrap/>
            <w:vAlign w:val="bottom"/>
            <w:hideMark/>
          </w:tcPr>
          <w:p w14:paraId="1C4C116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11.8</w:t>
            </w:r>
          </w:p>
        </w:tc>
        <w:tc>
          <w:tcPr>
            <w:tcW w:w="899" w:type="dxa"/>
            <w:tcBorders>
              <w:top w:val="nil"/>
              <w:left w:val="nil"/>
              <w:bottom w:val="single" w:sz="4" w:space="0" w:color="auto"/>
              <w:right w:val="single" w:sz="4" w:space="0" w:color="auto"/>
            </w:tcBorders>
            <w:shd w:val="clear" w:color="auto" w:fill="auto"/>
            <w:noWrap/>
            <w:vAlign w:val="bottom"/>
            <w:hideMark/>
          </w:tcPr>
          <w:p w14:paraId="2D44F74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12.5</w:t>
            </w:r>
          </w:p>
        </w:tc>
        <w:tc>
          <w:tcPr>
            <w:tcW w:w="899" w:type="dxa"/>
            <w:tcBorders>
              <w:top w:val="nil"/>
              <w:left w:val="nil"/>
              <w:bottom w:val="single" w:sz="4" w:space="0" w:color="auto"/>
              <w:right w:val="single" w:sz="4" w:space="0" w:color="auto"/>
            </w:tcBorders>
            <w:shd w:val="clear" w:color="auto" w:fill="auto"/>
            <w:noWrap/>
            <w:vAlign w:val="bottom"/>
            <w:hideMark/>
          </w:tcPr>
          <w:p w14:paraId="49CF74F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w:t>
            </w:r>
          </w:p>
        </w:tc>
        <w:tc>
          <w:tcPr>
            <w:tcW w:w="899" w:type="dxa"/>
            <w:tcBorders>
              <w:top w:val="nil"/>
              <w:left w:val="nil"/>
              <w:bottom w:val="single" w:sz="4" w:space="0" w:color="auto"/>
              <w:right w:val="single" w:sz="4" w:space="0" w:color="auto"/>
            </w:tcBorders>
            <w:shd w:val="clear" w:color="auto" w:fill="auto"/>
            <w:noWrap/>
            <w:vAlign w:val="bottom"/>
            <w:hideMark/>
          </w:tcPr>
          <w:p w14:paraId="36C6686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11.7</w:t>
            </w:r>
          </w:p>
        </w:tc>
        <w:tc>
          <w:tcPr>
            <w:tcW w:w="899" w:type="dxa"/>
            <w:tcBorders>
              <w:top w:val="nil"/>
              <w:left w:val="nil"/>
              <w:bottom w:val="single" w:sz="4" w:space="0" w:color="auto"/>
              <w:right w:val="single" w:sz="4" w:space="0" w:color="auto"/>
            </w:tcBorders>
            <w:shd w:val="clear" w:color="auto" w:fill="auto"/>
            <w:noWrap/>
            <w:vAlign w:val="bottom"/>
            <w:hideMark/>
          </w:tcPr>
          <w:p w14:paraId="74A0980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11.2</w:t>
            </w:r>
          </w:p>
        </w:tc>
        <w:tc>
          <w:tcPr>
            <w:tcW w:w="899" w:type="dxa"/>
            <w:tcBorders>
              <w:top w:val="nil"/>
              <w:left w:val="nil"/>
              <w:bottom w:val="single" w:sz="4" w:space="0" w:color="auto"/>
              <w:right w:val="single" w:sz="4" w:space="0" w:color="auto"/>
            </w:tcBorders>
            <w:shd w:val="clear" w:color="auto" w:fill="auto"/>
            <w:noWrap/>
            <w:vAlign w:val="bottom"/>
            <w:hideMark/>
          </w:tcPr>
          <w:p w14:paraId="4FF619F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900" w:type="dxa"/>
            <w:tcBorders>
              <w:top w:val="nil"/>
              <w:left w:val="nil"/>
              <w:bottom w:val="single" w:sz="4" w:space="0" w:color="auto"/>
              <w:right w:val="single" w:sz="4" w:space="0" w:color="auto"/>
            </w:tcBorders>
            <w:shd w:val="clear" w:color="auto" w:fill="auto"/>
            <w:noWrap/>
            <w:vAlign w:val="bottom"/>
            <w:hideMark/>
          </w:tcPr>
          <w:p w14:paraId="2F4FF51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10.4</w:t>
            </w:r>
          </w:p>
        </w:tc>
      </w:tr>
      <w:tr w:rsidR="00240506" w:rsidRPr="00650EE4" w14:paraId="64DD914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9C3D64C"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Rumunija</w:t>
            </w:r>
          </w:p>
        </w:tc>
        <w:tc>
          <w:tcPr>
            <w:tcW w:w="899" w:type="dxa"/>
            <w:tcBorders>
              <w:top w:val="nil"/>
              <w:left w:val="nil"/>
              <w:bottom w:val="single" w:sz="4" w:space="0" w:color="auto"/>
              <w:right w:val="single" w:sz="4" w:space="0" w:color="auto"/>
            </w:tcBorders>
            <w:shd w:val="clear" w:color="auto" w:fill="auto"/>
            <w:noWrap/>
            <w:vAlign w:val="bottom"/>
            <w:hideMark/>
          </w:tcPr>
          <w:p w14:paraId="2900E3F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18.7</w:t>
            </w:r>
          </w:p>
        </w:tc>
        <w:tc>
          <w:tcPr>
            <w:tcW w:w="899" w:type="dxa"/>
            <w:tcBorders>
              <w:top w:val="nil"/>
              <w:left w:val="nil"/>
              <w:bottom w:val="single" w:sz="4" w:space="0" w:color="auto"/>
              <w:right w:val="single" w:sz="4" w:space="0" w:color="auto"/>
            </w:tcBorders>
            <w:shd w:val="clear" w:color="auto" w:fill="auto"/>
            <w:noWrap/>
            <w:vAlign w:val="bottom"/>
            <w:hideMark/>
          </w:tcPr>
          <w:p w14:paraId="223784E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18.1</w:t>
            </w:r>
          </w:p>
        </w:tc>
        <w:tc>
          <w:tcPr>
            <w:tcW w:w="899" w:type="dxa"/>
            <w:tcBorders>
              <w:top w:val="nil"/>
              <w:left w:val="nil"/>
              <w:bottom w:val="single" w:sz="4" w:space="0" w:color="auto"/>
              <w:right w:val="single" w:sz="4" w:space="0" w:color="auto"/>
            </w:tcBorders>
            <w:shd w:val="clear" w:color="auto" w:fill="auto"/>
            <w:noWrap/>
            <w:vAlign w:val="bottom"/>
            <w:hideMark/>
          </w:tcPr>
          <w:p w14:paraId="46F3696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15.5</w:t>
            </w:r>
          </w:p>
        </w:tc>
        <w:tc>
          <w:tcPr>
            <w:tcW w:w="899" w:type="dxa"/>
            <w:tcBorders>
              <w:top w:val="nil"/>
              <w:left w:val="nil"/>
              <w:bottom w:val="single" w:sz="4" w:space="0" w:color="auto"/>
              <w:right w:val="single" w:sz="4" w:space="0" w:color="auto"/>
            </w:tcBorders>
            <w:shd w:val="clear" w:color="auto" w:fill="auto"/>
            <w:noWrap/>
            <w:vAlign w:val="bottom"/>
            <w:hideMark/>
          </w:tcPr>
          <w:p w14:paraId="031EED6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16.2</w:t>
            </w:r>
          </w:p>
        </w:tc>
        <w:tc>
          <w:tcPr>
            <w:tcW w:w="899" w:type="dxa"/>
            <w:tcBorders>
              <w:top w:val="nil"/>
              <w:left w:val="nil"/>
              <w:bottom w:val="single" w:sz="4" w:space="0" w:color="auto"/>
              <w:right w:val="single" w:sz="4" w:space="0" w:color="auto"/>
            </w:tcBorders>
            <w:shd w:val="clear" w:color="auto" w:fill="auto"/>
            <w:noWrap/>
            <w:vAlign w:val="bottom"/>
            <w:hideMark/>
          </w:tcPr>
          <w:p w14:paraId="54858A1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13.6</w:t>
            </w:r>
          </w:p>
        </w:tc>
        <w:tc>
          <w:tcPr>
            <w:tcW w:w="899" w:type="dxa"/>
            <w:tcBorders>
              <w:top w:val="nil"/>
              <w:left w:val="nil"/>
              <w:bottom w:val="single" w:sz="4" w:space="0" w:color="auto"/>
              <w:right w:val="single" w:sz="4" w:space="0" w:color="auto"/>
            </w:tcBorders>
            <w:shd w:val="clear" w:color="auto" w:fill="auto"/>
            <w:noWrap/>
            <w:vAlign w:val="bottom"/>
            <w:hideMark/>
          </w:tcPr>
          <w:p w14:paraId="220F64C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43992D2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13.3</w:t>
            </w:r>
          </w:p>
        </w:tc>
        <w:tc>
          <w:tcPr>
            <w:tcW w:w="899" w:type="dxa"/>
            <w:tcBorders>
              <w:top w:val="nil"/>
              <w:left w:val="nil"/>
              <w:bottom w:val="single" w:sz="4" w:space="0" w:color="auto"/>
              <w:right w:val="single" w:sz="4" w:space="0" w:color="auto"/>
            </w:tcBorders>
            <w:shd w:val="clear" w:color="auto" w:fill="auto"/>
            <w:noWrap/>
            <w:vAlign w:val="bottom"/>
            <w:hideMark/>
          </w:tcPr>
          <w:p w14:paraId="6665563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11.1</w:t>
            </w:r>
          </w:p>
        </w:tc>
        <w:tc>
          <w:tcPr>
            <w:tcW w:w="900" w:type="dxa"/>
            <w:tcBorders>
              <w:top w:val="nil"/>
              <w:left w:val="nil"/>
              <w:bottom w:val="single" w:sz="4" w:space="0" w:color="auto"/>
              <w:right w:val="single" w:sz="4" w:space="0" w:color="auto"/>
            </w:tcBorders>
            <w:shd w:val="clear" w:color="auto" w:fill="auto"/>
            <w:noWrap/>
            <w:vAlign w:val="bottom"/>
            <w:hideMark/>
          </w:tcPr>
          <w:p w14:paraId="58A8F57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10.1</w:t>
            </w:r>
          </w:p>
        </w:tc>
      </w:tr>
      <w:tr w:rsidR="00240506" w:rsidRPr="00650EE4" w14:paraId="2D612E8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31B095E"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Šveicarija</w:t>
            </w:r>
          </w:p>
        </w:tc>
        <w:tc>
          <w:tcPr>
            <w:tcW w:w="899" w:type="dxa"/>
            <w:tcBorders>
              <w:top w:val="nil"/>
              <w:left w:val="nil"/>
              <w:bottom w:val="single" w:sz="4" w:space="0" w:color="auto"/>
              <w:right w:val="single" w:sz="4" w:space="0" w:color="auto"/>
            </w:tcBorders>
            <w:shd w:val="clear" w:color="auto" w:fill="auto"/>
            <w:noWrap/>
            <w:vAlign w:val="bottom"/>
            <w:hideMark/>
          </w:tcPr>
          <w:p w14:paraId="5F4313F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8.9</w:t>
            </w:r>
          </w:p>
        </w:tc>
        <w:tc>
          <w:tcPr>
            <w:tcW w:w="899" w:type="dxa"/>
            <w:tcBorders>
              <w:top w:val="nil"/>
              <w:left w:val="nil"/>
              <w:bottom w:val="single" w:sz="4" w:space="0" w:color="auto"/>
              <w:right w:val="single" w:sz="4" w:space="0" w:color="auto"/>
            </w:tcBorders>
            <w:shd w:val="clear" w:color="auto" w:fill="auto"/>
            <w:noWrap/>
            <w:vAlign w:val="bottom"/>
            <w:hideMark/>
          </w:tcPr>
          <w:p w14:paraId="2B60F89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10.6</w:t>
            </w:r>
          </w:p>
        </w:tc>
        <w:tc>
          <w:tcPr>
            <w:tcW w:w="899" w:type="dxa"/>
            <w:tcBorders>
              <w:top w:val="nil"/>
              <w:left w:val="nil"/>
              <w:bottom w:val="single" w:sz="4" w:space="0" w:color="auto"/>
              <w:right w:val="single" w:sz="4" w:space="0" w:color="auto"/>
            </w:tcBorders>
            <w:shd w:val="clear" w:color="auto" w:fill="auto"/>
            <w:noWrap/>
            <w:vAlign w:val="bottom"/>
            <w:hideMark/>
          </w:tcPr>
          <w:p w14:paraId="422E86B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0DF3C32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11.5</w:t>
            </w:r>
          </w:p>
        </w:tc>
        <w:tc>
          <w:tcPr>
            <w:tcW w:w="899" w:type="dxa"/>
            <w:tcBorders>
              <w:top w:val="nil"/>
              <w:left w:val="nil"/>
              <w:bottom w:val="single" w:sz="4" w:space="0" w:color="auto"/>
              <w:right w:val="single" w:sz="4" w:space="0" w:color="auto"/>
            </w:tcBorders>
            <w:shd w:val="clear" w:color="auto" w:fill="auto"/>
            <w:noWrap/>
            <w:vAlign w:val="bottom"/>
            <w:hideMark/>
          </w:tcPr>
          <w:p w14:paraId="5B915A8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11.3</w:t>
            </w:r>
          </w:p>
        </w:tc>
        <w:tc>
          <w:tcPr>
            <w:tcW w:w="899" w:type="dxa"/>
            <w:tcBorders>
              <w:top w:val="nil"/>
              <w:left w:val="nil"/>
              <w:bottom w:val="single" w:sz="4" w:space="0" w:color="auto"/>
              <w:right w:val="single" w:sz="4" w:space="0" w:color="auto"/>
            </w:tcBorders>
            <w:shd w:val="clear" w:color="auto" w:fill="auto"/>
            <w:noWrap/>
            <w:vAlign w:val="bottom"/>
            <w:hideMark/>
          </w:tcPr>
          <w:p w14:paraId="724A8D7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899" w:type="dxa"/>
            <w:tcBorders>
              <w:top w:val="nil"/>
              <w:left w:val="nil"/>
              <w:bottom w:val="single" w:sz="4" w:space="0" w:color="auto"/>
              <w:right w:val="single" w:sz="4" w:space="0" w:color="auto"/>
            </w:tcBorders>
            <w:shd w:val="clear" w:color="auto" w:fill="auto"/>
            <w:noWrap/>
            <w:vAlign w:val="bottom"/>
            <w:hideMark/>
          </w:tcPr>
          <w:p w14:paraId="3122C0D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12.7</w:t>
            </w:r>
          </w:p>
        </w:tc>
        <w:tc>
          <w:tcPr>
            <w:tcW w:w="899" w:type="dxa"/>
            <w:tcBorders>
              <w:top w:val="nil"/>
              <w:left w:val="nil"/>
              <w:bottom w:val="single" w:sz="4" w:space="0" w:color="auto"/>
              <w:right w:val="single" w:sz="4" w:space="0" w:color="auto"/>
            </w:tcBorders>
            <w:shd w:val="clear" w:color="auto" w:fill="auto"/>
            <w:noWrap/>
            <w:vAlign w:val="bottom"/>
            <w:hideMark/>
          </w:tcPr>
          <w:p w14:paraId="1D4CB61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12.2</w:t>
            </w:r>
          </w:p>
        </w:tc>
        <w:tc>
          <w:tcPr>
            <w:tcW w:w="900" w:type="dxa"/>
            <w:tcBorders>
              <w:top w:val="nil"/>
              <w:left w:val="nil"/>
              <w:bottom w:val="single" w:sz="4" w:space="0" w:color="auto"/>
              <w:right w:val="single" w:sz="4" w:space="0" w:color="auto"/>
            </w:tcBorders>
            <w:shd w:val="clear" w:color="auto" w:fill="auto"/>
            <w:noWrap/>
            <w:vAlign w:val="bottom"/>
            <w:hideMark/>
          </w:tcPr>
          <w:p w14:paraId="22F1B2B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9.8</w:t>
            </w:r>
          </w:p>
        </w:tc>
      </w:tr>
      <w:tr w:rsidR="00240506" w:rsidRPr="00650EE4" w14:paraId="634996BF"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43D9E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Švedija</w:t>
            </w:r>
          </w:p>
        </w:tc>
        <w:tc>
          <w:tcPr>
            <w:tcW w:w="899" w:type="dxa"/>
            <w:tcBorders>
              <w:top w:val="nil"/>
              <w:left w:val="nil"/>
              <w:bottom w:val="single" w:sz="4" w:space="0" w:color="auto"/>
              <w:right w:val="single" w:sz="4" w:space="0" w:color="auto"/>
            </w:tcBorders>
            <w:shd w:val="clear" w:color="auto" w:fill="auto"/>
            <w:noWrap/>
            <w:vAlign w:val="bottom"/>
            <w:hideMark/>
          </w:tcPr>
          <w:p w14:paraId="3A0B1E0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w:t>
            </w:r>
          </w:p>
        </w:tc>
        <w:tc>
          <w:tcPr>
            <w:tcW w:w="899" w:type="dxa"/>
            <w:tcBorders>
              <w:top w:val="nil"/>
              <w:left w:val="nil"/>
              <w:bottom w:val="single" w:sz="4" w:space="0" w:color="auto"/>
              <w:right w:val="single" w:sz="4" w:space="0" w:color="auto"/>
            </w:tcBorders>
            <w:shd w:val="clear" w:color="auto" w:fill="auto"/>
            <w:noWrap/>
            <w:vAlign w:val="bottom"/>
            <w:hideMark/>
          </w:tcPr>
          <w:p w14:paraId="578AD0D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8.7</w:t>
            </w:r>
          </w:p>
        </w:tc>
        <w:tc>
          <w:tcPr>
            <w:tcW w:w="899" w:type="dxa"/>
            <w:tcBorders>
              <w:top w:val="nil"/>
              <w:left w:val="nil"/>
              <w:bottom w:val="single" w:sz="4" w:space="0" w:color="auto"/>
              <w:right w:val="single" w:sz="4" w:space="0" w:color="auto"/>
            </w:tcBorders>
            <w:shd w:val="clear" w:color="auto" w:fill="auto"/>
            <w:noWrap/>
            <w:vAlign w:val="bottom"/>
            <w:hideMark/>
          </w:tcPr>
          <w:p w14:paraId="037AEF6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7.8</w:t>
            </w:r>
          </w:p>
        </w:tc>
        <w:tc>
          <w:tcPr>
            <w:tcW w:w="899" w:type="dxa"/>
            <w:tcBorders>
              <w:top w:val="nil"/>
              <w:left w:val="nil"/>
              <w:bottom w:val="single" w:sz="4" w:space="0" w:color="auto"/>
              <w:right w:val="single" w:sz="4" w:space="0" w:color="auto"/>
            </w:tcBorders>
            <w:shd w:val="clear" w:color="auto" w:fill="auto"/>
            <w:noWrap/>
            <w:vAlign w:val="bottom"/>
            <w:hideMark/>
          </w:tcPr>
          <w:p w14:paraId="1E3FCC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10A310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5AC966F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7B80C6C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7.4</w:t>
            </w:r>
          </w:p>
        </w:tc>
        <w:tc>
          <w:tcPr>
            <w:tcW w:w="899" w:type="dxa"/>
            <w:tcBorders>
              <w:top w:val="nil"/>
              <w:left w:val="nil"/>
              <w:bottom w:val="single" w:sz="4" w:space="0" w:color="auto"/>
              <w:right w:val="single" w:sz="4" w:space="0" w:color="auto"/>
            </w:tcBorders>
            <w:shd w:val="clear" w:color="auto" w:fill="auto"/>
            <w:noWrap/>
            <w:vAlign w:val="bottom"/>
            <w:hideMark/>
          </w:tcPr>
          <w:p w14:paraId="1657D74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w:t>
            </w:r>
          </w:p>
        </w:tc>
        <w:tc>
          <w:tcPr>
            <w:tcW w:w="900" w:type="dxa"/>
            <w:tcBorders>
              <w:top w:val="nil"/>
              <w:left w:val="nil"/>
              <w:bottom w:val="single" w:sz="4" w:space="0" w:color="auto"/>
              <w:right w:val="single" w:sz="4" w:space="0" w:color="auto"/>
            </w:tcBorders>
            <w:shd w:val="clear" w:color="auto" w:fill="auto"/>
            <w:noWrap/>
            <w:vAlign w:val="bottom"/>
            <w:hideMark/>
          </w:tcPr>
          <w:p w14:paraId="42EB989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7.8</w:t>
            </w:r>
          </w:p>
        </w:tc>
      </w:tr>
      <w:tr w:rsidR="00240506" w:rsidRPr="00650EE4" w14:paraId="132901B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928F894"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Čekija</w:t>
            </w:r>
          </w:p>
        </w:tc>
        <w:tc>
          <w:tcPr>
            <w:tcW w:w="899" w:type="dxa"/>
            <w:tcBorders>
              <w:top w:val="nil"/>
              <w:left w:val="nil"/>
              <w:bottom w:val="single" w:sz="4" w:space="0" w:color="auto"/>
              <w:right w:val="single" w:sz="4" w:space="0" w:color="auto"/>
            </w:tcBorders>
            <w:shd w:val="clear" w:color="auto" w:fill="auto"/>
            <w:noWrap/>
            <w:vAlign w:val="bottom"/>
            <w:hideMark/>
          </w:tcPr>
          <w:p w14:paraId="53D4FB6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11.8</w:t>
            </w:r>
          </w:p>
        </w:tc>
        <w:tc>
          <w:tcPr>
            <w:tcW w:w="899" w:type="dxa"/>
            <w:tcBorders>
              <w:top w:val="nil"/>
              <w:left w:val="nil"/>
              <w:bottom w:val="single" w:sz="4" w:space="0" w:color="auto"/>
              <w:right w:val="single" w:sz="4" w:space="0" w:color="auto"/>
            </w:tcBorders>
            <w:shd w:val="clear" w:color="auto" w:fill="auto"/>
            <w:noWrap/>
            <w:vAlign w:val="bottom"/>
            <w:hideMark/>
          </w:tcPr>
          <w:p w14:paraId="2CBDED7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899" w:type="dxa"/>
            <w:tcBorders>
              <w:top w:val="nil"/>
              <w:left w:val="nil"/>
              <w:bottom w:val="single" w:sz="4" w:space="0" w:color="auto"/>
              <w:right w:val="single" w:sz="4" w:space="0" w:color="auto"/>
            </w:tcBorders>
            <w:shd w:val="clear" w:color="auto" w:fill="auto"/>
            <w:noWrap/>
            <w:vAlign w:val="bottom"/>
            <w:hideMark/>
          </w:tcPr>
          <w:p w14:paraId="0D4B036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10.5</w:t>
            </w:r>
          </w:p>
        </w:tc>
        <w:tc>
          <w:tcPr>
            <w:tcW w:w="899" w:type="dxa"/>
            <w:tcBorders>
              <w:top w:val="nil"/>
              <w:left w:val="nil"/>
              <w:bottom w:val="single" w:sz="4" w:space="0" w:color="auto"/>
              <w:right w:val="single" w:sz="4" w:space="0" w:color="auto"/>
            </w:tcBorders>
            <w:shd w:val="clear" w:color="auto" w:fill="auto"/>
            <w:noWrap/>
            <w:vAlign w:val="bottom"/>
            <w:hideMark/>
          </w:tcPr>
          <w:p w14:paraId="11CD9FB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w:t>
            </w:r>
          </w:p>
        </w:tc>
        <w:tc>
          <w:tcPr>
            <w:tcW w:w="899" w:type="dxa"/>
            <w:tcBorders>
              <w:top w:val="nil"/>
              <w:left w:val="nil"/>
              <w:bottom w:val="single" w:sz="4" w:space="0" w:color="auto"/>
              <w:right w:val="single" w:sz="4" w:space="0" w:color="auto"/>
            </w:tcBorders>
            <w:shd w:val="clear" w:color="auto" w:fill="auto"/>
            <w:noWrap/>
            <w:vAlign w:val="bottom"/>
            <w:hideMark/>
          </w:tcPr>
          <w:p w14:paraId="1874220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9.2</w:t>
            </w:r>
          </w:p>
        </w:tc>
        <w:tc>
          <w:tcPr>
            <w:tcW w:w="899" w:type="dxa"/>
            <w:tcBorders>
              <w:top w:val="nil"/>
              <w:left w:val="nil"/>
              <w:bottom w:val="single" w:sz="4" w:space="0" w:color="auto"/>
              <w:right w:val="single" w:sz="4" w:space="0" w:color="auto"/>
            </w:tcBorders>
            <w:shd w:val="clear" w:color="auto" w:fill="auto"/>
            <w:noWrap/>
            <w:vAlign w:val="bottom"/>
            <w:hideMark/>
          </w:tcPr>
          <w:p w14:paraId="3A49CFB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8.9</w:t>
            </w:r>
          </w:p>
        </w:tc>
        <w:tc>
          <w:tcPr>
            <w:tcW w:w="899" w:type="dxa"/>
            <w:tcBorders>
              <w:top w:val="nil"/>
              <w:left w:val="nil"/>
              <w:bottom w:val="single" w:sz="4" w:space="0" w:color="auto"/>
              <w:right w:val="single" w:sz="4" w:space="0" w:color="auto"/>
            </w:tcBorders>
            <w:shd w:val="clear" w:color="auto" w:fill="auto"/>
            <w:noWrap/>
            <w:vAlign w:val="bottom"/>
            <w:hideMark/>
          </w:tcPr>
          <w:p w14:paraId="3CB183C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8.2</w:t>
            </w:r>
          </w:p>
        </w:tc>
        <w:tc>
          <w:tcPr>
            <w:tcW w:w="899" w:type="dxa"/>
            <w:tcBorders>
              <w:top w:val="nil"/>
              <w:left w:val="nil"/>
              <w:bottom w:val="single" w:sz="4" w:space="0" w:color="auto"/>
              <w:right w:val="single" w:sz="4" w:space="0" w:color="auto"/>
            </w:tcBorders>
            <w:shd w:val="clear" w:color="auto" w:fill="auto"/>
            <w:noWrap/>
            <w:vAlign w:val="bottom"/>
            <w:hideMark/>
          </w:tcPr>
          <w:p w14:paraId="0119584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w:t>
            </w:r>
          </w:p>
        </w:tc>
        <w:tc>
          <w:tcPr>
            <w:tcW w:w="900" w:type="dxa"/>
            <w:tcBorders>
              <w:top w:val="nil"/>
              <w:left w:val="nil"/>
              <w:bottom w:val="single" w:sz="4" w:space="0" w:color="auto"/>
              <w:right w:val="single" w:sz="4" w:space="0" w:color="auto"/>
            </w:tcBorders>
            <w:shd w:val="clear" w:color="auto" w:fill="auto"/>
            <w:noWrap/>
            <w:vAlign w:val="bottom"/>
            <w:hideMark/>
          </w:tcPr>
          <w:p w14:paraId="445BDC8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r>
      <w:tr w:rsidR="00240506" w:rsidRPr="00650EE4" w14:paraId="5D53FFC0"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347FE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Malta</w:t>
            </w:r>
          </w:p>
        </w:tc>
        <w:tc>
          <w:tcPr>
            <w:tcW w:w="899" w:type="dxa"/>
            <w:tcBorders>
              <w:top w:val="nil"/>
              <w:left w:val="nil"/>
              <w:bottom w:val="single" w:sz="4" w:space="0" w:color="auto"/>
              <w:right w:val="single" w:sz="4" w:space="0" w:color="auto"/>
            </w:tcBorders>
            <w:shd w:val="clear" w:color="auto" w:fill="auto"/>
            <w:noWrap/>
            <w:vAlign w:val="bottom"/>
            <w:hideMark/>
          </w:tcPr>
          <w:p w14:paraId="241BD5B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12.1</w:t>
            </w:r>
          </w:p>
        </w:tc>
        <w:tc>
          <w:tcPr>
            <w:tcW w:w="899" w:type="dxa"/>
            <w:tcBorders>
              <w:top w:val="nil"/>
              <w:left w:val="nil"/>
              <w:bottom w:val="single" w:sz="4" w:space="0" w:color="auto"/>
              <w:right w:val="single" w:sz="4" w:space="0" w:color="auto"/>
            </w:tcBorders>
            <w:shd w:val="clear" w:color="auto" w:fill="auto"/>
            <w:noWrap/>
            <w:vAlign w:val="bottom"/>
            <w:hideMark/>
          </w:tcPr>
          <w:p w14:paraId="5AE3105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10.2</w:t>
            </w:r>
          </w:p>
        </w:tc>
        <w:tc>
          <w:tcPr>
            <w:tcW w:w="899" w:type="dxa"/>
            <w:tcBorders>
              <w:top w:val="nil"/>
              <w:left w:val="nil"/>
              <w:bottom w:val="single" w:sz="4" w:space="0" w:color="auto"/>
              <w:right w:val="single" w:sz="4" w:space="0" w:color="auto"/>
            </w:tcBorders>
            <w:shd w:val="clear" w:color="auto" w:fill="auto"/>
            <w:noWrap/>
            <w:vAlign w:val="bottom"/>
            <w:hideMark/>
          </w:tcPr>
          <w:p w14:paraId="53F7D12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10.8</w:t>
            </w:r>
          </w:p>
        </w:tc>
        <w:tc>
          <w:tcPr>
            <w:tcW w:w="899" w:type="dxa"/>
            <w:tcBorders>
              <w:top w:val="nil"/>
              <w:left w:val="nil"/>
              <w:bottom w:val="single" w:sz="4" w:space="0" w:color="auto"/>
              <w:right w:val="single" w:sz="4" w:space="0" w:color="auto"/>
            </w:tcBorders>
            <w:shd w:val="clear" w:color="auto" w:fill="auto"/>
            <w:noWrap/>
            <w:vAlign w:val="bottom"/>
            <w:hideMark/>
          </w:tcPr>
          <w:p w14:paraId="651F60F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11.7</w:t>
            </w:r>
          </w:p>
        </w:tc>
        <w:tc>
          <w:tcPr>
            <w:tcW w:w="899" w:type="dxa"/>
            <w:tcBorders>
              <w:top w:val="nil"/>
              <w:left w:val="nil"/>
              <w:bottom w:val="single" w:sz="4" w:space="0" w:color="auto"/>
              <w:right w:val="single" w:sz="4" w:space="0" w:color="auto"/>
            </w:tcBorders>
            <w:shd w:val="clear" w:color="auto" w:fill="auto"/>
            <w:noWrap/>
            <w:vAlign w:val="bottom"/>
            <w:hideMark/>
          </w:tcPr>
          <w:p w14:paraId="7FD7CC7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10.9</w:t>
            </w:r>
          </w:p>
        </w:tc>
        <w:tc>
          <w:tcPr>
            <w:tcW w:w="899" w:type="dxa"/>
            <w:tcBorders>
              <w:top w:val="nil"/>
              <w:left w:val="nil"/>
              <w:bottom w:val="single" w:sz="4" w:space="0" w:color="auto"/>
              <w:right w:val="single" w:sz="4" w:space="0" w:color="auto"/>
            </w:tcBorders>
            <w:shd w:val="clear" w:color="auto" w:fill="auto"/>
            <w:noWrap/>
            <w:vAlign w:val="bottom"/>
            <w:hideMark/>
          </w:tcPr>
          <w:p w14:paraId="14CC61F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10.1</w:t>
            </w:r>
          </w:p>
        </w:tc>
        <w:tc>
          <w:tcPr>
            <w:tcW w:w="899" w:type="dxa"/>
            <w:tcBorders>
              <w:top w:val="nil"/>
              <w:left w:val="nil"/>
              <w:bottom w:val="single" w:sz="4" w:space="0" w:color="auto"/>
              <w:right w:val="single" w:sz="4" w:space="0" w:color="auto"/>
            </w:tcBorders>
            <w:shd w:val="clear" w:color="auto" w:fill="auto"/>
            <w:noWrap/>
            <w:vAlign w:val="bottom"/>
            <w:hideMark/>
          </w:tcPr>
          <w:p w14:paraId="7FD77ED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9.1</w:t>
            </w:r>
          </w:p>
        </w:tc>
        <w:tc>
          <w:tcPr>
            <w:tcW w:w="899" w:type="dxa"/>
            <w:tcBorders>
              <w:top w:val="nil"/>
              <w:left w:val="nil"/>
              <w:bottom w:val="single" w:sz="4" w:space="0" w:color="auto"/>
              <w:right w:val="single" w:sz="4" w:space="0" w:color="auto"/>
            </w:tcBorders>
            <w:shd w:val="clear" w:color="auto" w:fill="auto"/>
            <w:noWrap/>
            <w:vAlign w:val="bottom"/>
            <w:hideMark/>
          </w:tcPr>
          <w:p w14:paraId="092937A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8.4</w:t>
            </w:r>
          </w:p>
        </w:tc>
        <w:tc>
          <w:tcPr>
            <w:tcW w:w="900" w:type="dxa"/>
            <w:tcBorders>
              <w:top w:val="nil"/>
              <w:left w:val="nil"/>
              <w:bottom w:val="single" w:sz="4" w:space="0" w:color="auto"/>
              <w:right w:val="single" w:sz="4" w:space="0" w:color="auto"/>
            </w:tcBorders>
            <w:shd w:val="clear" w:color="auto" w:fill="auto"/>
            <w:noWrap/>
            <w:vAlign w:val="bottom"/>
            <w:hideMark/>
          </w:tcPr>
          <w:p w14:paraId="0D49A53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7.1</w:t>
            </w:r>
          </w:p>
        </w:tc>
      </w:tr>
      <w:tr w:rsidR="00240506" w:rsidRPr="00650EE4" w14:paraId="63BE0592"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87619B"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Norvegija</w:t>
            </w:r>
          </w:p>
        </w:tc>
        <w:tc>
          <w:tcPr>
            <w:tcW w:w="899" w:type="dxa"/>
            <w:tcBorders>
              <w:top w:val="nil"/>
              <w:left w:val="nil"/>
              <w:bottom w:val="single" w:sz="4" w:space="0" w:color="auto"/>
              <w:right w:val="single" w:sz="4" w:space="0" w:color="auto"/>
            </w:tcBorders>
            <w:shd w:val="clear" w:color="auto" w:fill="auto"/>
            <w:noWrap/>
            <w:vAlign w:val="bottom"/>
            <w:hideMark/>
          </w:tcPr>
          <w:p w14:paraId="36B876F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5DB98F2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7.6</w:t>
            </w:r>
          </w:p>
        </w:tc>
        <w:tc>
          <w:tcPr>
            <w:tcW w:w="899" w:type="dxa"/>
            <w:tcBorders>
              <w:top w:val="nil"/>
              <w:left w:val="nil"/>
              <w:bottom w:val="single" w:sz="4" w:space="0" w:color="auto"/>
              <w:right w:val="single" w:sz="4" w:space="0" w:color="auto"/>
            </w:tcBorders>
            <w:shd w:val="clear" w:color="auto" w:fill="auto"/>
            <w:noWrap/>
            <w:vAlign w:val="bottom"/>
            <w:hideMark/>
          </w:tcPr>
          <w:p w14:paraId="32B6347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8.2</w:t>
            </w:r>
          </w:p>
        </w:tc>
        <w:tc>
          <w:tcPr>
            <w:tcW w:w="899" w:type="dxa"/>
            <w:tcBorders>
              <w:top w:val="nil"/>
              <w:left w:val="nil"/>
              <w:bottom w:val="single" w:sz="4" w:space="0" w:color="auto"/>
              <w:right w:val="single" w:sz="4" w:space="0" w:color="auto"/>
            </w:tcBorders>
            <w:shd w:val="clear" w:color="auto" w:fill="auto"/>
            <w:noWrap/>
            <w:vAlign w:val="bottom"/>
            <w:hideMark/>
          </w:tcPr>
          <w:p w14:paraId="1308B7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w:t>
            </w:r>
          </w:p>
        </w:tc>
        <w:tc>
          <w:tcPr>
            <w:tcW w:w="899" w:type="dxa"/>
            <w:tcBorders>
              <w:top w:val="nil"/>
              <w:left w:val="nil"/>
              <w:bottom w:val="single" w:sz="4" w:space="0" w:color="auto"/>
              <w:right w:val="single" w:sz="4" w:space="0" w:color="auto"/>
            </w:tcBorders>
            <w:shd w:val="clear" w:color="auto" w:fill="auto"/>
            <w:noWrap/>
            <w:vAlign w:val="bottom"/>
            <w:hideMark/>
          </w:tcPr>
          <w:p w14:paraId="507DB21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w:t>
            </w:r>
          </w:p>
        </w:tc>
        <w:tc>
          <w:tcPr>
            <w:tcW w:w="899" w:type="dxa"/>
            <w:tcBorders>
              <w:top w:val="nil"/>
              <w:left w:val="nil"/>
              <w:bottom w:val="single" w:sz="4" w:space="0" w:color="auto"/>
              <w:right w:val="single" w:sz="4" w:space="0" w:color="auto"/>
            </w:tcBorders>
            <w:shd w:val="clear" w:color="auto" w:fill="auto"/>
            <w:noWrap/>
            <w:vAlign w:val="bottom"/>
            <w:hideMark/>
          </w:tcPr>
          <w:p w14:paraId="0124F8F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6.8</w:t>
            </w:r>
          </w:p>
        </w:tc>
        <w:tc>
          <w:tcPr>
            <w:tcW w:w="899" w:type="dxa"/>
            <w:tcBorders>
              <w:top w:val="nil"/>
              <w:left w:val="nil"/>
              <w:bottom w:val="single" w:sz="4" w:space="0" w:color="auto"/>
              <w:right w:val="single" w:sz="4" w:space="0" w:color="auto"/>
            </w:tcBorders>
            <w:shd w:val="clear" w:color="auto" w:fill="auto"/>
            <w:noWrap/>
            <w:vAlign w:val="bottom"/>
            <w:hideMark/>
          </w:tcPr>
          <w:p w14:paraId="026EE2F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5.9</w:t>
            </w:r>
          </w:p>
        </w:tc>
        <w:tc>
          <w:tcPr>
            <w:tcW w:w="899" w:type="dxa"/>
            <w:tcBorders>
              <w:top w:val="nil"/>
              <w:left w:val="nil"/>
              <w:bottom w:val="single" w:sz="4" w:space="0" w:color="auto"/>
              <w:right w:val="single" w:sz="4" w:space="0" w:color="auto"/>
            </w:tcBorders>
            <w:shd w:val="clear" w:color="auto" w:fill="auto"/>
            <w:noWrap/>
            <w:vAlign w:val="bottom"/>
            <w:hideMark/>
          </w:tcPr>
          <w:p w14:paraId="7305ADB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5.6</w:t>
            </w:r>
          </w:p>
        </w:tc>
        <w:tc>
          <w:tcPr>
            <w:tcW w:w="900" w:type="dxa"/>
            <w:tcBorders>
              <w:top w:val="nil"/>
              <w:left w:val="nil"/>
              <w:bottom w:val="single" w:sz="4" w:space="0" w:color="auto"/>
              <w:right w:val="single" w:sz="4" w:space="0" w:color="auto"/>
            </w:tcBorders>
            <w:shd w:val="clear" w:color="auto" w:fill="auto"/>
            <w:noWrap/>
            <w:vAlign w:val="bottom"/>
            <w:hideMark/>
          </w:tcPr>
          <w:p w14:paraId="3BE538B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6.8</w:t>
            </w:r>
          </w:p>
        </w:tc>
      </w:tr>
      <w:tr w:rsidR="00240506" w:rsidRPr="00650EE4" w14:paraId="1EBE329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88F41"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Slovakija</w:t>
            </w:r>
          </w:p>
        </w:tc>
        <w:tc>
          <w:tcPr>
            <w:tcW w:w="899" w:type="dxa"/>
            <w:tcBorders>
              <w:top w:val="nil"/>
              <w:left w:val="nil"/>
              <w:bottom w:val="single" w:sz="4" w:space="0" w:color="auto"/>
              <w:right w:val="single" w:sz="4" w:space="0" w:color="auto"/>
            </w:tcBorders>
            <w:shd w:val="clear" w:color="auto" w:fill="auto"/>
            <w:noWrap/>
            <w:vAlign w:val="bottom"/>
            <w:hideMark/>
          </w:tcPr>
          <w:p w14:paraId="73CC629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5.8</w:t>
            </w:r>
          </w:p>
        </w:tc>
        <w:tc>
          <w:tcPr>
            <w:tcW w:w="899" w:type="dxa"/>
            <w:tcBorders>
              <w:top w:val="nil"/>
              <w:left w:val="nil"/>
              <w:bottom w:val="single" w:sz="4" w:space="0" w:color="auto"/>
              <w:right w:val="single" w:sz="4" w:space="0" w:color="auto"/>
            </w:tcBorders>
            <w:shd w:val="clear" w:color="auto" w:fill="auto"/>
            <w:noWrap/>
            <w:vAlign w:val="bottom"/>
            <w:hideMark/>
          </w:tcPr>
          <w:p w14:paraId="02EF1A9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7.8</w:t>
            </w:r>
          </w:p>
        </w:tc>
        <w:tc>
          <w:tcPr>
            <w:tcW w:w="899" w:type="dxa"/>
            <w:tcBorders>
              <w:top w:val="nil"/>
              <w:left w:val="nil"/>
              <w:bottom w:val="single" w:sz="4" w:space="0" w:color="auto"/>
              <w:right w:val="single" w:sz="4" w:space="0" w:color="auto"/>
            </w:tcBorders>
            <w:shd w:val="clear" w:color="auto" w:fill="auto"/>
            <w:noWrap/>
            <w:vAlign w:val="bottom"/>
            <w:hideMark/>
          </w:tcPr>
          <w:p w14:paraId="29DCD84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8.8</w:t>
            </w:r>
          </w:p>
        </w:tc>
        <w:tc>
          <w:tcPr>
            <w:tcW w:w="899" w:type="dxa"/>
            <w:tcBorders>
              <w:top w:val="nil"/>
              <w:left w:val="nil"/>
              <w:bottom w:val="single" w:sz="4" w:space="0" w:color="auto"/>
              <w:right w:val="single" w:sz="4" w:space="0" w:color="auto"/>
            </w:tcBorders>
            <w:shd w:val="clear" w:color="auto" w:fill="auto"/>
            <w:noWrap/>
            <w:vAlign w:val="bottom"/>
            <w:hideMark/>
          </w:tcPr>
          <w:p w14:paraId="1861A3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7.5</w:t>
            </w:r>
          </w:p>
        </w:tc>
        <w:tc>
          <w:tcPr>
            <w:tcW w:w="899" w:type="dxa"/>
            <w:tcBorders>
              <w:top w:val="nil"/>
              <w:left w:val="nil"/>
              <w:bottom w:val="single" w:sz="4" w:space="0" w:color="auto"/>
              <w:right w:val="single" w:sz="4" w:space="0" w:color="auto"/>
            </w:tcBorders>
            <w:shd w:val="clear" w:color="auto" w:fill="auto"/>
            <w:noWrap/>
            <w:vAlign w:val="bottom"/>
            <w:hideMark/>
          </w:tcPr>
          <w:p w14:paraId="74D35DE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w:t>
            </w:r>
          </w:p>
        </w:tc>
        <w:tc>
          <w:tcPr>
            <w:tcW w:w="899" w:type="dxa"/>
            <w:tcBorders>
              <w:top w:val="nil"/>
              <w:left w:val="nil"/>
              <w:bottom w:val="single" w:sz="4" w:space="0" w:color="auto"/>
              <w:right w:val="single" w:sz="4" w:space="0" w:color="auto"/>
            </w:tcBorders>
            <w:shd w:val="clear" w:color="auto" w:fill="auto"/>
            <w:noWrap/>
            <w:vAlign w:val="bottom"/>
            <w:hideMark/>
          </w:tcPr>
          <w:p w14:paraId="6BC560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6.3</w:t>
            </w:r>
          </w:p>
        </w:tc>
        <w:tc>
          <w:tcPr>
            <w:tcW w:w="899" w:type="dxa"/>
            <w:tcBorders>
              <w:top w:val="nil"/>
              <w:left w:val="nil"/>
              <w:bottom w:val="single" w:sz="4" w:space="0" w:color="auto"/>
              <w:right w:val="single" w:sz="4" w:space="0" w:color="auto"/>
            </w:tcBorders>
            <w:shd w:val="clear" w:color="auto" w:fill="auto"/>
            <w:noWrap/>
            <w:vAlign w:val="bottom"/>
            <w:hideMark/>
          </w:tcPr>
          <w:p w14:paraId="0E2226A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6.2</w:t>
            </w:r>
          </w:p>
        </w:tc>
        <w:tc>
          <w:tcPr>
            <w:tcW w:w="899" w:type="dxa"/>
            <w:tcBorders>
              <w:top w:val="nil"/>
              <w:left w:val="nil"/>
              <w:bottom w:val="single" w:sz="4" w:space="0" w:color="auto"/>
              <w:right w:val="single" w:sz="4" w:space="0" w:color="auto"/>
            </w:tcBorders>
            <w:shd w:val="clear" w:color="auto" w:fill="auto"/>
            <w:noWrap/>
            <w:vAlign w:val="bottom"/>
            <w:hideMark/>
          </w:tcPr>
          <w:p w14:paraId="4F318DD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6.7</w:t>
            </w:r>
          </w:p>
        </w:tc>
        <w:tc>
          <w:tcPr>
            <w:tcW w:w="900" w:type="dxa"/>
            <w:tcBorders>
              <w:top w:val="nil"/>
              <w:left w:val="nil"/>
              <w:bottom w:val="single" w:sz="4" w:space="0" w:color="auto"/>
              <w:right w:val="single" w:sz="4" w:space="0" w:color="auto"/>
            </w:tcBorders>
            <w:shd w:val="clear" w:color="auto" w:fill="auto"/>
            <w:noWrap/>
            <w:vAlign w:val="bottom"/>
            <w:hideMark/>
          </w:tcPr>
          <w:p w14:paraId="3B1B3B4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5.1</w:t>
            </w:r>
          </w:p>
        </w:tc>
      </w:tr>
      <w:tr w:rsidR="00240506" w:rsidRPr="00650EE4" w14:paraId="61145D7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1A89BBD"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Suomija</w:t>
            </w:r>
          </w:p>
        </w:tc>
        <w:tc>
          <w:tcPr>
            <w:tcW w:w="899" w:type="dxa"/>
            <w:tcBorders>
              <w:top w:val="nil"/>
              <w:left w:val="nil"/>
              <w:bottom w:val="single" w:sz="4" w:space="0" w:color="auto"/>
              <w:right w:val="single" w:sz="4" w:space="0" w:color="auto"/>
            </w:tcBorders>
            <w:shd w:val="clear" w:color="auto" w:fill="auto"/>
            <w:noWrap/>
            <w:vAlign w:val="bottom"/>
            <w:hideMark/>
          </w:tcPr>
          <w:p w14:paraId="3C6B47F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w:t>
            </w:r>
          </w:p>
        </w:tc>
        <w:tc>
          <w:tcPr>
            <w:tcW w:w="899" w:type="dxa"/>
            <w:tcBorders>
              <w:top w:val="nil"/>
              <w:left w:val="nil"/>
              <w:bottom w:val="single" w:sz="4" w:space="0" w:color="auto"/>
              <w:right w:val="single" w:sz="4" w:space="0" w:color="auto"/>
            </w:tcBorders>
            <w:shd w:val="clear" w:color="auto" w:fill="auto"/>
            <w:noWrap/>
            <w:vAlign w:val="bottom"/>
            <w:hideMark/>
          </w:tcPr>
          <w:p w14:paraId="7AB4082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5.7</w:t>
            </w:r>
          </w:p>
        </w:tc>
        <w:tc>
          <w:tcPr>
            <w:tcW w:w="899" w:type="dxa"/>
            <w:tcBorders>
              <w:top w:val="nil"/>
              <w:left w:val="nil"/>
              <w:bottom w:val="single" w:sz="4" w:space="0" w:color="auto"/>
              <w:right w:val="single" w:sz="4" w:space="0" w:color="auto"/>
            </w:tcBorders>
            <w:shd w:val="clear" w:color="auto" w:fill="auto"/>
            <w:noWrap/>
            <w:vAlign w:val="bottom"/>
            <w:hideMark/>
          </w:tcPr>
          <w:p w14:paraId="67A97B0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w:t>
            </w:r>
          </w:p>
        </w:tc>
        <w:tc>
          <w:tcPr>
            <w:tcW w:w="899" w:type="dxa"/>
            <w:tcBorders>
              <w:top w:val="nil"/>
              <w:left w:val="nil"/>
              <w:bottom w:val="single" w:sz="4" w:space="0" w:color="auto"/>
              <w:right w:val="single" w:sz="4" w:space="0" w:color="auto"/>
            </w:tcBorders>
            <w:shd w:val="clear" w:color="auto" w:fill="auto"/>
            <w:noWrap/>
            <w:vAlign w:val="bottom"/>
            <w:hideMark/>
          </w:tcPr>
          <w:p w14:paraId="6BE2E5F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5.2</w:t>
            </w:r>
          </w:p>
        </w:tc>
        <w:tc>
          <w:tcPr>
            <w:tcW w:w="899" w:type="dxa"/>
            <w:tcBorders>
              <w:top w:val="nil"/>
              <w:left w:val="nil"/>
              <w:bottom w:val="single" w:sz="4" w:space="0" w:color="auto"/>
              <w:right w:val="single" w:sz="4" w:space="0" w:color="auto"/>
            </w:tcBorders>
            <w:shd w:val="clear" w:color="auto" w:fill="auto"/>
            <w:noWrap/>
            <w:vAlign w:val="bottom"/>
            <w:hideMark/>
          </w:tcPr>
          <w:p w14:paraId="7A9CDD5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w:t>
            </w:r>
          </w:p>
        </w:tc>
        <w:tc>
          <w:tcPr>
            <w:tcW w:w="899" w:type="dxa"/>
            <w:tcBorders>
              <w:top w:val="nil"/>
              <w:left w:val="nil"/>
              <w:bottom w:val="single" w:sz="4" w:space="0" w:color="auto"/>
              <w:right w:val="single" w:sz="4" w:space="0" w:color="auto"/>
            </w:tcBorders>
            <w:shd w:val="clear" w:color="auto" w:fill="auto"/>
            <w:noWrap/>
            <w:vAlign w:val="bottom"/>
            <w:hideMark/>
          </w:tcPr>
          <w:p w14:paraId="6EE43DD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4.4</w:t>
            </w:r>
          </w:p>
        </w:tc>
        <w:tc>
          <w:tcPr>
            <w:tcW w:w="899" w:type="dxa"/>
            <w:tcBorders>
              <w:top w:val="nil"/>
              <w:left w:val="nil"/>
              <w:bottom w:val="single" w:sz="4" w:space="0" w:color="auto"/>
              <w:right w:val="single" w:sz="4" w:space="0" w:color="auto"/>
            </w:tcBorders>
            <w:shd w:val="clear" w:color="auto" w:fill="auto"/>
            <w:noWrap/>
            <w:vAlign w:val="bottom"/>
            <w:hideMark/>
          </w:tcPr>
          <w:p w14:paraId="4524C52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4.7</w:t>
            </w:r>
          </w:p>
        </w:tc>
        <w:tc>
          <w:tcPr>
            <w:tcW w:w="899" w:type="dxa"/>
            <w:tcBorders>
              <w:top w:val="nil"/>
              <w:left w:val="nil"/>
              <w:bottom w:val="single" w:sz="4" w:space="0" w:color="auto"/>
              <w:right w:val="single" w:sz="4" w:space="0" w:color="auto"/>
            </w:tcBorders>
            <w:shd w:val="clear" w:color="auto" w:fill="auto"/>
            <w:noWrap/>
            <w:vAlign w:val="bottom"/>
            <w:hideMark/>
          </w:tcPr>
          <w:p w14:paraId="2EAC72F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4.2</w:t>
            </w:r>
          </w:p>
        </w:tc>
        <w:tc>
          <w:tcPr>
            <w:tcW w:w="900" w:type="dxa"/>
            <w:tcBorders>
              <w:top w:val="nil"/>
              <w:left w:val="nil"/>
              <w:bottom w:val="single" w:sz="4" w:space="0" w:color="auto"/>
              <w:right w:val="single" w:sz="4" w:space="0" w:color="auto"/>
            </w:tcBorders>
            <w:shd w:val="clear" w:color="auto" w:fill="auto"/>
            <w:noWrap/>
            <w:vAlign w:val="bottom"/>
            <w:hideMark/>
          </w:tcPr>
          <w:p w14:paraId="28C322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4.6</w:t>
            </w:r>
          </w:p>
        </w:tc>
      </w:tr>
      <w:tr w:rsidR="00240506" w:rsidRPr="00650EE4" w14:paraId="0EADAA18" w14:textId="77777777" w:rsidTr="00B219C4">
        <w:trPr>
          <w:trHeight w:val="18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29C68" w14:textId="2CD6ADC3" w:rsidR="00240506" w:rsidRPr="00650EE4" w:rsidRDefault="00B219C4" w:rsidP="00B219C4">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color w:val="auto"/>
                <w:sz w:val="20"/>
                <w:szCs w:val="20"/>
                <w:lang w:eastAsia="en-GB"/>
              </w:rPr>
              <w:t>ES vidurkis</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2D473D7D"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16.1</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210EB9FB"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15.6</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4D01964B"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15.1</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50EF995B"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15.6</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12DB174C"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15.7</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7A196CE9"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15.2</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3C743097"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15.4</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5078D3C4"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13.3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660E7E9"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13.9</w:t>
            </w:r>
          </w:p>
        </w:tc>
      </w:tr>
    </w:tbl>
    <w:p w14:paraId="37630308"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6C78191A" w14:textId="77777777" w:rsidR="00240506" w:rsidRPr="00650EE4" w:rsidRDefault="00240506" w:rsidP="008B4044">
      <w:pPr>
        <w:pStyle w:val="BodyText"/>
        <w:spacing w:line="280" w:lineRule="atLeast"/>
        <w:jc w:val="both"/>
        <w:rPr>
          <w:rFonts w:ascii="Times New Roman" w:hAnsi="Times New Roman"/>
          <w:color w:val="000000" w:themeColor="text1"/>
          <w:szCs w:val="22"/>
          <w:lang w:val="lt-LT"/>
        </w:rPr>
      </w:pPr>
    </w:p>
    <w:p w14:paraId="653B7299" w14:textId="6CB56577" w:rsidR="00275A26" w:rsidRPr="00650EE4" w:rsidRDefault="00275A26" w:rsidP="00A83445">
      <w:pPr>
        <w:spacing w:after="120" w:line="240" w:lineRule="auto"/>
        <w:jc w:val="both"/>
        <w:rPr>
          <w:rFonts w:ascii="Times New Roman" w:hAnsi="Times New Roman"/>
          <w:b/>
          <w:bCs/>
          <w:iCs/>
          <w:szCs w:val="22"/>
        </w:rPr>
      </w:pPr>
      <w:r w:rsidRPr="00650EE4">
        <w:rPr>
          <w:rFonts w:ascii="Times New Roman" w:hAnsi="Times New Roman"/>
          <w:b/>
          <w:bCs/>
          <w:iCs/>
          <w:szCs w:val="22"/>
        </w:rPr>
        <w:t>Taikoma</w:t>
      </w:r>
      <w:r w:rsidR="00A83445" w:rsidRPr="00650EE4">
        <w:rPr>
          <w:rFonts w:ascii="Times New Roman" w:hAnsi="Times New Roman"/>
          <w:b/>
          <w:bCs/>
          <w:iCs/>
          <w:szCs w:val="22"/>
        </w:rPr>
        <w:t xml:space="preserve"> politika ir veiksmai</w:t>
      </w:r>
    </w:p>
    <w:p w14:paraId="447699D4" w14:textId="3039B9A1" w:rsidR="00275A26" w:rsidRPr="00650EE4" w:rsidRDefault="00275A26" w:rsidP="00220E8D">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Taikomas politikos priemones nukreiptas į energ</w:t>
      </w:r>
      <w:r w:rsidR="002F655F" w:rsidRPr="00650EE4">
        <w:rPr>
          <w:rFonts w:ascii="Times New Roman" w:hAnsi="Times New Roman"/>
          <w:color w:val="000000" w:themeColor="text1"/>
          <w:szCs w:val="22"/>
        </w:rPr>
        <w:t>ijos nepriteklia</w:t>
      </w:r>
      <w:r w:rsidRPr="00650EE4">
        <w:rPr>
          <w:rFonts w:ascii="Times New Roman" w:hAnsi="Times New Roman"/>
          <w:color w:val="000000" w:themeColor="text1"/>
          <w:szCs w:val="22"/>
        </w:rPr>
        <w:t>us mažinimą galima suskirstyti į ši</w:t>
      </w:r>
      <w:r w:rsidR="00AF0810" w:rsidRPr="00650EE4">
        <w:rPr>
          <w:rFonts w:ascii="Times New Roman" w:hAnsi="Times New Roman"/>
          <w:color w:val="000000" w:themeColor="text1"/>
          <w:szCs w:val="22"/>
        </w:rPr>
        <w:t>a</w:t>
      </w:r>
      <w:r w:rsidRPr="00650EE4">
        <w:rPr>
          <w:rFonts w:ascii="Times New Roman" w:hAnsi="Times New Roman"/>
          <w:color w:val="000000" w:themeColor="text1"/>
          <w:szCs w:val="22"/>
        </w:rPr>
        <w:t>s pagrindines grupes:</w:t>
      </w:r>
    </w:p>
    <w:p w14:paraId="720BD229" w14:textId="049B4345" w:rsidR="00275A26" w:rsidRPr="00650EE4" w:rsidRDefault="006013CC" w:rsidP="00220E8D">
      <w:pPr>
        <w:pStyle w:val="ListParagraph"/>
        <w:numPr>
          <w:ilvl w:val="0"/>
          <w:numId w:val="12"/>
        </w:numPr>
        <w:spacing w:after="60"/>
        <w:ind w:left="714" w:hanging="357"/>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u</w:t>
      </w:r>
      <w:r w:rsidR="00275A26" w:rsidRPr="00650EE4">
        <w:rPr>
          <w:rFonts w:ascii="Times New Roman" w:hAnsi="Times New Roman"/>
          <w:szCs w:val="22"/>
          <w:lang w:val="lt-LT"/>
        </w:rPr>
        <w:t>niversalios priemonės, nukreiptos į pajamų didinimą</w:t>
      </w:r>
      <w:r>
        <w:rPr>
          <w:rFonts w:ascii="Times New Roman" w:hAnsi="Times New Roman"/>
          <w:szCs w:val="22"/>
          <w:lang w:val="lt-LT"/>
        </w:rPr>
        <w:t>;</w:t>
      </w:r>
    </w:p>
    <w:p w14:paraId="2A1E0BA4" w14:textId="1BEA45AF" w:rsidR="00275A26" w:rsidRPr="00650EE4" w:rsidRDefault="006013CC" w:rsidP="00220E8D">
      <w:pPr>
        <w:pStyle w:val="ListParagraph"/>
        <w:numPr>
          <w:ilvl w:val="0"/>
          <w:numId w:val="12"/>
        </w:numPr>
        <w:spacing w:after="60"/>
        <w:ind w:left="714" w:hanging="357"/>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u</w:t>
      </w:r>
      <w:r w:rsidR="00275A26" w:rsidRPr="00650EE4">
        <w:rPr>
          <w:rFonts w:ascii="Times New Roman" w:hAnsi="Times New Roman"/>
          <w:szCs w:val="22"/>
          <w:lang w:val="lt-LT"/>
        </w:rPr>
        <w:t>niversalios energetikos politikos priemonės (visam energetikos sektoriui bendri sprendimai, nukreipti į kaštų mažinimą ir efektyvumo didinimą)</w:t>
      </w:r>
      <w:r>
        <w:rPr>
          <w:rFonts w:ascii="Times New Roman" w:hAnsi="Times New Roman"/>
          <w:szCs w:val="22"/>
          <w:lang w:val="lt-LT"/>
        </w:rPr>
        <w:t>;</w:t>
      </w:r>
    </w:p>
    <w:p w14:paraId="26478D28" w14:textId="1D1C298C" w:rsidR="00275A26" w:rsidRPr="00650EE4" w:rsidRDefault="006013CC" w:rsidP="00220E8D">
      <w:pPr>
        <w:pStyle w:val="ListParagraph"/>
        <w:numPr>
          <w:ilvl w:val="0"/>
          <w:numId w:val="12"/>
        </w:numPr>
        <w:spacing w:after="60"/>
        <w:ind w:left="714" w:hanging="357"/>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t</w:t>
      </w:r>
      <w:r w:rsidR="00275A26" w:rsidRPr="00650EE4">
        <w:rPr>
          <w:rFonts w:ascii="Times New Roman" w:hAnsi="Times New Roman"/>
          <w:szCs w:val="22"/>
          <w:lang w:val="lt-LT"/>
        </w:rPr>
        <w:t>ikslinės priemonės energijos nepritekliui mažinti:</w:t>
      </w:r>
    </w:p>
    <w:p w14:paraId="2C7B5CC5" w14:textId="3695ED5C" w:rsidR="00275A26" w:rsidRPr="00650EE4" w:rsidRDefault="006013CC" w:rsidP="00BD4925">
      <w:pPr>
        <w:pStyle w:val="ListParagraph"/>
        <w:numPr>
          <w:ilvl w:val="1"/>
          <w:numId w:val="46"/>
        </w:numPr>
        <w:spacing w:after="60"/>
        <w:ind w:left="1134" w:hanging="283"/>
        <w:contextualSpacing w:val="0"/>
        <w:jc w:val="both"/>
        <w:rPr>
          <w:rFonts w:ascii="Times New Roman" w:eastAsia="Times New Roman" w:hAnsi="Times New Roman"/>
          <w:i/>
          <w:color w:val="000000" w:themeColor="text1"/>
          <w:sz w:val="20"/>
          <w:szCs w:val="28"/>
          <w:lang w:val="lt-LT"/>
        </w:rPr>
      </w:pPr>
      <w:proofErr w:type="spellStart"/>
      <w:r>
        <w:rPr>
          <w:rFonts w:ascii="Times New Roman" w:hAnsi="Times New Roman"/>
          <w:szCs w:val="22"/>
          <w:lang w:val="lt-LT"/>
        </w:rPr>
        <w:t>s</w:t>
      </w:r>
      <w:r w:rsidR="00275A26" w:rsidRPr="00650EE4">
        <w:rPr>
          <w:rFonts w:ascii="Times New Roman" w:hAnsi="Times New Roman"/>
          <w:szCs w:val="22"/>
          <w:lang w:val="lt-LT"/>
        </w:rPr>
        <w:t>ocio</w:t>
      </w:r>
      <w:r w:rsidR="00781599" w:rsidRPr="00650EE4">
        <w:rPr>
          <w:rFonts w:ascii="Times New Roman" w:hAnsi="Times New Roman"/>
          <w:szCs w:val="22"/>
          <w:lang w:val="lt-LT"/>
        </w:rPr>
        <w:t>-</w:t>
      </w:r>
      <w:r w:rsidR="00275A26" w:rsidRPr="00650EE4">
        <w:rPr>
          <w:rFonts w:ascii="Times New Roman" w:hAnsi="Times New Roman"/>
          <w:szCs w:val="22"/>
          <w:lang w:val="lt-LT"/>
        </w:rPr>
        <w:t>ekonominės</w:t>
      </w:r>
      <w:proofErr w:type="spellEnd"/>
      <w:r w:rsidR="00275A26" w:rsidRPr="00650EE4">
        <w:rPr>
          <w:rFonts w:ascii="Times New Roman" w:hAnsi="Times New Roman"/>
          <w:szCs w:val="22"/>
          <w:lang w:val="lt-LT"/>
        </w:rPr>
        <w:t xml:space="preserve"> </w:t>
      </w:r>
      <w:r w:rsidR="00C52BF4" w:rsidRPr="00650EE4">
        <w:rPr>
          <w:rFonts w:ascii="Times New Roman" w:hAnsi="Times New Roman"/>
          <w:szCs w:val="22"/>
          <w:lang w:val="lt-LT"/>
        </w:rPr>
        <w:t>priemo</w:t>
      </w:r>
      <w:r w:rsidR="00275A26" w:rsidRPr="00650EE4">
        <w:rPr>
          <w:rFonts w:ascii="Times New Roman" w:hAnsi="Times New Roman"/>
          <w:szCs w:val="22"/>
          <w:lang w:val="lt-LT"/>
        </w:rPr>
        <w:t>nės (pvz., šildymo išlaidų kompensacija</w:t>
      </w:r>
      <w:r w:rsidR="00C52BF4" w:rsidRPr="00650EE4">
        <w:rPr>
          <w:rFonts w:ascii="Times New Roman" w:hAnsi="Times New Roman"/>
          <w:szCs w:val="22"/>
          <w:lang w:val="lt-LT"/>
        </w:rPr>
        <w:t xml:space="preserve"> asmenims, kurių pajamos žemos);</w:t>
      </w:r>
    </w:p>
    <w:p w14:paraId="60CB33D2" w14:textId="42B81547" w:rsidR="00275A26" w:rsidRPr="00650EE4" w:rsidRDefault="006013CC" w:rsidP="00BD4925">
      <w:pPr>
        <w:pStyle w:val="ListParagraph"/>
        <w:numPr>
          <w:ilvl w:val="1"/>
          <w:numId w:val="46"/>
        </w:numPr>
        <w:spacing w:after="60"/>
        <w:ind w:left="1134" w:hanging="283"/>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į</w:t>
      </w:r>
      <w:r w:rsidR="00823E99" w:rsidRPr="00650EE4">
        <w:rPr>
          <w:rFonts w:ascii="Times New Roman" w:hAnsi="Times New Roman"/>
          <w:szCs w:val="22"/>
          <w:lang w:val="lt-LT"/>
        </w:rPr>
        <w:t xml:space="preserve"> tam tikrą būsto segmentą orientuotos priemonės</w:t>
      </w:r>
      <w:r w:rsidR="00B51A86" w:rsidRPr="00650EE4">
        <w:rPr>
          <w:rFonts w:ascii="Times New Roman" w:hAnsi="Times New Roman"/>
          <w:szCs w:val="22"/>
          <w:lang w:val="lt-LT"/>
        </w:rPr>
        <w:t xml:space="preserve"> (pvz., daugiabučių renovacijos</w:t>
      </w:r>
      <w:r w:rsidR="00823E99" w:rsidRPr="00650EE4">
        <w:rPr>
          <w:rFonts w:ascii="Times New Roman" w:hAnsi="Times New Roman"/>
          <w:szCs w:val="22"/>
          <w:lang w:val="lt-LT"/>
        </w:rPr>
        <w:t xml:space="preserve"> programa</w:t>
      </w:r>
      <w:r w:rsidR="001E5C98" w:rsidRPr="00650EE4">
        <w:rPr>
          <w:rFonts w:ascii="Times New Roman" w:hAnsi="Times New Roman"/>
          <w:szCs w:val="22"/>
          <w:lang w:val="lt-LT"/>
        </w:rPr>
        <w:t>);</w:t>
      </w:r>
    </w:p>
    <w:p w14:paraId="738B71C7" w14:textId="61E399F0" w:rsidR="00275A26" w:rsidRPr="00650EE4" w:rsidRDefault="006013CC" w:rsidP="00BD4925">
      <w:pPr>
        <w:pStyle w:val="ListParagraph"/>
        <w:numPr>
          <w:ilvl w:val="1"/>
          <w:numId w:val="46"/>
        </w:numPr>
        <w:spacing w:after="60"/>
        <w:ind w:left="1134" w:hanging="283"/>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į</w:t>
      </w:r>
      <w:r w:rsidR="00823E99" w:rsidRPr="00650EE4">
        <w:rPr>
          <w:rFonts w:ascii="Times New Roman" w:hAnsi="Times New Roman"/>
          <w:szCs w:val="22"/>
          <w:lang w:val="lt-LT"/>
        </w:rPr>
        <w:t xml:space="preserve"> specifines</w:t>
      </w:r>
      <w:r w:rsidR="0073422A" w:rsidRPr="00650EE4">
        <w:rPr>
          <w:rFonts w:ascii="Times New Roman" w:hAnsi="Times New Roman"/>
          <w:szCs w:val="22"/>
          <w:lang w:val="lt-LT"/>
        </w:rPr>
        <w:t xml:space="preserve"> </w:t>
      </w:r>
      <w:r w:rsidR="00823E99" w:rsidRPr="00650EE4">
        <w:rPr>
          <w:rFonts w:ascii="Times New Roman" w:hAnsi="Times New Roman"/>
          <w:szCs w:val="22"/>
          <w:lang w:val="lt-LT"/>
        </w:rPr>
        <w:t xml:space="preserve">energijos rūšis </w:t>
      </w:r>
      <w:r w:rsidR="004D27B3" w:rsidRPr="00650EE4">
        <w:rPr>
          <w:rFonts w:ascii="Times New Roman" w:hAnsi="Times New Roman"/>
          <w:szCs w:val="22"/>
          <w:lang w:val="lt-LT"/>
        </w:rPr>
        <w:t>orientuotos priemonės</w:t>
      </w:r>
      <w:r w:rsidR="0073422A" w:rsidRPr="00650EE4">
        <w:rPr>
          <w:rFonts w:ascii="Times New Roman" w:hAnsi="Times New Roman"/>
          <w:szCs w:val="22"/>
          <w:lang w:val="lt-LT"/>
        </w:rPr>
        <w:t xml:space="preserve"> </w:t>
      </w:r>
      <w:r w:rsidR="00275A26" w:rsidRPr="00650EE4">
        <w:rPr>
          <w:rFonts w:ascii="Times New Roman" w:hAnsi="Times New Roman"/>
          <w:szCs w:val="22"/>
          <w:lang w:val="lt-LT"/>
        </w:rPr>
        <w:t>(</w:t>
      </w:r>
      <w:r w:rsidR="004D27B3" w:rsidRPr="00650EE4">
        <w:rPr>
          <w:rFonts w:ascii="Times New Roman" w:hAnsi="Times New Roman"/>
          <w:szCs w:val="22"/>
          <w:lang w:val="lt-LT"/>
        </w:rPr>
        <w:t>konkrečioms</w:t>
      </w:r>
      <w:r w:rsidR="00275A26" w:rsidRPr="00650EE4">
        <w:rPr>
          <w:rFonts w:ascii="Times New Roman" w:hAnsi="Times New Roman"/>
          <w:szCs w:val="22"/>
          <w:lang w:val="lt-LT"/>
        </w:rPr>
        <w:t xml:space="preserve"> energijos rūšims</w:t>
      </w:r>
      <w:r w:rsidR="004D27B3" w:rsidRPr="00650EE4">
        <w:rPr>
          <w:rFonts w:ascii="Times New Roman" w:hAnsi="Times New Roman"/>
          <w:szCs w:val="22"/>
          <w:lang w:val="lt-LT"/>
        </w:rPr>
        <w:t xml:space="preserve"> taikomos</w:t>
      </w:r>
      <w:r w:rsidR="00275A26" w:rsidRPr="00650EE4">
        <w:rPr>
          <w:rFonts w:ascii="Times New Roman" w:hAnsi="Times New Roman"/>
          <w:szCs w:val="22"/>
          <w:lang w:val="lt-LT"/>
        </w:rPr>
        <w:t xml:space="preserve"> specifinės lengvatos)</w:t>
      </w:r>
      <w:r w:rsidR="001E5C98" w:rsidRPr="00650EE4">
        <w:rPr>
          <w:rFonts w:ascii="Times New Roman" w:hAnsi="Times New Roman"/>
          <w:szCs w:val="22"/>
          <w:lang w:val="lt-LT"/>
        </w:rPr>
        <w:t>;</w:t>
      </w:r>
    </w:p>
    <w:p w14:paraId="0DB8624F" w14:textId="49D8F9C7" w:rsidR="0051748D" w:rsidRPr="00650EE4" w:rsidRDefault="006013CC" w:rsidP="00BD4925">
      <w:pPr>
        <w:pStyle w:val="ListParagraph"/>
        <w:numPr>
          <w:ilvl w:val="1"/>
          <w:numId w:val="46"/>
        </w:numPr>
        <w:ind w:left="1134" w:hanging="283"/>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į</w:t>
      </w:r>
      <w:r w:rsidR="00275A26" w:rsidRPr="00650EE4">
        <w:rPr>
          <w:rFonts w:ascii="Times New Roman" w:hAnsi="Times New Roman"/>
          <w:szCs w:val="22"/>
          <w:lang w:val="lt-LT"/>
        </w:rPr>
        <w:t xml:space="preserve"> specifines vietoves </w:t>
      </w:r>
      <w:r w:rsidR="004D27B3" w:rsidRPr="00650EE4">
        <w:rPr>
          <w:rFonts w:ascii="Times New Roman" w:hAnsi="Times New Roman"/>
          <w:szCs w:val="22"/>
          <w:lang w:val="lt-LT"/>
        </w:rPr>
        <w:t xml:space="preserve">(regionus) orientuotos priemonės. </w:t>
      </w:r>
    </w:p>
    <w:p w14:paraId="09B8A4F2" w14:textId="77777777" w:rsidR="00614AC7" w:rsidRPr="00650EE4" w:rsidRDefault="00614AC7" w:rsidP="00D312D7">
      <w:pPr>
        <w:pStyle w:val="BodyText"/>
        <w:spacing w:line="280" w:lineRule="atLeast"/>
        <w:jc w:val="both"/>
        <w:rPr>
          <w:rFonts w:ascii="Times New Roman" w:hAnsi="Times New Roman"/>
          <w:color w:val="auto"/>
          <w:szCs w:val="22"/>
          <w:lang w:val="lt-LT"/>
        </w:rPr>
      </w:pPr>
    </w:p>
    <w:p w14:paraId="66ABFBB1" w14:textId="77777777" w:rsidR="007A4910" w:rsidRPr="00650EE4" w:rsidRDefault="007A4910" w:rsidP="002A424A">
      <w:pPr>
        <w:pStyle w:val="BodyText"/>
        <w:spacing w:line="280" w:lineRule="atLeast"/>
        <w:jc w:val="both"/>
        <w:rPr>
          <w:rFonts w:ascii="Times New Roman" w:hAnsi="Times New Roman"/>
          <w:color w:val="002060"/>
          <w:szCs w:val="22"/>
          <w:lang w:val="lt-LT"/>
        </w:rPr>
      </w:pPr>
    </w:p>
    <w:p w14:paraId="475A612A" w14:textId="77777777" w:rsidR="00B219C4" w:rsidRPr="00650EE4" w:rsidRDefault="00B219C4" w:rsidP="002A424A">
      <w:pPr>
        <w:pStyle w:val="BodyText"/>
        <w:spacing w:line="280" w:lineRule="atLeast"/>
        <w:jc w:val="both"/>
        <w:rPr>
          <w:rFonts w:ascii="Times New Roman" w:hAnsi="Times New Roman"/>
          <w:color w:val="002060"/>
          <w:szCs w:val="22"/>
          <w:lang w:val="lt-LT"/>
        </w:rPr>
      </w:pPr>
    </w:p>
    <w:p w14:paraId="2F934F0C" w14:textId="77777777" w:rsidR="00C5035E" w:rsidRDefault="00C5035E">
      <w:pPr>
        <w:spacing w:after="240"/>
        <w:rPr>
          <w:rFonts w:ascii="Times New Roman" w:eastAsia="Times New Roman" w:hAnsi="Times New Roman"/>
          <w:b/>
          <w:bCs/>
          <w:caps/>
          <w:color w:val="auto"/>
          <w:kern w:val="32"/>
          <w:sz w:val="24"/>
          <w:szCs w:val="24"/>
        </w:rPr>
      </w:pPr>
      <w:r>
        <w:rPr>
          <w:rFonts w:ascii="Times New Roman" w:hAnsi="Times New Roman"/>
          <w:color w:val="auto"/>
          <w:sz w:val="24"/>
          <w:szCs w:val="24"/>
        </w:rPr>
        <w:br w:type="page"/>
      </w:r>
    </w:p>
    <w:p w14:paraId="590F1C4D" w14:textId="57032AF1" w:rsidR="00D947C2" w:rsidRPr="00650EE4" w:rsidRDefault="00D947C2" w:rsidP="00D947C2">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35" w:name="_Toc67925144"/>
      <w:r w:rsidRPr="00650EE4">
        <w:rPr>
          <w:rFonts w:ascii="Times New Roman" w:hAnsi="Times New Roman"/>
          <w:color w:val="auto"/>
          <w:sz w:val="24"/>
          <w:szCs w:val="24"/>
          <w:lang w:val="lt-LT"/>
        </w:rPr>
        <w:lastRenderedPageBreak/>
        <w:t>Taikoma politika ir veiksmai orientuoti į viešuosius pastatus</w:t>
      </w:r>
      <w:bookmarkEnd w:id="135"/>
    </w:p>
    <w:p w14:paraId="33BD8F70" w14:textId="77777777" w:rsidR="00D947C2" w:rsidRPr="00650EE4" w:rsidRDefault="00D947C2" w:rsidP="00D947C2">
      <w:pPr>
        <w:pStyle w:val="Pagrindinispaprastastekstas"/>
        <w:rPr>
          <w:rFonts w:ascii="Times New Roman" w:hAnsi="Times New Roman"/>
        </w:rPr>
      </w:pPr>
      <w:r w:rsidRPr="00650EE4">
        <w:rPr>
          <w:rFonts w:ascii="Times New Roman" w:hAnsi="Times New Roman"/>
          <w:noProof/>
          <w:color w:val="000000" w:themeColor="text1"/>
          <w:sz w:val="24"/>
          <w:lang w:eastAsia="lt-LT"/>
        </w:rPr>
        <mc:AlternateContent>
          <mc:Choice Requires="wps">
            <w:drawing>
              <wp:inline distT="0" distB="0" distL="0" distR="0" wp14:anchorId="4DD752C9" wp14:editId="65DDE644">
                <wp:extent cx="6479540" cy="431596"/>
                <wp:effectExtent l="0" t="0" r="0" b="698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31596"/>
                        </a:xfrm>
                        <a:prstGeom prst="rect">
                          <a:avLst/>
                        </a:prstGeom>
                        <a:solidFill>
                          <a:schemeClr val="bg1">
                            <a:lumMod val="85000"/>
                          </a:schemeClr>
                        </a:solidFill>
                        <a:ln>
                          <a:noFill/>
                        </a:ln>
                      </wps:spPr>
                      <wps:txbx>
                        <w:txbxContent>
                          <w:p w14:paraId="194D29CD" w14:textId="77777777" w:rsidR="005E392B" w:rsidRPr="00A745B7" w:rsidRDefault="005E392B" w:rsidP="00D947C2">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e</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w:t>
                            </w:r>
                            <w:r>
                              <w:rPr>
                                <w:rFonts w:ascii="Times New Roman" w:hAnsi="Times New Roman" w:cs="Times New Roman"/>
                                <w:bCs/>
                                <w:color w:val="000000" w:themeColor="text1"/>
                                <w:sz w:val="22"/>
                              </w:rPr>
                              <w:t xml:space="preserve">i </w:t>
                            </w:r>
                            <w:r w:rsidRPr="00A57495">
                              <w:rPr>
                                <w:rFonts w:ascii="Times New Roman" w:hAnsi="Times New Roman" w:cs="Times New Roman"/>
                                <w:bCs/>
                                <w:color w:val="000000" w:themeColor="text1"/>
                                <w:sz w:val="22"/>
                              </w:rPr>
                              <w:t>politika ir veiksmai, kuriais būtų sprendžiami su visais viešaisiais pastatais susiję klausimai</w:t>
                            </w:r>
                            <w:r>
                              <w:rPr>
                                <w:rFonts w:ascii="Times New Roman" w:hAnsi="Times New Roman" w:cs="Times New Roman"/>
                                <w:bCs/>
                                <w:color w:val="000000" w:themeColor="text1"/>
                                <w:sz w:val="22"/>
                              </w:rPr>
                              <w:t>“</w:t>
                            </w:r>
                          </w:p>
                          <w:p w14:paraId="40495A04" w14:textId="77777777" w:rsidR="005E392B" w:rsidRPr="00445553" w:rsidRDefault="005E392B" w:rsidP="00D947C2">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35" o:spid="_x0000_s1034" type="#_x0000_t202" style="width:510.2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ZJHAIAABsEAAAOAAAAZHJzL2Uyb0RvYy54bWysU9uO0zAQfUfiHyy/06TdtttGTVdLV4uQ&#10;lgVplw9wHCexcDzGdpuUr2dst6XAG+LF8lx85syZ8eZu7BU5COsk6JJOJzklQnOopW5L+vX18d2K&#10;EueZrpkCLUp6FI7ebd++2QymEDPoQNXCEgTRrhhMSTvvTZFljneiZ24CRmgMNmB75tG0bVZbNiB6&#10;r7JZni+zAWxtLHDhHHofUpBuI37TCO4/N40TnqiSIjcfTxvPKpzZdsOK1jLTSX6iwf6BRc+kxqIX&#10;qAfmGdlb+RdUL7kFB42fcOgzaBrJRewBu5nmf3Tz0jEjYi8ojjMXmdz/g+XPhy+WyLqkNwtKNOtx&#10;Rq9i9OQ9jARdqM9gXIFpLwYT/Yh+nHPs1Zkn4N8c0bDrmG7FvbUwdILVyG8aXmZXTxOOCyDV8Alq&#10;rMP2HiLQ2Ng+iIdyEETHOR0vswlcODqX89v1Yo4hjrH5zXSxXsYSrDi/Ntb5DwJ6Ei4ltTj7iM4O&#10;T84HNqw4p4RiDpSsH6VS0Qj7JnbKkgPDTana1KHa90g1+VaLPI/7gjhxPUN6RP0NSemApyEgp6LB&#10;E5UIzScZ/FiNUfTVWeAK6iNKYyFtKP4ovHRgf1Ay4HaW1H3fMysoUR81yruezoMWPhrzxe0MDXsd&#10;qa4jTHOEKqmnJF13Pn2BvbGy7bBSalfDPY6kkVGtMLvE6kQfNzC2e/otYcWv7Zj1609vfwIAAP//&#10;AwBQSwMEFAAGAAgAAAAhAAQe1RvcAAAABQEAAA8AAABkcnMvZG93bnJldi54bWxMj0FLw0AQhe+C&#10;/2EZwZvdNUgNaTZFBEGlCm2152kyTYLZ2bC7aWJ/vVsvehl4vMd73+TLyXTiSM63ljXczhQI4tJW&#10;LdcaPrZPNykIH5Ar7CyThm/ysCwuL3LMKjvymo6bUItYwj5DDU0IfSalLxsy6Ge2J47ewTqDIUpX&#10;y8rhGMtNJxOl5tJgy3GhwZ4eGyq/NoPRsOLXFzxs07fTKRnGz93z/fi+clpfX00PCxCBpvAXhjN+&#10;RIciMu3twJUXnYb4SPi9Z08l6g7EXsM8VSCLXP6nL34AAAD//wMAUEsBAi0AFAAGAAgAAAAhALaD&#10;OJL+AAAA4QEAABMAAAAAAAAAAAAAAAAAAAAAAFtDb250ZW50X1R5cGVzXS54bWxQSwECLQAUAAYA&#10;CAAAACEAOP0h/9YAAACUAQAACwAAAAAAAAAAAAAAAAAvAQAAX3JlbHMvLnJlbHNQSwECLQAUAAYA&#10;CAAAACEA8xnWSRwCAAAbBAAADgAAAAAAAAAAAAAAAAAuAgAAZHJzL2Uyb0RvYy54bWxQSwECLQAU&#10;AAYACAAAACEABB7VG9wAAAAFAQAADwAAAAAAAAAAAAAAAAB2BAAAZHJzL2Rvd25yZXYueG1sUEsF&#10;BgAAAAAEAAQA8wAAAH8FAAAAAA==&#10;" fillcolor="#d8d8d8 [2732]" stroked="f">
                <v:textbox>
                  <w:txbxContent>
                    <w:p w14:paraId="194D29CD" w14:textId="77777777" w:rsidR="005E392B" w:rsidRPr="00A745B7" w:rsidRDefault="005E392B" w:rsidP="00D947C2">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e</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w:t>
                      </w:r>
                      <w:r>
                        <w:rPr>
                          <w:rFonts w:ascii="Times New Roman" w:hAnsi="Times New Roman" w:cs="Times New Roman"/>
                          <w:bCs/>
                          <w:color w:val="000000" w:themeColor="text1"/>
                          <w:sz w:val="22"/>
                        </w:rPr>
                        <w:t xml:space="preserve">i </w:t>
                      </w:r>
                      <w:r w:rsidRPr="00A57495">
                        <w:rPr>
                          <w:rFonts w:ascii="Times New Roman" w:hAnsi="Times New Roman" w:cs="Times New Roman"/>
                          <w:bCs/>
                          <w:color w:val="000000" w:themeColor="text1"/>
                          <w:sz w:val="22"/>
                        </w:rPr>
                        <w:t>politika ir veiksmai, kuriais būtų sprendžiami su visais viešaisiais pastatais susiję klausimai</w:t>
                      </w:r>
                      <w:r>
                        <w:rPr>
                          <w:rFonts w:ascii="Times New Roman" w:hAnsi="Times New Roman" w:cs="Times New Roman"/>
                          <w:bCs/>
                          <w:color w:val="000000" w:themeColor="text1"/>
                          <w:sz w:val="22"/>
                        </w:rPr>
                        <w:t>“</w:t>
                      </w:r>
                    </w:p>
                    <w:p w14:paraId="40495A04" w14:textId="77777777" w:rsidR="005E392B" w:rsidRPr="00445553" w:rsidRDefault="005E392B" w:rsidP="00D947C2">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0A3490E2" w14:textId="77777777" w:rsidR="00D947C2" w:rsidRPr="00650EE4" w:rsidRDefault="00D947C2" w:rsidP="00D947C2">
      <w:pPr>
        <w:pStyle w:val="Pagrindinispaprastastekstas"/>
        <w:rPr>
          <w:rFonts w:ascii="Times New Roman" w:hAnsi="Times New Roman"/>
          <w:szCs w:val="22"/>
        </w:rPr>
      </w:pPr>
    </w:p>
    <w:p w14:paraId="736EB445" w14:textId="6BC67BA9" w:rsidR="00D947C2" w:rsidRPr="00650EE4" w:rsidRDefault="00AB4528" w:rsidP="00CF284A">
      <w:pPr>
        <w:spacing w:after="240"/>
        <w:jc w:val="both"/>
        <w:rPr>
          <w:rFonts w:ascii="Times New Roman" w:hAnsi="Times New Roman"/>
          <w:color w:val="000000" w:themeColor="text1"/>
          <w:szCs w:val="22"/>
        </w:rPr>
      </w:pPr>
      <w:r>
        <w:rPr>
          <w:rFonts w:ascii="Times New Roman" w:hAnsi="Times New Roman"/>
          <w:color w:val="000000" w:themeColor="text1"/>
          <w:szCs w:val="22"/>
        </w:rPr>
        <w:t>Lentelėje žemiau pateikiamos</w:t>
      </w:r>
      <w:r w:rsidR="00D947C2" w:rsidRPr="00650EE4">
        <w:rPr>
          <w:rFonts w:ascii="Times New Roman" w:hAnsi="Times New Roman"/>
          <w:color w:val="000000" w:themeColor="text1"/>
          <w:szCs w:val="22"/>
        </w:rPr>
        <w:t xml:space="preserve"> priemonės</w:t>
      </w:r>
      <w:r w:rsidR="006013CC">
        <w:rPr>
          <w:rFonts w:ascii="Times New Roman" w:hAnsi="Times New Roman"/>
          <w:color w:val="000000" w:themeColor="text1"/>
          <w:szCs w:val="22"/>
        </w:rPr>
        <w:t xml:space="preserve"> (pagal NECP nurodytus priemonių kodus)</w:t>
      </w:r>
      <w:r w:rsidR="00D947C2" w:rsidRPr="00650EE4">
        <w:rPr>
          <w:rFonts w:ascii="Times New Roman" w:hAnsi="Times New Roman"/>
          <w:color w:val="000000" w:themeColor="text1"/>
          <w:szCs w:val="22"/>
        </w:rPr>
        <w:t>, kuriomis skatinama</w:t>
      </w:r>
      <w:r>
        <w:rPr>
          <w:rFonts w:ascii="Times New Roman" w:hAnsi="Times New Roman"/>
          <w:color w:val="000000" w:themeColor="text1"/>
          <w:szCs w:val="22"/>
        </w:rPr>
        <w:t>s</w:t>
      </w:r>
      <w:r w:rsidR="00D947C2" w:rsidRPr="00650EE4">
        <w:rPr>
          <w:rFonts w:ascii="Times New Roman" w:hAnsi="Times New Roman"/>
          <w:color w:val="000000" w:themeColor="text1"/>
          <w:szCs w:val="22"/>
        </w:rPr>
        <w:t xml:space="preserve"> </w:t>
      </w:r>
      <w:r>
        <w:rPr>
          <w:rFonts w:ascii="Times New Roman" w:hAnsi="Times New Roman"/>
          <w:color w:val="000000" w:themeColor="text1"/>
          <w:szCs w:val="22"/>
        </w:rPr>
        <w:t xml:space="preserve"> viešųjų pastatų energijos vartojimo efektyvumo didinimas.</w:t>
      </w:r>
    </w:p>
    <w:p w14:paraId="7906B905" w14:textId="358EA6A4" w:rsidR="00D947C2"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6" w:name="_Toc67925233"/>
      <w:r w:rsidR="007744C1">
        <w:t>50</w:t>
      </w:r>
      <w:r w:rsidRPr="00650EE4">
        <w:rPr>
          <w:noProof w:val="0"/>
        </w:rPr>
        <w:fldChar w:fldCharType="end"/>
      </w:r>
      <w:r w:rsidR="001E6DEB" w:rsidRPr="00650EE4">
        <w:rPr>
          <w:noProof w:val="0"/>
        </w:rPr>
        <w:t xml:space="preserve"> lentelė</w:t>
      </w:r>
      <w:r w:rsidR="00D947C2" w:rsidRPr="00650EE4">
        <w:rPr>
          <w:noProof w:val="0"/>
        </w:rPr>
        <w:t>. Esamos politikos priemonės, kuriomis skatinamas viešųjų pastatų energijos vartojimo efektyvumo didinimas</w:t>
      </w:r>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3442"/>
        <w:gridCol w:w="1195"/>
        <w:gridCol w:w="1448"/>
        <w:gridCol w:w="2746"/>
      </w:tblGrid>
      <w:tr w:rsidR="00D947C2" w:rsidRPr="00650EE4" w14:paraId="1F14F7A1" w14:textId="77777777" w:rsidTr="00062031">
        <w:trPr>
          <w:jc w:val="center"/>
        </w:trPr>
        <w:tc>
          <w:tcPr>
            <w:tcW w:w="1555" w:type="dxa"/>
          </w:tcPr>
          <w:p w14:paraId="11F4DBB2"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Priemonė </w:t>
            </w:r>
          </w:p>
        </w:tc>
        <w:tc>
          <w:tcPr>
            <w:tcW w:w="3367" w:type="dxa"/>
          </w:tcPr>
          <w:p w14:paraId="799CFE46"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Planuojamos apimtys ir rezultatai / efektas </w:t>
            </w:r>
          </w:p>
        </w:tc>
        <w:tc>
          <w:tcPr>
            <w:tcW w:w="1169" w:type="dxa"/>
          </w:tcPr>
          <w:p w14:paraId="16D3AFA1" w14:textId="3BE8B978"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proofErr w:type="spellStart"/>
            <w:r w:rsidRPr="00650EE4">
              <w:rPr>
                <w:rFonts w:ascii="Times New Roman" w:eastAsiaTheme="minorHAnsi" w:hAnsi="Times New Roman"/>
                <w:b/>
                <w:bCs/>
                <w:color w:val="000000" w:themeColor="text1"/>
                <w:sz w:val="20"/>
                <w:szCs w:val="20"/>
              </w:rPr>
              <w:t>Įgyvendi</w:t>
            </w:r>
            <w:r w:rsidR="0050305C" w:rsidRPr="00650EE4">
              <w:rPr>
                <w:rFonts w:ascii="Times New Roman" w:eastAsiaTheme="minorHAnsi" w:hAnsi="Times New Roman"/>
                <w:b/>
                <w:bCs/>
                <w:color w:val="000000" w:themeColor="text1"/>
                <w:sz w:val="20"/>
                <w:szCs w:val="20"/>
              </w:rPr>
              <w:t>-</w:t>
            </w:r>
            <w:r w:rsidRPr="00650EE4">
              <w:rPr>
                <w:rFonts w:ascii="Times New Roman" w:eastAsiaTheme="minorHAnsi" w:hAnsi="Times New Roman"/>
                <w:b/>
                <w:bCs/>
                <w:color w:val="000000" w:themeColor="text1"/>
                <w:sz w:val="20"/>
                <w:szCs w:val="20"/>
              </w:rPr>
              <w:t>nimo</w:t>
            </w:r>
            <w:proofErr w:type="spellEnd"/>
            <w:r w:rsidRPr="00650EE4">
              <w:rPr>
                <w:rFonts w:ascii="Times New Roman" w:eastAsiaTheme="minorHAnsi" w:hAnsi="Times New Roman"/>
                <w:b/>
                <w:bCs/>
                <w:color w:val="000000" w:themeColor="text1"/>
                <w:sz w:val="20"/>
                <w:szCs w:val="20"/>
              </w:rPr>
              <w:t xml:space="preserve"> laikotarpis </w:t>
            </w:r>
          </w:p>
        </w:tc>
        <w:tc>
          <w:tcPr>
            <w:tcW w:w="1417" w:type="dxa"/>
          </w:tcPr>
          <w:p w14:paraId="5205720D"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Subjektai, atsakingi už politikos įgyvendinimą </w:t>
            </w:r>
          </w:p>
        </w:tc>
        <w:tc>
          <w:tcPr>
            <w:tcW w:w="2686" w:type="dxa"/>
          </w:tcPr>
          <w:p w14:paraId="35F55043"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Energijos sutaupymas </w:t>
            </w:r>
            <w:proofErr w:type="spellStart"/>
            <w:r w:rsidRPr="00650EE4">
              <w:rPr>
                <w:rFonts w:ascii="Times New Roman" w:eastAsiaTheme="minorHAnsi" w:hAnsi="Times New Roman"/>
                <w:b/>
                <w:bCs/>
                <w:color w:val="000000" w:themeColor="text1"/>
                <w:sz w:val="20"/>
                <w:szCs w:val="20"/>
              </w:rPr>
              <w:t>TWh</w:t>
            </w:r>
            <w:proofErr w:type="spellEnd"/>
            <w:r w:rsidRPr="00650EE4">
              <w:rPr>
                <w:rFonts w:ascii="Times New Roman" w:eastAsiaTheme="minorHAnsi" w:hAnsi="Times New Roman"/>
                <w:b/>
                <w:bCs/>
                <w:color w:val="000000" w:themeColor="text1"/>
                <w:sz w:val="20"/>
                <w:szCs w:val="20"/>
              </w:rPr>
              <w:t xml:space="preserve"> ir suminis ŠESD sumažinimo efektas, tūkst. t CO</w:t>
            </w:r>
            <w:r w:rsidRPr="00650EE4">
              <w:rPr>
                <w:rFonts w:ascii="Times New Roman" w:eastAsiaTheme="minorHAnsi" w:hAnsi="Times New Roman"/>
                <w:b/>
                <w:bCs/>
                <w:color w:val="000000" w:themeColor="text1"/>
                <w:sz w:val="20"/>
                <w:szCs w:val="20"/>
                <w:vertAlign w:val="subscript"/>
              </w:rPr>
              <w:t>2</w:t>
            </w:r>
            <w:r w:rsidRPr="00650EE4">
              <w:rPr>
                <w:rFonts w:ascii="Times New Roman" w:eastAsiaTheme="minorHAnsi" w:hAnsi="Times New Roman"/>
                <w:b/>
                <w:bCs/>
                <w:color w:val="000000" w:themeColor="text1"/>
                <w:sz w:val="20"/>
                <w:szCs w:val="20"/>
              </w:rPr>
              <w:t xml:space="preserve"> </w:t>
            </w:r>
            <w:proofErr w:type="spellStart"/>
            <w:r w:rsidRPr="00650EE4">
              <w:rPr>
                <w:rFonts w:ascii="Times New Roman" w:eastAsiaTheme="minorHAnsi" w:hAnsi="Times New Roman"/>
                <w:b/>
                <w:bCs/>
                <w:color w:val="000000" w:themeColor="text1"/>
                <w:sz w:val="20"/>
                <w:szCs w:val="20"/>
              </w:rPr>
              <w:t>ekv</w:t>
            </w:r>
            <w:proofErr w:type="spellEnd"/>
            <w:r w:rsidRPr="00650EE4">
              <w:rPr>
                <w:rFonts w:ascii="Times New Roman" w:eastAsiaTheme="minorHAnsi" w:hAnsi="Times New Roman"/>
                <w:b/>
                <w:bCs/>
                <w:color w:val="000000" w:themeColor="text1"/>
                <w:sz w:val="20"/>
                <w:szCs w:val="20"/>
              </w:rPr>
              <w:t xml:space="preserve">. 2021–2030 m. </w:t>
            </w:r>
          </w:p>
        </w:tc>
      </w:tr>
      <w:tr w:rsidR="00D947C2" w:rsidRPr="00650EE4" w14:paraId="1B55C447" w14:textId="77777777" w:rsidTr="00062031">
        <w:trPr>
          <w:jc w:val="center"/>
        </w:trPr>
        <w:tc>
          <w:tcPr>
            <w:tcW w:w="1555" w:type="dxa"/>
            <w:tcBorders>
              <w:top w:val="single" w:sz="4" w:space="0" w:color="auto"/>
              <w:left w:val="single" w:sz="4" w:space="0" w:color="auto"/>
              <w:bottom w:val="single" w:sz="4" w:space="0" w:color="auto"/>
              <w:right w:val="single" w:sz="4" w:space="0" w:color="auto"/>
            </w:tcBorders>
          </w:tcPr>
          <w:p w14:paraId="026C9470"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EE3. Viešųjų pastatų atnaujinimas </w:t>
            </w:r>
          </w:p>
        </w:tc>
        <w:tc>
          <w:tcPr>
            <w:tcW w:w="3367" w:type="dxa"/>
            <w:tcBorders>
              <w:top w:val="single" w:sz="4" w:space="0" w:color="auto"/>
              <w:left w:val="single" w:sz="4" w:space="0" w:color="auto"/>
              <w:bottom w:val="single" w:sz="4" w:space="0" w:color="auto"/>
              <w:right w:val="single" w:sz="4" w:space="0" w:color="auto"/>
            </w:tcBorders>
          </w:tcPr>
          <w:p w14:paraId="1A8741F7"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Atnaujinti viešąjį pastatą iki C klasės, ir iki 2030 m. bus atnaujinta apie 960 000 m</w:t>
            </w:r>
            <w:r w:rsidRPr="00650EE4">
              <w:rPr>
                <w:rFonts w:ascii="Times New Roman" w:eastAsiaTheme="minorHAnsi" w:hAnsi="Times New Roman"/>
                <w:color w:val="000000" w:themeColor="text1"/>
                <w:sz w:val="20"/>
                <w:szCs w:val="20"/>
                <w:vertAlign w:val="superscript"/>
              </w:rPr>
              <w:t>2</w:t>
            </w:r>
            <w:r w:rsidRPr="00650EE4">
              <w:rPr>
                <w:rFonts w:ascii="Times New Roman" w:eastAsiaTheme="minorHAnsi" w:hAnsi="Times New Roman"/>
                <w:color w:val="000000" w:themeColor="text1"/>
                <w:sz w:val="20"/>
                <w:szCs w:val="20"/>
              </w:rPr>
              <w:t xml:space="preserve"> viešųjų pastatų ploto </w:t>
            </w:r>
          </w:p>
        </w:tc>
        <w:tc>
          <w:tcPr>
            <w:tcW w:w="1169" w:type="dxa"/>
            <w:tcBorders>
              <w:top w:val="single" w:sz="4" w:space="0" w:color="auto"/>
              <w:left w:val="single" w:sz="4" w:space="0" w:color="auto"/>
              <w:bottom w:val="single" w:sz="4" w:space="0" w:color="auto"/>
              <w:right w:val="single" w:sz="4" w:space="0" w:color="auto"/>
            </w:tcBorders>
          </w:tcPr>
          <w:p w14:paraId="51FA59D4"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2021–2023 m. </w:t>
            </w:r>
          </w:p>
        </w:tc>
        <w:tc>
          <w:tcPr>
            <w:tcW w:w="1417" w:type="dxa"/>
            <w:tcBorders>
              <w:top w:val="single" w:sz="4" w:space="0" w:color="auto"/>
              <w:left w:val="single" w:sz="4" w:space="0" w:color="auto"/>
              <w:bottom w:val="single" w:sz="4" w:space="0" w:color="auto"/>
              <w:right w:val="single" w:sz="4" w:space="0" w:color="auto"/>
            </w:tcBorders>
          </w:tcPr>
          <w:p w14:paraId="0C54F43C"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AM </w:t>
            </w:r>
          </w:p>
        </w:tc>
        <w:tc>
          <w:tcPr>
            <w:tcW w:w="2686" w:type="dxa"/>
            <w:tcBorders>
              <w:top w:val="single" w:sz="4" w:space="0" w:color="auto"/>
              <w:left w:val="single" w:sz="4" w:space="0" w:color="auto"/>
              <w:bottom w:val="single" w:sz="4" w:space="0" w:color="auto"/>
              <w:right w:val="single" w:sz="4" w:space="0" w:color="auto"/>
            </w:tcBorders>
          </w:tcPr>
          <w:p w14:paraId="322A4996"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0,19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r w:rsidR="00D947C2" w:rsidRPr="00650EE4" w14:paraId="66E71F15" w14:textId="77777777" w:rsidTr="00062031">
        <w:trPr>
          <w:jc w:val="center"/>
        </w:trPr>
        <w:tc>
          <w:tcPr>
            <w:tcW w:w="1555" w:type="dxa"/>
            <w:tcBorders>
              <w:top w:val="single" w:sz="4" w:space="0" w:color="auto"/>
              <w:left w:val="single" w:sz="4" w:space="0" w:color="auto"/>
              <w:bottom w:val="single" w:sz="4" w:space="0" w:color="auto"/>
              <w:right w:val="single" w:sz="4" w:space="0" w:color="auto"/>
            </w:tcBorders>
          </w:tcPr>
          <w:p w14:paraId="4457A7E4"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EE4. Susitarimai su energijos tiekėjais dėl vartotojų švietimo ir konsultavimo </w:t>
            </w:r>
          </w:p>
        </w:tc>
        <w:tc>
          <w:tcPr>
            <w:tcW w:w="3367" w:type="dxa"/>
            <w:tcBorders>
              <w:top w:val="single" w:sz="4" w:space="0" w:color="auto"/>
              <w:left w:val="single" w:sz="4" w:space="0" w:color="auto"/>
              <w:bottom w:val="single" w:sz="4" w:space="0" w:color="auto"/>
              <w:right w:val="single" w:sz="4" w:space="0" w:color="auto"/>
            </w:tcBorders>
          </w:tcPr>
          <w:p w14:paraId="026F897C" w14:textId="47E80323" w:rsidR="00D947C2" w:rsidRPr="00650EE4" w:rsidRDefault="00D947C2" w:rsidP="002F28BB">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užtikrins vartotojų švietimo ir konsultavimo apimties ir priemonių, kurios numatytos jų tarpusavio susitarimuose ar per kitus asmenis sudarytuose susitarimuose, įgyvendinimą </w:t>
            </w:r>
            <w:r w:rsidR="002F28BB" w:rsidRPr="00650EE4">
              <w:rPr>
                <w:rFonts w:ascii="Times New Roman" w:eastAsiaTheme="minorHAnsi" w:hAnsi="Times New Roman"/>
                <w:color w:val="000000" w:themeColor="text1"/>
                <w:sz w:val="20"/>
                <w:szCs w:val="20"/>
              </w:rPr>
              <w:t xml:space="preserve"> </w:t>
            </w:r>
            <w:r w:rsidRPr="00650EE4">
              <w:rPr>
                <w:rFonts w:ascii="Times New Roman" w:eastAsiaTheme="minorHAnsi" w:hAnsi="Times New Roman"/>
                <w:color w:val="000000" w:themeColor="text1"/>
                <w:sz w:val="20"/>
                <w:szCs w:val="20"/>
              </w:rPr>
              <w:t xml:space="preserve">(įskaitant išmaniųjų skaitiklių diegimą) </w:t>
            </w:r>
          </w:p>
        </w:tc>
        <w:tc>
          <w:tcPr>
            <w:tcW w:w="1169" w:type="dxa"/>
            <w:tcBorders>
              <w:top w:val="single" w:sz="4" w:space="0" w:color="auto"/>
              <w:left w:val="single" w:sz="4" w:space="0" w:color="auto"/>
              <w:bottom w:val="single" w:sz="4" w:space="0" w:color="auto"/>
              <w:right w:val="single" w:sz="4" w:space="0" w:color="auto"/>
            </w:tcBorders>
          </w:tcPr>
          <w:p w14:paraId="0BFA03EF"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1175AFE9"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EM </w:t>
            </w:r>
          </w:p>
        </w:tc>
        <w:tc>
          <w:tcPr>
            <w:tcW w:w="2686" w:type="dxa"/>
            <w:tcBorders>
              <w:top w:val="single" w:sz="4" w:space="0" w:color="auto"/>
              <w:left w:val="single" w:sz="4" w:space="0" w:color="auto"/>
              <w:bottom w:val="single" w:sz="4" w:space="0" w:color="auto"/>
              <w:right w:val="single" w:sz="4" w:space="0" w:color="auto"/>
            </w:tcBorders>
          </w:tcPr>
          <w:p w14:paraId="6AEA3E12"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3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p w14:paraId="375C3196" w14:textId="60AB3510"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p>
        </w:tc>
      </w:tr>
      <w:tr w:rsidR="00D947C2" w:rsidRPr="00650EE4" w14:paraId="2437B4C9" w14:textId="77777777" w:rsidTr="00062031">
        <w:trPr>
          <w:jc w:val="center"/>
        </w:trPr>
        <w:tc>
          <w:tcPr>
            <w:tcW w:w="1555" w:type="dxa"/>
            <w:tcBorders>
              <w:top w:val="single" w:sz="4" w:space="0" w:color="auto"/>
              <w:left w:val="single" w:sz="4" w:space="0" w:color="auto"/>
              <w:bottom w:val="single" w:sz="4" w:space="0" w:color="auto"/>
              <w:right w:val="single" w:sz="4" w:space="0" w:color="auto"/>
            </w:tcBorders>
          </w:tcPr>
          <w:p w14:paraId="4BA04F6E"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EE6. Susitarimai su energetikos įmonėmis dėl energijos taupymo </w:t>
            </w:r>
          </w:p>
        </w:tc>
        <w:tc>
          <w:tcPr>
            <w:tcW w:w="3367" w:type="dxa"/>
            <w:tcBorders>
              <w:top w:val="single" w:sz="4" w:space="0" w:color="auto"/>
              <w:left w:val="single" w:sz="4" w:space="0" w:color="auto"/>
              <w:bottom w:val="single" w:sz="4" w:space="0" w:color="auto"/>
              <w:right w:val="single" w:sz="4" w:space="0" w:color="auto"/>
            </w:tcBorders>
          </w:tcPr>
          <w:p w14:paraId="601410E4"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Energetikos bendrovės taupys energiją pagal susitarimuose dėl energijos taupymo nurodytus energijos lygius (pačios ar per kitus asmenis), taikydamos ekonomiškai pagrįstas energijos vartojimo efektyvumo didinimo priemones galutinės energijos vartotojų įrenginiuose (įrenginiuose, įrangoje, transporte) </w:t>
            </w:r>
          </w:p>
        </w:tc>
        <w:tc>
          <w:tcPr>
            <w:tcW w:w="1169" w:type="dxa"/>
            <w:tcBorders>
              <w:top w:val="single" w:sz="4" w:space="0" w:color="auto"/>
              <w:left w:val="single" w:sz="4" w:space="0" w:color="auto"/>
              <w:bottom w:val="single" w:sz="4" w:space="0" w:color="auto"/>
              <w:right w:val="single" w:sz="4" w:space="0" w:color="auto"/>
            </w:tcBorders>
          </w:tcPr>
          <w:p w14:paraId="7CD8E42D"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27B67B06"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energetikos įmonės </w:t>
            </w:r>
          </w:p>
        </w:tc>
        <w:tc>
          <w:tcPr>
            <w:tcW w:w="2686" w:type="dxa"/>
            <w:tcBorders>
              <w:top w:val="single" w:sz="4" w:space="0" w:color="auto"/>
              <w:left w:val="single" w:sz="4" w:space="0" w:color="auto"/>
              <w:bottom w:val="single" w:sz="4" w:space="0" w:color="auto"/>
              <w:right w:val="single" w:sz="4" w:space="0" w:color="auto"/>
            </w:tcBorders>
          </w:tcPr>
          <w:p w14:paraId="1E9A6595"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5,5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bl>
    <w:p w14:paraId="659D34E8" w14:textId="69AE5372" w:rsidR="007A4910" w:rsidRPr="00650EE4" w:rsidRDefault="007A4910" w:rsidP="007A4910">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AB4528">
        <w:rPr>
          <w:rFonts w:ascii="Times New Roman" w:eastAsia="Times New Roman" w:hAnsi="Times New Roman"/>
          <w:i/>
          <w:color w:val="000000" w:themeColor="text1"/>
          <w:sz w:val="20"/>
          <w:szCs w:val="28"/>
        </w:rPr>
        <w:t>NECP</w:t>
      </w:r>
    </w:p>
    <w:p w14:paraId="6EE3ABE9" w14:textId="77777777" w:rsidR="007A4910" w:rsidRPr="00650EE4" w:rsidRDefault="007A4910" w:rsidP="008308FF">
      <w:pPr>
        <w:rPr>
          <w:rFonts w:ascii="Times New Roman" w:hAnsi="Times New Roman"/>
          <w:color w:val="000000" w:themeColor="text1"/>
          <w:sz w:val="24"/>
          <w:szCs w:val="24"/>
        </w:rPr>
      </w:pPr>
    </w:p>
    <w:p w14:paraId="387E5C46" w14:textId="599AE8B5" w:rsidR="00D947C2" w:rsidRPr="00650EE4" w:rsidRDefault="00D947C2" w:rsidP="008308FF">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37" w:name="_Toc67925145"/>
      <w:r w:rsidRPr="00650EE4">
        <w:rPr>
          <w:rFonts w:ascii="Times New Roman" w:hAnsi="Times New Roman"/>
          <w:color w:val="auto"/>
          <w:sz w:val="24"/>
          <w:szCs w:val="24"/>
          <w:lang w:val="lt-LT"/>
        </w:rPr>
        <w:t xml:space="preserve">Nacionalinės iniciatyvos, kuriomis skatinamos išmaniosios technologijos ir </w:t>
      </w:r>
      <w:r w:rsidR="00593D4E" w:rsidRPr="00650EE4">
        <w:rPr>
          <w:rFonts w:ascii="Times New Roman" w:hAnsi="Times New Roman"/>
          <w:color w:val="auto"/>
          <w:sz w:val="24"/>
          <w:szCs w:val="24"/>
          <w:lang w:val="lt-LT"/>
        </w:rPr>
        <w:t>pažangus pastatų valdymas</w:t>
      </w:r>
      <w:bookmarkEnd w:id="137"/>
    </w:p>
    <w:p w14:paraId="0A82B08F" w14:textId="282BD8C2" w:rsidR="00C425D9" w:rsidRPr="00650EE4" w:rsidRDefault="00C425D9" w:rsidP="00D947C2">
      <w:pPr>
        <w:pStyle w:val="Pagrindinispaprastastekstas"/>
        <w:rPr>
          <w:rFonts w:ascii="Times New Roman" w:hAnsi="Times New Roman"/>
          <w:sz w:val="24"/>
        </w:rPr>
      </w:pPr>
      <w:r w:rsidRPr="00650EE4">
        <w:rPr>
          <w:rFonts w:ascii="Times New Roman" w:hAnsi="Times New Roman"/>
          <w:noProof/>
          <w:color w:val="000000" w:themeColor="text1"/>
          <w:sz w:val="24"/>
          <w:lang w:eastAsia="lt-LT"/>
        </w:rPr>
        <mc:AlternateContent>
          <mc:Choice Requires="wps">
            <w:drawing>
              <wp:inline distT="0" distB="0" distL="0" distR="0" wp14:anchorId="35274885" wp14:editId="0CD7BB76">
                <wp:extent cx="6479540" cy="614477"/>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14477"/>
                        </a:xfrm>
                        <a:prstGeom prst="rect">
                          <a:avLst/>
                        </a:prstGeom>
                        <a:solidFill>
                          <a:schemeClr val="bg1">
                            <a:lumMod val="85000"/>
                          </a:schemeClr>
                        </a:solidFill>
                        <a:ln>
                          <a:noFill/>
                        </a:ln>
                      </wps:spPr>
                      <wps:txbx>
                        <w:txbxContent>
                          <w:p w14:paraId="11594153" w14:textId="3A72CD06" w:rsidR="005E392B" w:rsidRPr="00AD4D3C" w:rsidRDefault="005E392B" w:rsidP="00C425D9">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f</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D4D3C">
                              <w:rPr>
                                <w:rFonts w:ascii="Times New Roman" w:hAnsi="Times New Roman" w:cs="Times New Roman"/>
                                <w:bCs/>
                                <w:color w:val="000000" w:themeColor="text1"/>
                                <w:sz w:val="22"/>
                              </w:rPr>
                              <w:t>nacionalinių iniciatyvų, kuriomis būtų skatinamos išmaniosios technologijos ir sujungti pastatai bei bendruomenės, taip pat įgūdžiai ir švietimas statybos ir energijos vartojimo efektyvumo sektoriuose, apžvalga</w:t>
                            </w:r>
                            <w:r>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37" o:spid="_x0000_s1035" type="#_x0000_t202" style="width:510.2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VqGwIAABsEAAAOAAAAZHJzL2Uyb0RvYy54bWysU9uO0zAQfUfiHyy/06Sll23UdLV0tQhp&#10;uUi7fIDjOI2F4zFjt8ny9YydthR4Q7xYnovPnDkz3twOnWFHhV6DLfl0knOmrIRa233Jvz4/vLnh&#10;zAdha2HAqpK/KM9vt69fbXpXqBm0YGqFjECsL3pX8jYEV2SZl63qhJ+AU5aCDWAnApm4z2oUPaF3&#10;Jpvl+TLrAWuHIJX35L0fg3yb8JtGyfC5abwKzJScuIV0YjqreGbbjSj2KFyr5YmG+AcWndCWil6g&#10;7kUQ7ID6L6hOSwQPTZhI6DJoGi1V6oG6meZ/dPPUCqdSLySOdxeZ/P+DlZ+OX5DpuuRvV5xZ0dGM&#10;ntUQ2DsYGLlIn975gtKeHCWGgfw059Srd48gv3lmYdcKu1d3iNC3StTEbxpfZldPRxwfQar+I9RU&#10;RxwCJKChwS6KR3IwQqc5vVxmE7lIci7nq/ViTiFJseV0Pl8lcpkozq8d+vBeQcfipeRIs0/o4vjo&#10;Q2QjinNKLObB6PpBG5OMuG9qZ5AdBW1KtR87NIeOqI6+m0Wep30hnLSeMT2h/oZkbMSzEJHHotGT&#10;lIjNjzKEoRqS6OuzwBXULyQNwrih9KPo0gL+4Kyn7Sy5/34QqDgzHyzJuyYB4jonY75YzcjA60h1&#10;HRFWElTJA2fjdRfGL3BwqPctVRrbtXBHI2l0UivObmR1ok8bmNo9/Za44td2yvr1p7c/AQAA//8D&#10;AFBLAwQUAAYACAAAACEAyMeZR9wAAAAFAQAADwAAAGRycy9kb3ducmV2LnhtbEyPQUvDQBCF74L/&#10;YRnBm90YpMaYTRFBUKmCre15mp0mwexs2N00sb/erRe9DDze471visVkOnEg51vLCq5nCQjiyuqW&#10;awWf66erDIQPyBo7y6TgmzwsyvOzAnNtR/6gwyrUIpawz1FBE0KfS+mrhgz6me2Jo7e3zmCI0tVS&#10;OxxjuelkmiRzabDluNBgT48NVV+rwShY8usL7tfZ2/GYDuNm+3w7vi+dUpcX08M9iEBT+AvDCT+i&#10;QxmZdnZg7UWnID4Sfu/JS9LkBsROwd08A1kW8j99+QMAAP//AwBQSwECLQAUAAYACAAAACEAtoM4&#10;kv4AAADhAQAAEwAAAAAAAAAAAAAAAAAAAAAAW0NvbnRlbnRfVHlwZXNdLnhtbFBLAQItABQABgAI&#10;AAAAIQA4/SH/1gAAAJQBAAALAAAAAAAAAAAAAAAAAC8BAABfcmVscy8ucmVsc1BLAQItABQABgAI&#10;AAAAIQAOi4VqGwIAABsEAAAOAAAAAAAAAAAAAAAAAC4CAABkcnMvZTJvRG9jLnhtbFBLAQItABQA&#10;BgAIAAAAIQDIx5lH3AAAAAUBAAAPAAAAAAAAAAAAAAAAAHUEAABkcnMvZG93bnJldi54bWxQSwUG&#10;AAAAAAQABADzAAAAfgUAAAAA&#10;" fillcolor="#d8d8d8 [2732]" stroked="f">
                <v:textbox>
                  <w:txbxContent>
                    <w:p w14:paraId="11594153" w14:textId="3A72CD06" w:rsidR="005E392B" w:rsidRPr="00AD4D3C" w:rsidRDefault="005E392B" w:rsidP="00C425D9">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f</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D4D3C">
                        <w:rPr>
                          <w:rFonts w:ascii="Times New Roman" w:hAnsi="Times New Roman" w:cs="Times New Roman"/>
                          <w:bCs/>
                          <w:color w:val="000000" w:themeColor="text1"/>
                          <w:sz w:val="22"/>
                        </w:rPr>
                        <w:t>nacionalinių iniciatyvų, kuriomis būtų skatinamos išmaniosios technologijos ir sujungti pastatai bei bendruomenės, taip pat įgūdžiai ir švietimas statybos ir energijos vartojimo efektyvumo sektoriuose, apžvalga</w:t>
                      </w:r>
                      <w:r>
                        <w:rPr>
                          <w:rFonts w:ascii="Times New Roman" w:hAnsi="Times New Roman" w:cs="Times New Roman"/>
                          <w:bCs/>
                          <w:color w:val="000000" w:themeColor="text1"/>
                          <w:sz w:val="22"/>
                        </w:rPr>
                        <w:t>“</w:t>
                      </w:r>
                    </w:p>
                  </w:txbxContent>
                </v:textbox>
                <w10:anchorlock/>
              </v:shape>
            </w:pict>
          </mc:Fallback>
        </mc:AlternateContent>
      </w:r>
    </w:p>
    <w:p w14:paraId="5595C20C" w14:textId="77777777" w:rsidR="00C425D9" w:rsidRPr="00650EE4" w:rsidRDefault="00C425D9" w:rsidP="00D947C2">
      <w:pPr>
        <w:pStyle w:val="Pagrindinispaprastastekstas"/>
        <w:rPr>
          <w:rFonts w:ascii="Times New Roman" w:hAnsi="Times New Roman"/>
          <w:szCs w:val="22"/>
        </w:rPr>
      </w:pPr>
    </w:p>
    <w:p w14:paraId="177D7289" w14:textId="286B4964" w:rsidR="001C4035" w:rsidRPr="00650EE4" w:rsidRDefault="001C4035" w:rsidP="008772A0">
      <w:pPr>
        <w:spacing w:after="120"/>
        <w:jc w:val="both"/>
        <w:rPr>
          <w:rFonts w:ascii="Times New Roman" w:hAnsi="Times New Roman"/>
          <w:szCs w:val="22"/>
        </w:rPr>
      </w:pPr>
      <w:r w:rsidRPr="00650EE4">
        <w:rPr>
          <w:rFonts w:ascii="Times New Roman" w:hAnsi="Times New Roman"/>
          <w:szCs w:val="22"/>
        </w:rPr>
        <w:t>Šiuo metu galioja šie pagrindiniai dokumentai, kurie nusako nacionalinės politikos gaires išmaniosios technologijos ir sujungtų pastatų bei bendruomenių, taip pat įgūdžių ir švietimo statybos ir energijos vartojimo efektyvumo sektoriuose, skatinimui:</w:t>
      </w:r>
    </w:p>
    <w:p w14:paraId="429FA878" w14:textId="0345A423"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Nacionalinis energetikos ir klimato srities veiksmų planas 2021-2030 metams</w:t>
      </w:r>
      <w:r w:rsidRPr="00650EE4">
        <w:rPr>
          <w:rStyle w:val="FootnoteReference"/>
          <w:rFonts w:ascii="Times New Roman" w:hAnsi="Times New Roman"/>
          <w:szCs w:val="22"/>
          <w:lang w:val="lt-LT"/>
        </w:rPr>
        <w:footnoteReference w:id="22"/>
      </w:r>
      <w:r w:rsidRPr="00650EE4">
        <w:rPr>
          <w:rFonts w:ascii="Times New Roman" w:hAnsi="Times New Roman"/>
          <w:szCs w:val="22"/>
          <w:lang w:val="lt-LT"/>
        </w:rPr>
        <w:t xml:space="preserve"> </w:t>
      </w:r>
      <w:r w:rsidR="00894851">
        <w:rPr>
          <w:rFonts w:ascii="Times New Roman" w:hAnsi="Times New Roman"/>
          <w:szCs w:val="22"/>
          <w:lang w:val="lt-LT"/>
        </w:rPr>
        <w:t>.</w:t>
      </w:r>
    </w:p>
    <w:p w14:paraId="020ECE00" w14:textId="21B691E2"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Nacionalinė energetinės nepriklausomybės strategija</w:t>
      </w:r>
      <w:r w:rsidRPr="00650EE4">
        <w:rPr>
          <w:rStyle w:val="FootnoteReference"/>
          <w:rFonts w:ascii="Times New Roman" w:hAnsi="Times New Roman"/>
          <w:szCs w:val="22"/>
          <w:lang w:val="lt-LT"/>
        </w:rPr>
        <w:footnoteReference w:id="23"/>
      </w:r>
      <w:r w:rsidR="00894851">
        <w:rPr>
          <w:rFonts w:ascii="Times New Roman" w:hAnsi="Times New Roman"/>
          <w:szCs w:val="22"/>
          <w:lang w:val="lt-LT"/>
        </w:rPr>
        <w:t>.</w:t>
      </w:r>
    </w:p>
    <w:p w14:paraId="0D0197A4" w14:textId="7407434C"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Sumanios specializacijos strategija</w:t>
      </w:r>
      <w:r w:rsidRPr="00650EE4">
        <w:rPr>
          <w:rStyle w:val="FootnoteReference"/>
          <w:rFonts w:ascii="Times New Roman" w:hAnsi="Times New Roman"/>
          <w:szCs w:val="22"/>
          <w:lang w:val="lt-LT"/>
        </w:rPr>
        <w:footnoteReference w:id="24"/>
      </w:r>
      <w:r w:rsidR="00894851">
        <w:rPr>
          <w:rFonts w:ascii="Times New Roman" w:hAnsi="Times New Roman"/>
          <w:szCs w:val="22"/>
          <w:lang w:val="lt-LT"/>
        </w:rPr>
        <w:t>.</w:t>
      </w:r>
    </w:p>
    <w:p w14:paraId="1123268E" w14:textId="20492EB5"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Strategija „Lietuva 2030“ ir ją įgyvendinantys Nacionalinė</w:t>
      </w:r>
      <w:r w:rsidR="00FF465A">
        <w:rPr>
          <w:rFonts w:ascii="Times New Roman" w:hAnsi="Times New Roman"/>
          <w:szCs w:val="22"/>
          <w:lang w:val="lt-LT"/>
        </w:rPr>
        <w:t xml:space="preserve"> pažangos programa, </w:t>
      </w:r>
      <w:r w:rsidR="00FF465A" w:rsidRPr="00650EE4">
        <w:rPr>
          <w:rFonts w:ascii="Times New Roman" w:hAnsi="Times New Roman"/>
          <w:szCs w:val="22"/>
          <w:lang w:val="lt-LT"/>
        </w:rPr>
        <w:t>2021–2030 m</w:t>
      </w:r>
      <w:r w:rsidR="00FF465A">
        <w:rPr>
          <w:rFonts w:ascii="Times New Roman" w:hAnsi="Times New Roman"/>
          <w:szCs w:val="22"/>
          <w:lang w:val="lt-LT"/>
        </w:rPr>
        <w:t>etų</w:t>
      </w:r>
      <w:r w:rsidR="00FF465A" w:rsidRPr="00650EE4">
        <w:rPr>
          <w:rFonts w:ascii="Times New Roman" w:hAnsi="Times New Roman"/>
          <w:szCs w:val="22"/>
          <w:lang w:val="lt-LT"/>
        </w:rPr>
        <w:t xml:space="preserve"> </w:t>
      </w:r>
      <w:r w:rsidR="00FF465A">
        <w:rPr>
          <w:rFonts w:ascii="Times New Roman" w:hAnsi="Times New Roman"/>
          <w:szCs w:val="22"/>
          <w:lang w:val="lt-LT"/>
        </w:rPr>
        <w:t>nacionalinis pažangos planas</w:t>
      </w:r>
      <w:r w:rsidRPr="00650EE4">
        <w:rPr>
          <w:rStyle w:val="FootnoteReference"/>
          <w:rFonts w:ascii="Times New Roman" w:hAnsi="Times New Roman"/>
          <w:szCs w:val="22"/>
          <w:lang w:val="lt-LT"/>
        </w:rPr>
        <w:footnoteReference w:id="25"/>
      </w:r>
      <w:r w:rsidR="00894851">
        <w:rPr>
          <w:rFonts w:ascii="Times New Roman" w:hAnsi="Times New Roman"/>
          <w:szCs w:val="22"/>
          <w:lang w:val="lt-LT"/>
        </w:rPr>
        <w:t>.</w:t>
      </w:r>
    </w:p>
    <w:p w14:paraId="0C8AD3FF" w14:textId="77777777" w:rsidR="001C4035" w:rsidRPr="00650EE4" w:rsidRDefault="001C4035" w:rsidP="00FC3BE0">
      <w:pPr>
        <w:spacing w:before="240" w:after="240"/>
        <w:jc w:val="both"/>
        <w:rPr>
          <w:rFonts w:ascii="Times New Roman" w:hAnsi="Times New Roman"/>
          <w:szCs w:val="22"/>
        </w:rPr>
      </w:pPr>
      <w:r w:rsidRPr="00650EE4">
        <w:rPr>
          <w:rFonts w:ascii="Times New Roman" w:hAnsi="Times New Roman"/>
          <w:szCs w:val="22"/>
        </w:rPr>
        <w:lastRenderedPageBreak/>
        <w:t>Nacionaliniame energetikos ir klimato srities veiksmų plane 2021-2030 metams išvardinti tikslai, susiję su Nacionalinė energetinės nepriklausomybės strategijoje ir Sumanios specializacijos strategijoje numatytais tikslais, todėl atskirai neapžvelgiami.</w:t>
      </w:r>
    </w:p>
    <w:p w14:paraId="25C9143A" w14:textId="522D1468" w:rsidR="009910FE" w:rsidRPr="00650EE4" w:rsidRDefault="00A86571" w:rsidP="009910FE">
      <w:pPr>
        <w:pStyle w:val="Antrastes31"/>
        <w:numPr>
          <w:ilvl w:val="2"/>
          <w:numId w:val="4"/>
        </w:numPr>
        <w:spacing w:before="120"/>
        <w:ind w:left="720" w:hanging="720"/>
        <w:rPr>
          <w:rFonts w:ascii="Times New Roman" w:hAnsi="Times New Roman"/>
          <w:color w:val="000000" w:themeColor="text1"/>
          <w:sz w:val="24"/>
          <w:szCs w:val="24"/>
          <w:lang w:val="lt-LT"/>
        </w:rPr>
      </w:pPr>
      <w:bookmarkStart w:id="138" w:name="_Toc67925146"/>
      <w:r w:rsidRPr="00650EE4">
        <w:rPr>
          <w:rFonts w:ascii="Times New Roman" w:hAnsi="Times New Roman"/>
          <w:color w:val="000000" w:themeColor="text1"/>
          <w:sz w:val="24"/>
          <w:szCs w:val="24"/>
          <w:lang w:val="lt-LT"/>
        </w:rPr>
        <w:t xml:space="preserve">Iniciatyvos numatytos </w:t>
      </w:r>
      <w:r w:rsidR="009910FE" w:rsidRPr="00650EE4">
        <w:rPr>
          <w:rFonts w:ascii="Times New Roman" w:hAnsi="Times New Roman"/>
          <w:color w:val="000000" w:themeColor="text1"/>
          <w:sz w:val="24"/>
          <w:szCs w:val="24"/>
          <w:lang w:val="lt-LT"/>
        </w:rPr>
        <w:t>Nacionalinė</w:t>
      </w:r>
      <w:r w:rsidRPr="00650EE4">
        <w:rPr>
          <w:rFonts w:ascii="Times New Roman" w:hAnsi="Times New Roman"/>
          <w:color w:val="000000" w:themeColor="text1"/>
          <w:sz w:val="24"/>
          <w:szCs w:val="24"/>
          <w:lang w:val="lt-LT"/>
        </w:rPr>
        <w:t>je</w:t>
      </w:r>
      <w:r w:rsidR="009910FE" w:rsidRPr="00650EE4">
        <w:rPr>
          <w:rFonts w:ascii="Times New Roman" w:hAnsi="Times New Roman"/>
          <w:color w:val="000000" w:themeColor="text1"/>
          <w:sz w:val="24"/>
          <w:szCs w:val="24"/>
          <w:lang w:val="lt-LT"/>
        </w:rPr>
        <w:t xml:space="preserve"> energetikos neprikl</w:t>
      </w:r>
      <w:r w:rsidR="0015495E" w:rsidRPr="00650EE4">
        <w:rPr>
          <w:rFonts w:ascii="Times New Roman" w:hAnsi="Times New Roman"/>
          <w:color w:val="000000" w:themeColor="text1"/>
          <w:sz w:val="24"/>
          <w:szCs w:val="24"/>
          <w:lang w:val="lt-LT"/>
        </w:rPr>
        <w:t>ausomybės strategij</w:t>
      </w:r>
      <w:r w:rsidRPr="00650EE4">
        <w:rPr>
          <w:rFonts w:ascii="Times New Roman" w:hAnsi="Times New Roman"/>
          <w:color w:val="000000" w:themeColor="text1"/>
          <w:sz w:val="24"/>
          <w:szCs w:val="24"/>
          <w:lang w:val="lt-LT"/>
        </w:rPr>
        <w:t>oje</w:t>
      </w:r>
      <w:bookmarkEnd w:id="138"/>
      <w:r w:rsidR="009910FE" w:rsidRPr="00650EE4">
        <w:rPr>
          <w:rFonts w:ascii="Times New Roman" w:hAnsi="Times New Roman"/>
          <w:color w:val="000000" w:themeColor="text1"/>
          <w:sz w:val="24"/>
          <w:szCs w:val="24"/>
          <w:lang w:val="lt-LT"/>
        </w:rPr>
        <w:t xml:space="preserve"> </w:t>
      </w:r>
    </w:p>
    <w:p w14:paraId="44F38DA1" w14:textId="77777777" w:rsidR="001C4035" w:rsidRPr="00650EE4" w:rsidRDefault="001C4035" w:rsidP="00FC3BE0">
      <w:pPr>
        <w:spacing w:after="240"/>
        <w:jc w:val="both"/>
        <w:rPr>
          <w:rFonts w:ascii="Times New Roman" w:hAnsi="Times New Roman"/>
          <w:szCs w:val="22"/>
        </w:rPr>
      </w:pPr>
      <w:r w:rsidRPr="00650EE4">
        <w:rPr>
          <w:rFonts w:ascii="Times New Roman" w:hAnsi="Times New Roman"/>
          <w:szCs w:val="22"/>
        </w:rPr>
        <w:t xml:space="preserve">Viena iš </w:t>
      </w:r>
      <w:r w:rsidRPr="00650EE4">
        <w:rPr>
          <w:rFonts w:ascii="Times New Roman" w:hAnsi="Times New Roman"/>
          <w:bCs/>
          <w:szCs w:val="22"/>
        </w:rPr>
        <w:t>Nacionalinėje energetinės nepriklausomybės strategijoje</w:t>
      </w:r>
      <w:r w:rsidRPr="00650EE4">
        <w:rPr>
          <w:rFonts w:ascii="Times New Roman" w:hAnsi="Times New Roman"/>
          <w:szCs w:val="22"/>
        </w:rPr>
        <w:t xml:space="preserve"> numatytų strateginių krypčių - šalies verslo dalyvavimas siekiant energetikos pažangos (inovacijos). Šioje srityje išsikeltas tikslas, kad Lietuva iš energetikos technologijas importuojančios šalies turi tapti energetikos technologijas kuriančia ir jas eksportuojančia šalimi. Siekiama, kad Lietuva taptų informacinių technologijų ir kibernetinio saugumo sprendimų energetikos, biomasės ir biokuro technologijų, saulės ir vėjo energetikos technologijų, geoterminės energijos technologijų, energetikos rinkos, elektros sistemos veikimo pokyčių, naujų elektros sistemos valdymo metodų kūrimo ir energetikos projektų įgyvendinimo centru.</w:t>
      </w:r>
    </w:p>
    <w:p w14:paraId="4E8D2D38"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Atsižvelgiant į Lietuvos energetikos sektoriaus specifiką ir poreikius, strateginius tikslus, turimas ir norimas išugdyti kompetencijas, išskirtos šios prioritetinės energetikos mokslinių tyrimų ir eksperimentinės plėtros kryptys, susiję su energijos vartojimo efektyvumo ir atsinaujinančių energijos išteklių panaudojimu pastatų sektoriuje:</w:t>
      </w:r>
    </w:p>
    <w:p w14:paraId="190CA9B1" w14:textId="12DCB238"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nergetikos sektoriaus perspektyvinės raidos planavimas, energetikos ekonomika;</w:t>
      </w:r>
    </w:p>
    <w:p w14:paraId="15D6B7CE" w14:textId="1E565975"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samų energijos gamybos technologijų modernizavimas, atsižvelgiant į naujus iššūkius ir reikalavimus;</w:t>
      </w:r>
    </w:p>
    <w:p w14:paraId="69561EC5" w14:textId="6C7347B4"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n</w:t>
      </w:r>
      <w:r w:rsidR="001C4035" w:rsidRPr="00650EE4">
        <w:rPr>
          <w:rFonts w:ascii="Times New Roman" w:hAnsi="Times New Roman"/>
          <w:szCs w:val="22"/>
          <w:lang w:val="lt-LT"/>
        </w:rPr>
        <w:t>aujų mažo išmetamų šiltnamio efektą sukeliančių dujų ir aplinkos oro teršalų kiekio, atsparių klimato kaitos pokyčiams energijos gamybos ir kaupimo technologijų kūrimas ir integravimas į tinklą; taip pat integravimasis į ES strateginės vertės grandines;</w:t>
      </w:r>
    </w:p>
    <w:p w14:paraId="27E7499A" w14:textId="212E1CBF"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nergijos gamybos iš vietinių ir atsinaujinančių energijos išteklių technologijos;</w:t>
      </w:r>
    </w:p>
    <w:p w14:paraId="6EFF7135" w14:textId="18D203BA"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p</w:t>
      </w:r>
      <w:r w:rsidR="001C4035" w:rsidRPr="00650EE4">
        <w:rPr>
          <w:rFonts w:ascii="Times New Roman" w:hAnsi="Times New Roman"/>
          <w:szCs w:val="22"/>
          <w:lang w:val="lt-LT"/>
        </w:rPr>
        <w:t>askirstytosios energijos gamybos, išmaniųjų tinklų, naujų perspektyvių energijos rūšių gamybos</w:t>
      </w:r>
      <w:r w:rsidR="008772A0" w:rsidRPr="00650EE4">
        <w:rPr>
          <w:rFonts w:ascii="Times New Roman" w:hAnsi="Times New Roman"/>
          <w:szCs w:val="22"/>
          <w:lang w:val="lt-LT"/>
        </w:rPr>
        <w:t xml:space="preserve"> ir naudojimo technologijos.</w:t>
      </w:r>
    </w:p>
    <w:p w14:paraId="58A6FD68" w14:textId="77777777" w:rsidR="001C4035" w:rsidRPr="00650EE4" w:rsidRDefault="001C4035" w:rsidP="002F3428">
      <w:pPr>
        <w:spacing w:before="240" w:after="240"/>
        <w:jc w:val="both"/>
        <w:rPr>
          <w:rFonts w:ascii="Times New Roman" w:hAnsi="Times New Roman"/>
          <w:szCs w:val="22"/>
        </w:rPr>
      </w:pPr>
      <w:r w:rsidRPr="00650EE4">
        <w:rPr>
          <w:rFonts w:ascii="Times New Roman" w:hAnsi="Times New Roman"/>
          <w:szCs w:val="22"/>
        </w:rPr>
        <w:t>Lietuvos Nacionalinėje energetinės nepriklausomybės strategijoje taip pat nustatyta, kad, siekiant energetikos inovacijų vystymosi ir energetikos kompetencijų, mokslinių tyrimų ir eksperimentinės plėtros rezultatų panaudojimo kitose ekonomikos srityse, skatinti eksporto didėjimą ir naujų verslo rūšių kūrimąsi šalyje, bus:</w:t>
      </w:r>
    </w:p>
    <w:p w14:paraId="19546210" w14:textId="43D09602"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d</w:t>
      </w:r>
      <w:r w:rsidR="001C4035" w:rsidRPr="00650EE4">
        <w:rPr>
          <w:rFonts w:ascii="Times New Roman" w:hAnsi="Times New Roman"/>
          <w:szCs w:val="22"/>
          <w:lang w:val="lt-LT"/>
        </w:rPr>
        <w:t>idinama mokslo ir studijų institucijų, energetikos bendrovių ir inžinerinės pramonės įmonių sinergija, skatinant įvairių formų (įskaitant tarptautinį) bendradarbiavimą, pasinaudojant ES bendrosios mokslinių tyrimų ir inovacijų programos „Horizontas 2020“, nacionalinių ir kitų programų investicijomis, kuriant skaitmenines energetikos inovacijas ir tobulinant technologijas Lietuvos energetikoje ir taip sustiprinant Lietuvos mokslinių tyrimų ir inovacijų ekosistemą;</w:t>
      </w:r>
    </w:p>
    <w:p w14:paraId="5542CD23" w14:textId="0A7B7B91"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s</w:t>
      </w:r>
      <w:r w:rsidR="001C4035" w:rsidRPr="00650EE4">
        <w:rPr>
          <w:rFonts w:ascii="Times New Roman" w:hAnsi="Times New Roman"/>
          <w:szCs w:val="22"/>
          <w:lang w:val="lt-LT"/>
        </w:rPr>
        <w:t>iekiant glaudesnio energetikos srities verslo ir mokymo institucijų bendradarbiavimo, parengtos energetikos bendrovių ir inžinerinės pramonės įmonių partnerystės ir paramos programos, skatinančios bendradarbiavimą kuriant ir taikant skaitmenines energetikos inovacijas ir tobulinant technologijas;</w:t>
      </w:r>
    </w:p>
    <w:p w14:paraId="7EC4A2EF" w14:textId="3CBF51EF"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s</w:t>
      </w:r>
      <w:r w:rsidR="001C4035" w:rsidRPr="00650EE4">
        <w:rPr>
          <w:rFonts w:ascii="Times New Roman" w:hAnsi="Times New Roman"/>
          <w:szCs w:val="22"/>
          <w:lang w:val="lt-LT"/>
        </w:rPr>
        <w:t>katinamas naujų energijos gamybos technologijų, įskaitant energijos iš atsinaujinančių energijos išteklių, paskirstytosios energijos gamybą, išmaniuosius tinklus, kūrimas ir jų integravimas į energetikos sistemą;</w:t>
      </w:r>
    </w:p>
    <w:p w14:paraId="58ABA841" w14:textId="166F76C9"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k</w:t>
      </w:r>
      <w:r w:rsidR="001C4035" w:rsidRPr="00650EE4">
        <w:rPr>
          <w:rFonts w:ascii="Times New Roman" w:hAnsi="Times New Roman"/>
          <w:szCs w:val="22"/>
          <w:lang w:val="lt-LT"/>
        </w:rPr>
        <w:t>uriamos, gaminamos ir eksportuojamos vietinių energijos išteklių gamybos ir naudojimo technologijos;</w:t>
      </w:r>
    </w:p>
    <w:p w14:paraId="4C62A226" w14:textId="466D6A75" w:rsidR="001C4035" w:rsidRPr="00650EE4" w:rsidRDefault="006013CC" w:rsidP="00BD4925">
      <w:pPr>
        <w:pStyle w:val="ListParagraph"/>
        <w:numPr>
          <w:ilvl w:val="0"/>
          <w:numId w:val="36"/>
        </w:numPr>
        <w:spacing w:line="240" w:lineRule="auto"/>
        <w:ind w:left="765" w:hanging="357"/>
        <w:contextualSpacing w:val="0"/>
        <w:jc w:val="both"/>
        <w:rPr>
          <w:rFonts w:ascii="Times New Roman" w:hAnsi="Times New Roman"/>
          <w:szCs w:val="22"/>
          <w:lang w:val="lt-LT"/>
        </w:rPr>
      </w:pPr>
      <w:r>
        <w:rPr>
          <w:rFonts w:ascii="Times New Roman" w:hAnsi="Times New Roman"/>
          <w:szCs w:val="22"/>
          <w:lang w:val="lt-LT"/>
        </w:rPr>
        <w:t>s</w:t>
      </w:r>
      <w:r w:rsidR="001C4035" w:rsidRPr="00650EE4">
        <w:rPr>
          <w:rFonts w:ascii="Times New Roman" w:hAnsi="Times New Roman"/>
          <w:szCs w:val="22"/>
          <w:lang w:val="lt-LT"/>
        </w:rPr>
        <w:t>katinami ir Lietuvoje išbandomi informacinių technologijų sprendimai energetikos sektoriui optimizuoti, skat</w:t>
      </w:r>
      <w:r w:rsidR="00FC3BE0" w:rsidRPr="00650EE4">
        <w:rPr>
          <w:rFonts w:ascii="Times New Roman" w:hAnsi="Times New Roman"/>
          <w:szCs w:val="22"/>
          <w:lang w:val="lt-LT"/>
        </w:rPr>
        <w:t>inamas tokių produktų eksportas.</w:t>
      </w:r>
    </w:p>
    <w:p w14:paraId="3182A2CB" w14:textId="77777777" w:rsidR="002F3428" w:rsidRPr="00650EE4" w:rsidRDefault="002F3428" w:rsidP="002F3428">
      <w:pPr>
        <w:pStyle w:val="ListParagraph"/>
        <w:spacing w:after="120" w:line="240" w:lineRule="auto"/>
        <w:ind w:left="765"/>
        <w:contextualSpacing w:val="0"/>
        <w:jc w:val="both"/>
        <w:rPr>
          <w:rFonts w:ascii="Times New Roman" w:hAnsi="Times New Roman"/>
          <w:szCs w:val="22"/>
          <w:lang w:val="lt-LT"/>
        </w:rPr>
      </w:pPr>
    </w:p>
    <w:p w14:paraId="141E14A5" w14:textId="7B5DFB92" w:rsidR="00B47943" w:rsidRPr="00650EE4" w:rsidRDefault="00B47943" w:rsidP="00B47943">
      <w:pPr>
        <w:pStyle w:val="Antrastes31"/>
        <w:numPr>
          <w:ilvl w:val="2"/>
          <w:numId w:val="4"/>
        </w:numPr>
        <w:spacing w:before="120"/>
        <w:ind w:left="720" w:hanging="720"/>
        <w:rPr>
          <w:rFonts w:ascii="Times New Roman" w:hAnsi="Times New Roman"/>
          <w:color w:val="000000" w:themeColor="text1"/>
          <w:sz w:val="24"/>
          <w:szCs w:val="24"/>
          <w:lang w:val="lt-LT"/>
        </w:rPr>
      </w:pPr>
      <w:bookmarkStart w:id="139" w:name="_Toc67925147"/>
      <w:r w:rsidRPr="00650EE4">
        <w:rPr>
          <w:rFonts w:ascii="Times New Roman" w:hAnsi="Times New Roman"/>
          <w:color w:val="000000" w:themeColor="text1"/>
          <w:sz w:val="24"/>
          <w:szCs w:val="24"/>
          <w:lang w:val="lt-LT"/>
        </w:rPr>
        <w:t>Iniciatyvos numatytos Sumanios specializacijos strategijoje</w:t>
      </w:r>
      <w:bookmarkEnd w:id="139"/>
      <w:r w:rsidRPr="00650EE4">
        <w:rPr>
          <w:rFonts w:ascii="Times New Roman" w:hAnsi="Times New Roman"/>
          <w:color w:val="000000" w:themeColor="text1"/>
          <w:sz w:val="24"/>
          <w:szCs w:val="24"/>
          <w:lang w:val="lt-LT"/>
        </w:rPr>
        <w:t xml:space="preserve"> </w:t>
      </w:r>
    </w:p>
    <w:p w14:paraId="7EF37227" w14:textId="0D77D132" w:rsidR="001C4035" w:rsidRPr="00650EE4" w:rsidRDefault="001C4035" w:rsidP="008772A0">
      <w:pPr>
        <w:spacing w:after="240"/>
        <w:jc w:val="both"/>
        <w:rPr>
          <w:rFonts w:ascii="Times New Roman" w:hAnsi="Times New Roman"/>
          <w:szCs w:val="22"/>
        </w:rPr>
      </w:pPr>
      <w:r w:rsidRPr="00650EE4">
        <w:rPr>
          <w:rFonts w:ascii="Times New Roman" w:hAnsi="Times New Roman"/>
          <w:bCs/>
          <w:szCs w:val="22"/>
        </w:rPr>
        <w:t>Sumanios specializacijos 2014–2020 m. strategija</w:t>
      </w:r>
      <w:r w:rsidRPr="00650EE4">
        <w:rPr>
          <w:rFonts w:ascii="Times New Roman" w:hAnsi="Times New Roman"/>
          <w:szCs w:val="22"/>
        </w:rPr>
        <w:t xml:space="preserve"> (galutinės siektinos reikšmės nustatomos 2023 m.). patvirtinta 2014 m. </w:t>
      </w:r>
      <w:r w:rsidR="002A50C6" w:rsidRPr="00650EE4">
        <w:rPr>
          <w:rFonts w:ascii="Times New Roman" w:hAnsi="Times New Roman"/>
          <w:szCs w:val="22"/>
        </w:rPr>
        <w:t xml:space="preserve">Vienas iš septynių šios programos </w:t>
      </w:r>
      <w:r w:rsidRPr="00650EE4">
        <w:rPr>
          <w:rFonts w:ascii="Times New Roman" w:hAnsi="Times New Roman"/>
          <w:szCs w:val="22"/>
        </w:rPr>
        <w:t xml:space="preserve">mokslinių tyrimų, eksperimentinės plėtros ir inovacijų (toliau – MTEPI) prioritetų </w:t>
      </w:r>
      <w:r w:rsidR="002A50C6" w:rsidRPr="00650EE4">
        <w:rPr>
          <w:rFonts w:ascii="Times New Roman" w:hAnsi="Times New Roman"/>
          <w:szCs w:val="22"/>
        </w:rPr>
        <w:t xml:space="preserve">yra </w:t>
      </w:r>
      <w:r w:rsidR="00530E73" w:rsidRPr="00650EE4">
        <w:rPr>
          <w:rFonts w:ascii="Times New Roman" w:hAnsi="Times New Roman"/>
          <w:szCs w:val="22"/>
        </w:rPr>
        <w:t>aktualus pastatų sektoriui. P</w:t>
      </w:r>
      <w:r w:rsidRPr="00650EE4">
        <w:rPr>
          <w:rFonts w:ascii="Times New Roman" w:hAnsi="Times New Roman"/>
          <w:szCs w:val="22"/>
        </w:rPr>
        <w:t xml:space="preserve">rioritetas </w:t>
      </w:r>
      <w:r w:rsidR="001B2591" w:rsidRPr="00650EE4">
        <w:rPr>
          <w:rFonts w:ascii="Times New Roman" w:hAnsi="Times New Roman"/>
          <w:szCs w:val="22"/>
        </w:rPr>
        <w:t xml:space="preserve">„Energetika ir tvari aplinka“ </w:t>
      </w:r>
      <w:r w:rsidRPr="00650EE4">
        <w:rPr>
          <w:rFonts w:ascii="Times New Roman" w:hAnsi="Times New Roman"/>
          <w:szCs w:val="22"/>
        </w:rPr>
        <w:t xml:space="preserve">apima spartų alternatyvių energijos šaltinių, alternatyvaus kuro ir energiją taupančių technologijų plėtojimą, kuris didintų galutinio vartojimo energinį </w:t>
      </w:r>
      <w:r w:rsidRPr="00650EE4">
        <w:rPr>
          <w:rFonts w:ascii="Times New Roman" w:hAnsi="Times New Roman"/>
          <w:szCs w:val="22"/>
        </w:rPr>
        <w:lastRenderedPageBreak/>
        <w:t>efektyvumą, paskatintų Lietuvos konkurencingumą švarios energetikos technologijų srityje ir atvertų augimo ir darbo vietų kūrimo potencialą. Prioriteto „Energetika ir tvari aplinka“ įgyvendinimo tematika:</w:t>
      </w:r>
    </w:p>
    <w:p w14:paraId="5C6F4704" w14:textId="1E1F5512" w:rsidR="001C4035" w:rsidRPr="00650EE4" w:rsidRDefault="006013CC" w:rsidP="00BD4925">
      <w:pPr>
        <w:pStyle w:val="ListParagraph"/>
        <w:numPr>
          <w:ilvl w:val="0"/>
          <w:numId w:val="35"/>
        </w:numPr>
        <w:spacing w:after="60" w:line="240" w:lineRule="auto"/>
        <w:jc w:val="both"/>
        <w:rPr>
          <w:rFonts w:ascii="Times New Roman" w:hAnsi="Times New Roman"/>
          <w:szCs w:val="22"/>
          <w:lang w:val="lt-LT"/>
        </w:rPr>
      </w:pPr>
      <w:r>
        <w:rPr>
          <w:rFonts w:ascii="Times New Roman" w:hAnsi="Times New Roman"/>
          <w:szCs w:val="22"/>
          <w:lang w:val="lt-LT"/>
        </w:rPr>
        <w:t>p</w:t>
      </w:r>
      <w:r w:rsidR="001C4035" w:rsidRPr="00650EE4">
        <w:rPr>
          <w:rFonts w:ascii="Times New Roman" w:hAnsi="Times New Roman"/>
          <w:szCs w:val="22"/>
          <w:lang w:val="lt-LT"/>
        </w:rPr>
        <w:t xml:space="preserve">askirstytojo ir centralizuoto generavimo, tinklų ir efektyvaus energijos vartojimo sistemos </w:t>
      </w:r>
      <w:proofErr w:type="spellStart"/>
      <w:r w:rsidR="001C4035" w:rsidRPr="00650EE4">
        <w:rPr>
          <w:rFonts w:ascii="Times New Roman" w:hAnsi="Times New Roman"/>
          <w:szCs w:val="22"/>
          <w:lang w:val="lt-LT"/>
        </w:rPr>
        <w:t>sąveikumo</w:t>
      </w:r>
      <w:proofErr w:type="spellEnd"/>
      <w:r w:rsidR="001C4035" w:rsidRPr="00650EE4">
        <w:rPr>
          <w:rFonts w:ascii="Times New Roman" w:hAnsi="Times New Roman"/>
          <w:szCs w:val="22"/>
          <w:lang w:val="lt-LT"/>
        </w:rPr>
        <w:t xml:space="preserve"> stiprinimas;</w:t>
      </w:r>
    </w:p>
    <w:p w14:paraId="3404403E" w14:textId="6CAE2FEA" w:rsidR="001C4035" w:rsidRPr="00650EE4" w:rsidRDefault="006013CC" w:rsidP="00BD4925">
      <w:pPr>
        <w:pStyle w:val="ListParagraph"/>
        <w:numPr>
          <w:ilvl w:val="0"/>
          <w:numId w:val="35"/>
        </w:numPr>
        <w:spacing w:after="60" w:line="240" w:lineRule="auto"/>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samų ir naujų galutinių vartotojų poreikių tenkinimas, energijos vartojimo efektyvumo, išmanumo stiprinimas;</w:t>
      </w:r>
    </w:p>
    <w:p w14:paraId="2221518F" w14:textId="1B8FC87D" w:rsidR="001C4035" w:rsidRPr="00650EE4" w:rsidRDefault="006013CC" w:rsidP="00BD4925">
      <w:pPr>
        <w:pStyle w:val="ListParagraph"/>
        <w:numPr>
          <w:ilvl w:val="0"/>
          <w:numId w:val="35"/>
        </w:numPr>
        <w:spacing w:after="60" w:line="240" w:lineRule="auto"/>
        <w:jc w:val="both"/>
        <w:rPr>
          <w:rFonts w:ascii="Times New Roman" w:hAnsi="Times New Roman"/>
          <w:szCs w:val="22"/>
          <w:lang w:val="lt-LT"/>
        </w:rPr>
      </w:pPr>
      <w:r>
        <w:rPr>
          <w:rFonts w:ascii="Times New Roman" w:hAnsi="Times New Roman"/>
          <w:szCs w:val="22"/>
          <w:lang w:val="lt-LT"/>
        </w:rPr>
        <w:t>a</w:t>
      </w:r>
      <w:r w:rsidR="001C4035" w:rsidRPr="00650EE4">
        <w:rPr>
          <w:rFonts w:ascii="Times New Roman" w:hAnsi="Times New Roman"/>
          <w:szCs w:val="22"/>
          <w:lang w:val="lt-LT"/>
        </w:rPr>
        <w:t>tsinaujinančių biomasės ir saulės energijos išteklių panaudojimo ir atliekų perdirbimo energijai gauti plėtra.</w:t>
      </w:r>
    </w:p>
    <w:p w14:paraId="734295EA"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Iš viso Sumanios specializacijos programai 2014–2023 m. valstybė skyrė 679 mln. </w:t>
      </w:r>
      <w:proofErr w:type="spellStart"/>
      <w:r w:rsidRPr="00650EE4">
        <w:rPr>
          <w:rFonts w:ascii="Times New Roman" w:hAnsi="Times New Roman"/>
          <w:szCs w:val="22"/>
        </w:rPr>
        <w:t>Eur</w:t>
      </w:r>
      <w:proofErr w:type="spellEnd"/>
      <w:r w:rsidRPr="00650EE4">
        <w:rPr>
          <w:rFonts w:ascii="Times New Roman" w:hAnsi="Times New Roman"/>
          <w:szCs w:val="22"/>
        </w:rPr>
        <w:t xml:space="preserve"> (įskaitant ir ES struktūrinę paramą). Be to, planuojama, kad privataus verslo investicijos į mokslinių tyrimų ir plėtros sritį sieks apie 260 mln. </w:t>
      </w:r>
      <w:proofErr w:type="spellStart"/>
      <w:r w:rsidRPr="00650EE4">
        <w:rPr>
          <w:rFonts w:ascii="Times New Roman" w:hAnsi="Times New Roman"/>
          <w:szCs w:val="22"/>
        </w:rPr>
        <w:t>Eur</w:t>
      </w:r>
      <w:proofErr w:type="spellEnd"/>
      <w:r w:rsidRPr="00650EE4">
        <w:rPr>
          <w:rFonts w:ascii="Times New Roman" w:hAnsi="Times New Roman"/>
          <w:szCs w:val="22"/>
        </w:rPr>
        <w:t xml:space="preserve">. Priemonei „Energetika ir tvari aplinka“ skirta 25,97 mln. </w:t>
      </w:r>
      <w:proofErr w:type="spellStart"/>
      <w:r w:rsidRPr="00650EE4">
        <w:rPr>
          <w:rFonts w:ascii="Times New Roman" w:hAnsi="Times New Roman"/>
          <w:szCs w:val="22"/>
        </w:rPr>
        <w:t>Eur</w:t>
      </w:r>
      <w:proofErr w:type="spellEnd"/>
      <w:r w:rsidRPr="00650EE4">
        <w:rPr>
          <w:rFonts w:ascii="Times New Roman" w:hAnsi="Times New Roman"/>
          <w:szCs w:val="22"/>
        </w:rPr>
        <w:t>.</w:t>
      </w:r>
    </w:p>
    <w:p w14:paraId="3FD467B9" w14:textId="7AAA5168" w:rsidR="001B2591" w:rsidRPr="00650EE4" w:rsidRDefault="001B2591" w:rsidP="009E65D9">
      <w:pPr>
        <w:pStyle w:val="Antrastes31"/>
        <w:numPr>
          <w:ilvl w:val="2"/>
          <w:numId w:val="4"/>
        </w:numPr>
        <w:spacing w:before="120"/>
        <w:ind w:left="720" w:hanging="720"/>
        <w:rPr>
          <w:rFonts w:ascii="Times New Roman" w:hAnsi="Times New Roman"/>
          <w:color w:val="000000" w:themeColor="text1"/>
          <w:sz w:val="24"/>
          <w:szCs w:val="24"/>
          <w:lang w:val="lt-LT"/>
        </w:rPr>
      </w:pPr>
      <w:bookmarkStart w:id="140" w:name="_Toc67925148"/>
      <w:r w:rsidRPr="00650EE4">
        <w:rPr>
          <w:rFonts w:ascii="Times New Roman" w:hAnsi="Times New Roman"/>
          <w:color w:val="000000" w:themeColor="text1"/>
          <w:sz w:val="24"/>
          <w:szCs w:val="24"/>
          <w:lang w:val="lt-LT"/>
        </w:rPr>
        <w:t>Iniciatyvos numatytos</w:t>
      </w:r>
      <w:r w:rsidR="0010530A">
        <w:rPr>
          <w:rFonts w:ascii="Times New Roman" w:hAnsi="Times New Roman"/>
          <w:color w:val="000000" w:themeColor="text1"/>
          <w:sz w:val="24"/>
          <w:szCs w:val="24"/>
          <w:lang w:val="lt-LT"/>
        </w:rPr>
        <w:t xml:space="preserve"> </w:t>
      </w:r>
      <w:r w:rsidR="0010530A">
        <w:rPr>
          <w:rFonts w:ascii="Times New Roman" w:hAnsi="Times New Roman"/>
          <w:color w:val="000000" w:themeColor="text1"/>
          <w:sz w:val="24"/>
          <w:szCs w:val="24"/>
          <w:lang w:val="en-GB"/>
        </w:rPr>
        <w:t>2021-2030 m.</w:t>
      </w:r>
      <w:r w:rsidRPr="00650EE4">
        <w:rPr>
          <w:rFonts w:ascii="Times New Roman" w:hAnsi="Times New Roman"/>
          <w:color w:val="000000" w:themeColor="text1"/>
          <w:sz w:val="24"/>
          <w:szCs w:val="24"/>
          <w:lang w:val="lt-LT"/>
        </w:rPr>
        <w:t xml:space="preserve"> </w:t>
      </w:r>
      <w:r w:rsidR="0010530A">
        <w:rPr>
          <w:rFonts w:ascii="Times New Roman" w:hAnsi="Times New Roman"/>
          <w:color w:val="000000" w:themeColor="text1"/>
          <w:sz w:val="24"/>
          <w:szCs w:val="24"/>
          <w:lang w:val="lt-LT"/>
        </w:rPr>
        <w:t>n</w:t>
      </w:r>
      <w:r w:rsidRPr="00650EE4">
        <w:rPr>
          <w:rFonts w:ascii="Times New Roman" w:hAnsi="Times New Roman"/>
          <w:color w:val="000000" w:themeColor="text1"/>
          <w:sz w:val="24"/>
          <w:szCs w:val="24"/>
          <w:lang w:val="lt-LT"/>
        </w:rPr>
        <w:t>acionalini</w:t>
      </w:r>
      <w:r w:rsidR="0010530A">
        <w:rPr>
          <w:rFonts w:ascii="Times New Roman" w:hAnsi="Times New Roman"/>
          <w:color w:val="000000" w:themeColor="text1"/>
          <w:sz w:val="24"/>
          <w:szCs w:val="24"/>
          <w:lang w:val="lt-LT"/>
        </w:rPr>
        <w:t>ame</w:t>
      </w:r>
      <w:r w:rsidRPr="00650EE4">
        <w:rPr>
          <w:rFonts w:ascii="Times New Roman" w:hAnsi="Times New Roman"/>
          <w:color w:val="000000" w:themeColor="text1"/>
          <w:sz w:val="24"/>
          <w:szCs w:val="24"/>
          <w:lang w:val="lt-LT"/>
        </w:rPr>
        <w:t xml:space="preserve"> pažangos plan</w:t>
      </w:r>
      <w:r w:rsidR="0010530A">
        <w:rPr>
          <w:rFonts w:ascii="Times New Roman" w:hAnsi="Times New Roman"/>
          <w:color w:val="000000" w:themeColor="text1"/>
          <w:sz w:val="24"/>
          <w:szCs w:val="24"/>
          <w:lang w:val="lt-LT"/>
        </w:rPr>
        <w:t>e</w:t>
      </w:r>
      <w:bookmarkEnd w:id="140"/>
      <w:r w:rsidRPr="00650EE4">
        <w:rPr>
          <w:rFonts w:ascii="Times New Roman" w:hAnsi="Times New Roman"/>
          <w:color w:val="000000" w:themeColor="text1"/>
          <w:sz w:val="24"/>
          <w:szCs w:val="24"/>
          <w:lang w:val="lt-LT"/>
        </w:rPr>
        <w:t xml:space="preserve"> </w:t>
      </w:r>
    </w:p>
    <w:p w14:paraId="5C7E3056" w14:textId="0B7E458E" w:rsidR="001C4035" w:rsidRPr="00650EE4" w:rsidRDefault="0010530A" w:rsidP="008772A0">
      <w:pPr>
        <w:spacing w:after="240"/>
        <w:jc w:val="both"/>
        <w:rPr>
          <w:rFonts w:ascii="Times New Roman" w:hAnsi="Times New Roman"/>
          <w:szCs w:val="22"/>
        </w:rPr>
      </w:pPr>
      <w:r w:rsidRPr="00650EE4">
        <w:rPr>
          <w:rFonts w:ascii="Times New Roman" w:hAnsi="Times New Roman"/>
          <w:bCs/>
          <w:szCs w:val="22"/>
        </w:rPr>
        <w:t>2021–2030 m.</w:t>
      </w:r>
      <w:r>
        <w:rPr>
          <w:rFonts w:ascii="Times New Roman" w:hAnsi="Times New Roman"/>
          <w:bCs/>
          <w:szCs w:val="22"/>
        </w:rPr>
        <w:t xml:space="preserve"> n</w:t>
      </w:r>
      <w:r w:rsidR="001C4035" w:rsidRPr="00650EE4">
        <w:rPr>
          <w:rFonts w:ascii="Times New Roman" w:hAnsi="Times New Roman"/>
          <w:bCs/>
          <w:szCs w:val="22"/>
        </w:rPr>
        <w:t>acionalini</w:t>
      </w:r>
      <w:r>
        <w:rPr>
          <w:rFonts w:ascii="Times New Roman" w:hAnsi="Times New Roman"/>
          <w:bCs/>
          <w:szCs w:val="22"/>
        </w:rPr>
        <w:t>ame</w:t>
      </w:r>
      <w:r w:rsidR="001C4035" w:rsidRPr="00650EE4">
        <w:rPr>
          <w:rFonts w:ascii="Times New Roman" w:hAnsi="Times New Roman"/>
          <w:bCs/>
          <w:szCs w:val="22"/>
        </w:rPr>
        <w:t xml:space="preserve"> pažangos plan</w:t>
      </w:r>
      <w:r>
        <w:rPr>
          <w:rFonts w:ascii="Times New Roman" w:hAnsi="Times New Roman"/>
          <w:bCs/>
          <w:szCs w:val="22"/>
        </w:rPr>
        <w:t>e</w:t>
      </w:r>
      <w:r w:rsidR="001C4035" w:rsidRPr="00650EE4">
        <w:rPr>
          <w:rFonts w:ascii="Times New Roman" w:hAnsi="Times New Roman"/>
          <w:bCs/>
          <w:szCs w:val="22"/>
        </w:rPr>
        <w:t xml:space="preserve"> </w:t>
      </w:r>
      <w:r w:rsidR="001C4035" w:rsidRPr="00650EE4">
        <w:rPr>
          <w:rFonts w:ascii="Times New Roman" w:hAnsi="Times New Roman"/>
          <w:szCs w:val="22"/>
        </w:rPr>
        <w:t xml:space="preserve">numatytas tikslas pereiti prie mokslo žiniomis, pažangiosiomis technologijomis, inovacijomis grįsto darnaus ekonomikos augimo ir didinti šalies tarptautinį konkurencingumą </w:t>
      </w:r>
      <w:r>
        <w:rPr>
          <w:rFonts w:ascii="Times New Roman" w:hAnsi="Times New Roman"/>
          <w:szCs w:val="22"/>
        </w:rPr>
        <w:t>ir</w:t>
      </w:r>
      <w:r w:rsidRPr="00650EE4">
        <w:rPr>
          <w:rFonts w:ascii="Times New Roman" w:hAnsi="Times New Roman"/>
          <w:szCs w:val="22"/>
        </w:rPr>
        <w:t xml:space="preserve"> </w:t>
      </w:r>
      <w:r w:rsidR="001C4035" w:rsidRPr="00650EE4">
        <w:rPr>
          <w:rFonts w:ascii="Times New Roman" w:hAnsi="Times New Roman"/>
          <w:szCs w:val="22"/>
        </w:rPr>
        <w:t>numatyt</w:t>
      </w:r>
      <w:r>
        <w:rPr>
          <w:rFonts w:ascii="Times New Roman" w:hAnsi="Times New Roman"/>
          <w:szCs w:val="22"/>
        </w:rPr>
        <w:t>i</w:t>
      </w:r>
      <w:r w:rsidR="001C4035" w:rsidRPr="00650EE4">
        <w:rPr>
          <w:rFonts w:ascii="Times New Roman" w:hAnsi="Times New Roman"/>
          <w:szCs w:val="22"/>
        </w:rPr>
        <w:t xml:space="preserve"> poveikio rodikli</w:t>
      </w:r>
      <w:r>
        <w:rPr>
          <w:rFonts w:ascii="Times New Roman" w:hAnsi="Times New Roman"/>
          <w:szCs w:val="22"/>
        </w:rPr>
        <w:t>ai</w:t>
      </w:r>
      <w:r w:rsidR="001C4035" w:rsidRPr="00650EE4">
        <w:rPr>
          <w:rFonts w:ascii="Times New Roman" w:hAnsi="Times New Roman"/>
          <w:szCs w:val="22"/>
        </w:rPr>
        <w:t xml:space="preserve">, tame tarpe pasiekti, kad 2030 m. </w:t>
      </w:r>
      <w:r w:rsidR="001E13DD">
        <w:rPr>
          <w:rFonts w:ascii="Times New Roman" w:hAnsi="Times New Roman"/>
          <w:szCs w:val="22"/>
        </w:rPr>
        <w:t>v</w:t>
      </w:r>
      <w:r w:rsidR="001E13DD" w:rsidRPr="001E13DD">
        <w:rPr>
          <w:rFonts w:ascii="Times New Roman" w:hAnsi="Times New Roman"/>
          <w:szCs w:val="22"/>
        </w:rPr>
        <w:t>isos mokslinių tyrimų ir eksperimentinės plėtros (MTEP) išlaidos, palyginti su bendruoju vidaus produktu (BVP)</w:t>
      </w:r>
      <w:r w:rsidR="001C4035" w:rsidRPr="00650EE4">
        <w:rPr>
          <w:rFonts w:ascii="Times New Roman" w:hAnsi="Times New Roman"/>
          <w:szCs w:val="22"/>
        </w:rPr>
        <w:t xml:space="preserve"> sudarytų bent 2</w:t>
      </w:r>
      <w:r w:rsidR="001E13DD">
        <w:rPr>
          <w:rFonts w:ascii="Times New Roman" w:hAnsi="Times New Roman"/>
          <w:szCs w:val="22"/>
        </w:rPr>
        <w:t>,2</w:t>
      </w:r>
      <w:r w:rsidR="001C4035" w:rsidRPr="00650EE4">
        <w:rPr>
          <w:rFonts w:ascii="Times New Roman" w:hAnsi="Times New Roman"/>
          <w:szCs w:val="22"/>
        </w:rPr>
        <w:t xml:space="preserve"> proc. (LT 2017 m. rodiklis – 0,9, ES vidurkis 2017 m. – 2</w:t>
      </w:r>
      <w:r w:rsidR="00B41BDB" w:rsidRPr="00650EE4">
        <w:rPr>
          <w:rFonts w:ascii="Times New Roman" w:hAnsi="Times New Roman"/>
          <w:szCs w:val="22"/>
        </w:rPr>
        <w:t>,06 proc.</w:t>
      </w:r>
      <w:r w:rsidR="001C4035" w:rsidRPr="00650EE4">
        <w:rPr>
          <w:rFonts w:ascii="Times New Roman" w:hAnsi="Times New Roman"/>
          <w:szCs w:val="22"/>
        </w:rPr>
        <w:t xml:space="preserve">). </w:t>
      </w:r>
    </w:p>
    <w:p w14:paraId="701136AB" w14:textId="68EE98A1" w:rsidR="001C4035" w:rsidRPr="00650EE4" w:rsidRDefault="00B41BDB" w:rsidP="008308FF">
      <w:pPr>
        <w:pStyle w:val="Antrastes31"/>
        <w:numPr>
          <w:ilvl w:val="2"/>
          <w:numId w:val="4"/>
        </w:numPr>
        <w:spacing w:before="0"/>
        <w:ind w:left="720" w:hanging="720"/>
        <w:rPr>
          <w:rFonts w:ascii="Times New Roman" w:hAnsi="Times New Roman"/>
          <w:color w:val="000000" w:themeColor="text1"/>
          <w:sz w:val="24"/>
          <w:szCs w:val="24"/>
          <w:lang w:val="lt-LT"/>
        </w:rPr>
      </w:pPr>
      <w:bookmarkStart w:id="141" w:name="_Toc67925149"/>
      <w:r w:rsidRPr="00650EE4">
        <w:rPr>
          <w:rFonts w:ascii="Times New Roman" w:hAnsi="Times New Roman"/>
          <w:color w:val="000000" w:themeColor="text1"/>
          <w:sz w:val="24"/>
          <w:szCs w:val="24"/>
          <w:lang w:val="lt-LT"/>
        </w:rPr>
        <w:t>Kitos</w:t>
      </w:r>
      <w:r w:rsidR="001C4035" w:rsidRPr="00650EE4">
        <w:rPr>
          <w:rFonts w:ascii="Times New Roman" w:hAnsi="Times New Roman"/>
          <w:color w:val="000000" w:themeColor="text1"/>
          <w:sz w:val="24"/>
          <w:szCs w:val="24"/>
          <w:lang w:val="lt-LT"/>
        </w:rPr>
        <w:t xml:space="preserve"> nacionalinės iniciatyvos</w:t>
      </w:r>
      <w:bookmarkEnd w:id="141"/>
    </w:p>
    <w:p w14:paraId="5F6B3FBF"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AEI srityje: Valstybės ir savivaldybių institucijos, įstaigos ir įmonės pagal kompetenciją yra įpareigotos rengti, teikti ir viešai skelbti informaciją apie leidimų, licencijų ar atestatų išdavimo tvarką, sertifikavimo paraiškų nagrinėjimo tvarką, apie pareiškėjams teikiamą pagalbą, paramos schemas. Ministerijos pagal kompetenciją yra įpareigotos rengti ir įgyvendinti tinkamas visuomenės informavimo ir sąmoningo ugdymo priemones, teikti konsultacijas, rengti švietimo programas apie AEI plėtros ir naudojimo praktines galimybes ir naudas.</w:t>
      </w:r>
    </w:p>
    <w:p w14:paraId="30796585"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Organizuojamas keitimasis patirtimi AEI naudojimo srityje tarp valstybių institucijų, įstaigų, įmonių, organizacijų, privačių subjektų ir viešai skelbiami gerosios praktikos pavyzdžiai.</w:t>
      </w:r>
    </w:p>
    <w:p w14:paraId="3C385EB5"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Į formaliojo švietimo bendrąsias programas įtraukiamos AEI naudojimo galimybių, teikiamos naudos ir technologinių sprendimų srities žinios ir gebėjimai. Skatinami moksliniai tyrimai, visuomenės švietimas, valstybės tarnautojų ir profesinis mokymas AEI srityje. Skatinamas bandomųjų projektų naudojimas.</w:t>
      </w:r>
    </w:p>
    <w:p w14:paraId="599612DB"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Mokymo programos apie AEI naudą ir praktines galimybes įtrauktos į Lietuvos bendrojo lavinimo mokyklų programas ir Lietuvos universitetinio ir neuniversitetinio aukštojo mokslo įstaigų programas.</w:t>
      </w:r>
    </w:p>
    <w:p w14:paraId="6D5E31E0" w14:textId="46419315"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Nacionalinio lygmens portalas energijos vartotojams Valstybinė energetikos reguliavimo taryba (VERT) skelbia informaciją apie energijos kainas iš skirtingų tiekėjų, informaciją apie ga</w:t>
      </w:r>
      <w:r w:rsidR="007B0BAC">
        <w:rPr>
          <w:rFonts w:ascii="Times New Roman" w:hAnsi="Times New Roman"/>
          <w:szCs w:val="22"/>
        </w:rPr>
        <w:t>limybes taupyti energiją ir kt.</w:t>
      </w:r>
    </w:p>
    <w:p w14:paraId="51AC41CE"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Susitarimai su energijos tiekėjais dėl vartotojų švietimo ir konsultavimo energijos vartojimo klausimais (Energijos tiekėjai užtikrins vartotojų švietimo ir konsultavimo apimties ir priemonių, kurios numatytos jų tarpusavio susitarimuose ar per kitus asmenis sudarytuose susitarimuose, įgyvendinimą).</w:t>
      </w:r>
    </w:p>
    <w:p w14:paraId="42CE1CEF" w14:textId="259CE3AA"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Pažymėtina, kad visos iniciatyvos </w:t>
      </w:r>
      <w:r w:rsidR="002F7DBE" w:rsidRPr="00650EE4">
        <w:rPr>
          <w:rFonts w:ascii="Times New Roman" w:hAnsi="Times New Roman"/>
          <w:szCs w:val="22"/>
        </w:rPr>
        <w:t>skirtos</w:t>
      </w:r>
      <w:r w:rsidRPr="00650EE4">
        <w:rPr>
          <w:rFonts w:ascii="Times New Roman" w:hAnsi="Times New Roman"/>
          <w:szCs w:val="22"/>
        </w:rPr>
        <w:t xml:space="preserve"> galutiniams vartotojams. Kokybiškų nacionalinio lygmens iniciatyvų, skirtų dirbantiems statybos ir energijos vartojimo efektyvumo sektoriuose (pvz., projektuotojams, statybininkams, rangovams, nekilnojamojo turto projektų </w:t>
      </w:r>
      <w:proofErr w:type="spellStart"/>
      <w:r w:rsidRPr="00650EE4">
        <w:rPr>
          <w:rFonts w:ascii="Times New Roman" w:hAnsi="Times New Roman"/>
          <w:szCs w:val="22"/>
        </w:rPr>
        <w:t>vystytojams</w:t>
      </w:r>
      <w:proofErr w:type="spellEnd"/>
      <w:r w:rsidRPr="00650EE4">
        <w:rPr>
          <w:rFonts w:ascii="Times New Roman" w:hAnsi="Times New Roman"/>
          <w:szCs w:val="22"/>
        </w:rPr>
        <w:t>) nėra. Egzistuoja pavienės iniciatyvos, pavyzdžiui, Lietuvos žaliųjų pastatų taryba</w:t>
      </w:r>
      <w:r w:rsidRPr="00650EE4">
        <w:rPr>
          <w:rStyle w:val="FootnoteReference"/>
          <w:rFonts w:ascii="Times New Roman" w:hAnsi="Times New Roman"/>
          <w:szCs w:val="22"/>
        </w:rPr>
        <w:footnoteReference w:id="26"/>
      </w:r>
      <w:r w:rsidRPr="00650EE4">
        <w:rPr>
          <w:rFonts w:ascii="Times New Roman" w:hAnsi="Times New Roman"/>
          <w:szCs w:val="22"/>
        </w:rPr>
        <w:t xml:space="preserve"> organizuoja žaliųjų pastatų profesionalų mokymus ir teminius seminarus.</w:t>
      </w:r>
    </w:p>
    <w:p w14:paraId="7838D084" w14:textId="0ED6B04D" w:rsidR="001C4035" w:rsidRPr="00650EE4" w:rsidRDefault="001C4035" w:rsidP="002F3428">
      <w:pPr>
        <w:spacing w:after="120"/>
        <w:jc w:val="both"/>
        <w:rPr>
          <w:rFonts w:ascii="Times New Roman" w:hAnsi="Times New Roman"/>
          <w:szCs w:val="22"/>
        </w:rPr>
      </w:pPr>
      <w:r w:rsidRPr="00650EE4">
        <w:rPr>
          <w:rFonts w:ascii="Times New Roman" w:hAnsi="Times New Roman"/>
          <w:szCs w:val="22"/>
        </w:rPr>
        <w:t>NCEP numatomos šios vartotojų informavimo iniciatyvos:</w:t>
      </w:r>
    </w:p>
    <w:p w14:paraId="36A45409" w14:textId="77777777" w:rsidR="001C4035" w:rsidRPr="00650EE4" w:rsidRDefault="001C4035" w:rsidP="00BD4925">
      <w:pPr>
        <w:pStyle w:val="ListParagraph"/>
        <w:numPr>
          <w:ilvl w:val="0"/>
          <w:numId w:val="39"/>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EN9</w:t>
      </w:r>
      <w:r w:rsidRPr="00650EE4">
        <w:rPr>
          <w:rStyle w:val="FootnoteReference"/>
          <w:rFonts w:ascii="Times New Roman" w:hAnsi="Times New Roman"/>
          <w:szCs w:val="22"/>
          <w:lang w:val="lt-LT"/>
        </w:rPr>
        <w:footnoteReference w:id="27"/>
      </w:r>
      <w:r w:rsidRPr="00650EE4">
        <w:rPr>
          <w:rFonts w:ascii="Times New Roman" w:hAnsi="Times New Roman"/>
          <w:szCs w:val="22"/>
          <w:lang w:val="lt-LT"/>
        </w:rPr>
        <w:t>. Energetinio nepritekliaus ir efektyvumo konsultacijos įtraukiamos į socialinių paslaugų katalogą;</w:t>
      </w:r>
    </w:p>
    <w:p w14:paraId="5938AF51" w14:textId="77777777" w:rsidR="001C4035" w:rsidRPr="00650EE4" w:rsidRDefault="001C4035" w:rsidP="00BD4925">
      <w:pPr>
        <w:pStyle w:val="ListParagraph"/>
        <w:numPr>
          <w:ilvl w:val="0"/>
          <w:numId w:val="39"/>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lastRenderedPageBreak/>
        <w:t>EN10. Energijos tiekėjų įpareigojimai dėl energetinio nepritekliaus prevencijos;</w:t>
      </w:r>
    </w:p>
    <w:p w14:paraId="6EAA8C4B" w14:textId="77777777" w:rsidR="001C4035" w:rsidRPr="00650EE4" w:rsidRDefault="001C4035" w:rsidP="00BD4925">
      <w:pPr>
        <w:pStyle w:val="ListParagraph"/>
        <w:numPr>
          <w:ilvl w:val="0"/>
          <w:numId w:val="39"/>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EN11. Nacionalinio energijos portalo vartotojams atnaujinimas.</w:t>
      </w:r>
    </w:p>
    <w:p w14:paraId="10CDB378" w14:textId="77777777" w:rsidR="002F3428" w:rsidRPr="00650EE4" w:rsidRDefault="002F3428" w:rsidP="002F3428">
      <w:pPr>
        <w:pStyle w:val="ListParagraph"/>
        <w:ind w:left="714"/>
        <w:contextualSpacing w:val="0"/>
        <w:jc w:val="both"/>
        <w:rPr>
          <w:rFonts w:ascii="Times New Roman" w:hAnsi="Times New Roman"/>
          <w:szCs w:val="22"/>
          <w:lang w:val="lt-LT"/>
        </w:rPr>
      </w:pPr>
    </w:p>
    <w:p w14:paraId="1FD4F93B" w14:textId="77777777" w:rsidR="001C4035" w:rsidRPr="00650EE4" w:rsidRDefault="001C4035" w:rsidP="00BE0811">
      <w:pPr>
        <w:pStyle w:val="Antrastes31"/>
        <w:numPr>
          <w:ilvl w:val="2"/>
          <w:numId w:val="4"/>
        </w:numPr>
        <w:spacing w:before="0"/>
        <w:ind w:left="720" w:hanging="720"/>
        <w:rPr>
          <w:rFonts w:ascii="Times New Roman" w:hAnsi="Times New Roman"/>
          <w:color w:val="000000" w:themeColor="text1"/>
          <w:sz w:val="24"/>
          <w:szCs w:val="24"/>
          <w:lang w:val="lt-LT"/>
        </w:rPr>
      </w:pPr>
      <w:bookmarkStart w:id="142" w:name="_Toc67925150"/>
      <w:r w:rsidRPr="00650EE4">
        <w:rPr>
          <w:rFonts w:ascii="Times New Roman" w:hAnsi="Times New Roman"/>
          <w:color w:val="000000" w:themeColor="text1"/>
          <w:sz w:val="24"/>
          <w:szCs w:val="24"/>
          <w:lang w:val="lt-LT"/>
        </w:rPr>
        <w:t>Mokslo, technologijų ir inovacijų politika</w:t>
      </w:r>
      <w:bookmarkEnd w:id="142"/>
    </w:p>
    <w:p w14:paraId="486A1A22" w14:textId="5FB24893"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Šalies studijų ir mokslo politiką formuoja Švietimo, mokslo ir sporto ministerija. Vyriausybės patvirtinta Valstybinė studijų, mokslinių tyrimų ir eksperimentinės (socialinės, kultūrinės) plėtros 2013–2020 metų plėtros programa</w:t>
      </w:r>
      <w:r w:rsidRPr="00650EE4">
        <w:rPr>
          <w:rStyle w:val="FootnoteReference"/>
          <w:rFonts w:ascii="Times New Roman" w:hAnsi="Times New Roman"/>
          <w:szCs w:val="22"/>
        </w:rPr>
        <w:footnoteReference w:id="28"/>
      </w:r>
      <w:r w:rsidRPr="00650EE4">
        <w:rPr>
          <w:rFonts w:ascii="Times New Roman" w:hAnsi="Times New Roman"/>
          <w:szCs w:val="22"/>
        </w:rPr>
        <w:t xml:space="preserve"> siekiama skatinti darnią žmogaus ir visuomenės raidą, stiprinančią šalies konkurencingumą ir sudarančią sąlygas inovacijoms, plėtojant studijas ir vykdant MTEPI. Minėtoje programoje pastatų ir/ar energetikos sektorius nėra išskiriamas. </w:t>
      </w:r>
    </w:p>
    <w:p w14:paraId="2979720E" w14:textId="669951B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Ekonomikos ir inovacijų ministerija yra atsakinga už technologijų ir inovacijų politikos formavimą. Įvairių ūkio sričių (energetikos sistemų, pramonės, transporto, žemės ūkio) inovacijų tikslai įtraukti į inovacijų politikos bendrą sistemą. Šiuo metu Lietuvos inovacijų politika įgyvendinama „Lietuvos pažangos strategijos „Lietuva 2030“, pagal ją įgyvendindamos 2014–2020 m. Nacionalinė pažangos programa ir </w:t>
      </w:r>
      <w:r w:rsidR="001E13DD" w:rsidRPr="00650EE4">
        <w:rPr>
          <w:rFonts w:ascii="Times New Roman" w:hAnsi="Times New Roman"/>
          <w:szCs w:val="22"/>
        </w:rPr>
        <w:t>2021–2030 m</w:t>
      </w:r>
      <w:r w:rsidR="001E13DD">
        <w:rPr>
          <w:rFonts w:ascii="Times New Roman" w:hAnsi="Times New Roman"/>
          <w:szCs w:val="22"/>
        </w:rPr>
        <w:t>.</w:t>
      </w:r>
      <w:r w:rsidR="001E13DD" w:rsidRPr="00650EE4">
        <w:rPr>
          <w:rFonts w:ascii="Times New Roman" w:hAnsi="Times New Roman"/>
          <w:szCs w:val="22"/>
        </w:rPr>
        <w:t xml:space="preserve"> </w:t>
      </w:r>
      <w:r w:rsidR="001E13DD">
        <w:rPr>
          <w:rFonts w:ascii="Times New Roman" w:hAnsi="Times New Roman"/>
          <w:szCs w:val="22"/>
        </w:rPr>
        <w:t>n</w:t>
      </w:r>
      <w:r w:rsidRPr="00650EE4">
        <w:rPr>
          <w:rFonts w:ascii="Times New Roman" w:hAnsi="Times New Roman"/>
          <w:szCs w:val="22"/>
        </w:rPr>
        <w:t>acionalini</w:t>
      </w:r>
      <w:r w:rsidR="001E13DD">
        <w:rPr>
          <w:rFonts w:ascii="Times New Roman" w:hAnsi="Times New Roman"/>
          <w:szCs w:val="22"/>
        </w:rPr>
        <w:t>s</w:t>
      </w:r>
      <w:r w:rsidRPr="00650EE4">
        <w:rPr>
          <w:rFonts w:ascii="Times New Roman" w:hAnsi="Times New Roman"/>
          <w:szCs w:val="22"/>
        </w:rPr>
        <w:t xml:space="preserve"> pažangos plan</w:t>
      </w:r>
      <w:r w:rsidR="001E13DD">
        <w:rPr>
          <w:rFonts w:ascii="Times New Roman" w:hAnsi="Times New Roman"/>
          <w:szCs w:val="22"/>
        </w:rPr>
        <w:t>as</w:t>
      </w:r>
      <w:r w:rsidRPr="00650EE4">
        <w:rPr>
          <w:rFonts w:ascii="Times New Roman" w:hAnsi="Times New Roman"/>
          <w:szCs w:val="22"/>
        </w:rPr>
        <w:t xml:space="preserve">. Papildomai skirtingus inovacijų politikos aspektus apima Lietuvos inovacijų plėtros 2014–2020 m. programa. Šia programa siekiama sukurti teisinį modelį verslo sektoriaus inovaciniam potencialui stiprinti, taip pat suformuoti efektyvesnę politiką bei </w:t>
      </w:r>
      <w:proofErr w:type="spellStart"/>
      <w:r w:rsidRPr="00650EE4">
        <w:rPr>
          <w:rFonts w:ascii="Times New Roman" w:hAnsi="Times New Roman"/>
          <w:szCs w:val="22"/>
        </w:rPr>
        <w:t>inovatyvų</w:t>
      </w:r>
      <w:proofErr w:type="spellEnd"/>
      <w:r w:rsidRPr="00650EE4">
        <w:rPr>
          <w:rFonts w:ascii="Times New Roman" w:hAnsi="Times New Roman"/>
          <w:szCs w:val="22"/>
        </w:rPr>
        <w:t xml:space="preserve"> viešąjį sektorių ir paskatinti bendrą verslo, mokslo bei švietimo srities institucijų veiklą. Viena iš programos įgyvendinimo plane išdėstytų priemonių siekiama paremti aplinką tausojančią, energiją taupančią bei žaliąją tyrimų ir plėtros bei inovacijų veiklą, kurią vykdant gaminami ir realizuojami didelės pridėtinės vertės produktai. Be to, taip pat remiamos su energetika ir tvaria aplinka susijusios sritys, taikant iki</w:t>
      </w:r>
      <w:r w:rsidR="00781599" w:rsidRPr="00650EE4">
        <w:rPr>
          <w:rFonts w:ascii="Times New Roman" w:hAnsi="Times New Roman"/>
          <w:szCs w:val="22"/>
        </w:rPr>
        <w:t>-</w:t>
      </w:r>
      <w:r w:rsidRPr="00650EE4">
        <w:rPr>
          <w:rFonts w:ascii="Times New Roman" w:hAnsi="Times New Roman"/>
          <w:szCs w:val="22"/>
        </w:rPr>
        <w:t xml:space="preserve">prekybinius pirkimus, kuriais siekiama sukurti inovacinius šios srities produktus. </w:t>
      </w:r>
    </w:p>
    <w:p w14:paraId="3319458C"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NECP numatyta Alternatyvios horizontaliosios klimato kaitos valdymo politikos priemonė: [H8.]</w:t>
      </w:r>
      <w:r w:rsidRPr="00650EE4">
        <w:rPr>
          <w:rStyle w:val="FootnoteReference"/>
          <w:rFonts w:ascii="Times New Roman" w:hAnsi="Times New Roman"/>
          <w:szCs w:val="22"/>
        </w:rPr>
        <w:footnoteReference w:id="29"/>
      </w:r>
      <w:r w:rsidRPr="00650EE4">
        <w:rPr>
          <w:rFonts w:ascii="Times New Roman" w:hAnsi="Times New Roman"/>
          <w:szCs w:val="22"/>
        </w:rPr>
        <w:t xml:space="preserve"> Mokslinių tyrimų susijusių su klimato kaitos švelninimu ir prisitaikymu prie klimato kaitos pokyčių skatinimas 2021–2030 m., atsakingos institucijos: Švietimo, mokslo ir sporto ministerija, Ekonomikos ir inovacijų ministerija, Lietuvos mokslo taryba, Aplinkos ministerija.</w:t>
      </w:r>
    </w:p>
    <w:p w14:paraId="6B8DEA1E"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Vyriausybės strateginės analizės centras kasmet atlieka Lietuvos inovacijų ekosistemos apžvalgą</w:t>
      </w:r>
      <w:r w:rsidRPr="00650EE4">
        <w:rPr>
          <w:rStyle w:val="FootnoteReference"/>
          <w:rFonts w:ascii="Times New Roman" w:hAnsi="Times New Roman"/>
          <w:szCs w:val="22"/>
        </w:rPr>
        <w:footnoteReference w:id="30"/>
      </w:r>
      <w:r w:rsidRPr="00650EE4">
        <w:rPr>
          <w:rFonts w:ascii="Times New Roman" w:hAnsi="Times New Roman"/>
          <w:szCs w:val="22"/>
        </w:rPr>
        <w:t xml:space="preserve">. Apžvalgoje pastatų sektorius nėra išskiriamas, tačiau, tikėtina, kad bendri šaliai pastebėjimai būdingi ir pastatų sektoriui. Jei nenurodyta kitas šaltinis, toliau glaustai pateikiamos pagrindinės apžvalgos išvados. </w:t>
      </w:r>
    </w:p>
    <w:p w14:paraId="3E5B6E12"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2018 m. bendrosios Lietuvos išlaidos MTEP siekė 0,88 proc. BVP (396,8 mln. EUR), iš kurių 0,55 proc. nuo BVP išleista aukštojo mokslo ir valdžios sektoriuje ir 0,33 proc. BVP – verslo sektoriuje. Paskutinių penkerių metų tendencija rodo, kad Lietuva 2020 m. strateginio tikslo – 1,9 proc. BVP siekiančių išlaidų MTEP - nepasieks.</w:t>
      </w:r>
    </w:p>
    <w:p w14:paraId="549A750A"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30–34 m. amžiaus gyventojų, turinčių aukštąjį išsilavinimą, dalimi (2018 m. 57,6 proc.) Lietuva gali pasigirti pirma vieta ES (2018 m. ES vidurkis 40,7 proc.). Absolventų, baigusių gamtos, technologijos, medicinos ir sveikatos, žemės ūkio mokslus dalis 2017 m. sudarė 30 proc. nuo visų absolventų. 2018 m. Lietuvos mokymosi visą gyvenimą lygis (6,6 proc.) buvo panašus į Latvijos (6,7 proc.), 4,5 proc. punktais žemesnis už ES vidurkį.</w:t>
      </w:r>
    </w:p>
    <w:p w14:paraId="4488EBEE"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Švietimo, mokslo ir sporto ministerijos duomenimis</w:t>
      </w:r>
      <w:r w:rsidRPr="00650EE4">
        <w:rPr>
          <w:rStyle w:val="FootnoteReference"/>
          <w:rFonts w:ascii="Times New Roman" w:hAnsi="Times New Roman"/>
          <w:szCs w:val="22"/>
        </w:rPr>
        <w:footnoteReference w:id="31"/>
      </w:r>
      <w:r w:rsidRPr="00650EE4">
        <w:rPr>
          <w:rFonts w:ascii="Times New Roman" w:hAnsi="Times New Roman"/>
          <w:szCs w:val="22"/>
        </w:rPr>
        <w:t xml:space="preserve"> profesinio mokymo įstaigų mokinių dalis inžinerijos ir inžinerinės profesijos dalis 2018 m. sudarė 24,7 proc. (2015m. – 22,7 proc.), architektūros ir statybos dalis 2018 m. sudarė 11,5 proc. (2015m. – 10,9 proc.). Kolegijų studentų skaičiaus inžinerijos ir inžinerinės profesijos dalis 2018 m. sudarė 14,4 proc., architektūros ir statybos dalis 2018 m. sudarė 5,4 proc. Universitetų pirmosios studijų pakopos studentų mokslo metų pradžioje inžinerijos ir inžinerinės profesijos dalis 2018 m. sudarė 12,0 proc., architektūros ir statybos 4,0 proc. Universitetų antrosios studijų pakopos studentų mokslo metų pradžioje inžinerijos ir inžinerinės profesijos dalis 2018 m. sudarė 10,4 proc., architektūros ir statybos 3,8 proc. </w:t>
      </w:r>
    </w:p>
    <w:p w14:paraId="53CFE77F"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Valstybinio patentų biuro duomenimis, 2012 –2018 m. laikotarpiu pramoninės nuosavybės objektų (prekių ženklų, patentų, dizainų) nacionalinių paraiškų skaičius padidėjo 20 proc. ir 2018 m. siekė 2930 paraiškų. 2018 m. Lietuvos </w:t>
      </w:r>
      <w:r w:rsidRPr="00650EE4">
        <w:rPr>
          <w:rFonts w:ascii="Times New Roman" w:hAnsi="Times New Roman"/>
          <w:szCs w:val="22"/>
        </w:rPr>
        <w:lastRenderedPageBreak/>
        <w:t xml:space="preserve">pareiškėjai padavė 81 nacionalinę patentų paraišką (iš jų 30 paraiškų padavė MSI ir 51 – verslo įmonės). Pateiktų patentų paraiškų skaičius rodo išradimų skaičių ir nėra susijęs su technologijos </w:t>
      </w:r>
      <w:proofErr w:type="spellStart"/>
      <w:r w:rsidRPr="00650EE4">
        <w:rPr>
          <w:rFonts w:ascii="Times New Roman" w:hAnsi="Times New Roman"/>
          <w:szCs w:val="22"/>
        </w:rPr>
        <w:t>komercializavimu</w:t>
      </w:r>
      <w:proofErr w:type="spellEnd"/>
      <w:r w:rsidRPr="00650EE4">
        <w:rPr>
          <w:rFonts w:ascii="Times New Roman" w:hAnsi="Times New Roman"/>
          <w:szCs w:val="22"/>
        </w:rPr>
        <w:t>, todėl atspindi tik dalį inovacinės veiklos rezultatų.</w:t>
      </w:r>
    </w:p>
    <w:p w14:paraId="69F0CB66" w14:textId="111FC16C"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Lietuvos dalyvavimo Horizontas 2020 rezultatai</w:t>
      </w:r>
      <w:r w:rsidR="00D44221" w:rsidRPr="00650EE4">
        <w:rPr>
          <w:rFonts w:ascii="Times New Roman" w:hAnsi="Times New Roman"/>
          <w:szCs w:val="22"/>
        </w:rPr>
        <w:t>:</w:t>
      </w:r>
      <w:r w:rsidRPr="00650EE4">
        <w:rPr>
          <w:rFonts w:ascii="Times New Roman" w:hAnsi="Times New Roman"/>
          <w:szCs w:val="22"/>
        </w:rPr>
        <w:t xml:space="preserve"> 2019 m. spalio mėnesio duomenimis, Lietuvos institucijos įgyvendino 340 projektų, iš kurių koordinavo – 69. Nors Lietuvos pareiškėjų paraiškos kokybiškos ir sėkmės reitingas (13,82 proc. nuo pateiktų tinkamų paraiškų) viršija ES vidurkį, pagal pateiktų paraiškų vienam gyventojui skaičių nuo Latvijos atsiliekame daugiau nei 2,5 karto, nuo Estijos – daugiau nei 6,5 karto. Pagal projektų skaičių, pirmame penketuke yra šie technologijų universitetai/įstaigos: Kauno technologijų universitetas, Lietuvos energetikos institutas ir Lietuvos mokslo taryba</w:t>
      </w:r>
      <w:r w:rsidRPr="00650EE4">
        <w:rPr>
          <w:rStyle w:val="FootnoteReference"/>
          <w:rFonts w:ascii="Times New Roman" w:hAnsi="Times New Roman"/>
          <w:szCs w:val="22"/>
        </w:rPr>
        <w:footnoteReference w:id="32"/>
      </w:r>
      <w:r w:rsidRPr="00650EE4">
        <w:rPr>
          <w:rFonts w:ascii="Times New Roman" w:hAnsi="Times New Roman"/>
          <w:szCs w:val="22"/>
        </w:rPr>
        <w:t xml:space="preserve">. </w:t>
      </w:r>
    </w:p>
    <w:p w14:paraId="55B80735"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Išskirtos šios reikšmingiausios 2019 m. viešojo sektoriaus inovacijos arba iniciatyvos, skatinančios inovacijas (atrinktos tik susijusios su technologijomis, tiesiogiai ar netiesiogiai susijusiomis su pastatų sektoriumi): </w:t>
      </w:r>
    </w:p>
    <w:p w14:paraId="0FF95F76" w14:textId="77777777"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2019 m. balandžio mėn. pristatyta Lietuvos dirbtinio intelekto strategija</w:t>
      </w:r>
      <w:r w:rsidRPr="00650EE4">
        <w:rPr>
          <w:rStyle w:val="FootnoteReference"/>
          <w:rFonts w:ascii="Times New Roman" w:hAnsi="Times New Roman"/>
          <w:szCs w:val="22"/>
          <w:lang w:val="lt-LT"/>
        </w:rPr>
        <w:footnoteReference w:id="33"/>
      </w:r>
      <w:r w:rsidRPr="00650EE4">
        <w:rPr>
          <w:rFonts w:ascii="Times New Roman" w:hAnsi="Times New Roman"/>
          <w:szCs w:val="22"/>
          <w:lang w:val="lt-LT"/>
        </w:rPr>
        <w:t>. Lietuva yra viena iš pirmųjų ES valstybių pateikusių savo strategiją. Jos tikslas – sukurti teisinį ir etinį pagrindą Lietuvoje taikyti dirbtinį intelektą, sukurti prielaidas verslui ir mokslui plėtoti bei taikyti dirbtinio intelekto sprendimus maksimaliai išnaudojant jo ekonominį potencialą. Energetikos sektoriuje dirbtinio intelekto sistemos turėtų būti naudojamos veiksmingesniems energijos tiekimo būdams sukurti. Taikydama veiksmingesnį energijos paskirstymo būdą, Lietuva galėtų padidinti tvarumą ir tapti mažiau priklausoma nuo užsienio energijos šaltinių.</w:t>
      </w:r>
    </w:p>
    <w:p w14:paraId="6CCFF839" w14:textId="2BA36485"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Siekiant palengvinti ir skatinti</w:t>
      </w:r>
      <w:r w:rsidR="008308FF" w:rsidRPr="00650EE4">
        <w:rPr>
          <w:rFonts w:ascii="Times New Roman" w:hAnsi="Times New Roman"/>
          <w:szCs w:val="22"/>
          <w:lang w:val="lt-LT"/>
        </w:rPr>
        <w:t xml:space="preserve"> energetikos inovacijų kūrimą, </w:t>
      </w:r>
      <w:r w:rsidRPr="00650EE4">
        <w:rPr>
          <w:rFonts w:ascii="Times New Roman" w:hAnsi="Times New Roman"/>
          <w:szCs w:val="22"/>
          <w:lang w:val="lt-LT"/>
        </w:rPr>
        <w:t>2020-04-28 priimtas Lietuvos Respublikos energetikos įstatymo Nr. IX-884 2, 3, 8, 13-1, 19, 27 straipsnių pakeitimo ir Įstatymo papildymo 18-1 straipsniu įstatymui, kuriuo sukurta bandomoji reguliacinė aplinka  energetikos inovacijoms išbandyti.</w:t>
      </w:r>
    </w:p>
    <w:p w14:paraId="0172920E" w14:textId="59574B53"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Energetikos ministerijos ir </w:t>
      </w:r>
      <w:r w:rsidR="00281FFE" w:rsidRPr="00650EE4">
        <w:rPr>
          <w:rFonts w:ascii="Times New Roman" w:hAnsi="Times New Roman"/>
          <w:szCs w:val="22"/>
          <w:lang w:val="lt-LT"/>
        </w:rPr>
        <w:t xml:space="preserve">AB </w:t>
      </w:r>
      <w:proofErr w:type="spellStart"/>
      <w:r w:rsidRPr="00650EE4">
        <w:rPr>
          <w:rFonts w:ascii="Times New Roman" w:hAnsi="Times New Roman"/>
          <w:szCs w:val="22"/>
          <w:lang w:val="lt-LT"/>
        </w:rPr>
        <w:t>Ignitis</w:t>
      </w:r>
      <w:proofErr w:type="spellEnd"/>
      <w:r w:rsidRPr="00650EE4">
        <w:rPr>
          <w:rFonts w:ascii="Times New Roman" w:hAnsi="Times New Roman"/>
          <w:szCs w:val="22"/>
          <w:lang w:val="lt-LT"/>
        </w:rPr>
        <w:t xml:space="preserve"> iniciatyva plėtoti saulės energetiką, „Saulės parkai“ – </w:t>
      </w:r>
      <w:proofErr w:type="spellStart"/>
      <w:r w:rsidRPr="00650EE4">
        <w:rPr>
          <w:rFonts w:ascii="Times New Roman" w:hAnsi="Times New Roman"/>
          <w:szCs w:val="22"/>
          <w:lang w:val="lt-LT"/>
        </w:rPr>
        <w:t>Ignitis</w:t>
      </w:r>
      <w:proofErr w:type="spellEnd"/>
      <w:r w:rsidRPr="00650EE4">
        <w:rPr>
          <w:rFonts w:ascii="Times New Roman" w:hAnsi="Times New Roman"/>
          <w:szCs w:val="22"/>
          <w:lang w:val="lt-LT"/>
        </w:rPr>
        <w:t xml:space="preserve"> internetinė platforma, suteikianti galimybę įsigyti arba išsinuomoti dalį nutolusios saulės elektrinės.</w:t>
      </w:r>
    </w:p>
    <w:p w14:paraId="2359D391" w14:textId="5ACA9489"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Vilniaus m. savivaldybė prijungė dalį nuosavybės teise valdomų pastatų prie 2018 m. Vilniuje įkurtos </w:t>
      </w:r>
      <w:r w:rsidR="001E13DD">
        <w:rPr>
          <w:rFonts w:ascii="Times New Roman" w:hAnsi="Times New Roman"/>
          <w:szCs w:val="22"/>
          <w:lang w:val="lt-LT"/>
        </w:rPr>
        <w:t>„</w:t>
      </w:r>
      <w:proofErr w:type="spellStart"/>
      <w:r w:rsidRPr="00650EE4">
        <w:rPr>
          <w:rFonts w:ascii="Times New Roman" w:hAnsi="Times New Roman"/>
          <w:szCs w:val="22"/>
          <w:lang w:val="lt-LT"/>
        </w:rPr>
        <w:t>RealBox</w:t>
      </w:r>
      <w:proofErr w:type="spellEnd"/>
      <w:r w:rsidR="001E13DD">
        <w:rPr>
          <w:rFonts w:ascii="Times New Roman" w:hAnsi="Times New Roman"/>
          <w:szCs w:val="22"/>
          <w:lang w:val="lt-LT"/>
        </w:rPr>
        <w:t>“</w:t>
      </w:r>
      <w:r w:rsidRPr="00650EE4">
        <w:rPr>
          <w:rFonts w:ascii="Times New Roman" w:hAnsi="Times New Roman"/>
          <w:szCs w:val="22"/>
          <w:lang w:val="lt-LT"/>
        </w:rPr>
        <w:t xml:space="preserve"> bandymų erdvės nekilnojamo turto technologijų įmonėms, kur jos gali išbandyti savo </w:t>
      </w:r>
      <w:proofErr w:type="spellStart"/>
      <w:r w:rsidRPr="00650EE4">
        <w:rPr>
          <w:rFonts w:ascii="Times New Roman" w:hAnsi="Times New Roman"/>
          <w:szCs w:val="22"/>
          <w:lang w:val="lt-LT"/>
        </w:rPr>
        <w:t>inovatyvius</w:t>
      </w:r>
      <w:proofErr w:type="spellEnd"/>
      <w:r w:rsidRPr="00650EE4">
        <w:rPr>
          <w:rFonts w:ascii="Times New Roman" w:hAnsi="Times New Roman"/>
          <w:szCs w:val="22"/>
          <w:lang w:val="lt-LT"/>
        </w:rPr>
        <w:t xml:space="preserve"> sprendimus.</w:t>
      </w:r>
    </w:p>
    <w:p w14:paraId="48162929" w14:textId="77777777"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Įkurta Mokslinių tyrimų ir technologijų organizacijų asociacija, kurios tikslas plėsti aukštos pridėtinės vertės pramonės sektorių, sutelkiant stipriausių Lietuvos mokslo tyrimų centrų – Fizinių ir technologijos mokslų centras, Lietuvos energetikos institutas, Lietuvos agrarinių ir miškų mokslų centras bei Fizikos instituto Mokslo ir technologijų parkas – potencialą.</w:t>
      </w:r>
    </w:p>
    <w:p w14:paraId="0344992D" w14:textId="77777777" w:rsidR="00A358AE" w:rsidRPr="00650EE4" w:rsidRDefault="00A358AE" w:rsidP="0096171B">
      <w:pPr>
        <w:pStyle w:val="ListParagraph"/>
        <w:spacing w:line="240" w:lineRule="auto"/>
        <w:ind w:left="714"/>
        <w:contextualSpacing w:val="0"/>
        <w:jc w:val="both"/>
        <w:rPr>
          <w:rFonts w:ascii="Times New Roman" w:hAnsi="Times New Roman"/>
          <w:szCs w:val="22"/>
          <w:lang w:val="lt-LT"/>
        </w:rPr>
      </w:pPr>
    </w:p>
    <w:p w14:paraId="4D0BA07D" w14:textId="77777777" w:rsidR="001C4035" w:rsidRPr="00650EE4" w:rsidRDefault="001C4035" w:rsidP="008772A0">
      <w:pPr>
        <w:spacing w:after="240"/>
        <w:jc w:val="both"/>
        <w:rPr>
          <w:rFonts w:ascii="Times New Roman" w:hAnsi="Times New Roman"/>
          <w:b/>
          <w:bCs/>
          <w:sz w:val="24"/>
          <w:szCs w:val="24"/>
        </w:rPr>
      </w:pPr>
      <w:r w:rsidRPr="00650EE4">
        <w:rPr>
          <w:rFonts w:ascii="Times New Roman" w:hAnsi="Times New Roman"/>
          <w:b/>
          <w:bCs/>
          <w:sz w:val="24"/>
          <w:szCs w:val="24"/>
        </w:rPr>
        <w:t>Išmaniųjų technologijų diegimas pastatuose</w:t>
      </w:r>
    </w:p>
    <w:p w14:paraId="5218B1A7" w14:textId="275F01B4" w:rsidR="001C4035" w:rsidRPr="00650EE4" w:rsidRDefault="001C4035" w:rsidP="002F3428">
      <w:pPr>
        <w:spacing w:after="120"/>
        <w:jc w:val="both"/>
        <w:rPr>
          <w:rFonts w:ascii="Times New Roman" w:hAnsi="Times New Roman"/>
          <w:szCs w:val="22"/>
        </w:rPr>
      </w:pPr>
      <w:r w:rsidRPr="00650EE4">
        <w:rPr>
          <w:rFonts w:ascii="Times New Roman" w:hAnsi="Times New Roman"/>
          <w:szCs w:val="22"/>
        </w:rPr>
        <w:t>Šilumos ūkio sektorius</w:t>
      </w:r>
      <w:r w:rsidR="006519FD" w:rsidRPr="00650EE4">
        <w:rPr>
          <w:rFonts w:ascii="Times New Roman" w:hAnsi="Times New Roman"/>
          <w:szCs w:val="22"/>
        </w:rPr>
        <w:t>:</w:t>
      </w:r>
    </w:p>
    <w:p w14:paraId="18643022" w14:textId="2F2A35EA" w:rsidR="001C4035" w:rsidRPr="00650EE4" w:rsidRDefault="001C4035" w:rsidP="00BD4925">
      <w:pPr>
        <w:pStyle w:val="ListParagraph"/>
        <w:numPr>
          <w:ilvl w:val="0"/>
          <w:numId w:val="38"/>
        </w:numPr>
        <w:spacing w:after="240"/>
        <w:jc w:val="both"/>
        <w:rPr>
          <w:rFonts w:ascii="Times New Roman" w:hAnsi="Times New Roman"/>
          <w:szCs w:val="22"/>
          <w:lang w:val="lt-LT"/>
        </w:rPr>
      </w:pPr>
      <w:r w:rsidRPr="00650EE4">
        <w:rPr>
          <w:rFonts w:ascii="Times New Roman" w:hAnsi="Times New Roman"/>
          <w:szCs w:val="22"/>
          <w:lang w:val="lt-LT"/>
        </w:rPr>
        <w:t xml:space="preserve">Lietuvos šilumos tiekėjų asociacijos duomenimis, 14 proc. CŠT vartotojų daugiabučiuose turi galimybę patys reguliuoti </w:t>
      </w:r>
      <w:r w:rsidR="00D44221" w:rsidRPr="00650EE4">
        <w:rPr>
          <w:rFonts w:ascii="Times New Roman" w:hAnsi="Times New Roman"/>
          <w:szCs w:val="22"/>
          <w:lang w:val="lt-LT"/>
        </w:rPr>
        <w:t>patalpų temperatūrą</w:t>
      </w:r>
      <w:r w:rsidRPr="00650EE4">
        <w:rPr>
          <w:rFonts w:ascii="Times New Roman" w:hAnsi="Times New Roman"/>
          <w:szCs w:val="22"/>
          <w:lang w:val="lt-LT"/>
        </w:rPr>
        <w:t xml:space="preserve"> savo bute. Kasmet tokių daugiabučių su įrengtais individualiais šilumos skaitikliais butuose arba sumontuotais šilumos paskirstymo prietaisais (dalikliais) ant radiatorių daugėja: 2014 m. iš viso tokių namų buvo 1243, 2016 m. – jau 1979, 2017 m. – 2312, o 2018 m. – 2586. 2018 m. visuose pastatų įvadiniuose šilumos punktuose sumontuoti 29 343 apskaitos prietaisai, iš kurių beveik 55 proc. yra su nuotoline duomenų nuskaitymo sistema, o didžiuosiuose miestuose, pavyzdžiui, Kaune net 97 proc., Vilniuje – 89 proc., apskaitos prietaisų duomenys nuskaitomi nuotoliniu būdu</w:t>
      </w:r>
      <w:r w:rsidRPr="00650EE4">
        <w:rPr>
          <w:rStyle w:val="FootnoteReference"/>
          <w:rFonts w:ascii="Times New Roman" w:hAnsi="Times New Roman"/>
          <w:szCs w:val="22"/>
          <w:lang w:val="lt-LT"/>
        </w:rPr>
        <w:footnoteReference w:id="34"/>
      </w:r>
      <w:r w:rsidR="000068D2" w:rsidRPr="00650EE4">
        <w:rPr>
          <w:rFonts w:ascii="Times New Roman" w:hAnsi="Times New Roman"/>
          <w:szCs w:val="22"/>
          <w:lang w:val="lt-LT"/>
        </w:rPr>
        <w:t>.</w:t>
      </w:r>
    </w:p>
    <w:p w14:paraId="5697415F" w14:textId="1828F997" w:rsidR="001C4035" w:rsidRPr="00650EE4" w:rsidRDefault="001C4035" w:rsidP="002F3428">
      <w:pPr>
        <w:spacing w:after="120"/>
        <w:jc w:val="both"/>
        <w:rPr>
          <w:rFonts w:ascii="Times New Roman" w:hAnsi="Times New Roman"/>
          <w:szCs w:val="22"/>
        </w:rPr>
      </w:pPr>
      <w:r w:rsidRPr="00650EE4">
        <w:rPr>
          <w:rFonts w:ascii="Times New Roman" w:hAnsi="Times New Roman"/>
          <w:szCs w:val="22"/>
        </w:rPr>
        <w:t>Elektros energijos ir gamtinių dujų sektorius</w:t>
      </w:r>
      <w:r w:rsidR="006519FD" w:rsidRPr="00650EE4">
        <w:rPr>
          <w:rFonts w:ascii="Times New Roman" w:hAnsi="Times New Roman"/>
          <w:szCs w:val="22"/>
        </w:rPr>
        <w:t>:</w:t>
      </w:r>
    </w:p>
    <w:p w14:paraId="03B3BC1F" w14:textId="5A410743" w:rsidR="001C4035" w:rsidRPr="00650EE4" w:rsidRDefault="001C4035" w:rsidP="00BD4925">
      <w:pPr>
        <w:pStyle w:val="ListParagraph"/>
        <w:numPr>
          <w:ilvl w:val="0"/>
          <w:numId w:val="38"/>
        </w:numPr>
        <w:spacing w:after="240"/>
        <w:jc w:val="both"/>
        <w:rPr>
          <w:rFonts w:ascii="Times New Roman" w:hAnsi="Times New Roman"/>
          <w:szCs w:val="22"/>
          <w:lang w:val="lt-LT"/>
        </w:rPr>
      </w:pPr>
      <w:r w:rsidRPr="00650EE4">
        <w:rPr>
          <w:rFonts w:ascii="Times New Roman" w:hAnsi="Times New Roman"/>
          <w:szCs w:val="22"/>
          <w:lang w:val="lt-LT"/>
        </w:rPr>
        <w:t xml:space="preserve">Išmaniųjų skaitiklių diegimas. ESO planuoja savo klientams, suvartojantiems apie 90% paskirstomo elektros energijos kiekio, įdiegti išmaniuosius elektros skaitiklius iki 2023 m. pabaigos. Išmanieji skaitikliai bus diegiami etapais, pradedant nuo daugiausiai elektros energijos suvartojančių klientų vėliau </w:t>
      </w:r>
      <w:r w:rsidRPr="00650EE4">
        <w:rPr>
          <w:rFonts w:ascii="Times New Roman" w:hAnsi="Times New Roman"/>
          <w:szCs w:val="22"/>
          <w:lang w:val="lt-LT"/>
        </w:rPr>
        <w:lastRenderedPageBreak/>
        <w:t xml:space="preserve">išmaniuosius skaitiklius diegiant ir kitiems vartotojams. Remiantis atlikta kaštų naudos analize gamtinių dujų vartotojams išmanieji skaitikliai kol kas diegiami nebus.   Plačiau apie ESO vykdomą išmaniųjų skaitiklių projektą galima rasti </w:t>
      </w:r>
      <w:r w:rsidR="00470BF7" w:rsidRPr="00650EE4">
        <w:rPr>
          <w:rFonts w:ascii="Times New Roman" w:hAnsi="Times New Roman"/>
          <w:szCs w:val="22"/>
          <w:lang w:val="lt-LT"/>
        </w:rPr>
        <w:t xml:space="preserve">adresu: </w:t>
      </w:r>
      <w:hyperlink r:id="rId52" w:history="1">
        <w:r w:rsidR="007B0BAC" w:rsidRPr="00650EE4">
          <w:rPr>
            <w:rStyle w:val="Hyperlink"/>
            <w:rFonts w:ascii="Times New Roman" w:hAnsi="Times New Roman"/>
            <w:szCs w:val="22"/>
            <w:lang w:val="lt-LT"/>
          </w:rPr>
          <w:t>https://ismaniejiskaitikliai.lt/</w:t>
        </w:r>
      </w:hyperlink>
    </w:p>
    <w:p w14:paraId="6EA38F63" w14:textId="7105DFA9" w:rsidR="00556D88" w:rsidRPr="00650EE4" w:rsidRDefault="00556D88" w:rsidP="00220E8D">
      <w:pPr>
        <w:spacing w:after="120"/>
        <w:jc w:val="both"/>
        <w:rPr>
          <w:rFonts w:ascii="Times New Roman" w:hAnsi="Times New Roman"/>
          <w:szCs w:val="22"/>
        </w:rPr>
      </w:pPr>
      <w:r w:rsidRPr="00650EE4">
        <w:rPr>
          <w:rFonts w:ascii="Times New Roman" w:hAnsi="Times New Roman"/>
          <w:szCs w:val="22"/>
        </w:rPr>
        <w:t xml:space="preserve">Investicijos į fizinę infrastruktūrą turėtų būti tinkamai papildytos investicijomis į žmogiškąjį kapitalą ir MTEP bazę. Pavyzdžiui, </w:t>
      </w:r>
      <w:r w:rsidR="003A3478" w:rsidRPr="00650EE4">
        <w:rPr>
          <w:rFonts w:ascii="Times New Roman" w:hAnsi="Times New Roman"/>
          <w:szCs w:val="22"/>
        </w:rPr>
        <w:t>EBPO</w:t>
      </w:r>
      <w:r w:rsidRPr="00650EE4">
        <w:rPr>
          <w:rFonts w:ascii="Times New Roman" w:hAnsi="Times New Roman"/>
          <w:szCs w:val="22"/>
        </w:rPr>
        <w:t xml:space="preserve"> studijoje atskleista, kad valstybės ar regiono augimą paskatinti galima tik taikant kompleksinį požiūrį, t. y. viešosios intervencijos nukreipimas vien į fizinę infrastruktūrą nebus sėkmingas, jeigu kartu nebus skatinami tokie endogeninio augimo veiksniai kaip žmogiškasis kapitalas ir inovacijos.</w:t>
      </w:r>
    </w:p>
    <w:p w14:paraId="32053C0D" w14:textId="77777777" w:rsidR="00EB34D6" w:rsidRPr="00650EE4" w:rsidRDefault="00EB34D6">
      <w:pPr>
        <w:spacing w:after="240"/>
        <w:rPr>
          <w:rFonts w:ascii="Times New Roman" w:hAnsi="Times New Roman"/>
          <w:szCs w:val="22"/>
        </w:rPr>
      </w:pPr>
      <w:bookmarkStart w:id="143" w:name="_Ref50562808"/>
      <w:bookmarkStart w:id="144" w:name="_Ref50562822"/>
      <w:bookmarkStart w:id="145" w:name="OLE_LINK2"/>
      <w:bookmarkStart w:id="146" w:name="Barjerai_trikdziai"/>
    </w:p>
    <w:p w14:paraId="0DDD90FF" w14:textId="77777777" w:rsidR="00EB34D6" w:rsidRPr="00650EE4" w:rsidRDefault="00EB34D6" w:rsidP="00EB34D6">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47" w:name="_Toc67925151"/>
      <w:r w:rsidRPr="00650EE4">
        <w:rPr>
          <w:rFonts w:ascii="Times New Roman" w:hAnsi="Times New Roman"/>
          <w:color w:val="auto"/>
          <w:sz w:val="24"/>
          <w:szCs w:val="24"/>
          <w:lang w:val="lt-LT"/>
        </w:rPr>
        <w:t>Esminiai skyriaus pastebėjimai</w:t>
      </w:r>
      <w:bookmarkEnd w:id="147"/>
    </w:p>
    <w:tbl>
      <w:tblPr>
        <w:tblW w:w="10161" w:type="dxa"/>
        <w:tblBorders>
          <w:left w:val="single" w:sz="36" w:space="0" w:color="EA0D2C"/>
        </w:tblBorders>
        <w:tblLayout w:type="fixed"/>
        <w:tblLook w:val="00A0" w:firstRow="1" w:lastRow="0" w:firstColumn="1" w:lastColumn="0" w:noHBand="0" w:noVBand="0"/>
      </w:tblPr>
      <w:tblGrid>
        <w:gridCol w:w="10161"/>
      </w:tblGrid>
      <w:tr w:rsidR="00EB34D6" w:rsidRPr="00650EE4" w14:paraId="572AD411" w14:textId="77777777" w:rsidTr="00581E8F">
        <w:tc>
          <w:tcPr>
            <w:tcW w:w="10161" w:type="dxa"/>
            <w:tcBorders>
              <w:left w:val="single" w:sz="36" w:space="0" w:color="002060"/>
            </w:tcBorders>
            <w:shd w:val="clear" w:color="auto" w:fill="F0F0F0"/>
          </w:tcPr>
          <w:p w14:paraId="08104B0D" w14:textId="3B393CEA" w:rsidR="00EB34D6" w:rsidRPr="00650EE4" w:rsidRDefault="00EB34D6"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 xml:space="preserve">Šiuo metu vykdomos </w:t>
            </w:r>
            <w:r w:rsidR="00EC5373" w:rsidRPr="00650EE4">
              <w:rPr>
                <w:rFonts w:ascii="Times New Roman" w:hAnsi="Times New Roman"/>
                <w:szCs w:val="22"/>
                <w:lang w:val="lt-LT"/>
              </w:rPr>
              <w:t xml:space="preserve">pagrindinės </w:t>
            </w:r>
            <w:r w:rsidRPr="00650EE4">
              <w:rPr>
                <w:rFonts w:ascii="Times New Roman" w:hAnsi="Times New Roman"/>
                <w:szCs w:val="22"/>
                <w:lang w:val="lt-LT"/>
              </w:rPr>
              <w:t xml:space="preserve">politinės priemonės, orientuotos į esminę pastatų renovaciją nukreiptos į </w:t>
            </w:r>
            <w:r w:rsidR="00EC5373" w:rsidRPr="00650EE4">
              <w:rPr>
                <w:rFonts w:ascii="Times New Roman" w:hAnsi="Times New Roman"/>
                <w:szCs w:val="22"/>
                <w:lang w:val="lt-LT"/>
              </w:rPr>
              <w:t xml:space="preserve">kelis </w:t>
            </w:r>
            <w:r w:rsidRPr="00650EE4">
              <w:rPr>
                <w:rFonts w:ascii="Times New Roman" w:hAnsi="Times New Roman"/>
                <w:szCs w:val="22"/>
                <w:lang w:val="lt-LT"/>
              </w:rPr>
              <w:t>konkrečius pastatų sektoriaus segmentus (daugiabučius ir viešuosius pastatus), atskirai teikiant prioritetą prasčiausio energinio naudingumo pastatams.</w:t>
            </w:r>
          </w:p>
          <w:p w14:paraId="6C4611EE" w14:textId="2D45DFC5" w:rsidR="00EB34D6" w:rsidRPr="00650EE4" w:rsidRDefault="00EB34D6"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Priemonės, susijusios su kitais rinkos nepakankamumo atvejais taikomos esamų priemonių kontekste, pvz., informuojant apie renovacijos naudą, renkant duomenis apie pastatų fondą ir pan.</w:t>
            </w:r>
          </w:p>
        </w:tc>
      </w:tr>
    </w:tbl>
    <w:p w14:paraId="21166CB7" w14:textId="77777777" w:rsidR="00EB34D6" w:rsidRPr="00650EE4" w:rsidRDefault="00EB34D6" w:rsidP="00EB34D6">
      <w:pPr>
        <w:spacing w:after="240"/>
        <w:rPr>
          <w:rFonts w:ascii="Times New Roman" w:eastAsia="Times New Roman" w:hAnsi="Times New Roman"/>
          <w:b/>
          <w:bCs/>
          <w:caps/>
          <w:color w:val="002060"/>
          <w:kern w:val="32"/>
          <w:sz w:val="28"/>
          <w:szCs w:val="28"/>
          <w:lang w:eastAsia="lt-LT"/>
        </w:rPr>
      </w:pPr>
      <w:r w:rsidRPr="00650EE4">
        <w:rPr>
          <w:rFonts w:ascii="Times New Roman" w:hAnsi="Times New Roman"/>
          <w:color w:val="002060"/>
          <w:szCs w:val="28"/>
        </w:rPr>
        <w:br w:type="page"/>
      </w:r>
    </w:p>
    <w:p w14:paraId="3A90A83B" w14:textId="1F4C8DBD" w:rsidR="00813CF9" w:rsidRPr="00650EE4" w:rsidRDefault="00F84AAE" w:rsidP="00F84AAE">
      <w:pPr>
        <w:pStyle w:val="Nenumeruojamosantrastes"/>
        <w:pageBreakBefore w:val="0"/>
        <w:numPr>
          <w:ilvl w:val="0"/>
          <w:numId w:val="4"/>
        </w:numPr>
        <w:pBdr>
          <w:bottom w:val="single" w:sz="4" w:space="1" w:color="auto"/>
        </w:pBdr>
        <w:spacing w:before="0"/>
        <w:ind w:left="357" w:hanging="357"/>
        <w:jc w:val="both"/>
        <w:outlineLvl w:val="0"/>
        <w:rPr>
          <w:rFonts w:ascii="Times New Roman" w:hAnsi="Times New Roman"/>
          <w:color w:val="002060"/>
          <w:sz w:val="24"/>
          <w:szCs w:val="24"/>
        </w:rPr>
      </w:pPr>
      <w:bookmarkStart w:id="148" w:name="_Toc67925152"/>
      <w:bookmarkEnd w:id="143"/>
      <w:bookmarkEnd w:id="144"/>
      <w:r w:rsidRPr="00650EE4">
        <w:rPr>
          <w:rFonts w:ascii="Times New Roman" w:hAnsi="Times New Roman"/>
          <w:color w:val="002060"/>
          <w:sz w:val="24"/>
          <w:szCs w:val="24"/>
        </w:rPr>
        <w:lastRenderedPageBreak/>
        <w:t>RENOVACIJOS BARJERAI</w:t>
      </w:r>
      <w:bookmarkEnd w:id="148"/>
    </w:p>
    <w:bookmarkEnd w:id="145"/>
    <w:bookmarkEnd w:id="146"/>
    <w:p w14:paraId="06529131" w14:textId="363DED87" w:rsidR="00FD64A9" w:rsidRPr="00650EE4" w:rsidRDefault="008C0FBC" w:rsidP="001F5F3C">
      <w:pPr>
        <w:spacing w:after="120"/>
        <w:jc w:val="both"/>
        <w:rPr>
          <w:rFonts w:ascii="Times New Roman" w:hAnsi="Times New Roman"/>
          <w:bCs/>
          <w:szCs w:val="22"/>
        </w:rPr>
      </w:pPr>
      <w:r w:rsidRPr="00650EE4">
        <w:rPr>
          <w:rFonts w:ascii="Times New Roman" w:hAnsi="Times New Roman"/>
          <w:bCs/>
          <w:szCs w:val="22"/>
        </w:rPr>
        <w:t>Renovacijos barjerai</w:t>
      </w:r>
      <w:r w:rsidR="001E13DD">
        <w:rPr>
          <w:rFonts w:ascii="Times New Roman" w:hAnsi="Times New Roman"/>
          <w:bCs/>
          <w:szCs w:val="22"/>
        </w:rPr>
        <w:t xml:space="preserve"> IRS kontekste</w:t>
      </w:r>
      <w:r w:rsidR="009F63EC" w:rsidRPr="00650EE4">
        <w:rPr>
          <w:rFonts w:ascii="Times New Roman" w:hAnsi="Times New Roman"/>
          <w:bCs/>
          <w:szCs w:val="22"/>
        </w:rPr>
        <w:t xml:space="preserve"> suprantami kaip </w:t>
      </w:r>
      <w:r w:rsidR="0078279F" w:rsidRPr="00650EE4">
        <w:rPr>
          <w:rFonts w:ascii="Times New Roman" w:hAnsi="Times New Roman"/>
          <w:bCs/>
          <w:szCs w:val="22"/>
        </w:rPr>
        <w:t>šiuo metu egzistuojančios renovacijos įgyvendin</w:t>
      </w:r>
      <w:r w:rsidR="009F63EC" w:rsidRPr="00650EE4">
        <w:rPr>
          <w:rFonts w:ascii="Times New Roman" w:hAnsi="Times New Roman"/>
          <w:bCs/>
          <w:szCs w:val="22"/>
        </w:rPr>
        <w:t>imo kliūtys (esami barjerai) ir</w:t>
      </w:r>
      <w:r w:rsidR="0078279F" w:rsidRPr="00650EE4">
        <w:rPr>
          <w:rFonts w:ascii="Times New Roman" w:hAnsi="Times New Roman"/>
          <w:bCs/>
          <w:szCs w:val="22"/>
        </w:rPr>
        <w:t xml:space="preserve"> potencialios rizikos, galinčios pasireikšti dėl </w:t>
      </w:r>
      <w:r w:rsidR="00D312D7" w:rsidRPr="00650EE4">
        <w:rPr>
          <w:rFonts w:ascii="Times New Roman" w:hAnsi="Times New Roman"/>
          <w:bCs/>
          <w:szCs w:val="22"/>
        </w:rPr>
        <w:t xml:space="preserve">reikšmingai </w:t>
      </w:r>
      <w:r w:rsidR="00485A19" w:rsidRPr="00650EE4">
        <w:rPr>
          <w:rFonts w:ascii="Times New Roman" w:hAnsi="Times New Roman"/>
          <w:bCs/>
          <w:szCs w:val="22"/>
        </w:rPr>
        <w:t>i</w:t>
      </w:r>
      <w:r w:rsidR="0078279F" w:rsidRPr="00650EE4">
        <w:rPr>
          <w:rFonts w:ascii="Times New Roman" w:hAnsi="Times New Roman"/>
          <w:bCs/>
          <w:szCs w:val="22"/>
        </w:rPr>
        <w:t xml:space="preserve">šaugusių renovacijos apimčių ar </w:t>
      </w:r>
      <w:r w:rsidR="00AB030B" w:rsidRPr="00650EE4">
        <w:rPr>
          <w:rFonts w:ascii="Times New Roman" w:hAnsi="Times New Roman"/>
          <w:bCs/>
          <w:szCs w:val="22"/>
        </w:rPr>
        <w:t xml:space="preserve">naujai </w:t>
      </w:r>
      <w:r w:rsidR="0078279F" w:rsidRPr="00650EE4">
        <w:rPr>
          <w:rFonts w:ascii="Times New Roman" w:hAnsi="Times New Roman"/>
          <w:bCs/>
          <w:szCs w:val="22"/>
        </w:rPr>
        <w:t>planuojamų įgyvendinti renovacijos priemonių</w:t>
      </w:r>
      <w:r w:rsidR="009F63EC" w:rsidRPr="00650EE4">
        <w:rPr>
          <w:rFonts w:ascii="Times New Roman" w:hAnsi="Times New Roman"/>
          <w:bCs/>
          <w:szCs w:val="22"/>
        </w:rPr>
        <w:t xml:space="preserve"> (tikėtini barjerai)</w:t>
      </w:r>
      <w:r w:rsidR="0078279F" w:rsidRPr="00650EE4">
        <w:rPr>
          <w:rFonts w:ascii="Times New Roman" w:hAnsi="Times New Roman"/>
          <w:bCs/>
          <w:szCs w:val="22"/>
        </w:rPr>
        <w:t>.</w:t>
      </w:r>
      <w:r w:rsidR="00FD64A9" w:rsidRPr="00650EE4">
        <w:rPr>
          <w:rFonts w:ascii="Times New Roman" w:hAnsi="Times New Roman"/>
          <w:bCs/>
          <w:szCs w:val="22"/>
        </w:rPr>
        <w:t xml:space="preserve"> </w:t>
      </w:r>
    </w:p>
    <w:p w14:paraId="3CF34375" w14:textId="383AB82E" w:rsidR="009F63EC" w:rsidRPr="00650EE4" w:rsidRDefault="008C0FBC" w:rsidP="00D312D7">
      <w:pPr>
        <w:spacing w:after="240"/>
        <w:jc w:val="both"/>
        <w:rPr>
          <w:rFonts w:ascii="Times New Roman" w:hAnsi="Times New Roman"/>
          <w:bCs/>
          <w:szCs w:val="22"/>
        </w:rPr>
      </w:pPr>
      <w:r w:rsidRPr="00650EE4">
        <w:rPr>
          <w:rFonts w:ascii="Times New Roman" w:hAnsi="Times New Roman"/>
          <w:bCs/>
          <w:szCs w:val="22"/>
        </w:rPr>
        <w:t>Renovacijos b</w:t>
      </w:r>
      <w:r w:rsidR="009F63EC" w:rsidRPr="00650EE4">
        <w:rPr>
          <w:rFonts w:ascii="Times New Roman" w:hAnsi="Times New Roman"/>
          <w:bCs/>
          <w:szCs w:val="22"/>
        </w:rPr>
        <w:t>arjer</w:t>
      </w:r>
      <w:r w:rsidR="001909FC" w:rsidRPr="00650EE4">
        <w:rPr>
          <w:rFonts w:ascii="Times New Roman" w:hAnsi="Times New Roman"/>
          <w:bCs/>
          <w:szCs w:val="22"/>
        </w:rPr>
        <w:t xml:space="preserve">ų </w:t>
      </w:r>
      <w:r w:rsidR="00A60EC8" w:rsidRPr="00650EE4">
        <w:rPr>
          <w:rFonts w:ascii="Times New Roman" w:hAnsi="Times New Roman"/>
          <w:bCs/>
          <w:szCs w:val="22"/>
        </w:rPr>
        <w:t xml:space="preserve">identifikavimas atliktas remiantis žemiau nurodytais, esminiais </w:t>
      </w:r>
      <w:r w:rsidR="001909FC" w:rsidRPr="00650EE4">
        <w:rPr>
          <w:rFonts w:ascii="Times New Roman" w:hAnsi="Times New Roman"/>
          <w:bCs/>
          <w:szCs w:val="22"/>
        </w:rPr>
        <w:t xml:space="preserve"> </w:t>
      </w:r>
      <w:r w:rsidR="001F5F3C" w:rsidRPr="00650EE4">
        <w:rPr>
          <w:rFonts w:ascii="Times New Roman" w:hAnsi="Times New Roman"/>
          <w:bCs/>
          <w:szCs w:val="22"/>
        </w:rPr>
        <w:t xml:space="preserve">efektyvios </w:t>
      </w:r>
      <w:r w:rsidR="00A60EC8" w:rsidRPr="00650EE4">
        <w:rPr>
          <w:rFonts w:ascii="Times New Roman" w:hAnsi="Times New Roman"/>
          <w:bCs/>
          <w:szCs w:val="22"/>
        </w:rPr>
        <w:t>renovacijos komponentais:</w:t>
      </w:r>
    </w:p>
    <w:p w14:paraId="4699BFAB" w14:textId="6E157AEE" w:rsidR="0081145E" w:rsidRPr="00650EE4" w:rsidRDefault="0081145E" w:rsidP="00BD4925">
      <w:pPr>
        <w:pStyle w:val="ListParagraph"/>
        <w:numPr>
          <w:ilvl w:val="0"/>
          <w:numId w:val="37"/>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Integruotas planavimas</w:t>
      </w:r>
      <w:r w:rsidRPr="00650EE4">
        <w:rPr>
          <w:rFonts w:ascii="Times New Roman" w:hAnsi="Times New Roman"/>
          <w:color w:val="000000" w:themeColor="text1"/>
          <w:szCs w:val="22"/>
          <w:lang w:val="lt-LT"/>
        </w:rPr>
        <w:t>: IRS nustatyti siektini rodikliai turi būti tinkamai integruoti tiek į nacionalinio lygmens strateginius dokumentus (</w:t>
      </w:r>
      <w:r w:rsidR="004E75C3" w:rsidRPr="00650EE4">
        <w:rPr>
          <w:rFonts w:ascii="Times New Roman" w:hAnsi="Times New Roman"/>
          <w:color w:val="000000" w:themeColor="text1"/>
          <w:szCs w:val="22"/>
          <w:lang w:val="lt-LT"/>
        </w:rPr>
        <w:t xml:space="preserve">vertikali </w:t>
      </w:r>
      <w:r w:rsidRPr="00650EE4">
        <w:rPr>
          <w:rFonts w:ascii="Times New Roman" w:hAnsi="Times New Roman"/>
          <w:color w:val="000000" w:themeColor="text1"/>
          <w:szCs w:val="22"/>
          <w:lang w:val="lt-LT"/>
        </w:rPr>
        <w:t xml:space="preserve">integracija aukštyn) tiek į institucijų atsakingų už IRS įgyvendinimą </w:t>
      </w:r>
      <w:r w:rsidR="004E75C3" w:rsidRPr="00650EE4">
        <w:rPr>
          <w:rFonts w:ascii="Times New Roman" w:hAnsi="Times New Roman"/>
          <w:color w:val="000000" w:themeColor="text1"/>
          <w:szCs w:val="22"/>
          <w:lang w:val="lt-LT"/>
        </w:rPr>
        <w:t>(</w:t>
      </w:r>
      <w:r w:rsidR="00E631F2" w:rsidRPr="00650EE4">
        <w:rPr>
          <w:rFonts w:ascii="Times New Roman" w:hAnsi="Times New Roman"/>
          <w:color w:val="000000" w:themeColor="text1"/>
          <w:szCs w:val="22"/>
          <w:lang w:val="lt-LT"/>
        </w:rPr>
        <w:t>vertikali integracija žemyn) ir</w:t>
      </w:r>
      <w:r w:rsidR="004E75C3" w:rsidRPr="00650EE4">
        <w:rPr>
          <w:rFonts w:ascii="Times New Roman" w:hAnsi="Times New Roman"/>
          <w:color w:val="000000" w:themeColor="text1"/>
          <w:szCs w:val="22"/>
          <w:lang w:val="lt-LT"/>
        </w:rPr>
        <w:t xml:space="preserve"> susijusių sektorių (horiz</w:t>
      </w:r>
      <w:r w:rsidR="00E631F2" w:rsidRPr="00650EE4">
        <w:rPr>
          <w:rFonts w:ascii="Times New Roman" w:hAnsi="Times New Roman"/>
          <w:color w:val="000000" w:themeColor="text1"/>
          <w:szCs w:val="22"/>
          <w:lang w:val="lt-LT"/>
        </w:rPr>
        <w:t>ontali integracija)</w:t>
      </w:r>
      <w:r w:rsidR="004E75C3" w:rsidRPr="00650EE4">
        <w:rPr>
          <w:rFonts w:ascii="Times New Roman" w:hAnsi="Times New Roman"/>
          <w:color w:val="000000" w:themeColor="text1"/>
          <w:szCs w:val="22"/>
          <w:lang w:val="lt-LT"/>
        </w:rPr>
        <w:t xml:space="preserve"> </w:t>
      </w:r>
      <w:r w:rsidR="00E631F2" w:rsidRPr="00650EE4">
        <w:rPr>
          <w:rFonts w:ascii="Times New Roman" w:hAnsi="Times New Roman"/>
          <w:color w:val="000000" w:themeColor="text1"/>
          <w:szCs w:val="22"/>
          <w:lang w:val="lt-LT"/>
        </w:rPr>
        <w:t xml:space="preserve">strateginius ir operatyvinius dokumentus. </w:t>
      </w:r>
    </w:p>
    <w:p w14:paraId="0AB2AA4E" w14:textId="0113A492" w:rsidR="000941F6" w:rsidRPr="00650EE4" w:rsidRDefault="0081145E" w:rsidP="00BD4925">
      <w:pPr>
        <w:pStyle w:val="ListParagraph"/>
        <w:numPr>
          <w:ilvl w:val="0"/>
          <w:numId w:val="37"/>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T</w:t>
      </w:r>
      <w:r w:rsidR="00EC1530" w:rsidRPr="00650EE4">
        <w:rPr>
          <w:rFonts w:ascii="Times New Roman" w:hAnsi="Times New Roman"/>
          <w:b/>
          <w:color w:val="000000" w:themeColor="text1"/>
          <w:szCs w:val="22"/>
          <w:lang w:val="lt-LT"/>
        </w:rPr>
        <w:t>inkamas paramos</w:t>
      </w:r>
      <w:r w:rsidRPr="00650EE4">
        <w:rPr>
          <w:rFonts w:ascii="Times New Roman" w:hAnsi="Times New Roman"/>
          <w:b/>
          <w:color w:val="000000" w:themeColor="text1"/>
          <w:szCs w:val="22"/>
          <w:lang w:val="lt-LT"/>
        </w:rPr>
        <w:t xml:space="preserve"> priemonių paketas</w:t>
      </w:r>
      <w:r w:rsidRPr="00650EE4">
        <w:rPr>
          <w:rFonts w:ascii="Times New Roman" w:hAnsi="Times New Roman"/>
          <w:color w:val="000000" w:themeColor="text1"/>
          <w:szCs w:val="22"/>
          <w:lang w:val="lt-LT"/>
        </w:rPr>
        <w:t xml:space="preserve">: </w:t>
      </w:r>
      <w:r w:rsidR="00A573FA" w:rsidRPr="00650EE4">
        <w:rPr>
          <w:rFonts w:ascii="Times New Roman" w:hAnsi="Times New Roman"/>
          <w:color w:val="000000" w:themeColor="text1"/>
          <w:szCs w:val="22"/>
          <w:lang w:val="lt-LT"/>
        </w:rPr>
        <w:t xml:space="preserve">IRS </w:t>
      </w:r>
      <w:r w:rsidR="00E33F58">
        <w:rPr>
          <w:rFonts w:ascii="Times New Roman" w:hAnsi="Times New Roman"/>
          <w:color w:val="000000" w:themeColor="text1"/>
          <w:szCs w:val="22"/>
          <w:lang w:val="lt-LT"/>
        </w:rPr>
        <w:t>rodiklius</w:t>
      </w:r>
      <w:r w:rsidR="00A573FA" w:rsidRPr="00650EE4">
        <w:rPr>
          <w:rFonts w:ascii="Times New Roman" w:hAnsi="Times New Roman"/>
          <w:color w:val="000000" w:themeColor="text1"/>
          <w:szCs w:val="22"/>
          <w:lang w:val="lt-LT"/>
        </w:rPr>
        <w:t xml:space="preserve"> atitinkantis ir</w:t>
      </w:r>
      <w:r w:rsidRPr="00650EE4">
        <w:rPr>
          <w:rFonts w:ascii="Times New Roman" w:hAnsi="Times New Roman"/>
          <w:color w:val="000000" w:themeColor="text1"/>
          <w:szCs w:val="22"/>
          <w:lang w:val="lt-LT"/>
        </w:rPr>
        <w:t xml:space="preserve"> į vartotoją orientuotas</w:t>
      </w:r>
      <w:r w:rsidR="00A573FA" w:rsidRPr="00650EE4">
        <w:rPr>
          <w:rFonts w:ascii="Times New Roman" w:hAnsi="Times New Roman"/>
          <w:color w:val="000000" w:themeColor="text1"/>
          <w:szCs w:val="22"/>
          <w:lang w:val="lt-LT"/>
        </w:rPr>
        <w:t xml:space="preserve"> paramos</w:t>
      </w:r>
      <w:r w:rsidRPr="00650EE4">
        <w:rPr>
          <w:rFonts w:ascii="Times New Roman" w:hAnsi="Times New Roman"/>
          <w:color w:val="000000" w:themeColor="text1"/>
          <w:szCs w:val="22"/>
          <w:lang w:val="lt-LT"/>
        </w:rPr>
        <w:t xml:space="preserve"> priemonių paketas</w:t>
      </w:r>
      <w:r w:rsidR="00A573FA" w:rsidRPr="00650EE4">
        <w:rPr>
          <w:rFonts w:ascii="Times New Roman" w:hAnsi="Times New Roman"/>
          <w:color w:val="000000" w:themeColor="text1"/>
          <w:szCs w:val="22"/>
          <w:lang w:val="lt-LT"/>
        </w:rPr>
        <w:t>.</w:t>
      </w:r>
    </w:p>
    <w:p w14:paraId="3CBE7EB4" w14:textId="7459E34D" w:rsidR="000B0A36" w:rsidRPr="00650EE4" w:rsidRDefault="00D02252" w:rsidP="00BD4925">
      <w:pPr>
        <w:pStyle w:val="ListParagraph"/>
        <w:numPr>
          <w:ilvl w:val="0"/>
          <w:numId w:val="37"/>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P</w:t>
      </w:r>
      <w:r w:rsidR="0081145E" w:rsidRPr="00650EE4">
        <w:rPr>
          <w:rFonts w:ascii="Times New Roman" w:hAnsi="Times New Roman"/>
          <w:b/>
          <w:color w:val="000000" w:themeColor="text1"/>
          <w:szCs w:val="22"/>
          <w:lang w:val="lt-LT"/>
        </w:rPr>
        <w:t>akankamas</w:t>
      </w:r>
      <w:r w:rsidRPr="00650EE4">
        <w:rPr>
          <w:rFonts w:ascii="Times New Roman" w:hAnsi="Times New Roman"/>
          <w:b/>
          <w:color w:val="000000" w:themeColor="text1"/>
          <w:szCs w:val="22"/>
          <w:lang w:val="lt-LT"/>
        </w:rPr>
        <w:t xml:space="preserve"> finansavimas</w:t>
      </w:r>
      <w:r w:rsidR="000B0A36" w:rsidRPr="00650EE4">
        <w:rPr>
          <w:rFonts w:ascii="Times New Roman" w:hAnsi="Times New Roman"/>
          <w:color w:val="000000" w:themeColor="text1"/>
          <w:szCs w:val="22"/>
          <w:lang w:val="lt-LT"/>
        </w:rPr>
        <w:t>: Net ir tikint renovacijos nauda, reikalingos reikšmingos pradinės investicijos, todėl pastato savininkas nedalyvaus renovacijoje, jei neturės tam finansinių galimybių. Atitinkamai, turi egzistuoti patrauklūs finansavimo sprendimai visam reikalingam savininko finansiniam srautui per renovacijos laikotarpį.</w:t>
      </w:r>
    </w:p>
    <w:p w14:paraId="5B6FB7D8" w14:textId="19D2E098" w:rsidR="009F63EC" w:rsidRPr="00650EE4" w:rsidRDefault="007C691E" w:rsidP="00BD4925">
      <w:pPr>
        <w:pStyle w:val="ListParagraph"/>
        <w:numPr>
          <w:ilvl w:val="0"/>
          <w:numId w:val="37"/>
        </w:numPr>
        <w:spacing w:after="120" w:line="240" w:lineRule="auto"/>
        <w:contextualSpacing w:val="0"/>
        <w:jc w:val="both"/>
        <w:rPr>
          <w:rFonts w:ascii="Times New Roman" w:hAnsi="Times New Roman"/>
          <w:b/>
          <w:bCs/>
          <w:szCs w:val="22"/>
          <w:lang w:val="lt-LT"/>
        </w:rPr>
      </w:pPr>
      <w:r w:rsidRPr="00650EE4">
        <w:rPr>
          <w:rFonts w:ascii="Times New Roman" w:hAnsi="Times New Roman"/>
          <w:b/>
          <w:color w:val="000000" w:themeColor="text1"/>
          <w:szCs w:val="22"/>
          <w:lang w:val="lt-LT"/>
        </w:rPr>
        <w:t>Patikima įgyvendinimo sistema</w:t>
      </w:r>
      <w:r w:rsidR="000B0A36" w:rsidRPr="00650EE4">
        <w:rPr>
          <w:rFonts w:ascii="Times New Roman" w:hAnsi="Times New Roman"/>
          <w:color w:val="000000" w:themeColor="text1"/>
          <w:szCs w:val="22"/>
          <w:lang w:val="lt-LT"/>
        </w:rPr>
        <w:t xml:space="preserve">: Tikint renovacijos nauda ir turint patrauklias finansavimo galimybes pastato savininkas gali nedalyvauti renovacijoje, jei </w:t>
      </w:r>
      <w:r w:rsidRPr="00650EE4">
        <w:rPr>
          <w:rFonts w:ascii="Times New Roman" w:hAnsi="Times New Roman"/>
          <w:color w:val="000000" w:themeColor="text1"/>
          <w:szCs w:val="22"/>
          <w:lang w:val="lt-LT"/>
        </w:rPr>
        <w:t xml:space="preserve">netikės, kad naudos bus realizuotos t.y. </w:t>
      </w:r>
      <w:r w:rsidR="000B0A36" w:rsidRPr="00650EE4">
        <w:rPr>
          <w:rFonts w:ascii="Times New Roman" w:hAnsi="Times New Roman"/>
          <w:color w:val="000000" w:themeColor="text1"/>
          <w:szCs w:val="22"/>
          <w:lang w:val="lt-LT"/>
        </w:rPr>
        <w:t xml:space="preserve">matys barjerus planavimo ir (arba) įgyvendinimo etape, pvz., </w:t>
      </w:r>
    </w:p>
    <w:p w14:paraId="070515C3" w14:textId="59074D95" w:rsidR="00C775D6" w:rsidRPr="00650EE4" w:rsidRDefault="00AC3FE4" w:rsidP="00BD4925">
      <w:pPr>
        <w:pStyle w:val="ListParagraph"/>
        <w:numPr>
          <w:ilvl w:val="0"/>
          <w:numId w:val="37"/>
        </w:numPr>
        <w:spacing w:after="24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Efektyvi komunikacija</w:t>
      </w:r>
      <w:r w:rsidR="00C775D6" w:rsidRPr="00650EE4">
        <w:rPr>
          <w:rFonts w:ascii="Times New Roman" w:hAnsi="Times New Roman"/>
          <w:color w:val="000000" w:themeColor="text1"/>
          <w:szCs w:val="22"/>
          <w:lang w:val="lt-LT"/>
        </w:rPr>
        <w:t xml:space="preserve">: tam, kad pastato savininkas dalyvautų renovacijoje, jis turi tikėti renovacijos </w:t>
      </w:r>
      <w:proofErr w:type="spellStart"/>
      <w:r w:rsidR="00C775D6" w:rsidRPr="00650EE4">
        <w:rPr>
          <w:rFonts w:ascii="Times New Roman" w:hAnsi="Times New Roman"/>
          <w:color w:val="000000" w:themeColor="text1"/>
          <w:szCs w:val="22"/>
          <w:lang w:val="lt-LT"/>
        </w:rPr>
        <w:t>naudomis</w:t>
      </w:r>
      <w:proofErr w:type="spellEnd"/>
      <w:r w:rsidR="00C775D6" w:rsidRPr="00650EE4">
        <w:rPr>
          <w:rFonts w:ascii="Times New Roman" w:hAnsi="Times New Roman"/>
          <w:color w:val="000000" w:themeColor="text1"/>
          <w:szCs w:val="22"/>
          <w:lang w:val="lt-LT"/>
        </w:rPr>
        <w:t xml:space="preserve"> t.y. žinoti apie renovacijos naudas, tikėti, kad jos yra didesnės nei savininko investicija. Savininko investicija yra finansinė, tuo tarpu renovacijos teikiamos naudos yra daugialypės (ne tik energijos sutaupymas ir sumažėjusios išlaidos, bet ir būsto vertės padidėjimas, geresnė socialinė aplinka, pagerėjusi sveikata, pastato saugumas ir pan.). Atitinkamai, tam, kad pastato savininkas tikėtų renovacijos nauda, jis turi būti informuotas apie visą renovacijos galimybių ir naudų spektrą. </w:t>
      </w:r>
    </w:p>
    <w:p w14:paraId="32993940" w14:textId="774E2E36" w:rsidR="0081145E" w:rsidRPr="00650EE4" w:rsidRDefault="006633DD" w:rsidP="004E75C3">
      <w:pPr>
        <w:spacing w:after="120"/>
        <w:jc w:val="both"/>
        <w:rPr>
          <w:rFonts w:ascii="Times New Roman" w:hAnsi="Times New Roman"/>
          <w:b/>
          <w:bCs/>
          <w:szCs w:val="22"/>
        </w:rPr>
      </w:pPr>
      <w:r w:rsidRPr="00650EE4">
        <w:rPr>
          <w:rFonts w:ascii="Times New Roman" w:hAnsi="Times New Roman"/>
          <w:bCs/>
          <w:szCs w:val="22"/>
        </w:rPr>
        <w:t>Toliau pateikiama esminių renovacijos įgyvendinimo barjerų apžvalga.</w:t>
      </w:r>
    </w:p>
    <w:p w14:paraId="57E2533B" w14:textId="6ED87F2A" w:rsidR="004E75C3" w:rsidRPr="00650EE4" w:rsidRDefault="00D06452" w:rsidP="004E75C3">
      <w:pPr>
        <w:pStyle w:val="Antrastes31"/>
        <w:numPr>
          <w:ilvl w:val="2"/>
          <w:numId w:val="4"/>
        </w:numPr>
        <w:spacing w:before="0"/>
        <w:ind w:left="720" w:hanging="720"/>
        <w:rPr>
          <w:rFonts w:ascii="Times New Roman" w:hAnsi="Times New Roman"/>
          <w:color w:val="000000" w:themeColor="text1"/>
          <w:sz w:val="24"/>
          <w:szCs w:val="24"/>
          <w:lang w:val="lt-LT"/>
        </w:rPr>
      </w:pPr>
      <w:bookmarkStart w:id="149" w:name="_Toc67925153"/>
      <w:r w:rsidRPr="00650EE4">
        <w:rPr>
          <w:rFonts w:ascii="Times New Roman" w:hAnsi="Times New Roman"/>
          <w:color w:val="000000" w:themeColor="text1"/>
          <w:sz w:val="24"/>
          <w:szCs w:val="24"/>
          <w:lang w:val="lt-LT"/>
        </w:rPr>
        <w:t>Planavimo etapo barjerai</w:t>
      </w:r>
      <w:bookmarkEnd w:id="149"/>
    </w:p>
    <w:p w14:paraId="585BC52A" w14:textId="6FD120B5" w:rsidR="004E75C3" w:rsidRPr="00650EE4" w:rsidRDefault="004E75C3" w:rsidP="00453EC7">
      <w:pPr>
        <w:spacing w:after="120"/>
        <w:jc w:val="both"/>
        <w:rPr>
          <w:rFonts w:ascii="Times New Roman" w:hAnsi="Times New Roman"/>
          <w:b/>
          <w:bCs/>
          <w:sz w:val="24"/>
          <w:szCs w:val="24"/>
        </w:rPr>
      </w:pPr>
      <w:r w:rsidRPr="00650EE4">
        <w:rPr>
          <w:rFonts w:ascii="Times New Roman" w:hAnsi="Times New Roman"/>
          <w:b/>
          <w:bCs/>
          <w:szCs w:val="24"/>
        </w:rPr>
        <w:t>B</w:t>
      </w:r>
      <w:r w:rsidR="00BF046E" w:rsidRPr="00650EE4">
        <w:rPr>
          <w:rFonts w:ascii="Times New Roman" w:hAnsi="Times New Roman"/>
          <w:b/>
          <w:bCs/>
          <w:szCs w:val="24"/>
        </w:rPr>
        <w:t>1</w:t>
      </w:r>
      <w:r w:rsidR="004847E3" w:rsidRPr="00650EE4">
        <w:rPr>
          <w:rFonts w:ascii="Times New Roman" w:hAnsi="Times New Roman"/>
          <w:b/>
          <w:bCs/>
          <w:szCs w:val="24"/>
        </w:rPr>
        <w:t xml:space="preserve">. </w:t>
      </w:r>
      <w:r w:rsidRPr="00650EE4">
        <w:rPr>
          <w:rFonts w:ascii="Times New Roman" w:hAnsi="Times New Roman"/>
          <w:b/>
          <w:bCs/>
          <w:szCs w:val="24"/>
        </w:rPr>
        <w:t xml:space="preserve"> </w:t>
      </w:r>
      <w:r w:rsidR="00AE6A35" w:rsidRPr="00650EE4">
        <w:rPr>
          <w:rFonts w:ascii="Times New Roman" w:hAnsi="Times New Roman"/>
          <w:b/>
          <w:bCs/>
          <w:szCs w:val="24"/>
        </w:rPr>
        <w:t>N</w:t>
      </w:r>
      <w:r w:rsidR="00CE4EAE" w:rsidRPr="00650EE4">
        <w:rPr>
          <w:rFonts w:ascii="Times New Roman" w:hAnsi="Times New Roman"/>
          <w:b/>
          <w:bCs/>
          <w:szCs w:val="24"/>
        </w:rPr>
        <w:t>e</w:t>
      </w:r>
      <w:r w:rsidR="00E631F2" w:rsidRPr="00650EE4">
        <w:rPr>
          <w:rFonts w:ascii="Times New Roman" w:hAnsi="Times New Roman"/>
          <w:b/>
          <w:bCs/>
          <w:szCs w:val="24"/>
        </w:rPr>
        <w:t>pa</w:t>
      </w:r>
      <w:r w:rsidR="004A5E1E" w:rsidRPr="00650EE4">
        <w:rPr>
          <w:rFonts w:ascii="Times New Roman" w:hAnsi="Times New Roman"/>
          <w:b/>
          <w:bCs/>
          <w:szCs w:val="24"/>
        </w:rPr>
        <w:t xml:space="preserve">kankamas </w:t>
      </w:r>
      <w:proofErr w:type="spellStart"/>
      <w:r w:rsidR="004A5E1E" w:rsidRPr="00650EE4">
        <w:rPr>
          <w:rFonts w:ascii="Times New Roman" w:hAnsi="Times New Roman"/>
          <w:b/>
          <w:bCs/>
          <w:szCs w:val="24"/>
        </w:rPr>
        <w:t>tarpinstitucinis</w:t>
      </w:r>
      <w:proofErr w:type="spellEnd"/>
      <w:r w:rsidR="004A5E1E" w:rsidRPr="00650EE4">
        <w:rPr>
          <w:rFonts w:ascii="Times New Roman" w:hAnsi="Times New Roman"/>
          <w:b/>
          <w:bCs/>
          <w:szCs w:val="24"/>
        </w:rPr>
        <w:t xml:space="preserve"> veiksmų koordinavimas</w:t>
      </w:r>
      <w:r w:rsidRPr="00650EE4">
        <w:rPr>
          <w:rFonts w:ascii="Times New Roman" w:hAnsi="Times New Roman"/>
          <w:b/>
          <w:bCs/>
          <w:sz w:val="24"/>
          <w:szCs w:val="24"/>
        </w:rPr>
        <w:t xml:space="preserve"> </w:t>
      </w:r>
    </w:p>
    <w:p w14:paraId="7F1EA00F" w14:textId="77777777" w:rsidR="004847E3" w:rsidRPr="00650EE4" w:rsidRDefault="004847E3" w:rsidP="004E75C3">
      <w:pPr>
        <w:spacing w:before="60" w:after="120"/>
        <w:jc w:val="both"/>
        <w:rPr>
          <w:rFonts w:ascii="Times New Roman" w:hAnsi="Times New Roman"/>
          <w:szCs w:val="22"/>
        </w:rPr>
      </w:pPr>
      <w:r w:rsidRPr="00650EE4">
        <w:rPr>
          <w:rFonts w:ascii="Times New Roman" w:hAnsi="Times New Roman"/>
          <w:szCs w:val="22"/>
        </w:rPr>
        <w:t xml:space="preserve">Šiuo metu už energetinio efektyvumo didinimo ir AEI panaudojimo skatinimo politikos priemonių formavimą ir įgyvendinimą šalies mastu tiesiogiai atsakinga Energetikos ministerija, o pastatų sektoriuje - Aplinkos ministerija. </w:t>
      </w:r>
    </w:p>
    <w:p w14:paraId="7DCC18F6" w14:textId="45D3493E" w:rsidR="0095159B" w:rsidRPr="00650EE4" w:rsidRDefault="00C21586" w:rsidP="005915EA">
      <w:pPr>
        <w:spacing w:before="60" w:after="120"/>
        <w:jc w:val="both"/>
        <w:rPr>
          <w:rFonts w:ascii="Times New Roman" w:hAnsi="Times New Roman"/>
          <w:color w:val="000000" w:themeColor="text1"/>
          <w:szCs w:val="22"/>
        </w:rPr>
      </w:pPr>
      <w:r w:rsidRPr="00650EE4">
        <w:rPr>
          <w:rFonts w:ascii="Times New Roman" w:hAnsi="Times New Roman"/>
          <w:szCs w:val="22"/>
        </w:rPr>
        <w:t>Įgyvendinti</w:t>
      </w:r>
      <w:r w:rsidR="00A47972" w:rsidRPr="00650EE4">
        <w:rPr>
          <w:rFonts w:ascii="Times New Roman" w:hAnsi="Times New Roman"/>
          <w:szCs w:val="22"/>
        </w:rPr>
        <w:t xml:space="preserve"> platesnio masto kompleksinės renovacijos </w:t>
      </w:r>
      <w:r w:rsidR="004847E3" w:rsidRPr="00650EE4">
        <w:rPr>
          <w:rFonts w:ascii="Times New Roman" w:hAnsi="Times New Roman"/>
          <w:szCs w:val="22"/>
        </w:rPr>
        <w:t xml:space="preserve">atvejai </w:t>
      </w:r>
      <w:r w:rsidR="00AE6A35" w:rsidRPr="00650EE4">
        <w:rPr>
          <w:rFonts w:ascii="Times New Roman" w:hAnsi="Times New Roman"/>
          <w:szCs w:val="22"/>
        </w:rPr>
        <w:t>(pvz. Ignalinos m.)</w:t>
      </w:r>
      <w:r w:rsidR="00A47972" w:rsidRPr="00650EE4">
        <w:rPr>
          <w:rFonts w:ascii="Times New Roman" w:hAnsi="Times New Roman"/>
          <w:szCs w:val="22"/>
        </w:rPr>
        <w:t xml:space="preserve"> </w:t>
      </w:r>
      <w:r w:rsidR="00AE6A35" w:rsidRPr="00650EE4">
        <w:rPr>
          <w:rFonts w:ascii="Times New Roman" w:hAnsi="Times New Roman"/>
          <w:szCs w:val="22"/>
        </w:rPr>
        <w:t>iliustruoj</w:t>
      </w:r>
      <w:r w:rsidR="00527844" w:rsidRPr="00650EE4">
        <w:rPr>
          <w:rFonts w:ascii="Times New Roman" w:hAnsi="Times New Roman"/>
          <w:szCs w:val="22"/>
        </w:rPr>
        <w:t>a</w:t>
      </w:r>
      <w:r w:rsidR="00376626" w:rsidRPr="00650EE4">
        <w:rPr>
          <w:rFonts w:ascii="Times New Roman" w:hAnsi="Times New Roman"/>
          <w:szCs w:val="22"/>
        </w:rPr>
        <w:t>, kad</w:t>
      </w:r>
      <w:r w:rsidR="005915EA" w:rsidRPr="00650EE4">
        <w:rPr>
          <w:rFonts w:ascii="Times New Roman" w:hAnsi="Times New Roman"/>
          <w:szCs w:val="22"/>
        </w:rPr>
        <w:t xml:space="preserve"> </w:t>
      </w:r>
      <w:r w:rsidR="00527844" w:rsidRPr="00650EE4">
        <w:rPr>
          <w:rFonts w:ascii="Times New Roman" w:hAnsi="Times New Roman"/>
          <w:color w:val="000000" w:themeColor="text1"/>
          <w:szCs w:val="22"/>
        </w:rPr>
        <w:t xml:space="preserve">renovacija </w:t>
      </w:r>
      <w:r w:rsidR="003739A4" w:rsidRPr="00650EE4">
        <w:rPr>
          <w:rFonts w:ascii="Times New Roman" w:hAnsi="Times New Roman"/>
          <w:color w:val="000000" w:themeColor="text1"/>
          <w:szCs w:val="22"/>
        </w:rPr>
        <w:t>gali turėti</w:t>
      </w:r>
      <w:r w:rsidR="00447211" w:rsidRPr="00650EE4">
        <w:rPr>
          <w:rFonts w:ascii="Times New Roman" w:hAnsi="Times New Roman"/>
          <w:color w:val="000000" w:themeColor="text1"/>
          <w:szCs w:val="22"/>
        </w:rPr>
        <w:t xml:space="preserve"> reikšmingą poveikį šilumos ūkiui</w:t>
      </w:r>
      <w:r w:rsidRPr="00650EE4">
        <w:rPr>
          <w:rFonts w:ascii="Times New Roman" w:hAnsi="Times New Roman"/>
          <w:color w:val="000000" w:themeColor="text1"/>
          <w:szCs w:val="22"/>
        </w:rPr>
        <w:t xml:space="preserve">, ypač regionuose su </w:t>
      </w:r>
      <w:r w:rsidR="003739A4" w:rsidRPr="00650EE4">
        <w:rPr>
          <w:rFonts w:ascii="Times New Roman" w:hAnsi="Times New Roman"/>
          <w:color w:val="000000" w:themeColor="text1"/>
          <w:szCs w:val="22"/>
        </w:rPr>
        <w:t>nedideliu naujų vartotojų skaičiumi</w:t>
      </w:r>
      <w:r w:rsidRPr="00650EE4">
        <w:rPr>
          <w:rFonts w:ascii="Times New Roman" w:hAnsi="Times New Roman"/>
          <w:color w:val="000000" w:themeColor="text1"/>
          <w:szCs w:val="22"/>
        </w:rPr>
        <w:t xml:space="preserve">. </w:t>
      </w:r>
      <w:r w:rsidR="003739A4" w:rsidRPr="00650EE4">
        <w:rPr>
          <w:rFonts w:ascii="Times New Roman" w:hAnsi="Times New Roman"/>
          <w:color w:val="000000" w:themeColor="text1"/>
          <w:szCs w:val="22"/>
        </w:rPr>
        <w:t>Renovacijos poveikis pasireiškia reikšmingai sumažėjusiu šilumos vartojimu, kai pastovūs šilumos gamybos kaštai išlieka tame pačiame lygyje ir rezultate augančia šilumos kaina</w:t>
      </w:r>
      <w:r w:rsidR="00EC25C6" w:rsidRPr="00650EE4">
        <w:rPr>
          <w:rFonts w:ascii="Times New Roman" w:hAnsi="Times New Roman"/>
          <w:color w:val="000000" w:themeColor="text1"/>
          <w:szCs w:val="22"/>
        </w:rPr>
        <w:t xml:space="preserve"> vartotojams</w:t>
      </w:r>
      <w:r w:rsidR="003739A4" w:rsidRPr="00650EE4">
        <w:rPr>
          <w:rFonts w:ascii="Times New Roman" w:hAnsi="Times New Roman"/>
          <w:color w:val="000000" w:themeColor="text1"/>
          <w:szCs w:val="22"/>
        </w:rPr>
        <w:t xml:space="preserve">. </w:t>
      </w:r>
    </w:p>
    <w:p w14:paraId="6AB8D8C4" w14:textId="699D1482" w:rsidR="003739A4" w:rsidRPr="00650EE4" w:rsidRDefault="005915EA" w:rsidP="003739A4">
      <w:pPr>
        <w:spacing w:before="60" w:after="120"/>
        <w:jc w:val="both"/>
        <w:rPr>
          <w:rFonts w:ascii="Times New Roman" w:hAnsi="Times New Roman"/>
          <w:color w:val="000000" w:themeColor="text1"/>
          <w:szCs w:val="22"/>
        </w:rPr>
      </w:pPr>
      <w:r w:rsidRPr="00650EE4">
        <w:rPr>
          <w:rFonts w:ascii="Times New Roman" w:hAnsi="Times New Roman"/>
          <w:szCs w:val="22"/>
        </w:rPr>
        <w:t>IRS numatyti reikšmingai didesni nei iki šiol renovacijos tempai</w:t>
      </w:r>
      <w:r w:rsidR="003739A4" w:rsidRPr="00650EE4">
        <w:rPr>
          <w:rFonts w:ascii="Times New Roman" w:hAnsi="Times New Roman"/>
          <w:szCs w:val="22"/>
        </w:rPr>
        <w:t>, todėl invest</w:t>
      </w:r>
      <w:r w:rsidR="00CE4EAE" w:rsidRPr="00650EE4">
        <w:rPr>
          <w:rFonts w:ascii="Times New Roman" w:hAnsi="Times New Roman"/>
          <w:szCs w:val="22"/>
        </w:rPr>
        <w:t>i</w:t>
      </w:r>
      <w:r w:rsidR="003739A4" w:rsidRPr="00650EE4">
        <w:rPr>
          <w:rFonts w:ascii="Times New Roman" w:hAnsi="Times New Roman"/>
          <w:szCs w:val="22"/>
        </w:rPr>
        <w:t xml:space="preserve">cijų į šilumos sektorių koordinavimas su investicijomis į renovaciją tampa </w:t>
      </w:r>
      <w:r w:rsidR="00CE4EAE" w:rsidRPr="00650EE4">
        <w:rPr>
          <w:rFonts w:ascii="Times New Roman" w:hAnsi="Times New Roman"/>
          <w:szCs w:val="22"/>
        </w:rPr>
        <w:t>dar aktualesnis</w:t>
      </w:r>
      <w:r w:rsidRPr="00650EE4">
        <w:rPr>
          <w:rFonts w:ascii="Times New Roman" w:hAnsi="Times New Roman"/>
          <w:szCs w:val="22"/>
        </w:rPr>
        <w:t>. Be to, IRS siektini rodikliai gali būti pasiekti tik įgyv</w:t>
      </w:r>
      <w:r w:rsidR="003739A4" w:rsidRPr="00650EE4">
        <w:rPr>
          <w:rFonts w:ascii="Times New Roman" w:hAnsi="Times New Roman"/>
          <w:szCs w:val="22"/>
        </w:rPr>
        <w:t>e</w:t>
      </w:r>
      <w:r w:rsidRPr="00650EE4">
        <w:rPr>
          <w:rFonts w:ascii="Times New Roman" w:hAnsi="Times New Roman"/>
          <w:szCs w:val="22"/>
        </w:rPr>
        <w:t xml:space="preserve">ndinus </w:t>
      </w:r>
      <w:r w:rsidR="00960339" w:rsidRPr="00650EE4">
        <w:rPr>
          <w:rFonts w:ascii="Times New Roman" w:hAnsi="Times New Roman"/>
          <w:color w:val="000000" w:themeColor="text1"/>
          <w:szCs w:val="22"/>
        </w:rPr>
        <w:t xml:space="preserve">energetikos sektorius transformaciją (žr. detaliau </w:t>
      </w:r>
      <w:r w:rsidR="00CE0097">
        <w:rPr>
          <w:rFonts w:ascii="Times New Roman" w:hAnsi="Times New Roman"/>
          <w:color w:val="000000" w:themeColor="text1"/>
          <w:szCs w:val="22"/>
        </w:rPr>
        <w:t>4</w:t>
      </w:r>
      <w:r w:rsidR="00960339" w:rsidRPr="00650EE4">
        <w:rPr>
          <w:rFonts w:ascii="Times New Roman" w:hAnsi="Times New Roman"/>
          <w:color w:val="000000" w:themeColor="text1"/>
          <w:szCs w:val="22"/>
        </w:rPr>
        <w:t>.1).</w:t>
      </w:r>
      <w:r w:rsidR="003739A4" w:rsidRPr="00650EE4">
        <w:rPr>
          <w:rFonts w:ascii="Times New Roman" w:hAnsi="Times New Roman"/>
          <w:color w:val="000000" w:themeColor="text1"/>
          <w:szCs w:val="22"/>
        </w:rPr>
        <w:t xml:space="preserve"> </w:t>
      </w:r>
    </w:p>
    <w:p w14:paraId="2C1628A4" w14:textId="108288FF" w:rsidR="00376626" w:rsidRPr="00650EE4" w:rsidRDefault="00F82D81" w:rsidP="003739A4">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M</w:t>
      </w:r>
      <w:r w:rsidR="003739A4" w:rsidRPr="00650EE4">
        <w:rPr>
          <w:rFonts w:ascii="Times New Roman" w:hAnsi="Times New Roman"/>
          <w:color w:val="000000" w:themeColor="text1"/>
          <w:szCs w:val="22"/>
        </w:rPr>
        <w:t xml:space="preserve">ūsų vertinimu, </w:t>
      </w:r>
      <w:r w:rsidR="005915EA" w:rsidRPr="00650EE4">
        <w:rPr>
          <w:rFonts w:ascii="Times New Roman" w:hAnsi="Times New Roman"/>
          <w:szCs w:val="22"/>
        </w:rPr>
        <w:t>n</w:t>
      </w:r>
      <w:r w:rsidR="005915EA" w:rsidRPr="00650EE4">
        <w:rPr>
          <w:rFonts w:ascii="Times New Roman" w:hAnsi="Times New Roman"/>
          <w:color w:val="000000" w:themeColor="text1"/>
          <w:szCs w:val="22"/>
        </w:rPr>
        <w:t>epakankamas</w:t>
      </w:r>
      <w:r w:rsidR="00A47972" w:rsidRPr="00650EE4">
        <w:rPr>
          <w:rFonts w:ascii="Times New Roman" w:hAnsi="Times New Roman"/>
          <w:color w:val="000000" w:themeColor="text1"/>
          <w:szCs w:val="22"/>
        </w:rPr>
        <w:t xml:space="preserve"> </w:t>
      </w:r>
      <w:proofErr w:type="spellStart"/>
      <w:r w:rsidR="00A47972" w:rsidRPr="00650EE4">
        <w:rPr>
          <w:rFonts w:ascii="Times New Roman" w:hAnsi="Times New Roman"/>
          <w:color w:val="000000" w:themeColor="text1"/>
          <w:szCs w:val="22"/>
        </w:rPr>
        <w:t>t</w:t>
      </w:r>
      <w:r w:rsidR="00376626" w:rsidRPr="00650EE4">
        <w:rPr>
          <w:rFonts w:ascii="Times New Roman" w:hAnsi="Times New Roman"/>
          <w:color w:val="000000" w:themeColor="text1"/>
          <w:szCs w:val="22"/>
        </w:rPr>
        <w:t>arpinstitucinis</w:t>
      </w:r>
      <w:proofErr w:type="spellEnd"/>
      <w:r w:rsidR="00376626" w:rsidRPr="00650EE4">
        <w:rPr>
          <w:rFonts w:ascii="Times New Roman" w:hAnsi="Times New Roman"/>
          <w:color w:val="000000" w:themeColor="text1"/>
          <w:szCs w:val="22"/>
        </w:rPr>
        <w:t xml:space="preserve"> veiksmų koor</w:t>
      </w:r>
      <w:r w:rsidR="00A47972" w:rsidRPr="00650EE4">
        <w:rPr>
          <w:rFonts w:ascii="Times New Roman" w:hAnsi="Times New Roman"/>
          <w:color w:val="000000" w:themeColor="text1"/>
          <w:szCs w:val="22"/>
        </w:rPr>
        <w:t>dinavim</w:t>
      </w:r>
      <w:r w:rsidR="005915EA" w:rsidRPr="00650EE4">
        <w:rPr>
          <w:rFonts w:ascii="Times New Roman" w:hAnsi="Times New Roman"/>
          <w:color w:val="000000" w:themeColor="text1"/>
          <w:szCs w:val="22"/>
        </w:rPr>
        <w:t>as</w:t>
      </w:r>
      <w:r w:rsidR="00376626" w:rsidRPr="00650EE4">
        <w:rPr>
          <w:rFonts w:ascii="Times New Roman" w:hAnsi="Times New Roman"/>
          <w:color w:val="000000" w:themeColor="text1"/>
          <w:szCs w:val="22"/>
        </w:rPr>
        <w:t xml:space="preserve"> </w:t>
      </w:r>
      <w:r w:rsidR="00F3635E" w:rsidRPr="00650EE4">
        <w:rPr>
          <w:rFonts w:ascii="Times New Roman" w:hAnsi="Times New Roman"/>
          <w:color w:val="000000" w:themeColor="text1"/>
          <w:szCs w:val="22"/>
        </w:rPr>
        <w:t xml:space="preserve">ir IRS rodiklių neintegravimas į teisės aktų sistemą </w:t>
      </w:r>
      <w:r w:rsidR="00376626" w:rsidRPr="00650EE4">
        <w:rPr>
          <w:rFonts w:ascii="Times New Roman" w:hAnsi="Times New Roman"/>
          <w:color w:val="000000" w:themeColor="text1"/>
          <w:szCs w:val="22"/>
        </w:rPr>
        <w:t xml:space="preserve">gali </w:t>
      </w:r>
      <w:r w:rsidR="005915EA" w:rsidRPr="00650EE4">
        <w:rPr>
          <w:rFonts w:ascii="Times New Roman" w:hAnsi="Times New Roman"/>
          <w:color w:val="000000" w:themeColor="text1"/>
          <w:szCs w:val="22"/>
        </w:rPr>
        <w:t xml:space="preserve">tapti reikšmingu barjeru IRS </w:t>
      </w:r>
      <w:r w:rsidR="00960339" w:rsidRPr="00650EE4">
        <w:rPr>
          <w:rFonts w:ascii="Times New Roman" w:hAnsi="Times New Roman"/>
          <w:color w:val="000000" w:themeColor="text1"/>
          <w:szCs w:val="22"/>
        </w:rPr>
        <w:t>įgy</w:t>
      </w:r>
      <w:r w:rsidR="005915EA" w:rsidRPr="00650EE4">
        <w:rPr>
          <w:rFonts w:ascii="Times New Roman" w:hAnsi="Times New Roman"/>
          <w:color w:val="000000" w:themeColor="text1"/>
          <w:szCs w:val="22"/>
        </w:rPr>
        <w:t xml:space="preserve">vendinimui. </w:t>
      </w:r>
      <w:r w:rsidR="00376626" w:rsidRPr="00650EE4">
        <w:rPr>
          <w:rFonts w:ascii="Times New Roman" w:hAnsi="Times New Roman"/>
          <w:color w:val="000000" w:themeColor="text1"/>
          <w:szCs w:val="22"/>
        </w:rPr>
        <w:t xml:space="preserve"> </w:t>
      </w:r>
    </w:p>
    <w:p w14:paraId="181E8359" w14:textId="1E638DC4" w:rsidR="004E75C3" w:rsidRPr="00650EE4" w:rsidRDefault="004847E3" w:rsidP="003B4A80">
      <w:pPr>
        <w:jc w:val="both"/>
        <w:rPr>
          <w:rFonts w:ascii="Times New Roman" w:hAnsi="Times New Roman"/>
          <w:szCs w:val="22"/>
        </w:rPr>
      </w:pPr>
      <w:r w:rsidRPr="00650EE4">
        <w:rPr>
          <w:rFonts w:ascii="Times New Roman" w:hAnsi="Times New Roman"/>
          <w:szCs w:val="22"/>
        </w:rPr>
        <w:t xml:space="preserve"> </w:t>
      </w: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4E75C3" w:rsidRPr="00650EE4" w14:paraId="3BF89E9A" w14:textId="77777777" w:rsidTr="004847E3">
        <w:trPr>
          <w:trHeight w:val="61"/>
        </w:trPr>
        <w:tc>
          <w:tcPr>
            <w:tcW w:w="3114" w:type="dxa"/>
          </w:tcPr>
          <w:p w14:paraId="65A19EC9" w14:textId="77777777" w:rsidR="004E75C3" w:rsidRPr="00650EE4" w:rsidRDefault="004E75C3" w:rsidP="004847E3">
            <w:pPr>
              <w:spacing w:after="60"/>
              <w:rPr>
                <w:rFonts w:ascii="Times New Roman" w:hAnsi="Times New Roman"/>
                <w:b/>
                <w:bCs/>
                <w:szCs w:val="22"/>
              </w:rPr>
            </w:pPr>
            <w:r w:rsidRPr="00650EE4">
              <w:rPr>
                <w:rFonts w:ascii="Times New Roman" w:hAnsi="Times New Roman"/>
                <w:szCs w:val="22"/>
              </w:rPr>
              <w:t xml:space="preserve"> </w:t>
            </w:r>
            <w:r w:rsidRPr="00650EE4">
              <w:rPr>
                <w:rFonts w:ascii="Times New Roman" w:hAnsi="Times New Roman"/>
                <w:b/>
                <w:bCs/>
                <w:szCs w:val="22"/>
              </w:rPr>
              <w:t>Siūloma priemonė</w:t>
            </w:r>
          </w:p>
        </w:tc>
        <w:tc>
          <w:tcPr>
            <w:tcW w:w="7089" w:type="dxa"/>
          </w:tcPr>
          <w:p w14:paraId="0455715F" w14:textId="6B4F861E"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P1.</w:t>
            </w:r>
            <w:r w:rsidR="00A22441" w:rsidRPr="00650EE4">
              <w:rPr>
                <w:rFonts w:ascii="Times New Roman" w:hAnsi="Times New Roman"/>
                <w:szCs w:val="22"/>
                <w:lang w:eastAsia="lt-LT"/>
              </w:rPr>
              <w:t xml:space="preserve"> Koordinuotas</w:t>
            </w:r>
            <w:r w:rsidRPr="00650EE4">
              <w:rPr>
                <w:rFonts w:ascii="Times New Roman" w:hAnsi="Times New Roman"/>
                <w:szCs w:val="22"/>
                <w:lang w:eastAsia="lt-LT"/>
              </w:rPr>
              <w:t xml:space="preserve"> </w:t>
            </w:r>
            <w:proofErr w:type="spellStart"/>
            <w:r w:rsidR="00A22441" w:rsidRPr="00650EE4">
              <w:rPr>
                <w:rFonts w:ascii="Times New Roman" w:hAnsi="Times New Roman"/>
                <w:szCs w:val="22"/>
                <w:lang w:eastAsia="lt-LT"/>
              </w:rPr>
              <w:t>tarpinstitucinis</w:t>
            </w:r>
            <w:proofErr w:type="spellEnd"/>
            <w:r w:rsidR="00A22441" w:rsidRPr="00650EE4">
              <w:rPr>
                <w:rFonts w:ascii="Times New Roman" w:hAnsi="Times New Roman"/>
                <w:szCs w:val="22"/>
                <w:lang w:eastAsia="lt-LT"/>
              </w:rPr>
              <w:t xml:space="preserve"> </w:t>
            </w:r>
            <w:r w:rsidRPr="00650EE4">
              <w:rPr>
                <w:rFonts w:ascii="Times New Roman" w:hAnsi="Times New Roman"/>
                <w:szCs w:val="22"/>
                <w:lang w:eastAsia="lt-LT"/>
              </w:rPr>
              <w:t>planavimas</w:t>
            </w:r>
          </w:p>
          <w:p w14:paraId="5CEAEFA6" w14:textId="1D183112" w:rsidR="004E75C3" w:rsidRPr="00650EE4" w:rsidRDefault="001008EE" w:rsidP="00573833">
            <w:pPr>
              <w:spacing w:after="60"/>
              <w:rPr>
                <w:rFonts w:ascii="Times New Roman" w:hAnsi="Times New Roman"/>
                <w:szCs w:val="22"/>
                <w:lang w:eastAsia="lt-LT"/>
              </w:rPr>
            </w:pPr>
            <w:r w:rsidRPr="00650EE4">
              <w:rPr>
                <w:rFonts w:ascii="Times New Roman" w:hAnsi="Times New Roman"/>
                <w:szCs w:val="22"/>
                <w:lang w:eastAsia="lt-LT"/>
              </w:rPr>
              <w:t>P</w:t>
            </w:r>
            <w:r w:rsidR="005E6BBF" w:rsidRPr="00650EE4">
              <w:rPr>
                <w:rFonts w:ascii="Times New Roman" w:hAnsi="Times New Roman"/>
                <w:szCs w:val="22"/>
                <w:lang w:eastAsia="lt-LT"/>
              </w:rPr>
              <w:t>3</w:t>
            </w:r>
            <w:r w:rsidRPr="00650EE4">
              <w:rPr>
                <w:rFonts w:ascii="Times New Roman" w:hAnsi="Times New Roman"/>
                <w:szCs w:val="22"/>
                <w:lang w:eastAsia="lt-LT"/>
              </w:rPr>
              <w:t xml:space="preserve">. </w:t>
            </w:r>
            <w:r w:rsidR="005E6BBF" w:rsidRPr="00650EE4">
              <w:rPr>
                <w:rFonts w:ascii="Times New Roman" w:hAnsi="Times New Roman"/>
                <w:szCs w:val="22"/>
                <w:lang w:eastAsia="lt-LT"/>
              </w:rPr>
              <w:t>Renovacijos</w:t>
            </w:r>
            <w:r w:rsidR="003739A4" w:rsidRPr="00650EE4">
              <w:rPr>
                <w:rFonts w:ascii="Times New Roman" w:hAnsi="Times New Roman"/>
                <w:szCs w:val="22"/>
                <w:lang w:eastAsia="lt-LT"/>
              </w:rPr>
              <w:t xml:space="preserve"> </w:t>
            </w:r>
            <w:r w:rsidR="00573833">
              <w:rPr>
                <w:rFonts w:ascii="Times New Roman" w:hAnsi="Times New Roman"/>
                <w:szCs w:val="22"/>
                <w:lang w:eastAsia="lt-LT"/>
              </w:rPr>
              <w:t>rodiklių</w:t>
            </w:r>
            <w:r w:rsidRPr="00650EE4">
              <w:rPr>
                <w:rFonts w:ascii="Times New Roman" w:hAnsi="Times New Roman"/>
                <w:szCs w:val="22"/>
                <w:lang w:eastAsia="lt-LT"/>
              </w:rPr>
              <w:t xml:space="preserve"> integracija</w:t>
            </w:r>
            <w:r w:rsidR="00A22441" w:rsidRPr="00650EE4">
              <w:rPr>
                <w:rFonts w:ascii="Times New Roman" w:hAnsi="Times New Roman"/>
                <w:szCs w:val="22"/>
                <w:lang w:eastAsia="lt-LT"/>
              </w:rPr>
              <w:t xml:space="preserve"> į teisės aktų sistemą</w:t>
            </w:r>
          </w:p>
        </w:tc>
      </w:tr>
      <w:tr w:rsidR="004E75C3" w:rsidRPr="00650EE4" w14:paraId="4240E491" w14:textId="77777777" w:rsidTr="004847E3">
        <w:trPr>
          <w:trHeight w:val="61"/>
        </w:trPr>
        <w:tc>
          <w:tcPr>
            <w:tcW w:w="3114" w:type="dxa"/>
          </w:tcPr>
          <w:p w14:paraId="4BE957FB"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1E11073"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4E75C3" w:rsidRPr="00650EE4" w14:paraId="4FE2C4D9" w14:textId="77777777" w:rsidTr="004847E3">
        <w:trPr>
          <w:trHeight w:val="76"/>
        </w:trPr>
        <w:tc>
          <w:tcPr>
            <w:tcW w:w="3114" w:type="dxa"/>
          </w:tcPr>
          <w:p w14:paraId="4E8D71E1"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356B176"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03F60169" w14:textId="77777777" w:rsidR="001A6139" w:rsidRDefault="001A6139" w:rsidP="00005E86">
      <w:pPr>
        <w:spacing w:after="120"/>
        <w:jc w:val="both"/>
        <w:rPr>
          <w:rFonts w:ascii="Times New Roman" w:hAnsi="Times New Roman"/>
          <w:b/>
          <w:bCs/>
          <w:szCs w:val="24"/>
        </w:rPr>
      </w:pPr>
    </w:p>
    <w:p w14:paraId="02F9CF52" w14:textId="77777777" w:rsidR="00005E86" w:rsidRPr="00650EE4" w:rsidRDefault="00005E86" w:rsidP="00005E86">
      <w:pPr>
        <w:spacing w:after="120"/>
        <w:jc w:val="both"/>
        <w:rPr>
          <w:rFonts w:ascii="Times New Roman" w:hAnsi="Times New Roman"/>
          <w:b/>
          <w:bCs/>
          <w:szCs w:val="24"/>
        </w:rPr>
      </w:pPr>
      <w:r w:rsidRPr="00650EE4">
        <w:rPr>
          <w:rFonts w:ascii="Times New Roman" w:hAnsi="Times New Roman"/>
          <w:b/>
          <w:bCs/>
          <w:szCs w:val="24"/>
        </w:rPr>
        <w:lastRenderedPageBreak/>
        <w:t xml:space="preserve">B2. Nepatikima (asimetrinė) informacija </w:t>
      </w:r>
    </w:p>
    <w:p w14:paraId="55ACE09D" w14:textId="4D439B38" w:rsidR="009A06F8" w:rsidRPr="00650EE4" w:rsidRDefault="009A06F8" w:rsidP="009A06F8">
      <w:pPr>
        <w:pStyle w:val="BodyText"/>
        <w:spacing w:after="120"/>
        <w:jc w:val="both"/>
        <w:rPr>
          <w:rFonts w:ascii="Times New Roman" w:hAnsi="Times New Roman"/>
          <w:szCs w:val="22"/>
          <w:lang w:val="lt-LT"/>
        </w:rPr>
      </w:pPr>
      <w:r w:rsidRPr="00650EE4">
        <w:rPr>
          <w:rFonts w:ascii="Times New Roman" w:hAnsi="Times New Roman"/>
          <w:szCs w:val="22"/>
          <w:lang w:val="lt-LT"/>
        </w:rPr>
        <w:t>Šiuo metu nėra vieningo duomenų šaltinio, kuriame būtų kaupiama informacija apie pastatų charakteristikas, techninę būklę ir faktinį energijos suvartojimą. M</w:t>
      </w:r>
      <w:r w:rsidR="00005E86" w:rsidRPr="00650EE4">
        <w:rPr>
          <w:rFonts w:ascii="Times New Roman" w:hAnsi="Times New Roman"/>
          <w:szCs w:val="22"/>
          <w:lang w:val="lt-LT"/>
        </w:rPr>
        <w:t xml:space="preserve">ūsų vertinimu, </w:t>
      </w:r>
      <w:r w:rsidRPr="00650EE4">
        <w:rPr>
          <w:rFonts w:ascii="Times New Roman" w:hAnsi="Times New Roman"/>
          <w:szCs w:val="22"/>
          <w:lang w:val="lt-LT"/>
        </w:rPr>
        <w:t xml:space="preserve">objektyvių ir </w:t>
      </w:r>
      <w:r w:rsidR="00005E86" w:rsidRPr="00650EE4">
        <w:rPr>
          <w:rFonts w:ascii="Times New Roman" w:hAnsi="Times New Roman"/>
          <w:szCs w:val="22"/>
          <w:lang w:val="lt-LT"/>
        </w:rPr>
        <w:t xml:space="preserve">patikimų bazinių </w:t>
      </w:r>
      <w:r w:rsidRPr="00650EE4">
        <w:rPr>
          <w:rFonts w:ascii="Times New Roman" w:hAnsi="Times New Roman"/>
          <w:szCs w:val="22"/>
          <w:lang w:val="lt-LT"/>
        </w:rPr>
        <w:t>duomenų trūkumas:</w:t>
      </w:r>
    </w:p>
    <w:p w14:paraId="33200208" w14:textId="1A6BAC5E" w:rsidR="009A06F8" w:rsidRPr="00650EE4" w:rsidRDefault="000A24D5" w:rsidP="00BD4925">
      <w:pPr>
        <w:pStyle w:val="ListParagraph"/>
        <w:numPr>
          <w:ilvl w:val="0"/>
          <w:numId w:val="58"/>
        </w:numPr>
        <w:spacing w:before="60" w:after="60"/>
        <w:jc w:val="both"/>
        <w:rPr>
          <w:rFonts w:ascii="Times New Roman" w:hAnsi="Times New Roman"/>
          <w:szCs w:val="22"/>
          <w:lang w:val="lt-LT"/>
        </w:rPr>
      </w:pPr>
      <w:r>
        <w:rPr>
          <w:rFonts w:ascii="Times New Roman" w:hAnsi="Times New Roman"/>
          <w:szCs w:val="22"/>
          <w:lang w:val="lt-LT"/>
        </w:rPr>
        <w:t>a</w:t>
      </w:r>
      <w:r w:rsidR="009A06F8" w:rsidRPr="00650EE4">
        <w:rPr>
          <w:rFonts w:ascii="Times New Roman" w:hAnsi="Times New Roman"/>
          <w:szCs w:val="22"/>
          <w:lang w:val="lt-LT"/>
        </w:rPr>
        <w:t xml:space="preserve">psunkina IRS planavimą, </w:t>
      </w:r>
      <w:r w:rsidR="00E14E05">
        <w:rPr>
          <w:rFonts w:ascii="Times New Roman" w:hAnsi="Times New Roman"/>
          <w:szCs w:val="22"/>
          <w:lang w:val="lt-LT"/>
        </w:rPr>
        <w:t>rodiklių</w:t>
      </w:r>
      <w:r w:rsidR="009A06F8" w:rsidRPr="00650EE4">
        <w:rPr>
          <w:rFonts w:ascii="Times New Roman" w:hAnsi="Times New Roman"/>
          <w:szCs w:val="22"/>
          <w:lang w:val="lt-LT"/>
        </w:rPr>
        <w:t xml:space="preserve"> nustatymą ir jų įgyvendinimo </w:t>
      </w:r>
      <w:proofErr w:type="spellStart"/>
      <w:r w:rsidR="009A06F8" w:rsidRPr="00650EE4">
        <w:rPr>
          <w:rFonts w:ascii="Times New Roman" w:hAnsi="Times New Roman"/>
          <w:szCs w:val="22"/>
          <w:lang w:val="lt-LT"/>
        </w:rPr>
        <w:t>stebėseną</w:t>
      </w:r>
      <w:proofErr w:type="spellEnd"/>
      <w:r w:rsidR="009A06F8" w:rsidRPr="00650EE4">
        <w:rPr>
          <w:rFonts w:ascii="Times New Roman" w:hAnsi="Times New Roman"/>
          <w:szCs w:val="22"/>
          <w:lang w:val="lt-LT"/>
        </w:rPr>
        <w:t xml:space="preserve">, kadangi tiek rodiklių nustatymas, tiek jų stebėjimas turi būti </w:t>
      </w:r>
      <w:r>
        <w:rPr>
          <w:rFonts w:ascii="Times New Roman" w:hAnsi="Times New Roman"/>
          <w:szCs w:val="22"/>
          <w:lang w:val="lt-LT"/>
        </w:rPr>
        <w:t>vykdomas remiantis prielaidomis;</w:t>
      </w:r>
      <w:r w:rsidR="009A06F8" w:rsidRPr="00650EE4">
        <w:rPr>
          <w:rFonts w:ascii="Times New Roman" w:hAnsi="Times New Roman"/>
          <w:szCs w:val="22"/>
          <w:lang w:val="lt-LT"/>
        </w:rPr>
        <w:t xml:space="preserve"> </w:t>
      </w:r>
    </w:p>
    <w:p w14:paraId="4493398E" w14:textId="4292BDB2" w:rsidR="00005E86" w:rsidRPr="00650EE4" w:rsidRDefault="000A24D5" w:rsidP="00BD4925">
      <w:pPr>
        <w:pStyle w:val="ListParagraph"/>
        <w:numPr>
          <w:ilvl w:val="0"/>
          <w:numId w:val="58"/>
        </w:numPr>
        <w:spacing w:before="60" w:after="60"/>
        <w:jc w:val="both"/>
        <w:rPr>
          <w:rFonts w:ascii="Times New Roman" w:hAnsi="Times New Roman"/>
          <w:szCs w:val="22"/>
          <w:lang w:val="lt-LT"/>
        </w:rPr>
      </w:pPr>
      <w:r>
        <w:rPr>
          <w:rFonts w:ascii="Times New Roman" w:hAnsi="Times New Roman"/>
          <w:szCs w:val="22"/>
          <w:lang w:val="lt-LT"/>
        </w:rPr>
        <w:t>g</w:t>
      </w:r>
      <w:r w:rsidR="00005E86" w:rsidRPr="00650EE4">
        <w:rPr>
          <w:rFonts w:ascii="Times New Roman" w:hAnsi="Times New Roman"/>
          <w:szCs w:val="22"/>
          <w:lang w:val="lt-LT"/>
        </w:rPr>
        <w:t>ali tapti vienu iš esminių barjerų trukdančių suformuoti tinkamą ir vartotojų lūkesčius atiti</w:t>
      </w:r>
      <w:r>
        <w:rPr>
          <w:rFonts w:ascii="Times New Roman" w:hAnsi="Times New Roman"/>
          <w:szCs w:val="22"/>
          <w:lang w:val="lt-LT"/>
        </w:rPr>
        <w:t>nkantį paramos priemonių paketą;</w:t>
      </w:r>
    </w:p>
    <w:p w14:paraId="6BFEA254" w14:textId="765E1FAB" w:rsidR="00243A74" w:rsidRPr="00650EE4" w:rsidRDefault="000A24D5" w:rsidP="00BD4925">
      <w:pPr>
        <w:pStyle w:val="ListParagraph"/>
        <w:numPr>
          <w:ilvl w:val="0"/>
          <w:numId w:val="58"/>
        </w:numPr>
        <w:spacing w:before="60" w:after="120"/>
        <w:jc w:val="both"/>
        <w:rPr>
          <w:rFonts w:ascii="Times New Roman" w:hAnsi="Times New Roman"/>
          <w:szCs w:val="22"/>
          <w:lang w:val="lt-LT"/>
        </w:rPr>
      </w:pPr>
      <w:r>
        <w:rPr>
          <w:rFonts w:ascii="Times New Roman" w:hAnsi="Times New Roman"/>
          <w:szCs w:val="22"/>
          <w:lang w:val="lt-LT"/>
        </w:rPr>
        <w:t>g</w:t>
      </w:r>
      <w:r w:rsidR="00005E86" w:rsidRPr="00650EE4">
        <w:rPr>
          <w:rFonts w:ascii="Times New Roman" w:hAnsi="Times New Roman"/>
          <w:szCs w:val="22"/>
          <w:lang w:val="lt-LT"/>
        </w:rPr>
        <w:t xml:space="preserve">ali sąlygoti situaciją, kai skirtingos, renovacijos procese dalyvaujančios, šalys pvz. pastatų savininkai, politikos formuotojai, finansų institucijos ir pan., turės nevientisą, prieštaringą arba neteisingą informaciją apie renovacijos naudą ir teikiamas galimybes. </w:t>
      </w:r>
    </w:p>
    <w:p w14:paraId="43EBDD36" w14:textId="4A28A428" w:rsidR="00C47FFC" w:rsidRPr="00650EE4" w:rsidRDefault="00243A74" w:rsidP="00243A74">
      <w:pPr>
        <w:spacing w:before="60" w:after="240"/>
        <w:jc w:val="both"/>
        <w:rPr>
          <w:rFonts w:ascii="Times New Roman" w:hAnsi="Times New Roman"/>
          <w:szCs w:val="22"/>
        </w:rPr>
      </w:pPr>
      <w:r w:rsidRPr="00650EE4">
        <w:rPr>
          <w:rFonts w:ascii="Times New Roman" w:hAnsi="Times New Roman"/>
          <w:szCs w:val="22"/>
        </w:rPr>
        <w:t xml:space="preserve">Nepagrįstai nustatyti siektini rodikliai didina riziką, kad </w:t>
      </w:r>
      <w:r w:rsidR="00E14E05">
        <w:rPr>
          <w:rFonts w:ascii="Times New Roman" w:hAnsi="Times New Roman"/>
          <w:szCs w:val="22"/>
        </w:rPr>
        <w:t>rodikliai</w:t>
      </w:r>
      <w:r w:rsidRPr="00650EE4">
        <w:rPr>
          <w:rFonts w:ascii="Times New Roman" w:hAnsi="Times New Roman"/>
          <w:szCs w:val="22"/>
        </w:rPr>
        <w:t xml:space="preserve"> nebus pasiekti. N</w:t>
      </w:r>
      <w:r w:rsidR="00005E86" w:rsidRPr="00650EE4">
        <w:rPr>
          <w:rFonts w:ascii="Times New Roman" w:hAnsi="Times New Roman"/>
          <w:szCs w:val="22"/>
        </w:rPr>
        <w:t xml:space="preserve">epatikima informacija ir nenuosekli komunikacija verčia vartotojus abejoti renovacijos nauda, </w:t>
      </w:r>
      <w:r w:rsidRPr="00650EE4">
        <w:rPr>
          <w:rFonts w:ascii="Times New Roman" w:hAnsi="Times New Roman"/>
          <w:szCs w:val="22"/>
        </w:rPr>
        <w:t xml:space="preserve">o </w:t>
      </w:r>
      <w:r w:rsidR="00005E86" w:rsidRPr="00650EE4">
        <w:rPr>
          <w:rFonts w:ascii="Times New Roman" w:hAnsi="Times New Roman"/>
          <w:szCs w:val="22"/>
        </w:rPr>
        <w:t>finansuotojus - renovacijos pr</w:t>
      </w:r>
      <w:r w:rsidRPr="00650EE4">
        <w:rPr>
          <w:rFonts w:ascii="Times New Roman" w:hAnsi="Times New Roman"/>
          <w:szCs w:val="22"/>
        </w:rPr>
        <w:t>ojektų gyvybingumu ir pan. Atitinkamai, du</w:t>
      </w:r>
      <w:r w:rsidR="00B114C2" w:rsidRPr="00650EE4">
        <w:rPr>
          <w:rFonts w:ascii="Times New Roman" w:hAnsi="Times New Roman"/>
          <w:szCs w:val="22"/>
        </w:rPr>
        <w:t>ome</w:t>
      </w:r>
      <w:r w:rsidRPr="00650EE4">
        <w:rPr>
          <w:rFonts w:ascii="Times New Roman" w:hAnsi="Times New Roman"/>
          <w:szCs w:val="22"/>
        </w:rPr>
        <w:t xml:space="preserve">nų nepakankamumas gali tapti reikšmingu, sisteminiu </w:t>
      </w:r>
      <w:r w:rsidR="00005E86" w:rsidRPr="00650EE4">
        <w:rPr>
          <w:rFonts w:ascii="Times New Roman" w:hAnsi="Times New Roman"/>
          <w:szCs w:val="22"/>
        </w:rPr>
        <w:t>barjeru sie</w:t>
      </w:r>
      <w:r w:rsidR="00CE0097">
        <w:rPr>
          <w:rFonts w:ascii="Times New Roman" w:hAnsi="Times New Roman"/>
          <w:szCs w:val="22"/>
        </w:rPr>
        <w:t xml:space="preserve">kiant IRS </w:t>
      </w:r>
      <w:r w:rsidR="00E14E05">
        <w:rPr>
          <w:rFonts w:ascii="Times New Roman" w:hAnsi="Times New Roman"/>
          <w:szCs w:val="22"/>
        </w:rPr>
        <w:t>rodiklių</w:t>
      </w:r>
      <w:r w:rsidR="00CE0097">
        <w:rPr>
          <w:rFonts w:ascii="Times New Roman" w:hAnsi="Times New Roman"/>
          <w:szCs w:val="22"/>
        </w:rPr>
        <w:t xml:space="preserve"> įgyvendinimo. </w:t>
      </w: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05E86" w:rsidRPr="00650EE4" w14:paraId="53C36067" w14:textId="77777777" w:rsidTr="000C1D71">
        <w:trPr>
          <w:trHeight w:val="61"/>
        </w:trPr>
        <w:tc>
          <w:tcPr>
            <w:tcW w:w="3114" w:type="dxa"/>
          </w:tcPr>
          <w:p w14:paraId="18DF07B6" w14:textId="77777777" w:rsidR="00005E86" w:rsidRPr="00650EE4" w:rsidRDefault="00005E86" w:rsidP="000C1D7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43BDE49" w14:textId="77777777" w:rsidR="00005E86" w:rsidRPr="00650EE4" w:rsidRDefault="00005E86" w:rsidP="000C1D71">
            <w:pPr>
              <w:spacing w:after="60"/>
              <w:rPr>
                <w:rFonts w:ascii="Times New Roman" w:hAnsi="Times New Roman"/>
                <w:szCs w:val="22"/>
                <w:lang w:eastAsia="lt-LT"/>
              </w:rPr>
            </w:pPr>
            <w:r w:rsidRPr="00650EE4">
              <w:rPr>
                <w:rFonts w:ascii="Times New Roman" w:hAnsi="Times New Roman"/>
                <w:szCs w:val="22"/>
                <w:lang w:eastAsia="lt-LT"/>
              </w:rPr>
              <w:t>P</w:t>
            </w:r>
            <w:r w:rsidR="00BD3D9E" w:rsidRPr="00650EE4">
              <w:rPr>
                <w:rFonts w:ascii="Times New Roman" w:hAnsi="Times New Roman"/>
                <w:szCs w:val="22"/>
                <w:lang w:eastAsia="lt-LT"/>
              </w:rPr>
              <w:t>2</w:t>
            </w:r>
            <w:r w:rsidRPr="00650EE4">
              <w:rPr>
                <w:rFonts w:ascii="Times New Roman" w:hAnsi="Times New Roman"/>
                <w:szCs w:val="22"/>
                <w:lang w:eastAsia="lt-LT"/>
              </w:rPr>
              <w:t>. Pastatų fondo inventorizacija ir duomenų bazės sukūrimas</w:t>
            </w:r>
          </w:p>
          <w:p w14:paraId="3F379E5E" w14:textId="7B26376F" w:rsidR="00BD3D9E" w:rsidRPr="00650EE4" w:rsidRDefault="00BD3D9E" w:rsidP="000C1D71">
            <w:pPr>
              <w:spacing w:after="60"/>
              <w:rPr>
                <w:rFonts w:ascii="Times New Roman" w:hAnsi="Times New Roman"/>
                <w:szCs w:val="22"/>
                <w:lang w:eastAsia="lt-LT"/>
              </w:rPr>
            </w:pPr>
            <w:r w:rsidRPr="00650EE4">
              <w:rPr>
                <w:rFonts w:ascii="Times New Roman" w:hAnsi="Times New Roman"/>
                <w:szCs w:val="22"/>
                <w:lang w:eastAsia="lt-LT"/>
              </w:rPr>
              <w:t>P4. Savivaldos įtraukimas</w:t>
            </w:r>
          </w:p>
        </w:tc>
      </w:tr>
      <w:tr w:rsidR="00005E86" w:rsidRPr="00650EE4" w14:paraId="1A221DBB" w14:textId="77777777" w:rsidTr="000C1D71">
        <w:trPr>
          <w:trHeight w:val="61"/>
        </w:trPr>
        <w:tc>
          <w:tcPr>
            <w:tcW w:w="3114" w:type="dxa"/>
          </w:tcPr>
          <w:p w14:paraId="09562A9C" w14:textId="77777777" w:rsidR="00005E86" w:rsidRPr="00650EE4" w:rsidRDefault="00005E86"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9AD5852" w14:textId="77777777" w:rsidR="00005E86" w:rsidRPr="00650EE4" w:rsidRDefault="00005E86"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05E86" w:rsidRPr="00650EE4" w14:paraId="2C79536C" w14:textId="77777777" w:rsidTr="000C1D71">
        <w:trPr>
          <w:trHeight w:val="76"/>
        </w:trPr>
        <w:tc>
          <w:tcPr>
            <w:tcW w:w="3114" w:type="dxa"/>
          </w:tcPr>
          <w:p w14:paraId="29DB3D8A" w14:textId="77777777" w:rsidR="00005E86" w:rsidRPr="00650EE4" w:rsidRDefault="00005E86"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AD4B039" w14:textId="77777777" w:rsidR="00005E86" w:rsidRPr="00650EE4" w:rsidRDefault="00005E86" w:rsidP="000C1D7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55178944" w14:textId="77777777" w:rsidR="00005E86" w:rsidRPr="00650EE4" w:rsidRDefault="00005E86" w:rsidP="00666ECB">
      <w:pPr>
        <w:spacing w:after="120"/>
        <w:jc w:val="both"/>
        <w:rPr>
          <w:rFonts w:ascii="Times New Roman" w:hAnsi="Times New Roman"/>
          <w:b/>
          <w:bCs/>
          <w:szCs w:val="24"/>
        </w:rPr>
      </w:pPr>
    </w:p>
    <w:p w14:paraId="47CB177F" w14:textId="05471F43" w:rsidR="002556E2" w:rsidRPr="00650EE4" w:rsidRDefault="000F308C" w:rsidP="00666ECB">
      <w:pPr>
        <w:spacing w:after="120"/>
        <w:jc w:val="both"/>
        <w:rPr>
          <w:rFonts w:ascii="Times New Roman" w:hAnsi="Times New Roman"/>
          <w:b/>
          <w:bCs/>
          <w:sz w:val="24"/>
          <w:szCs w:val="24"/>
        </w:rPr>
      </w:pPr>
      <w:r w:rsidRPr="00650EE4">
        <w:rPr>
          <w:rFonts w:ascii="Times New Roman" w:hAnsi="Times New Roman"/>
          <w:b/>
          <w:bCs/>
          <w:szCs w:val="24"/>
        </w:rPr>
        <w:t>B3</w:t>
      </w:r>
      <w:r w:rsidR="002556E2" w:rsidRPr="00650EE4">
        <w:rPr>
          <w:rFonts w:ascii="Times New Roman" w:hAnsi="Times New Roman"/>
          <w:b/>
          <w:bCs/>
          <w:szCs w:val="24"/>
        </w:rPr>
        <w:t>.  Nepakankamas savivaldos įtraukimas</w:t>
      </w:r>
      <w:r w:rsidR="002556E2" w:rsidRPr="00650EE4">
        <w:rPr>
          <w:rFonts w:ascii="Times New Roman" w:hAnsi="Times New Roman"/>
          <w:b/>
          <w:bCs/>
          <w:sz w:val="24"/>
          <w:szCs w:val="24"/>
        </w:rPr>
        <w:t xml:space="preserve"> </w:t>
      </w:r>
    </w:p>
    <w:p w14:paraId="33CFC8BF" w14:textId="110E7DD1" w:rsidR="002556E2" w:rsidRPr="00650EE4" w:rsidRDefault="00FD2CEC" w:rsidP="002556E2">
      <w:pPr>
        <w:spacing w:before="60" w:after="120"/>
        <w:jc w:val="both"/>
        <w:rPr>
          <w:rFonts w:ascii="Times New Roman" w:hAnsi="Times New Roman"/>
          <w:szCs w:val="22"/>
        </w:rPr>
      </w:pPr>
      <w:r w:rsidRPr="00650EE4">
        <w:rPr>
          <w:rFonts w:ascii="Times New Roman" w:hAnsi="Times New Roman"/>
          <w:color w:val="000000" w:themeColor="text1"/>
          <w:szCs w:val="22"/>
        </w:rPr>
        <w:t xml:space="preserve">Skirtingi pastatų fondo segmentai turi skirtingus poreikius, reikalaujančius skirtingų renovacijos priemonių padedančių tą naudą realizuoti. </w:t>
      </w:r>
      <w:r w:rsidR="005059A9">
        <w:rPr>
          <w:rFonts w:ascii="Times New Roman" w:hAnsi="Times New Roman"/>
          <w:szCs w:val="22"/>
        </w:rPr>
        <w:t>T</w:t>
      </w:r>
      <w:r w:rsidRPr="00650EE4">
        <w:rPr>
          <w:rFonts w:ascii="Times New Roman" w:hAnsi="Times New Roman"/>
          <w:szCs w:val="22"/>
        </w:rPr>
        <w:t xml:space="preserve">am, kad tie poreikiai būtų </w:t>
      </w:r>
      <w:proofErr w:type="spellStart"/>
      <w:r w:rsidRPr="00650EE4">
        <w:rPr>
          <w:rFonts w:ascii="Times New Roman" w:hAnsi="Times New Roman"/>
          <w:szCs w:val="22"/>
        </w:rPr>
        <w:t>sistemiškai</w:t>
      </w:r>
      <w:proofErr w:type="spellEnd"/>
      <w:r w:rsidRPr="00650EE4">
        <w:rPr>
          <w:rFonts w:ascii="Times New Roman" w:hAnsi="Times New Roman"/>
          <w:szCs w:val="22"/>
        </w:rPr>
        <w:t xml:space="preserve"> išgirsti</w:t>
      </w:r>
      <w:r w:rsidR="00C46AE7" w:rsidRPr="00650EE4">
        <w:rPr>
          <w:rFonts w:ascii="Times New Roman" w:hAnsi="Times New Roman"/>
          <w:szCs w:val="22"/>
        </w:rPr>
        <w:t xml:space="preserve"> ir įgyvendinti,</w:t>
      </w:r>
      <w:r w:rsidRPr="00650EE4">
        <w:rPr>
          <w:rFonts w:ascii="Times New Roman" w:hAnsi="Times New Roman"/>
          <w:szCs w:val="22"/>
        </w:rPr>
        <w:t xml:space="preserve"> </w:t>
      </w:r>
      <w:r w:rsidR="002556E2" w:rsidRPr="00650EE4">
        <w:rPr>
          <w:rFonts w:ascii="Times New Roman" w:hAnsi="Times New Roman"/>
          <w:szCs w:val="22"/>
        </w:rPr>
        <w:t>reik</w:t>
      </w:r>
      <w:r w:rsidRPr="00650EE4">
        <w:rPr>
          <w:rFonts w:ascii="Times New Roman" w:hAnsi="Times New Roman"/>
          <w:szCs w:val="22"/>
        </w:rPr>
        <w:t>alingas</w:t>
      </w:r>
      <w:r w:rsidR="002556E2" w:rsidRPr="00650EE4">
        <w:rPr>
          <w:rFonts w:ascii="Times New Roman" w:hAnsi="Times New Roman"/>
          <w:szCs w:val="22"/>
        </w:rPr>
        <w:t xml:space="preserve"> aktyvesni</w:t>
      </w:r>
      <w:r w:rsidRPr="00650EE4">
        <w:rPr>
          <w:rFonts w:ascii="Times New Roman" w:hAnsi="Times New Roman"/>
          <w:szCs w:val="22"/>
        </w:rPr>
        <w:t>s</w:t>
      </w:r>
      <w:r w:rsidR="002556E2" w:rsidRPr="00650EE4">
        <w:rPr>
          <w:rFonts w:ascii="Times New Roman" w:hAnsi="Times New Roman"/>
          <w:szCs w:val="22"/>
        </w:rPr>
        <w:t xml:space="preserve"> </w:t>
      </w:r>
      <w:r w:rsidRPr="00650EE4">
        <w:rPr>
          <w:rFonts w:ascii="Times New Roman" w:hAnsi="Times New Roman"/>
          <w:szCs w:val="22"/>
        </w:rPr>
        <w:t xml:space="preserve">savivaldos lygmens įsitraukimas </w:t>
      </w:r>
      <w:r w:rsidR="002556E2" w:rsidRPr="00650EE4">
        <w:rPr>
          <w:rFonts w:ascii="Times New Roman" w:hAnsi="Times New Roman"/>
          <w:szCs w:val="22"/>
        </w:rPr>
        <w:t>(</w:t>
      </w:r>
      <w:r w:rsidRPr="00650EE4">
        <w:rPr>
          <w:rFonts w:ascii="Times New Roman" w:hAnsi="Times New Roman"/>
          <w:szCs w:val="22"/>
        </w:rPr>
        <w:t>t.y. arčiausiai vartotojo esantis, geriausiai vartotoją pažįstantis valdymo lygmuo</w:t>
      </w:r>
      <w:r w:rsidR="002556E2" w:rsidRPr="00650EE4">
        <w:rPr>
          <w:rFonts w:ascii="Times New Roman" w:hAnsi="Times New Roman"/>
          <w:szCs w:val="22"/>
        </w:rPr>
        <w:t xml:space="preserve">). </w:t>
      </w:r>
    </w:p>
    <w:p w14:paraId="5551309D" w14:textId="62832A57" w:rsidR="002556E2" w:rsidRPr="00650EE4" w:rsidRDefault="002556E2" w:rsidP="002556E2">
      <w:pPr>
        <w:spacing w:before="60" w:after="120"/>
        <w:jc w:val="both"/>
        <w:rPr>
          <w:rFonts w:ascii="Times New Roman" w:hAnsi="Times New Roman"/>
          <w:szCs w:val="22"/>
        </w:rPr>
      </w:pPr>
      <w:r w:rsidRPr="00650EE4">
        <w:rPr>
          <w:rFonts w:ascii="Times New Roman" w:hAnsi="Times New Roman"/>
          <w:szCs w:val="22"/>
        </w:rPr>
        <w:t>Be to, dab</w:t>
      </w:r>
      <w:r w:rsidR="00FD2CEC" w:rsidRPr="00650EE4">
        <w:rPr>
          <w:rFonts w:ascii="Times New Roman" w:hAnsi="Times New Roman"/>
          <w:szCs w:val="22"/>
        </w:rPr>
        <w:t>a</w:t>
      </w:r>
      <w:r w:rsidRPr="00650EE4">
        <w:rPr>
          <w:rFonts w:ascii="Times New Roman" w:hAnsi="Times New Roman"/>
          <w:szCs w:val="22"/>
        </w:rPr>
        <w:t>rtinė situacija</w:t>
      </w:r>
      <w:r w:rsidR="00FD2CEC" w:rsidRPr="00650EE4">
        <w:rPr>
          <w:rFonts w:ascii="Times New Roman" w:hAnsi="Times New Roman"/>
          <w:szCs w:val="22"/>
        </w:rPr>
        <w:t xml:space="preserve"> iliustruoja, kad būtent savivaldos gebėjimai ir motyvacija yra kritiniai renovacijos sėkmės faktoriai arba atvirkščiai, barjerai (pvz.</w:t>
      </w:r>
      <w:r w:rsidR="0029539E" w:rsidRPr="00650EE4">
        <w:rPr>
          <w:rFonts w:ascii="Times New Roman" w:hAnsi="Times New Roman"/>
          <w:szCs w:val="22"/>
        </w:rPr>
        <w:t>,</w:t>
      </w:r>
      <w:r w:rsidR="00FD2CEC" w:rsidRPr="00650EE4">
        <w:rPr>
          <w:rFonts w:ascii="Times New Roman" w:hAnsi="Times New Roman"/>
          <w:szCs w:val="22"/>
        </w:rPr>
        <w:t xml:space="preserve"> Ignalinos </w:t>
      </w:r>
      <w:r w:rsidR="0029539E" w:rsidRPr="00650EE4">
        <w:rPr>
          <w:rFonts w:ascii="Times New Roman" w:hAnsi="Times New Roman"/>
          <w:szCs w:val="22"/>
        </w:rPr>
        <w:t>mieste renovuoti visi daugiabučiai pastatai</w:t>
      </w:r>
      <w:r w:rsidR="00FD2CEC" w:rsidRPr="00650EE4">
        <w:rPr>
          <w:rFonts w:ascii="Times New Roman" w:hAnsi="Times New Roman"/>
          <w:szCs w:val="22"/>
        </w:rPr>
        <w:t xml:space="preserve">, o Pagėgių </w:t>
      </w:r>
      <w:r w:rsidR="0029539E" w:rsidRPr="00650EE4">
        <w:rPr>
          <w:rFonts w:ascii="Times New Roman" w:hAnsi="Times New Roman"/>
          <w:szCs w:val="22"/>
        </w:rPr>
        <w:t xml:space="preserve">savivaldybėje </w:t>
      </w:r>
      <w:r w:rsidR="0002515A" w:rsidRPr="00650EE4">
        <w:rPr>
          <w:rFonts w:ascii="Times New Roman" w:hAnsi="Times New Roman"/>
          <w:szCs w:val="22"/>
        </w:rPr>
        <w:t>nerenovuotas nei vienas daugiabutis</w:t>
      </w:r>
      <w:r w:rsidR="0029539E" w:rsidRPr="00650EE4">
        <w:rPr>
          <w:rStyle w:val="FootnoteReference"/>
          <w:rFonts w:ascii="Times New Roman" w:hAnsi="Times New Roman"/>
          <w:szCs w:val="22"/>
        </w:rPr>
        <w:footnoteReference w:id="35"/>
      </w:r>
      <w:r w:rsidR="00FD2CEC" w:rsidRPr="00650EE4">
        <w:rPr>
          <w:rFonts w:ascii="Times New Roman" w:hAnsi="Times New Roman"/>
          <w:szCs w:val="22"/>
        </w:rPr>
        <w:t>)</w:t>
      </w:r>
      <w:r w:rsidRPr="00650EE4">
        <w:rPr>
          <w:rFonts w:ascii="Times New Roman" w:hAnsi="Times New Roman"/>
          <w:szCs w:val="22"/>
        </w:rPr>
        <w:t xml:space="preserve">. </w:t>
      </w:r>
    </w:p>
    <w:p w14:paraId="6CAC765A" w14:textId="162F12B9" w:rsidR="00C46AE7" w:rsidRPr="00650EE4" w:rsidRDefault="00FD2CEC" w:rsidP="003D5D10">
      <w:pPr>
        <w:spacing w:before="60"/>
        <w:jc w:val="both"/>
        <w:rPr>
          <w:rFonts w:ascii="Times New Roman" w:hAnsi="Times New Roman"/>
          <w:szCs w:val="22"/>
        </w:rPr>
      </w:pPr>
      <w:r w:rsidRPr="00650EE4">
        <w:rPr>
          <w:rFonts w:ascii="Times New Roman" w:hAnsi="Times New Roman"/>
          <w:szCs w:val="22"/>
        </w:rPr>
        <w:t xml:space="preserve">Atitinkamai </w:t>
      </w:r>
      <w:r w:rsidR="00C46AE7" w:rsidRPr="00650EE4">
        <w:rPr>
          <w:rFonts w:ascii="Times New Roman" w:hAnsi="Times New Roman"/>
          <w:szCs w:val="22"/>
        </w:rPr>
        <w:t xml:space="preserve">manome kad esamas savivaldos vaidmens </w:t>
      </w:r>
      <w:r w:rsidR="00C46AE7" w:rsidRPr="005059A9">
        <w:rPr>
          <w:rFonts w:ascii="Times New Roman" w:hAnsi="Times New Roman"/>
          <w:i/>
          <w:szCs w:val="22"/>
        </w:rPr>
        <w:t>status quo</w:t>
      </w:r>
      <w:r w:rsidR="00C46AE7" w:rsidRPr="00650EE4">
        <w:rPr>
          <w:rFonts w:ascii="Times New Roman" w:hAnsi="Times New Roman"/>
          <w:szCs w:val="22"/>
        </w:rPr>
        <w:t xml:space="preserve"> nėra pakankamas renovacijos proveržiui realizuoti. </w:t>
      </w:r>
    </w:p>
    <w:p w14:paraId="23E279FA" w14:textId="77777777" w:rsidR="00C46AE7" w:rsidRPr="00650EE4" w:rsidRDefault="00C46AE7" w:rsidP="003D5D10">
      <w:pPr>
        <w:jc w:val="both"/>
        <w:rPr>
          <w:rFonts w:ascii="Times New Roman" w:hAnsi="Times New Roman"/>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2556E2" w:rsidRPr="00650EE4" w14:paraId="327AEB28" w14:textId="77777777" w:rsidTr="000C1D71">
        <w:trPr>
          <w:trHeight w:val="61"/>
        </w:trPr>
        <w:tc>
          <w:tcPr>
            <w:tcW w:w="3114" w:type="dxa"/>
          </w:tcPr>
          <w:p w14:paraId="53E0F61D" w14:textId="77777777" w:rsidR="002556E2" w:rsidRPr="00650EE4" w:rsidRDefault="002556E2" w:rsidP="000C1D7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79224340" w14:textId="213C51B4" w:rsidR="002556E2" w:rsidRPr="00650EE4" w:rsidRDefault="00AB6771" w:rsidP="000C1D71">
            <w:pPr>
              <w:spacing w:after="60"/>
              <w:rPr>
                <w:rFonts w:ascii="Times New Roman" w:hAnsi="Times New Roman"/>
                <w:szCs w:val="22"/>
                <w:lang w:eastAsia="lt-LT"/>
              </w:rPr>
            </w:pPr>
            <w:r w:rsidRPr="00650EE4">
              <w:rPr>
                <w:rFonts w:ascii="Times New Roman" w:hAnsi="Times New Roman"/>
                <w:szCs w:val="22"/>
                <w:lang w:eastAsia="lt-LT"/>
              </w:rPr>
              <w:t>P4. Savivaldos įtraukimas</w:t>
            </w:r>
          </w:p>
        </w:tc>
      </w:tr>
      <w:tr w:rsidR="002556E2" w:rsidRPr="00650EE4" w14:paraId="33A324D6" w14:textId="77777777" w:rsidTr="000C1D71">
        <w:trPr>
          <w:trHeight w:val="61"/>
        </w:trPr>
        <w:tc>
          <w:tcPr>
            <w:tcW w:w="3114" w:type="dxa"/>
          </w:tcPr>
          <w:p w14:paraId="309C2F94" w14:textId="77777777" w:rsidR="002556E2" w:rsidRPr="00650EE4" w:rsidRDefault="002556E2"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2DA16A1" w14:textId="77777777" w:rsidR="002556E2" w:rsidRPr="00650EE4" w:rsidRDefault="002556E2"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2556E2" w:rsidRPr="00650EE4" w14:paraId="5CF23793" w14:textId="77777777" w:rsidTr="000C1D71">
        <w:trPr>
          <w:trHeight w:val="76"/>
        </w:trPr>
        <w:tc>
          <w:tcPr>
            <w:tcW w:w="3114" w:type="dxa"/>
          </w:tcPr>
          <w:p w14:paraId="14C8F372" w14:textId="77777777" w:rsidR="002556E2" w:rsidRPr="00650EE4" w:rsidRDefault="002556E2"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C301DC0" w14:textId="77777777" w:rsidR="002556E2" w:rsidRPr="00650EE4" w:rsidRDefault="002556E2" w:rsidP="000C1D7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43B31C38" w14:textId="77777777" w:rsidR="002556E2" w:rsidRPr="00650EE4" w:rsidRDefault="002556E2" w:rsidP="004E75C3">
      <w:pPr>
        <w:spacing w:after="240"/>
        <w:rPr>
          <w:rFonts w:ascii="Times New Roman" w:hAnsi="Times New Roman"/>
          <w:bCs/>
          <w:szCs w:val="22"/>
        </w:rPr>
      </w:pPr>
    </w:p>
    <w:p w14:paraId="197A8D20" w14:textId="781583FC" w:rsidR="004E75C3" w:rsidRPr="00650EE4" w:rsidRDefault="00D06452" w:rsidP="004E75C3">
      <w:pPr>
        <w:pStyle w:val="Antrastes31"/>
        <w:numPr>
          <w:ilvl w:val="2"/>
          <w:numId w:val="4"/>
        </w:numPr>
        <w:spacing w:before="0"/>
        <w:ind w:left="720" w:hanging="720"/>
        <w:rPr>
          <w:rFonts w:ascii="Times New Roman" w:hAnsi="Times New Roman"/>
          <w:color w:val="000000" w:themeColor="text1"/>
          <w:sz w:val="24"/>
          <w:szCs w:val="24"/>
          <w:lang w:val="lt-LT"/>
        </w:rPr>
      </w:pPr>
      <w:bookmarkStart w:id="150" w:name="_Toc67925154"/>
      <w:r w:rsidRPr="00650EE4">
        <w:rPr>
          <w:rFonts w:ascii="Times New Roman" w:hAnsi="Times New Roman"/>
          <w:color w:val="000000" w:themeColor="text1"/>
          <w:sz w:val="24"/>
          <w:szCs w:val="24"/>
          <w:lang w:val="lt-LT"/>
        </w:rPr>
        <w:t>P</w:t>
      </w:r>
      <w:r w:rsidR="008C465F" w:rsidRPr="00650EE4">
        <w:rPr>
          <w:rFonts w:ascii="Times New Roman" w:hAnsi="Times New Roman"/>
          <w:color w:val="000000" w:themeColor="text1"/>
          <w:sz w:val="24"/>
          <w:szCs w:val="24"/>
          <w:lang w:val="lt-LT"/>
        </w:rPr>
        <w:t>aramos p</w:t>
      </w:r>
      <w:r w:rsidR="00713D73" w:rsidRPr="00650EE4">
        <w:rPr>
          <w:rFonts w:ascii="Times New Roman" w:hAnsi="Times New Roman"/>
          <w:color w:val="000000" w:themeColor="text1"/>
          <w:sz w:val="24"/>
          <w:szCs w:val="24"/>
          <w:lang w:val="lt-LT"/>
        </w:rPr>
        <w:t xml:space="preserve">riemonių </w:t>
      </w:r>
      <w:r w:rsidRPr="00650EE4">
        <w:rPr>
          <w:rFonts w:ascii="Times New Roman" w:hAnsi="Times New Roman"/>
          <w:color w:val="000000" w:themeColor="text1"/>
          <w:sz w:val="24"/>
          <w:szCs w:val="24"/>
          <w:lang w:val="lt-LT"/>
        </w:rPr>
        <w:t>formavimo barjerai</w:t>
      </w:r>
      <w:bookmarkEnd w:id="150"/>
    </w:p>
    <w:p w14:paraId="0C14509C" w14:textId="5074A9F9" w:rsidR="004E75C3" w:rsidRPr="00650EE4" w:rsidRDefault="004E75C3" w:rsidP="00666ECB">
      <w:pPr>
        <w:spacing w:after="120"/>
        <w:jc w:val="both"/>
        <w:rPr>
          <w:rFonts w:ascii="Times New Roman" w:hAnsi="Times New Roman"/>
          <w:b/>
          <w:bCs/>
          <w:szCs w:val="24"/>
        </w:rPr>
      </w:pPr>
      <w:r w:rsidRPr="00650EE4">
        <w:rPr>
          <w:rFonts w:ascii="Times New Roman" w:hAnsi="Times New Roman"/>
          <w:b/>
          <w:bCs/>
          <w:szCs w:val="24"/>
        </w:rPr>
        <w:t>B</w:t>
      </w:r>
      <w:r w:rsidR="0062471B" w:rsidRPr="00650EE4">
        <w:rPr>
          <w:rFonts w:ascii="Times New Roman" w:hAnsi="Times New Roman"/>
          <w:b/>
          <w:bCs/>
          <w:szCs w:val="24"/>
        </w:rPr>
        <w:t>4</w:t>
      </w:r>
      <w:r w:rsidRPr="00650EE4">
        <w:rPr>
          <w:rFonts w:ascii="Times New Roman" w:hAnsi="Times New Roman"/>
          <w:b/>
          <w:bCs/>
          <w:szCs w:val="24"/>
        </w:rPr>
        <w:t>. Nepatrauklus projektų atsiperkamumo laikotarpis</w:t>
      </w:r>
    </w:p>
    <w:p w14:paraId="026525F3" w14:textId="410EEC58" w:rsidR="004E75C3" w:rsidRPr="00650EE4" w:rsidRDefault="008D5036" w:rsidP="00CC4932">
      <w:pPr>
        <w:pStyle w:val="BodyText"/>
        <w:spacing w:after="120"/>
        <w:jc w:val="both"/>
        <w:rPr>
          <w:rFonts w:ascii="Times New Roman" w:hAnsi="Times New Roman"/>
          <w:szCs w:val="22"/>
          <w:lang w:val="lt-LT"/>
        </w:rPr>
      </w:pPr>
      <w:r w:rsidRPr="00650EE4">
        <w:rPr>
          <w:rFonts w:ascii="Times New Roman" w:hAnsi="Times New Roman"/>
          <w:szCs w:val="22"/>
          <w:lang w:val="lt-LT"/>
        </w:rPr>
        <w:t>Formuojant priemonių paketą svarbu įvertinti, kad d</w:t>
      </w:r>
      <w:r w:rsidR="006A78E7" w:rsidRPr="00650EE4">
        <w:rPr>
          <w:rFonts w:ascii="Times New Roman" w:hAnsi="Times New Roman"/>
          <w:szCs w:val="22"/>
          <w:lang w:val="lt-LT"/>
        </w:rPr>
        <w:t>ėl mažų energijos kainų (žr. B</w:t>
      </w:r>
      <w:r w:rsidR="00EB5ABC" w:rsidRPr="00650EE4">
        <w:rPr>
          <w:rFonts w:ascii="Times New Roman" w:hAnsi="Times New Roman"/>
          <w:szCs w:val="22"/>
          <w:lang w:val="lt-LT"/>
        </w:rPr>
        <w:t>5</w:t>
      </w:r>
      <w:r w:rsidR="004E75C3" w:rsidRPr="00650EE4">
        <w:rPr>
          <w:rFonts w:ascii="Times New Roman" w:hAnsi="Times New Roman"/>
          <w:szCs w:val="22"/>
          <w:lang w:val="lt-LT"/>
        </w:rPr>
        <w:t>), kylančių statybos kainų (žr. B</w:t>
      </w:r>
      <w:r w:rsidR="000657D6" w:rsidRPr="00650EE4">
        <w:rPr>
          <w:rFonts w:ascii="Times New Roman" w:hAnsi="Times New Roman"/>
          <w:szCs w:val="22"/>
          <w:lang w:val="lt-LT"/>
        </w:rPr>
        <w:t>6</w:t>
      </w:r>
      <w:r w:rsidR="004E75C3" w:rsidRPr="00650EE4">
        <w:rPr>
          <w:rFonts w:ascii="Times New Roman" w:hAnsi="Times New Roman"/>
          <w:szCs w:val="22"/>
          <w:lang w:val="lt-LT"/>
        </w:rPr>
        <w:t>), subjektų savais pajėgumais įdiegtų energijos efektyvumo priemonių (pvz.</w:t>
      </w:r>
      <w:r w:rsidR="00F45F56" w:rsidRPr="00650EE4">
        <w:rPr>
          <w:rFonts w:ascii="Times New Roman" w:hAnsi="Times New Roman"/>
          <w:szCs w:val="22"/>
          <w:lang w:val="lt-LT"/>
        </w:rPr>
        <w:t>,</w:t>
      </w:r>
      <w:r w:rsidR="004E75C3" w:rsidRPr="00650EE4">
        <w:rPr>
          <w:rFonts w:ascii="Times New Roman" w:hAnsi="Times New Roman"/>
          <w:szCs w:val="22"/>
          <w:lang w:val="lt-LT"/>
        </w:rPr>
        <w:t xml:space="preserve"> pakeisti langai, duris ir pan.) ir kitų veiksnių, renovacijos projektų atsipirkimo laikas ilgėja, viršija 10-15 metų ir </w:t>
      </w:r>
      <w:r w:rsidR="00D92A36" w:rsidRPr="00650EE4">
        <w:rPr>
          <w:rFonts w:ascii="Times New Roman" w:hAnsi="Times New Roman"/>
          <w:szCs w:val="22"/>
          <w:lang w:val="lt-LT"/>
        </w:rPr>
        <w:t xml:space="preserve">be valstybės paramos </w:t>
      </w:r>
      <w:r w:rsidR="004E75C3" w:rsidRPr="00650EE4">
        <w:rPr>
          <w:rFonts w:ascii="Times New Roman" w:hAnsi="Times New Roman"/>
          <w:szCs w:val="22"/>
          <w:lang w:val="lt-LT"/>
        </w:rPr>
        <w:t>tampa nepatrauklus nei pastato savininkui nei finansuotojui (pvz. komerciniam</w:t>
      </w:r>
      <w:r w:rsidR="009B3FA5" w:rsidRPr="00650EE4">
        <w:rPr>
          <w:rFonts w:ascii="Times New Roman" w:hAnsi="Times New Roman"/>
          <w:szCs w:val="22"/>
          <w:lang w:val="lt-LT"/>
        </w:rPr>
        <w:t>s bankams</w:t>
      </w:r>
      <w:r w:rsidR="004E75C3" w:rsidRPr="00650EE4">
        <w:rPr>
          <w:rFonts w:ascii="Times New Roman" w:hAnsi="Times New Roman"/>
          <w:szCs w:val="22"/>
          <w:lang w:val="lt-LT"/>
        </w:rPr>
        <w:t xml:space="preserve">). </w:t>
      </w:r>
    </w:p>
    <w:p w14:paraId="0ED0F081" w14:textId="5D364EF1" w:rsidR="00CC4932" w:rsidRPr="00650EE4" w:rsidRDefault="005059A9" w:rsidP="004E75C3">
      <w:pPr>
        <w:pStyle w:val="BodyText"/>
        <w:jc w:val="both"/>
        <w:rPr>
          <w:rFonts w:ascii="Times New Roman" w:hAnsi="Times New Roman"/>
          <w:szCs w:val="22"/>
          <w:lang w:val="lt-LT"/>
        </w:rPr>
      </w:pPr>
      <w:r>
        <w:rPr>
          <w:rFonts w:ascii="Times New Roman" w:hAnsi="Times New Roman"/>
          <w:szCs w:val="22"/>
          <w:lang w:val="lt-LT"/>
        </w:rPr>
        <w:t>A</w:t>
      </w:r>
      <w:r w:rsidR="008D5036" w:rsidRPr="00650EE4">
        <w:rPr>
          <w:rFonts w:ascii="Times New Roman" w:hAnsi="Times New Roman"/>
          <w:szCs w:val="22"/>
          <w:lang w:val="lt-LT"/>
        </w:rPr>
        <w:t>b</w:t>
      </w:r>
      <w:r w:rsidR="002D3E79" w:rsidRPr="00650EE4">
        <w:rPr>
          <w:rFonts w:ascii="Times New Roman" w:hAnsi="Times New Roman"/>
          <w:szCs w:val="22"/>
          <w:lang w:val="lt-LT"/>
        </w:rPr>
        <w:t>e</w:t>
      </w:r>
      <w:r w:rsidR="008D5036" w:rsidRPr="00650EE4">
        <w:rPr>
          <w:rFonts w:ascii="Times New Roman" w:hAnsi="Times New Roman"/>
          <w:szCs w:val="22"/>
          <w:lang w:val="lt-LT"/>
        </w:rPr>
        <w:t xml:space="preserve">jonė dėl projekto atsiperkamumo yra vienas esminių barjerų iš pastatų savininko (vartotojo) perspektyvos, kuriam šalinti turi būti taikomos kompleksinės priemonės. Taikant tik finansines priemones (subsidijavimą) reikalingas reikšmingas viešų finansų indėlis. </w:t>
      </w:r>
    </w:p>
    <w:p w14:paraId="7D6D945F" w14:textId="77777777" w:rsidR="004E75C3" w:rsidRPr="00650EE4" w:rsidRDefault="004E75C3" w:rsidP="004E75C3">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4E75C3" w:rsidRPr="00650EE4" w14:paraId="6B0AAB29" w14:textId="77777777" w:rsidTr="004847E3">
        <w:trPr>
          <w:trHeight w:val="61"/>
        </w:trPr>
        <w:tc>
          <w:tcPr>
            <w:tcW w:w="3114" w:type="dxa"/>
          </w:tcPr>
          <w:p w14:paraId="6FE1EA16"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10B8C4F4" w14:textId="522AB360"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P</w:t>
            </w:r>
            <w:r w:rsidR="00D66EE0" w:rsidRPr="00650EE4">
              <w:rPr>
                <w:rFonts w:ascii="Times New Roman" w:hAnsi="Times New Roman"/>
                <w:szCs w:val="22"/>
                <w:lang w:eastAsia="lt-LT"/>
              </w:rPr>
              <w:t>6</w:t>
            </w:r>
            <w:r w:rsidRPr="00650EE4">
              <w:rPr>
                <w:rFonts w:ascii="Times New Roman" w:hAnsi="Times New Roman"/>
                <w:szCs w:val="22"/>
                <w:lang w:eastAsia="lt-LT"/>
              </w:rPr>
              <w:t>. Pilna energijos kaina</w:t>
            </w:r>
          </w:p>
          <w:p w14:paraId="623DB305" w14:textId="50395400"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P</w:t>
            </w:r>
            <w:r w:rsidR="00D66EE0" w:rsidRPr="00650EE4">
              <w:rPr>
                <w:rFonts w:ascii="Times New Roman" w:hAnsi="Times New Roman"/>
                <w:szCs w:val="22"/>
                <w:lang w:eastAsia="lt-LT"/>
              </w:rPr>
              <w:t>7</w:t>
            </w:r>
            <w:r w:rsidRPr="00650EE4">
              <w:rPr>
                <w:rFonts w:ascii="Times New Roman" w:hAnsi="Times New Roman"/>
                <w:szCs w:val="22"/>
                <w:lang w:eastAsia="lt-LT"/>
              </w:rPr>
              <w:t>. Taršos mokesčiai</w:t>
            </w:r>
          </w:p>
          <w:p w14:paraId="425859A5" w14:textId="484A7F96" w:rsidR="00D66EE0" w:rsidRPr="00650EE4" w:rsidRDefault="00D66EE0" w:rsidP="004847E3">
            <w:pPr>
              <w:spacing w:after="60"/>
              <w:rPr>
                <w:rFonts w:ascii="Times New Roman" w:hAnsi="Times New Roman"/>
                <w:szCs w:val="22"/>
                <w:lang w:eastAsia="lt-LT"/>
              </w:rPr>
            </w:pPr>
            <w:r w:rsidRPr="00650EE4">
              <w:rPr>
                <w:rFonts w:ascii="Times New Roman" w:hAnsi="Times New Roman"/>
                <w:szCs w:val="22"/>
                <w:lang w:eastAsia="lt-LT"/>
              </w:rPr>
              <w:lastRenderedPageBreak/>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p w14:paraId="118D0BCE" w14:textId="3B161D84" w:rsidR="002C4FEC" w:rsidRPr="00650EE4" w:rsidRDefault="00D66EE0" w:rsidP="00D92A36">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7</w:t>
            </w:r>
            <w:r w:rsidR="002C4FEC" w:rsidRPr="00650EE4">
              <w:rPr>
                <w:rFonts w:ascii="Times New Roman" w:hAnsi="Times New Roman"/>
                <w:szCs w:val="22"/>
                <w:lang w:eastAsia="lt-LT"/>
              </w:rPr>
              <w:t xml:space="preserve">. Komunikacija apie </w:t>
            </w:r>
            <w:r w:rsidRPr="00650EE4">
              <w:rPr>
                <w:rFonts w:ascii="Times New Roman" w:hAnsi="Times New Roman"/>
                <w:szCs w:val="22"/>
                <w:lang w:eastAsia="lt-LT"/>
              </w:rPr>
              <w:t>renovacijos naudą ir priemones</w:t>
            </w:r>
          </w:p>
        </w:tc>
      </w:tr>
      <w:tr w:rsidR="004E75C3" w:rsidRPr="00650EE4" w14:paraId="25B387FD" w14:textId="77777777" w:rsidTr="004847E3">
        <w:trPr>
          <w:trHeight w:val="61"/>
        </w:trPr>
        <w:tc>
          <w:tcPr>
            <w:tcW w:w="3114" w:type="dxa"/>
          </w:tcPr>
          <w:p w14:paraId="13552F1F"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lastRenderedPageBreak/>
              <w:t>Prioritetas</w:t>
            </w:r>
          </w:p>
        </w:tc>
        <w:tc>
          <w:tcPr>
            <w:tcW w:w="7089" w:type="dxa"/>
          </w:tcPr>
          <w:p w14:paraId="45FD690A"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4E75C3" w:rsidRPr="00650EE4" w14:paraId="5A1405B7" w14:textId="77777777" w:rsidTr="004847E3">
        <w:trPr>
          <w:trHeight w:val="76"/>
        </w:trPr>
        <w:tc>
          <w:tcPr>
            <w:tcW w:w="3114" w:type="dxa"/>
          </w:tcPr>
          <w:p w14:paraId="7374C934"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6257B6FD"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66138D30" w14:textId="77777777" w:rsidR="006A78E7" w:rsidRPr="00650EE4" w:rsidRDefault="006A78E7" w:rsidP="006A78E7">
      <w:pPr>
        <w:spacing w:after="240"/>
        <w:jc w:val="both"/>
        <w:rPr>
          <w:rFonts w:ascii="Times New Roman" w:hAnsi="Times New Roman"/>
          <w:b/>
          <w:bCs/>
          <w:szCs w:val="24"/>
        </w:rPr>
      </w:pPr>
    </w:p>
    <w:p w14:paraId="38A59980" w14:textId="52DC9D6B" w:rsidR="00EC1530" w:rsidRPr="00650EE4" w:rsidRDefault="006A78E7" w:rsidP="002C4FEC">
      <w:pPr>
        <w:spacing w:after="120"/>
        <w:jc w:val="both"/>
        <w:rPr>
          <w:rFonts w:ascii="Times New Roman" w:hAnsi="Times New Roman"/>
          <w:b/>
          <w:bCs/>
          <w:szCs w:val="24"/>
        </w:rPr>
      </w:pPr>
      <w:r w:rsidRPr="00650EE4">
        <w:rPr>
          <w:rFonts w:ascii="Times New Roman" w:hAnsi="Times New Roman"/>
          <w:b/>
          <w:bCs/>
          <w:szCs w:val="24"/>
        </w:rPr>
        <w:t>B</w:t>
      </w:r>
      <w:r w:rsidR="0062471B" w:rsidRPr="00650EE4">
        <w:rPr>
          <w:rFonts w:ascii="Times New Roman" w:hAnsi="Times New Roman"/>
          <w:b/>
          <w:bCs/>
          <w:szCs w:val="24"/>
        </w:rPr>
        <w:t>5</w:t>
      </w:r>
      <w:r w:rsidR="00EC1530" w:rsidRPr="00650EE4">
        <w:rPr>
          <w:rFonts w:ascii="Times New Roman" w:hAnsi="Times New Roman"/>
          <w:b/>
          <w:bCs/>
          <w:szCs w:val="24"/>
        </w:rPr>
        <w:t xml:space="preserve">. Nepilna energijos kaina </w:t>
      </w:r>
    </w:p>
    <w:p w14:paraId="43FE9745" w14:textId="142E6B2D" w:rsidR="00EC1530" w:rsidRPr="00650EE4" w:rsidRDefault="00831CC9" w:rsidP="00EC1530">
      <w:pPr>
        <w:pStyle w:val="BodyText"/>
        <w:spacing w:after="120"/>
        <w:jc w:val="both"/>
        <w:rPr>
          <w:rFonts w:ascii="Times New Roman" w:hAnsi="Times New Roman"/>
          <w:szCs w:val="22"/>
          <w:lang w:val="lt-LT"/>
        </w:rPr>
      </w:pPr>
      <w:r w:rsidRPr="00650EE4">
        <w:rPr>
          <w:rFonts w:ascii="Times New Roman" w:hAnsi="Times New Roman"/>
          <w:szCs w:val="22"/>
          <w:lang w:val="lt-LT"/>
        </w:rPr>
        <w:t>Ž</w:t>
      </w:r>
      <w:r w:rsidR="00EC1530" w:rsidRPr="00650EE4">
        <w:rPr>
          <w:rFonts w:ascii="Times New Roman" w:hAnsi="Times New Roman"/>
          <w:szCs w:val="22"/>
          <w:lang w:val="lt-LT"/>
        </w:rPr>
        <w:t>ema energijos kaina yra vertybė ir viena iš priemonių mažinti energetinį skurdą, didinti</w:t>
      </w:r>
      <w:r w:rsidRPr="00650EE4">
        <w:rPr>
          <w:rFonts w:ascii="Times New Roman" w:hAnsi="Times New Roman"/>
          <w:szCs w:val="22"/>
          <w:lang w:val="lt-LT"/>
        </w:rPr>
        <w:t xml:space="preserve"> įmonių konkurencingumą ir pan. Tačiau,</w:t>
      </w:r>
      <w:r w:rsidR="00EC1530" w:rsidRPr="00650EE4">
        <w:rPr>
          <w:rFonts w:ascii="Times New Roman" w:hAnsi="Times New Roman"/>
          <w:szCs w:val="22"/>
          <w:lang w:val="lt-LT"/>
        </w:rPr>
        <w:t xml:space="preserve"> siekiant IRS numatytų </w:t>
      </w:r>
      <w:r w:rsidR="00E14E05">
        <w:rPr>
          <w:rFonts w:ascii="Times New Roman" w:hAnsi="Times New Roman"/>
          <w:szCs w:val="22"/>
          <w:lang w:val="lt-LT"/>
        </w:rPr>
        <w:t>rodiklių</w:t>
      </w:r>
      <w:r w:rsidR="00EC1530" w:rsidRPr="00650EE4">
        <w:rPr>
          <w:rFonts w:ascii="Times New Roman" w:hAnsi="Times New Roman"/>
          <w:szCs w:val="22"/>
          <w:lang w:val="lt-LT"/>
        </w:rPr>
        <w:t xml:space="preserve">, svarbu užtikrinti, kad </w:t>
      </w:r>
      <w:r w:rsidR="002C4FEC" w:rsidRPr="00650EE4">
        <w:rPr>
          <w:rFonts w:ascii="Times New Roman" w:hAnsi="Times New Roman"/>
          <w:szCs w:val="22"/>
          <w:lang w:val="lt-LT"/>
        </w:rPr>
        <w:t xml:space="preserve">ilgalaikėje perspektyvoje </w:t>
      </w:r>
      <w:r w:rsidR="00EC1530" w:rsidRPr="00650EE4">
        <w:rPr>
          <w:rFonts w:ascii="Times New Roman" w:hAnsi="Times New Roman"/>
          <w:szCs w:val="22"/>
          <w:lang w:val="lt-LT"/>
        </w:rPr>
        <w:t xml:space="preserve">energijos kainodaroje būtų atspindėti pilni energijos kaštai, apimtys tiek energijos gamybos kaštus (šiuo metu </w:t>
      </w:r>
      <w:r w:rsidR="002C4FEC" w:rsidRPr="00650EE4">
        <w:rPr>
          <w:rFonts w:ascii="Times New Roman" w:hAnsi="Times New Roman"/>
          <w:szCs w:val="22"/>
          <w:lang w:val="lt-LT"/>
        </w:rPr>
        <w:t>energetikos sektoriaus</w:t>
      </w:r>
      <w:r w:rsidR="00EC1530" w:rsidRPr="00650EE4">
        <w:rPr>
          <w:rFonts w:ascii="Times New Roman" w:hAnsi="Times New Roman"/>
          <w:szCs w:val="22"/>
          <w:lang w:val="lt-LT"/>
        </w:rPr>
        <w:t xml:space="preserve"> infrastruktūra yra reikšmingai subsidijuojama), tiek aplinkosauginius, tiek socialinius kaštus, tokius kaip taršą, šiltnamio efektą sukeliančių dujų emisijas, išteklių išeikvojimą ir pan. Priešingu atveju, </w:t>
      </w:r>
      <w:r w:rsidRPr="00650EE4">
        <w:rPr>
          <w:rFonts w:ascii="Times New Roman" w:hAnsi="Times New Roman"/>
          <w:szCs w:val="22"/>
          <w:lang w:val="lt-LT"/>
        </w:rPr>
        <w:t>netvariai</w:t>
      </w:r>
      <w:r w:rsidR="00EC1530" w:rsidRPr="00650EE4">
        <w:rPr>
          <w:rFonts w:ascii="Times New Roman" w:hAnsi="Times New Roman"/>
          <w:szCs w:val="22"/>
          <w:lang w:val="lt-LT"/>
        </w:rPr>
        <w:t xml:space="preserve"> pigi energija veikia kaip socialinė, energetinį skurdą mažinanti priemonė specifiniam vartotojų segmentui, tačiau likusiai var</w:t>
      </w:r>
      <w:r w:rsidR="002C4FEC" w:rsidRPr="00650EE4">
        <w:rPr>
          <w:rFonts w:ascii="Times New Roman" w:hAnsi="Times New Roman"/>
          <w:szCs w:val="22"/>
          <w:lang w:val="lt-LT"/>
        </w:rPr>
        <w:t>t</w:t>
      </w:r>
      <w:r w:rsidR="00EC1530" w:rsidRPr="00650EE4">
        <w:rPr>
          <w:rFonts w:ascii="Times New Roman" w:hAnsi="Times New Roman"/>
          <w:szCs w:val="22"/>
          <w:lang w:val="lt-LT"/>
        </w:rPr>
        <w:t>otojų daliai neskatina nei racionalaus energijos vartojimo, nei energijos efektyvumo priemonių diegimo.</w:t>
      </w:r>
    </w:p>
    <w:p w14:paraId="0DAB2CF8" w14:textId="7944305B" w:rsidR="002C4FEC" w:rsidRPr="00650EE4" w:rsidRDefault="002C4FEC" w:rsidP="002C4FEC">
      <w:pPr>
        <w:pStyle w:val="BodyText"/>
        <w:spacing w:after="120"/>
        <w:jc w:val="both"/>
        <w:rPr>
          <w:rFonts w:ascii="Times New Roman" w:hAnsi="Times New Roman"/>
          <w:szCs w:val="22"/>
          <w:lang w:val="lt-LT"/>
        </w:rPr>
      </w:pPr>
      <w:r w:rsidRPr="00650EE4">
        <w:rPr>
          <w:rFonts w:ascii="Times New Roman" w:hAnsi="Times New Roman"/>
          <w:szCs w:val="22"/>
          <w:lang w:val="lt-LT"/>
        </w:rPr>
        <w:t>Paraleliai, formuojant paramos priemonių paketą ir komunikacijos strategiją svarbu akcentuoti visas renovacijos teikiamas naudas (ne</w:t>
      </w:r>
      <w:r w:rsidR="00F5610D" w:rsidRPr="00650EE4">
        <w:rPr>
          <w:rFonts w:ascii="Times New Roman" w:hAnsi="Times New Roman"/>
          <w:szCs w:val="22"/>
          <w:lang w:val="lt-LT"/>
        </w:rPr>
        <w:t xml:space="preserve"> </w:t>
      </w:r>
      <w:r w:rsidRPr="00650EE4">
        <w:rPr>
          <w:rFonts w:ascii="Times New Roman" w:hAnsi="Times New Roman"/>
          <w:szCs w:val="22"/>
          <w:lang w:val="lt-LT"/>
        </w:rPr>
        <w:t xml:space="preserve">tik finansines). </w:t>
      </w:r>
    </w:p>
    <w:p w14:paraId="18FE0EC1" w14:textId="77777777" w:rsidR="00EC1530" w:rsidRPr="00650EE4" w:rsidRDefault="00EC1530" w:rsidP="00EC1530">
      <w:pPr>
        <w:pStyle w:val="BodyText"/>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EC1530" w:rsidRPr="00650EE4" w14:paraId="79FC9ED5" w14:textId="77777777" w:rsidTr="004847E3">
        <w:trPr>
          <w:trHeight w:val="61"/>
        </w:trPr>
        <w:tc>
          <w:tcPr>
            <w:tcW w:w="3114" w:type="dxa"/>
          </w:tcPr>
          <w:p w14:paraId="6588D009" w14:textId="77777777" w:rsidR="00EC1530" w:rsidRPr="00650EE4" w:rsidRDefault="00EC1530" w:rsidP="004847E3">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492F506A" w14:textId="77777777" w:rsidR="00EC1530" w:rsidRPr="00650EE4" w:rsidRDefault="0062471B" w:rsidP="004847E3">
            <w:pPr>
              <w:spacing w:after="60"/>
              <w:rPr>
                <w:rFonts w:ascii="Times New Roman" w:hAnsi="Times New Roman"/>
                <w:szCs w:val="22"/>
                <w:lang w:eastAsia="lt-LT"/>
              </w:rPr>
            </w:pPr>
            <w:r w:rsidRPr="00650EE4">
              <w:rPr>
                <w:rFonts w:ascii="Times New Roman" w:hAnsi="Times New Roman"/>
                <w:szCs w:val="22"/>
                <w:lang w:eastAsia="lt-LT"/>
              </w:rPr>
              <w:t>P6. Pilna energijos kaina</w:t>
            </w:r>
          </w:p>
          <w:p w14:paraId="4CA1E5E0" w14:textId="2F532598" w:rsidR="008153AD" w:rsidRPr="00650EE4" w:rsidRDefault="008153AD" w:rsidP="004847E3">
            <w:pPr>
              <w:spacing w:after="60"/>
              <w:rPr>
                <w:rFonts w:ascii="Times New Roman" w:hAnsi="Times New Roman"/>
                <w:szCs w:val="22"/>
                <w:lang w:eastAsia="lt-LT"/>
              </w:rPr>
            </w:pPr>
            <w:r w:rsidRPr="00650EE4">
              <w:rPr>
                <w:rFonts w:ascii="Times New Roman" w:hAnsi="Times New Roman"/>
                <w:szCs w:val="22"/>
                <w:lang w:eastAsia="lt-LT"/>
              </w:rPr>
              <w:t>P7. Taršos mokesčiai</w:t>
            </w:r>
          </w:p>
        </w:tc>
      </w:tr>
      <w:tr w:rsidR="00EC1530" w:rsidRPr="00650EE4" w14:paraId="5AEE17B7" w14:textId="77777777" w:rsidTr="004847E3">
        <w:trPr>
          <w:trHeight w:val="61"/>
        </w:trPr>
        <w:tc>
          <w:tcPr>
            <w:tcW w:w="3114" w:type="dxa"/>
          </w:tcPr>
          <w:p w14:paraId="6B665720" w14:textId="77777777" w:rsidR="00EC1530" w:rsidRPr="00650EE4" w:rsidRDefault="00EC1530"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029494E" w14:textId="77777777" w:rsidR="00EC1530" w:rsidRPr="00650EE4" w:rsidRDefault="00EC1530"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EC1530" w:rsidRPr="00650EE4" w14:paraId="2EC166AC" w14:textId="77777777" w:rsidTr="004847E3">
        <w:trPr>
          <w:trHeight w:val="76"/>
        </w:trPr>
        <w:tc>
          <w:tcPr>
            <w:tcW w:w="3114" w:type="dxa"/>
          </w:tcPr>
          <w:p w14:paraId="7B10B446" w14:textId="77777777" w:rsidR="00EC1530" w:rsidRPr="00650EE4" w:rsidRDefault="00EC1530"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AE0D7BE" w14:textId="77777777" w:rsidR="00EC1530" w:rsidRPr="00650EE4" w:rsidRDefault="00EC1530"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05B67EBD" w14:textId="77777777" w:rsidR="00FD2CEC" w:rsidRPr="00650EE4" w:rsidRDefault="00FD2CEC" w:rsidP="009E5313">
      <w:pPr>
        <w:spacing w:after="120"/>
        <w:jc w:val="both"/>
        <w:rPr>
          <w:rFonts w:ascii="Times New Roman" w:hAnsi="Times New Roman"/>
          <w:b/>
          <w:bCs/>
          <w:szCs w:val="24"/>
        </w:rPr>
      </w:pPr>
    </w:p>
    <w:p w14:paraId="3445ECA7" w14:textId="583538CF" w:rsidR="00CC4932" w:rsidRPr="00650EE4" w:rsidRDefault="00A22441" w:rsidP="009E5313">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6</w:t>
      </w:r>
      <w:r w:rsidR="00831CC9" w:rsidRPr="00650EE4">
        <w:rPr>
          <w:rFonts w:ascii="Times New Roman" w:hAnsi="Times New Roman"/>
          <w:b/>
          <w:bCs/>
          <w:szCs w:val="24"/>
        </w:rPr>
        <w:t xml:space="preserve">. Brangstanti renovacija </w:t>
      </w:r>
    </w:p>
    <w:p w14:paraId="16325013" w14:textId="077F55EF" w:rsidR="002C4FEC" w:rsidRPr="00650EE4" w:rsidRDefault="002C4FEC" w:rsidP="00595E94">
      <w:pPr>
        <w:pStyle w:val="BodyText"/>
        <w:jc w:val="both"/>
        <w:rPr>
          <w:rFonts w:ascii="Times New Roman" w:hAnsi="Times New Roman"/>
          <w:szCs w:val="22"/>
          <w:lang w:val="lt-LT"/>
        </w:rPr>
      </w:pPr>
      <w:r w:rsidRPr="00650EE4">
        <w:rPr>
          <w:rFonts w:ascii="Times New Roman" w:hAnsi="Times New Roman"/>
          <w:szCs w:val="22"/>
          <w:lang w:val="lt-LT"/>
        </w:rPr>
        <w:t xml:space="preserve">Augančios statybos darbų kainos daro įtaką energijos efektyvumo projektų planavimui ir įgyvendinimui, kadangi </w:t>
      </w:r>
      <w:r w:rsidR="00692903" w:rsidRPr="00650EE4">
        <w:rPr>
          <w:rFonts w:ascii="Times New Roman" w:hAnsi="Times New Roman"/>
          <w:szCs w:val="22"/>
          <w:lang w:val="lt-LT"/>
        </w:rPr>
        <w:t>brangi</w:t>
      </w:r>
      <w:r w:rsidRPr="00650EE4">
        <w:rPr>
          <w:rFonts w:ascii="Times New Roman" w:hAnsi="Times New Roman"/>
          <w:szCs w:val="22"/>
          <w:lang w:val="lt-LT"/>
        </w:rPr>
        <w:t>na investicijas ir taip prailgina projektų atsiperkamumo laikotarpį. Remiantis Statistikos departamento duomenimis, pastatų remonto kainų indeksas 2010-2</w:t>
      </w:r>
      <w:r w:rsidR="00692903" w:rsidRPr="00650EE4">
        <w:rPr>
          <w:rFonts w:ascii="Times New Roman" w:hAnsi="Times New Roman"/>
          <w:szCs w:val="22"/>
          <w:lang w:val="lt-LT"/>
        </w:rPr>
        <w:t xml:space="preserve">019 m. laikotarpiu nuolat augo (vidutiniškai </w:t>
      </w:r>
      <w:r w:rsidRPr="00650EE4">
        <w:rPr>
          <w:rFonts w:ascii="Times New Roman" w:hAnsi="Times New Roman"/>
          <w:szCs w:val="22"/>
          <w:lang w:val="lt-LT"/>
        </w:rPr>
        <w:t xml:space="preserve">4 proc. </w:t>
      </w:r>
      <w:r w:rsidR="00781599" w:rsidRPr="00650EE4">
        <w:rPr>
          <w:rFonts w:ascii="Times New Roman" w:hAnsi="Times New Roman"/>
          <w:szCs w:val="22"/>
          <w:lang w:val="lt-LT"/>
        </w:rPr>
        <w:t>kasmet</w:t>
      </w:r>
      <w:r w:rsidR="00692903" w:rsidRPr="00650EE4">
        <w:rPr>
          <w:rFonts w:ascii="Times New Roman" w:hAnsi="Times New Roman"/>
          <w:szCs w:val="22"/>
          <w:lang w:val="lt-LT"/>
        </w:rPr>
        <w:t>)</w:t>
      </w:r>
      <w:r w:rsidRPr="00650EE4">
        <w:rPr>
          <w:rFonts w:ascii="Times New Roman" w:hAnsi="Times New Roman"/>
          <w:szCs w:val="22"/>
          <w:lang w:val="lt-LT"/>
        </w:rPr>
        <w:t>. Atsižvelgiant į dabartinį Lietuvos makroekonominį klimatą ir infliaciją, tikėtina, jog ši tendencija išsilaikys. Be to, nesuvaldytas darbo jėgo</w:t>
      </w:r>
      <w:r w:rsidR="00595E94" w:rsidRPr="00650EE4">
        <w:rPr>
          <w:rFonts w:ascii="Times New Roman" w:hAnsi="Times New Roman"/>
          <w:szCs w:val="22"/>
          <w:lang w:val="lt-LT"/>
        </w:rPr>
        <w:t>s</w:t>
      </w:r>
      <w:r w:rsidRPr="00650EE4">
        <w:rPr>
          <w:rFonts w:ascii="Times New Roman" w:hAnsi="Times New Roman"/>
          <w:szCs w:val="22"/>
          <w:lang w:val="lt-LT"/>
        </w:rPr>
        <w:t xml:space="preserve"> trūkumas (žr. B</w:t>
      </w:r>
      <w:r w:rsidR="00F50E0E" w:rsidRPr="00650EE4">
        <w:rPr>
          <w:rFonts w:ascii="Times New Roman" w:hAnsi="Times New Roman"/>
          <w:szCs w:val="22"/>
          <w:lang w:val="lt-LT"/>
        </w:rPr>
        <w:t>19</w:t>
      </w:r>
      <w:r w:rsidRPr="00650EE4">
        <w:rPr>
          <w:rFonts w:ascii="Times New Roman" w:hAnsi="Times New Roman"/>
          <w:szCs w:val="22"/>
          <w:lang w:val="lt-LT"/>
        </w:rPr>
        <w:t>) gali dar paspartin</w:t>
      </w:r>
      <w:r w:rsidR="00F30F2B" w:rsidRPr="00650EE4">
        <w:rPr>
          <w:rFonts w:ascii="Times New Roman" w:hAnsi="Times New Roman"/>
          <w:szCs w:val="22"/>
          <w:lang w:val="lt-LT"/>
        </w:rPr>
        <w:t xml:space="preserve">ti statybos darbų kainos augimą taip dar padidinant neigiamą šio barjero poveikį IRS įgyvendinimui.  </w:t>
      </w:r>
    </w:p>
    <w:p w14:paraId="5A8FD687" w14:textId="3B107842" w:rsidR="00692903" w:rsidRPr="00650EE4" w:rsidRDefault="00F30F2B" w:rsidP="00692903">
      <w:pPr>
        <w:pStyle w:val="BodyText"/>
        <w:spacing w:before="120"/>
        <w:jc w:val="both"/>
        <w:rPr>
          <w:rFonts w:ascii="Times New Roman" w:hAnsi="Times New Roman"/>
          <w:szCs w:val="22"/>
          <w:lang w:val="lt-LT"/>
        </w:rPr>
      </w:pPr>
      <w:r w:rsidRPr="00650EE4">
        <w:rPr>
          <w:rFonts w:ascii="Times New Roman" w:hAnsi="Times New Roman"/>
          <w:szCs w:val="22"/>
          <w:lang w:val="lt-LT"/>
        </w:rPr>
        <w:t>Šio barjero mažinimui paramos priemonių paketo formavimo etape rekomenduojama numatyti kompleksines priemones pvz. masto ekonomijos išnaudojimą (</w:t>
      </w:r>
      <w:r w:rsidR="00E0464B" w:rsidRPr="00650EE4">
        <w:rPr>
          <w:rFonts w:ascii="Times New Roman" w:hAnsi="Times New Roman"/>
          <w:szCs w:val="22"/>
          <w:lang w:val="lt-LT"/>
        </w:rPr>
        <w:t>pvz.</w:t>
      </w:r>
      <w:r w:rsidR="00F914E7" w:rsidRPr="00650EE4">
        <w:rPr>
          <w:rFonts w:ascii="Times New Roman" w:hAnsi="Times New Roman"/>
          <w:szCs w:val="22"/>
          <w:lang w:val="lt-LT"/>
        </w:rPr>
        <w:t>,</w:t>
      </w:r>
      <w:r w:rsidR="00E0464B" w:rsidRPr="00650EE4">
        <w:rPr>
          <w:rFonts w:ascii="Times New Roman" w:hAnsi="Times New Roman"/>
          <w:szCs w:val="22"/>
          <w:lang w:val="lt-LT"/>
        </w:rPr>
        <w:t xml:space="preserve"> </w:t>
      </w:r>
      <w:r w:rsidRPr="00650EE4">
        <w:rPr>
          <w:rFonts w:ascii="Times New Roman" w:hAnsi="Times New Roman"/>
          <w:szCs w:val="22"/>
          <w:lang w:val="lt-LT"/>
        </w:rPr>
        <w:t xml:space="preserve">projektų </w:t>
      </w:r>
      <w:r w:rsidR="006478CA">
        <w:rPr>
          <w:rFonts w:ascii="Times New Roman" w:hAnsi="Times New Roman"/>
          <w:szCs w:val="22"/>
          <w:lang w:val="lt-LT"/>
        </w:rPr>
        <w:t>sujungimą</w:t>
      </w:r>
      <w:r w:rsidR="006478CA" w:rsidRPr="00650EE4">
        <w:rPr>
          <w:rFonts w:ascii="Times New Roman" w:hAnsi="Times New Roman"/>
          <w:szCs w:val="22"/>
          <w:lang w:val="lt-LT"/>
        </w:rPr>
        <w:t xml:space="preserve"> </w:t>
      </w:r>
      <w:r w:rsidRPr="00650EE4">
        <w:rPr>
          <w:rFonts w:ascii="Times New Roman" w:hAnsi="Times New Roman"/>
          <w:szCs w:val="22"/>
          <w:lang w:val="lt-LT"/>
        </w:rPr>
        <w:t xml:space="preserve">kvartalų, rajonų ir pan. lygmeniu), </w:t>
      </w:r>
      <w:r w:rsidR="002F7091" w:rsidRPr="00650EE4">
        <w:rPr>
          <w:rFonts w:ascii="Times New Roman" w:hAnsi="Times New Roman"/>
          <w:szCs w:val="22"/>
          <w:lang w:val="lt-LT"/>
        </w:rPr>
        <w:t xml:space="preserve">renovacijos industrializaciją (dalies statybos darbų etapų perkėlimą iš statybos aikštelės į standartizuotą gamybą)  ir </w:t>
      </w:r>
      <w:proofErr w:type="spellStart"/>
      <w:r w:rsidR="00781599" w:rsidRPr="00650EE4">
        <w:rPr>
          <w:rFonts w:ascii="Times New Roman" w:hAnsi="Times New Roman"/>
          <w:szCs w:val="22"/>
          <w:lang w:val="lt-LT"/>
        </w:rPr>
        <w:t>inovatyvių</w:t>
      </w:r>
      <w:proofErr w:type="spellEnd"/>
      <w:r w:rsidR="00E0464B" w:rsidRPr="00650EE4">
        <w:rPr>
          <w:rFonts w:ascii="Times New Roman" w:hAnsi="Times New Roman"/>
          <w:szCs w:val="22"/>
          <w:lang w:val="lt-LT"/>
        </w:rPr>
        <w:t xml:space="preserve"> </w:t>
      </w:r>
      <w:r w:rsidR="002F7091" w:rsidRPr="00650EE4">
        <w:rPr>
          <w:rFonts w:ascii="Times New Roman" w:hAnsi="Times New Roman"/>
          <w:szCs w:val="22"/>
          <w:lang w:val="lt-LT"/>
        </w:rPr>
        <w:t xml:space="preserve">statybos technologijų skatinimą. </w:t>
      </w:r>
    </w:p>
    <w:p w14:paraId="0578349B" w14:textId="77777777" w:rsidR="002C4FEC" w:rsidRPr="00650EE4" w:rsidRDefault="002C4FEC" w:rsidP="002C4FEC">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4932" w:rsidRPr="00650EE4" w14:paraId="032B4957" w14:textId="77777777" w:rsidTr="004847E3">
        <w:trPr>
          <w:trHeight w:val="61"/>
        </w:trPr>
        <w:tc>
          <w:tcPr>
            <w:tcW w:w="3114" w:type="dxa"/>
          </w:tcPr>
          <w:p w14:paraId="7FBDB845"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19446F9" w14:textId="3B936153" w:rsidR="00460C1B" w:rsidRPr="00650EE4" w:rsidRDefault="00460C1B" w:rsidP="004847E3">
            <w:pPr>
              <w:spacing w:after="60"/>
              <w:rPr>
                <w:rFonts w:ascii="Times New Roman" w:hAnsi="Times New Roman"/>
                <w:szCs w:val="22"/>
                <w:lang w:eastAsia="lt-LT"/>
              </w:rPr>
            </w:pPr>
            <w:r w:rsidRPr="00650EE4">
              <w:rPr>
                <w:rFonts w:ascii="Times New Roman" w:hAnsi="Times New Roman"/>
                <w:szCs w:val="22"/>
                <w:lang w:eastAsia="lt-LT"/>
              </w:rPr>
              <w:t>P12. Renovacijos projektų agregavimas</w:t>
            </w:r>
          </w:p>
          <w:p w14:paraId="580DC902" w14:textId="2AC9FA4E" w:rsidR="00302476" w:rsidRPr="00650EE4" w:rsidRDefault="00302476" w:rsidP="004847E3">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3</w:t>
            </w:r>
            <w:r w:rsidRPr="00650EE4">
              <w:rPr>
                <w:rFonts w:ascii="Times New Roman" w:hAnsi="Times New Roman"/>
                <w:szCs w:val="22"/>
                <w:lang w:eastAsia="lt-LT"/>
              </w:rPr>
              <w:t>. Tvarumo ir inovacijų užtikrinimas</w:t>
            </w:r>
          </w:p>
          <w:p w14:paraId="105305B3" w14:textId="1E670442" w:rsidR="00302476" w:rsidRPr="00650EE4" w:rsidRDefault="00302476" w:rsidP="004847E3">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p w14:paraId="0E3ADC8A" w14:textId="26A09737" w:rsidR="00E0464B" w:rsidRPr="00650EE4" w:rsidRDefault="00302476" w:rsidP="004847E3">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8</w:t>
            </w:r>
            <w:r w:rsidRPr="00650EE4">
              <w:rPr>
                <w:rFonts w:ascii="Times New Roman" w:hAnsi="Times New Roman"/>
                <w:szCs w:val="22"/>
                <w:lang w:eastAsia="lt-LT"/>
              </w:rPr>
              <w:t>. Vieno langelio principo įgyvendinimas</w:t>
            </w:r>
          </w:p>
        </w:tc>
      </w:tr>
      <w:tr w:rsidR="00CC4932" w:rsidRPr="00650EE4" w14:paraId="463DDB18" w14:textId="77777777" w:rsidTr="004847E3">
        <w:trPr>
          <w:trHeight w:val="61"/>
        </w:trPr>
        <w:tc>
          <w:tcPr>
            <w:tcW w:w="3114" w:type="dxa"/>
          </w:tcPr>
          <w:p w14:paraId="2EA952B7"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0D71498" w14:textId="77777777" w:rsidR="00CC4932" w:rsidRPr="00650EE4" w:rsidRDefault="00CC4932"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4932" w:rsidRPr="00650EE4" w14:paraId="590DC1ED" w14:textId="77777777" w:rsidTr="004847E3">
        <w:trPr>
          <w:trHeight w:val="76"/>
        </w:trPr>
        <w:tc>
          <w:tcPr>
            <w:tcW w:w="3114" w:type="dxa"/>
          </w:tcPr>
          <w:p w14:paraId="4E0AF352"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5257532" w14:textId="77777777" w:rsidR="00CC4932" w:rsidRPr="00650EE4" w:rsidRDefault="00CC4932"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7FD574DD" w14:textId="77777777" w:rsidR="00CC4932" w:rsidRPr="00650EE4" w:rsidRDefault="00CC4932" w:rsidP="001F5F3C">
      <w:pPr>
        <w:pStyle w:val="BodyText"/>
        <w:spacing w:after="120"/>
        <w:rPr>
          <w:rFonts w:ascii="Times New Roman" w:hAnsi="Times New Roman"/>
          <w:lang w:val="lt-LT"/>
        </w:rPr>
      </w:pPr>
    </w:p>
    <w:p w14:paraId="63081801" w14:textId="51058EA2" w:rsidR="009E5313" w:rsidRPr="00650EE4" w:rsidRDefault="00A22441" w:rsidP="009E5313">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7</w:t>
      </w:r>
      <w:r w:rsidR="009E5313" w:rsidRPr="00650EE4">
        <w:rPr>
          <w:rFonts w:ascii="Times New Roman" w:hAnsi="Times New Roman"/>
          <w:b/>
          <w:bCs/>
          <w:szCs w:val="24"/>
        </w:rPr>
        <w:t xml:space="preserve">. Neišnaudotas visas renovacijos naudų potencialas </w:t>
      </w:r>
    </w:p>
    <w:p w14:paraId="7D25FF95" w14:textId="1EBF41A9" w:rsidR="004673FD" w:rsidRPr="00650EE4" w:rsidRDefault="004673FD" w:rsidP="007F560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Tinkamai įgyvendintos renovacijos teikiamos naudos yra daugialypės (ne tik sumažėjusios energijos išlaidos, bet ir būsto vertės padidėjimas, atnaujinta ne tik pastato bet ir miesto inžinerinė infrastruktūra, geresnė socialinė aplinka, pagerėjusi sveikata ir pan.). T</w:t>
      </w:r>
      <w:r w:rsidR="007F560E" w:rsidRPr="00650EE4">
        <w:rPr>
          <w:rFonts w:ascii="Times New Roman" w:hAnsi="Times New Roman"/>
          <w:color w:val="000000" w:themeColor="text1"/>
          <w:szCs w:val="22"/>
          <w:lang w:val="lt-LT"/>
        </w:rPr>
        <w:t xml:space="preserve">uo pat metu, </w:t>
      </w:r>
      <w:r w:rsidRPr="00650EE4">
        <w:rPr>
          <w:rFonts w:ascii="Times New Roman" w:hAnsi="Times New Roman"/>
          <w:color w:val="000000" w:themeColor="text1"/>
          <w:szCs w:val="22"/>
          <w:lang w:val="lt-LT"/>
        </w:rPr>
        <w:t xml:space="preserve">skirtingi pastatų fondo segmentai </w:t>
      </w:r>
      <w:r w:rsidR="007F560E" w:rsidRPr="00650EE4">
        <w:rPr>
          <w:rFonts w:ascii="Times New Roman" w:hAnsi="Times New Roman"/>
          <w:color w:val="000000" w:themeColor="text1"/>
          <w:szCs w:val="22"/>
          <w:lang w:val="lt-LT"/>
        </w:rPr>
        <w:t>turi skirtingus poreikius, reikalaujančius skirtingų priemonių padedančių tą naudą realizuoti pvz. individualių namų savininkams ypač aktuali galim</w:t>
      </w:r>
      <w:r w:rsidR="009B3FA5" w:rsidRPr="00650EE4">
        <w:rPr>
          <w:rFonts w:ascii="Times New Roman" w:hAnsi="Times New Roman"/>
          <w:color w:val="000000" w:themeColor="text1"/>
          <w:szCs w:val="22"/>
          <w:lang w:val="lt-LT"/>
        </w:rPr>
        <w:t>ybė taikyti renovacijos priemone</w:t>
      </w:r>
      <w:r w:rsidR="007F560E" w:rsidRPr="00650EE4">
        <w:rPr>
          <w:rFonts w:ascii="Times New Roman" w:hAnsi="Times New Roman"/>
          <w:color w:val="000000" w:themeColor="text1"/>
          <w:szCs w:val="22"/>
          <w:lang w:val="lt-LT"/>
        </w:rPr>
        <w:t xml:space="preserve">s lanksčiai, prisitaikant prie konkretaus pastato techninės būklės, daugiabučiams vis aktualesniais tampa kompleksiniai, plataus masto renovacijos sprendimai iš esmės keičiantys </w:t>
      </w:r>
      <w:r w:rsidR="007F560E" w:rsidRPr="00650EE4">
        <w:rPr>
          <w:rFonts w:ascii="Times New Roman" w:hAnsi="Times New Roman"/>
          <w:color w:val="000000" w:themeColor="text1"/>
          <w:szCs w:val="22"/>
          <w:lang w:val="lt-LT"/>
        </w:rPr>
        <w:lastRenderedPageBreak/>
        <w:t>kvartalo veidą ir gerinantys gyvenimo kokybę</w:t>
      </w:r>
      <w:r w:rsidR="009B3FA5" w:rsidRPr="00650EE4">
        <w:rPr>
          <w:rStyle w:val="FootnoteReference"/>
          <w:rFonts w:ascii="Times New Roman" w:hAnsi="Times New Roman"/>
          <w:color w:val="000000" w:themeColor="text1"/>
          <w:szCs w:val="22"/>
          <w:lang w:val="lt-LT"/>
        </w:rPr>
        <w:footnoteReference w:id="36"/>
      </w:r>
      <w:r w:rsidR="007F560E" w:rsidRPr="00650EE4">
        <w:rPr>
          <w:rFonts w:ascii="Times New Roman" w:hAnsi="Times New Roman"/>
          <w:color w:val="000000" w:themeColor="text1"/>
          <w:szCs w:val="22"/>
          <w:lang w:val="lt-LT"/>
        </w:rPr>
        <w:t xml:space="preserve">. </w:t>
      </w:r>
      <w:r w:rsidR="0070727B" w:rsidRPr="00650EE4">
        <w:rPr>
          <w:rFonts w:ascii="Times New Roman" w:hAnsi="Times New Roman"/>
          <w:color w:val="000000" w:themeColor="text1"/>
          <w:szCs w:val="22"/>
          <w:lang w:val="lt-LT"/>
        </w:rPr>
        <w:t>Taip pat, svarbu įvertinti, kad</w:t>
      </w:r>
      <w:r w:rsidR="00914174" w:rsidRPr="00650EE4">
        <w:rPr>
          <w:rFonts w:ascii="Times New Roman" w:hAnsi="Times New Roman"/>
          <w:color w:val="000000" w:themeColor="text1"/>
          <w:szCs w:val="22"/>
          <w:lang w:val="lt-LT"/>
        </w:rPr>
        <w:t xml:space="preserve"> </w:t>
      </w:r>
      <w:r w:rsidR="0070727B" w:rsidRPr="00650EE4">
        <w:rPr>
          <w:rFonts w:ascii="Times New Roman" w:hAnsi="Times New Roman"/>
          <w:color w:val="000000" w:themeColor="text1"/>
          <w:szCs w:val="22"/>
          <w:lang w:val="lt-LT"/>
        </w:rPr>
        <w:t>daliai</w:t>
      </w:r>
      <w:r w:rsidR="00914174" w:rsidRPr="00650EE4">
        <w:rPr>
          <w:rFonts w:ascii="Times New Roman" w:hAnsi="Times New Roman"/>
          <w:color w:val="000000" w:themeColor="text1"/>
          <w:szCs w:val="22"/>
          <w:lang w:val="lt-LT"/>
        </w:rPr>
        <w:t xml:space="preserve"> pastatų fondo segmentų (</w:t>
      </w:r>
      <w:r w:rsidR="007233D6" w:rsidRPr="00650EE4">
        <w:rPr>
          <w:rFonts w:ascii="Times New Roman" w:hAnsi="Times New Roman"/>
          <w:color w:val="000000" w:themeColor="text1"/>
          <w:szCs w:val="22"/>
          <w:lang w:val="lt-LT"/>
        </w:rPr>
        <w:t>ypač pastatams su daugiau nei vienu savininku</w:t>
      </w:r>
      <w:r w:rsidR="00914174" w:rsidRPr="00650EE4">
        <w:rPr>
          <w:rFonts w:ascii="Times New Roman" w:hAnsi="Times New Roman"/>
          <w:color w:val="000000" w:themeColor="text1"/>
          <w:szCs w:val="22"/>
          <w:lang w:val="lt-LT"/>
        </w:rPr>
        <w:t xml:space="preserve">) </w:t>
      </w:r>
      <w:r w:rsidR="009128D6" w:rsidRPr="00650EE4">
        <w:rPr>
          <w:rFonts w:ascii="Times New Roman" w:hAnsi="Times New Roman"/>
          <w:color w:val="000000" w:themeColor="text1"/>
          <w:szCs w:val="22"/>
          <w:lang w:val="lt-LT"/>
        </w:rPr>
        <w:t>sudėtinga efektyviai įgyvendinti renovacijos p</w:t>
      </w:r>
      <w:r w:rsidR="007233D6" w:rsidRPr="00650EE4">
        <w:rPr>
          <w:rFonts w:ascii="Times New Roman" w:hAnsi="Times New Roman"/>
          <w:color w:val="000000" w:themeColor="text1"/>
          <w:szCs w:val="22"/>
          <w:lang w:val="lt-LT"/>
        </w:rPr>
        <w:t>riemones laipsniškai, etapais</w:t>
      </w:r>
      <w:r w:rsidR="009128D6" w:rsidRPr="00650EE4">
        <w:rPr>
          <w:rFonts w:ascii="Times New Roman" w:hAnsi="Times New Roman"/>
          <w:color w:val="000000" w:themeColor="text1"/>
          <w:szCs w:val="22"/>
          <w:lang w:val="lt-LT"/>
        </w:rPr>
        <w:t xml:space="preserve"> „žingsnis po žingsnio“. </w:t>
      </w:r>
    </w:p>
    <w:p w14:paraId="702AD1DF" w14:textId="2985A168" w:rsidR="007233D6" w:rsidRPr="00650EE4" w:rsidRDefault="00914174" w:rsidP="00F849C3">
      <w:pPr>
        <w:pStyle w:val="BodyText"/>
        <w:spacing w:before="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Todėl</w:t>
      </w:r>
      <w:r w:rsidR="00353082">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siekiant IRS num</w:t>
      </w:r>
      <w:r w:rsidR="007233D6" w:rsidRPr="00650EE4">
        <w:rPr>
          <w:rFonts w:ascii="Times New Roman" w:hAnsi="Times New Roman"/>
          <w:color w:val="000000" w:themeColor="text1"/>
          <w:szCs w:val="22"/>
          <w:lang w:val="lt-LT"/>
        </w:rPr>
        <w:t xml:space="preserve">atyto renovacijos proveržio, formuojant paramos priemones </w:t>
      </w:r>
      <w:r w:rsidRPr="00650EE4">
        <w:rPr>
          <w:rFonts w:ascii="Times New Roman" w:hAnsi="Times New Roman"/>
          <w:color w:val="000000" w:themeColor="text1"/>
          <w:szCs w:val="22"/>
          <w:lang w:val="lt-LT"/>
        </w:rPr>
        <w:t>svarbu akcentuoti</w:t>
      </w:r>
      <w:r w:rsidR="007233D6" w:rsidRPr="00650EE4">
        <w:rPr>
          <w:rFonts w:ascii="Times New Roman" w:hAnsi="Times New Roman"/>
          <w:color w:val="000000" w:themeColor="text1"/>
          <w:szCs w:val="22"/>
          <w:lang w:val="lt-LT"/>
        </w:rPr>
        <w:t>:</w:t>
      </w:r>
    </w:p>
    <w:p w14:paraId="63B9BE62" w14:textId="0A39C8E0" w:rsidR="007233D6"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s</w:t>
      </w:r>
      <w:r w:rsidR="00914174" w:rsidRPr="00650EE4">
        <w:rPr>
          <w:rFonts w:ascii="Times New Roman" w:hAnsi="Times New Roman"/>
          <w:szCs w:val="22"/>
          <w:lang w:val="lt-LT"/>
        </w:rPr>
        <w:t>k</w:t>
      </w:r>
      <w:r>
        <w:rPr>
          <w:rFonts w:ascii="Times New Roman" w:hAnsi="Times New Roman"/>
          <w:szCs w:val="22"/>
          <w:lang w:val="lt-LT"/>
        </w:rPr>
        <w:t>irtingus vartotojų poreikius;</w:t>
      </w:r>
    </w:p>
    <w:p w14:paraId="2A46C2E4" w14:textId="65D9905B" w:rsidR="007233D6"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s</w:t>
      </w:r>
      <w:r w:rsidR="00914174" w:rsidRPr="00650EE4">
        <w:rPr>
          <w:rFonts w:ascii="Times New Roman" w:hAnsi="Times New Roman"/>
          <w:szCs w:val="22"/>
          <w:lang w:val="lt-LT"/>
        </w:rPr>
        <w:t>iekį</w:t>
      </w:r>
      <w:r w:rsidR="002B1BFC" w:rsidRPr="00650EE4">
        <w:rPr>
          <w:rFonts w:ascii="Times New Roman" w:hAnsi="Times New Roman"/>
          <w:szCs w:val="22"/>
          <w:lang w:val="lt-LT"/>
        </w:rPr>
        <w:t xml:space="preserve"> </w:t>
      </w:r>
      <w:r w:rsidR="00781599" w:rsidRPr="00650EE4">
        <w:rPr>
          <w:rFonts w:ascii="Times New Roman" w:hAnsi="Times New Roman"/>
          <w:szCs w:val="22"/>
          <w:lang w:val="lt-LT"/>
        </w:rPr>
        <w:t>maksimizuoti</w:t>
      </w:r>
      <w:r w:rsidR="007233D6" w:rsidRPr="00650EE4">
        <w:rPr>
          <w:rFonts w:ascii="Times New Roman" w:hAnsi="Times New Roman"/>
          <w:szCs w:val="22"/>
          <w:lang w:val="lt-LT"/>
        </w:rPr>
        <w:t xml:space="preserve"> renovacijos naudas (</w:t>
      </w:r>
      <w:r w:rsidR="00FB1BC1" w:rsidRPr="00650EE4">
        <w:rPr>
          <w:rFonts w:ascii="Times New Roman" w:hAnsi="Times New Roman"/>
          <w:szCs w:val="22"/>
          <w:lang w:val="lt-LT"/>
        </w:rPr>
        <w:t>tie</w:t>
      </w:r>
      <w:r w:rsidR="00ED6B6B" w:rsidRPr="00650EE4">
        <w:rPr>
          <w:rFonts w:ascii="Times New Roman" w:hAnsi="Times New Roman"/>
          <w:szCs w:val="22"/>
          <w:lang w:val="lt-LT"/>
        </w:rPr>
        <w:t xml:space="preserve">k </w:t>
      </w:r>
      <w:r w:rsidR="00FB1BC1" w:rsidRPr="00650EE4">
        <w:rPr>
          <w:rFonts w:ascii="Times New Roman" w:hAnsi="Times New Roman"/>
          <w:szCs w:val="22"/>
          <w:lang w:val="lt-LT"/>
        </w:rPr>
        <w:t xml:space="preserve">kiek racionalu </w:t>
      </w:r>
      <w:r w:rsidR="007233D6" w:rsidRPr="00650EE4">
        <w:rPr>
          <w:rFonts w:ascii="Times New Roman" w:hAnsi="Times New Roman"/>
          <w:szCs w:val="22"/>
          <w:lang w:val="lt-LT"/>
        </w:rPr>
        <w:t xml:space="preserve">skatinti kompleksinę, </w:t>
      </w:r>
      <w:r w:rsidR="004624BD" w:rsidRPr="00650EE4">
        <w:rPr>
          <w:rFonts w:ascii="Times New Roman" w:hAnsi="Times New Roman"/>
          <w:szCs w:val="22"/>
          <w:lang w:val="lt-LT"/>
        </w:rPr>
        <w:t>esminę</w:t>
      </w:r>
      <w:r w:rsidR="00F914E7" w:rsidRPr="00650EE4">
        <w:rPr>
          <w:rFonts w:ascii="Times New Roman" w:hAnsi="Times New Roman"/>
          <w:szCs w:val="22"/>
          <w:lang w:val="lt-LT"/>
        </w:rPr>
        <w:t xml:space="preserve"> renovaciją</w:t>
      </w:r>
      <w:r w:rsidR="007233D6" w:rsidRPr="00650EE4">
        <w:rPr>
          <w:rFonts w:ascii="Times New Roman" w:hAnsi="Times New Roman"/>
          <w:szCs w:val="22"/>
          <w:lang w:val="lt-LT"/>
        </w:rPr>
        <w:t>)</w:t>
      </w:r>
      <w:r>
        <w:rPr>
          <w:rFonts w:ascii="Times New Roman" w:hAnsi="Times New Roman"/>
          <w:szCs w:val="22"/>
          <w:lang w:val="lt-LT"/>
        </w:rPr>
        <w:t>;</w:t>
      </w:r>
    </w:p>
    <w:p w14:paraId="19522665" w14:textId="31177773" w:rsidR="007233D6"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s</w:t>
      </w:r>
      <w:r w:rsidR="007233D6" w:rsidRPr="00650EE4">
        <w:rPr>
          <w:rFonts w:ascii="Times New Roman" w:hAnsi="Times New Roman"/>
          <w:szCs w:val="22"/>
          <w:lang w:val="lt-LT"/>
        </w:rPr>
        <w:t xml:space="preserve">iekį įgyvendinti renovacijos priemones kuo labiau </w:t>
      </w:r>
      <w:r w:rsidR="002B1BFC" w:rsidRPr="00650EE4">
        <w:rPr>
          <w:rFonts w:ascii="Times New Roman" w:hAnsi="Times New Roman"/>
          <w:szCs w:val="22"/>
          <w:lang w:val="lt-LT"/>
        </w:rPr>
        <w:t>koncentruotai (</w:t>
      </w:r>
      <w:r w:rsidR="00E05FB1" w:rsidRPr="00650EE4">
        <w:rPr>
          <w:rFonts w:ascii="Times New Roman" w:hAnsi="Times New Roman"/>
          <w:szCs w:val="22"/>
          <w:lang w:val="lt-LT"/>
        </w:rPr>
        <w:t>etapais tik jei racionalu, neaukojant ilgalaikės perspektyvos vardan trumpalaikio efekto</w:t>
      </w:r>
      <w:r w:rsidR="002B1BFC" w:rsidRPr="00650EE4">
        <w:rPr>
          <w:rFonts w:ascii="Times New Roman" w:hAnsi="Times New Roman"/>
          <w:szCs w:val="22"/>
          <w:lang w:val="lt-LT"/>
        </w:rPr>
        <w:t>)</w:t>
      </w:r>
      <w:r>
        <w:rPr>
          <w:rFonts w:ascii="Times New Roman" w:hAnsi="Times New Roman"/>
          <w:szCs w:val="22"/>
          <w:lang w:val="lt-LT"/>
        </w:rPr>
        <w:t>;</w:t>
      </w:r>
      <w:r w:rsidR="00E05FB1" w:rsidRPr="00650EE4">
        <w:rPr>
          <w:rFonts w:ascii="Times New Roman" w:hAnsi="Times New Roman"/>
          <w:szCs w:val="22"/>
          <w:lang w:val="lt-LT"/>
        </w:rPr>
        <w:t xml:space="preserve"> </w:t>
      </w:r>
    </w:p>
    <w:p w14:paraId="423A5EA5" w14:textId="108C30B3" w:rsidR="00CC60FA"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a</w:t>
      </w:r>
      <w:r w:rsidR="00CC60FA" w:rsidRPr="00650EE4">
        <w:rPr>
          <w:rFonts w:ascii="Times New Roman" w:hAnsi="Times New Roman"/>
          <w:szCs w:val="22"/>
          <w:lang w:val="lt-LT"/>
        </w:rPr>
        <w:t>dministracinių barjerų mažinimą</w:t>
      </w:r>
      <w:r w:rsidR="00F87F26" w:rsidRPr="00650EE4">
        <w:rPr>
          <w:rFonts w:ascii="Times New Roman" w:hAnsi="Times New Roman"/>
          <w:szCs w:val="22"/>
          <w:lang w:val="lt-LT"/>
        </w:rPr>
        <w:t>, ypatingai</w:t>
      </w:r>
      <w:r w:rsidR="00CC60FA" w:rsidRPr="00650EE4">
        <w:rPr>
          <w:rFonts w:ascii="Times New Roman" w:hAnsi="Times New Roman"/>
          <w:szCs w:val="22"/>
          <w:lang w:val="lt-LT"/>
        </w:rPr>
        <w:t xml:space="preserve"> įgyvendinant kompleksines renovacijos priemones, pvz., vykdant </w:t>
      </w:r>
      <w:proofErr w:type="spellStart"/>
      <w:r w:rsidR="00CC60FA" w:rsidRPr="00650EE4">
        <w:rPr>
          <w:rFonts w:ascii="Times New Roman" w:hAnsi="Times New Roman"/>
          <w:szCs w:val="22"/>
          <w:lang w:val="lt-LT"/>
        </w:rPr>
        <w:t>kvartalinę</w:t>
      </w:r>
      <w:proofErr w:type="spellEnd"/>
      <w:r w:rsidR="00CC60FA" w:rsidRPr="00650EE4">
        <w:rPr>
          <w:rFonts w:ascii="Times New Roman" w:hAnsi="Times New Roman"/>
          <w:szCs w:val="22"/>
          <w:lang w:val="lt-LT"/>
        </w:rPr>
        <w:t xml:space="preserve"> renovaciją, kur renovacijos paramos priemonės papildomai turėtų būti suderintos ir su teritorijų tvarkymo ir plėtros priemonėmis.</w:t>
      </w:r>
    </w:p>
    <w:p w14:paraId="7DCE2FBF" w14:textId="22A807FB" w:rsidR="004673FD" w:rsidRPr="00650EE4" w:rsidRDefault="004673FD" w:rsidP="00E05FB1">
      <w:pPr>
        <w:pStyle w:val="BodyText"/>
        <w:spacing w:before="120"/>
        <w:jc w:val="both"/>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9E5313" w:rsidRPr="00650EE4" w14:paraId="6D758F10" w14:textId="77777777" w:rsidTr="009D11BA">
        <w:trPr>
          <w:trHeight w:val="61"/>
        </w:trPr>
        <w:tc>
          <w:tcPr>
            <w:tcW w:w="3114" w:type="dxa"/>
          </w:tcPr>
          <w:p w14:paraId="536CDDF2" w14:textId="77777777" w:rsidR="009E5313" w:rsidRPr="00650EE4" w:rsidRDefault="009E5313" w:rsidP="009D11B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5C378EA" w14:textId="0CAAFAFE" w:rsidR="00E16CF2" w:rsidRPr="00650EE4" w:rsidRDefault="00E16CF2" w:rsidP="009D11BA">
            <w:pPr>
              <w:spacing w:after="60"/>
              <w:rPr>
                <w:rFonts w:ascii="Times New Roman" w:hAnsi="Times New Roman"/>
                <w:szCs w:val="22"/>
                <w:lang w:eastAsia="lt-LT"/>
              </w:rPr>
            </w:pPr>
            <w:r w:rsidRPr="00650EE4">
              <w:rPr>
                <w:rFonts w:ascii="Times New Roman" w:hAnsi="Times New Roman"/>
                <w:szCs w:val="22"/>
                <w:lang w:eastAsia="lt-LT"/>
              </w:rPr>
              <w:t>P8. Esminė renovacija</w:t>
            </w:r>
          </w:p>
          <w:p w14:paraId="166B97DA" w14:textId="01D620D9" w:rsidR="00E16CF2" w:rsidRPr="00650EE4" w:rsidRDefault="00E16CF2" w:rsidP="009D11BA">
            <w:pPr>
              <w:spacing w:after="60"/>
              <w:rPr>
                <w:rFonts w:ascii="Times New Roman" w:hAnsi="Times New Roman"/>
                <w:szCs w:val="22"/>
                <w:lang w:eastAsia="lt-LT"/>
              </w:rPr>
            </w:pPr>
            <w:r w:rsidRPr="00650EE4">
              <w:rPr>
                <w:rFonts w:ascii="Times New Roman" w:hAnsi="Times New Roman"/>
                <w:szCs w:val="22"/>
                <w:lang w:eastAsia="lt-LT"/>
              </w:rPr>
              <w:t>P9. Racionali renovacija</w:t>
            </w:r>
          </w:p>
          <w:p w14:paraId="2DDDD642" w14:textId="3CE91B27" w:rsidR="007F560E" w:rsidRPr="00650EE4" w:rsidRDefault="009E5313" w:rsidP="009D11BA">
            <w:pPr>
              <w:spacing w:after="60"/>
              <w:rPr>
                <w:rFonts w:ascii="Times New Roman" w:hAnsi="Times New Roman"/>
                <w:szCs w:val="22"/>
                <w:lang w:eastAsia="lt-LT"/>
              </w:rPr>
            </w:pPr>
            <w:r w:rsidRPr="00650EE4">
              <w:rPr>
                <w:rFonts w:ascii="Times New Roman" w:hAnsi="Times New Roman"/>
                <w:szCs w:val="22"/>
                <w:lang w:eastAsia="lt-LT"/>
              </w:rPr>
              <w:t>P1</w:t>
            </w:r>
            <w:r w:rsidR="00E16CF2" w:rsidRPr="00650EE4">
              <w:rPr>
                <w:rFonts w:ascii="Times New Roman" w:hAnsi="Times New Roman"/>
                <w:szCs w:val="22"/>
                <w:lang w:eastAsia="lt-LT"/>
              </w:rPr>
              <w:t>0</w:t>
            </w:r>
            <w:r w:rsidRPr="00650EE4">
              <w:rPr>
                <w:rFonts w:ascii="Times New Roman" w:hAnsi="Times New Roman"/>
                <w:szCs w:val="22"/>
                <w:lang w:eastAsia="lt-LT"/>
              </w:rPr>
              <w:t xml:space="preserve">. </w:t>
            </w:r>
            <w:proofErr w:type="spellStart"/>
            <w:r w:rsidR="007F560E" w:rsidRPr="00650EE4">
              <w:rPr>
                <w:rFonts w:ascii="Times New Roman" w:hAnsi="Times New Roman"/>
                <w:szCs w:val="22"/>
                <w:lang w:eastAsia="lt-LT"/>
              </w:rPr>
              <w:t>Kvartalinė</w:t>
            </w:r>
            <w:proofErr w:type="spellEnd"/>
            <w:r w:rsidR="007F560E" w:rsidRPr="00650EE4">
              <w:rPr>
                <w:rFonts w:ascii="Times New Roman" w:hAnsi="Times New Roman"/>
                <w:szCs w:val="22"/>
                <w:lang w:eastAsia="lt-LT"/>
              </w:rPr>
              <w:t xml:space="preserve"> </w:t>
            </w:r>
            <w:r w:rsidR="00781599" w:rsidRPr="00650EE4">
              <w:rPr>
                <w:rFonts w:ascii="Times New Roman" w:hAnsi="Times New Roman"/>
                <w:szCs w:val="22"/>
                <w:lang w:eastAsia="lt-LT"/>
              </w:rPr>
              <w:t>renovacija</w:t>
            </w:r>
          </w:p>
          <w:p w14:paraId="7713D80D" w14:textId="77777777" w:rsidR="009E5313" w:rsidRPr="00650EE4" w:rsidRDefault="00E16CF2" w:rsidP="009D11BA">
            <w:pPr>
              <w:spacing w:after="60"/>
              <w:rPr>
                <w:rFonts w:ascii="Times New Roman" w:hAnsi="Times New Roman"/>
                <w:szCs w:val="22"/>
                <w:lang w:eastAsia="lt-LT"/>
              </w:rPr>
            </w:pPr>
            <w:r w:rsidRPr="00650EE4">
              <w:rPr>
                <w:rFonts w:ascii="Times New Roman" w:hAnsi="Times New Roman"/>
                <w:szCs w:val="22"/>
                <w:lang w:eastAsia="lt-LT"/>
              </w:rPr>
              <w:t>P11. Dalinė renovacija</w:t>
            </w:r>
          </w:p>
          <w:p w14:paraId="5CE2376F" w14:textId="3E2C9E2C" w:rsidR="00523DB9" w:rsidRPr="00650EE4" w:rsidRDefault="00523DB9" w:rsidP="009D11BA">
            <w:pPr>
              <w:spacing w:after="60"/>
              <w:rPr>
                <w:rFonts w:ascii="Times New Roman" w:hAnsi="Times New Roman"/>
                <w:szCs w:val="22"/>
                <w:lang w:eastAsia="lt-LT"/>
              </w:rPr>
            </w:pPr>
            <w:r w:rsidRPr="00650EE4">
              <w:rPr>
                <w:rFonts w:ascii="Times New Roman" w:hAnsi="Times New Roman"/>
                <w:szCs w:val="22"/>
                <w:lang w:eastAsia="lt-LT"/>
              </w:rPr>
              <w:t>P12. Renovacijos projektų agregavimas</w:t>
            </w:r>
          </w:p>
        </w:tc>
      </w:tr>
      <w:tr w:rsidR="009E5313" w:rsidRPr="00650EE4" w14:paraId="0A4A2FFA" w14:textId="77777777" w:rsidTr="009D11BA">
        <w:trPr>
          <w:trHeight w:val="61"/>
        </w:trPr>
        <w:tc>
          <w:tcPr>
            <w:tcW w:w="3114" w:type="dxa"/>
          </w:tcPr>
          <w:p w14:paraId="51FE4EAD" w14:textId="51B6D663" w:rsidR="009E5313" w:rsidRPr="00650EE4" w:rsidRDefault="009E5313" w:rsidP="009D11B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41D120D" w14:textId="77777777" w:rsidR="009E5313" w:rsidRPr="00650EE4" w:rsidRDefault="009E5313" w:rsidP="009D11BA">
            <w:pPr>
              <w:spacing w:after="60"/>
              <w:rPr>
                <w:rFonts w:ascii="Times New Roman" w:hAnsi="Times New Roman"/>
                <w:szCs w:val="22"/>
                <w:lang w:eastAsia="lt-LT"/>
              </w:rPr>
            </w:pPr>
            <w:r w:rsidRPr="00650EE4">
              <w:rPr>
                <w:rFonts w:ascii="Times New Roman" w:hAnsi="Times New Roman"/>
                <w:szCs w:val="22"/>
                <w:lang w:eastAsia="lt-LT"/>
              </w:rPr>
              <w:t>Aukštas</w:t>
            </w:r>
          </w:p>
        </w:tc>
      </w:tr>
      <w:tr w:rsidR="009E5313" w:rsidRPr="00650EE4" w14:paraId="136C13FE" w14:textId="77777777" w:rsidTr="009D11BA">
        <w:trPr>
          <w:trHeight w:val="76"/>
        </w:trPr>
        <w:tc>
          <w:tcPr>
            <w:tcW w:w="3114" w:type="dxa"/>
          </w:tcPr>
          <w:p w14:paraId="5B1F4696" w14:textId="77777777" w:rsidR="009E5313" w:rsidRPr="00650EE4" w:rsidRDefault="009E5313" w:rsidP="009D11B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9E3CE3E" w14:textId="77777777" w:rsidR="009E5313" w:rsidRPr="00650EE4" w:rsidRDefault="009E5313" w:rsidP="009D11BA">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4F1D25BB" w14:textId="77777777" w:rsidR="009D11BA" w:rsidRPr="00650EE4" w:rsidRDefault="009D11BA" w:rsidP="009D11BA">
      <w:pPr>
        <w:pStyle w:val="BodyText"/>
        <w:rPr>
          <w:rFonts w:ascii="Times New Roman" w:hAnsi="Times New Roman"/>
          <w:lang w:val="lt-LT"/>
        </w:rPr>
      </w:pPr>
    </w:p>
    <w:p w14:paraId="2C3D66CE" w14:textId="3B128CF2" w:rsidR="009D11BA" w:rsidRPr="00650EE4" w:rsidRDefault="00C76AEE" w:rsidP="009D11BA">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8</w:t>
      </w:r>
      <w:r w:rsidR="009D11BA" w:rsidRPr="00650EE4">
        <w:rPr>
          <w:rFonts w:ascii="Times New Roman" w:hAnsi="Times New Roman"/>
          <w:b/>
          <w:bCs/>
          <w:szCs w:val="24"/>
        </w:rPr>
        <w:t xml:space="preserve">. Neužtikrintas </w:t>
      </w:r>
      <w:r w:rsidR="00621FDF" w:rsidRPr="00650EE4">
        <w:rPr>
          <w:rFonts w:ascii="Times New Roman" w:hAnsi="Times New Roman"/>
          <w:b/>
          <w:bCs/>
          <w:szCs w:val="24"/>
        </w:rPr>
        <w:t>transformacijos</w:t>
      </w:r>
      <w:r w:rsidR="009D11BA" w:rsidRPr="00650EE4">
        <w:rPr>
          <w:rFonts w:ascii="Times New Roman" w:hAnsi="Times New Roman"/>
          <w:b/>
          <w:bCs/>
          <w:szCs w:val="24"/>
        </w:rPr>
        <w:t xml:space="preserve"> </w:t>
      </w:r>
      <w:r w:rsidR="00616ADD" w:rsidRPr="00650EE4">
        <w:rPr>
          <w:rFonts w:ascii="Times New Roman" w:hAnsi="Times New Roman"/>
          <w:b/>
          <w:bCs/>
          <w:szCs w:val="24"/>
        </w:rPr>
        <w:t>tvarumas</w:t>
      </w:r>
    </w:p>
    <w:p w14:paraId="48766968" w14:textId="068DECEC" w:rsidR="00751BAA" w:rsidRPr="00650EE4" w:rsidRDefault="002F7091" w:rsidP="00751BAA">
      <w:pPr>
        <w:pStyle w:val="BodyText"/>
        <w:jc w:val="both"/>
        <w:rPr>
          <w:rFonts w:ascii="Times New Roman" w:hAnsi="Times New Roman"/>
          <w:szCs w:val="22"/>
          <w:lang w:val="lt-LT"/>
        </w:rPr>
      </w:pPr>
      <w:r w:rsidRPr="00650EE4">
        <w:rPr>
          <w:rFonts w:ascii="Times New Roman" w:hAnsi="Times New Roman"/>
          <w:color w:val="000000" w:themeColor="text1"/>
          <w:szCs w:val="22"/>
          <w:lang w:val="lt-LT"/>
        </w:rPr>
        <w:t xml:space="preserve">Europos „Žaliasis </w:t>
      </w:r>
      <w:r w:rsidR="009D11BA" w:rsidRPr="00650EE4">
        <w:rPr>
          <w:rFonts w:ascii="Times New Roman" w:hAnsi="Times New Roman"/>
          <w:color w:val="000000" w:themeColor="text1"/>
          <w:szCs w:val="22"/>
          <w:lang w:val="lt-LT"/>
        </w:rPr>
        <w:t>kursas</w:t>
      </w:r>
      <w:r w:rsidRPr="00650EE4">
        <w:rPr>
          <w:rFonts w:ascii="Times New Roman" w:hAnsi="Times New Roman"/>
          <w:color w:val="000000" w:themeColor="text1"/>
          <w:szCs w:val="22"/>
          <w:lang w:val="lt-LT"/>
        </w:rPr>
        <w:t>“ įpareigoja siekti ne tik efektyvio</w:t>
      </w:r>
      <w:r w:rsidR="00ED6B6B" w:rsidRPr="00650EE4">
        <w:rPr>
          <w:rFonts w:ascii="Times New Roman" w:hAnsi="Times New Roman"/>
          <w:color w:val="000000" w:themeColor="text1"/>
          <w:szCs w:val="22"/>
          <w:lang w:val="lt-LT"/>
        </w:rPr>
        <w:t xml:space="preserve">s, </w:t>
      </w:r>
      <w:r w:rsidR="009D11BA" w:rsidRPr="00650EE4">
        <w:rPr>
          <w:rFonts w:ascii="Times New Roman" w:hAnsi="Times New Roman"/>
          <w:color w:val="000000" w:themeColor="text1"/>
          <w:szCs w:val="22"/>
          <w:lang w:val="lt-LT"/>
        </w:rPr>
        <w:t>bet ir tvarios renovacijos</w:t>
      </w:r>
      <w:r w:rsidRPr="00650EE4">
        <w:rPr>
          <w:rFonts w:ascii="Times New Roman" w:hAnsi="Times New Roman"/>
          <w:color w:val="000000" w:themeColor="text1"/>
          <w:szCs w:val="22"/>
          <w:lang w:val="lt-LT"/>
        </w:rPr>
        <w:t xml:space="preserve"> (žr. </w:t>
      </w:r>
      <w:r w:rsidR="006478CA">
        <w:rPr>
          <w:rFonts w:ascii="Times New Roman" w:hAnsi="Times New Roman"/>
          <w:color w:val="000000" w:themeColor="text1"/>
          <w:szCs w:val="22"/>
        </w:rPr>
        <w:t>5</w:t>
      </w:r>
      <w:r w:rsidRPr="00650EE4">
        <w:rPr>
          <w:rFonts w:ascii="Times New Roman" w:hAnsi="Times New Roman"/>
          <w:color w:val="000000" w:themeColor="text1"/>
          <w:szCs w:val="22"/>
          <w:lang w:val="lt-LT"/>
        </w:rPr>
        <w:t>.1 skyrių)</w:t>
      </w:r>
      <w:r w:rsidR="009D11BA"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Tvari renovacija suprantama kaip </w:t>
      </w:r>
      <w:r w:rsidR="00751BAA" w:rsidRPr="00650EE4">
        <w:rPr>
          <w:rFonts w:ascii="Times New Roman" w:hAnsi="Times New Roman"/>
          <w:color w:val="000000" w:themeColor="text1"/>
          <w:szCs w:val="22"/>
          <w:lang w:val="lt-LT"/>
        </w:rPr>
        <w:t>esminius žiedinės ekonomikos principus</w:t>
      </w:r>
      <w:r w:rsidR="00751BAA" w:rsidRPr="00650EE4">
        <w:rPr>
          <w:rFonts w:ascii="Times New Roman" w:hAnsi="Times New Roman"/>
          <w:szCs w:val="22"/>
          <w:lang w:val="lt-LT"/>
        </w:rPr>
        <w:t xml:space="preserve"> </w:t>
      </w:r>
      <w:r w:rsidR="00751BAA" w:rsidRPr="00650EE4">
        <w:rPr>
          <w:rFonts w:ascii="Times New Roman" w:hAnsi="Times New Roman"/>
          <w:color w:val="000000" w:themeColor="text1"/>
          <w:szCs w:val="22"/>
          <w:lang w:val="lt-LT"/>
        </w:rPr>
        <w:t>atitinkanti transformacija, skatinanti renovacijai reikalingų r</w:t>
      </w:r>
      <w:r w:rsidR="00751BAA" w:rsidRPr="00650EE4">
        <w:rPr>
          <w:rFonts w:ascii="Times New Roman" w:hAnsi="Times New Roman"/>
          <w:szCs w:val="22"/>
          <w:lang w:val="lt-LT"/>
        </w:rPr>
        <w:t xml:space="preserve">esursų panaudojimo mažinimą, jų pakartotinį naudojimą ir perdirbimą. </w:t>
      </w:r>
    </w:p>
    <w:p w14:paraId="4425BAA7" w14:textId="77777777" w:rsidR="002F7091" w:rsidRPr="00650EE4" w:rsidRDefault="002F7091" w:rsidP="009D11BA">
      <w:pPr>
        <w:pStyle w:val="BodyText"/>
        <w:jc w:val="both"/>
        <w:rPr>
          <w:rFonts w:ascii="Times New Roman" w:hAnsi="Times New Roman"/>
          <w:color w:val="000000" w:themeColor="text1"/>
          <w:szCs w:val="22"/>
          <w:lang w:val="lt-LT"/>
        </w:rPr>
      </w:pPr>
    </w:p>
    <w:p w14:paraId="4A9DA794" w14:textId="21AF6047" w:rsidR="009D11BA" w:rsidRPr="00650EE4" w:rsidRDefault="006478CA" w:rsidP="009D11BA">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F26210" w:rsidRPr="00650EE4">
        <w:rPr>
          <w:rFonts w:ascii="Times New Roman" w:hAnsi="Times New Roman"/>
          <w:color w:val="000000" w:themeColor="text1"/>
          <w:szCs w:val="22"/>
          <w:lang w:val="lt-LT"/>
        </w:rPr>
        <w:t>iekiant tvarios pastatų fondo t</w:t>
      </w:r>
      <w:r w:rsidR="00602BCB" w:rsidRPr="00650EE4">
        <w:rPr>
          <w:rFonts w:ascii="Times New Roman" w:hAnsi="Times New Roman"/>
          <w:color w:val="000000" w:themeColor="text1"/>
          <w:szCs w:val="22"/>
          <w:lang w:val="lt-LT"/>
        </w:rPr>
        <w:t>ransformacijos,</w:t>
      </w:r>
      <w:r w:rsidR="00F26210" w:rsidRPr="00650EE4">
        <w:rPr>
          <w:rFonts w:ascii="Times New Roman" w:hAnsi="Times New Roman"/>
          <w:color w:val="000000" w:themeColor="text1"/>
          <w:szCs w:val="22"/>
          <w:lang w:val="lt-LT"/>
        </w:rPr>
        <w:t xml:space="preserve"> formuojant</w:t>
      </w:r>
      <w:r w:rsidR="004C18C9" w:rsidRPr="00650EE4">
        <w:rPr>
          <w:rFonts w:ascii="Times New Roman" w:hAnsi="Times New Roman"/>
          <w:color w:val="000000" w:themeColor="text1"/>
          <w:szCs w:val="22"/>
          <w:lang w:val="lt-LT"/>
        </w:rPr>
        <w:t xml:space="preserve"> paramos priemones</w:t>
      </w:r>
      <w:r w:rsidR="00602BCB" w:rsidRPr="00650EE4">
        <w:rPr>
          <w:rFonts w:ascii="Times New Roman" w:hAnsi="Times New Roman"/>
          <w:color w:val="000000" w:themeColor="text1"/>
          <w:szCs w:val="22"/>
          <w:lang w:val="lt-LT"/>
        </w:rPr>
        <w:t xml:space="preserve"> tikslinga</w:t>
      </w:r>
      <w:r w:rsidR="00F26210" w:rsidRPr="00650EE4">
        <w:rPr>
          <w:rFonts w:ascii="Times New Roman" w:hAnsi="Times New Roman"/>
          <w:color w:val="000000" w:themeColor="text1"/>
          <w:szCs w:val="22"/>
          <w:lang w:val="lt-LT"/>
        </w:rPr>
        <w:t xml:space="preserve"> įdiegti konkrečius</w:t>
      </w:r>
      <w:r w:rsidR="004C18C9" w:rsidRPr="00650EE4">
        <w:rPr>
          <w:rFonts w:ascii="Times New Roman" w:hAnsi="Times New Roman"/>
          <w:color w:val="000000" w:themeColor="text1"/>
          <w:szCs w:val="22"/>
          <w:lang w:val="lt-LT"/>
        </w:rPr>
        <w:t xml:space="preserve"> </w:t>
      </w:r>
      <w:r w:rsidR="00602BCB" w:rsidRPr="00650EE4">
        <w:rPr>
          <w:rFonts w:ascii="Times New Roman" w:hAnsi="Times New Roman"/>
          <w:color w:val="000000" w:themeColor="text1"/>
          <w:szCs w:val="22"/>
          <w:lang w:val="lt-LT"/>
        </w:rPr>
        <w:t>sprendimus</w:t>
      </w:r>
      <w:r w:rsidR="00F26210" w:rsidRPr="00650EE4">
        <w:rPr>
          <w:rFonts w:ascii="Times New Roman" w:hAnsi="Times New Roman"/>
          <w:color w:val="000000" w:themeColor="text1"/>
          <w:szCs w:val="22"/>
          <w:lang w:val="lt-LT"/>
        </w:rPr>
        <w:t xml:space="preserve">, skatinančių </w:t>
      </w:r>
      <w:r w:rsidR="004C18C9" w:rsidRPr="00650EE4">
        <w:rPr>
          <w:rFonts w:ascii="Times New Roman" w:hAnsi="Times New Roman"/>
          <w:color w:val="000000" w:themeColor="text1"/>
          <w:szCs w:val="22"/>
          <w:lang w:val="lt-LT"/>
        </w:rPr>
        <w:t>tvari</w:t>
      </w:r>
      <w:r w:rsidR="00F26210" w:rsidRPr="00650EE4">
        <w:rPr>
          <w:rFonts w:ascii="Times New Roman" w:hAnsi="Times New Roman"/>
          <w:color w:val="000000" w:themeColor="text1"/>
          <w:szCs w:val="22"/>
          <w:lang w:val="lt-LT"/>
        </w:rPr>
        <w:t>os</w:t>
      </w:r>
      <w:r w:rsidR="004C18C9" w:rsidRPr="00650EE4">
        <w:rPr>
          <w:rFonts w:ascii="Times New Roman" w:hAnsi="Times New Roman"/>
          <w:color w:val="000000" w:themeColor="text1"/>
          <w:szCs w:val="22"/>
          <w:lang w:val="lt-LT"/>
        </w:rPr>
        <w:t xml:space="preserve"> ren</w:t>
      </w:r>
      <w:r w:rsidR="00F26210" w:rsidRPr="00650EE4">
        <w:rPr>
          <w:rFonts w:ascii="Times New Roman" w:hAnsi="Times New Roman"/>
          <w:color w:val="000000" w:themeColor="text1"/>
          <w:szCs w:val="22"/>
          <w:lang w:val="lt-LT"/>
        </w:rPr>
        <w:t xml:space="preserve">ovacijos įgyvendinimą. Be to, tikėtina, kad </w:t>
      </w:r>
      <w:r w:rsidR="004C18C9" w:rsidRPr="00650EE4">
        <w:rPr>
          <w:rFonts w:ascii="Times New Roman" w:hAnsi="Times New Roman"/>
          <w:color w:val="000000" w:themeColor="text1"/>
          <w:szCs w:val="22"/>
          <w:lang w:val="lt-LT"/>
        </w:rPr>
        <w:t>tiek statybų tiek projektavimo rink</w:t>
      </w:r>
      <w:r w:rsidR="006D43F0" w:rsidRPr="00650EE4">
        <w:rPr>
          <w:rFonts w:ascii="Times New Roman" w:hAnsi="Times New Roman"/>
          <w:color w:val="000000" w:themeColor="text1"/>
          <w:szCs w:val="22"/>
          <w:lang w:val="lt-LT"/>
        </w:rPr>
        <w:t>os</w:t>
      </w:r>
      <w:r w:rsidR="004C18C9" w:rsidRPr="00650EE4">
        <w:rPr>
          <w:rFonts w:ascii="Times New Roman" w:hAnsi="Times New Roman"/>
          <w:color w:val="000000" w:themeColor="text1"/>
          <w:szCs w:val="22"/>
          <w:lang w:val="lt-LT"/>
        </w:rPr>
        <w:t xml:space="preserve"> dalyviams reikalingas </w:t>
      </w:r>
      <w:r w:rsidR="00F26210" w:rsidRPr="00650EE4">
        <w:rPr>
          <w:rFonts w:ascii="Times New Roman" w:hAnsi="Times New Roman"/>
          <w:color w:val="000000" w:themeColor="text1"/>
          <w:szCs w:val="22"/>
          <w:lang w:val="lt-LT"/>
        </w:rPr>
        <w:t>adaptacijos prie naujų reik</w:t>
      </w:r>
      <w:r w:rsidR="006D43F0" w:rsidRPr="00650EE4">
        <w:rPr>
          <w:rFonts w:ascii="Times New Roman" w:hAnsi="Times New Roman"/>
          <w:color w:val="000000" w:themeColor="text1"/>
          <w:szCs w:val="22"/>
          <w:lang w:val="lt-LT"/>
        </w:rPr>
        <w:t>a</w:t>
      </w:r>
      <w:r w:rsidR="00F26210" w:rsidRPr="00650EE4">
        <w:rPr>
          <w:rFonts w:ascii="Times New Roman" w:hAnsi="Times New Roman"/>
          <w:color w:val="000000" w:themeColor="text1"/>
          <w:szCs w:val="22"/>
          <w:lang w:val="lt-LT"/>
        </w:rPr>
        <w:t xml:space="preserve">lavimų laikotarpis. </w:t>
      </w:r>
    </w:p>
    <w:p w14:paraId="125A40D6" w14:textId="77777777" w:rsidR="009D11BA" w:rsidRPr="00650EE4" w:rsidRDefault="009D11BA" w:rsidP="009D11BA">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9D11BA" w:rsidRPr="00650EE4" w14:paraId="01732921" w14:textId="77777777" w:rsidTr="009D11BA">
        <w:trPr>
          <w:trHeight w:val="61"/>
        </w:trPr>
        <w:tc>
          <w:tcPr>
            <w:tcW w:w="3114" w:type="dxa"/>
          </w:tcPr>
          <w:p w14:paraId="2B75FACE" w14:textId="77777777" w:rsidR="009D11BA" w:rsidRPr="00650EE4" w:rsidRDefault="009D11BA" w:rsidP="009D11B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06478983" w14:textId="012CCAF4" w:rsidR="009D11BA" w:rsidRPr="00650EE4" w:rsidRDefault="009D11BA" w:rsidP="00616ADD">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3</w:t>
            </w:r>
            <w:r w:rsidR="00616ADD" w:rsidRPr="00650EE4">
              <w:rPr>
                <w:rFonts w:ascii="Times New Roman" w:hAnsi="Times New Roman"/>
                <w:szCs w:val="22"/>
                <w:lang w:eastAsia="lt-LT"/>
              </w:rPr>
              <w:t xml:space="preserve">. </w:t>
            </w:r>
            <w:r w:rsidR="00077E8A" w:rsidRPr="00650EE4">
              <w:rPr>
                <w:rFonts w:ascii="Times New Roman" w:hAnsi="Times New Roman"/>
                <w:szCs w:val="22"/>
                <w:lang w:eastAsia="lt-LT"/>
              </w:rPr>
              <w:t>Tvarumo ir inovacijų užtikrinimas</w:t>
            </w:r>
          </w:p>
        </w:tc>
      </w:tr>
      <w:tr w:rsidR="009D11BA" w:rsidRPr="00650EE4" w14:paraId="28B80A27" w14:textId="77777777" w:rsidTr="009D11BA">
        <w:trPr>
          <w:trHeight w:val="61"/>
        </w:trPr>
        <w:tc>
          <w:tcPr>
            <w:tcW w:w="3114" w:type="dxa"/>
          </w:tcPr>
          <w:p w14:paraId="39FD95DB" w14:textId="77777777" w:rsidR="009D11BA" w:rsidRPr="00650EE4" w:rsidRDefault="009D11BA" w:rsidP="009D11B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06AB53F" w14:textId="77777777" w:rsidR="009D11BA" w:rsidRPr="00650EE4" w:rsidRDefault="009D11BA" w:rsidP="009D11BA">
            <w:pPr>
              <w:spacing w:after="60"/>
              <w:rPr>
                <w:rFonts w:ascii="Times New Roman" w:hAnsi="Times New Roman"/>
                <w:szCs w:val="22"/>
                <w:lang w:eastAsia="lt-LT"/>
              </w:rPr>
            </w:pPr>
            <w:r w:rsidRPr="00650EE4">
              <w:rPr>
                <w:rFonts w:ascii="Times New Roman" w:hAnsi="Times New Roman"/>
                <w:szCs w:val="22"/>
                <w:lang w:eastAsia="lt-LT"/>
              </w:rPr>
              <w:t>Aukštas</w:t>
            </w:r>
          </w:p>
        </w:tc>
      </w:tr>
      <w:tr w:rsidR="009D11BA" w:rsidRPr="00650EE4" w14:paraId="07FA31FB" w14:textId="77777777" w:rsidTr="009D11BA">
        <w:trPr>
          <w:trHeight w:val="76"/>
        </w:trPr>
        <w:tc>
          <w:tcPr>
            <w:tcW w:w="3114" w:type="dxa"/>
          </w:tcPr>
          <w:p w14:paraId="376A52F5" w14:textId="77777777" w:rsidR="009D11BA" w:rsidRPr="00650EE4" w:rsidRDefault="009D11BA" w:rsidP="009D11B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4FD6437" w14:textId="77777777" w:rsidR="009D11BA" w:rsidRPr="00650EE4" w:rsidRDefault="009D11BA" w:rsidP="009D11BA">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791016DE" w14:textId="77777777" w:rsidR="00F849C3" w:rsidRPr="00650EE4" w:rsidRDefault="00F849C3" w:rsidP="00F849C3">
      <w:pPr>
        <w:spacing w:after="120"/>
        <w:jc w:val="both"/>
        <w:rPr>
          <w:rFonts w:ascii="Times New Roman" w:hAnsi="Times New Roman"/>
          <w:b/>
          <w:bCs/>
          <w:szCs w:val="24"/>
        </w:rPr>
      </w:pPr>
    </w:p>
    <w:p w14:paraId="59325CB9" w14:textId="4559F599" w:rsidR="004E75C3" w:rsidRPr="00650EE4" w:rsidRDefault="00D06452" w:rsidP="004E75C3">
      <w:pPr>
        <w:pStyle w:val="Antrastes31"/>
        <w:numPr>
          <w:ilvl w:val="2"/>
          <w:numId w:val="4"/>
        </w:numPr>
        <w:spacing w:before="0"/>
        <w:ind w:left="720" w:hanging="720"/>
        <w:rPr>
          <w:rFonts w:ascii="Times New Roman" w:hAnsi="Times New Roman"/>
          <w:color w:val="000000" w:themeColor="text1"/>
          <w:sz w:val="24"/>
          <w:szCs w:val="24"/>
          <w:lang w:val="lt-LT"/>
        </w:rPr>
      </w:pPr>
      <w:bookmarkStart w:id="151" w:name="_Toc67925155"/>
      <w:r w:rsidRPr="00650EE4">
        <w:rPr>
          <w:rFonts w:ascii="Times New Roman" w:hAnsi="Times New Roman"/>
          <w:color w:val="000000" w:themeColor="text1"/>
          <w:sz w:val="24"/>
          <w:szCs w:val="24"/>
          <w:lang w:val="lt-LT"/>
        </w:rPr>
        <w:t>Finansavimo užtikrinimo barjerai</w:t>
      </w:r>
      <w:bookmarkEnd w:id="151"/>
    </w:p>
    <w:p w14:paraId="6A494615" w14:textId="4EFB9E9C" w:rsidR="00145A39" w:rsidRPr="00650EE4" w:rsidRDefault="00145A39"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9</w:t>
      </w:r>
      <w:r w:rsidRPr="00650EE4">
        <w:rPr>
          <w:rFonts w:ascii="Times New Roman" w:hAnsi="Times New Roman"/>
          <w:b/>
          <w:bCs/>
          <w:szCs w:val="24"/>
        </w:rPr>
        <w:t xml:space="preserve">. </w:t>
      </w:r>
      <w:r w:rsidR="00260986" w:rsidRPr="00650EE4">
        <w:rPr>
          <w:rFonts w:ascii="Times New Roman" w:hAnsi="Times New Roman"/>
          <w:b/>
          <w:bCs/>
          <w:szCs w:val="24"/>
        </w:rPr>
        <w:t>Pastatų savininkų n</w:t>
      </w:r>
      <w:r w:rsidR="00733898" w:rsidRPr="00650EE4">
        <w:rPr>
          <w:rFonts w:ascii="Times New Roman" w:hAnsi="Times New Roman"/>
          <w:b/>
          <w:bCs/>
          <w:szCs w:val="24"/>
        </w:rPr>
        <w:t>enoras skolintis</w:t>
      </w:r>
    </w:p>
    <w:p w14:paraId="32E5B92C" w14:textId="3E85D32C" w:rsidR="00145A39" w:rsidRPr="00650EE4" w:rsidRDefault="00C971A2" w:rsidP="00145A39">
      <w:pPr>
        <w:spacing w:before="60" w:after="120"/>
        <w:jc w:val="both"/>
        <w:rPr>
          <w:rFonts w:ascii="Times New Roman" w:hAnsi="Times New Roman"/>
          <w:szCs w:val="22"/>
        </w:rPr>
      </w:pPr>
      <w:r w:rsidRPr="00650EE4">
        <w:rPr>
          <w:rFonts w:ascii="Times New Roman" w:hAnsi="Times New Roman"/>
          <w:szCs w:val="22"/>
        </w:rPr>
        <w:t>Daliai pastatų savininkų (ypač gyvenamųjų namų segmente) poreikis skolintis yra vienas esminių barjerų mažinanč</w:t>
      </w:r>
      <w:r w:rsidR="006D7499" w:rsidRPr="00650EE4">
        <w:rPr>
          <w:rFonts w:ascii="Times New Roman" w:hAnsi="Times New Roman"/>
          <w:szCs w:val="22"/>
        </w:rPr>
        <w:t>ių norą dalyvauti renovacijoje. G</w:t>
      </w:r>
      <w:r w:rsidR="00145A39" w:rsidRPr="00650EE4">
        <w:rPr>
          <w:rFonts w:ascii="Times New Roman" w:hAnsi="Times New Roman"/>
          <w:szCs w:val="22"/>
        </w:rPr>
        <w:t>yventojų nenoras skolintis buvo viena iš pagrindinių priežasčių, k</w:t>
      </w:r>
      <w:r w:rsidRPr="00650EE4">
        <w:rPr>
          <w:rFonts w:ascii="Times New Roman" w:hAnsi="Times New Roman"/>
          <w:szCs w:val="22"/>
        </w:rPr>
        <w:t xml:space="preserve">odėl 2009 m. sukūrus JESSICA KF </w:t>
      </w:r>
      <w:r w:rsidR="00145A39" w:rsidRPr="00650EE4">
        <w:rPr>
          <w:rFonts w:ascii="Times New Roman" w:hAnsi="Times New Roman"/>
          <w:szCs w:val="22"/>
        </w:rPr>
        <w:t xml:space="preserve">ir sudarius galimybes skolintis lengvatinėmis sąlygomis </w:t>
      </w:r>
      <w:r w:rsidRPr="00650EE4">
        <w:rPr>
          <w:rFonts w:ascii="Times New Roman" w:hAnsi="Times New Roman"/>
          <w:szCs w:val="22"/>
        </w:rPr>
        <w:t>proveržis</w:t>
      </w:r>
      <w:r w:rsidR="00145A39" w:rsidRPr="00650EE4">
        <w:rPr>
          <w:rFonts w:ascii="Times New Roman" w:hAnsi="Times New Roman"/>
          <w:szCs w:val="22"/>
        </w:rPr>
        <w:t xml:space="preserve"> daugiabučių renovacijoje neįvyko</w:t>
      </w:r>
      <w:r w:rsidR="006D7499" w:rsidRPr="00650EE4">
        <w:rPr>
          <w:rStyle w:val="FootnoteReference"/>
          <w:rFonts w:ascii="Times New Roman" w:hAnsi="Times New Roman"/>
          <w:szCs w:val="22"/>
        </w:rPr>
        <w:footnoteReference w:id="37"/>
      </w:r>
      <w:r w:rsidR="00145A39" w:rsidRPr="00650EE4">
        <w:rPr>
          <w:rFonts w:ascii="Times New Roman" w:hAnsi="Times New Roman"/>
          <w:szCs w:val="22"/>
        </w:rPr>
        <w:t xml:space="preserve">. </w:t>
      </w:r>
    </w:p>
    <w:p w14:paraId="52D255C3" w14:textId="3A829473" w:rsidR="00755BDC" w:rsidRPr="00650EE4" w:rsidRDefault="00C971A2" w:rsidP="00145A39">
      <w:pPr>
        <w:spacing w:before="60" w:after="120"/>
        <w:jc w:val="both"/>
        <w:rPr>
          <w:rFonts w:ascii="Times New Roman" w:hAnsi="Times New Roman"/>
          <w:szCs w:val="22"/>
        </w:rPr>
      </w:pPr>
      <w:r w:rsidRPr="00650EE4">
        <w:rPr>
          <w:rFonts w:ascii="Times New Roman" w:hAnsi="Times New Roman"/>
          <w:szCs w:val="22"/>
        </w:rPr>
        <w:t xml:space="preserve">Nenorą skolintis net ir objektyviai palankiomis sąlygomis įtakoja tiek </w:t>
      </w:r>
      <w:r w:rsidR="00755BDC" w:rsidRPr="00650EE4">
        <w:rPr>
          <w:rFonts w:ascii="Times New Roman" w:hAnsi="Times New Roman"/>
          <w:szCs w:val="22"/>
        </w:rPr>
        <w:t xml:space="preserve">subjektyvūs </w:t>
      </w:r>
      <w:r w:rsidRPr="00650EE4">
        <w:rPr>
          <w:rFonts w:ascii="Times New Roman" w:hAnsi="Times New Roman"/>
          <w:szCs w:val="22"/>
        </w:rPr>
        <w:t>(pvz. baimė, nepakankamas finansinis išprusimas ir pan.) tiek objektyvūs veiksniai (pvz. nepatrauklus projektų atsiperkamumo laikotarpis</w:t>
      </w:r>
      <w:r w:rsidR="006478CA">
        <w:rPr>
          <w:rFonts w:ascii="Times New Roman" w:hAnsi="Times New Roman"/>
          <w:szCs w:val="22"/>
        </w:rPr>
        <w:t>, netikrumas dėl palūkanų</w:t>
      </w:r>
      <w:r w:rsidRPr="00650EE4">
        <w:rPr>
          <w:rFonts w:ascii="Times New Roman" w:hAnsi="Times New Roman"/>
          <w:szCs w:val="22"/>
        </w:rPr>
        <w:t xml:space="preserve">). </w:t>
      </w:r>
      <w:r w:rsidR="00755BDC" w:rsidRPr="00650EE4">
        <w:rPr>
          <w:rFonts w:ascii="Times New Roman" w:hAnsi="Times New Roman"/>
          <w:szCs w:val="22"/>
        </w:rPr>
        <w:t>Atitinkamai, šiam barjerui šalinti turi būti taikomos kompleksinės priemonės:</w:t>
      </w:r>
    </w:p>
    <w:p w14:paraId="352444B0" w14:textId="747554D9" w:rsidR="00C971A2" w:rsidRPr="00650EE4" w:rsidRDefault="000A24D5" w:rsidP="00BD4925">
      <w:pPr>
        <w:pStyle w:val="ListParagraph"/>
        <w:numPr>
          <w:ilvl w:val="0"/>
          <w:numId w:val="57"/>
        </w:numPr>
        <w:spacing w:before="60" w:after="60"/>
        <w:jc w:val="both"/>
        <w:rPr>
          <w:rFonts w:ascii="Times New Roman" w:hAnsi="Times New Roman"/>
          <w:szCs w:val="22"/>
          <w:lang w:val="lt-LT"/>
        </w:rPr>
      </w:pPr>
      <w:r>
        <w:rPr>
          <w:rFonts w:ascii="Times New Roman" w:hAnsi="Times New Roman"/>
          <w:szCs w:val="22"/>
          <w:lang w:val="lt-LT"/>
        </w:rPr>
        <w:t>s</w:t>
      </w:r>
      <w:r w:rsidR="00755BDC" w:rsidRPr="00650EE4">
        <w:rPr>
          <w:rFonts w:ascii="Times New Roman" w:hAnsi="Times New Roman"/>
          <w:szCs w:val="22"/>
          <w:lang w:val="lt-LT"/>
        </w:rPr>
        <w:t>ubjektyvių veiksnių šalinimui: nuosekli komunikacija akcentuojanti, kad skolinimasis renovacijai</w:t>
      </w:r>
      <w:r w:rsidR="00D00DAD" w:rsidRPr="00650EE4">
        <w:rPr>
          <w:rFonts w:ascii="Times New Roman" w:hAnsi="Times New Roman"/>
          <w:szCs w:val="22"/>
          <w:lang w:val="lt-LT"/>
        </w:rPr>
        <w:t xml:space="preserve"> yra fina</w:t>
      </w:r>
      <w:r w:rsidR="00755BDC" w:rsidRPr="00650EE4">
        <w:rPr>
          <w:rFonts w:ascii="Times New Roman" w:hAnsi="Times New Roman"/>
          <w:szCs w:val="22"/>
          <w:lang w:val="lt-LT"/>
        </w:rPr>
        <w:t xml:space="preserve">nsiškai racionalus sprendimas tolygus </w:t>
      </w:r>
      <w:r w:rsidR="00781599" w:rsidRPr="00650EE4">
        <w:rPr>
          <w:rFonts w:ascii="Times New Roman" w:hAnsi="Times New Roman"/>
          <w:szCs w:val="22"/>
          <w:lang w:val="lt-LT"/>
        </w:rPr>
        <w:t>skolinimuisi</w:t>
      </w:r>
      <w:r w:rsidR="00755BDC" w:rsidRPr="00650EE4">
        <w:rPr>
          <w:rFonts w:ascii="Times New Roman" w:hAnsi="Times New Roman"/>
          <w:szCs w:val="22"/>
          <w:lang w:val="lt-LT"/>
        </w:rPr>
        <w:t xml:space="preserve"> investicijai į </w:t>
      </w:r>
      <w:r w:rsidR="00781599" w:rsidRPr="00650EE4">
        <w:rPr>
          <w:rFonts w:ascii="Times New Roman" w:hAnsi="Times New Roman"/>
          <w:szCs w:val="22"/>
          <w:lang w:val="lt-LT"/>
        </w:rPr>
        <w:t>nekilnojamąjį</w:t>
      </w:r>
      <w:r w:rsidR="00755BDC" w:rsidRPr="00650EE4">
        <w:rPr>
          <w:rFonts w:ascii="Times New Roman" w:hAnsi="Times New Roman"/>
          <w:szCs w:val="22"/>
          <w:lang w:val="lt-LT"/>
        </w:rPr>
        <w:t xml:space="preserve"> tu</w:t>
      </w:r>
      <w:r>
        <w:rPr>
          <w:rFonts w:ascii="Times New Roman" w:hAnsi="Times New Roman"/>
          <w:szCs w:val="22"/>
          <w:lang w:val="lt-LT"/>
        </w:rPr>
        <w:t>rtą;</w:t>
      </w:r>
    </w:p>
    <w:p w14:paraId="773D715C" w14:textId="747332BA" w:rsidR="00755BDC" w:rsidRPr="00650EE4" w:rsidRDefault="000A24D5" w:rsidP="00BD4925">
      <w:pPr>
        <w:pStyle w:val="ListParagraph"/>
        <w:numPr>
          <w:ilvl w:val="0"/>
          <w:numId w:val="57"/>
        </w:numPr>
        <w:spacing w:before="60"/>
        <w:jc w:val="both"/>
        <w:rPr>
          <w:rFonts w:ascii="Times New Roman" w:hAnsi="Times New Roman"/>
          <w:szCs w:val="22"/>
          <w:lang w:val="lt-LT"/>
        </w:rPr>
      </w:pPr>
      <w:r>
        <w:rPr>
          <w:rFonts w:ascii="Times New Roman" w:hAnsi="Times New Roman"/>
          <w:szCs w:val="22"/>
          <w:lang w:val="lt-LT"/>
        </w:rPr>
        <w:lastRenderedPageBreak/>
        <w:t>o</w:t>
      </w:r>
      <w:r w:rsidR="00755BDC" w:rsidRPr="00650EE4">
        <w:rPr>
          <w:rFonts w:ascii="Times New Roman" w:hAnsi="Times New Roman"/>
          <w:szCs w:val="22"/>
          <w:lang w:val="lt-LT"/>
        </w:rPr>
        <w:t xml:space="preserve">bjektyvių veiksnių šalinimui: </w:t>
      </w:r>
      <w:r w:rsidR="00781599" w:rsidRPr="00650EE4">
        <w:rPr>
          <w:rFonts w:ascii="Times New Roman" w:hAnsi="Times New Roman"/>
          <w:szCs w:val="22"/>
          <w:lang w:val="lt-LT"/>
        </w:rPr>
        <w:t>priemonės</w:t>
      </w:r>
      <w:r w:rsidR="00755BDC" w:rsidRPr="00650EE4">
        <w:rPr>
          <w:rFonts w:ascii="Times New Roman" w:hAnsi="Times New Roman"/>
          <w:szCs w:val="22"/>
          <w:lang w:val="lt-LT"/>
        </w:rPr>
        <w:t xml:space="preserve"> </w:t>
      </w:r>
      <w:r w:rsidR="00781599" w:rsidRPr="00650EE4">
        <w:rPr>
          <w:rFonts w:ascii="Times New Roman" w:hAnsi="Times New Roman"/>
          <w:szCs w:val="22"/>
          <w:lang w:val="lt-LT"/>
        </w:rPr>
        <w:t>trumpinančios</w:t>
      </w:r>
      <w:r w:rsidR="00755BDC" w:rsidRPr="00650EE4">
        <w:rPr>
          <w:rFonts w:ascii="Times New Roman" w:hAnsi="Times New Roman"/>
          <w:szCs w:val="22"/>
          <w:lang w:val="lt-LT"/>
        </w:rPr>
        <w:t xml:space="preserve"> renovacijos projektų atsipirkimo laikot</w:t>
      </w:r>
      <w:r w:rsidR="00D00DAD" w:rsidRPr="00650EE4">
        <w:rPr>
          <w:rFonts w:ascii="Times New Roman" w:hAnsi="Times New Roman"/>
          <w:szCs w:val="22"/>
          <w:lang w:val="lt-LT"/>
        </w:rPr>
        <w:t>arpį (žr. barjerą B3)</w:t>
      </w:r>
      <w:r w:rsidR="007243CA" w:rsidRPr="00650EE4">
        <w:rPr>
          <w:rFonts w:ascii="Times New Roman" w:hAnsi="Times New Roman"/>
          <w:szCs w:val="22"/>
          <w:lang w:val="lt-LT"/>
        </w:rPr>
        <w:t xml:space="preserve">, priemonės suteikiančios </w:t>
      </w:r>
      <w:r w:rsidR="00781599" w:rsidRPr="00650EE4">
        <w:rPr>
          <w:rFonts w:ascii="Times New Roman" w:hAnsi="Times New Roman"/>
          <w:szCs w:val="22"/>
          <w:lang w:val="lt-LT"/>
        </w:rPr>
        <w:t>laisvės</w:t>
      </w:r>
      <w:r w:rsidR="007243CA" w:rsidRPr="00650EE4">
        <w:rPr>
          <w:rFonts w:ascii="Times New Roman" w:hAnsi="Times New Roman"/>
          <w:szCs w:val="22"/>
          <w:lang w:val="lt-LT"/>
        </w:rPr>
        <w:t xml:space="preserve"> (galimybė grąžinti kreditą anksčiau, lengvatinė</w:t>
      </w:r>
      <w:r w:rsidR="006C4B4D" w:rsidRPr="00650EE4">
        <w:rPr>
          <w:rFonts w:ascii="Times New Roman" w:hAnsi="Times New Roman"/>
          <w:szCs w:val="22"/>
          <w:lang w:val="lt-LT"/>
        </w:rPr>
        <w:t xml:space="preserve">s palūkanos, paskolos gražinimo atidėjimas </w:t>
      </w:r>
      <w:r w:rsidR="007243CA" w:rsidRPr="00650EE4">
        <w:rPr>
          <w:rFonts w:ascii="Times New Roman" w:hAnsi="Times New Roman"/>
          <w:szCs w:val="22"/>
          <w:lang w:val="lt-LT"/>
        </w:rPr>
        <w:t xml:space="preserve">ir </w:t>
      </w:r>
      <w:r w:rsidR="00781599" w:rsidRPr="00650EE4">
        <w:rPr>
          <w:rFonts w:ascii="Times New Roman" w:hAnsi="Times New Roman"/>
          <w:szCs w:val="22"/>
          <w:lang w:val="lt-LT"/>
        </w:rPr>
        <w:t>pan.</w:t>
      </w:r>
      <w:r w:rsidR="007243CA" w:rsidRPr="00650EE4">
        <w:rPr>
          <w:rFonts w:ascii="Times New Roman" w:hAnsi="Times New Roman"/>
          <w:szCs w:val="22"/>
          <w:lang w:val="lt-LT"/>
        </w:rPr>
        <w:t>)</w:t>
      </w:r>
      <w:r w:rsidR="001A6139">
        <w:rPr>
          <w:rFonts w:ascii="Times New Roman" w:hAnsi="Times New Roman"/>
          <w:szCs w:val="22"/>
          <w:lang w:val="lt-LT"/>
        </w:rPr>
        <w:t>.</w:t>
      </w:r>
    </w:p>
    <w:p w14:paraId="16616EFE" w14:textId="3B3BEECF" w:rsidR="00C971A2" w:rsidRPr="00650EE4" w:rsidRDefault="00C971A2" w:rsidP="00C971A2">
      <w:pPr>
        <w:pStyle w:val="BodyText"/>
        <w:rPr>
          <w:rFonts w:ascii="Times New Roman" w:hAnsi="Times New Roman"/>
          <w:lang w:val="lt-LT"/>
        </w:rPr>
      </w:pPr>
    </w:p>
    <w:p w14:paraId="4884BE87" w14:textId="77777777" w:rsidR="005C58D9" w:rsidRPr="00650EE4" w:rsidRDefault="005C58D9" w:rsidP="006478CA">
      <w:pPr>
        <w:pStyle w:val="BodyText"/>
        <w:jc w:val="both"/>
        <w:rPr>
          <w:rFonts w:ascii="Times New Roman" w:hAnsi="Times New Roman"/>
          <w:lang w:val="lt-LT"/>
        </w:rPr>
      </w:pPr>
      <w:r w:rsidRPr="00650EE4">
        <w:rPr>
          <w:rFonts w:ascii="Times New Roman" w:hAnsi="Times New Roman"/>
          <w:lang w:val="lt-LT"/>
        </w:rPr>
        <w:t>Šis barjeras taip pat gali būtų sprendžiamas įgyvendinant renovaciją savivaldybių iniciatyva ir perkeliant administracinius ir finansinius įsipareigojimus paskirtam projekto administratoriui.</w:t>
      </w:r>
    </w:p>
    <w:p w14:paraId="7AB68E79" w14:textId="77777777" w:rsidR="005C58D9" w:rsidRPr="00650EE4" w:rsidRDefault="005C58D9" w:rsidP="00C971A2">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A052AA" w:rsidRPr="00650EE4" w14:paraId="54C55203" w14:textId="77777777" w:rsidTr="000C1D71">
        <w:trPr>
          <w:trHeight w:val="61"/>
        </w:trPr>
        <w:tc>
          <w:tcPr>
            <w:tcW w:w="3114" w:type="dxa"/>
          </w:tcPr>
          <w:p w14:paraId="32EBB76D" w14:textId="77777777" w:rsidR="00A052AA" w:rsidRPr="00650EE4" w:rsidRDefault="00A052AA" w:rsidP="00A052A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74E7B4AD" w14:textId="7E4D6AB9" w:rsidR="00A052AA" w:rsidRPr="00650EE4" w:rsidRDefault="00A052AA" w:rsidP="00A052AA">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p w14:paraId="17E8B06F" w14:textId="6E9FB362" w:rsidR="00A052AA" w:rsidRPr="00650EE4" w:rsidRDefault="00A052AA" w:rsidP="00A052AA">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7</w:t>
            </w:r>
            <w:r w:rsidRPr="00650EE4">
              <w:rPr>
                <w:rFonts w:ascii="Times New Roman" w:hAnsi="Times New Roman"/>
                <w:szCs w:val="22"/>
                <w:lang w:eastAsia="lt-LT"/>
              </w:rPr>
              <w:t>. Komunikacija apie renovacijos naudas ir priemones</w:t>
            </w:r>
          </w:p>
        </w:tc>
      </w:tr>
      <w:tr w:rsidR="00C971A2" w:rsidRPr="00650EE4" w14:paraId="5A1DD1A7" w14:textId="77777777" w:rsidTr="000C1D71">
        <w:trPr>
          <w:trHeight w:val="61"/>
        </w:trPr>
        <w:tc>
          <w:tcPr>
            <w:tcW w:w="3114" w:type="dxa"/>
          </w:tcPr>
          <w:p w14:paraId="30E82611" w14:textId="77777777" w:rsidR="00C971A2" w:rsidRPr="00650EE4" w:rsidRDefault="00C971A2"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5092002" w14:textId="77777777" w:rsidR="00C971A2" w:rsidRPr="00650EE4" w:rsidRDefault="00C971A2"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971A2" w:rsidRPr="00650EE4" w14:paraId="3984C271" w14:textId="77777777" w:rsidTr="000C1D71">
        <w:trPr>
          <w:trHeight w:val="76"/>
        </w:trPr>
        <w:tc>
          <w:tcPr>
            <w:tcW w:w="3114" w:type="dxa"/>
          </w:tcPr>
          <w:p w14:paraId="4500E735" w14:textId="77777777" w:rsidR="00C971A2" w:rsidRPr="00650EE4" w:rsidRDefault="00C971A2"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EB2B98A" w14:textId="77777777" w:rsidR="00C971A2" w:rsidRPr="00650EE4" w:rsidRDefault="00C971A2" w:rsidP="000C1D7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4185338E" w14:textId="77777777" w:rsidR="00733898" w:rsidRPr="00650EE4" w:rsidRDefault="00733898" w:rsidP="00DD600F">
      <w:pPr>
        <w:pStyle w:val="BodyText"/>
        <w:spacing w:after="120"/>
        <w:jc w:val="both"/>
        <w:rPr>
          <w:rFonts w:ascii="Times New Roman" w:hAnsi="Times New Roman"/>
          <w:szCs w:val="22"/>
          <w:lang w:val="lt-LT"/>
        </w:rPr>
      </w:pPr>
    </w:p>
    <w:p w14:paraId="4F81AA4D" w14:textId="480519D4" w:rsidR="00733898" w:rsidRPr="00650EE4" w:rsidRDefault="00733898"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10</w:t>
      </w:r>
      <w:r w:rsidR="00260986" w:rsidRPr="00650EE4">
        <w:rPr>
          <w:rFonts w:ascii="Times New Roman" w:hAnsi="Times New Roman"/>
          <w:b/>
          <w:bCs/>
          <w:szCs w:val="24"/>
        </w:rPr>
        <w:t>. Pastatų savininkų n</w:t>
      </w:r>
      <w:r w:rsidRPr="00650EE4">
        <w:rPr>
          <w:rFonts w:ascii="Times New Roman" w:hAnsi="Times New Roman"/>
          <w:b/>
          <w:bCs/>
          <w:szCs w:val="24"/>
        </w:rPr>
        <w:t>egalėjimas skolintis (ribotos skolinimosi galimybės)</w:t>
      </w:r>
    </w:p>
    <w:p w14:paraId="72C3221E" w14:textId="44297F01" w:rsidR="00D04AC7" w:rsidRPr="00650EE4" w:rsidRDefault="00733898" w:rsidP="00D04AC7">
      <w:pPr>
        <w:pStyle w:val="BodyText"/>
        <w:spacing w:after="120"/>
        <w:jc w:val="both"/>
        <w:rPr>
          <w:rFonts w:ascii="Times New Roman" w:hAnsi="Times New Roman"/>
          <w:szCs w:val="22"/>
          <w:lang w:val="lt-LT"/>
        </w:rPr>
      </w:pPr>
      <w:r w:rsidRPr="00650EE4">
        <w:rPr>
          <w:rFonts w:ascii="Times New Roman" w:hAnsi="Times New Roman"/>
          <w:szCs w:val="22"/>
          <w:lang w:val="lt-LT"/>
        </w:rPr>
        <w:t>Net esa</w:t>
      </w:r>
      <w:r w:rsidR="006C4B4D" w:rsidRPr="00650EE4">
        <w:rPr>
          <w:rFonts w:ascii="Times New Roman" w:hAnsi="Times New Roman"/>
          <w:szCs w:val="22"/>
          <w:lang w:val="lt-LT"/>
        </w:rPr>
        <w:t xml:space="preserve">nt norui </w:t>
      </w:r>
      <w:r w:rsidR="00E70995" w:rsidRPr="00650EE4">
        <w:rPr>
          <w:rFonts w:ascii="Times New Roman" w:hAnsi="Times New Roman"/>
          <w:szCs w:val="22"/>
          <w:lang w:val="lt-LT"/>
        </w:rPr>
        <w:t>skoli</w:t>
      </w:r>
      <w:r w:rsidR="00D04AC7" w:rsidRPr="00650EE4">
        <w:rPr>
          <w:rFonts w:ascii="Times New Roman" w:hAnsi="Times New Roman"/>
          <w:szCs w:val="22"/>
          <w:lang w:val="lt-LT"/>
        </w:rPr>
        <w:t>ntis</w:t>
      </w:r>
      <w:r w:rsidR="00E70995" w:rsidRPr="00650EE4">
        <w:rPr>
          <w:rFonts w:ascii="Times New Roman" w:hAnsi="Times New Roman"/>
          <w:szCs w:val="22"/>
          <w:lang w:val="lt-LT"/>
        </w:rPr>
        <w:t>,</w:t>
      </w:r>
      <w:r w:rsidR="00D04AC7" w:rsidRPr="00650EE4">
        <w:rPr>
          <w:rFonts w:ascii="Times New Roman" w:hAnsi="Times New Roman"/>
          <w:szCs w:val="22"/>
          <w:lang w:val="lt-LT"/>
        </w:rPr>
        <w:t xml:space="preserve"> </w:t>
      </w:r>
      <w:r w:rsidR="006C4B4D" w:rsidRPr="00650EE4">
        <w:rPr>
          <w:rFonts w:ascii="Times New Roman" w:hAnsi="Times New Roman"/>
          <w:szCs w:val="22"/>
          <w:lang w:val="lt-LT"/>
        </w:rPr>
        <w:t xml:space="preserve">dalis </w:t>
      </w:r>
      <w:r w:rsidR="00D04AC7" w:rsidRPr="00650EE4">
        <w:rPr>
          <w:rFonts w:ascii="Times New Roman" w:hAnsi="Times New Roman"/>
          <w:szCs w:val="22"/>
          <w:lang w:val="lt-LT"/>
        </w:rPr>
        <w:t>pastatų savininkų neturi</w:t>
      </w:r>
      <w:r w:rsidR="00E70995" w:rsidRPr="00650EE4">
        <w:rPr>
          <w:rFonts w:ascii="Times New Roman" w:hAnsi="Times New Roman"/>
          <w:szCs w:val="22"/>
          <w:lang w:val="lt-LT"/>
        </w:rPr>
        <w:t xml:space="preserve"> tokios galimybės</w:t>
      </w:r>
      <w:r w:rsidR="00D04AC7" w:rsidRPr="00650EE4">
        <w:rPr>
          <w:rFonts w:ascii="Times New Roman" w:hAnsi="Times New Roman"/>
          <w:szCs w:val="22"/>
          <w:lang w:val="lt-LT"/>
        </w:rPr>
        <w:t xml:space="preserve"> dėl nepakankamo kreditingumo, kuris </w:t>
      </w:r>
      <w:r w:rsidR="00E70995" w:rsidRPr="00650EE4">
        <w:rPr>
          <w:rFonts w:ascii="Times New Roman" w:hAnsi="Times New Roman"/>
          <w:szCs w:val="22"/>
          <w:lang w:val="lt-LT"/>
        </w:rPr>
        <w:t>yra pagrindinis kriterijus</w:t>
      </w:r>
      <w:r w:rsidR="00D04AC7" w:rsidRPr="00650EE4">
        <w:rPr>
          <w:rFonts w:ascii="Times New Roman" w:hAnsi="Times New Roman"/>
          <w:szCs w:val="22"/>
          <w:lang w:val="lt-LT"/>
        </w:rPr>
        <w:t>, finansuotoj</w:t>
      </w:r>
      <w:r w:rsidR="00E70995" w:rsidRPr="00650EE4">
        <w:rPr>
          <w:rFonts w:ascii="Times New Roman" w:hAnsi="Times New Roman"/>
          <w:szCs w:val="22"/>
          <w:lang w:val="lt-LT"/>
        </w:rPr>
        <w:t xml:space="preserve">ui priimant sprendimą finansuoti projektą ar ne. </w:t>
      </w:r>
    </w:p>
    <w:p w14:paraId="3947406C" w14:textId="2ECEB1FB" w:rsidR="00145A39" w:rsidRPr="00650EE4" w:rsidRDefault="00D04AC7" w:rsidP="00260986">
      <w:pPr>
        <w:pStyle w:val="BodyText"/>
        <w:spacing w:after="120"/>
        <w:jc w:val="both"/>
        <w:rPr>
          <w:rFonts w:ascii="Times New Roman" w:hAnsi="Times New Roman"/>
          <w:szCs w:val="22"/>
          <w:lang w:val="lt-LT"/>
        </w:rPr>
      </w:pPr>
      <w:r w:rsidRPr="00650EE4">
        <w:rPr>
          <w:rFonts w:ascii="Times New Roman" w:hAnsi="Times New Roman"/>
          <w:szCs w:val="22"/>
          <w:lang w:val="lt-LT"/>
        </w:rPr>
        <w:t xml:space="preserve">Gyvenamojo būsto segmente tipinis nepakankamo kreditingumo pavyzdys – gyventojų įsiskolinimai už komunalines paslaugas. Jeigu 10 proc. gyventojų turi didelių įsiskolinimų už komunalines ir kitokias paslaugas, sprendimas suteikti finansavimą gali būti neigiamas. </w:t>
      </w:r>
      <w:r w:rsidR="00CC4932" w:rsidRPr="00650EE4">
        <w:rPr>
          <w:rFonts w:ascii="Times New Roman" w:hAnsi="Times New Roman"/>
          <w:szCs w:val="22"/>
          <w:lang w:val="lt-LT"/>
        </w:rPr>
        <w:t xml:space="preserve">Viešų pastatų savininkų – savivaldybių įstatyminėje bazėje yra nustatyti skolinimosi limitai, todėl galimybės kreiptis paskolos labai priklauso nuo išnaudotų skolinimosi limitų. </w:t>
      </w:r>
      <w:r w:rsidRPr="00650EE4">
        <w:rPr>
          <w:rFonts w:ascii="Times New Roman" w:hAnsi="Times New Roman"/>
          <w:szCs w:val="22"/>
          <w:lang w:val="lt-LT"/>
        </w:rPr>
        <w:t>Savivaldybėms, kurių skol</w:t>
      </w:r>
      <w:r w:rsidR="00E70995" w:rsidRPr="00650EE4">
        <w:rPr>
          <w:rFonts w:ascii="Times New Roman" w:hAnsi="Times New Roman"/>
          <w:szCs w:val="22"/>
          <w:lang w:val="lt-LT"/>
        </w:rPr>
        <w:t>inimosi limitai</w:t>
      </w:r>
      <w:r w:rsidR="00CC4932" w:rsidRPr="00650EE4">
        <w:rPr>
          <w:rFonts w:ascii="Times New Roman" w:hAnsi="Times New Roman"/>
          <w:szCs w:val="22"/>
          <w:lang w:val="lt-LT"/>
        </w:rPr>
        <w:t xml:space="preserve"> </w:t>
      </w:r>
      <w:r w:rsidRPr="00650EE4">
        <w:rPr>
          <w:rFonts w:ascii="Times New Roman" w:hAnsi="Times New Roman"/>
          <w:szCs w:val="22"/>
          <w:lang w:val="lt-LT"/>
        </w:rPr>
        <w:t>išnaudoti, finansinė būklė prasta,</w:t>
      </w:r>
      <w:r w:rsidR="00CC4932" w:rsidRPr="00650EE4">
        <w:rPr>
          <w:rFonts w:ascii="Times New Roman" w:hAnsi="Times New Roman"/>
          <w:szCs w:val="22"/>
          <w:lang w:val="lt-LT"/>
        </w:rPr>
        <w:t xml:space="preserve"> komerciniai bankai </w:t>
      </w:r>
      <w:r w:rsidRPr="00650EE4">
        <w:rPr>
          <w:rFonts w:ascii="Times New Roman" w:hAnsi="Times New Roman"/>
          <w:szCs w:val="22"/>
          <w:lang w:val="lt-LT"/>
        </w:rPr>
        <w:t xml:space="preserve">neskolina. </w:t>
      </w:r>
      <w:r w:rsidR="00CC4932" w:rsidRPr="00650EE4">
        <w:rPr>
          <w:rFonts w:ascii="Times New Roman" w:hAnsi="Times New Roman"/>
          <w:szCs w:val="22"/>
          <w:lang w:val="lt-LT"/>
        </w:rPr>
        <w:t xml:space="preserve"> </w:t>
      </w:r>
    </w:p>
    <w:p w14:paraId="224E5247" w14:textId="77777777" w:rsidR="00CC4932" w:rsidRPr="00650EE4" w:rsidRDefault="00CC4932" w:rsidP="00CC4932">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A052AA" w:rsidRPr="00650EE4" w14:paraId="332D3FE0" w14:textId="77777777" w:rsidTr="004847E3">
        <w:trPr>
          <w:trHeight w:val="61"/>
        </w:trPr>
        <w:tc>
          <w:tcPr>
            <w:tcW w:w="3114" w:type="dxa"/>
          </w:tcPr>
          <w:p w14:paraId="31B73ABF" w14:textId="77777777" w:rsidR="00A052AA" w:rsidRPr="00650EE4" w:rsidRDefault="00A052AA" w:rsidP="00A052A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D5579C4" w14:textId="6003CB7A" w:rsidR="00A052AA" w:rsidRPr="00650EE4" w:rsidRDefault="00A052AA" w:rsidP="00A052AA">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tc>
      </w:tr>
      <w:tr w:rsidR="00CC4932" w:rsidRPr="00650EE4" w14:paraId="2A0B4A13" w14:textId="77777777" w:rsidTr="004847E3">
        <w:trPr>
          <w:trHeight w:val="61"/>
        </w:trPr>
        <w:tc>
          <w:tcPr>
            <w:tcW w:w="3114" w:type="dxa"/>
          </w:tcPr>
          <w:p w14:paraId="69F84EE3"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5F7447C" w14:textId="77E5806D" w:rsidR="00CC4932" w:rsidRPr="00650EE4" w:rsidRDefault="00C14641" w:rsidP="004847E3">
            <w:pPr>
              <w:spacing w:after="60"/>
              <w:rPr>
                <w:rFonts w:ascii="Times New Roman" w:hAnsi="Times New Roman"/>
                <w:szCs w:val="22"/>
                <w:lang w:eastAsia="lt-LT"/>
              </w:rPr>
            </w:pPr>
            <w:r w:rsidRPr="00650EE4">
              <w:rPr>
                <w:rFonts w:ascii="Times New Roman" w:hAnsi="Times New Roman"/>
                <w:szCs w:val="22"/>
                <w:lang w:eastAsia="lt-LT"/>
              </w:rPr>
              <w:t>Vidutinis</w:t>
            </w:r>
          </w:p>
        </w:tc>
      </w:tr>
      <w:tr w:rsidR="00CC4932" w:rsidRPr="00650EE4" w14:paraId="5A33EFDC" w14:textId="77777777" w:rsidTr="004847E3">
        <w:trPr>
          <w:trHeight w:val="76"/>
        </w:trPr>
        <w:tc>
          <w:tcPr>
            <w:tcW w:w="3114" w:type="dxa"/>
          </w:tcPr>
          <w:p w14:paraId="0E258CA7"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1919CA9" w14:textId="77777777" w:rsidR="00CC4932" w:rsidRPr="00650EE4" w:rsidRDefault="00CC4932"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9F236ED" w14:textId="77777777" w:rsidR="00DD5AF5" w:rsidRPr="00650EE4" w:rsidRDefault="00DD5AF5" w:rsidP="00DD600F">
      <w:pPr>
        <w:pStyle w:val="BodyText"/>
        <w:spacing w:after="120"/>
        <w:jc w:val="both"/>
        <w:rPr>
          <w:rFonts w:ascii="Times New Roman" w:hAnsi="Times New Roman"/>
          <w:b/>
          <w:bCs/>
          <w:szCs w:val="22"/>
          <w:lang w:val="lt-LT"/>
        </w:rPr>
      </w:pPr>
    </w:p>
    <w:p w14:paraId="7B70A91D" w14:textId="4070118A" w:rsidR="007908AA" w:rsidRPr="00650EE4" w:rsidRDefault="007908AA"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11</w:t>
      </w:r>
      <w:r w:rsidRPr="00650EE4">
        <w:rPr>
          <w:rFonts w:ascii="Times New Roman" w:hAnsi="Times New Roman"/>
          <w:b/>
          <w:bCs/>
          <w:szCs w:val="24"/>
        </w:rPr>
        <w:t>. Išaugęs viešų finansų poreikis</w:t>
      </w:r>
    </w:p>
    <w:p w14:paraId="7CB0D075" w14:textId="600D5384" w:rsidR="00A573FA" w:rsidRPr="00650EE4" w:rsidRDefault="00C70E1C" w:rsidP="00275D1E">
      <w:pPr>
        <w:pStyle w:val="BodyText"/>
        <w:jc w:val="both"/>
        <w:rPr>
          <w:rFonts w:ascii="Times New Roman" w:hAnsi="Times New Roman"/>
          <w:szCs w:val="22"/>
          <w:lang w:val="lt-LT"/>
        </w:rPr>
      </w:pPr>
      <w:r w:rsidRPr="00650EE4">
        <w:rPr>
          <w:rFonts w:ascii="Times New Roman" w:hAnsi="Times New Roman"/>
          <w:szCs w:val="22"/>
          <w:lang w:val="lt-LT"/>
        </w:rPr>
        <w:t xml:space="preserve">IRS suplanuotas renovacijos proveržis </w:t>
      </w:r>
      <w:r w:rsidR="00054408" w:rsidRPr="00650EE4">
        <w:rPr>
          <w:rFonts w:ascii="Times New Roman" w:hAnsi="Times New Roman"/>
          <w:szCs w:val="22"/>
          <w:lang w:val="lt-LT"/>
        </w:rPr>
        <w:t xml:space="preserve">reikšmingai </w:t>
      </w:r>
      <w:r w:rsidRPr="00650EE4">
        <w:rPr>
          <w:rFonts w:ascii="Times New Roman" w:hAnsi="Times New Roman"/>
          <w:szCs w:val="22"/>
          <w:lang w:val="lt-LT"/>
        </w:rPr>
        <w:t>didina valstybės įnašo poreikį</w:t>
      </w:r>
      <w:r w:rsidR="00275D1E" w:rsidRPr="00650EE4">
        <w:rPr>
          <w:rFonts w:ascii="Times New Roman" w:hAnsi="Times New Roman"/>
          <w:szCs w:val="22"/>
          <w:lang w:val="lt-LT"/>
        </w:rPr>
        <w:t>, ypač nuo 2030 m.</w:t>
      </w:r>
      <w:r w:rsidRPr="00650EE4">
        <w:rPr>
          <w:rFonts w:ascii="Times New Roman" w:hAnsi="Times New Roman"/>
          <w:szCs w:val="22"/>
          <w:lang w:val="lt-LT"/>
        </w:rPr>
        <w:t xml:space="preserve"> (žr. </w:t>
      </w:r>
      <w:r w:rsidR="00DE364B">
        <w:rPr>
          <w:rFonts w:ascii="Times New Roman" w:hAnsi="Times New Roman"/>
          <w:szCs w:val="22"/>
          <w:lang w:val="lt-LT"/>
        </w:rPr>
        <w:t>5</w:t>
      </w:r>
      <w:r w:rsidR="00054408" w:rsidRPr="00650EE4">
        <w:rPr>
          <w:rFonts w:ascii="Times New Roman" w:hAnsi="Times New Roman"/>
          <w:szCs w:val="22"/>
          <w:lang w:val="lt-LT"/>
        </w:rPr>
        <w:t>.2 skyrių</w:t>
      </w:r>
      <w:r w:rsidR="00D93AB4" w:rsidRPr="00650EE4">
        <w:rPr>
          <w:rFonts w:ascii="Times New Roman" w:hAnsi="Times New Roman"/>
          <w:szCs w:val="22"/>
          <w:lang w:val="lt-LT"/>
        </w:rPr>
        <w:t>).</w:t>
      </w:r>
      <w:r w:rsidR="00BF2F5D" w:rsidRPr="00650EE4">
        <w:rPr>
          <w:rFonts w:ascii="Times New Roman" w:hAnsi="Times New Roman"/>
          <w:szCs w:val="22"/>
          <w:lang w:val="lt-LT"/>
        </w:rPr>
        <w:t xml:space="preserve"> N</w:t>
      </w:r>
      <w:r w:rsidR="00275D1E" w:rsidRPr="00650EE4">
        <w:rPr>
          <w:rFonts w:ascii="Times New Roman" w:hAnsi="Times New Roman"/>
          <w:szCs w:val="22"/>
          <w:lang w:val="lt-LT"/>
        </w:rPr>
        <w:t xml:space="preserve">ors Europos „Žaliojo kurso“ komunikacija deklaruoja iniciatyvą sukurti centralizuotus, ES lygmens finansavimo mechanizmus, šiuo metu tokie sprendimai nėra priimti. </w:t>
      </w:r>
    </w:p>
    <w:p w14:paraId="00FE60E6" w14:textId="77777777" w:rsidR="007908AA" w:rsidRPr="00650EE4" w:rsidRDefault="007908AA" w:rsidP="00145A39">
      <w:pPr>
        <w:pStyle w:val="BodyText"/>
        <w:jc w:val="both"/>
        <w:rPr>
          <w:rFonts w:ascii="Times New Roman" w:hAnsi="Times New Roman"/>
          <w:b/>
          <w:bCs/>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70E1C" w:rsidRPr="00650EE4" w14:paraId="49F6F288" w14:textId="77777777" w:rsidTr="00F951EE">
        <w:trPr>
          <w:trHeight w:val="61"/>
        </w:trPr>
        <w:tc>
          <w:tcPr>
            <w:tcW w:w="3114" w:type="dxa"/>
          </w:tcPr>
          <w:p w14:paraId="5CF9B95B" w14:textId="77777777" w:rsidR="00C70E1C" w:rsidRPr="00650EE4" w:rsidRDefault="00C70E1C" w:rsidP="00F951EE">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7348C693" w14:textId="3CB18C40" w:rsidR="00C70E1C" w:rsidRPr="00650EE4" w:rsidRDefault="00C70E1C" w:rsidP="00F951EE">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xml:space="preserve">. </w:t>
            </w:r>
            <w:r w:rsidR="00173BCF" w:rsidRPr="00650EE4">
              <w:rPr>
                <w:rFonts w:ascii="Times New Roman" w:hAnsi="Times New Roman"/>
                <w:szCs w:val="22"/>
                <w:lang w:eastAsia="lt-LT"/>
              </w:rPr>
              <w:t>Finansavimo užtikrinimas</w:t>
            </w:r>
          </w:p>
        </w:tc>
      </w:tr>
      <w:tr w:rsidR="00C70E1C" w:rsidRPr="00650EE4" w14:paraId="3FF61B19" w14:textId="77777777" w:rsidTr="00F951EE">
        <w:trPr>
          <w:trHeight w:val="61"/>
        </w:trPr>
        <w:tc>
          <w:tcPr>
            <w:tcW w:w="3114" w:type="dxa"/>
          </w:tcPr>
          <w:p w14:paraId="21C3326F" w14:textId="77777777" w:rsidR="00C70E1C" w:rsidRPr="00650EE4" w:rsidRDefault="00C70E1C" w:rsidP="00F951EE">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8729CCC" w14:textId="77777777" w:rsidR="00C70E1C" w:rsidRPr="00650EE4" w:rsidRDefault="00C70E1C" w:rsidP="00F951EE">
            <w:pPr>
              <w:spacing w:after="60"/>
              <w:rPr>
                <w:rFonts w:ascii="Times New Roman" w:hAnsi="Times New Roman"/>
                <w:szCs w:val="22"/>
                <w:lang w:eastAsia="lt-LT"/>
              </w:rPr>
            </w:pPr>
            <w:r w:rsidRPr="00650EE4">
              <w:rPr>
                <w:rFonts w:ascii="Times New Roman" w:hAnsi="Times New Roman"/>
                <w:szCs w:val="22"/>
                <w:lang w:eastAsia="lt-LT"/>
              </w:rPr>
              <w:t>Aukštas</w:t>
            </w:r>
          </w:p>
        </w:tc>
      </w:tr>
      <w:tr w:rsidR="00C70E1C" w:rsidRPr="00650EE4" w14:paraId="047FB3DE" w14:textId="77777777" w:rsidTr="00F951EE">
        <w:trPr>
          <w:trHeight w:val="76"/>
        </w:trPr>
        <w:tc>
          <w:tcPr>
            <w:tcW w:w="3114" w:type="dxa"/>
          </w:tcPr>
          <w:p w14:paraId="5F7A5184" w14:textId="77777777" w:rsidR="00C70E1C" w:rsidRPr="00650EE4" w:rsidRDefault="00C70E1C" w:rsidP="00F951EE">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2962112" w14:textId="77777777" w:rsidR="00C70E1C" w:rsidRPr="00650EE4" w:rsidRDefault="00C70E1C" w:rsidP="00F951EE">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30E3FB4E" w14:textId="77777777" w:rsidR="007908AA" w:rsidRPr="00650EE4" w:rsidRDefault="007908AA" w:rsidP="00275D1E">
      <w:pPr>
        <w:pStyle w:val="BodyText"/>
        <w:spacing w:after="120"/>
        <w:jc w:val="both"/>
        <w:rPr>
          <w:rFonts w:ascii="Times New Roman" w:hAnsi="Times New Roman"/>
          <w:b/>
          <w:bCs/>
          <w:szCs w:val="22"/>
          <w:lang w:val="lt-LT"/>
        </w:rPr>
      </w:pPr>
    </w:p>
    <w:p w14:paraId="15A06E18" w14:textId="341D713D" w:rsidR="00733898" w:rsidRPr="00650EE4" w:rsidRDefault="00733898"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12</w:t>
      </w:r>
      <w:r w:rsidRPr="00650EE4">
        <w:rPr>
          <w:rFonts w:ascii="Times New Roman" w:hAnsi="Times New Roman"/>
          <w:b/>
          <w:bCs/>
          <w:szCs w:val="24"/>
        </w:rPr>
        <w:t xml:space="preserve">. </w:t>
      </w:r>
      <w:r w:rsidR="00260986" w:rsidRPr="00650EE4">
        <w:rPr>
          <w:rFonts w:ascii="Times New Roman" w:hAnsi="Times New Roman"/>
          <w:b/>
          <w:bCs/>
          <w:szCs w:val="24"/>
        </w:rPr>
        <w:t>Finansinių institucijų n</w:t>
      </w:r>
      <w:r w:rsidRPr="00650EE4">
        <w:rPr>
          <w:rFonts w:ascii="Times New Roman" w:hAnsi="Times New Roman"/>
          <w:b/>
          <w:bCs/>
          <w:szCs w:val="24"/>
        </w:rPr>
        <w:t>enoras skolinti (ribotos skolinimo galimybės)</w:t>
      </w:r>
    </w:p>
    <w:p w14:paraId="3B9843E2" w14:textId="0F144707" w:rsidR="008D20C3" w:rsidRPr="00650EE4" w:rsidRDefault="009651A3" w:rsidP="008D20C3">
      <w:pPr>
        <w:spacing w:before="60" w:after="120"/>
        <w:jc w:val="both"/>
        <w:rPr>
          <w:rFonts w:ascii="Times New Roman" w:hAnsi="Times New Roman"/>
          <w:szCs w:val="22"/>
        </w:rPr>
      </w:pPr>
      <w:r w:rsidRPr="00650EE4">
        <w:rPr>
          <w:rFonts w:ascii="Times New Roman" w:hAnsi="Times New Roman"/>
          <w:szCs w:val="22"/>
        </w:rPr>
        <w:t xml:space="preserve">Paraleliai su išaugusiu valstybės dalies finansavimo poreikiu, </w:t>
      </w:r>
      <w:r w:rsidR="00260986" w:rsidRPr="00650EE4">
        <w:rPr>
          <w:rFonts w:ascii="Times New Roman" w:hAnsi="Times New Roman"/>
          <w:szCs w:val="22"/>
        </w:rPr>
        <w:t>IRS suplanuotas renovacijos proveržis</w:t>
      </w:r>
      <w:r w:rsidR="00C95834" w:rsidRPr="00650EE4">
        <w:rPr>
          <w:rFonts w:ascii="Times New Roman" w:hAnsi="Times New Roman"/>
          <w:szCs w:val="22"/>
        </w:rPr>
        <w:t xml:space="preserve"> taip pat formuoja ir pastatų savininko įnašo dalies finansavimo poreikio išaugimą. </w:t>
      </w:r>
      <w:r w:rsidR="009E0F51" w:rsidRPr="00650EE4">
        <w:rPr>
          <w:rFonts w:ascii="Times New Roman" w:hAnsi="Times New Roman"/>
          <w:szCs w:val="22"/>
        </w:rPr>
        <w:t>VIPA atliktas tyrimas</w:t>
      </w:r>
      <w:r w:rsidR="009E0F51" w:rsidRPr="00650EE4">
        <w:rPr>
          <w:rStyle w:val="FootnoteReference"/>
          <w:rFonts w:ascii="Times New Roman" w:hAnsi="Times New Roman"/>
          <w:szCs w:val="22"/>
        </w:rPr>
        <w:footnoteReference w:id="38"/>
      </w:r>
      <w:r w:rsidR="009E0F51" w:rsidRPr="00650EE4">
        <w:rPr>
          <w:rFonts w:ascii="Times New Roman" w:hAnsi="Times New Roman"/>
          <w:szCs w:val="22"/>
        </w:rPr>
        <w:t xml:space="preserve"> atskleidžia, kad </w:t>
      </w:r>
      <w:r w:rsidR="00F12223">
        <w:rPr>
          <w:rFonts w:ascii="Times New Roman" w:hAnsi="Times New Roman"/>
          <w:szCs w:val="22"/>
        </w:rPr>
        <w:t>p</w:t>
      </w:r>
      <w:r w:rsidR="008D20C3" w:rsidRPr="00650EE4">
        <w:rPr>
          <w:rFonts w:ascii="Times New Roman" w:hAnsi="Times New Roman"/>
          <w:szCs w:val="22"/>
        </w:rPr>
        <w:t xml:space="preserve">avieniai pastatų renovacijos </w:t>
      </w:r>
      <w:r w:rsidR="00F12223">
        <w:rPr>
          <w:rFonts w:ascii="Times New Roman" w:hAnsi="Times New Roman"/>
          <w:szCs w:val="22"/>
        </w:rPr>
        <w:t>projektai</w:t>
      </w:r>
      <w:r w:rsidR="008D20C3" w:rsidRPr="00650EE4">
        <w:rPr>
          <w:rFonts w:ascii="Times New Roman" w:hAnsi="Times New Roman"/>
          <w:szCs w:val="22"/>
        </w:rPr>
        <w:t xml:space="preserve"> yra per mažos apimties tiek tarptautinėms finansų institucijoms tiek NT fondams, tiek</w:t>
      </w:r>
      <w:r w:rsidR="000A24D5">
        <w:rPr>
          <w:rFonts w:ascii="Times New Roman" w:hAnsi="Times New Roman"/>
          <w:szCs w:val="22"/>
        </w:rPr>
        <w:t xml:space="preserve"> didžiosioms statybų bendrovėms, </w:t>
      </w:r>
      <w:proofErr w:type="spellStart"/>
      <w:r w:rsidR="000A24D5">
        <w:rPr>
          <w:rFonts w:ascii="Times New Roman" w:hAnsi="Times New Roman"/>
          <w:szCs w:val="22"/>
        </w:rPr>
        <w:t>pvz</w:t>
      </w:r>
      <w:proofErr w:type="spellEnd"/>
      <w:r w:rsidR="008D20C3" w:rsidRPr="00650EE4">
        <w:rPr>
          <w:rFonts w:ascii="Times New Roman" w:hAnsi="Times New Roman"/>
          <w:szCs w:val="22"/>
        </w:rPr>
        <w:t>:</w:t>
      </w:r>
    </w:p>
    <w:p w14:paraId="5B70FD68" w14:textId="3BF23EED" w:rsidR="008D20C3" w:rsidRPr="00650EE4" w:rsidRDefault="00A06D88" w:rsidP="00BD4925">
      <w:pPr>
        <w:pStyle w:val="ListParagraph"/>
        <w:numPr>
          <w:ilvl w:val="0"/>
          <w:numId w:val="59"/>
        </w:numPr>
        <w:spacing w:before="60" w:after="60"/>
        <w:jc w:val="both"/>
        <w:rPr>
          <w:rFonts w:ascii="Times New Roman" w:hAnsi="Times New Roman"/>
          <w:szCs w:val="22"/>
          <w:lang w:val="lt-LT"/>
        </w:rPr>
      </w:pPr>
      <w:r w:rsidRPr="00650EE4">
        <w:rPr>
          <w:rFonts w:ascii="Times New Roman" w:hAnsi="Times New Roman"/>
          <w:szCs w:val="22"/>
          <w:lang w:val="lt-LT"/>
        </w:rPr>
        <w:t>E</w:t>
      </w:r>
      <w:r w:rsidR="008D20C3" w:rsidRPr="00650EE4">
        <w:rPr>
          <w:rFonts w:ascii="Times New Roman" w:hAnsi="Times New Roman"/>
          <w:szCs w:val="22"/>
          <w:lang w:val="lt-LT"/>
        </w:rPr>
        <w:t xml:space="preserve">uropos plėtros ir rekonstrukcijos bankas. Vienam projektui nėra skiriamas didesnis finansavimas nei 35 proc. viso projekto išlaidų; finansavimo dydis ne mažesnis nei 5 mln. eurų; </w:t>
      </w:r>
    </w:p>
    <w:p w14:paraId="18B6637D" w14:textId="5688E8D7" w:rsidR="008D20C3" w:rsidRPr="00650EE4" w:rsidRDefault="008D20C3" w:rsidP="00BD4925">
      <w:pPr>
        <w:pStyle w:val="ListParagraph"/>
        <w:numPr>
          <w:ilvl w:val="0"/>
          <w:numId w:val="59"/>
        </w:numPr>
        <w:spacing w:before="60" w:after="60"/>
        <w:jc w:val="both"/>
        <w:rPr>
          <w:rFonts w:ascii="Times New Roman" w:hAnsi="Times New Roman"/>
          <w:szCs w:val="22"/>
          <w:lang w:val="lt-LT"/>
        </w:rPr>
      </w:pPr>
      <w:r w:rsidRPr="00650EE4">
        <w:rPr>
          <w:rFonts w:ascii="Times New Roman" w:hAnsi="Times New Roman"/>
          <w:szCs w:val="22"/>
          <w:lang w:val="lt-LT"/>
        </w:rPr>
        <w:t xml:space="preserve">Europos investicijų bankas. Vienam projektui nėra skiriamas didesnis finansavimas nei 50 proc. viso projekto išlaidų; finansavimo dydis ne mažesnis nei 25 mln. eurų; jeigu projektas yra mažesnės apimties, finansavimas gali būti teikiamas per finansinius tarpininkus; </w:t>
      </w:r>
    </w:p>
    <w:p w14:paraId="48D312D7" w14:textId="5D5954D9" w:rsidR="008D20C3" w:rsidRPr="00650EE4" w:rsidRDefault="008D20C3" w:rsidP="00BD4925">
      <w:pPr>
        <w:pStyle w:val="ListParagraph"/>
        <w:numPr>
          <w:ilvl w:val="0"/>
          <w:numId w:val="59"/>
        </w:numPr>
        <w:spacing w:before="60" w:after="60"/>
        <w:jc w:val="both"/>
        <w:rPr>
          <w:rFonts w:ascii="Times New Roman" w:hAnsi="Times New Roman"/>
          <w:szCs w:val="22"/>
          <w:lang w:val="lt-LT"/>
        </w:rPr>
      </w:pPr>
      <w:r w:rsidRPr="00650EE4">
        <w:rPr>
          <w:rFonts w:ascii="Times New Roman" w:hAnsi="Times New Roman"/>
          <w:szCs w:val="22"/>
          <w:lang w:val="lt-LT"/>
        </w:rPr>
        <w:t>Šiaurės investicijų bankas. Vienam projektui nėra skiriamas didesnis finansavimas nei 50 proc. viso projekto išlaidų; finansavimo dydis ne mažesnis nei 5 mln. eurų. Atsižvelgiant į tai, tikėtina, kad nė viena tarptautinė finansų institucija nefinansuotų pavienių pastatų energijos efektyvumo projektų dėl per mažos jų apimties.</w:t>
      </w:r>
    </w:p>
    <w:p w14:paraId="27EFC6B8" w14:textId="77777777" w:rsidR="00DA1A2F" w:rsidRPr="00650EE4" w:rsidRDefault="00DA1A2F" w:rsidP="006A278B">
      <w:pPr>
        <w:spacing w:before="60" w:after="60"/>
        <w:jc w:val="both"/>
        <w:rPr>
          <w:rFonts w:ascii="Times New Roman" w:hAnsi="Times New Roman"/>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8D20C3" w:rsidRPr="00650EE4" w14:paraId="7714A2B7" w14:textId="77777777" w:rsidTr="000C1D71">
        <w:trPr>
          <w:trHeight w:val="61"/>
        </w:trPr>
        <w:tc>
          <w:tcPr>
            <w:tcW w:w="3114" w:type="dxa"/>
          </w:tcPr>
          <w:p w14:paraId="7F024940" w14:textId="77777777" w:rsidR="008D20C3" w:rsidRPr="00650EE4" w:rsidRDefault="008D20C3" w:rsidP="000C1D7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C5940B8" w14:textId="29C5BB4C" w:rsidR="008D20C3" w:rsidRPr="00650EE4" w:rsidRDefault="00AC0392" w:rsidP="000C1D71">
            <w:pPr>
              <w:spacing w:after="60"/>
              <w:rPr>
                <w:rFonts w:ascii="Times New Roman" w:hAnsi="Times New Roman"/>
                <w:szCs w:val="22"/>
                <w:lang w:eastAsia="lt-LT"/>
              </w:rPr>
            </w:pPr>
            <w:r w:rsidRPr="00650EE4">
              <w:rPr>
                <w:rFonts w:ascii="Times New Roman" w:hAnsi="Times New Roman"/>
                <w:szCs w:val="22"/>
                <w:lang w:eastAsia="lt-LT"/>
              </w:rPr>
              <w:t>P12. R</w:t>
            </w:r>
            <w:r w:rsidR="00DE364B">
              <w:rPr>
                <w:rFonts w:ascii="Times New Roman" w:hAnsi="Times New Roman"/>
                <w:szCs w:val="22"/>
                <w:lang w:eastAsia="lt-LT"/>
              </w:rPr>
              <w:t>enovacijos projektų agregavimas</w:t>
            </w:r>
          </w:p>
        </w:tc>
      </w:tr>
      <w:tr w:rsidR="008D20C3" w:rsidRPr="00650EE4" w14:paraId="221787FF" w14:textId="77777777" w:rsidTr="000C1D71">
        <w:trPr>
          <w:trHeight w:val="61"/>
        </w:trPr>
        <w:tc>
          <w:tcPr>
            <w:tcW w:w="3114" w:type="dxa"/>
          </w:tcPr>
          <w:p w14:paraId="6DB33872" w14:textId="77777777" w:rsidR="008D20C3" w:rsidRPr="00650EE4" w:rsidRDefault="008D20C3"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F8951E5" w14:textId="77777777" w:rsidR="008D20C3" w:rsidRPr="00650EE4" w:rsidRDefault="008D20C3"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8D20C3" w:rsidRPr="00650EE4" w14:paraId="5C366870" w14:textId="77777777" w:rsidTr="000C1D71">
        <w:trPr>
          <w:trHeight w:val="76"/>
        </w:trPr>
        <w:tc>
          <w:tcPr>
            <w:tcW w:w="3114" w:type="dxa"/>
          </w:tcPr>
          <w:p w14:paraId="7BC91840" w14:textId="77777777" w:rsidR="008D20C3" w:rsidRPr="00650EE4" w:rsidRDefault="008D20C3"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6CB44E8D" w14:textId="77777777" w:rsidR="008D20C3" w:rsidRPr="00650EE4" w:rsidRDefault="008D20C3" w:rsidP="000C1D7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69D3B2A" w14:textId="77777777" w:rsidR="009C069B" w:rsidRPr="00650EE4" w:rsidRDefault="009C069B" w:rsidP="000F308C">
      <w:pPr>
        <w:spacing w:after="120"/>
        <w:jc w:val="both"/>
        <w:rPr>
          <w:rFonts w:ascii="Times New Roman" w:hAnsi="Times New Roman"/>
          <w:color w:val="000000" w:themeColor="text1"/>
          <w:sz w:val="24"/>
          <w:szCs w:val="24"/>
        </w:rPr>
      </w:pPr>
    </w:p>
    <w:p w14:paraId="42A606C0" w14:textId="7119F515" w:rsidR="00710357" w:rsidRPr="00650EE4" w:rsidRDefault="00AC569D" w:rsidP="00710357">
      <w:pPr>
        <w:pStyle w:val="Antrastes31"/>
        <w:numPr>
          <w:ilvl w:val="2"/>
          <w:numId w:val="4"/>
        </w:numPr>
        <w:spacing w:before="0"/>
        <w:ind w:left="720" w:hanging="720"/>
        <w:rPr>
          <w:rFonts w:ascii="Times New Roman" w:hAnsi="Times New Roman"/>
          <w:color w:val="000000" w:themeColor="text1"/>
          <w:sz w:val="24"/>
          <w:szCs w:val="24"/>
          <w:lang w:val="lt-LT"/>
        </w:rPr>
      </w:pPr>
      <w:bookmarkStart w:id="152" w:name="_Toc67925156"/>
      <w:r w:rsidRPr="00650EE4">
        <w:rPr>
          <w:rFonts w:ascii="Times New Roman" w:hAnsi="Times New Roman"/>
          <w:color w:val="000000" w:themeColor="text1"/>
          <w:sz w:val="24"/>
          <w:szCs w:val="24"/>
          <w:lang w:val="lt-LT"/>
        </w:rPr>
        <w:t>Komunikacijos barjerai</w:t>
      </w:r>
      <w:bookmarkEnd w:id="152"/>
    </w:p>
    <w:p w14:paraId="7B9F18D7" w14:textId="70C1D48E" w:rsidR="007820BE" w:rsidRPr="00650EE4" w:rsidRDefault="007820BE" w:rsidP="00684112">
      <w:pPr>
        <w:spacing w:after="120"/>
        <w:jc w:val="both"/>
        <w:rPr>
          <w:rFonts w:ascii="Times New Roman" w:hAnsi="Times New Roman"/>
          <w:b/>
          <w:bCs/>
          <w:szCs w:val="24"/>
        </w:rPr>
      </w:pPr>
      <w:r w:rsidRPr="00650EE4">
        <w:rPr>
          <w:rFonts w:ascii="Times New Roman" w:hAnsi="Times New Roman"/>
          <w:b/>
          <w:bCs/>
          <w:szCs w:val="24"/>
        </w:rPr>
        <w:t>B1</w:t>
      </w:r>
      <w:r w:rsidR="000E7641" w:rsidRPr="00650EE4">
        <w:rPr>
          <w:rFonts w:ascii="Times New Roman" w:hAnsi="Times New Roman"/>
          <w:b/>
          <w:bCs/>
          <w:szCs w:val="24"/>
        </w:rPr>
        <w:t>3</w:t>
      </w:r>
      <w:r w:rsidRPr="00650EE4">
        <w:rPr>
          <w:rFonts w:ascii="Times New Roman" w:hAnsi="Times New Roman"/>
          <w:b/>
          <w:bCs/>
          <w:szCs w:val="24"/>
        </w:rPr>
        <w:t xml:space="preserve">. Nepakankama informacija apie renovacijos teikiamas naudas </w:t>
      </w:r>
    </w:p>
    <w:p w14:paraId="2188DC9B" w14:textId="2E2F12D6" w:rsidR="007820BE" w:rsidRPr="00650EE4" w:rsidRDefault="007820BE" w:rsidP="007820B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Savininko investicija yra finansinė, tuo tarpu renovacijos teikiamos naudos yra daugialypės (ne tik energijos </w:t>
      </w:r>
      <w:r w:rsidR="00401381">
        <w:rPr>
          <w:rFonts w:ascii="Times New Roman" w:hAnsi="Times New Roman"/>
          <w:color w:val="000000" w:themeColor="text1"/>
          <w:szCs w:val="22"/>
          <w:lang w:val="lt-LT"/>
        </w:rPr>
        <w:t xml:space="preserve">išlaidų </w:t>
      </w:r>
      <w:r w:rsidRPr="00650EE4">
        <w:rPr>
          <w:rFonts w:ascii="Times New Roman" w:hAnsi="Times New Roman"/>
          <w:color w:val="000000" w:themeColor="text1"/>
          <w:szCs w:val="22"/>
          <w:lang w:val="lt-LT"/>
        </w:rPr>
        <w:t xml:space="preserve">sutaupymas, bet ir būsto vertės padidėjimas, geresnė socialinė aplinka, pagerėjusi sveikata, pastato saugumas ir pan.). Atitinkamai, tam, kad pastato savininkas tikėtų renovacijos nauda, jis turi būti informuotas apie visą renovacijos galimybių ir naudų spektrą. Tai ypač aktualu tuomet, kai dėl nepilnų kaštų įtraukimo energijos kaina yra žema (žr. </w:t>
      </w:r>
      <w:r w:rsidR="000B1823" w:rsidRPr="00650EE4">
        <w:rPr>
          <w:rFonts w:ascii="Times New Roman" w:hAnsi="Times New Roman"/>
          <w:color w:val="000000" w:themeColor="text1"/>
          <w:szCs w:val="22"/>
          <w:lang w:val="lt-LT"/>
        </w:rPr>
        <w:t>B5</w:t>
      </w:r>
      <w:r w:rsidRPr="00650EE4">
        <w:rPr>
          <w:rFonts w:ascii="Times New Roman" w:hAnsi="Times New Roman"/>
          <w:color w:val="000000" w:themeColor="text1"/>
          <w:szCs w:val="22"/>
          <w:lang w:val="lt-LT"/>
        </w:rPr>
        <w:t xml:space="preserve">) ir rezultate finansinės renovacijos naudos </w:t>
      </w:r>
      <w:r w:rsidR="009D7555">
        <w:rPr>
          <w:rFonts w:ascii="Times New Roman" w:hAnsi="Times New Roman"/>
          <w:color w:val="000000" w:themeColor="text1"/>
          <w:szCs w:val="22"/>
          <w:lang w:val="lt-LT"/>
        </w:rPr>
        <w:t xml:space="preserve">nekuria pakankamos motyvacijos </w:t>
      </w:r>
      <w:r w:rsidRPr="00650EE4">
        <w:rPr>
          <w:rFonts w:ascii="Times New Roman" w:hAnsi="Times New Roman"/>
          <w:color w:val="000000" w:themeColor="text1"/>
          <w:szCs w:val="22"/>
          <w:lang w:val="lt-LT"/>
        </w:rPr>
        <w:t xml:space="preserve">dalyvauti renovacijoje. </w:t>
      </w:r>
    </w:p>
    <w:p w14:paraId="4F5DC4A8" w14:textId="77777777" w:rsidR="007820BE" w:rsidRPr="00650EE4" w:rsidRDefault="007820BE" w:rsidP="007820BE">
      <w:pPr>
        <w:pStyle w:val="BodyText"/>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7820BE" w:rsidRPr="00650EE4" w14:paraId="7D3FB5BE" w14:textId="77777777" w:rsidTr="000C1D71">
        <w:trPr>
          <w:trHeight w:val="61"/>
        </w:trPr>
        <w:tc>
          <w:tcPr>
            <w:tcW w:w="3114" w:type="dxa"/>
          </w:tcPr>
          <w:p w14:paraId="5B4E3FD0" w14:textId="77777777" w:rsidR="007820BE" w:rsidRPr="00650EE4" w:rsidRDefault="007820BE" w:rsidP="000C1D7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63F30625" w14:textId="33EF07DF" w:rsidR="007820BE" w:rsidRPr="00650EE4" w:rsidRDefault="00C46117" w:rsidP="000C1D71">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7</w:t>
            </w:r>
            <w:r w:rsidRPr="00650EE4">
              <w:rPr>
                <w:rFonts w:ascii="Times New Roman" w:hAnsi="Times New Roman"/>
                <w:szCs w:val="22"/>
                <w:lang w:eastAsia="lt-LT"/>
              </w:rPr>
              <w:t>. Komunikacija apie renovacijos naudas ir priemones</w:t>
            </w:r>
          </w:p>
        </w:tc>
      </w:tr>
      <w:tr w:rsidR="007820BE" w:rsidRPr="00650EE4" w14:paraId="24F93906" w14:textId="77777777" w:rsidTr="000C1D71">
        <w:trPr>
          <w:trHeight w:val="61"/>
        </w:trPr>
        <w:tc>
          <w:tcPr>
            <w:tcW w:w="3114" w:type="dxa"/>
          </w:tcPr>
          <w:p w14:paraId="102C4757" w14:textId="77777777" w:rsidR="007820BE" w:rsidRPr="00650EE4" w:rsidRDefault="007820BE"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DB99E43" w14:textId="77777777" w:rsidR="007820BE" w:rsidRPr="00650EE4" w:rsidRDefault="007820BE"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7820BE" w:rsidRPr="00650EE4" w14:paraId="29A5E011" w14:textId="77777777" w:rsidTr="000C1D71">
        <w:trPr>
          <w:trHeight w:val="76"/>
        </w:trPr>
        <w:tc>
          <w:tcPr>
            <w:tcW w:w="3114" w:type="dxa"/>
          </w:tcPr>
          <w:p w14:paraId="080D5601" w14:textId="77777777" w:rsidR="007820BE" w:rsidRPr="00650EE4" w:rsidRDefault="007820BE"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2A90809" w14:textId="77777777" w:rsidR="007820BE" w:rsidRPr="00650EE4" w:rsidRDefault="007820BE" w:rsidP="000C1D7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5B91B8C1" w14:textId="77777777" w:rsidR="007820BE" w:rsidRPr="00650EE4" w:rsidRDefault="007820BE" w:rsidP="007820BE">
      <w:pPr>
        <w:pStyle w:val="BodyText"/>
        <w:rPr>
          <w:rFonts w:ascii="Times New Roman" w:hAnsi="Times New Roman"/>
          <w:lang w:val="lt-LT"/>
        </w:rPr>
      </w:pPr>
    </w:p>
    <w:p w14:paraId="08E82DEE" w14:textId="77777777" w:rsidR="00D75C6A" w:rsidRPr="00650EE4" w:rsidRDefault="00D75C6A" w:rsidP="007820BE">
      <w:pPr>
        <w:pStyle w:val="BodyText"/>
        <w:rPr>
          <w:rFonts w:ascii="Times New Roman" w:hAnsi="Times New Roman"/>
          <w:lang w:val="lt-LT"/>
        </w:rPr>
      </w:pPr>
    </w:p>
    <w:p w14:paraId="772916ED" w14:textId="75ECBC86" w:rsidR="00F87F26" w:rsidRPr="00650EE4" w:rsidRDefault="00F87F26" w:rsidP="00684112">
      <w:pPr>
        <w:spacing w:after="120"/>
        <w:jc w:val="both"/>
        <w:rPr>
          <w:rFonts w:ascii="Times New Roman" w:hAnsi="Times New Roman"/>
          <w:b/>
          <w:bCs/>
          <w:szCs w:val="24"/>
        </w:rPr>
      </w:pPr>
      <w:r w:rsidRPr="00650EE4">
        <w:rPr>
          <w:rFonts w:ascii="Times New Roman" w:hAnsi="Times New Roman"/>
          <w:b/>
          <w:bCs/>
          <w:szCs w:val="24"/>
        </w:rPr>
        <w:t>B</w:t>
      </w:r>
      <w:r w:rsidR="000E7641" w:rsidRPr="00650EE4">
        <w:rPr>
          <w:rFonts w:ascii="Times New Roman" w:hAnsi="Times New Roman"/>
          <w:b/>
          <w:bCs/>
          <w:szCs w:val="24"/>
        </w:rPr>
        <w:t>14</w:t>
      </w:r>
      <w:r w:rsidRPr="00650EE4">
        <w:rPr>
          <w:rFonts w:ascii="Times New Roman" w:hAnsi="Times New Roman"/>
          <w:b/>
          <w:bCs/>
          <w:szCs w:val="24"/>
        </w:rPr>
        <w:t xml:space="preserve">. Nepakankama informacija apie renovacijos neišvengiamumą </w:t>
      </w:r>
    </w:p>
    <w:p w14:paraId="3D4B6E58" w14:textId="7D2FD3D4" w:rsidR="000B0F9E" w:rsidRPr="00650EE4" w:rsidRDefault="009D7555" w:rsidP="00D75C6A">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002C5823" w:rsidRPr="00650EE4">
        <w:rPr>
          <w:rFonts w:ascii="Times New Roman" w:hAnsi="Times New Roman"/>
          <w:color w:val="000000" w:themeColor="text1"/>
          <w:szCs w:val="22"/>
          <w:lang w:val="lt-LT"/>
        </w:rPr>
        <w:t xml:space="preserve">ienas iš esminių </w:t>
      </w:r>
      <w:r w:rsidR="00F87F26" w:rsidRPr="00650EE4">
        <w:rPr>
          <w:rFonts w:ascii="Times New Roman" w:hAnsi="Times New Roman"/>
          <w:color w:val="000000" w:themeColor="text1"/>
          <w:szCs w:val="22"/>
          <w:lang w:val="lt-LT"/>
        </w:rPr>
        <w:t xml:space="preserve">barjerų trukdančių sparčiai įgyvendinti renovaciją yra nepakankama komunikacija apie renovacijos neišvengiamumą t.y. akcentavimą, kad žemo energinio efektyvumo pastatų fondo daliai ilgalaikėje perspektyvoje nėra pasirinkimo dalyvauti renovacijoje ar ne. </w:t>
      </w:r>
      <w:r w:rsidR="000B0F9E" w:rsidRPr="00650EE4">
        <w:rPr>
          <w:rFonts w:ascii="Times New Roman" w:hAnsi="Times New Roman"/>
          <w:color w:val="000000" w:themeColor="text1"/>
          <w:szCs w:val="22"/>
          <w:lang w:val="lt-LT"/>
        </w:rPr>
        <w:t xml:space="preserve">Esminiai neišvengiamumą </w:t>
      </w:r>
      <w:r w:rsidR="00781599" w:rsidRPr="00650EE4">
        <w:rPr>
          <w:rFonts w:ascii="Times New Roman" w:hAnsi="Times New Roman"/>
          <w:color w:val="000000" w:themeColor="text1"/>
          <w:szCs w:val="22"/>
          <w:lang w:val="lt-LT"/>
        </w:rPr>
        <w:t>sąlygojantys</w:t>
      </w:r>
      <w:r w:rsidR="000B0F9E" w:rsidRPr="00650EE4">
        <w:rPr>
          <w:rFonts w:ascii="Times New Roman" w:hAnsi="Times New Roman"/>
          <w:color w:val="000000" w:themeColor="text1"/>
          <w:szCs w:val="22"/>
          <w:lang w:val="lt-LT"/>
        </w:rPr>
        <w:t xml:space="preserve"> veiksniai:</w:t>
      </w:r>
    </w:p>
    <w:p w14:paraId="29FB84C5" w14:textId="32D2CDCC" w:rsidR="00D75C6A" w:rsidRPr="00650EE4" w:rsidRDefault="000A24D5"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D75C6A" w:rsidRPr="00650EE4">
        <w:rPr>
          <w:rFonts w:ascii="Times New Roman" w:hAnsi="Times New Roman"/>
          <w:color w:val="000000" w:themeColor="text1"/>
          <w:szCs w:val="22"/>
          <w:lang w:val="lt-LT"/>
        </w:rPr>
        <w:t>rasta didžiosios dalies pastatų techninė būklė (iki 2050 m. dalį pastatų bet kokiu atveju teks renovuoti, pasinaudojant valstybės teikiamomis priemonėmis</w:t>
      </w:r>
      <w:r w:rsidR="009D7555">
        <w:rPr>
          <w:rFonts w:ascii="Times New Roman" w:hAnsi="Times New Roman"/>
          <w:color w:val="000000" w:themeColor="text1"/>
          <w:szCs w:val="22"/>
          <w:lang w:val="lt-LT"/>
        </w:rPr>
        <w:t xml:space="preserve"> arba ne</w:t>
      </w:r>
      <w:r w:rsidR="00D75C6A" w:rsidRPr="00650EE4">
        <w:rPr>
          <w:rFonts w:ascii="Times New Roman" w:hAnsi="Times New Roman"/>
          <w:color w:val="000000" w:themeColor="text1"/>
          <w:szCs w:val="22"/>
          <w:lang w:val="lt-LT"/>
        </w:rPr>
        <w:t>)</w:t>
      </w:r>
      <w:r>
        <w:rPr>
          <w:rFonts w:ascii="Times New Roman" w:hAnsi="Times New Roman"/>
          <w:color w:val="000000" w:themeColor="text1"/>
          <w:szCs w:val="22"/>
          <w:lang w:val="lt-LT"/>
        </w:rPr>
        <w:t>;</w:t>
      </w:r>
    </w:p>
    <w:p w14:paraId="402D6578" w14:textId="61C7D2A8" w:rsidR="00D75C6A" w:rsidRPr="00650EE4" w:rsidRDefault="00D75C6A" w:rsidP="00BD4925">
      <w:pPr>
        <w:pStyle w:val="BodyText"/>
        <w:numPr>
          <w:ilvl w:val="0"/>
          <w:numId w:val="60"/>
        </w:numPr>
        <w:spacing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Lietuva, kaip ES šalis </w:t>
      </w:r>
      <w:r w:rsidR="009D7555">
        <w:rPr>
          <w:rFonts w:ascii="Times New Roman" w:hAnsi="Times New Roman"/>
          <w:color w:val="000000" w:themeColor="text1"/>
          <w:szCs w:val="22"/>
          <w:lang w:val="lt-LT"/>
        </w:rPr>
        <w:t>turi</w:t>
      </w:r>
      <w:r w:rsidRPr="00650EE4">
        <w:rPr>
          <w:rFonts w:ascii="Times New Roman" w:hAnsi="Times New Roman"/>
          <w:color w:val="000000" w:themeColor="text1"/>
          <w:szCs w:val="22"/>
          <w:lang w:val="lt-LT"/>
        </w:rPr>
        <w:t xml:space="preserve"> vykdyti ES strateginių dokumentų (Reglamentų, Žaliojo kurso ir pan.) </w:t>
      </w:r>
      <w:r w:rsidR="002C5823" w:rsidRPr="00650EE4">
        <w:rPr>
          <w:rFonts w:ascii="Times New Roman" w:hAnsi="Times New Roman"/>
          <w:color w:val="000000" w:themeColor="text1"/>
          <w:szCs w:val="22"/>
          <w:lang w:val="lt-LT"/>
        </w:rPr>
        <w:t>nuos</w:t>
      </w:r>
      <w:r w:rsidRPr="00650EE4">
        <w:rPr>
          <w:rFonts w:ascii="Times New Roman" w:hAnsi="Times New Roman"/>
          <w:color w:val="000000" w:themeColor="text1"/>
          <w:szCs w:val="22"/>
          <w:lang w:val="lt-LT"/>
        </w:rPr>
        <w:t xml:space="preserve">tatas. </w:t>
      </w:r>
      <w:r w:rsidR="002C5823" w:rsidRPr="00650EE4">
        <w:rPr>
          <w:rFonts w:ascii="Times New Roman" w:hAnsi="Times New Roman"/>
          <w:color w:val="000000" w:themeColor="text1"/>
          <w:szCs w:val="22"/>
          <w:lang w:val="lt-LT"/>
        </w:rPr>
        <w:t xml:space="preserve">ES įpareigojimų vykdymas </w:t>
      </w:r>
      <w:r w:rsidRPr="00650EE4">
        <w:rPr>
          <w:rFonts w:ascii="Times New Roman" w:hAnsi="Times New Roman"/>
          <w:color w:val="000000" w:themeColor="text1"/>
          <w:szCs w:val="22"/>
          <w:lang w:val="lt-LT"/>
        </w:rPr>
        <w:t xml:space="preserve">yra buvimo ES </w:t>
      </w:r>
      <w:r w:rsidR="000A24D5">
        <w:rPr>
          <w:rFonts w:ascii="Times New Roman" w:hAnsi="Times New Roman"/>
          <w:color w:val="000000" w:themeColor="text1"/>
          <w:szCs w:val="22"/>
          <w:lang w:val="lt-LT"/>
        </w:rPr>
        <w:t>dalis;</w:t>
      </w:r>
      <w:r w:rsidR="002C5823" w:rsidRPr="00650EE4">
        <w:rPr>
          <w:rFonts w:ascii="Times New Roman" w:hAnsi="Times New Roman"/>
          <w:color w:val="000000" w:themeColor="text1"/>
          <w:szCs w:val="22"/>
          <w:lang w:val="lt-LT"/>
        </w:rPr>
        <w:t xml:space="preserve"> </w:t>
      </w:r>
    </w:p>
    <w:p w14:paraId="10EC6EF1" w14:textId="3C5BEDA0" w:rsidR="00D75C6A" w:rsidRPr="00650EE4" w:rsidRDefault="000A24D5" w:rsidP="00BD4925">
      <w:pPr>
        <w:pStyle w:val="BodyText"/>
        <w:numPr>
          <w:ilvl w:val="0"/>
          <w:numId w:val="60"/>
        </w:numPr>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D75C6A" w:rsidRPr="00650EE4">
        <w:rPr>
          <w:rFonts w:ascii="Times New Roman" w:hAnsi="Times New Roman"/>
          <w:color w:val="000000" w:themeColor="text1"/>
          <w:szCs w:val="22"/>
          <w:lang w:val="lt-LT"/>
        </w:rPr>
        <w:t xml:space="preserve">titinkamai, </w:t>
      </w:r>
      <w:r w:rsidR="001062B1" w:rsidRPr="00650EE4">
        <w:rPr>
          <w:rFonts w:ascii="Times New Roman" w:hAnsi="Times New Roman"/>
          <w:color w:val="000000" w:themeColor="text1"/>
          <w:szCs w:val="22"/>
          <w:lang w:val="lt-LT"/>
        </w:rPr>
        <w:t xml:space="preserve">šalia skatinamųjų priemonių motyvuojančių dalyvauti renovacijoje </w:t>
      </w:r>
      <w:r w:rsidR="00781599" w:rsidRPr="00650EE4">
        <w:rPr>
          <w:rFonts w:ascii="Times New Roman" w:hAnsi="Times New Roman"/>
          <w:color w:val="000000" w:themeColor="text1"/>
          <w:szCs w:val="22"/>
          <w:lang w:val="lt-LT"/>
        </w:rPr>
        <w:t>neišvengiamai</w:t>
      </w:r>
      <w:r w:rsidR="001062B1" w:rsidRPr="00650EE4">
        <w:rPr>
          <w:rFonts w:ascii="Times New Roman" w:hAnsi="Times New Roman"/>
          <w:color w:val="000000" w:themeColor="text1"/>
          <w:szCs w:val="22"/>
          <w:lang w:val="lt-LT"/>
        </w:rPr>
        <w:t xml:space="preserve"> atsiras ir drausminančios priemonės (taršos mokesčiai, ribojimai </w:t>
      </w:r>
      <w:r>
        <w:rPr>
          <w:rFonts w:ascii="Times New Roman" w:hAnsi="Times New Roman"/>
          <w:color w:val="000000" w:themeColor="text1"/>
          <w:szCs w:val="22"/>
          <w:lang w:val="lt-LT"/>
        </w:rPr>
        <w:t>nuomoti / parduoti</w:t>
      </w:r>
      <w:r w:rsidR="001062B1" w:rsidRPr="00650EE4">
        <w:rPr>
          <w:rFonts w:ascii="Times New Roman" w:hAnsi="Times New Roman"/>
          <w:color w:val="000000" w:themeColor="text1"/>
          <w:szCs w:val="22"/>
          <w:lang w:val="lt-LT"/>
        </w:rPr>
        <w:t xml:space="preserve"> neefektyvius pastatus ir pan.) </w:t>
      </w:r>
      <w:r w:rsidR="00577456" w:rsidRPr="00650EE4">
        <w:rPr>
          <w:rFonts w:ascii="Times New Roman" w:hAnsi="Times New Roman"/>
          <w:color w:val="000000" w:themeColor="text1"/>
          <w:szCs w:val="22"/>
          <w:lang w:val="lt-LT"/>
        </w:rPr>
        <w:t>skirtos valdyti</w:t>
      </w:r>
      <w:r w:rsidR="001062B1" w:rsidRPr="00650EE4">
        <w:rPr>
          <w:rFonts w:ascii="Times New Roman" w:hAnsi="Times New Roman"/>
          <w:color w:val="000000" w:themeColor="text1"/>
          <w:szCs w:val="22"/>
          <w:lang w:val="lt-LT"/>
        </w:rPr>
        <w:t xml:space="preserve"> neatsakingą ir neracionalią </w:t>
      </w:r>
      <w:r w:rsidR="00A32183" w:rsidRPr="00650EE4">
        <w:rPr>
          <w:rFonts w:ascii="Times New Roman" w:hAnsi="Times New Roman"/>
          <w:color w:val="000000" w:themeColor="text1"/>
          <w:szCs w:val="22"/>
          <w:lang w:val="lt-LT"/>
        </w:rPr>
        <w:t xml:space="preserve">pastatų savininkų </w:t>
      </w:r>
      <w:r w:rsidR="001062B1" w:rsidRPr="00650EE4">
        <w:rPr>
          <w:rFonts w:ascii="Times New Roman" w:hAnsi="Times New Roman"/>
          <w:color w:val="000000" w:themeColor="text1"/>
          <w:szCs w:val="22"/>
          <w:lang w:val="lt-LT"/>
        </w:rPr>
        <w:t xml:space="preserve">elgseną. </w:t>
      </w:r>
    </w:p>
    <w:p w14:paraId="7EEA490B" w14:textId="0BF5F948" w:rsidR="00F87F26" w:rsidRPr="00650EE4" w:rsidRDefault="009D7555" w:rsidP="00644441">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00D75C6A" w:rsidRPr="00650EE4">
        <w:rPr>
          <w:rFonts w:ascii="Times New Roman" w:hAnsi="Times New Roman"/>
          <w:color w:val="000000" w:themeColor="text1"/>
          <w:szCs w:val="22"/>
          <w:lang w:val="lt-LT"/>
        </w:rPr>
        <w:t>omunikacija apie renovacijos neišvengiamumą turėtų būti orientuota į du segmentus:</w:t>
      </w:r>
    </w:p>
    <w:p w14:paraId="5B2EDA45" w14:textId="3A9BE594" w:rsidR="00D75C6A" w:rsidRPr="00650EE4" w:rsidRDefault="000A24D5"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D75C6A" w:rsidRPr="00650EE4">
        <w:rPr>
          <w:rFonts w:ascii="Times New Roman" w:hAnsi="Times New Roman"/>
          <w:color w:val="000000" w:themeColor="text1"/>
          <w:szCs w:val="22"/>
          <w:lang w:val="lt-LT"/>
        </w:rPr>
        <w:t>astatų savininkus (motyvuojant juos dalyvauti)</w:t>
      </w:r>
      <w:r>
        <w:rPr>
          <w:rFonts w:ascii="Times New Roman" w:hAnsi="Times New Roman"/>
          <w:color w:val="000000" w:themeColor="text1"/>
          <w:szCs w:val="22"/>
          <w:lang w:val="lt-LT"/>
        </w:rPr>
        <w:t>;</w:t>
      </w:r>
    </w:p>
    <w:p w14:paraId="68C2B3D4" w14:textId="229E8117" w:rsidR="00D75C6A" w:rsidRPr="00650EE4" w:rsidRDefault="000A24D5"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D75C6A" w:rsidRPr="00650EE4">
        <w:rPr>
          <w:rFonts w:ascii="Times New Roman" w:hAnsi="Times New Roman"/>
          <w:color w:val="000000" w:themeColor="text1"/>
          <w:szCs w:val="22"/>
          <w:lang w:val="lt-LT"/>
        </w:rPr>
        <w:t>tatybos, projektavimo, finansavimo ir kitų renovacijoje dalyvaujančių suinteresuotų šalių atstovus</w:t>
      </w:r>
      <w:r w:rsidR="00157FF4" w:rsidRPr="00650EE4">
        <w:rPr>
          <w:rFonts w:ascii="Times New Roman" w:hAnsi="Times New Roman"/>
          <w:color w:val="000000" w:themeColor="text1"/>
          <w:szCs w:val="22"/>
          <w:lang w:val="lt-LT"/>
        </w:rPr>
        <w:t xml:space="preserve"> (suteikiant užtikrinimą, kad </w:t>
      </w:r>
      <w:r w:rsidR="002C5823" w:rsidRPr="00650EE4">
        <w:rPr>
          <w:rFonts w:ascii="Times New Roman" w:hAnsi="Times New Roman"/>
          <w:color w:val="000000" w:themeColor="text1"/>
          <w:szCs w:val="22"/>
          <w:lang w:val="lt-LT"/>
        </w:rPr>
        <w:t xml:space="preserve">valstybės politika šiuo klausimu yra aiški, įpareigojanti ir ilgalaikė). </w:t>
      </w:r>
    </w:p>
    <w:p w14:paraId="0B020BC9" w14:textId="77777777" w:rsidR="009C069B" w:rsidRPr="00650EE4" w:rsidRDefault="009C069B" w:rsidP="009C069B">
      <w:pPr>
        <w:pStyle w:val="BodyText"/>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F87F26" w:rsidRPr="00650EE4" w14:paraId="2CA4B6C3" w14:textId="77777777" w:rsidTr="00F951EE">
        <w:trPr>
          <w:trHeight w:val="61"/>
        </w:trPr>
        <w:tc>
          <w:tcPr>
            <w:tcW w:w="3114" w:type="dxa"/>
          </w:tcPr>
          <w:p w14:paraId="7D011D8F" w14:textId="77777777" w:rsidR="00F87F26" w:rsidRPr="00650EE4" w:rsidRDefault="00F87F26" w:rsidP="00F951EE">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ED7ECD0" w14:textId="50AC72B6" w:rsidR="00F87F26" w:rsidRPr="00650EE4" w:rsidRDefault="00A037CB" w:rsidP="00F951EE">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6</w:t>
            </w:r>
            <w:r w:rsidRPr="00650EE4">
              <w:rPr>
                <w:rFonts w:ascii="Times New Roman" w:hAnsi="Times New Roman"/>
                <w:szCs w:val="22"/>
                <w:lang w:eastAsia="lt-LT"/>
              </w:rPr>
              <w:t>. Komunikacija apie renovacijos neišvengiamumą</w:t>
            </w:r>
          </w:p>
        </w:tc>
      </w:tr>
      <w:tr w:rsidR="00F87F26" w:rsidRPr="00650EE4" w14:paraId="540DFDD1" w14:textId="77777777" w:rsidTr="00F951EE">
        <w:trPr>
          <w:trHeight w:val="61"/>
        </w:trPr>
        <w:tc>
          <w:tcPr>
            <w:tcW w:w="3114" w:type="dxa"/>
          </w:tcPr>
          <w:p w14:paraId="46043074" w14:textId="77777777" w:rsidR="00F87F26" w:rsidRPr="00650EE4" w:rsidRDefault="00F87F26" w:rsidP="00F951EE">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9C3B546" w14:textId="77777777" w:rsidR="00F87F26" w:rsidRPr="00650EE4" w:rsidRDefault="00F87F26" w:rsidP="00F951EE">
            <w:pPr>
              <w:spacing w:after="60"/>
              <w:rPr>
                <w:rFonts w:ascii="Times New Roman" w:hAnsi="Times New Roman"/>
                <w:szCs w:val="22"/>
                <w:lang w:eastAsia="lt-LT"/>
              </w:rPr>
            </w:pPr>
            <w:r w:rsidRPr="00650EE4">
              <w:rPr>
                <w:rFonts w:ascii="Times New Roman" w:hAnsi="Times New Roman"/>
                <w:szCs w:val="22"/>
                <w:lang w:eastAsia="lt-LT"/>
              </w:rPr>
              <w:t>Aukštas</w:t>
            </w:r>
          </w:p>
        </w:tc>
      </w:tr>
      <w:tr w:rsidR="00F87F26" w:rsidRPr="00650EE4" w14:paraId="2E0E055F" w14:textId="77777777" w:rsidTr="00F951EE">
        <w:trPr>
          <w:trHeight w:val="76"/>
        </w:trPr>
        <w:tc>
          <w:tcPr>
            <w:tcW w:w="3114" w:type="dxa"/>
          </w:tcPr>
          <w:p w14:paraId="37CF2E64" w14:textId="77777777" w:rsidR="00F87F26" w:rsidRPr="00650EE4" w:rsidRDefault="00F87F26" w:rsidP="00F951EE">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23388A6" w14:textId="77777777" w:rsidR="00F87F26" w:rsidRPr="00650EE4" w:rsidRDefault="00F87F26" w:rsidP="00F951EE">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64CBAEE6" w14:textId="77777777" w:rsidR="001A6139" w:rsidRDefault="001A6139">
      <w:pPr>
        <w:spacing w:after="240"/>
        <w:rPr>
          <w:rFonts w:ascii="Times New Roman" w:hAnsi="Times New Roman"/>
        </w:rPr>
      </w:pPr>
    </w:p>
    <w:p w14:paraId="467E20AD" w14:textId="77777777" w:rsidR="000E7641" w:rsidRPr="00650EE4" w:rsidRDefault="000E7641" w:rsidP="000E7641">
      <w:pPr>
        <w:pStyle w:val="Antrastes31"/>
        <w:numPr>
          <w:ilvl w:val="2"/>
          <w:numId w:val="4"/>
        </w:numPr>
        <w:spacing w:before="0"/>
        <w:ind w:left="720" w:hanging="720"/>
        <w:rPr>
          <w:rFonts w:ascii="Times New Roman" w:hAnsi="Times New Roman"/>
          <w:color w:val="000000" w:themeColor="text1"/>
          <w:sz w:val="24"/>
          <w:szCs w:val="24"/>
          <w:lang w:val="lt-LT"/>
        </w:rPr>
      </w:pPr>
      <w:bookmarkStart w:id="153" w:name="_Toc67925157"/>
      <w:r w:rsidRPr="00650EE4">
        <w:rPr>
          <w:rFonts w:ascii="Times New Roman" w:hAnsi="Times New Roman"/>
          <w:color w:val="000000" w:themeColor="text1"/>
          <w:sz w:val="24"/>
          <w:szCs w:val="24"/>
          <w:lang w:val="lt-LT"/>
        </w:rPr>
        <w:t>Įgyvendinimo barjerai</w:t>
      </w:r>
      <w:bookmarkEnd w:id="153"/>
    </w:p>
    <w:p w14:paraId="6FB87046" w14:textId="01A86656"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 xml:space="preserve">B15. Nepakankami savivaldybių vadybiniai pajėgumai </w:t>
      </w:r>
    </w:p>
    <w:p w14:paraId="11B82F0F" w14:textId="4D237E68" w:rsidR="000E7641" w:rsidRPr="00650EE4" w:rsidRDefault="000E7641" w:rsidP="000E7641">
      <w:pPr>
        <w:pStyle w:val="BodyText"/>
        <w:jc w:val="both"/>
        <w:rPr>
          <w:rFonts w:ascii="Times New Roman" w:hAnsi="Times New Roman"/>
          <w:szCs w:val="22"/>
          <w:lang w:val="lt-LT"/>
        </w:rPr>
      </w:pPr>
      <w:r w:rsidRPr="00650EE4">
        <w:rPr>
          <w:rFonts w:ascii="Times New Roman" w:hAnsi="Times New Roman"/>
          <w:szCs w:val="22"/>
          <w:lang w:val="lt-LT"/>
        </w:rPr>
        <w:t xml:space="preserve">Siekiant renovacijos proveržio ir deleguojant daugiau funkcijų savivaldybėms būtina nepamiršti, kad nepakankami savivaldybių vadybiniai pajėgumai gali tapti kritiniu barjeru  IRS įgyvendinimo procese. </w:t>
      </w:r>
      <w:r w:rsidR="009D7555">
        <w:rPr>
          <w:rFonts w:ascii="Times New Roman" w:hAnsi="Times New Roman"/>
          <w:szCs w:val="22"/>
          <w:lang w:val="lt-LT"/>
        </w:rPr>
        <w:t>S</w:t>
      </w:r>
      <w:r w:rsidRPr="00650EE4">
        <w:rPr>
          <w:rFonts w:ascii="Times New Roman" w:hAnsi="Times New Roman"/>
          <w:szCs w:val="22"/>
          <w:lang w:val="lt-LT"/>
        </w:rPr>
        <w:t xml:space="preserve">kirtingi savivaldybių rezultatai įgyvendinant daugiabučių renovacijos programą (žr. B3) </w:t>
      </w:r>
      <w:r w:rsidR="000A24D5">
        <w:rPr>
          <w:rFonts w:ascii="Times New Roman" w:hAnsi="Times New Roman"/>
          <w:szCs w:val="22"/>
          <w:lang w:val="lt-LT"/>
        </w:rPr>
        <w:t>rodo</w:t>
      </w:r>
      <w:r w:rsidRPr="00650EE4">
        <w:rPr>
          <w:rFonts w:ascii="Times New Roman" w:hAnsi="Times New Roman"/>
          <w:szCs w:val="22"/>
          <w:lang w:val="lt-LT"/>
        </w:rPr>
        <w:t xml:space="preserve">, kad savivaldybių vadybiniai pajėgumai nėra tolygūs ir, tikėtina, kad dalyje savivaldybių iš esmės nepakankami. </w:t>
      </w:r>
    </w:p>
    <w:p w14:paraId="61F20F37"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6BD65A5F" w14:textId="77777777" w:rsidTr="00492041">
        <w:trPr>
          <w:trHeight w:val="61"/>
        </w:trPr>
        <w:tc>
          <w:tcPr>
            <w:tcW w:w="3114" w:type="dxa"/>
          </w:tcPr>
          <w:p w14:paraId="1E3E96BC"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lastRenderedPageBreak/>
              <w:t>Siūlomos priemonės</w:t>
            </w:r>
          </w:p>
        </w:tc>
        <w:tc>
          <w:tcPr>
            <w:tcW w:w="7089" w:type="dxa"/>
          </w:tcPr>
          <w:p w14:paraId="62297765" w14:textId="24F3B666"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9</w:t>
            </w:r>
            <w:r w:rsidRPr="00650EE4">
              <w:rPr>
                <w:rFonts w:ascii="Times New Roman" w:hAnsi="Times New Roman"/>
                <w:szCs w:val="22"/>
                <w:lang w:eastAsia="lt-LT"/>
              </w:rPr>
              <w:t>. Kompetencijų centro įkūrimas</w:t>
            </w:r>
          </w:p>
        </w:tc>
      </w:tr>
      <w:tr w:rsidR="000E7641" w:rsidRPr="00650EE4" w14:paraId="6F771F69" w14:textId="77777777" w:rsidTr="00492041">
        <w:trPr>
          <w:trHeight w:val="61"/>
        </w:trPr>
        <w:tc>
          <w:tcPr>
            <w:tcW w:w="3114" w:type="dxa"/>
          </w:tcPr>
          <w:p w14:paraId="1955D1F2"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C63E5E4"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11D9B398" w14:textId="77777777" w:rsidTr="00492041">
        <w:trPr>
          <w:trHeight w:val="76"/>
        </w:trPr>
        <w:tc>
          <w:tcPr>
            <w:tcW w:w="3114" w:type="dxa"/>
          </w:tcPr>
          <w:p w14:paraId="47FCF934"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EF115AF"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67CB799A" w14:textId="77777777" w:rsidR="000E7641" w:rsidRPr="00650EE4" w:rsidRDefault="000E7641" w:rsidP="000E7641">
      <w:pPr>
        <w:spacing w:after="120"/>
        <w:jc w:val="both"/>
        <w:rPr>
          <w:rFonts w:ascii="Times New Roman" w:hAnsi="Times New Roman"/>
          <w:szCs w:val="22"/>
        </w:rPr>
      </w:pPr>
    </w:p>
    <w:p w14:paraId="0404E94F" w14:textId="7B158ED0"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B16. Pirkimų proceso barjerai</w:t>
      </w:r>
    </w:p>
    <w:p w14:paraId="4B771F71" w14:textId="77777777" w:rsidR="000E7641" w:rsidRPr="00650EE4" w:rsidRDefault="000E7641" w:rsidP="000E7641">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Šiuo metu statybos rangos darbai gali būti perkami arba per Centrinei perkančiajai organizacijai (CPO) LT priklausantį Elektroninį pirkimų centrą, arba vadovaujantis aplinkos ministro įsakymu patvirtinta tvarka. Tuo tarpu kitos daugiabučių renovacijai reikalingos paslaugos – tik per CPO LT.</w:t>
      </w:r>
    </w:p>
    <w:p w14:paraId="33FDFE2E" w14:textId="77777777" w:rsidR="000E7641" w:rsidRPr="00650EE4" w:rsidRDefault="000E7641" w:rsidP="000E7641">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Nors per EPC realizuota pirkimų proceso standartizacija reikšmingai palengvina pirkimų procesą iš administracinės pusės (nereikia rengti pirkimo dokumentų, nereikia vykdyti laimėtojo atrankos, sutarties suformavimo ir pan.), standartizavimas turi ir savo neigiamą pusę – eliminuoja galimybę realizuoti dalį pirkėjo poreikių pvz. labiau akcentuoti kokybę nei kainą (nėra galimybės taikyti ekonominio naudingumo principo), nustatyti papildomus kriterijus, užtikrinančius, kad nupirktos paslaugos bus atliktos laiku ir kokybiškai (pvz., pareikalauti, kad pretendentai pateiktų atliktų projektų sąrašą ir buvusių klientų rekomendacijas). </w:t>
      </w:r>
    </w:p>
    <w:p w14:paraId="320CF32B" w14:textId="025E4CDC" w:rsidR="000E7641" w:rsidRPr="00650EE4" w:rsidRDefault="009D7555" w:rsidP="000E7641">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0E7641" w:rsidRPr="00650EE4">
        <w:rPr>
          <w:rFonts w:ascii="Times New Roman" w:hAnsi="Times New Roman"/>
          <w:color w:val="000000" w:themeColor="text1"/>
          <w:szCs w:val="22"/>
          <w:lang w:val="lt-LT"/>
        </w:rPr>
        <w:t xml:space="preserve">iekiant IRS numatytų renovacijos tempų įgyvendinimo, pirkimų proceso standartizacija yra strategiškai korektiška kryptis ir vienas sėkmės faktorių, tačiau ta pati standartizacija gali tapti barjeru jei dėl to </w:t>
      </w:r>
      <w:r>
        <w:rPr>
          <w:rFonts w:ascii="Times New Roman" w:hAnsi="Times New Roman"/>
          <w:color w:val="000000" w:themeColor="text1"/>
          <w:szCs w:val="22"/>
          <w:lang w:val="lt-LT"/>
        </w:rPr>
        <w:t>nėra tenkinami</w:t>
      </w:r>
      <w:r w:rsidR="000E7641" w:rsidRPr="00650EE4">
        <w:rPr>
          <w:rFonts w:ascii="Times New Roman" w:hAnsi="Times New Roman"/>
          <w:color w:val="000000" w:themeColor="text1"/>
          <w:szCs w:val="22"/>
          <w:lang w:val="lt-LT"/>
        </w:rPr>
        <w:t xml:space="preserve"> reikšmingos dalies vartotojų poreikiai. </w:t>
      </w:r>
    </w:p>
    <w:p w14:paraId="35D984E6"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4266D8" w:rsidRPr="00650EE4" w14:paraId="48269334" w14:textId="77777777" w:rsidTr="00492041">
        <w:trPr>
          <w:trHeight w:val="61"/>
        </w:trPr>
        <w:tc>
          <w:tcPr>
            <w:tcW w:w="3114" w:type="dxa"/>
          </w:tcPr>
          <w:p w14:paraId="74CC41F2" w14:textId="77777777" w:rsidR="004266D8" w:rsidRPr="00650EE4" w:rsidRDefault="004266D8" w:rsidP="004266D8">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B0ACB50" w14:textId="5A2BD0E3" w:rsidR="004266D8" w:rsidRPr="00650EE4" w:rsidRDefault="004266D8" w:rsidP="004266D8">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9</w:t>
            </w:r>
            <w:r w:rsidRPr="00650EE4">
              <w:rPr>
                <w:rFonts w:ascii="Times New Roman" w:hAnsi="Times New Roman"/>
                <w:szCs w:val="22"/>
                <w:lang w:eastAsia="lt-LT"/>
              </w:rPr>
              <w:t>. Kompetencijų centro įkūrimas</w:t>
            </w:r>
          </w:p>
        </w:tc>
      </w:tr>
      <w:tr w:rsidR="000E7641" w:rsidRPr="00650EE4" w14:paraId="4EB459D0" w14:textId="77777777" w:rsidTr="00492041">
        <w:trPr>
          <w:trHeight w:val="61"/>
        </w:trPr>
        <w:tc>
          <w:tcPr>
            <w:tcW w:w="3114" w:type="dxa"/>
          </w:tcPr>
          <w:p w14:paraId="0AEA154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13DE62E"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377B5665" w14:textId="77777777" w:rsidTr="00492041">
        <w:trPr>
          <w:trHeight w:val="76"/>
        </w:trPr>
        <w:tc>
          <w:tcPr>
            <w:tcW w:w="3114" w:type="dxa"/>
          </w:tcPr>
          <w:p w14:paraId="77E6580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ACAF73A"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11AE30DE" w14:textId="77777777" w:rsidR="000E7641" w:rsidRPr="00650EE4" w:rsidRDefault="000E7641" w:rsidP="000E7641">
      <w:pPr>
        <w:spacing w:after="120"/>
        <w:jc w:val="both"/>
        <w:rPr>
          <w:rFonts w:ascii="Times New Roman" w:hAnsi="Times New Roman"/>
          <w:b/>
          <w:bCs/>
          <w:szCs w:val="24"/>
        </w:rPr>
      </w:pPr>
    </w:p>
    <w:p w14:paraId="629575C2" w14:textId="09AEEE97"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B17. Nekokybiški investicijų planai</w:t>
      </w:r>
    </w:p>
    <w:p w14:paraId="1AD38DC3" w14:textId="76B752A2" w:rsidR="000E7641" w:rsidRPr="00650EE4" w:rsidRDefault="000E7641" w:rsidP="000E7641">
      <w:pPr>
        <w:pStyle w:val="BodyText"/>
        <w:jc w:val="both"/>
        <w:rPr>
          <w:rFonts w:ascii="Times New Roman" w:hAnsi="Times New Roman"/>
          <w:szCs w:val="22"/>
          <w:lang w:val="lt-LT"/>
        </w:rPr>
      </w:pPr>
      <w:r w:rsidRPr="00650EE4">
        <w:rPr>
          <w:rFonts w:ascii="Times New Roman" w:hAnsi="Times New Roman"/>
          <w:bCs/>
          <w:szCs w:val="24"/>
          <w:lang w:val="lt-LT"/>
        </w:rPr>
        <w:t>Ši</w:t>
      </w:r>
      <w:r w:rsidRPr="00650EE4">
        <w:rPr>
          <w:rFonts w:ascii="Times New Roman" w:hAnsi="Times New Roman"/>
          <w:szCs w:val="22"/>
          <w:lang w:val="lt-LT"/>
        </w:rPr>
        <w:t>uo metu, pastatų savininkams siekiant gauti valstybės paramą renovacijai, projekto administratorius Agentūrai kartu su paraiška turi pateikti parengtą ir daugiabučio namo butų ir kitų patalpų savininkų balsų dauguma patvirtintą šio namo modernizavimo investicijų planą. Už modernizavimo investicijų plano parengimo paslaugų pirkimo organizavimą atsakingas projekto administratorius, kuris taip pat turi įvertinti parengto investicijų plano atitiktį jo rengimo techninei užduočiai</w:t>
      </w:r>
    </w:p>
    <w:p w14:paraId="40F2361A" w14:textId="77777777" w:rsidR="000E7641" w:rsidRPr="00650EE4" w:rsidRDefault="000E7641" w:rsidP="000E7641">
      <w:pPr>
        <w:pStyle w:val="BodyText"/>
        <w:spacing w:before="120"/>
        <w:jc w:val="both"/>
        <w:rPr>
          <w:rFonts w:ascii="Times New Roman" w:hAnsi="Times New Roman"/>
          <w:lang w:val="lt-LT"/>
        </w:rPr>
      </w:pPr>
      <w:r w:rsidRPr="00650EE4">
        <w:rPr>
          <w:rFonts w:ascii="Times New Roman" w:hAnsi="Times New Roman"/>
          <w:szCs w:val="22"/>
          <w:lang w:val="lt-LT"/>
        </w:rPr>
        <w:t>Valstybės kontrolės atlikto audito</w:t>
      </w:r>
      <w:r w:rsidRPr="00650EE4">
        <w:rPr>
          <w:rStyle w:val="FootnoteReference"/>
          <w:rFonts w:ascii="Times New Roman" w:hAnsi="Times New Roman"/>
          <w:szCs w:val="22"/>
          <w:lang w:val="lt-LT"/>
        </w:rPr>
        <w:footnoteReference w:id="39"/>
      </w:r>
      <w:r w:rsidRPr="00650EE4">
        <w:rPr>
          <w:rFonts w:ascii="Times New Roman" w:hAnsi="Times New Roman"/>
          <w:szCs w:val="22"/>
          <w:lang w:val="lt-LT"/>
        </w:rPr>
        <w:t xml:space="preserve"> rezultatai atskleidžia, kad 2014-2018 m. </w:t>
      </w:r>
      <w:r w:rsidRPr="00650EE4">
        <w:rPr>
          <w:rFonts w:ascii="Times New Roman" w:hAnsi="Times New Roman"/>
          <w:lang w:val="lt-LT"/>
        </w:rPr>
        <w:t>BETA dėl investicijų planų parengimo trūkumų 78 proc. paraiškų grąžino tikslinti. Neištaisius neatitikimų ir nepatikslinus paraiškų, apie 29,3 proc. jų buvo atmesta. Be to, 9 proc. investicijų planų, dėl juose nustatytų neatitikimų, buvo tikslinami daugiabučio namo modernizavimo metu. Tikslinimas turėjo įtakos tam, kad 31 proc. projektų įgyvendinimo terminas užsitęsė daugiau nei 18 mėn. Užsitęsus įgyvendinimui, šių namų gyventojai patiria nepatogumų dėl statybos aikštelėje ilgą laiką esančių šiukšlių, dulkių ir triukšmo.</w:t>
      </w:r>
    </w:p>
    <w:p w14:paraId="27124921" w14:textId="737AEA92" w:rsidR="000E7641" w:rsidRPr="00650EE4" w:rsidRDefault="009D7555" w:rsidP="000E7641">
      <w:pPr>
        <w:pStyle w:val="BodyText"/>
        <w:spacing w:before="120"/>
        <w:jc w:val="both"/>
        <w:rPr>
          <w:rFonts w:ascii="Times New Roman" w:hAnsi="Times New Roman"/>
          <w:szCs w:val="22"/>
          <w:lang w:val="lt-LT"/>
        </w:rPr>
      </w:pPr>
      <w:r>
        <w:rPr>
          <w:rFonts w:ascii="Times New Roman" w:hAnsi="Times New Roman"/>
          <w:szCs w:val="22"/>
          <w:lang w:val="lt-LT"/>
        </w:rPr>
        <w:t>P</w:t>
      </w:r>
      <w:r w:rsidR="000E7641" w:rsidRPr="00650EE4">
        <w:rPr>
          <w:rFonts w:ascii="Times New Roman" w:hAnsi="Times New Roman"/>
          <w:szCs w:val="22"/>
          <w:lang w:val="lt-LT"/>
        </w:rPr>
        <w:t xml:space="preserve">oreikis tikslinti daugiau nei ¾ investicinių planų </w:t>
      </w:r>
      <w:r w:rsidR="000A24D5">
        <w:rPr>
          <w:rFonts w:ascii="Times New Roman" w:hAnsi="Times New Roman"/>
          <w:szCs w:val="22"/>
          <w:lang w:val="lt-LT"/>
        </w:rPr>
        <w:t>rodo</w:t>
      </w:r>
      <w:r w:rsidR="000E7641" w:rsidRPr="00650EE4">
        <w:rPr>
          <w:rFonts w:ascii="Times New Roman" w:hAnsi="Times New Roman"/>
          <w:szCs w:val="22"/>
          <w:lang w:val="lt-LT"/>
        </w:rPr>
        <w:t xml:space="preserve">, kad barjeras yra sisteminis. Atsižvelgiant į tai, kad neigiami pavydžiai turi tendenciją sklisti greičiau ir didesniais mastais nei teigiami  </w:t>
      </w:r>
      <w:r>
        <w:rPr>
          <w:rFonts w:ascii="Times New Roman" w:hAnsi="Times New Roman"/>
          <w:szCs w:val="22"/>
          <w:lang w:val="lt-LT"/>
        </w:rPr>
        <w:t>ir</w:t>
      </w:r>
      <w:r w:rsidRPr="00650EE4">
        <w:rPr>
          <w:rFonts w:ascii="Times New Roman" w:hAnsi="Times New Roman"/>
          <w:szCs w:val="22"/>
          <w:lang w:val="lt-LT"/>
        </w:rPr>
        <w:t xml:space="preserve"> </w:t>
      </w:r>
      <w:r w:rsidR="000E7641" w:rsidRPr="00650EE4">
        <w:rPr>
          <w:rFonts w:ascii="Times New Roman" w:hAnsi="Times New Roman"/>
          <w:szCs w:val="22"/>
          <w:lang w:val="lt-LT"/>
        </w:rPr>
        <w:t xml:space="preserve">daro didesnį poveikį tikslinei auditorijai nei oficiali komunikacija, tokia situacija gali tapti esminiu barjeru pastatų savininkų apsisprendimui dalyvauti modernizavimo procese. </w:t>
      </w:r>
    </w:p>
    <w:p w14:paraId="6241DB4C" w14:textId="77777777" w:rsidR="000223EF" w:rsidRPr="00650EE4" w:rsidRDefault="000223EF" w:rsidP="000E7641">
      <w:pPr>
        <w:pStyle w:val="BodyText"/>
        <w:spacing w:before="120"/>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36888AD4" w14:textId="77777777" w:rsidTr="00492041">
        <w:trPr>
          <w:trHeight w:val="61"/>
        </w:trPr>
        <w:tc>
          <w:tcPr>
            <w:tcW w:w="3114" w:type="dxa"/>
          </w:tcPr>
          <w:p w14:paraId="38986B9A"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0AE82EC2" w14:textId="444EA06A" w:rsidR="00D2630C" w:rsidRPr="00650EE4" w:rsidRDefault="000E7641" w:rsidP="00D2630C">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9</w:t>
            </w:r>
            <w:r w:rsidRPr="00650EE4">
              <w:rPr>
                <w:rFonts w:ascii="Times New Roman" w:hAnsi="Times New Roman"/>
                <w:szCs w:val="22"/>
                <w:lang w:eastAsia="lt-LT"/>
              </w:rPr>
              <w:t>. Kompetencijų centro įkūrimas</w:t>
            </w:r>
            <w:r w:rsidR="00D2630C" w:rsidRPr="00650EE4">
              <w:rPr>
                <w:rFonts w:ascii="Times New Roman" w:hAnsi="Times New Roman"/>
                <w:szCs w:val="22"/>
                <w:lang w:eastAsia="lt-LT"/>
              </w:rPr>
              <w:t xml:space="preserve"> </w:t>
            </w:r>
          </w:p>
          <w:p w14:paraId="63079FC1" w14:textId="6F555E4B" w:rsidR="000E7641" w:rsidRPr="00650EE4" w:rsidRDefault="00D2630C" w:rsidP="00492041">
            <w:pPr>
              <w:spacing w:after="60"/>
              <w:rPr>
                <w:rFonts w:ascii="Times New Roman" w:hAnsi="Times New Roman"/>
                <w:szCs w:val="22"/>
                <w:lang w:eastAsia="lt-LT"/>
              </w:rPr>
            </w:pPr>
            <w:r w:rsidRPr="00650EE4">
              <w:rPr>
                <w:rFonts w:ascii="Times New Roman" w:hAnsi="Times New Roman"/>
                <w:szCs w:val="22"/>
                <w:lang w:eastAsia="lt-LT"/>
              </w:rPr>
              <w:t>P</w:t>
            </w:r>
            <w:r w:rsidR="00952E21" w:rsidRPr="00650EE4">
              <w:rPr>
                <w:rFonts w:ascii="Times New Roman" w:hAnsi="Times New Roman"/>
                <w:szCs w:val="22"/>
                <w:lang w:eastAsia="lt-LT"/>
              </w:rPr>
              <w:t>20</w:t>
            </w:r>
            <w:r w:rsidRPr="00650EE4">
              <w:rPr>
                <w:rFonts w:ascii="Times New Roman" w:hAnsi="Times New Roman"/>
                <w:szCs w:val="22"/>
                <w:lang w:eastAsia="lt-LT"/>
              </w:rPr>
              <w:t xml:space="preserve">. Techninės priežiūros užtikrinimas </w:t>
            </w:r>
          </w:p>
        </w:tc>
      </w:tr>
      <w:tr w:rsidR="000E7641" w:rsidRPr="00650EE4" w14:paraId="35665D70" w14:textId="77777777" w:rsidTr="00492041">
        <w:trPr>
          <w:trHeight w:val="61"/>
        </w:trPr>
        <w:tc>
          <w:tcPr>
            <w:tcW w:w="3114" w:type="dxa"/>
          </w:tcPr>
          <w:p w14:paraId="2F42A715"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B108FB8"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0A396BF0" w14:textId="77777777" w:rsidTr="00492041">
        <w:trPr>
          <w:trHeight w:val="76"/>
        </w:trPr>
        <w:tc>
          <w:tcPr>
            <w:tcW w:w="3114" w:type="dxa"/>
          </w:tcPr>
          <w:p w14:paraId="331B522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A2A778F"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2836756" w14:textId="77777777" w:rsidR="00275D1E" w:rsidRPr="00650EE4" w:rsidRDefault="00275D1E" w:rsidP="000E7641">
      <w:pPr>
        <w:rPr>
          <w:rFonts w:ascii="Times New Roman" w:hAnsi="Times New Roman"/>
          <w:szCs w:val="22"/>
        </w:rPr>
      </w:pPr>
    </w:p>
    <w:p w14:paraId="5D7E0F81" w14:textId="77777777" w:rsidR="000223EF" w:rsidRPr="00650EE4" w:rsidRDefault="000223EF" w:rsidP="000E7641">
      <w:pPr>
        <w:rPr>
          <w:rFonts w:ascii="Times New Roman" w:hAnsi="Times New Roman"/>
          <w:szCs w:val="22"/>
        </w:rPr>
      </w:pPr>
    </w:p>
    <w:p w14:paraId="0A984811" w14:textId="77777777" w:rsidR="001A6139" w:rsidRDefault="001A6139">
      <w:pPr>
        <w:spacing w:after="240"/>
        <w:rPr>
          <w:rFonts w:ascii="Times New Roman" w:hAnsi="Times New Roman"/>
          <w:b/>
          <w:bCs/>
          <w:szCs w:val="24"/>
        </w:rPr>
      </w:pPr>
      <w:r>
        <w:rPr>
          <w:rFonts w:ascii="Times New Roman" w:hAnsi="Times New Roman"/>
          <w:b/>
          <w:bCs/>
          <w:szCs w:val="24"/>
        </w:rPr>
        <w:br w:type="page"/>
      </w:r>
    </w:p>
    <w:p w14:paraId="4E0D0BB3" w14:textId="5BDB6400"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lastRenderedPageBreak/>
        <w:t>B18. Nepakankama renovacijos įgyvendinimo kokybės kontrolė</w:t>
      </w:r>
    </w:p>
    <w:p w14:paraId="6586C424" w14:textId="16357257" w:rsidR="000E7641" w:rsidRPr="00650EE4" w:rsidRDefault="000E7641" w:rsidP="000E7641">
      <w:pPr>
        <w:spacing w:before="60" w:after="120"/>
        <w:jc w:val="both"/>
        <w:rPr>
          <w:rFonts w:ascii="Times New Roman" w:hAnsi="Times New Roman"/>
        </w:rPr>
      </w:pPr>
      <w:r w:rsidRPr="00650EE4">
        <w:rPr>
          <w:rFonts w:ascii="Times New Roman" w:hAnsi="Times New Roman"/>
          <w:szCs w:val="22"/>
        </w:rPr>
        <w:t>Valstybės kontrolės atlikto audito rezultatai atskleidžia, kad d</w:t>
      </w:r>
      <w:r w:rsidRPr="00650EE4">
        <w:rPr>
          <w:rFonts w:ascii="Times New Roman" w:hAnsi="Times New Roman"/>
        </w:rPr>
        <w:t xml:space="preserve">augiabučių namų modernizavimo projektų administratoriai, atstovaujantys daugiabučių namų butų ir kitų patalpų savininkams, dažnai netinkamai atlieka statytojo (užsakovo) pareigas, t.y. organizuodami atnaujinamo daugiabučio namo darbų techninę priežiūrą neužtikrina, kad darbai būtų vykdomi be trūkumų ir laikantis daugiabučio namo modernizavimo investicijų plano. </w:t>
      </w:r>
    </w:p>
    <w:p w14:paraId="7E1F8B6A" w14:textId="65C6626E" w:rsidR="000E7641" w:rsidRPr="00650EE4" w:rsidRDefault="000A24D5" w:rsidP="000E7641">
      <w:pPr>
        <w:spacing w:before="60" w:after="120"/>
        <w:jc w:val="both"/>
        <w:rPr>
          <w:rFonts w:ascii="Times New Roman" w:hAnsi="Times New Roman"/>
          <w:szCs w:val="22"/>
        </w:rPr>
      </w:pPr>
      <w:r>
        <w:rPr>
          <w:rFonts w:ascii="Times New Roman" w:hAnsi="Times New Roman"/>
        </w:rPr>
        <w:t>T</w:t>
      </w:r>
      <w:r w:rsidR="000E7641" w:rsidRPr="00650EE4">
        <w:rPr>
          <w:rFonts w:ascii="Times New Roman" w:hAnsi="Times New Roman"/>
        </w:rPr>
        <w:t>echninė priežiūra kaip atskiras kokybės užtikrinimo elementas, procesiniu požiūriu esantis proceso pabaigoje, nėra pakankama priemonė barjerui šalinti. Būtinas sisteminis požiūris į renovacijos kokybės kontrolę ir reikiamų saugiklių integravimas į visą procesą</w:t>
      </w:r>
      <w:r>
        <w:rPr>
          <w:rFonts w:ascii="Times New Roman" w:hAnsi="Times New Roman"/>
        </w:rPr>
        <w:t>:</w:t>
      </w:r>
      <w:r w:rsidR="000E7641" w:rsidRPr="00650EE4">
        <w:rPr>
          <w:rFonts w:ascii="Times New Roman" w:hAnsi="Times New Roman"/>
        </w:rPr>
        <w:t xml:space="preserve"> </w:t>
      </w:r>
      <w:r>
        <w:rPr>
          <w:rFonts w:ascii="Times New Roman" w:hAnsi="Times New Roman"/>
          <w:szCs w:val="22"/>
        </w:rPr>
        <w:t>rangovų mokymai</w:t>
      </w:r>
      <w:r w:rsidR="000E7641" w:rsidRPr="00650EE4">
        <w:rPr>
          <w:rFonts w:ascii="Times New Roman" w:hAnsi="Times New Roman"/>
          <w:szCs w:val="22"/>
        </w:rPr>
        <w:t>, kvalif</w:t>
      </w:r>
      <w:r>
        <w:rPr>
          <w:rFonts w:ascii="Times New Roman" w:hAnsi="Times New Roman"/>
          <w:szCs w:val="22"/>
        </w:rPr>
        <w:t>ikacinių reikalavimų griežtinimas</w:t>
      </w:r>
      <w:r w:rsidR="000E7641" w:rsidRPr="00650EE4">
        <w:rPr>
          <w:rFonts w:ascii="Times New Roman" w:hAnsi="Times New Roman"/>
          <w:szCs w:val="22"/>
        </w:rPr>
        <w:t xml:space="preserve">, </w:t>
      </w:r>
      <w:r>
        <w:rPr>
          <w:rFonts w:ascii="Times New Roman" w:hAnsi="Times New Roman"/>
          <w:szCs w:val="22"/>
        </w:rPr>
        <w:t>tinkama techninė</w:t>
      </w:r>
      <w:r w:rsidR="000E7641" w:rsidRPr="00650EE4">
        <w:rPr>
          <w:rFonts w:ascii="Times New Roman" w:hAnsi="Times New Roman"/>
          <w:szCs w:val="22"/>
        </w:rPr>
        <w:t xml:space="preserve"> priežiūrą</w:t>
      </w:r>
      <w:r>
        <w:rPr>
          <w:rFonts w:ascii="Times New Roman" w:hAnsi="Times New Roman"/>
          <w:szCs w:val="22"/>
        </w:rPr>
        <w:t>,</w:t>
      </w:r>
      <w:r w:rsidR="000E7641" w:rsidRPr="00650EE4">
        <w:rPr>
          <w:rFonts w:ascii="Times New Roman" w:hAnsi="Times New Roman"/>
          <w:szCs w:val="22"/>
        </w:rPr>
        <w:t xml:space="preserve"> nekokybiškai dirbančių </w:t>
      </w:r>
      <w:r>
        <w:rPr>
          <w:rFonts w:ascii="Times New Roman" w:hAnsi="Times New Roman"/>
          <w:szCs w:val="22"/>
        </w:rPr>
        <w:t>statybos dalyvių viešinimas</w:t>
      </w:r>
      <w:r w:rsidR="000E7641" w:rsidRPr="00650EE4">
        <w:rPr>
          <w:rFonts w:ascii="Times New Roman" w:hAnsi="Times New Roman"/>
          <w:szCs w:val="22"/>
        </w:rPr>
        <w:t xml:space="preserve"> </w:t>
      </w:r>
      <w:r>
        <w:rPr>
          <w:rFonts w:ascii="Times New Roman" w:hAnsi="Times New Roman"/>
          <w:szCs w:val="22"/>
        </w:rPr>
        <w:t>ir</w:t>
      </w:r>
      <w:r w:rsidR="000E7641" w:rsidRPr="00650EE4">
        <w:rPr>
          <w:rFonts w:ascii="Times New Roman" w:hAnsi="Times New Roman"/>
          <w:szCs w:val="22"/>
        </w:rPr>
        <w:t xml:space="preserve"> jų dalyvavimo </w:t>
      </w:r>
      <w:r>
        <w:rPr>
          <w:rFonts w:ascii="Times New Roman" w:hAnsi="Times New Roman"/>
          <w:szCs w:val="22"/>
        </w:rPr>
        <w:t>renovacijos konkursuose ribojimas</w:t>
      </w:r>
      <w:r w:rsidR="000E7641" w:rsidRPr="00650EE4">
        <w:rPr>
          <w:rFonts w:ascii="Times New Roman" w:hAnsi="Times New Roman"/>
          <w:szCs w:val="22"/>
        </w:rPr>
        <w:t xml:space="preserve">. </w:t>
      </w:r>
    </w:p>
    <w:p w14:paraId="1B3468C2"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7FD7311A" w14:textId="77777777" w:rsidTr="00492041">
        <w:trPr>
          <w:trHeight w:val="61"/>
        </w:trPr>
        <w:tc>
          <w:tcPr>
            <w:tcW w:w="3114" w:type="dxa"/>
          </w:tcPr>
          <w:p w14:paraId="44A388B5"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0C0645D" w14:textId="694F8B9B" w:rsidR="000E7641" w:rsidRPr="00650EE4" w:rsidRDefault="00070A89" w:rsidP="00492041">
            <w:pPr>
              <w:spacing w:after="60"/>
              <w:rPr>
                <w:rFonts w:ascii="Times New Roman" w:hAnsi="Times New Roman"/>
                <w:szCs w:val="22"/>
                <w:lang w:eastAsia="lt-LT"/>
              </w:rPr>
            </w:pPr>
            <w:r w:rsidRPr="00650EE4">
              <w:rPr>
                <w:rFonts w:ascii="Times New Roman" w:hAnsi="Times New Roman"/>
                <w:szCs w:val="22"/>
                <w:lang w:eastAsia="lt-LT"/>
              </w:rPr>
              <w:t>P</w:t>
            </w:r>
            <w:r w:rsidR="009D71AB" w:rsidRPr="00650EE4">
              <w:rPr>
                <w:rFonts w:ascii="Times New Roman" w:hAnsi="Times New Roman"/>
                <w:szCs w:val="22"/>
                <w:lang w:eastAsia="lt-LT"/>
              </w:rPr>
              <w:t>20</w:t>
            </w:r>
            <w:r w:rsidRPr="00650EE4">
              <w:rPr>
                <w:rFonts w:ascii="Times New Roman" w:hAnsi="Times New Roman"/>
                <w:szCs w:val="22"/>
                <w:lang w:eastAsia="lt-LT"/>
              </w:rPr>
              <w:t>. Techninės priežiūros užtikrinimas</w:t>
            </w:r>
          </w:p>
        </w:tc>
      </w:tr>
      <w:tr w:rsidR="000E7641" w:rsidRPr="00650EE4" w14:paraId="28ED0443" w14:textId="77777777" w:rsidTr="00492041">
        <w:trPr>
          <w:trHeight w:val="61"/>
        </w:trPr>
        <w:tc>
          <w:tcPr>
            <w:tcW w:w="3114" w:type="dxa"/>
          </w:tcPr>
          <w:p w14:paraId="7D83B32B"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07D7B39"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65A813F8" w14:textId="77777777" w:rsidTr="00492041">
        <w:trPr>
          <w:trHeight w:val="76"/>
        </w:trPr>
        <w:tc>
          <w:tcPr>
            <w:tcW w:w="3114" w:type="dxa"/>
          </w:tcPr>
          <w:p w14:paraId="27C94DEA"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0BEE019"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7C12F8B7" w14:textId="77777777" w:rsidR="000E7641" w:rsidRPr="00650EE4" w:rsidRDefault="000E7641" w:rsidP="000E7641">
      <w:pPr>
        <w:jc w:val="both"/>
        <w:rPr>
          <w:rFonts w:ascii="Times New Roman" w:hAnsi="Times New Roman"/>
          <w:szCs w:val="22"/>
        </w:rPr>
      </w:pPr>
    </w:p>
    <w:p w14:paraId="7EDC8CB2" w14:textId="77777777" w:rsidR="000E7641" w:rsidRPr="00650EE4" w:rsidRDefault="000E7641" w:rsidP="000E7641">
      <w:pPr>
        <w:jc w:val="both"/>
        <w:rPr>
          <w:rFonts w:ascii="Times New Roman" w:hAnsi="Times New Roman"/>
          <w:b/>
          <w:bCs/>
          <w:szCs w:val="24"/>
        </w:rPr>
      </w:pPr>
    </w:p>
    <w:p w14:paraId="6E0E918E" w14:textId="4DBDAB8E" w:rsidR="000E7641" w:rsidRPr="00650EE4" w:rsidRDefault="000E7641" w:rsidP="000E7641">
      <w:pPr>
        <w:spacing w:after="120"/>
        <w:jc w:val="both"/>
        <w:rPr>
          <w:rFonts w:ascii="Times New Roman" w:hAnsi="Times New Roman"/>
          <w:b/>
          <w:bCs/>
          <w:szCs w:val="22"/>
        </w:rPr>
      </w:pPr>
      <w:r w:rsidRPr="00650EE4">
        <w:rPr>
          <w:rFonts w:ascii="Times New Roman" w:hAnsi="Times New Roman"/>
          <w:b/>
          <w:bCs/>
          <w:szCs w:val="22"/>
        </w:rPr>
        <w:t xml:space="preserve">B19. Darbo jėgos statybų sektoriuje apribojimai </w:t>
      </w:r>
    </w:p>
    <w:p w14:paraId="3FF2EF65" w14:textId="027E036C" w:rsidR="000E7641" w:rsidRPr="00650EE4" w:rsidRDefault="002A0BDE" w:rsidP="000223EF">
      <w:pPr>
        <w:spacing w:before="60"/>
        <w:jc w:val="both"/>
        <w:rPr>
          <w:rFonts w:ascii="Times New Roman" w:hAnsi="Times New Roman"/>
          <w:szCs w:val="22"/>
        </w:rPr>
      </w:pPr>
      <w:r>
        <w:rPr>
          <w:rFonts w:ascii="Times New Roman" w:hAnsi="Times New Roman"/>
          <w:szCs w:val="22"/>
        </w:rPr>
        <w:t>A</w:t>
      </w:r>
      <w:r w:rsidR="000E7641" w:rsidRPr="00650EE4">
        <w:rPr>
          <w:rFonts w:ascii="Times New Roman" w:hAnsi="Times New Roman"/>
          <w:szCs w:val="22"/>
        </w:rPr>
        <w:t>ugant renovacijos tempams, nepakankamas statybininkų skaičius gali tapti barjeru kokybiškam projektų įgyvendinimui. Be to</w:t>
      </w:r>
      <w:r w:rsidR="0096171B" w:rsidRPr="00650EE4">
        <w:rPr>
          <w:rFonts w:ascii="Times New Roman" w:hAnsi="Times New Roman"/>
          <w:szCs w:val="22"/>
        </w:rPr>
        <w:t>, darbo jėgos trūkumas gali paskatinti</w:t>
      </w:r>
      <w:r w:rsidR="000E7641" w:rsidRPr="00650EE4">
        <w:rPr>
          <w:rFonts w:ascii="Times New Roman" w:hAnsi="Times New Roman"/>
          <w:szCs w:val="22"/>
        </w:rPr>
        <w:t xml:space="preserve"> darbo užmokesčio sektoriuje augimą, o tai, savo ruožtu</w:t>
      </w:r>
      <w:r w:rsidR="00643941" w:rsidRPr="00650EE4">
        <w:rPr>
          <w:rFonts w:ascii="Times New Roman" w:hAnsi="Times New Roman"/>
          <w:szCs w:val="22"/>
        </w:rPr>
        <w:t xml:space="preserve"> – </w:t>
      </w:r>
      <w:r w:rsidR="000E7641" w:rsidRPr="00650EE4">
        <w:rPr>
          <w:rFonts w:ascii="Times New Roman" w:hAnsi="Times New Roman"/>
          <w:szCs w:val="22"/>
        </w:rPr>
        <w:t xml:space="preserve">statybos darbų kainų padidėjimą (žr. </w:t>
      </w:r>
      <w:r w:rsidR="00643941" w:rsidRPr="00650EE4">
        <w:rPr>
          <w:rFonts w:ascii="Times New Roman" w:hAnsi="Times New Roman"/>
          <w:szCs w:val="22"/>
        </w:rPr>
        <w:t>B6</w:t>
      </w:r>
      <w:r w:rsidR="000E7641" w:rsidRPr="00650EE4">
        <w:rPr>
          <w:rFonts w:ascii="Times New Roman" w:hAnsi="Times New Roman"/>
          <w:szCs w:val="22"/>
        </w:rPr>
        <w:t>).</w:t>
      </w:r>
    </w:p>
    <w:p w14:paraId="65D6C470"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336105DF" w14:textId="77777777" w:rsidTr="00492041">
        <w:trPr>
          <w:trHeight w:val="61"/>
        </w:trPr>
        <w:tc>
          <w:tcPr>
            <w:tcW w:w="3114" w:type="dxa"/>
          </w:tcPr>
          <w:p w14:paraId="7B3AF937"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077AED7" w14:textId="5486A818"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 xml:space="preserve">P1. </w:t>
            </w:r>
            <w:r w:rsidR="00752FA0" w:rsidRPr="00650EE4">
              <w:rPr>
                <w:rFonts w:ascii="Times New Roman" w:hAnsi="Times New Roman"/>
                <w:szCs w:val="22"/>
                <w:lang w:eastAsia="lt-LT"/>
              </w:rPr>
              <w:t xml:space="preserve">Koordinuotas </w:t>
            </w:r>
            <w:proofErr w:type="spellStart"/>
            <w:r w:rsidR="00752FA0" w:rsidRPr="00650EE4">
              <w:rPr>
                <w:rFonts w:ascii="Times New Roman" w:hAnsi="Times New Roman"/>
                <w:szCs w:val="22"/>
                <w:lang w:eastAsia="lt-LT"/>
              </w:rPr>
              <w:t>tarpinstitucinis</w:t>
            </w:r>
            <w:proofErr w:type="spellEnd"/>
            <w:r w:rsidR="00752FA0" w:rsidRPr="00650EE4">
              <w:rPr>
                <w:rFonts w:ascii="Times New Roman" w:hAnsi="Times New Roman"/>
                <w:szCs w:val="22"/>
                <w:lang w:eastAsia="lt-LT"/>
              </w:rPr>
              <w:t xml:space="preserve"> planavimas</w:t>
            </w:r>
          </w:p>
          <w:p w14:paraId="536F1893" w14:textId="71D1181C" w:rsidR="009375C9" w:rsidRPr="00650EE4" w:rsidRDefault="009375C9" w:rsidP="00492041">
            <w:pPr>
              <w:spacing w:after="60"/>
              <w:rPr>
                <w:rFonts w:ascii="Times New Roman" w:hAnsi="Times New Roman"/>
                <w:szCs w:val="22"/>
                <w:lang w:eastAsia="lt-LT"/>
              </w:rPr>
            </w:pPr>
            <w:r w:rsidRPr="00650EE4">
              <w:rPr>
                <w:rFonts w:ascii="Times New Roman" w:hAnsi="Times New Roman"/>
                <w:szCs w:val="22"/>
                <w:lang w:eastAsia="lt-LT"/>
              </w:rPr>
              <w:t>P1</w:t>
            </w:r>
            <w:r w:rsidR="009D71AB" w:rsidRPr="00650EE4">
              <w:rPr>
                <w:rFonts w:ascii="Times New Roman" w:hAnsi="Times New Roman"/>
                <w:szCs w:val="22"/>
                <w:lang w:eastAsia="lt-LT"/>
              </w:rPr>
              <w:t>3</w:t>
            </w:r>
            <w:r w:rsidRPr="00650EE4">
              <w:rPr>
                <w:rFonts w:ascii="Times New Roman" w:hAnsi="Times New Roman"/>
                <w:szCs w:val="22"/>
                <w:lang w:eastAsia="lt-LT"/>
              </w:rPr>
              <w:t>. Tvarumo ir inovacijų užtikrinimas</w:t>
            </w:r>
          </w:p>
          <w:p w14:paraId="0F39B1A7" w14:textId="20234836"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P1</w:t>
            </w:r>
            <w:r w:rsidR="009D71AB" w:rsidRPr="00650EE4">
              <w:rPr>
                <w:rFonts w:ascii="Times New Roman" w:hAnsi="Times New Roman"/>
                <w:szCs w:val="22"/>
                <w:lang w:eastAsia="lt-LT"/>
              </w:rPr>
              <w:t>6</w:t>
            </w:r>
            <w:r w:rsidRPr="00650EE4">
              <w:rPr>
                <w:rFonts w:ascii="Times New Roman" w:hAnsi="Times New Roman"/>
                <w:szCs w:val="22"/>
                <w:lang w:eastAsia="lt-LT"/>
              </w:rPr>
              <w:t xml:space="preserve">. Komunikacija apie renovacijos </w:t>
            </w:r>
            <w:r w:rsidR="00752FA0" w:rsidRPr="00650EE4">
              <w:rPr>
                <w:rFonts w:ascii="Times New Roman" w:hAnsi="Times New Roman"/>
                <w:szCs w:val="22"/>
                <w:lang w:eastAsia="lt-LT"/>
              </w:rPr>
              <w:t>neišvengiamumą</w:t>
            </w:r>
          </w:p>
        </w:tc>
      </w:tr>
      <w:tr w:rsidR="000E7641" w:rsidRPr="00650EE4" w14:paraId="0C14F3E1" w14:textId="77777777" w:rsidTr="00492041">
        <w:trPr>
          <w:trHeight w:val="61"/>
        </w:trPr>
        <w:tc>
          <w:tcPr>
            <w:tcW w:w="3114" w:type="dxa"/>
          </w:tcPr>
          <w:p w14:paraId="2C2B0A5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A3771C9"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0BF3083D" w14:textId="77777777" w:rsidTr="00492041">
        <w:trPr>
          <w:trHeight w:val="76"/>
        </w:trPr>
        <w:tc>
          <w:tcPr>
            <w:tcW w:w="3114" w:type="dxa"/>
          </w:tcPr>
          <w:p w14:paraId="1ADCB9A2"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0CA4CDA"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058FB2C1" w14:textId="77777777" w:rsidR="000E7641" w:rsidRPr="00650EE4" w:rsidRDefault="000E7641" w:rsidP="000E7641">
      <w:pPr>
        <w:jc w:val="both"/>
        <w:rPr>
          <w:rFonts w:ascii="Times New Roman" w:hAnsi="Times New Roman"/>
          <w:szCs w:val="22"/>
        </w:rPr>
      </w:pPr>
    </w:p>
    <w:p w14:paraId="74C93821" w14:textId="2F724652"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B20. Nepakankama viešųjų pastatų valdytojų motyvacija</w:t>
      </w:r>
    </w:p>
    <w:p w14:paraId="667B35A9" w14:textId="77777777" w:rsidR="000E7641" w:rsidRPr="00650EE4" w:rsidRDefault="000E7641" w:rsidP="000E7641">
      <w:pPr>
        <w:pStyle w:val="BodyText"/>
        <w:jc w:val="both"/>
        <w:rPr>
          <w:rFonts w:ascii="Times New Roman" w:hAnsi="Times New Roman"/>
          <w:szCs w:val="22"/>
          <w:lang w:val="lt-LT"/>
        </w:rPr>
      </w:pPr>
      <w:r w:rsidRPr="00650EE4">
        <w:rPr>
          <w:rFonts w:ascii="Times New Roman" w:hAnsi="Times New Roman"/>
          <w:szCs w:val="22"/>
          <w:lang w:val="lt-LT"/>
        </w:rPr>
        <w:t>Pagal galiojantį teisinį reglamentavimą, valstybės institucijos (biudžetinės įstaigos) ir savivaldybių viešųjų pastatų valdytojai neturi teisės laisvai disponuoti iš valstybės ar savivaldybės biudžeto skiriamais asignavimais, todėl net ir sutaupius tam tikrą kiekį lėšų, sutaupymo faktas nėra pajaučiamas. Tai veda prie motyvacijos taupyti energiją stokos, kadangi trūksta tiesioginio sutaupymų matymo. Biudžeto paskirstymo ir lėšų pervedimo tvarka aptariama prie reglamentavimo apribojimų žemiau.</w:t>
      </w:r>
    </w:p>
    <w:p w14:paraId="1FC66EFC"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2F76DB60" w14:textId="77777777" w:rsidTr="00492041">
        <w:trPr>
          <w:trHeight w:val="61"/>
        </w:trPr>
        <w:tc>
          <w:tcPr>
            <w:tcW w:w="3114" w:type="dxa"/>
          </w:tcPr>
          <w:p w14:paraId="1A9C842E"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018788E5" w14:textId="0C197DAA"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P</w:t>
            </w:r>
            <w:r w:rsidR="006C1782" w:rsidRPr="00650EE4">
              <w:rPr>
                <w:rFonts w:ascii="Times New Roman" w:hAnsi="Times New Roman"/>
                <w:szCs w:val="22"/>
                <w:lang w:eastAsia="lt-LT"/>
              </w:rPr>
              <w:t>8</w:t>
            </w:r>
            <w:r w:rsidRPr="00650EE4">
              <w:rPr>
                <w:rFonts w:ascii="Times New Roman" w:hAnsi="Times New Roman"/>
                <w:szCs w:val="22"/>
                <w:lang w:eastAsia="lt-LT"/>
              </w:rPr>
              <w:t>-P</w:t>
            </w:r>
            <w:r w:rsidR="006C1782" w:rsidRPr="00650EE4">
              <w:rPr>
                <w:rFonts w:ascii="Times New Roman" w:hAnsi="Times New Roman"/>
                <w:szCs w:val="22"/>
                <w:lang w:eastAsia="lt-LT"/>
              </w:rPr>
              <w:t>1</w:t>
            </w:r>
            <w:r w:rsidR="009D71AB" w:rsidRPr="00650EE4">
              <w:rPr>
                <w:rFonts w:ascii="Times New Roman" w:hAnsi="Times New Roman"/>
                <w:szCs w:val="22"/>
                <w:lang w:eastAsia="lt-LT"/>
              </w:rPr>
              <w:t>1</w:t>
            </w:r>
            <w:r w:rsidRPr="00650EE4">
              <w:rPr>
                <w:rFonts w:ascii="Times New Roman" w:hAnsi="Times New Roman"/>
                <w:szCs w:val="22"/>
                <w:lang w:eastAsia="lt-LT"/>
              </w:rPr>
              <w:t>. Kompleksinės motyvacijos priemonės</w:t>
            </w:r>
          </w:p>
          <w:p w14:paraId="06B59BDD"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(įpareigojimai derinami su paramos priemonėmis)</w:t>
            </w:r>
          </w:p>
          <w:p w14:paraId="479B64CD" w14:textId="6BD9ACA8" w:rsidR="00D57F48" w:rsidRPr="00650EE4" w:rsidRDefault="00D57F48" w:rsidP="00492041">
            <w:pPr>
              <w:spacing w:after="60"/>
              <w:rPr>
                <w:rFonts w:ascii="Times New Roman" w:hAnsi="Times New Roman"/>
                <w:szCs w:val="22"/>
                <w:lang w:eastAsia="lt-LT"/>
              </w:rPr>
            </w:pPr>
            <w:r w:rsidRPr="00650EE4">
              <w:rPr>
                <w:rFonts w:ascii="Times New Roman" w:hAnsi="Times New Roman"/>
                <w:szCs w:val="22"/>
                <w:lang w:eastAsia="lt-LT"/>
              </w:rPr>
              <w:t>P15. Finansavimo užtikrinimas</w:t>
            </w:r>
          </w:p>
        </w:tc>
      </w:tr>
      <w:tr w:rsidR="000E7641" w:rsidRPr="00650EE4" w14:paraId="41EDC6D5" w14:textId="77777777" w:rsidTr="00492041">
        <w:trPr>
          <w:trHeight w:val="61"/>
        </w:trPr>
        <w:tc>
          <w:tcPr>
            <w:tcW w:w="3114" w:type="dxa"/>
          </w:tcPr>
          <w:p w14:paraId="7DCABB14"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6577D9DC"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6468EC31" w14:textId="77777777" w:rsidTr="00492041">
        <w:trPr>
          <w:trHeight w:val="76"/>
        </w:trPr>
        <w:tc>
          <w:tcPr>
            <w:tcW w:w="3114" w:type="dxa"/>
          </w:tcPr>
          <w:p w14:paraId="59F1A129"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5C07C2F"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56C536AA" w14:textId="77777777" w:rsidR="00353082" w:rsidRDefault="00353082">
      <w:pPr>
        <w:spacing w:after="240"/>
        <w:rPr>
          <w:rFonts w:ascii="Times New Roman" w:eastAsia="Times New Roman" w:hAnsi="Times New Roman"/>
          <w:b/>
          <w:bCs/>
          <w:caps/>
          <w:color w:val="002060"/>
          <w:kern w:val="32"/>
          <w:sz w:val="24"/>
          <w:szCs w:val="24"/>
          <w:lang w:eastAsia="lt-LT"/>
        </w:rPr>
      </w:pPr>
      <w:r>
        <w:rPr>
          <w:rFonts w:ascii="Times New Roman" w:hAnsi="Times New Roman"/>
          <w:color w:val="002060"/>
          <w:sz w:val="24"/>
          <w:szCs w:val="24"/>
        </w:rPr>
        <w:br w:type="page"/>
      </w:r>
    </w:p>
    <w:p w14:paraId="1D19FBF3" w14:textId="28272906" w:rsidR="00005489" w:rsidRPr="00650EE4" w:rsidRDefault="00276453" w:rsidP="0074524A">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 w:val="24"/>
          <w:szCs w:val="24"/>
        </w:rPr>
      </w:pPr>
      <w:bookmarkStart w:id="154" w:name="_Toc67925158"/>
      <w:r w:rsidRPr="00650EE4">
        <w:rPr>
          <w:rFonts w:ascii="Times New Roman" w:hAnsi="Times New Roman"/>
          <w:color w:val="002060"/>
          <w:sz w:val="24"/>
          <w:szCs w:val="24"/>
        </w:rPr>
        <w:lastRenderedPageBreak/>
        <w:t>R</w:t>
      </w:r>
      <w:r w:rsidR="009A64F8" w:rsidRPr="00650EE4">
        <w:rPr>
          <w:rFonts w:ascii="Times New Roman" w:hAnsi="Times New Roman"/>
          <w:color w:val="002060"/>
          <w:sz w:val="24"/>
          <w:szCs w:val="24"/>
        </w:rPr>
        <w:t xml:space="preserve">ENOVACIJOS STRATEGIJOS </w:t>
      </w:r>
      <w:r w:rsidR="001D07DB" w:rsidRPr="00650EE4">
        <w:rPr>
          <w:rFonts w:ascii="Times New Roman" w:hAnsi="Times New Roman"/>
          <w:color w:val="002060"/>
          <w:sz w:val="24"/>
          <w:szCs w:val="24"/>
        </w:rPr>
        <w:t xml:space="preserve">TIKSLAI, </w:t>
      </w:r>
      <w:r w:rsidR="00B724E5" w:rsidRPr="00650EE4">
        <w:rPr>
          <w:rFonts w:ascii="Times New Roman" w:hAnsi="Times New Roman"/>
          <w:color w:val="002060"/>
          <w:sz w:val="24"/>
          <w:szCs w:val="24"/>
        </w:rPr>
        <w:t>RODIKLIAI</w:t>
      </w:r>
      <w:r w:rsidR="001D07DB" w:rsidRPr="00650EE4">
        <w:rPr>
          <w:rFonts w:ascii="Times New Roman" w:hAnsi="Times New Roman"/>
          <w:color w:val="002060"/>
          <w:sz w:val="24"/>
          <w:szCs w:val="24"/>
        </w:rPr>
        <w:t xml:space="preserve"> IR NAUDOS</w:t>
      </w:r>
      <w:bookmarkEnd w:id="154"/>
    </w:p>
    <w:p w14:paraId="1C8432BD" w14:textId="19B791F6" w:rsidR="0036191F" w:rsidRPr="00650EE4" w:rsidRDefault="00862E2C" w:rsidP="00005489">
      <w:pPr>
        <w:rPr>
          <w:rFonts w:ascii="Times New Roman" w:hAnsi="Times New Roman"/>
          <w:color w:val="000000" w:themeColor="text1"/>
          <w:sz w:val="24"/>
          <w:szCs w:val="24"/>
        </w:rPr>
      </w:pPr>
      <w:r w:rsidRPr="00650EE4">
        <w:rPr>
          <w:rFonts w:ascii="Times New Roman" w:hAnsi="Times New Roman"/>
          <w:noProof/>
          <w:color w:val="000000" w:themeColor="text1"/>
          <w:sz w:val="24"/>
          <w:szCs w:val="24"/>
          <w:lang w:eastAsia="lt-LT"/>
        </w:rPr>
        <mc:AlternateContent>
          <mc:Choice Requires="wps">
            <w:drawing>
              <wp:inline distT="0" distB="0" distL="0" distR="0" wp14:anchorId="326741D1" wp14:editId="4B3F61E7">
                <wp:extent cx="6479540" cy="1428750"/>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28750"/>
                        </a:xfrm>
                        <a:prstGeom prst="rect">
                          <a:avLst/>
                        </a:prstGeom>
                        <a:solidFill>
                          <a:schemeClr val="bg1">
                            <a:lumMod val="85000"/>
                          </a:schemeClr>
                        </a:solidFill>
                        <a:ln>
                          <a:noFill/>
                        </a:ln>
                      </wps:spPr>
                      <wps:txbx>
                        <w:txbxContent>
                          <w:p w14:paraId="0701B2FF" w14:textId="2075840C" w:rsidR="005E392B" w:rsidRPr="00862E2C" w:rsidRDefault="005E392B" w:rsidP="00862E2C">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673C91F0" w14:textId="77777777" w:rsidR="005E392B" w:rsidRPr="00445553" w:rsidRDefault="005E392B" w:rsidP="00862E2C">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38" o:spid="_x0000_s1036" type="#_x0000_t202" style="width:510.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VEGwIAAB0EAAAOAAAAZHJzL2Uyb0RvYy54bWysU11v0zAUfUfiP1h+p0lKu3VR02l0GkIa&#10;A2njBziOk1jYvsZ2m5Rfz7XTdgXeEC+W74fPPffc6/XtqBXZC+clmIoWs5wSYTg00nQV/fby8G5F&#10;iQ/MNEyBERU9CE9vN2/frAdbijn0oBrhCIIYXw62on0Itswyz3uhmZ+BFQaDLTjNApquyxrHBkTX&#10;Kpvn+VU2gGusAy68R+/9FKSbhN+2gocvbetFIKqiyC2k06Wzjme2WbOyc8z2kh9psH9goZk0WPQM&#10;dc8CIzsn/4LSkjvw0IYZB51B20ouUg/YTZH/0c1zz6xIvaA43p5l8v8Plj/tvzoim4q+x0kZpnFG&#10;L2IM5AOMBF2oz2B9iWnPFhPDiH6cc+rV20fg3z0xsO2Z6cSdczD0gjXIr4gvs4unE46PIPXwGRqs&#10;w3YBEtDYOh3FQzkIouOcDufZRC4cnVeL65vlAkMcY8VivrpepullrDw9t86HjwI0iZeKOhx+gmf7&#10;Rx8iHVaeUmI1D0o2D1KpZMSFE1vlyJ7hqtTd1KLaaeQ6+VbLPD+VTPsZ0xPqb0jKRDwDEXkqGj1J&#10;itj9pEMY6zGpXiTEqFMNzQHFcTDtKP4pvPTgflIy4H5W1P/YMScoUZ8MCnxTLKIaIRmL5fUcDXcZ&#10;qS8jzHCEqmigZLpuw/QJdtbJrsdKU78G7nAorUxyvbI68scdTP0e/0tc8ks7Zb3+6s0vAAAA//8D&#10;AFBLAwQUAAYACAAAACEAkag0qd0AAAAGAQAADwAAAGRycy9kb3ducmV2LnhtbEyPT0vDQBDF74Lf&#10;YRnBm9118U+J2RQRBJVasFXP0+w0CWZnQ3bTxH56t170MvB4j/d+ky8m14o99aHxbOBypkAQl942&#10;XBl43zxezEGEiGyx9UwGvinAojg9yTGzfuQ32q9jJVIJhwwN1DF2mZShrMlhmPmOOHk73zuMSfaV&#10;tD2Oqdy1Uit1Ix02nBZq7OihpvJrPTgDS355xt1m/no46GH8+Hy6HVfL3pjzs+n+DkSkKf6F4Yif&#10;0KFITFs/sA2iNZAeib/36CmtrkBsDWh9rUAWufyPX/wAAAD//wMAUEsBAi0AFAAGAAgAAAAhALaD&#10;OJL+AAAA4QEAABMAAAAAAAAAAAAAAAAAAAAAAFtDb250ZW50X1R5cGVzXS54bWxQSwECLQAUAAYA&#10;CAAAACEAOP0h/9YAAACUAQAACwAAAAAAAAAAAAAAAAAvAQAAX3JlbHMvLnJlbHNQSwECLQAUAAYA&#10;CAAAACEAfM1VRBsCAAAdBAAADgAAAAAAAAAAAAAAAAAuAgAAZHJzL2Uyb0RvYy54bWxQSwECLQAU&#10;AAYACAAAACEAkag0qd0AAAAGAQAADwAAAAAAAAAAAAAAAAB1BAAAZHJzL2Rvd25yZXYueG1sUEsF&#10;BgAAAAAEAAQA8wAAAH8FAAAAAA==&#10;" fillcolor="#d8d8d8 [2732]" stroked="f">
                <v:textbox>
                  <w:txbxContent>
                    <w:p w14:paraId="0701B2FF" w14:textId="2075840C" w:rsidR="005E392B" w:rsidRPr="00862E2C" w:rsidRDefault="005E392B" w:rsidP="00862E2C">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673C91F0" w14:textId="77777777" w:rsidR="005E392B" w:rsidRPr="00445553" w:rsidRDefault="005E392B" w:rsidP="00862E2C">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5262D447" w14:textId="77777777" w:rsidR="0071757D" w:rsidRPr="00650EE4" w:rsidRDefault="0071757D" w:rsidP="000D2A77">
      <w:pPr>
        <w:jc w:val="both"/>
        <w:rPr>
          <w:rFonts w:ascii="Times New Roman" w:hAnsi="Times New Roman"/>
          <w:color w:val="000000" w:themeColor="text1"/>
          <w:sz w:val="24"/>
          <w:szCs w:val="24"/>
        </w:rPr>
      </w:pPr>
    </w:p>
    <w:p w14:paraId="23F62D04" w14:textId="71273064" w:rsidR="00AF1FE7" w:rsidRPr="00650EE4" w:rsidRDefault="00900709" w:rsidP="00253F0F">
      <w:pPr>
        <w:spacing w:before="120"/>
        <w:jc w:val="both"/>
        <w:rPr>
          <w:rFonts w:ascii="Times New Roman" w:hAnsi="Times New Roman"/>
          <w:color w:val="000000" w:themeColor="text1"/>
          <w:szCs w:val="22"/>
        </w:rPr>
      </w:pPr>
      <w:r w:rsidRPr="00650EE4">
        <w:rPr>
          <w:rFonts w:ascii="Times New Roman" w:hAnsi="Times New Roman"/>
          <w:color w:val="000000" w:themeColor="text1"/>
          <w:szCs w:val="22"/>
        </w:rPr>
        <w:t>Ilgalaikė past</w:t>
      </w:r>
      <w:r w:rsidR="00AF1FE7" w:rsidRPr="00650EE4">
        <w:rPr>
          <w:rFonts w:ascii="Times New Roman" w:hAnsi="Times New Roman"/>
          <w:color w:val="000000" w:themeColor="text1"/>
          <w:szCs w:val="22"/>
        </w:rPr>
        <w:t>a</w:t>
      </w:r>
      <w:r w:rsidRPr="00650EE4">
        <w:rPr>
          <w:rFonts w:ascii="Times New Roman" w:hAnsi="Times New Roman"/>
          <w:color w:val="000000" w:themeColor="text1"/>
          <w:szCs w:val="22"/>
        </w:rPr>
        <w:t xml:space="preserve">tų renovacija yra vienas iš </w:t>
      </w:r>
      <w:r w:rsidR="0071239C" w:rsidRPr="00650EE4">
        <w:rPr>
          <w:rFonts w:ascii="Times New Roman" w:hAnsi="Times New Roman"/>
          <w:color w:val="000000" w:themeColor="text1"/>
          <w:szCs w:val="22"/>
        </w:rPr>
        <w:t>kertinių</w:t>
      </w:r>
      <w:r w:rsidR="00AF1FE7" w:rsidRPr="00650EE4">
        <w:rPr>
          <w:rFonts w:ascii="Times New Roman" w:hAnsi="Times New Roman"/>
          <w:color w:val="000000" w:themeColor="text1"/>
          <w:szCs w:val="22"/>
        </w:rPr>
        <w:t xml:space="preserve">  Europos žaliojo kurso</w:t>
      </w:r>
      <w:r w:rsidR="00AF1FE7" w:rsidRPr="00650EE4">
        <w:rPr>
          <w:rStyle w:val="FootnoteReference"/>
          <w:rFonts w:ascii="Times New Roman" w:hAnsi="Times New Roman"/>
          <w:color w:val="000000" w:themeColor="text1"/>
          <w:szCs w:val="22"/>
        </w:rPr>
        <w:footnoteReference w:id="40"/>
      </w:r>
      <w:r w:rsidR="00AF1FE7" w:rsidRPr="00650EE4">
        <w:rPr>
          <w:rFonts w:ascii="Times New Roman" w:hAnsi="Times New Roman"/>
          <w:color w:val="000000" w:themeColor="text1"/>
          <w:szCs w:val="22"/>
        </w:rPr>
        <w:t xml:space="preserve"> elementų.  Europos žal</w:t>
      </w:r>
      <w:r w:rsidR="00253F0F" w:rsidRPr="00650EE4">
        <w:rPr>
          <w:rFonts w:ascii="Times New Roman" w:hAnsi="Times New Roman"/>
          <w:color w:val="000000" w:themeColor="text1"/>
          <w:szCs w:val="22"/>
        </w:rPr>
        <w:t>iasis kursas-</w:t>
      </w:r>
      <w:r w:rsidR="00AF1FE7" w:rsidRPr="00650EE4">
        <w:rPr>
          <w:rFonts w:ascii="Times New Roman" w:hAnsi="Times New Roman"/>
          <w:color w:val="000000" w:themeColor="text1"/>
          <w:szCs w:val="22"/>
        </w:rPr>
        <w:t xml:space="preserve"> nauja augimo strategija, kuria siekiama pertvarkyti ES į teisingą ir klestinčią visuomenę, pasižyminčią modernia, efektyviai išteklius naudojančia ir konkurencinga ekonomika, kurioje 2050 m. visai nebus grynojo išmetamo šiltnamio efektą sukeliančių dujų kiekio, o ekonomikos augimas bus atsietas nuo išteklių naudojimo. </w:t>
      </w:r>
    </w:p>
    <w:p w14:paraId="5CAF53EE" w14:textId="77777777" w:rsidR="00900709" w:rsidRPr="00650EE4" w:rsidRDefault="00900709" w:rsidP="00253F0F">
      <w:pPr>
        <w:jc w:val="both"/>
        <w:rPr>
          <w:rFonts w:ascii="Times New Roman" w:hAnsi="Times New Roman"/>
          <w:color w:val="000000" w:themeColor="text1"/>
          <w:szCs w:val="22"/>
        </w:rPr>
      </w:pPr>
    </w:p>
    <w:p w14:paraId="4F75410C" w14:textId="49E00228" w:rsidR="00900709" w:rsidRPr="00650EE4" w:rsidRDefault="00AD2FDE"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55" w:name="_Toc67925267"/>
      <w:r w:rsidR="007744C1">
        <w:t>19</w:t>
      </w:r>
      <w:r w:rsidRPr="00650EE4">
        <w:rPr>
          <w:noProof w:val="0"/>
        </w:rPr>
        <w:fldChar w:fldCharType="end"/>
      </w:r>
      <w:r w:rsidRPr="00650EE4">
        <w:rPr>
          <w:noProof w:val="0"/>
        </w:rPr>
        <w:t xml:space="preserve"> paveikslas</w:t>
      </w:r>
      <w:r w:rsidR="00390FCF" w:rsidRPr="00650EE4">
        <w:rPr>
          <w:noProof w:val="0"/>
        </w:rPr>
        <w:t>.</w:t>
      </w:r>
      <w:r w:rsidR="00900709" w:rsidRPr="00650EE4">
        <w:rPr>
          <w:noProof w:val="0"/>
        </w:rPr>
        <w:t xml:space="preserve"> </w:t>
      </w:r>
      <w:r w:rsidR="00253F0F" w:rsidRPr="00650EE4">
        <w:rPr>
          <w:noProof w:val="0"/>
        </w:rPr>
        <w:t>Europos žaliojo kurso elementai</w:t>
      </w:r>
      <w:bookmarkEnd w:id="155"/>
      <w:r w:rsidR="00253F0F" w:rsidRPr="00650EE4">
        <w:rPr>
          <w:noProof w:val="0"/>
        </w:rPr>
        <w:t xml:space="preserve"> </w:t>
      </w:r>
    </w:p>
    <w:p w14:paraId="660A425B" w14:textId="3B434987" w:rsidR="00284923" w:rsidRPr="00650EE4" w:rsidRDefault="00170543" w:rsidP="00284923">
      <w:pPr>
        <w:jc w:val="both"/>
        <w:rPr>
          <w:rFonts w:ascii="Times New Roman" w:hAnsi="Times New Roman"/>
          <w:i/>
          <w:iCs/>
          <w:color w:val="000000" w:themeColor="text1"/>
          <w:sz w:val="20"/>
          <w:szCs w:val="20"/>
        </w:rPr>
      </w:pPr>
      <w:r w:rsidRPr="00650EE4">
        <w:rPr>
          <w:rFonts w:ascii="Times New Roman" w:hAnsi="Times New Roman"/>
          <w:noProof/>
          <w:lang w:eastAsia="lt-LT"/>
        </w:rPr>
        <mc:AlternateContent>
          <mc:Choice Requires="wps">
            <w:drawing>
              <wp:anchor distT="0" distB="0" distL="114300" distR="114300" simplePos="0" relativeHeight="251812864" behindDoc="0" locked="0" layoutInCell="1" allowOverlap="1" wp14:anchorId="1598C003" wp14:editId="599BB20F">
                <wp:simplePos x="0" y="0"/>
                <wp:positionH relativeFrom="column">
                  <wp:posOffset>745490</wp:posOffset>
                </wp:positionH>
                <wp:positionV relativeFrom="paragraph">
                  <wp:posOffset>2309495</wp:posOffset>
                </wp:positionV>
                <wp:extent cx="1857375" cy="514350"/>
                <wp:effectExtent l="19050" t="19050" r="28575" b="19050"/>
                <wp:wrapNone/>
                <wp:docPr id="19" name="Rectangle 19"/>
                <wp:cNvGraphicFramePr/>
                <a:graphic xmlns:a="http://schemas.openxmlformats.org/drawingml/2006/main">
                  <a:graphicData uri="http://schemas.microsoft.com/office/word/2010/wordprocessingShape">
                    <wps:wsp>
                      <wps:cNvSpPr/>
                      <wps:spPr bwMode="ltGray">
                        <a:xfrm>
                          <a:off x="0" y="0"/>
                          <a:ext cx="1857375" cy="514350"/>
                        </a:xfrm>
                        <a:prstGeom prst="rect">
                          <a:avLst/>
                        </a:prstGeom>
                        <a:noFill/>
                        <a:ln w="28575">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6" style="position:absolute;margin-left:58.7pt;margin-top:181.85pt;width:146.25pt;height:4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ehtQIAALkFAAAOAAAAZHJzL2Uyb0RvYy54bWysVEtv2zAMvg/YfxB0X22ncR9GnSJo0WJA&#10;1wZth54VWYoNyKImKXGyXz9KfrTrih2G+SBLIvmR/ETy4nLfKrIT1jWgS5odpZQIzaFq9Kak359v&#10;vpxR4jzTFVOgRUkPwtHLxedPF50pxAxqUJWwBEG0KzpT0tp7UySJ47VomTsCIzQKJdiWeTzaTVJZ&#10;1iF6q5JZmp4kHdjKWODCOby97oV0EfGlFNw/SOmEJ6qkGJuPq43rOqzJ4oIVG8tM3fAhDPYPUbSs&#10;0eh0grpmnpGtbf6AahtuwYH0RxzaBKRsuIg5YDZZ+i6bp5oZEXNBcpyZaHL/D5bf71aWNBW+3Tkl&#10;mrX4Ro/IGtMbJQjeIUGdcQXqPZmVHU4Ot2TdfYMK1ZW/tewQs99L2wYWMC+yjyQfJpLF3hOOl9lZ&#10;fnp8mlPCUZZn8+M8vkLCitHaWOdvBbQkbEpqMZyIznZ3zmMEqDqqBGcabhql4kMqTbqSztBDHi0c&#10;qKYK0qDn7GZ9pSzZsVAL6Sw9GR3/phagr5mre70Kd4ED9Kk0/gIXIfueFecPSgRspR+FRBoxv1nv&#10;ORSwmNwxzoX2WS+qWSV69DzFb4CPJR8sBmcIGJAlRj9hDwAfY/dRDvrBVMT6n4zTvwXWG08W0TNo&#10;Pxm3jQb7EYDCrAbPvf5IUk9N4GsN1QHrxULffc7wmwZJvmPOr5jFdsPGxBHiH3CRCvAFYdhRUoP9&#10;+dF90McuQCklHbZvSd2PLbOCEvVVY3+cZ/N56Pd4mOenMzzYt5L1W4netleAVZHhsDI8boO+V+NW&#10;WmhfcNIsg1cUMc3Rd0m5t+PhyvdjBWcVF8tlVMMeN8zf6SfDA3hgNZTX8/6FWTOUt8fGuIex1Vnx&#10;rsp73WCpYbn1IJvYAq+8DnzjfIiFM8yyMIDenqPW68Rd/AIAAP//AwBQSwMEFAAGAAgAAAAhAPkC&#10;kmniAAAACwEAAA8AAABkcnMvZG93bnJldi54bWxMj8tOwzAQRfdI/IM1SOyoExo1NMSpIFJYsEDq&#10;Q3TrxG4S1R5HsdMGvp5hBbu5mqM7Z/LNbA276NH3DgXEiwiYxsapHlsBh3318ATMB4lKGodawJf2&#10;sClub3KZKXfFrb7sQsuoBH0mBXQhDBnnvum0lX7hBo20O7nRykBxbLka5ZXKreGPUbTiVvZIFzo5&#10;6LLTzXk3WQHh+Fl+78vD8e0Dq6l+jU3zHldC3N/NL8/Agp7DHwy/+qQOBTnVbkLlmaEcpwmhApar&#10;ZQqMiCRar4HVNCRJCrzI+f8fih8AAAD//wMAUEsBAi0AFAAGAAgAAAAhALaDOJL+AAAA4QEAABMA&#10;AAAAAAAAAAAAAAAAAAAAAFtDb250ZW50X1R5cGVzXS54bWxQSwECLQAUAAYACAAAACEAOP0h/9YA&#10;AACUAQAACwAAAAAAAAAAAAAAAAAvAQAAX3JlbHMvLnJlbHNQSwECLQAUAAYACAAAACEAG2DnobUC&#10;AAC5BQAADgAAAAAAAAAAAAAAAAAuAgAAZHJzL2Uyb0RvYy54bWxQSwECLQAUAAYACAAAACEA+QKS&#10;aeIAAAALAQAADwAAAAAAAAAAAAAAAAAPBQAAZHJzL2Rvd25yZXYueG1sUEsFBgAAAAAEAAQA8wAA&#10;AB4GAAAAAA==&#10;" filled="f" strokecolor="#002060" strokeweight="2.25pt">
                <v:stroke dashstyle="dash"/>
              </v:rect>
            </w:pict>
          </mc:Fallback>
        </mc:AlternateContent>
      </w:r>
      <w:r w:rsidR="00F75FED" w:rsidRPr="00650EE4">
        <w:rPr>
          <w:rFonts w:ascii="Times New Roman" w:hAnsi="Times New Roman"/>
          <w:i/>
          <w:iCs/>
          <w:noProof/>
          <w:color w:val="auto"/>
          <w:szCs w:val="22"/>
          <w:lang w:eastAsia="lt-LT"/>
        </w:rPr>
        <w:drawing>
          <wp:inline distT="0" distB="0" distL="0" distR="0" wp14:anchorId="1F68A679" wp14:editId="450ACCCE">
            <wp:extent cx="6479540" cy="3954145"/>
            <wp:effectExtent l="19050" t="19050" r="1651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3954145"/>
                    </a:xfrm>
                    <a:prstGeom prst="rect">
                      <a:avLst/>
                    </a:prstGeom>
                    <a:ln>
                      <a:solidFill>
                        <a:schemeClr val="tx1"/>
                      </a:solidFill>
                    </a:ln>
                  </pic:spPr>
                </pic:pic>
              </a:graphicData>
            </a:graphic>
          </wp:inline>
        </w:drawing>
      </w:r>
      <w:r w:rsidR="00284923" w:rsidRPr="00650EE4">
        <w:rPr>
          <w:rFonts w:ascii="Times New Roman" w:hAnsi="Times New Roman"/>
          <w:i/>
          <w:iCs/>
          <w:color w:val="auto"/>
          <w:szCs w:val="22"/>
        </w:rPr>
        <w:t xml:space="preserve"> </w:t>
      </w:r>
      <w:r w:rsidR="00284923" w:rsidRPr="00650EE4">
        <w:rPr>
          <w:rFonts w:ascii="Times New Roman" w:hAnsi="Times New Roman"/>
          <w:i/>
          <w:iCs/>
          <w:color w:val="auto"/>
          <w:sz w:val="20"/>
          <w:szCs w:val="20"/>
        </w:rPr>
        <w:t xml:space="preserve">Šaltinis: </w:t>
      </w:r>
      <w:r w:rsidR="009B0C4E" w:rsidRPr="00650EE4">
        <w:rPr>
          <w:rFonts w:ascii="Times New Roman" w:hAnsi="Times New Roman"/>
          <w:i/>
          <w:iCs/>
          <w:color w:val="auto"/>
          <w:sz w:val="20"/>
          <w:szCs w:val="20"/>
        </w:rPr>
        <w:t>Europos komisija</w:t>
      </w:r>
    </w:p>
    <w:p w14:paraId="1849A704" w14:textId="2F7D7F0F" w:rsidR="004B2370" w:rsidRPr="00650EE4" w:rsidRDefault="004B2370" w:rsidP="004B2370">
      <w:pPr>
        <w:jc w:val="both"/>
        <w:rPr>
          <w:rFonts w:ascii="Times New Roman" w:hAnsi="Times New Roman"/>
          <w:color w:val="000000" w:themeColor="text1"/>
          <w:sz w:val="24"/>
          <w:szCs w:val="24"/>
        </w:rPr>
      </w:pPr>
    </w:p>
    <w:p w14:paraId="7C803C5C" w14:textId="2030193D" w:rsidR="003664B5" w:rsidRPr="00650EE4" w:rsidRDefault="00B728B2" w:rsidP="00BF6547">
      <w:pPr>
        <w:spacing w:after="120"/>
        <w:jc w:val="both"/>
        <w:rPr>
          <w:rFonts w:ascii="Times New Roman" w:hAnsi="Times New Roman"/>
          <w:color w:val="000000" w:themeColor="text1"/>
          <w:szCs w:val="24"/>
        </w:rPr>
      </w:pPr>
      <w:r w:rsidRPr="00650EE4">
        <w:rPr>
          <w:rFonts w:ascii="Times New Roman" w:hAnsi="Times New Roman"/>
          <w:color w:val="000000" w:themeColor="text1"/>
          <w:szCs w:val="24"/>
        </w:rPr>
        <w:t xml:space="preserve">Toliau </w:t>
      </w:r>
      <w:r w:rsidR="003664B5" w:rsidRPr="00650EE4">
        <w:rPr>
          <w:rFonts w:ascii="Times New Roman" w:hAnsi="Times New Roman"/>
          <w:color w:val="000000" w:themeColor="text1"/>
          <w:szCs w:val="24"/>
        </w:rPr>
        <w:t>skyriuje pateikiama</w:t>
      </w:r>
      <w:r w:rsidR="00B15197" w:rsidRPr="00650EE4">
        <w:rPr>
          <w:rFonts w:ascii="Times New Roman" w:hAnsi="Times New Roman"/>
          <w:color w:val="000000" w:themeColor="text1"/>
          <w:szCs w:val="24"/>
        </w:rPr>
        <w:t xml:space="preserve"> informacija apie renovacijos strategijos </w:t>
      </w:r>
      <w:r w:rsidR="008C1E7D">
        <w:rPr>
          <w:rFonts w:ascii="Times New Roman" w:hAnsi="Times New Roman"/>
          <w:color w:val="000000" w:themeColor="text1"/>
          <w:szCs w:val="24"/>
        </w:rPr>
        <w:t>tikslą</w:t>
      </w:r>
      <w:r w:rsidR="00B15197" w:rsidRPr="00650EE4">
        <w:rPr>
          <w:rFonts w:ascii="Times New Roman" w:hAnsi="Times New Roman"/>
          <w:color w:val="000000" w:themeColor="text1"/>
          <w:szCs w:val="24"/>
        </w:rPr>
        <w:t>, priemones ir planuojamus pažangos rodiklius</w:t>
      </w:r>
      <w:r w:rsidR="00BF6547" w:rsidRPr="00650EE4">
        <w:rPr>
          <w:rFonts w:ascii="Times New Roman" w:hAnsi="Times New Roman"/>
          <w:color w:val="000000" w:themeColor="text1"/>
          <w:szCs w:val="24"/>
        </w:rPr>
        <w:t>:</w:t>
      </w:r>
    </w:p>
    <w:p w14:paraId="70906C31" w14:textId="5228AA8C" w:rsidR="00BF6547" w:rsidRPr="00650EE4" w:rsidRDefault="00CA4BA9" w:rsidP="00BD4925">
      <w:pPr>
        <w:pStyle w:val="ListParagraph"/>
        <w:numPr>
          <w:ilvl w:val="0"/>
          <w:numId w:val="40"/>
        </w:numPr>
        <w:spacing w:after="60"/>
        <w:ind w:left="714" w:hanging="357"/>
        <w:contextualSpacing w:val="0"/>
        <w:jc w:val="both"/>
        <w:rPr>
          <w:rFonts w:ascii="Times New Roman" w:hAnsi="Times New Roman"/>
          <w:color w:val="000000" w:themeColor="text1"/>
          <w:szCs w:val="24"/>
          <w:lang w:val="lt-LT"/>
        </w:rPr>
      </w:pPr>
      <w:r>
        <w:rPr>
          <w:rFonts w:ascii="Times New Roman" w:hAnsi="Times New Roman"/>
          <w:color w:val="000000" w:themeColor="text1"/>
          <w:szCs w:val="24"/>
          <w:lang w:val="lt-LT"/>
        </w:rPr>
        <w:t>s</w:t>
      </w:r>
      <w:r w:rsidR="008C1E7D">
        <w:rPr>
          <w:rFonts w:ascii="Times New Roman" w:hAnsi="Times New Roman"/>
          <w:color w:val="000000" w:themeColor="text1"/>
          <w:szCs w:val="24"/>
          <w:lang w:val="lt-LT"/>
        </w:rPr>
        <w:t>trategijos tikslas</w:t>
      </w:r>
      <w:r w:rsidR="0037160D" w:rsidRPr="00650EE4">
        <w:rPr>
          <w:rFonts w:ascii="Times New Roman" w:hAnsi="Times New Roman"/>
          <w:color w:val="000000" w:themeColor="text1"/>
          <w:szCs w:val="24"/>
          <w:lang w:val="lt-LT"/>
        </w:rPr>
        <w:t xml:space="preserve"> (5.1 skyrius)</w:t>
      </w:r>
      <w:r>
        <w:rPr>
          <w:rFonts w:ascii="Times New Roman" w:hAnsi="Times New Roman"/>
          <w:color w:val="000000" w:themeColor="text1"/>
          <w:szCs w:val="24"/>
          <w:lang w:val="lt-LT"/>
        </w:rPr>
        <w:t>;</w:t>
      </w:r>
    </w:p>
    <w:p w14:paraId="25C1A601" w14:textId="786AD6FF" w:rsidR="00BF6547" w:rsidRPr="00650EE4" w:rsidRDefault="00CA4BA9" w:rsidP="00BD4925">
      <w:pPr>
        <w:pStyle w:val="ListParagraph"/>
        <w:numPr>
          <w:ilvl w:val="0"/>
          <w:numId w:val="40"/>
        </w:numPr>
        <w:spacing w:after="60"/>
        <w:ind w:left="714" w:hanging="357"/>
        <w:contextualSpacing w:val="0"/>
        <w:jc w:val="both"/>
        <w:rPr>
          <w:rFonts w:ascii="Times New Roman" w:hAnsi="Times New Roman"/>
          <w:color w:val="000000" w:themeColor="text1"/>
          <w:szCs w:val="24"/>
          <w:lang w:val="lt-LT"/>
        </w:rPr>
      </w:pPr>
      <w:r>
        <w:rPr>
          <w:rFonts w:ascii="Times New Roman" w:hAnsi="Times New Roman"/>
          <w:color w:val="000000" w:themeColor="text1"/>
          <w:szCs w:val="24"/>
          <w:lang w:val="lt-LT"/>
        </w:rPr>
        <w:t>s</w:t>
      </w:r>
      <w:r w:rsidR="00BF6547" w:rsidRPr="00650EE4">
        <w:rPr>
          <w:rFonts w:ascii="Times New Roman" w:hAnsi="Times New Roman"/>
          <w:color w:val="000000" w:themeColor="text1"/>
          <w:szCs w:val="24"/>
          <w:lang w:val="lt-LT"/>
        </w:rPr>
        <w:t>trategijos įgyvendinimo rodikliai</w:t>
      </w:r>
      <w:r w:rsidR="0037160D" w:rsidRPr="00650EE4">
        <w:rPr>
          <w:rFonts w:ascii="Times New Roman" w:hAnsi="Times New Roman"/>
          <w:color w:val="000000" w:themeColor="text1"/>
          <w:szCs w:val="24"/>
          <w:lang w:val="lt-LT"/>
        </w:rPr>
        <w:t xml:space="preserve"> (5.2 skyrius)</w:t>
      </w:r>
      <w:r>
        <w:rPr>
          <w:rFonts w:ascii="Times New Roman" w:hAnsi="Times New Roman"/>
          <w:color w:val="000000" w:themeColor="text1"/>
          <w:szCs w:val="24"/>
          <w:lang w:val="lt-LT"/>
        </w:rPr>
        <w:t>;</w:t>
      </w:r>
    </w:p>
    <w:p w14:paraId="0AEDD006" w14:textId="2ABD4419" w:rsidR="00BF6547" w:rsidRPr="00650EE4" w:rsidRDefault="00CA4BA9" w:rsidP="00BD4925">
      <w:pPr>
        <w:pStyle w:val="ListParagraph"/>
        <w:numPr>
          <w:ilvl w:val="0"/>
          <w:numId w:val="40"/>
        </w:numPr>
        <w:spacing w:after="60"/>
        <w:ind w:left="714" w:hanging="357"/>
        <w:contextualSpacing w:val="0"/>
        <w:jc w:val="both"/>
        <w:rPr>
          <w:rFonts w:ascii="Times New Roman" w:hAnsi="Times New Roman"/>
          <w:color w:val="000000" w:themeColor="text1"/>
          <w:szCs w:val="24"/>
          <w:lang w:val="lt-LT"/>
        </w:rPr>
      </w:pPr>
      <w:r>
        <w:rPr>
          <w:rFonts w:ascii="Times New Roman" w:hAnsi="Times New Roman"/>
          <w:color w:val="000000" w:themeColor="text1"/>
          <w:szCs w:val="24"/>
          <w:lang w:val="lt-LT"/>
        </w:rPr>
        <w:t>s</w:t>
      </w:r>
      <w:r w:rsidR="00BF6547" w:rsidRPr="00650EE4">
        <w:rPr>
          <w:rFonts w:ascii="Times New Roman" w:hAnsi="Times New Roman"/>
          <w:color w:val="000000" w:themeColor="text1"/>
          <w:szCs w:val="24"/>
          <w:lang w:val="lt-LT"/>
        </w:rPr>
        <w:t>trategijos įgyvendinimo platesnio masto naudos</w:t>
      </w:r>
      <w:r w:rsidR="0037160D" w:rsidRPr="00650EE4">
        <w:rPr>
          <w:rFonts w:ascii="Times New Roman" w:hAnsi="Times New Roman"/>
          <w:color w:val="000000" w:themeColor="text1"/>
          <w:szCs w:val="24"/>
          <w:lang w:val="lt-LT"/>
        </w:rPr>
        <w:t xml:space="preserve"> (5.3 skyrius)</w:t>
      </w:r>
      <w:r w:rsidR="006A62FF" w:rsidRPr="00650EE4">
        <w:rPr>
          <w:rFonts w:ascii="Times New Roman" w:hAnsi="Times New Roman"/>
          <w:color w:val="000000" w:themeColor="text1"/>
          <w:szCs w:val="24"/>
          <w:lang w:val="lt-LT"/>
        </w:rPr>
        <w:t>.</w:t>
      </w:r>
    </w:p>
    <w:p w14:paraId="2B55616D" w14:textId="77777777" w:rsidR="00170543" w:rsidRPr="00650EE4" w:rsidRDefault="00170543" w:rsidP="00170543">
      <w:pPr>
        <w:pStyle w:val="ListParagraph"/>
        <w:jc w:val="both"/>
        <w:rPr>
          <w:rFonts w:ascii="Times New Roman" w:hAnsi="Times New Roman"/>
          <w:color w:val="000000" w:themeColor="text1"/>
          <w:szCs w:val="24"/>
          <w:lang w:val="lt-LT"/>
        </w:rPr>
      </w:pPr>
    </w:p>
    <w:p w14:paraId="6E4D4C4E" w14:textId="77777777" w:rsidR="00276453" w:rsidRPr="00650EE4" w:rsidRDefault="00276453" w:rsidP="00E37933">
      <w:pPr>
        <w:jc w:val="both"/>
        <w:rPr>
          <w:rFonts w:ascii="Times New Roman" w:hAnsi="Times New Roman"/>
          <w:color w:val="000000" w:themeColor="text1"/>
          <w:sz w:val="24"/>
          <w:szCs w:val="24"/>
        </w:rPr>
      </w:pPr>
    </w:p>
    <w:p w14:paraId="72372C6D" w14:textId="45C42837" w:rsidR="00562751" w:rsidRPr="00650EE4" w:rsidRDefault="00E33F58" w:rsidP="00DF1D03">
      <w:pPr>
        <w:pStyle w:val="Antrastes2"/>
        <w:numPr>
          <w:ilvl w:val="1"/>
          <w:numId w:val="4"/>
        </w:numPr>
        <w:pBdr>
          <w:bottom w:val="single" w:sz="4" w:space="1" w:color="auto"/>
        </w:pBdr>
        <w:spacing w:before="0" w:after="120"/>
        <w:ind w:left="576" w:hanging="576"/>
        <w:jc w:val="both"/>
        <w:rPr>
          <w:rFonts w:ascii="Times New Roman" w:hAnsi="Times New Roman"/>
          <w:color w:val="auto"/>
          <w:sz w:val="24"/>
          <w:szCs w:val="24"/>
          <w:lang w:val="lt-LT"/>
        </w:rPr>
      </w:pPr>
      <w:bookmarkStart w:id="156" w:name="_Toc67925159"/>
      <w:r>
        <w:rPr>
          <w:rFonts w:ascii="Times New Roman" w:hAnsi="Times New Roman"/>
          <w:color w:val="auto"/>
          <w:sz w:val="24"/>
          <w:szCs w:val="24"/>
          <w:lang w:val="lt-LT"/>
        </w:rPr>
        <w:lastRenderedPageBreak/>
        <w:t>S</w:t>
      </w:r>
      <w:r w:rsidR="004A5DA7">
        <w:rPr>
          <w:rFonts w:ascii="Times New Roman" w:hAnsi="Times New Roman"/>
          <w:color w:val="auto"/>
          <w:sz w:val="24"/>
          <w:szCs w:val="24"/>
          <w:lang w:val="lt-LT"/>
        </w:rPr>
        <w:t>TRATEGIJOS TIKSLAS</w:t>
      </w:r>
      <w:bookmarkEnd w:id="156"/>
      <w:r w:rsidR="00F5780F" w:rsidRPr="00650EE4">
        <w:rPr>
          <w:rFonts w:ascii="Times New Roman" w:hAnsi="Times New Roman"/>
          <w:color w:val="auto"/>
          <w:sz w:val="24"/>
          <w:szCs w:val="24"/>
          <w:lang w:val="lt-LT"/>
        </w:rPr>
        <w:t xml:space="preserve"> </w:t>
      </w:r>
    </w:p>
    <w:p w14:paraId="6E41E240" w14:textId="77777777" w:rsidR="004A5DA7" w:rsidRDefault="004A5DA7" w:rsidP="004A5DA7">
      <w:pPr>
        <w:spacing w:after="120" w:line="240" w:lineRule="auto"/>
        <w:jc w:val="both"/>
        <w:rPr>
          <w:rFonts w:ascii="Times New Roman" w:hAnsi="Times New Roman"/>
          <w:color w:val="000000" w:themeColor="text1"/>
          <w:szCs w:val="22"/>
        </w:rPr>
      </w:pPr>
    </w:p>
    <w:p w14:paraId="7EB7DA62" w14:textId="198EF2C1" w:rsidR="004A5DA7" w:rsidRPr="008F3F58" w:rsidRDefault="004A5DA7" w:rsidP="004A5DA7">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Strategijos tikslas yra transformuoti esamą p</w:t>
      </w:r>
      <w:r w:rsidRPr="00650EE4">
        <w:rPr>
          <w:rFonts w:ascii="Times New Roman" w:hAnsi="Times New Roman"/>
          <w:color w:val="000000" w:themeColor="text1"/>
          <w:szCs w:val="22"/>
        </w:rPr>
        <w:t>astatų fondą</w:t>
      </w:r>
      <w:r>
        <w:rPr>
          <w:rFonts w:ascii="Times New Roman" w:hAnsi="Times New Roman"/>
          <w:color w:val="000000" w:themeColor="text1"/>
          <w:szCs w:val="22"/>
        </w:rPr>
        <w:t xml:space="preserve">, kad 2050 metais jis būtų </w:t>
      </w:r>
      <w:r w:rsidRPr="008F3F58">
        <w:rPr>
          <w:rFonts w:ascii="Times New Roman" w:hAnsi="Times New Roman"/>
          <w:color w:val="000000" w:themeColor="text1"/>
          <w:szCs w:val="22"/>
        </w:rPr>
        <w:t xml:space="preserve">efektyviai vartojantis energiją (su sąlygomis pertvarkymui į </w:t>
      </w:r>
      <w:r w:rsidRPr="008F3F58">
        <w:rPr>
          <w:rFonts w:ascii="Times New Roman" w:hAnsi="Times New Roman"/>
          <w:bCs/>
          <w:color w:val="000000" w:themeColor="text1"/>
          <w:szCs w:val="22"/>
        </w:rPr>
        <w:t>beveik nulinės energijos pa</w:t>
      </w:r>
      <w:r>
        <w:rPr>
          <w:rFonts w:ascii="Times New Roman" w:hAnsi="Times New Roman"/>
          <w:bCs/>
          <w:color w:val="000000" w:themeColor="text1"/>
          <w:szCs w:val="22"/>
        </w:rPr>
        <w:t xml:space="preserve">status) ir </w:t>
      </w:r>
      <w:r w:rsidRPr="008F3F58">
        <w:rPr>
          <w:rFonts w:ascii="Times New Roman" w:hAnsi="Times New Roman"/>
          <w:color w:val="000000" w:themeColor="text1"/>
          <w:szCs w:val="22"/>
        </w:rPr>
        <w:t>nepriklausomas nuo iškastinio kuro</w:t>
      </w:r>
      <w:r w:rsidR="00405726">
        <w:rPr>
          <w:rFonts w:ascii="Times New Roman" w:hAnsi="Times New Roman"/>
          <w:color w:val="000000" w:themeColor="text1"/>
          <w:szCs w:val="22"/>
        </w:rPr>
        <w:t xml:space="preserve"> </w:t>
      </w:r>
      <w:r w:rsidR="00405726" w:rsidRPr="00E73A77">
        <w:rPr>
          <w:rFonts w:ascii="Times New Roman" w:hAnsi="Times New Roman"/>
          <w:color w:val="000000" w:themeColor="text1"/>
          <w:szCs w:val="22"/>
        </w:rPr>
        <w:t>bei atitinkantis universalaus dizaino principus</w:t>
      </w:r>
      <w:r w:rsidRPr="00E73A77">
        <w:rPr>
          <w:rFonts w:ascii="Times New Roman" w:hAnsi="Times New Roman"/>
          <w:color w:val="000000" w:themeColor="text1"/>
          <w:szCs w:val="22"/>
        </w:rPr>
        <w:t>.</w:t>
      </w:r>
      <w:r w:rsidRPr="008F3F58">
        <w:rPr>
          <w:rFonts w:ascii="Times New Roman" w:hAnsi="Times New Roman"/>
          <w:color w:val="000000" w:themeColor="text1"/>
          <w:szCs w:val="22"/>
        </w:rPr>
        <w:t xml:space="preserve">  </w:t>
      </w:r>
    </w:p>
    <w:p w14:paraId="57B0F690" w14:textId="77777777" w:rsidR="00390E21" w:rsidRPr="00650EE4" w:rsidRDefault="00390E21" w:rsidP="0071757D">
      <w:pPr>
        <w:jc w:val="both"/>
        <w:rPr>
          <w:rFonts w:ascii="Times New Roman" w:hAnsi="Times New Roman"/>
          <w:color w:val="000000" w:themeColor="text1"/>
          <w:szCs w:val="22"/>
        </w:rPr>
      </w:pPr>
    </w:p>
    <w:p w14:paraId="3713C76E" w14:textId="5A82332D" w:rsidR="0071757D" w:rsidRPr="00650EE4" w:rsidRDefault="00C1258F" w:rsidP="0071757D">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Įgyvendinant </w:t>
      </w:r>
      <w:r w:rsidR="004A5DA7">
        <w:rPr>
          <w:rFonts w:ascii="Times New Roman" w:hAnsi="Times New Roman"/>
          <w:color w:val="000000" w:themeColor="text1"/>
          <w:szCs w:val="22"/>
        </w:rPr>
        <w:t>šį</w:t>
      </w:r>
      <w:r w:rsidRPr="00650EE4">
        <w:rPr>
          <w:rFonts w:ascii="Times New Roman" w:hAnsi="Times New Roman"/>
          <w:color w:val="000000" w:themeColor="text1"/>
          <w:szCs w:val="22"/>
        </w:rPr>
        <w:t xml:space="preserve"> tikslą </w:t>
      </w:r>
      <w:r w:rsidR="004A5DA7">
        <w:rPr>
          <w:rFonts w:ascii="Times New Roman" w:hAnsi="Times New Roman"/>
          <w:color w:val="000000" w:themeColor="text1"/>
          <w:szCs w:val="22"/>
        </w:rPr>
        <w:t>planuojama</w:t>
      </w:r>
      <w:r w:rsidRPr="00650EE4">
        <w:rPr>
          <w:rFonts w:ascii="Times New Roman" w:hAnsi="Times New Roman"/>
          <w:color w:val="000000" w:themeColor="text1"/>
          <w:szCs w:val="22"/>
        </w:rPr>
        <w:t xml:space="preserve"> </w:t>
      </w:r>
      <w:r w:rsidR="008A39D8" w:rsidRPr="00650EE4">
        <w:rPr>
          <w:rFonts w:ascii="Times New Roman" w:hAnsi="Times New Roman"/>
          <w:color w:val="000000" w:themeColor="text1"/>
          <w:szCs w:val="22"/>
        </w:rPr>
        <w:t>iki 2050 metų</w:t>
      </w:r>
      <w:r w:rsidR="00AC346A" w:rsidRPr="00650EE4">
        <w:rPr>
          <w:rFonts w:ascii="Times New Roman" w:hAnsi="Times New Roman"/>
          <w:color w:val="000000" w:themeColor="text1"/>
          <w:szCs w:val="22"/>
        </w:rPr>
        <w:t xml:space="preserve"> pasiekti šiuos rodiklius (lyginant su 2020 m.)</w:t>
      </w:r>
      <w:r w:rsidR="008A39D8" w:rsidRPr="00650EE4">
        <w:rPr>
          <w:rFonts w:ascii="Times New Roman" w:hAnsi="Times New Roman"/>
          <w:color w:val="000000" w:themeColor="text1"/>
          <w:szCs w:val="22"/>
        </w:rPr>
        <w:t>:</w:t>
      </w:r>
    </w:p>
    <w:p w14:paraId="401189B2" w14:textId="53A3A79F" w:rsidR="006E4F73" w:rsidRPr="00650EE4" w:rsidRDefault="006E4F73" w:rsidP="006E4F73">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umažinti metinį </w:t>
      </w:r>
      <w:r>
        <w:rPr>
          <w:rFonts w:ascii="Times New Roman" w:hAnsi="Times New Roman"/>
          <w:color w:val="000000" w:themeColor="text1"/>
          <w:szCs w:val="22"/>
          <w:lang w:val="lt-LT"/>
        </w:rPr>
        <w:t>p</w:t>
      </w:r>
      <w:r w:rsidRPr="00650EE4">
        <w:rPr>
          <w:rFonts w:ascii="Times New Roman" w:hAnsi="Times New Roman"/>
          <w:color w:val="000000" w:themeColor="text1"/>
          <w:szCs w:val="22"/>
          <w:lang w:val="lt-LT"/>
        </w:rPr>
        <w:t>astatų fondo pirminės energijos vartojimą iki 1</w:t>
      </w:r>
      <w:r>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w:t>
      </w:r>
      <w:r>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 xml:space="preserve"> </w:t>
      </w:r>
      <w:proofErr w:type="spellStart"/>
      <w:r w:rsidRPr="00650EE4">
        <w:rPr>
          <w:rFonts w:ascii="Times New Roman" w:hAnsi="Times New Roman"/>
          <w:color w:val="000000" w:themeColor="text1"/>
          <w:szCs w:val="22"/>
          <w:lang w:val="lt-LT"/>
        </w:rPr>
        <w:t>TWh</w:t>
      </w:r>
      <w:proofErr w:type="spellEnd"/>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0 proc.)</w:t>
      </w:r>
      <w:r>
        <w:rPr>
          <w:rFonts w:ascii="Times New Roman" w:hAnsi="Times New Roman"/>
          <w:color w:val="000000" w:themeColor="text1"/>
          <w:szCs w:val="22"/>
          <w:lang w:val="lt-LT"/>
        </w:rPr>
        <w:t>;</w:t>
      </w:r>
    </w:p>
    <w:p w14:paraId="7BDC35D8" w14:textId="1D297041" w:rsidR="006E4F73" w:rsidRPr="00650EE4" w:rsidRDefault="006E4F73" w:rsidP="006E4F73">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umažinti </w:t>
      </w:r>
      <w:r>
        <w:rPr>
          <w:rFonts w:ascii="Times New Roman" w:hAnsi="Times New Roman"/>
          <w:color w:val="000000" w:themeColor="text1"/>
          <w:szCs w:val="22"/>
          <w:lang w:val="lt-LT"/>
        </w:rPr>
        <w:t>metinį p</w:t>
      </w:r>
      <w:r w:rsidRPr="00650EE4">
        <w:rPr>
          <w:rFonts w:ascii="Times New Roman" w:hAnsi="Times New Roman"/>
          <w:color w:val="000000" w:themeColor="text1"/>
          <w:szCs w:val="22"/>
          <w:lang w:val="lt-LT"/>
        </w:rPr>
        <w:t xml:space="preserve">astatų fondo pirminės energijos iš iškastinio kuro vartojimą </w:t>
      </w:r>
      <w:r>
        <w:rPr>
          <w:rFonts w:ascii="Times New Roman" w:hAnsi="Times New Roman"/>
          <w:color w:val="000000" w:themeColor="text1"/>
          <w:szCs w:val="22"/>
          <w:lang w:val="lt-LT"/>
        </w:rPr>
        <w:t>iki 0</w:t>
      </w:r>
      <w:r w:rsidRPr="00650EE4">
        <w:rPr>
          <w:rFonts w:ascii="Times New Roman" w:hAnsi="Times New Roman"/>
          <w:color w:val="000000" w:themeColor="text1"/>
          <w:szCs w:val="22"/>
          <w:lang w:val="lt-LT"/>
        </w:rPr>
        <w:t xml:space="preserve"> </w:t>
      </w:r>
      <w:proofErr w:type="spellStart"/>
      <w:r w:rsidRPr="00650EE4">
        <w:rPr>
          <w:rFonts w:ascii="Times New Roman" w:hAnsi="Times New Roman"/>
          <w:color w:val="000000" w:themeColor="text1"/>
          <w:szCs w:val="22"/>
          <w:lang w:val="lt-LT"/>
        </w:rPr>
        <w:t>TWh</w:t>
      </w:r>
      <w:proofErr w:type="spellEnd"/>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10</w:t>
      </w:r>
      <w:r w:rsidRPr="00650EE4">
        <w:rPr>
          <w:rFonts w:ascii="Times New Roman" w:hAnsi="Times New Roman"/>
          <w:color w:val="000000" w:themeColor="text1"/>
          <w:szCs w:val="22"/>
          <w:lang w:val="lt-LT"/>
        </w:rPr>
        <w:t>0 proc.)</w:t>
      </w:r>
      <w:r>
        <w:rPr>
          <w:rFonts w:ascii="Times New Roman" w:hAnsi="Times New Roman"/>
          <w:color w:val="000000" w:themeColor="text1"/>
          <w:szCs w:val="22"/>
          <w:lang w:val="lt-LT"/>
        </w:rPr>
        <w:t>;</w:t>
      </w:r>
    </w:p>
    <w:p w14:paraId="4A0AAAE9" w14:textId="42774CA0" w:rsidR="006E4F73" w:rsidRPr="00650EE4" w:rsidRDefault="006E4F73" w:rsidP="006E4F73">
      <w:pPr>
        <w:pStyle w:val="ListParagraph"/>
        <w:numPr>
          <w:ilvl w:val="0"/>
          <w:numId w:val="16"/>
        </w:numPr>
        <w:spacing w:before="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umažinti </w:t>
      </w:r>
      <w:r>
        <w:rPr>
          <w:rFonts w:ascii="Times New Roman" w:hAnsi="Times New Roman"/>
          <w:color w:val="000000" w:themeColor="text1"/>
          <w:szCs w:val="22"/>
          <w:lang w:val="lt-LT"/>
        </w:rPr>
        <w:t>metinį p</w:t>
      </w:r>
      <w:r w:rsidRPr="00650EE4">
        <w:rPr>
          <w:rFonts w:ascii="Times New Roman" w:hAnsi="Times New Roman"/>
          <w:color w:val="000000" w:themeColor="text1"/>
          <w:szCs w:val="22"/>
          <w:lang w:val="lt-LT"/>
        </w:rPr>
        <w:t>astatų fondo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kiekį iki 0 mtCO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10</w:t>
      </w:r>
      <w:r w:rsidRPr="00650EE4">
        <w:rPr>
          <w:rFonts w:ascii="Times New Roman" w:hAnsi="Times New Roman"/>
          <w:color w:val="000000" w:themeColor="text1"/>
          <w:szCs w:val="22"/>
          <w:lang w:val="lt-LT"/>
        </w:rPr>
        <w:t>0 proc.).</w:t>
      </w:r>
    </w:p>
    <w:p w14:paraId="2E15E740" w14:textId="1A0CCF18" w:rsidR="00390E21" w:rsidRPr="00650EE4" w:rsidRDefault="00390E21" w:rsidP="0071757D">
      <w:pPr>
        <w:jc w:val="both"/>
        <w:rPr>
          <w:rFonts w:ascii="Times New Roman" w:hAnsi="Times New Roman"/>
          <w:color w:val="000000" w:themeColor="text1"/>
          <w:szCs w:val="22"/>
        </w:rPr>
      </w:pPr>
    </w:p>
    <w:p w14:paraId="064A94B1" w14:textId="79BC131E" w:rsidR="00554C08" w:rsidRPr="00650EE4" w:rsidRDefault="00806F6C" w:rsidP="00870F95">
      <w:pPr>
        <w:jc w:val="both"/>
        <w:rPr>
          <w:rFonts w:ascii="Times New Roman" w:hAnsi="Times New Roman"/>
          <w:color w:val="000000" w:themeColor="text1"/>
          <w:szCs w:val="22"/>
        </w:rPr>
      </w:pPr>
      <w:r w:rsidRPr="00650EE4">
        <w:rPr>
          <w:rFonts w:ascii="Times New Roman" w:hAnsi="Times New Roman"/>
          <w:color w:val="000000" w:themeColor="text1"/>
          <w:szCs w:val="22"/>
        </w:rPr>
        <w:t>Svarbu pastebėti, kad</w:t>
      </w:r>
      <w:r w:rsidR="00D65447" w:rsidRPr="00650EE4">
        <w:rPr>
          <w:rFonts w:ascii="Times New Roman" w:hAnsi="Times New Roman"/>
          <w:color w:val="000000" w:themeColor="text1"/>
          <w:szCs w:val="22"/>
        </w:rPr>
        <w:t xml:space="preserve"> </w:t>
      </w:r>
      <w:r w:rsidR="007A52B6">
        <w:rPr>
          <w:rFonts w:ascii="Times New Roman" w:hAnsi="Times New Roman"/>
          <w:color w:val="000000" w:themeColor="text1"/>
          <w:szCs w:val="22"/>
        </w:rPr>
        <w:t>p</w:t>
      </w:r>
      <w:r w:rsidR="00161D10" w:rsidRPr="00650EE4">
        <w:rPr>
          <w:rFonts w:ascii="Times New Roman" w:hAnsi="Times New Roman"/>
          <w:color w:val="000000" w:themeColor="text1"/>
          <w:szCs w:val="22"/>
        </w:rPr>
        <w:t>astatų fondas, kaip energijos vartotojas yra neatskiriama energetikos sektoriaus dalis.</w:t>
      </w:r>
      <w:r w:rsidR="0042477F" w:rsidRPr="00650EE4">
        <w:rPr>
          <w:rFonts w:ascii="Times New Roman" w:hAnsi="Times New Roman"/>
          <w:color w:val="000000" w:themeColor="text1"/>
          <w:szCs w:val="22"/>
        </w:rPr>
        <w:t xml:space="preserve"> </w:t>
      </w:r>
      <w:r w:rsidR="00715616" w:rsidRPr="00650EE4">
        <w:rPr>
          <w:rFonts w:ascii="Times New Roman" w:hAnsi="Times New Roman"/>
          <w:color w:val="000000" w:themeColor="text1"/>
          <w:szCs w:val="22"/>
        </w:rPr>
        <w:t xml:space="preserve">Aukščiau aprašyti siektini </w:t>
      </w:r>
      <w:r w:rsidR="002A0BDE">
        <w:rPr>
          <w:rFonts w:ascii="Times New Roman" w:hAnsi="Times New Roman"/>
          <w:color w:val="000000" w:themeColor="text1"/>
          <w:szCs w:val="22"/>
        </w:rPr>
        <w:t>p</w:t>
      </w:r>
      <w:r w:rsidR="00715616" w:rsidRPr="00650EE4">
        <w:rPr>
          <w:rFonts w:ascii="Times New Roman" w:hAnsi="Times New Roman"/>
          <w:color w:val="000000" w:themeColor="text1"/>
          <w:szCs w:val="22"/>
        </w:rPr>
        <w:t xml:space="preserve">astatų fondo transformacijos rodikliai </w:t>
      </w:r>
      <w:r w:rsidR="00554C08" w:rsidRPr="00650EE4">
        <w:rPr>
          <w:rFonts w:ascii="Times New Roman" w:hAnsi="Times New Roman"/>
          <w:color w:val="000000" w:themeColor="text1"/>
          <w:szCs w:val="22"/>
        </w:rPr>
        <w:t xml:space="preserve">nustatyti darant prielaidą, kad energetikos sektorius </w:t>
      </w:r>
      <w:r w:rsidR="00E95DED" w:rsidRPr="00650EE4">
        <w:rPr>
          <w:rFonts w:ascii="Times New Roman" w:hAnsi="Times New Roman"/>
          <w:color w:val="000000" w:themeColor="text1"/>
          <w:szCs w:val="22"/>
        </w:rPr>
        <w:t>lygiagrečiai</w:t>
      </w:r>
      <w:r w:rsidR="0027125D" w:rsidRPr="00650EE4">
        <w:rPr>
          <w:rFonts w:ascii="Times New Roman" w:hAnsi="Times New Roman"/>
          <w:color w:val="000000" w:themeColor="text1"/>
          <w:szCs w:val="22"/>
        </w:rPr>
        <w:t xml:space="preserve"> </w:t>
      </w:r>
      <w:r w:rsidR="00554C08" w:rsidRPr="00650EE4">
        <w:rPr>
          <w:rFonts w:ascii="Times New Roman" w:hAnsi="Times New Roman"/>
          <w:color w:val="000000" w:themeColor="text1"/>
          <w:szCs w:val="22"/>
        </w:rPr>
        <w:t>transformuosis</w:t>
      </w:r>
      <w:r w:rsidR="0027125D" w:rsidRPr="00650EE4">
        <w:rPr>
          <w:rFonts w:ascii="Times New Roman" w:hAnsi="Times New Roman"/>
          <w:color w:val="000000" w:themeColor="text1"/>
          <w:szCs w:val="22"/>
        </w:rPr>
        <w:t>,</w:t>
      </w:r>
      <w:r w:rsidR="00554C08" w:rsidRPr="00650EE4">
        <w:rPr>
          <w:rFonts w:ascii="Times New Roman" w:hAnsi="Times New Roman"/>
          <w:color w:val="000000" w:themeColor="text1"/>
          <w:szCs w:val="22"/>
        </w:rPr>
        <w:t xml:space="preserve"> siekdamas </w:t>
      </w:r>
      <w:r w:rsidR="0027125D" w:rsidRPr="00650EE4">
        <w:rPr>
          <w:rFonts w:ascii="Times New Roman" w:hAnsi="Times New Roman"/>
          <w:color w:val="000000" w:themeColor="text1"/>
          <w:szCs w:val="22"/>
        </w:rPr>
        <w:t xml:space="preserve">atliepti besikeičiančius vartotojų  poreikius. </w:t>
      </w:r>
    </w:p>
    <w:p w14:paraId="35BE37F5" w14:textId="77777777" w:rsidR="00554C08" w:rsidRPr="00650EE4" w:rsidRDefault="00554C08" w:rsidP="00870F95">
      <w:pPr>
        <w:jc w:val="both"/>
        <w:rPr>
          <w:rFonts w:ascii="Times New Roman" w:hAnsi="Times New Roman"/>
          <w:color w:val="000000" w:themeColor="text1"/>
          <w:szCs w:val="22"/>
        </w:rPr>
      </w:pPr>
    </w:p>
    <w:p w14:paraId="386A31C5" w14:textId="63D59403" w:rsidR="008530D6" w:rsidRPr="00650EE4" w:rsidRDefault="003A46C8" w:rsidP="00870F95">
      <w:pPr>
        <w:jc w:val="both"/>
        <w:rPr>
          <w:rFonts w:ascii="Times New Roman" w:hAnsi="Times New Roman"/>
          <w:color w:val="000000" w:themeColor="text1"/>
          <w:szCs w:val="22"/>
        </w:rPr>
      </w:pPr>
      <w:r w:rsidRPr="00650EE4">
        <w:rPr>
          <w:rFonts w:ascii="Times New Roman" w:hAnsi="Times New Roman"/>
          <w:color w:val="000000" w:themeColor="text1"/>
          <w:szCs w:val="22"/>
        </w:rPr>
        <w:t>Paveik</w:t>
      </w:r>
      <w:r w:rsidR="004B6D9F" w:rsidRPr="00650EE4">
        <w:rPr>
          <w:rFonts w:ascii="Times New Roman" w:hAnsi="Times New Roman"/>
          <w:color w:val="000000" w:themeColor="text1"/>
          <w:szCs w:val="22"/>
        </w:rPr>
        <w:t>s</w:t>
      </w:r>
      <w:r w:rsidR="006201C1" w:rsidRPr="00650EE4">
        <w:rPr>
          <w:rFonts w:ascii="Times New Roman" w:hAnsi="Times New Roman"/>
          <w:color w:val="000000" w:themeColor="text1"/>
          <w:szCs w:val="22"/>
        </w:rPr>
        <w:t>l</w:t>
      </w:r>
      <w:r w:rsidRPr="00650EE4">
        <w:rPr>
          <w:rFonts w:ascii="Times New Roman" w:hAnsi="Times New Roman"/>
          <w:color w:val="000000" w:themeColor="text1"/>
          <w:szCs w:val="22"/>
        </w:rPr>
        <w:t xml:space="preserve">e žemiau </w:t>
      </w:r>
      <w:r w:rsidR="00A06517" w:rsidRPr="00650EE4">
        <w:rPr>
          <w:rFonts w:ascii="Times New Roman" w:hAnsi="Times New Roman"/>
          <w:color w:val="000000" w:themeColor="text1"/>
          <w:szCs w:val="22"/>
        </w:rPr>
        <w:t xml:space="preserve">pateikiami duomenys iliustruojantys </w:t>
      </w:r>
      <w:r w:rsidR="002A0BDE">
        <w:rPr>
          <w:rFonts w:ascii="Times New Roman" w:hAnsi="Times New Roman"/>
          <w:color w:val="000000" w:themeColor="text1"/>
          <w:szCs w:val="22"/>
        </w:rPr>
        <w:t>p</w:t>
      </w:r>
      <w:r w:rsidR="0061185E" w:rsidRPr="00650EE4">
        <w:rPr>
          <w:rFonts w:ascii="Times New Roman" w:hAnsi="Times New Roman"/>
          <w:color w:val="000000" w:themeColor="text1"/>
          <w:szCs w:val="22"/>
        </w:rPr>
        <w:t>as</w:t>
      </w:r>
      <w:r w:rsidR="004B6D9F" w:rsidRPr="00650EE4">
        <w:rPr>
          <w:rFonts w:ascii="Times New Roman" w:hAnsi="Times New Roman"/>
          <w:color w:val="000000" w:themeColor="text1"/>
          <w:szCs w:val="22"/>
        </w:rPr>
        <w:t>tat</w:t>
      </w:r>
      <w:r w:rsidR="00C40470" w:rsidRPr="00650EE4">
        <w:rPr>
          <w:rFonts w:ascii="Times New Roman" w:hAnsi="Times New Roman"/>
          <w:color w:val="000000" w:themeColor="text1"/>
          <w:szCs w:val="22"/>
        </w:rPr>
        <w:t>ų fondo transforma</w:t>
      </w:r>
      <w:r w:rsidR="0061185E" w:rsidRPr="00650EE4">
        <w:rPr>
          <w:rFonts w:ascii="Times New Roman" w:hAnsi="Times New Roman"/>
          <w:color w:val="000000" w:themeColor="text1"/>
          <w:szCs w:val="22"/>
        </w:rPr>
        <w:t>cijos</w:t>
      </w:r>
      <w:r w:rsidR="00A06517" w:rsidRPr="00650EE4">
        <w:rPr>
          <w:rFonts w:ascii="Times New Roman" w:hAnsi="Times New Roman"/>
          <w:color w:val="000000" w:themeColor="text1"/>
          <w:szCs w:val="22"/>
        </w:rPr>
        <w:t xml:space="preserve"> priklausomybę</w:t>
      </w:r>
      <w:r w:rsidR="0061185E" w:rsidRPr="00650EE4">
        <w:rPr>
          <w:rFonts w:ascii="Times New Roman" w:hAnsi="Times New Roman"/>
          <w:color w:val="000000" w:themeColor="text1"/>
          <w:szCs w:val="22"/>
        </w:rPr>
        <w:t xml:space="preserve"> nuo energetikos sektoriaus</w:t>
      </w:r>
      <w:r w:rsidR="006201C1" w:rsidRPr="00650EE4">
        <w:rPr>
          <w:rFonts w:ascii="Times New Roman" w:hAnsi="Times New Roman"/>
          <w:color w:val="000000" w:themeColor="text1"/>
          <w:szCs w:val="22"/>
        </w:rPr>
        <w:t xml:space="preserve"> transforma</w:t>
      </w:r>
      <w:r w:rsidR="00212381" w:rsidRPr="00650EE4">
        <w:rPr>
          <w:rFonts w:ascii="Times New Roman" w:hAnsi="Times New Roman"/>
          <w:color w:val="000000" w:themeColor="text1"/>
          <w:szCs w:val="22"/>
        </w:rPr>
        <w:t>cijos</w:t>
      </w:r>
      <w:r w:rsidR="00A06517" w:rsidRPr="00650EE4">
        <w:rPr>
          <w:rFonts w:ascii="Times New Roman" w:hAnsi="Times New Roman"/>
          <w:color w:val="000000" w:themeColor="text1"/>
          <w:szCs w:val="22"/>
        </w:rPr>
        <w:t>:</w:t>
      </w:r>
    </w:p>
    <w:p w14:paraId="5718ABA8" w14:textId="6BDA7716" w:rsidR="006E4F73" w:rsidRPr="00650EE4" w:rsidRDefault="006E4F73" w:rsidP="006E4F73">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tulpelyje „2050“ patiekiamos rodiklių reikšmės, kurios galė</w:t>
      </w:r>
      <w:r>
        <w:rPr>
          <w:rFonts w:ascii="Times New Roman" w:hAnsi="Times New Roman"/>
          <w:color w:val="000000" w:themeColor="text1"/>
          <w:szCs w:val="22"/>
          <w:lang w:val="lt-LT"/>
        </w:rPr>
        <w:t>tų būti pasiektos atliktus tik p</w:t>
      </w:r>
      <w:r w:rsidRPr="00650EE4">
        <w:rPr>
          <w:rFonts w:ascii="Times New Roman" w:hAnsi="Times New Roman"/>
          <w:color w:val="000000" w:themeColor="text1"/>
          <w:szCs w:val="22"/>
          <w:lang w:val="lt-LT"/>
        </w:rPr>
        <w:t xml:space="preserve">astatų fondo transformaciją t.y. nustatyta apimtimi įgyvendinus renovacijos priemones didinančias pastatų energetinį naudingumą ir pakeitus ne AEI naudojančius individualius gamybos šaltinius į AEI. </w:t>
      </w:r>
    </w:p>
    <w:p w14:paraId="6F274837" w14:textId="3F0B81F2" w:rsidR="00870F95" w:rsidRPr="006E4F73" w:rsidRDefault="006E4F73" w:rsidP="0071757D">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tulpelyje „2050 +“ pateikiamos IRS nustatytos siektinos rodiklių reikšmės, kurios galėt</w:t>
      </w:r>
      <w:r>
        <w:rPr>
          <w:rFonts w:ascii="Times New Roman" w:hAnsi="Times New Roman"/>
          <w:color w:val="000000" w:themeColor="text1"/>
          <w:szCs w:val="22"/>
          <w:lang w:val="lt-LT"/>
        </w:rPr>
        <w:t>ų būti pasiektos atliktus tiek p</w:t>
      </w:r>
      <w:r w:rsidRPr="00650EE4">
        <w:rPr>
          <w:rFonts w:ascii="Times New Roman" w:hAnsi="Times New Roman"/>
          <w:color w:val="000000" w:themeColor="text1"/>
          <w:szCs w:val="22"/>
          <w:lang w:val="lt-LT"/>
        </w:rPr>
        <w:t>astatų fondo (energijos vartojimo), tiek energetikos sektoriaus (energijos gamybos) transformaciją.</w:t>
      </w:r>
      <w:r w:rsidR="00430431" w:rsidRPr="006E4F73">
        <w:rPr>
          <w:rFonts w:ascii="Times New Roman" w:hAnsi="Times New Roman"/>
          <w:color w:val="000000" w:themeColor="text1"/>
          <w:szCs w:val="22"/>
        </w:rPr>
        <w:t xml:space="preserve"> </w:t>
      </w:r>
    </w:p>
    <w:p w14:paraId="752BB4CF" w14:textId="63EC52F5" w:rsidR="00A62BBF" w:rsidRPr="00650EE4" w:rsidRDefault="00A62BBF"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57" w:name="_Toc67925268"/>
      <w:r w:rsidR="007744C1">
        <w:t>20</w:t>
      </w:r>
      <w:r w:rsidRPr="00650EE4">
        <w:rPr>
          <w:noProof w:val="0"/>
        </w:rPr>
        <w:fldChar w:fldCharType="end"/>
      </w:r>
      <w:r w:rsidRPr="00650EE4">
        <w:rPr>
          <w:noProof w:val="0"/>
        </w:rPr>
        <w:t xml:space="preserve"> paveikslas. Pastatų fondo transformacijos rodikliai</w:t>
      </w:r>
      <w:bookmarkEnd w:id="157"/>
    </w:p>
    <w:p w14:paraId="2CBE3FEF" w14:textId="7D9A9D2A" w:rsidR="0001199C" w:rsidRPr="00650EE4" w:rsidRDefault="006E4F73" w:rsidP="00631BA6">
      <w:pPr>
        <w:pStyle w:val="TESlentelspavadinimas"/>
        <w:rPr>
          <w:noProof w:val="0"/>
        </w:rPr>
      </w:pPr>
      <w:r w:rsidRPr="003678CC">
        <w:rPr>
          <w:i w:val="0"/>
          <w:iCs/>
          <w:color w:val="auto"/>
          <w:lang w:eastAsia="lt-LT"/>
        </w:rPr>
        <w:drawing>
          <wp:inline distT="0" distB="0" distL="0" distR="0" wp14:anchorId="2F8C464D" wp14:editId="5CE1BC4B">
            <wp:extent cx="6479540" cy="15138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1513840"/>
                    </a:xfrm>
                    <a:prstGeom prst="rect">
                      <a:avLst/>
                    </a:prstGeom>
                  </pic:spPr>
                </pic:pic>
              </a:graphicData>
            </a:graphic>
          </wp:inline>
        </w:drawing>
      </w:r>
    </w:p>
    <w:p w14:paraId="360BD048" w14:textId="65979642" w:rsidR="0071757D" w:rsidRPr="00650EE4" w:rsidRDefault="00326F50" w:rsidP="00F6555C">
      <w:pPr>
        <w:jc w:val="both"/>
        <w:rPr>
          <w:rFonts w:ascii="Times New Roman" w:hAnsi="Times New Roman"/>
          <w:i/>
          <w:iCs/>
          <w:color w:val="auto"/>
          <w:sz w:val="20"/>
          <w:szCs w:val="20"/>
        </w:rPr>
      </w:pPr>
      <w:r w:rsidRPr="00650EE4">
        <w:rPr>
          <w:rFonts w:ascii="Times New Roman" w:hAnsi="Times New Roman"/>
          <w:i/>
          <w:iCs/>
          <w:color w:val="auto"/>
          <w:sz w:val="20"/>
          <w:szCs w:val="20"/>
        </w:rPr>
        <w:t>Šaltinis: S</w:t>
      </w:r>
      <w:r w:rsidR="0071757D" w:rsidRPr="00650EE4">
        <w:rPr>
          <w:rFonts w:ascii="Times New Roman" w:hAnsi="Times New Roman"/>
          <w:i/>
          <w:iCs/>
          <w:color w:val="auto"/>
          <w:sz w:val="20"/>
          <w:szCs w:val="20"/>
        </w:rPr>
        <w:t xml:space="preserve">tudijos </w:t>
      </w:r>
      <w:r w:rsidR="002A0BDE" w:rsidRPr="002A0BDE">
        <w:rPr>
          <w:rFonts w:ascii="Times New Roman" w:hAnsi="Times New Roman"/>
          <w:i/>
          <w:iCs/>
          <w:color w:val="auto"/>
          <w:sz w:val="20"/>
          <w:szCs w:val="20"/>
        </w:rPr>
        <w:t xml:space="preserve">Lietuvos ilgalaikei renovacijos strategijai parengti </w:t>
      </w:r>
      <w:r w:rsidR="0071757D" w:rsidRPr="00650EE4">
        <w:rPr>
          <w:rFonts w:ascii="Times New Roman" w:hAnsi="Times New Roman"/>
          <w:i/>
          <w:iCs/>
          <w:color w:val="auto"/>
          <w:sz w:val="20"/>
          <w:szCs w:val="20"/>
        </w:rPr>
        <w:t>autoriai</w:t>
      </w:r>
    </w:p>
    <w:p w14:paraId="6E33AD21" w14:textId="1B762338" w:rsidR="003664B5" w:rsidRPr="00650EE4" w:rsidRDefault="003664B5" w:rsidP="00395C34">
      <w:pPr>
        <w:jc w:val="both"/>
        <w:rPr>
          <w:rFonts w:ascii="Times New Roman" w:hAnsi="Times New Roman"/>
          <w:color w:val="000000" w:themeColor="text1"/>
          <w:szCs w:val="22"/>
        </w:rPr>
      </w:pPr>
    </w:p>
    <w:p w14:paraId="29B093C6" w14:textId="6E2EEDBF" w:rsidR="00326F50" w:rsidRPr="00650EE4" w:rsidRDefault="00326F50" w:rsidP="00395C34">
      <w:pPr>
        <w:jc w:val="both"/>
        <w:rPr>
          <w:rFonts w:ascii="Times New Roman" w:hAnsi="Times New Roman"/>
          <w:color w:val="000000" w:themeColor="text1"/>
          <w:szCs w:val="22"/>
        </w:rPr>
      </w:pPr>
      <w:r w:rsidRPr="00650EE4">
        <w:rPr>
          <w:rFonts w:ascii="Times New Roman" w:hAnsi="Times New Roman"/>
          <w:color w:val="000000" w:themeColor="text1"/>
          <w:szCs w:val="22"/>
        </w:rPr>
        <w:t>Toliau pate</w:t>
      </w:r>
      <w:r w:rsidR="00DA3435" w:rsidRPr="00650EE4">
        <w:rPr>
          <w:rFonts w:ascii="Times New Roman" w:hAnsi="Times New Roman"/>
          <w:color w:val="000000" w:themeColor="text1"/>
          <w:szCs w:val="22"/>
        </w:rPr>
        <w:t>i</w:t>
      </w:r>
      <w:r w:rsidRPr="00650EE4">
        <w:rPr>
          <w:rFonts w:ascii="Times New Roman" w:hAnsi="Times New Roman"/>
          <w:color w:val="000000" w:themeColor="text1"/>
          <w:szCs w:val="22"/>
        </w:rPr>
        <w:t>kiam</w:t>
      </w:r>
      <w:r w:rsidR="00FD6560" w:rsidRPr="00650EE4">
        <w:rPr>
          <w:rFonts w:ascii="Times New Roman" w:hAnsi="Times New Roman"/>
          <w:color w:val="000000" w:themeColor="text1"/>
          <w:szCs w:val="22"/>
        </w:rPr>
        <w:t xml:space="preserve">as </w:t>
      </w:r>
      <w:r w:rsidR="00B077B8" w:rsidRPr="00650EE4">
        <w:rPr>
          <w:rFonts w:ascii="Times New Roman" w:hAnsi="Times New Roman"/>
          <w:color w:val="000000" w:themeColor="text1"/>
          <w:szCs w:val="22"/>
        </w:rPr>
        <w:t xml:space="preserve">siektinų rodiklių reikšmių aprašymas. </w:t>
      </w:r>
    </w:p>
    <w:p w14:paraId="1420C18C" w14:textId="100793F5" w:rsidR="00E13F28" w:rsidRPr="00650EE4" w:rsidRDefault="00E13F28">
      <w:pPr>
        <w:spacing w:after="240"/>
        <w:rPr>
          <w:rFonts w:ascii="Times New Roman" w:eastAsia="Times New Roman" w:hAnsi="Times New Roman"/>
          <w:b/>
          <w:bCs/>
          <w:color w:val="000000" w:themeColor="text1"/>
          <w:kern w:val="32"/>
          <w:szCs w:val="22"/>
        </w:rPr>
      </w:pPr>
    </w:p>
    <w:p w14:paraId="11FB3B51" w14:textId="0A7DB8A1" w:rsidR="00576EDC" w:rsidRPr="00650EE4" w:rsidRDefault="00576EDC" w:rsidP="00FD6560">
      <w:pPr>
        <w:pStyle w:val="Antrastes31"/>
        <w:numPr>
          <w:ilvl w:val="2"/>
          <w:numId w:val="4"/>
        </w:numPr>
        <w:spacing w:before="0"/>
        <w:ind w:left="720" w:hanging="720"/>
        <w:rPr>
          <w:rFonts w:ascii="Times New Roman" w:hAnsi="Times New Roman"/>
          <w:color w:val="000000" w:themeColor="text1"/>
          <w:sz w:val="24"/>
          <w:szCs w:val="24"/>
          <w:lang w:val="lt-LT"/>
        </w:rPr>
      </w:pPr>
      <w:bookmarkStart w:id="158" w:name="_Toc67925160"/>
      <w:r w:rsidRPr="00650EE4">
        <w:rPr>
          <w:rFonts w:ascii="Times New Roman" w:hAnsi="Times New Roman"/>
          <w:color w:val="000000" w:themeColor="text1"/>
          <w:sz w:val="24"/>
          <w:szCs w:val="24"/>
          <w:lang w:val="lt-LT"/>
        </w:rPr>
        <w:t>Pirminės energijos vartojimo sumažinimas</w:t>
      </w:r>
      <w:bookmarkEnd w:id="158"/>
    </w:p>
    <w:p w14:paraId="3EF39388" w14:textId="7CB262A3" w:rsidR="009A116B" w:rsidRPr="00650EE4" w:rsidRDefault="00BC31B2"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PEND </w:t>
      </w:r>
      <w:r w:rsidR="000466CB" w:rsidRPr="00650EE4">
        <w:rPr>
          <w:rFonts w:ascii="Times New Roman" w:hAnsi="Times New Roman"/>
          <w:color w:val="000000" w:themeColor="text1"/>
          <w:szCs w:val="22"/>
        </w:rPr>
        <w:t>2a straipsnio 2 dalis</w:t>
      </w:r>
      <w:r w:rsidR="009A116B" w:rsidRPr="00650EE4">
        <w:rPr>
          <w:rFonts w:ascii="Times New Roman" w:hAnsi="Times New Roman"/>
          <w:color w:val="000000" w:themeColor="text1"/>
          <w:szCs w:val="22"/>
        </w:rPr>
        <w:t xml:space="preserve"> </w:t>
      </w:r>
      <w:r w:rsidR="000466CB" w:rsidRPr="00650EE4">
        <w:rPr>
          <w:rFonts w:ascii="Times New Roman" w:hAnsi="Times New Roman"/>
          <w:color w:val="000000" w:themeColor="text1"/>
          <w:szCs w:val="22"/>
        </w:rPr>
        <w:t>įpareigoja</w:t>
      </w:r>
      <w:r w:rsidRPr="00650EE4">
        <w:rPr>
          <w:rFonts w:ascii="Times New Roman" w:hAnsi="Times New Roman"/>
          <w:color w:val="000000" w:themeColor="text1"/>
          <w:szCs w:val="22"/>
        </w:rPr>
        <w:t xml:space="preserve"> </w:t>
      </w:r>
      <w:r w:rsidR="00AB564C" w:rsidRPr="00650EE4">
        <w:rPr>
          <w:rFonts w:ascii="Times New Roman" w:hAnsi="Times New Roman"/>
          <w:color w:val="000000" w:themeColor="text1"/>
          <w:szCs w:val="22"/>
        </w:rPr>
        <w:t>vals</w:t>
      </w:r>
      <w:r w:rsidR="000466CB" w:rsidRPr="00650EE4">
        <w:rPr>
          <w:rFonts w:ascii="Times New Roman" w:hAnsi="Times New Roman"/>
          <w:color w:val="000000" w:themeColor="text1"/>
          <w:szCs w:val="22"/>
        </w:rPr>
        <w:t>tybes nares</w:t>
      </w:r>
      <w:r w:rsidR="009A116B"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užtikrinti, kad </w:t>
      </w:r>
      <w:r w:rsidR="009A116B" w:rsidRPr="00650EE4">
        <w:rPr>
          <w:rFonts w:ascii="Times New Roman" w:hAnsi="Times New Roman"/>
          <w:color w:val="000000" w:themeColor="text1"/>
          <w:szCs w:val="22"/>
        </w:rPr>
        <w:t xml:space="preserve">iki 2050 m. </w:t>
      </w:r>
      <w:r w:rsidRPr="00650EE4">
        <w:rPr>
          <w:rFonts w:ascii="Times New Roman" w:hAnsi="Times New Roman"/>
          <w:color w:val="000000" w:themeColor="text1"/>
          <w:szCs w:val="22"/>
        </w:rPr>
        <w:t>nacionaliniame pastatų ūkyje energija būtų vartojama ypač efektyviai, siekiant sudaryti palankesnes sąlygas ekonomiškai efektyviam esamų pastatų pertvarkymui į beveik nulinės energijos pasta</w:t>
      </w:r>
      <w:r w:rsidR="009A116B" w:rsidRPr="00650EE4">
        <w:rPr>
          <w:rFonts w:ascii="Times New Roman" w:hAnsi="Times New Roman"/>
          <w:color w:val="000000" w:themeColor="text1"/>
          <w:szCs w:val="22"/>
        </w:rPr>
        <w:t>tus.</w:t>
      </w:r>
    </w:p>
    <w:p w14:paraId="627F02D8" w14:textId="77777777" w:rsidR="005F258E" w:rsidRPr="00650EE4" w:rsidRDefault="005F258E" w:rsidP="005F258E">
      <w:pPr>
        <w:jc w:val="both"/>
        <w:rPr>
          <w:rFonts w:ascii="Times New Roman" w:hAnsi="Times New Roman"/>
          <w:color w:val="000000" w:themeColor="text1"/>
          <w:szCs w:val="22"/>
        </w:rPr>
      </w:pPr>
    </w:p>
    <w:p w14:paraId="29A81EC4" w14:textId="2E1D659D" w:rsidR="00DE517B" w:rsidRPr="00650EE4" w:rsidRDefault="00DE517B"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Pastatų fondo pirminės energijos vartojimo analizės rezultatai </w:t>
      </w:r>
      <w:r w:rsidR="00E814BE" w:rsidRPr="00650EE4">
        <w:rPr>
          <w:rFonts w:ascii="Times New Roman" w:hAnsi="Times New Roman"/>
          <w:color w:val="000000" w:themeColor="text1"/>
          <w:szCs w:val="22"/>
        </w:rPr>
        <w:t>atskleidžia</w:t>
      </w:r>
      <w:r w:rsidRPr="00650EE4">
        <w:rPr>
          <w:rFonts w:ascii="Times New Roman" w:hAnsi="Times New Roman"/>
          <w:color w:val="000000" w:themeColor="text1"/>
          <w:szCs w:val="22"/>
        </w:rPr>
        <w:t xml:space="preserve">, kad 90 proc. </w:t>
      </w:r>
      <w:r w:rsidR="004D5605">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fondo pirminės energijos vartoja C ir žemesnio energinio naudingumo klasės pastatai (žr. </w:t>
      </w:r>
      <w:r w:rsidR="004D5605">
        <w:rPr>
          <w:rFonts w:ascii="Times New Roman" w:hAnsi="Times New Roman"/>
          <w:color w:val="000000" w:themeColor="text1"/>
          <w:szCs w:val="22"/>
          <w:lang w:val="en-GB"/>
        </w:rPr>
        <w:t>1</w:t>
      </w:r>
      <w:r w:rsidRPr="00650EE4">
        <w:rPr>
          <w:rFonts w:ascii="Times New Roman" w:hAnsi="Times New Roman"/>
          <w:color w:val="000000" w:themeColor="text1"/>
          <w:szCs w:val="22"/>
        </w:rPr>
        <w:t>.2.5 skyrių).</w:t>
      </w:r>
    </w:p>
    <w:p w14:paraId="4D1EE34C" w14:textId="77777777" w:rsidR="005F258E" w:rsidRPr="00650EE4" w:rsidRDefault="005F258E" w:rsidP="005F258E">
      <w:pPr>
        <w:jc w:val="both"/>
        <w:rPr>
          <w:rFonts w:ascii="Times New Roman" w:hAnsi="Times New Roman"/>
          <w:color w:val="000000" w:themeColor="text1"/>
          <w:szCs w:val="22"/>
        </w:rPr>
      </w:pPr>
    </w:p>
    <w:p w14:paraId="3780D3D9" w14:textId="35B6B460" w:rsidR="009A116B" w:rsidRPr="00650EE4" w:rsidRDefault="00DF2474"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E</w:t>
      </w:r>
      <w:r w:rsidR="00C84BB4" w:rsidRPr="00650EE4">
        <w:rPr>
          <w:rFonts w:ascii="Times New Roman" w:hAnsi="Times New Roman"/>
          <w:color w:val="000000" w:themeColor="text1"/>
          <w:szCs w:val="22"/>
        </w:rPr>
        <w:t xml:space="preserve">konomiškai efektyviausių renovacijos būdų </w:t>
      </w:r>
      <w:r w:rsidRPr="00650EE4">
        <w:rPr>
          <w:rFonts w:ascii="Times New Roman" w:hAnsi="Times New Roman"/>
          <w:color w:val="000000" w:themeColor="text1"/>
          <w:szCs w:val="22"/>
        </w:rPr>
        <w:t>vertinimo rezultatai</w:t>
      </w:r>
      <w:r w:rsidR="009A116B" w:rsidRPr="00650EE4">
        <w:rPr>
          <w:rFonts w:ascii="Times New Roman" w:hAnsi="Times New Roman"/>
          <w:color w:val="000000" w:themeColor="text1"/>
          <w:szCs w:val="22"/>
        </w:rPr>
        <w:t xml:space="preserve"> </w:t>
      </w:r>
      <w:r w:rsidR="00C84BB4" w:rsidRPr="00650EE4">
        <w:rPr>
          <w:rFonts w:ascii="Times New Roman" w:hAnsi="Times New Roman"/>
          <w:color w:val="000000" w:themeColor="text1"/>
          <w:szCs w:val="22"/>
        </w:rPr>
        <w:t xml:space="preserve">atskleidžia, kad maksimali ekonominė nauda </w:t>
      </w:r>
      <w:r w:rsidR="004D5605">
        <w:rPr>
          <w:rFonts w:ascii="Times New Roman" w:hAnsi="Times New Roman"/>
          <w:color w:val="000000" w:themeColor="text1"/>
          <w:szCs w:val="22"/>
        </w:rPr>
        <w:t>p</w:t>
      </w:r>
      <w:r w:rsidR="00C84BB4" w:rsidRPr="00650EE4">
        <w:rPr>
          <w:rFonts w:ascii="Times New Roman" w:hAnsi="Times New Roman"/>
          <w:color w:val="000000" w:themeColor="text1"/>
          <w:szCs w:val="22"/>
        </w:rPr>
        <w:t xml:space="preserve">astatų fondo lygmeniu būtų pasiekta </w:t>
      </w:r>
      <w:r w:rsidR="008E0191" w:rsidRPr="00650EE4">
        <w:rPr>
          <w:rFonts w:ascii="Times New Roman" w:hAnsi="Times New Roman"/>
          <w:color w:val="000000" w:themeColor="text1"/>
          <w:szCs w:val="22"/>
        </w:rPr>
        <w:t xml:space="preserve">įgyvendinus renovacijos priemones, kurios </w:t>
      </w:r>
      <w:r w:rsidRPr="00650EE4">
        <w:rPr>
          <w:rFonts w:ascii="Times New Roman" w:hAnsi="Times New Roman"/>
          <w:color w:val="000000" w:themeColor="text1"/>
          <w:szCs w:val="22"/>
        </w:rPr>
        <w:t>C ir žemesnės energinio naudingumo klasės</w:t>
      </w:r>
      <w:r w:rsidR="00212381"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pastatus </w:t>
      </w:r>
      <w:r w:rsidR="0047236E" w:rsidRPr="00650EE4">
        <w:rPr>
          <w:rFonts w:ascii="Times New Roman" w:hAnsi="Times New Roman"/>
          <w:color w:val="000000" w:themeColor="text1"/>
          <w:szCs w:val="22"/>
        </w:rPr>
        <w:t>transformuotų į A (prioritetas) arba B</w:t>
      </w:r>
      <w:r w:rsidR="007B66F6" w:rsidRPr="00650EE4">
        <w:rPr>
          <w:rFonts w:ascii="Times New Roman" w:hAnsi="Times New Roman"/>
          <w:color w:val="000000" w:themeColor="text1"/>
          <w:szCs w:val="22"/>
        </w:rPr>
        <w:t xml:space="preserve"> energinio naudingumo klasę, prioritetą teikiant </w:t>
      </w:r>
      <w:r w:rsidR="001E1247" w:rsidRPr="00650EE4">
        <w:rPr>
          <w:rFonts w:ascii="Times New Roman" w:hAnsi="Times New Roman"/>
          <w:color w:val="000000" w:themeColor="text1"/>
          <w:szCs w:val="22"/>
        </w:rPr>
        <w:t>neefektyviausių (</w:t>
      </w:r>
      <w:r w:rsidRPr="00650EE4">
        <w:rPr>
          <w:rFonts w:ascii="Times New Roman" w:hAnsi="Times New Roman"/>
          <w:color w:val="000000" w:themeColor="text1"/>
          <w:szCs w:val="22"/>
        </w:rPr>
        <w:t>D ir žemesnio energinio naudingumo klasės</w:t>
      </w:r>
      <w:r w:rsidR="001E1247"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pastatams</w:t>
      </w:r>
      <w:r w:rsidR="00002C2C"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vartojantiems </w:t>
      </w:r>
      <w:r w:rsidR="007732EC" w:rsidRPr="007732EC">
        <w:rPr>
          <w:rFonts w:ascii="Times New Roman" w:hAnsi="Times New Roman"/>
          <w:color w:val="000000" w:themeColor="text1"/>
          <w:szCs w:val="22"/>
        </w:rPr>
        <w:t>78</w:t>
      </w:r>
      <w:r w:rsidRPr="007732EC">
        <w:rPr>
          <w:rFonts w:ascii="Times New Roman" w:hAnsi="Times New Roman"/>
          <w:color w:val="000000" w:themeColor="text1"/>
          <w:szCs w:val="22"/>
        </w:rPr>
        <w:t xml:space="preserve"> proc.</w:t>
      </w:r>
      <w:r w:rsidRPr="00650EE4">
        <w:rPr>
          <w:rFonts w:ascii="Times New Roman" w:hAnsi="Times New Roman"/>
          <w:color w:val="000000" w:themeColor="text1"/>
          <w:szCs w:val="22"/>
        </w:rPr>
        <w:t xml:space="preserve"> </w:t>
      </w:r>
      <w:r w:rsidR="004D5605">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fondo pirminės energijos (žr. </w:t>
      </w:r>
      <w:r w:rsidR="004D5605">
        <w:rPr>
          <w:rFonts w:ascii="Times New Roman" w:hAnsi="Times New Roman"/>
          <w:color w:val="000000" w:themeColor="text1"/>
          <w:szCs w:val="22"/>
        </w:rPr>
        <w:t>2</w:t>
      </w:r>
      <w:r w:rsidRPr="00650EE4">
        <w:rPr>
          <w:rFonts w:ascii="Times New Roman" w:hAnsi="Times New Roman"/>
          <w:color w:val="000000" w:themeColor="text1"/>
          <w:szCs w:val="22"/>
        </w:rPr>
        <w:t xml:space="preserve"> skyrių). </w:t>
      </w:r>
    </w:p>
    <w:p w14:paraId="432AB8F3" w14:textId="77777777" w:rsidR="005F258E" w:rsidRPr="00650EE4" w:rsidRDefault="005F258E" w:rsidP="005F258E">
      <w:pPr>
        <w:jc w:val="both"/>
        <w:rPr>
          <w:rFonts w:ascii="Times New Roman" w:hAnsi="Times New Roman"/>
          <w:color w:val="000000" w:themeColor="text1"/>
          <w:szCs w:val="22"/>
        </w:rPr>
      </w:pPr>
    </w:p>
    <w:p w14:paraId="390F464A" w14:textId="4B37AF2C" w:rsidR="003D72AB" w:rsidRPr="00650EE4" w:rsidRDefault="008C1E7D" w:rsidP="005F258E">
      <w:pPr>
        <w:jc w:val="both"/>
        <w:rPr>
          <w:rFonts w:ascii="Times New Roman" w:hAnsi="Times New Roman"/>
          <w:color w:val="000000" w:themeColor="text1"/>
          <w:szCs w:val="22"/>
        </w:rPr>
      </w:pPr>
      <w:r>
        <w:rPr>
          <w:rFonts w:ascii="Times New Roman" w:hAnsi="Times New Roman"/>
          <w:color w:val="000000" w:themeColor="text1"/>
          <w:szCs w:val="22"/>
        </w:rPr>
        <w:lastRenderedPageBreak/>
        <w:t>Siekiamas rodiklis</w:t>
      </w:r>
      <w:r w:rsidR="000466CB" w:rsidRPr="00650EE4">
        <w:rPr>
          <w:rFonts w:ascii="Times New Roman" w:hAnsi="Times New Roman"/>
          <w:color w:val="000000" w:themeColor="text1"/>
          <w:szCs w:val="22"/>
        </w:rPr>
        <w:t xml:space="preserve"> iki 2050 m. sumažinti </w:t>
      </w:r>
      <w:r w:rsidR="004D5605">
        <w:rPr>
          <w:rFonts w:ascii="Times New Roman" w:hAnsi="Times New Roman"/>
          <w:color w:val="000000" w:themeColor="text1"/>
          <w:szCs w:val="22"/>
        </w:rPr>
        <w:t>p</w:t>
      </w:r>
      <w:r w:rsidR="000466CB" w:rsidRPr="00650EE4">
        <w:rPr>
          <w:rFonts w:ascii="Times New Roman" w:hAnsi="Times New Roman"/>
          <w:color w:val="000000" w:themeColor="text1"/>
          <w:szCs w:val="22"/>
        </w:rPr>
        <w:t>astatų fondo pir</w:t>
      </w:r>
      <w:r w:rsidR="00E85EC2">
        <w:rPr>
          <w:rFonts w:ascii="Times New Roman" w:hAnsi="Times New Roman"/>
          <w:color w:val="000000" w:themeColor="text1"/>
          <w:szCs w:val="22"/>
        </w:rPr>
        <w:t>minės en</w:t>
      </w:r>
      <w:r w:rsidR="006E4F73">
        <w:rPr>
          <w:rFonts w:ascii="Times New Roman" w:hAnsi="Times New Roman"/>
          <w:color w:val="000000" w:themeColor="text1"/>
          <w:szCs w:val="22"/>
        </w:rPr>
        <w:t>ergijos vartojimą iki 1</w:t>
      </w:r>
      <w:r w:rsidR="006E4F73">
        <w:rPr>
          <w:rFonts w:ascii="Times New Roman" w:hAnsi="Times New Roman"/>
          <w:color w:val="000000" w:themeColor="text1"/>
          <w:szCs w:val="22"/>
          <w:lang w:val="en-GB"/>
        </w:rPr>
        <w:t>6</w:t>
      </w:r>
      <w:r w:rsidR="006E4F73">
        <w:rPr>
          <w:rFonts w:ascii="Times New Roman" w:hAnsi="Times New Roman"/>
          <w:color w:val="000000" w:themeColor="text1"/>
          <w:szCs w:val="22"/>
        </w:rPr>
        <w:t xml:space="preserve">,2 </w:t>
      </w:r>
      <w:proofErr w:type="spellStart"/>
      <w:r w:rsidR="006E4F73">
        <w:rPr>
          <w:rFonts w:ascii="Times New Roman" w:hAnsi="Times New Roman"/>
          <w:color w:val="000000" w:themeColor="text1"/>
          <w:szCs w:val="22"/>
        </w:rPr>
        <w:t>TWh</w:t>
      </w:r>
      <w:proofErr w:type="spellEnd"/>
      <w:r w:rsidR="006E4F73">
        <w:rPr>
          <w:rFonts w:ascii="Times New Roman" w:hAnsi="Times New Roman"/>
          <w:color w:val="000000" w:themeColor="text1"/>
          <w:szCs w:val="22"/>
        </w:rPr>
        <w:t xml:space="preserve"> (6</w:t>
      </w:r>
      <w:r w:rsidR="000466CB" w:rsidRPr="00650EE4">
        <w:rPr>
          <w:rFonts w:ascii="Times New Roman" w:hAnsi="Times New Roman"/>
          <w:color w:val="000000" w:themeColor="text1"/>
          <w:szCs w:val="22"/>
        </w:rPr>
        <w:t xml:space="preserve">0 proc. lyginant su skaičiuotinu 2020 m. vartojimu) </w:t>
      </w:r>
      <w:r w:rsidR="008247AF" w:rsidRPr="00650EE4">
        <w:rPr>
          <w:rFonts w:ascii="Times New Roman" w:hAnsi="Times New Roman"/>
          <w:color w:val="000000" w:themeColor="text1"/>
          <w:szCs w:val="22"/>
        </w:rPr>
        <w:t xml:space="preserve">suformuotas įvertinant ir prognozuojant </w:t>
      </w:r>
      <w:r w:rsidR="00874EAF">
        <w:rPr>
          <w:rFonts w:ascii="Times New Roman" w:hAnsi="Times New Roman"/>
          <w:color w:val="000000" w:themeColor="text1"/>
          <w:szCs w:val="22"/>
        </w:rPr>
        <w:t>p</w:t>
      </w:r>
      <w:r w:rsidR="008247AF" w:rsidRPr="00650EE4">
        <w:rPr>
          <w:rFonts w:ascii="Times New Roman" w:hAnsi="Times New Roman"/>
          <w:color w:val="000000" w:themeColor="text1"/>
          <w:szCs w:val="22"/>
        </w:rPr>
        <w:t>astatų fondo pokyčius tiek dėl IRS numatytų transformacijos priemonių</w:t>
      </w:r>
      <w:r w:rsidR="002909D4" w:rsidRPr="00650EE4">
        <w:rPr>
          <w:rFonts w:ascii="Times New Roman" w:hAnsi="Times New Roman"/>
          <w:color w:val="000000" w:themeColor="text1"/>
          <w:szCs w:val="22"/>
        </w:rPr>
        <w:t>,</w:t>
      </w:r>
      <w:r w:rsidR="008247AF" w:rsidRPr="00650EE4">
        <w:rPr>
          <w:rFonts w:ascii="Times New Roman" w:hAnsi="Times New Roman"/>
          <w:color w:val="000000" w:themeColor="text1"/>
          <w:szCs w:val="22"/>
        </w:rPr>
        <w:t xml:space="preserve"> tiek dėl </w:t>
      </w:r>
      <w:r w:rsidR="002909D4" w:rsidRPr="00650EE4">
        <w:rPr>
          <w:rFonts w:ascii="Times New Roman" w:hAnsi="Times New Roman"/>
          <w:color w:val="000000" w:themeColor="text1"/>
          <w:szCs w:val="22"/>
        </w:rPr>
        <w:t>susijus</w:t>
      </w:r>
      <w:r w:rsidR="00995560" w:rsidRPr="00650EE4">
        <w:rPr>
          <w:rFonts w:ascii="Times New Roman" w:hAnsi="Times New Roman"/>
          <w:color w:val="000000" w:themeColor="text1"/>
          <w:szCs w:val="22"/>
        </w:rPr>
        <w:t xml:space="preserve">ių </w:t>
      </w:r>
      <w:r w:rsidR="008247AF" w:rsidRPr="00650EE4">
        <w:rPr>
          <w:rFonts w:ascii="Times New Roman" w:hAnsi="Times New Roman"/>
          <w:color w:val="000000" w:themeColor="text1"/>
          <w:szCs w:val="22"/>
        </w:rPr>
        <w:t xml:space="preserve">struktūrinių pokyčių </w:t>
      </w:r>
      <w:r w:rsidR="00995560" w:rsidRPr="00650EE4">
        <w:rPr>
          <w:rFonts w:ascii="Times New Roman" w:hAnsi="Times New Roman"/>
          <w:color w:val="000000" w:themeColor="text1"/>
          <w:szCs w:val="22"/>
        </w:rPr>
        <w:t>pvz.</w:t>
      </w:r>
      <w:r w:rsidR="00A50086" w:rsidRPr="00650EE4">
        <w:rPr>
          <w:rFonts w:ascii="Times New Roman" w:hAnsi="Times New Roman"/>
          <w:color w:val="000000" w:themeColor="text1"/>
          <w:szCs w:val="22"/>
        </w:rPr>
        <w:t>,</w:t>
      </w:r>
      <w:r w:rsidR="00995560" w:rsidRPr="00650EE4">
        <w:rPr>
          <w:rFonts w:ascii="Times New Roman" w:hAnsi="Times New Roman"/>
          <w:color w:val="000000" w:themeColor="text1"/>
          <w:szCs w:val="22"/>
        </w:rPr>
        <w:t xml:space="preserve"> klimato kaitos, demografinių tendencijų (žr. paveikslą žemiau). </w:t>
      </w:r>
    </w:p>
    <w:p w14:paraId="1994643B" w14:textId="77777777" w:rsidR="004A5DA7" w:rsidRDefault="004A5DA7" w:rsidP="00631BA6">
      <w:pPr>
        <w:pStyle w:val="TESlentelspavadinimas"/>
        <w:rPr>
          <w:noProof w:val="0"/>
        </w:rPr>
      </w:pPr>
    </w:p>
    <w:p w14:paraId="0E89019B" w14:textId="37A969EF" w:rsidR="00B60BD4" w:rsidRPr="00650EE4" w:rsidRDefault="00C4385D"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59" w:name="_Toc67925269"/>
      <w:r w:rsidR="007744C1">
        <w:t>21</w:t>
      </w:r>
      <w:r w:rsidRPr="00650EE4">
        <w:rPr>
          <w:noProof w:val="0"/>
        </w:rPr>
        <w:fldChar w:fldCharType="end"/>
      </w:r>
      <w:r w:rsidRPr="00650EE4">
        <w:rPr>
          <w:noProof w:val="0"/>
        </w:rPr>
        <w:t xml:space="preserve"> paveikslas</w:t>
      </w:r>
      <w:r w:rsidR="00B60BD4" w:rsidRPr="00650EE4">
        <w:rPr>
          <w:noProof w:val="0"/>
        </w:rPr>
        <w:t>. Pastatų fondo transformacijos komponentai</w:t>
      </w:r>
      <w:r w:rsidR="00650597" w:rsidRPr="00650EE4">
        <w:rPr>
          <w:noProof w:val="0"/>
        </w:rPr>
        <w:t xml:space="preserve"> (pirminė</w:t>
      </w:r>
      <w:r w:rsidR="00F904F1" w:rsidRPr="00650EE4">
        <w:rPr>
          <w:noProof w:val="0"/>
        </w:rPr>
        <w:t>s</w:t>
      </w:r>
      <w:r w:rsidR="00650597" w:rsidRPr="00650EE4">
        <w:rPr>
          <w:noProof w:val="0"/>
        </w:rPr>
        <w:t xml:space="preserve"> energij</w:t>
      </w:r>
      <w:r w:rsidR="00F904F1" w:rsidRPr="00650EE4">
        <w:rPr>
          <w:noProof w:val="0"/>
        </w:rPr>
        <w:t xml:space="preserve">os </w:t>
      </w:r>
      <w:r w:rsidR="003C27FC" w:rsidRPr="00650EE4">
        <w:rPr>
          <w:noProof w:val="0"/>
        </w:rPr>
        <w:t>sumažinimas</w:t>
      </w:r>
      <w:r w:rsidR="00650597" w:rsidRPr="00650EE4">
        <w:rPr>
          <w:noProof w:val="0"/>
        </w:rPr>
        <w:t>)</w:t>
      </w:r>
      <w:bookmarkEnd w:id="159"/>
    </w:p>
    <w:p w14:paraId="01F7EF58" w14:textId="17E20047" w:rsidR="006E4F73" w:rsidRDefault="006E4F73" w:rsidP="00874EAF">
      <w:pPr>
        <w:pStyle w:val="BodySingle"/>
        <w:rPr>
          <w:noProof/>
          <w:shd w:val="clear" w:color="auto" w:fill="0070C0"/>
          <w:lang w:val="lt-LT" w:eastAsia="lt-LT"/>
        </w:rPr>
      </w:pPr>
      <w:r>
        <w:rPr>
          <w:noProof/>
          <w:lang w:val="lt-LT" w:eastAsia="lt-LT"/>
        </w:rPr>
        <w:drawing>
          <wp:inline distT="0" distB="0" distL="0" distR="0" wp14:anchorId="543170BE" wp14:editId="07BF17C5">
            <wp:extent cx="6412865" cy="3123210"/>
            <wp:effectExtent l="0" t="0" r="6985" b="1270"/>
            <wp:docPr id="62" name="Chart 6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3CB425-9D2E-43D0-A028-E762BEA70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422673A" w14:textId="560B1380" w:rsidR="00C4385D" w:rsidRPr="00874EAF" w:rsidRDefault="00C4385D" w:rsidP="00874EAF">
      <w:pPr>
        <w:pStyle w:val="BodySingle"/>
        <w:rPr>
          <w:rFonts w:ascii="Times New Roman" w:hAnsi="Times New Roman"/>
          <w:color w:val="000000" w:themeColor="text1"/>
          <w:szCs w:val="22"/>
          <w:lang w:val="lt-LT"/>
        </w:rPr>
      </w:pPr>
      <w:proofErr w:type="spellStart"/>
      <w:r w:rsidRPr="00650EE4">
        <w:rPr>
          <w:rFonts w:ascii="Times New Roman" w:hAnsi="Times New Roman"/>
          <w:i/>
          <w:iCs/>
          <w:color w:val="auto"/>
          <w:sz w:val="20"/>
          <w:szCs w:val="20"/>
        </w:rPr>
        <w:t>Šaltinis</w:t>
      </w:r>
      <w:proofErr w:type="spellEnd"/>
      <w:r w:rsidRPr="00650EE4">
        <w:rPr>
          <w:rFonts w:ascii="Times New Roman" w:hAnsi="Times New Roman"/>
          <w:i/>
          <w:iCs/>
          <w:color w:val="auto"/>
          <w:sz w:val="20"/>
          <w:szCs w:val="20"/>
        </w:rPr>
        <w:t xml:space="preserve">: </w:t>
      </w:r>
      <w:proofErr w:type="spellStart"/>
      <w:r w:rsidRPr="00650EE4">
        <w:rPr>
          <w:rFonts w:ascii="Times New Roman" w:hAnsi="Times New Roman"/>
          <w:i/>
          <w:iCs/>
          <w:color w:val="auto"/>
          <w:sz w:val="20"/>
          <w:szCs w:val="20"/>
        </w:rPr>
        <w:t>Studijos</w:t>
      </w:r>
      <w:proofErr w:type="spellEnd"/>
      <w:r w:rsidRPr="00650EE4">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Lietuvos</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ilgalaikei</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renovacijos</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strategijai</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parengti</w:t>
      </w:r>
      <w:proofErr w:type="spellEnd"/>
      <w:r w:rsidR="00874EAF" w:rsidRPr="00874EAF">
        <w:rPr>
          <w:rFonts w:ascii="Times New Roman" w:hAnsi="Times New Roman"/>
          <w:i/>
          <w:iCs/>
          <w:color w:val="auto"/>
          <w:sz w:val="20"/>
          <w:szCs w:val="20"/>
        </w:rPr>
        <w:t xml:space="preserve"> </w:t>
      </w:r>
      <w:proofErr w:type="spellStart"/>
      <w:r w:rsidRPr="00650EE4">
        <w:rPr>
          <w:rFonts w:ascii="Times New Roman" w:hAnsi="Times New Roman"/>
          <w:i/>
          <w:iCs/>
          <w:color w:val="auto"/>
          <w:sz w:val="20"/>
          <w:szCs w:val="20"/>
        </w:rPr>
        <w:t>autoriai</w:t>
      </w:r>
      <w:proofErr w:type="spellEnd"/>
    </w:p>
    <w:p w14:paraId="44654A29" w14:textId="77777777" w:rsidR="008247AF" w:rsidRPr="00650EE4" w:rsidRDefault="008247AF" w:rsidP="00A50086">
      <w:pPr>
        <w:jc w:val="both"/>
        <w:rPr>
          <w:rFonts w:ascii="Times New Roman" w:hAnsi="Times New Roman"/>
          <w:color w:val="000000" w:themeColor="text1"/>
          <w:szCs w:val="22"/>
        </w:rPr>
      </w:pPr>
    </w:p>
    <w:p w14:paraId="776E2B97" w14:textId="63D533AD" w:rsidR="00326F50" w:rsidRPr="007A4F1F" w:rsidRDefault="008C1E7D" w:rsidP="006201C1">
      <w:pPr>
        <w:spacing w:after="120"/>
        <w:jc w:val="both"/>
        <w:rPr>
          <w:rFonts w:ascii="Times New Roman" w:hAnsi="Times New Roman"/>
          <w:color w:val="auto"/>
          <w:szCs w:val="22"/>
        </w:rPr>
      </w:pPr>
      <w:r>
        <w:rPr>
          <w:rFonts w:ascii="Times New Roman" w:hAnsi="Times New Roman"/>
          <w:color w:val="auto"/>
          <w:szCs w:val="22"/>
        </w:rPr>
        <w:t>Siekiamas rodiklis</w:t>
      </w:r>
      <w:r w:rsidR="007A52B6" w:rsidRPr="007A4F1F">
        <w:rPr>
          <w:rFonts w:ascii="Times New Roman" w:hAnsi="Times New Roman"/>
          <w:color w:val="auto"/>
          <w:szCs w:val="22"/>
        </w:rPr>
        <w:t xml:space="preserve"> iki 2050 m. sumažinti p</w:t>
      </w:r>
      <w:r w:rsidR="002909D4" w:rsidRPr="007A4F1F">
        <w:rPr>
          <w:rFonts w:ascii="Times New Roman" w:hAnsi="Times New Roman"/>
          <w:color w:val="auto"/>
          <w:szCs w:val="22"/>
        </w:rPr>
        <w:t>astatų fondo pirminės energijos vartojimą iki 1</w:t>
      </w:r>
      <w:r w:rsidR="006E4F73">
        <w:rPr>
          <w:rFonts w:ascii="Times New Roman" w:hAnsi="Times New Roman"/>
          <w:color w:val="auto"/>
          <w:szCs w:val="22"/>
        </w:rPr>
        <w:t>6</w:t>
      </w:r>
      <w:r w:rsidR="00E80EEC" w:rsidRPr="007A4F1F">
        <w:rPr>
          <w:rFonts w:ascii="Times New Roman" w:hAnsi="Times New Roman"/>
          <w:color w:val="auto"/>
          <w:szCs w:val="22"/>
        </w:rPr>
        <w:t>,</w:t>
      </w:r>
      <w:r w:rsidR="006E4F73">
        <w:rPr>
          <w:rFonts w:ascii="Times New Roman" w:hAnsi="Times New Roman"/>
          <w:color w:val="auto"/>
          <w:szCs w:val="22"/>
        </w:rPr>
        <w:t>2</w:t>
      </w:r>
      <w:r w:rsidR="002909D4" w:rsidRPr="007A4F1F">
        <w:rPr>
          <w:rFonts w:ascii="Times New Roman" w:hAnsi="Times New Roman"/>
          <w:color w:val="auto"/>
          <w:szCs w:val="22"/>
        </w:rPr>
        <w:t xml:space="preserve"> </w:t>
      </w:r>
      <w:proofErr w:type="spellStart"/>
      <w:r w:rsidR="002909D4" w:rsidRPr="007A4F1F">
        <w:rPr>
          <w:rFonts w:ascii="Times New Roman" w:hAnsi="Times New Roman"/>
          <w:color w:val="auto"/>
          <w:szCs w:val="22"/>
        </w:rPr>
        <w:t>TWh</w:t>
      </w:r>
      <w:proofErr w:type="spellEnd"/>
      <w:r w:rsidR="002909D4" w:rsidRPr="007A4F1F">
        <w:rPr>
          <w:rFonts w:ascii="Times New Roman" w:hAnsi="Times New Roman"/>
          <w:color w:val="auto"/>
          <w:szCs w:val="22"/>
        </w:rPr>
        <w:t xml:space="preserve"> </w:t>
      </w:r>
      <w:r w:rsidR="00C264E6" w:rsidRPr="007A4F1F">
        <w:rPr>
          <w:rFonts w:ascii="Times New Roman" w:hAnsi="Times New Roman"/>
          <w:color w:val="auto"/>
          <w:szCs w:val="22"/>
        </w:rPr>
        <w:t>(</w:t>
      </w:r>
      <w:r w:rsidR="006E4F73">
        <w:rPr>
          <w:rFonts w:ascii="Times New Roman" w:hAnsi="Times New Roman"/>
          <w:color w:val="auto"/>
          <w:szCs w:val="22"/>
        </w:rPr>
        <w:t>6</w:t>
      </w:r>
      <w:r w:rsidR="00C264E6" w:rsidRPr="007A4F1F">
        <w:rPr>
          <w:rFonts w:ascii="Times New Roman" w:hAnsi="Times New Roman"/>
          <w:color w:val="auto"/>
          <w:szCs w:val="22"/>
        </w:rPr>
        <w:t xml:space="preserve">0 proc. lyginant su skaičiuotinu 2020 m. vartojimu) </w:t>
      </w:r>
      <w:r w:rsidR="002909D4" w:rsidRPr="007A4F1F">
        <w:rPr>
          <w:rFonts w:ascii="Times New Roman" w:hAnsi="Times New Roman"/>
          <w:color w:val="auto"/>
          <w:szCs w:val="22"/>
        </w:rPr>
        <w:t>suformuotas prognozuojant</w:t>
      </w:r>
      <w:r w:rsidR="006201C1" w:rsidRPr="007A4F1F">
        <w:rPr>
          <w:rFonts w:ascii="Times New Roman" w:hAnsi="Times New Roman"/>
          <w:color w:val="auto"/>
          <w:szCs w:val="22"/>
        </w:rPr>
        <w:t>, kad:</w:t>
      </w:r>
    </w:p>
    <w:p w14:paraId="3ACC7A59" w14:textId="42DCEEC5" w:rsidR="00F30F1D"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F30F1D" w:rsidRPr="00650EE4">
        <w:rPr>
          <w:rFonts w:ascii="Times New Roman" w:hAnsi="Times New Roman"/>
          <w:color w:val="000000" w:themeColor="text1"/>
          <w:szCs w:val="22"/>
          <w:lang w:val="lt-LT"/>
        </w:rPr>
        <w:t>ėl klimato kaitos</w:t>
      </w:r>
      <w:r w:rsidR="00B077B8" w:rsidRPr="00650EE4">
        <w:rPr>
          <w:rFonts w:ascii="Times New Roman" w:hAnsi="Times New Roman"/>
          <w:color w:val="000000" w:themeColor="text1"/>
          <w:szCs w:val="22"/>
          <w:lang w:val="lt-LT"/>
        </w:rPr>
        <w:t xml:space="preserve"> </w:t>
      </w:r>
      <w:r w:rsidR="002909D4" w:rsidRPr="00650EE4">
        <w:rPr>
          <w:rFonts w:ascii="Times New Roman" w:hAnsi="Times New Roman"/>
          <w:color w:val="000000" w:themeColor="text1"/>
          <w:szCs w:val="22"/>
          <w:lang w:val="lt-LT"/>
        </w:rPr>
        <w:t xml:space="preserve">įtakos </w:t>
      </w:r>
      <w:r w:rsidR="007A52B6">
        <w:rPr>
          <w:rFonts w:ascii="Times New Roman" w:hAnsi="Times New Roman"/>
          <w:color w:val="000000" w:themeColor="text1"/>
          <w:szCs w:val="22"/>
          <w:lang w:val="lt-LT"/>
        </w:rPr>
        <w:t>p</w:t>
      </w:r>
      <w:r w:rsidR="00B077B8" w:rsidRPr="00650EE4">
        <w:rPr>
          <w:rFonts w:ascii="Times New Roman" w:hAnsi="Times New Roman"/>
          <w:color w:val="000000" w:themeColor="text1"/>
          <w:szCs w:val="22"/>
          <w:lang w:val="lt-LT"/>
        </w:rPr>
        <w:t>astatų fondo</w:t>
      </w:r>
      <w:r w:rsidR="00F30F1D" w:rsidRPr="00650EE4">
        <w:rPr>
          <w:rFonts w:ascii="Times New Roman" w:hAnsi="Times New Roman"/>
          <w:color w:val="000000" w:themeColor="text1"/>
          <w:szCs w:val="22"/>
          <w:lang w:val="lt-LT"/>
        </w:rPr>
        <w:t xml:space="preserve"> pirminės energijos vartojimas</w:t>
      </w:r>
      <w:r w:rsidR="002909D4" w:rsidRPr="00650EE4">
        <w:rPr>
          <w:rFonts w:ascii="Times New Roman" w:hAnsi="Times New Roman"/>
          <w:color w:val="000000" w:themeColor="text1"/>
          <w:szCs w:val="22"/>
          <w:lang w:val="lt-LT"/>
        </w:rPr>
        <w:t xml:space="preserve"> 2050 m. bus</w:t>
      </w:r>
      <w:r w:rsidR="00F30F1D" w:rsidRPr="00650EE4">
        <w:rPr>
          <w:rFonts w:ascii="Times New Roman" w:hAnsi="Times New Roman"/>
          <w:color w:val="000000" w:themeColor="text1"/>
          <w:szCs w:val="22"/>
          <w:lang w:val="lt-LT"/>
        </w:rPr>
        <w:t xml:space="preserve"> ~</w:t>
      </w:r>
      <w:r w:rsidR="002909D4" w:rsidRPr="00650EE4">
        <w:rPr>
          <w:rFonts w:ascii="Times New Roman" w:hAnsi="Times New Roman"/>
          <w:color w:val="000000" w:themeColor="text1"/>
          <w:szCs w:val="22"/>
          <w:lang w:val="lt-LT"/>
        </w:rPr>
        <w:t xml:space="preserve">4.1 </w:t>
      </w:r>
      <w:proofErr w:type="spellStart"/>
      <w:r w:rsidR="002909D4" w:rsidRPr="00650EE4">
        <w:rPr>
          <w:rFonts w:ascii="Times New Roman" w:hAnsi="Times New Roman"/>
          <w:color w:val="000000" w:themeColor="text1"/>
          <w:szCs w:val="22"/>
          <w:lang w:val="lt-LT"/>
        </w:rPr>
        <w:t>TWh</w:t>
      </w:r>
      <w:proofErr w:type="spellEnd"/>
      <w:r w:rsidR="002909D4" w:rsidRPr="00650EE4">
        <w:rPr>
          <w:rFonts w:ascii="Times New Roman" w:hAnsi="Times New Roman"/>
          <w:color w:val="000000" w:themeColor="text1"/>
          <w:szCs w:val="22"/>
          <w:lang w:val="lt-LT"/>
        </w:rPr>
        <w:t xml:space="preserve"> (</w:t>
      </w:r>
      <w:r w:rsidR="00F30F1D" w:rsidRPr="00650EE4">
        <w:rPr>
          <w:rFonts w:ascii="Times New Roman" w:hAnsi="Times New Roman"/>
          <w:color w:val="000000" w:themeColor="text1"/>
          <w:szCs w:val="22"/>
          <w:lang w:val="lt-LT"/>
        </w:rPr>
        <w:t>10 proc</w:t>
      </w:r>
      <w:r w:rsidR="002909D4" w:rsidRPr="00650EE4">
        <w:rPr>
          <w:rFonts w:ascii="Times New Roman" w:hAnsi="Times New Roman"/>
          <w:color w:val="000000" w:themeColor="text1"/>
          <w:szCs w:val="22"/>
          <w:lang w:val="lt-LT"/>
        </w:rPr>
        <w:t xml:space="preserve">.) mažesnis nei 2020 m. </w:t>
      </w:r>
      <w:r w:rsidR="00370FCC" w:rsidRPr="00650EE4">
        <w:rPr>
          <w:rFonts w:ascii="Times New Roman" w:hAnsi="Times New Roman"/>
          <w:color w:val="000000" w:themeColor="text1"/>
          <w:szCs w:val="22"/>
          <w:lang w:val="lt-LT"/>
        </w:rPr>
        <w:t xml:space="preserve">(žr. </w:t>
      </w:r>
      <w:r w:rsidR="00DD791C">
        <w:rPr>
          <w:rFonts w:ascii="Times New Roman" w:hAnsi="Times New Roman"/>
          <w:color w:val="000000" w:themeColor="text1"/>
          <w:szCs w:val="22"/>
          <w:lang w:val="lt-LT"/>
        </w:rPr>
        <w:t>1</w:t>
      </w:r>
      <w:r w:rsidR="00370FCC" w:rsidRPr="00650EE4">
        <w:rPr>
          <w:rFonts w:ascii="Times New Roman" w:hAnsi="Times New Roman"/>
          <w:color w:val="000000" w:themeColor="text1"/>
          <w:szCs w:val="22"/>
          <w:lang w:val="lt-LT"/>
        </w:rPr>
        <w:t>.2.1</w:t>
      </w:r>
      <w:r w:rsidR="0008367D" w:rsidRPr="00650EE4">
        <w:rPr>
          <w:rFonts w:ascii="Times New Roman" w:hAnsi="Times New Roman"/>
          <w:color w:val="000000" w:themeColor="text1"/>
          <w:szCs w:val="22"/>
          <w:lang w:val="lt-LT"/>
        </w:rPr>
        <w:t xml:space="preserve"> skyrių</w:t>
      </w:r>
      <w:r w:rsidR="00370FCC" w:rsidRPr="00650EE4">
        <w:rPr>
          <w:rFonts w:ascii="Times New Roman" w:hAnsi="Times New Roman"/>
          <w:color w:val="000000" w:themeColor="text1"/>
          <w:szCs w:val="22"/>
          <w:lang w:val="lt-LT"/>
        </w:rPr>
        <w:t>)</w:t>
      </w:r>
      <w:r w:rsidR="00F30F1D" w:rsidRPr="00650EE4">
        <w:rPr>
          <w:rFonts w:ascii="Times New Roman" w:hAnsi="Times New Roman"/>
          <w:color w:val="000000" w:themeColor="text1"/>
          <w:szCs w:val="22"/>
          <w:lang w:val="lt-LT"/>
        </w:rPr>
        <w:t>;</w:t>
      </w:r>
    </w:p>
    <w:p w14:paraId="5AA13B60" w14:textId="6F4C5986" w:rsidR="00F30F1D"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40615A" w:rsidRPr="00650EE4">
        <w:rPr>
          <w:rFonts w:ascii="Times New Roman" w:hAnsi="Times New Roman"/>
          <w:color w:val="000000" w:themeColor="text1"/>
          <w:szCs w:val="22"/>
          <w:lang w:val="lt-LT"/>
        </w:rPr>
        <w:t>ėl demografinių tendencijų iki 2050 m. bus apleisti, nugriauti ir</w:t>
      </w:r>
      <w:r w:rsidR="00DD791C">
        <w:rPr>
          <w:rFonts w:ascii="Times New Roman" w:hAnsi="Times New Roman"/>
          <w:color w:val="000000" w:themeColor="text1"/>
          <w:szCs w:val="22"/>
          <w:lang w:val="lt-LT"/>
        </w:rPr>
        <w:t xml:space="preserve"> </w:t>
      </w:r>
      <w:r w:rsidR="0040615A" w:rsidRPr="00650EE4">
        <w:rPr>
          <w:rFonts w:ascii="Times New Roman" w:hAnsi="Times New Roman"/>
          <w:color w:val="000000" w:themeColor="text1"/>
          <w:szCs w:val="22"/>
          <w:lang w:val="lt-LT"/>
        </w:rPr>
        <w:t>/</w:t>
      </w:r>
      <w:r w:rsidR="00DD791C">
        <w:rPr>
          <w:rFonts w:ascii="Times New Roman" w:hAnsi="Times New Roman"/>
          <w:color w:val="000000" w:themeColor="text1"/>
          <w:szCs w:val="22"/>
          <w:lang w:val="lt-LT"/>
        </w:rPr>
        <w:t xml:space="preserve"> </w:t>
      </w:r>
      <w:r w:rsidR="0040615A" w:rsidRPr="00650EE4">
        <w:rPr>
          <w:rFonts w:ascii="Times New Roman" w:hAnsi="Times New Roman"/>
          <w:color w:val="000000" w:themeColor="text1"/>
          <w:szCs w:val="22"/>
          <w:lang w:val="lt-LT"/>
        </w:rPr>
        <w:t>arba nevarto</w:t>
      </w:r>
      <w:r w:rsidR="007A52B6">
        <w:rPr>
          <w:rFonts w:ascii="Times New Roman" w:hAnsi="Times New Roman"/>
          <w:color w:val="000000" w:themeColor="text1"/>
          <w:szCs w:val="22"/>
          <w:lang w:val="lt-LT"/>
        </w:rPr>
        <w:t>s energijos mažiausiai 5 proc. p</w:t>
      </w:r>
      <w:r w:rsidR="0040615A" w:rsidRPr="00650EE4">
        <w:rPr>
          <w:rFonts w:ascii="Times New Roman" w:hAnsi="Times New Roman"/>
          <w:color w:val="000000" w:themeColor="text1"/>
          <w:szCs w:val="22"/>
          <w:lang w:val="lt-LT"/>
        </w:rPr>
        <w:t xml:space="preserve">astatų fondo pastatų, dėl to  (žr. </w:t>
      </w:r>
      <w:r w:rsidR="00DD791C">
        <w:rPr>
          <w:rFonts w:ascii="Times New Roman" w:hAnsi="Times New Roman"/>
          <w:color w:val="000000" w:themeColor="text1"/>
          <w:szCs w:val="22"/>
          <w:lang w:val="lt-LT"/>
        </w:rPr>
        <w:t>1</w:t>
      </w:r>
      <w:r w:rsidR="0040615A" w:rsidRPr="00650EE4">
        <w:rPr>
          <w:rFonts w:ascii="Times New Roman" w:hAnsi="Times New Roman"/>
          <w:color w:val="000000" w:themeColor="text1"/>
          <w:szCs w:val="22"/>
          <w:lang w:val="lt-LT"/>
        </w:rPr>
        <w:t>.4.3 skyrių)</w:t>
      </w:r>
      <w:r w:rsidR="00F30F1D" w:rsidRPr="00650EE4">
        <w:rPr>
          <w:rFonts w:ascii="Times New Roman" w:hAnsi="Times New Roman"/>
          <w:color w:val="000000" w:themeColor="text1"/>
          <w:szCs w:val="22"/>
          <w:lang w:val="lt-LT"/>
        </w:rPr>
        <w:t>;</w:t>
      </w:r>
    </w:p>
    <w:p w14:paraId="66E700D7" w14:textId="02094BF2" w:rsidR="00505C1C"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b</w:t>
      </w:r>
      <w:r w:rsidR="00505C1C" w:rsidRPr="00650EE4">
        <w:rPr>
          <w:rFonts w:ascii="Times New Roman" w:hAnsi="Times New Roman"/>
          <w:color w:val="000000" w:themeColor="text1"/>
          <w:szCs w:val="22"/>
          <w:lang w:val="lt-LT"/>
        </w:rPr>
        <w:t>us atlikta pastatų fondo transformacija:</w:t>
      </w:r>
    </w:p>
    <w:p w14:paraId="4718316A" w14:textId="264CE142" w:rsidR="00505C1C" w:rsidRPr="00956BF4" w:rsidRDefault="00CA4BA9" w:rsidP="00BD4925">
      <w:pPr>
        <w:pStyle w:val="ListParagraph"/>
        <w:numPr>
          <w:ilvl w:val="0"/>
          <w:numId w:val="62"/>
        </w:numPr>
        <w:spacing w:before="60" w:after="60"/>
        <w:contextualSpacing w:val="0"/>
        <w:jc w:val="both"/>
        <w:rPr>
          <w:rFonts w:ascii="Times New Roman" w:hAnsi="Times New Roman"/>
          <w:color w:val="000000" w:themeColor="text1"/>
          <w:szCs w:val="22"/>
          <w:lang w:val="lt-LT"/>
        </w:rPr>
      </w:pPr>
      <w:r w:rsidRPr="00956BF4">
        <w:rPr>
          <w:rFonts w:ascii="Times New Roman" w:hAnsi="Times New Roman"/>
          <w:color w:val="000000" w:themeColor="text1"/>
          <w:szCs w:val="22"/>
          <w:lang w:val="lt-LT"/>
        </w:rPr>
        <w:t>p</w:t>
      </w:r>
      <w:r w:rsidR="00505C1C" w:rsidRPr="00956BF4">
        <w:rPr>
          <w:rFonts w:ascii="Times New Roman" w:hAnsi="Times New Roman"/>
          <w:color w:val="000000" w:themeColor="text1"/>
          <w:szCs w:val="22"/>
          <w:lang w:val="lt-LT"/>
        </w:rPr>
        <w:t>astatų fondo transformacijoje dalyvaus ne</w:t>
      </w:r>
      <w:r w:rsidR="006E4F73">
        <w:rPr>
          <w:rFonts w:ascii="Times New Roman" w:hAnsi="Times New Roman"/>
          <w:color w:val="000000" w:themeColor="text1"/>
          <w:szCs w:val="22"/>
          <w:lang w:val="lt-LT"/>
        </w:rPr>
        <w:t xml:space="preserve"> mažiau nei 90 proc. blogiausių</w:t>
      </w:r>
      <w:r w:rsidR="00505C1C" w:rsidRPr="00956BF4">
        <w:rPr>
          <w:rFonts w:ascii="Times New Roman" w:hAnsi="Times New Roman"/>
          <w:color w:val="000000" w:themeColor="text1"/>
          <w:szCs w:val="22"/>
          <w:lang w:val="lt-LT"/>
        </w:rPr>
        <w:t xml:space="preserve"> energinio naudingumo klas</w:t>
      </w:r>
      <w:r w:rsidR="006E4F73">
        <w:rPr>
          <w:rFonts w:ascii="Times New Roman" w:hAnsi="Times New Roman"/>
          <w:color w:val="000000" w:themeColor="text1"/>
          <w:szCs w:val="22"/>
          <w:lang w:val="lt-LT"/>
        </w:rPr>
        <w:t>ių (C ir žemesnių</w:t>
      </w:r>
      <w:r w:rsidR="00505C1C" w:rsidRPr="00956BF4">
        <w:rPr>
          <w:rFonts w:ascii="Times New Roman" w:hAnsi="Times New Roman"/>
          <w:color w:val="000000" w:themeColor="text1"/>
          <w:szCs w:val="22"/>
          <w:lang w:val="lt-LT"/>
        </w:rPr>
        <w:t xml:space="preserve">) </w:t>
      </w:r>
      <w:r w:rsidR="00DD791C" w:rsidRPr="00956BF4">
        <w:rPr>
          <w:rFonts w:ascii="Times New Roman" w:hAnsi="Times New Roman"/>
          <w:color w:val="000000" w:themeColor="text1"/>
          <w:szCs w:val="22"/>
          <w:lang w:val="lt-LT"/>
        </w:rPr>
        <w:t>i</w:t>
      </w:r>
      <w:r w:rsidR="00505C1C" w:rsidRPr="00956BF4">
        <w:rPr>
          <w:rFonts w:ascii="Times New Roman" w:hAnsi="Times New Roman"/>
          <w:color w:val="000000" w:themeColor="text1"/>
          <w:szCs w:val="22"/>
          <w:lang w:val="lt-LT"/>
        </w:rPr>
        <w:t xml:space="preserve">ndividualių, </w:t>
      </w:r>
      <w:r w:rsidR="00DD791C" w:rsidRPr="00956BF4">
        <w:rPr>
          <w:rFonts w:ascii="Times New Roman" w:hAnsi="Times New Roman"/>
          <w:color w:val="000000" w:themeColor="text1"/>
          <w:szCs w:val="22"/>
          <w:lang w:val="lt-LT"/>
        </w:rPr>
        <w:t>d</w:t>
      </w:r>
      <w:r w:rsidR="00505C1C" w:rsidRPr="00956BF4">
        <w:rPr>
          <w:rFonts w:ascii="Times New Roman" w:hAnsi="Times New Roman"/>
          <w:color w:val="000000" w:themeColor="text1"/>
          <w:szCs w:val="22"/>
          <w:lang w:val="lt-LT"/>
        </w:rPr>
        <w:t xml:space="preserve">augiabučių ir </w:t>
      </w:r>
      <w:r w:rsidR="00DD791C" w:rsidRPr="00956BF4">
        <w:rPr>
          <w:rFonts w:ascii="Times New Roman" w:hAnsi="Times New Roman"/>
          <w:color w:val="000000" w:themeColor="text1"/>
          <w:szCs w:val="22"/>
          <w:lang w:val="lt-LT"/>
        </w:rPr>
        <w:t>k</w:t>
      </w:r>
      <w:r w:rsidR="00505C1C" w:rsidRPr="00956BF4">
        <w:rPr>
          <w:rFonts w:ascii="Times New Roman" w:hAnsi="Times New Roman"/>
          <w:color w:val="000000" w:themeColor="text1"/>
          <w:szCs w:val="22"/>
          <w:lang w:val="lt-LT"/>
        </w:rPr>
        <w:t>itos ne</w:t>
      </w:r>
      <w:r w:rsidRPr="00956BF4">
        <w:rPr>
          <w:rFonts w:ascii="Times New Roman" w:hAnsi="Times New Roman"/>
          <w:color w:val="000000" w:themeColor="text1"/>
          <w:szCs w:val="22"/>
          <w:lang w:val="lt-LT"/>
        </w:rPr>
        <w:t>gyvenamosios paskirties pastatų.</w:t>
      </w:r>
      <w:r w:rsidR="00505C1C" w:rsidRPr="00956BF4">
        <w:rPr>
          <w:rFonts w:ascii="Times New Roman" w:hAnsi="Times New Roman"/>
          <w:color w:val="000000" w:themeColor="text1"/>
          <w:szCs w:val="22"/>
          <w:lang w:val="lt-LT"/>
        </w:rPr>
        <w:t xml:space="preserve"> </w:t>
      </w:r>
    </w:p>
    <w:p w14:paraId="062C8C46" w14:textId="28EA1794" w:rsidR="00505C1C" w:rsidRPr="00650EE4" w:rsidRDefault="00505C1C" w:rsidP="00505C1C">
      <w:pPr>
        <w:pStyle w:val="ListParagraph"/>
        <w:spacing w:before="60" w:after="60"/>
        <w:ind w:left="1431"/>
        <w:contextualSpacing w:val="0"/>
        <w:jc w:val="both"/>
        <w:rPr>
          <w:rFonts w:ascii="Times New Roman" w:hAnsi="Times New Roman"/>
          <w:color w:val="000000" w:themeColor="text1"/>
          <w:szCs w:val="22"/>
          <w:lang w:val="lt-LT"/>
        </w:rPr>
      </w:pPr>
      <w:r w:rsidRPr="00956BF4">
        <w:rPr>
          <w:rFonts w:ascii="Times New Roman" w:hAnsi="Times New Roman"/>
          <w:color w:val="000000" w:themeColor="text1"/>
          <w:szCs w:val="22"/>
          <w:lang w:val="lt-LT"/>
        </w:rPr>
        <w:t>Šis vertinimas remiasi prielaida, kad iki 2050 m. absoliučios daugumos šių pastatų amžius pasieks ribą, kai jų atnaujinimas bus privalomas siekiant juos toliau saugiai naudoti. Remiantis konservatyvumo principu, vertinama, kad 10 proc. pastatų atsisakys dalyvauti renovacijoje dėl subjektyvių priežasčių,</w:t>
      </w:r>
      <w:r w:rsidR="00CA4BA9" w:rsidRPr="00956BF4">
        <w:rPr>
          <w:rFonts w:ascii="Times New Roman" w:hAnsi="Times New Roman"/>
          <w:color w:val="000000" w:themeColor="text1"/>
          <w:szCs w:val="22"/>
          <w:lang w:val="lt-LT"/>
        </w:rPr>
        <w:t xml:space="preserve"> tačiau ir toliau bus naudojami;</w:t>
      </w:r>
    </w:p>
    <w:p w14:paraId="760E07F5" w14:textId="4E6F191A" w:rsidR="00505C1C" w:rsidRPr="00650EE4" w:rsidRDefault="00CA4BA9" w:rsidP="00BD4925">
      <w:pPr>
        <w:pStyle w:val="ListParagraph"/>
        <w:numPr>
          <w:ilvl w:val="0"/>
          <w:numId w:val="63"/>
        </w:numPr>
        <w:spacing w:before="60"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505C1C" w:rsidRPr="00650EE4">
        <w:rPr>
          <w:rFonts w:ascii="Times New Roman" w:hAnsi="Times New Roman"/>
          <w:color w:val="000000" w:themeColor="text1"/>
          <w:szCs w:val="22"/>
          <w:lang w:val="lt-LT"/>
        </w:rPr>
        <w:t>astatų fondo transformacijoje dalyvaus ne mažiau nei 50 proc. blogiausi</w:t>
      </w:r>
      <w:r w:rsidR="006E4F73">
        <w:rPr>
          <w:rFonts w:ascii="Times New Roman" w:hAnsi="Times New Roman"/>
          <w:color w:val="000000" w:themeColor="text1"/>
          <w:szCs w:val="22"/>
          <w:lang w:val="lt-LT"/>
        </w:rPr>
        <w:t>ų</w:t>
      </w:r>
      <w:r w:rsidR="00505C1C" w:rsidRPr="00650EE4">
        <w:rPr>
          <w:rFonts w:ascii="Times New Roman" w:hAnsi="Times New Roman"/>
          <w:color w:val="000000" w:themeColor="text1"/>
          <w:szCs w:val="22"/>
          <w:lang w:val="lt-LT"/>
        </w:rPr>
        <w:t xml:space="preserve"> energinio naudingumo klas</w:t>
      </w:r>
      <w:r w:rsidR="006E4F73">
        <w:rPr>
          <w:rFonts w:ascii="Times New Roman" w:hAnsi="Times New Roman"/>
          <w:color w:val="000000" w:themeColor="text1"/>
          <w:szCs w:val="22"/>
          <w:lang w:val="lt-LT"/>
        </w:rPr>
        <w:t>ių</w:t>
      </w:r>
      <w:r w:rsidR="00505C1C" w:rsidRPr="00650EE4">
        <w:rPr>
          <w:rFonts w:ascii="Times New Roman" w:hAnsi="Times New Roman"/>
          <w:color w:val="000000" w:themeColor="text1"/>
          <w:szCs w:val="22"/>
          <w:lang w:val="lt-LT"/>
        </w:rPr>
        <w:t xml:space="preserve"> (C ir žemesn</w:t>
      </w:r>
      <w:r w:rsidR="006E4F73">
        <w:rPr>
          <w:rFonts w:ascii="Times New Roman" w:hAnsi="Times New Roman"/>
          <w:color w:val="000000" w:themeColor="text1"/>
          <w:szCs w:val="22"/>
          <w:lang w:val="lt-LT"/>
        </w:rPr>
        <w:t>ių</w:t>
      </w:r>
      <w:r w:rsidR="00505C1C" w:rsidRPr="00650EE4">
        <w:rPr>
          <w:rFonts w:ascii="Times New Roman" w:hAnsi="Times New Roman"/>
          <w:color w:val="000000" w:themeColor="text1"/>
          <w:szCs w:val="22"/>
          <w:lang w:val="lt-LT"/>
        </w:rPr>
        <w:t xml:space="preserve">) </w:t>
      </w:r>
      <w:r w:rsidR="00DD791C">
        <w:rPr>
          <w:rFonts w:ascii="Times New Roman" w:hAnsi="Times New Roman"/>
          <w:color w:val="000000" w:themeColor="text1"/>
          <w:szCs w:val="22"/>
          <w:lang w:val="lt-LT"/>
        </w:rPr>
        <w:t>p</w:t>
      </w:r>
      <w:r>
        <w:rPr>
          <w:rFonts w:ascii="Times New Roman" w:hAnsi="Times New Roman"/>
          <w:color w:val="000000" w:themeColor="text1"/>
          <w:szCs w:val="22"/>
          <w:lang w:val="lt-LT"/>
        </w:rPr>
        <w:t>ramonės paskirties pastatų.</w:t>
      </w:r>
      <w:r w:rsidR="00505C1C" w:rsidRPr="00650EE4">
        <w:rPr>
          <w:rFonts w:ascii="Times New Roman" w:hAnsi="Times New Roman"/>
          <w:color w:val="000000" w:themeColor="text1"/>
          <w:szCs w:val="22"/>
          <w:lang w:val="lt-LT"/>
        </w:rPr>
        <w:t xml:space="preserve"> </w:t>
      </w:r>
    </w:p>
    <w:p w14:paraId="13543A7E" w14:textId="7D5DDE0A" w:rsidR="00505C1C" w:rsidRPr="00650EE4" w:rsidRDefault="00505C1C" w:rsidP="00505C1C">
      <w:pPr>
        <w:pStyle w:val="ListParagraph"/>
        <w:spacing w:before="60" w:after="60"/>
        <w:ind w:left="1431"/>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Šis vertinimas remiasi prielaida, kad pramonės pastatų savininkų motyvacija atnaujinti pastatus yra išskirtinai finansinė (kitos paskatos, veikiančios kitų paskirčių pastatų savininkus, veikia mažiau), o energinis efektyvumas dažnai neprisideda prie verslo procesų gerinimo bei neatneša reikšmingos grąžos (ypatingai – prie esamų energijo</w:t>
      </w:r>
      <w:r w:rsidR="003445F7"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kainų). Atitinkamai pagrindinė planuojama priemonė – reikalavimų pastatų rekonstrukcijai didinimas (nuo C ik B ir A energinio naudingumo klasės. Vadovaujantis konservatyvumo principu, vertinama, kad iki 2050 m. 50 proc. pramonės pastatų nebus atnaujinti,</w:t>
      </w:r>
      <w:r w:rsidR="00CA4BA9">
        <w:rPr>
          <w:rFonts w:ascii="Times New Roman" w:hAnsi="Times New Roman"/>
          <w:color w:val="000000" w:themeColor="text1"/>
          <w:szCs w:val="22"/>
          <w:lang w:val="lt-LT"/>
        </w:rPr>
        <w:t xml:space="preserve"> tačiau ir toliau bus naudojami;</w:t>
      </w:r>
      <w:r w:rsidRPr="00650EE4">
        <w:rPr>
          <w:rFonts w:ascii="Times New Roman" w:hAnsi="Times New Roman"/>
          <w:color w:val="000000" w:themeColor="text1"/>
          <w:szCs w:val="22"/>
          <w:lang w:val="lt-LT"/>
        </w:rPr>
        <w:t xml:space="preserve"> </w:t>
      </w:r>
    </w:p>
    <w:p w14:paraId="2154AA40" w14:textId="498711E1" w:rsidR="00505C1C" w:rsidRPr="00650EE4" w:rsidRDefault="006E4F73" w:rsidP="00BD4925">
      <w:pPr>
        <w:pStyle w:val="ListParagraph"/>
        <w:numPr>
          <w:ilvl w:val="0"/>
          <w:numId w:val="64"/>
        </w:numPr>
        <w:spacing w:before="60"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 xml:space="preserve">po </w:t>
      </w:r>
      <w:r w:rsidR="00505C1C" w:rsidRPr="00650EE4">
        <w:rPr>
          <w:rFonts w:ascii="Times New Roman" w:hAnsi="Times New Roman"/>
          <w:color w:val="000000" w:themeColor="text1"/>
          <w:szCs w:val="22"/>
          <w:lang w:val="lt-LT"/>
        </w:rPr>
        <w:t>50 proc. pastatų t</w:t>
      </w:r>
      <w:r w:rsidR="00905EBE" w:rsidRPr="00650EE4">
        <w:rPr>
          <w:rFonts w:ascii="Times New Roman" w:hAnsi="Times New Roman"/>
          <w:color w:val="000000" w:themeColor="text1"/>
          <w:szCs w:val="22"/>
          <w:lang w:val="lt-LT"/>
        </w:rPr>
        <w:t>ransformacijoje dalyvaujančių</w:t>
      </w:r>
      <w:r>
        <w:rPr>
          <w:rFonts w:ascii="Times New Roman" w:hAnsi="Times New Roman"/>
          <w:color w:val="000000" w:themeColor="text1"/>
          <w:szCs w:val="22"/>
          <w:lang w:val="lt-LT"/>
        </w:rPr>
        <w:t xml:space="preserve"> D ir žemesnių klasių</w:t>
      </w:r>
      <w:r w:rsidR="00505C1C" w:rsidRPr="00650EE4">
        <w:rPr>
          <w:rFonts w:ascii="Times New Roman" w:hAnsi="Times New Roman"/>
          <w:color w:val="000000" w:themeColor="text1"/>
          <w:szCs w:val="22"/>
          <w:lang w:val="lt-LT"/>
        </w:rPr>
        <w:t xml:space="preserve"> pastatų pasieks A</w:t>
      </w:r>
      <w:r>
        <w:rPr>
          <w:rFonts w:ascii="Times New Roman" w:hAnsi="Times New Roman"/>
          <w:color w:val="000000" w:themeColor="text1"/>
          <w:szCs w:val="22"/>
          <w:lang w:val="lt-LT"/>
        </w:rPr>
        <w:t xml:space="preserve"> ir B </w:t>
      </w:r>
      <w:r w:rsidR="00505C1C" w:rsidRPr="00650EE4">
        <w:rPr>
          <w:rFonts w:ascii="Times New Roman" w:hAnsi="Times New Roman"/>
          <w:color w:val="000000" w:themeColor="text1"/>
          <w:szCs w:val="22"/>
          <w:lang w:val="lt-LT"/>
        </w:rPr>
        <w:t>en</w:t>
      </w:r>
      <w:r w:rsidR="00905EBE" w:rsidRPr="00650EE4">
        <w:rPr>
          <w:rFonts w:ascii="Times New Roman" w:hAnsi="Times New Roman"/>
          <w:color w:val="000000" w:themeColor="text1"/>
          <w:szCs w:val="22"/>
          <w:lang w:val="lt-LT"/>
        </w:rPr>
        <w:t>erginio naudingumo klases</w:t>
      </w:r>
      <w:r w:rsidR="000A0925">
        <w:rPr>
          <w:rFonts w:ascii="Times New Roman" w:hAnsi="Times New Roman"/>
          <w:color w:val="000000" w:themeColor="text1"/>
          <w:szCs w:val="22"/>
          <w:lang w:val="lt-LT"/>
        </w:rPr>
        <w:t>, o 100 proc. transformacijoje dalyvaujančių C energinio naudingumo klasės pastatų pasieks A energinio naudingumo klasę.</w:t>
      </w:r>
      <w:r w:rsidR="000A0925" w:rsidRPr="00650EE4">
        <w:rPr>
          <w:rFonts w:ascii="Times New Roman" w:hAnsi="Times New Roman"/>
          <w:color w:val="000000" w:themeColor="text1"/>
          <w:szCs w:val="22"/>
          <w:lang w:val="lt-LT"/>
        </w:rPr>
        <w:t xml:space="preserve"> Vertinimas remiasi prielaida, kad priklausomai nuo konkretaus pastato techninių charakteristikų ir (ar) pastato savininko poreikių, gali skirtis siekiamos ENK pasirinkimas.</w:t>
      </w:r>
      <w:r w:rsidR="00CA4BA9">
        <w:rPr>
          <w:rFonts w:ascii="Times New Roman" w:hAnsi="Times New Roman"/>
          <w:color w:val="000000" w:themeColor="text1"/>
          <w:szCs w:val="22"/>
          <w:lang w:val="lt-LT"/>
        </w:rPr>
        <w:t>;</w:t>
      </w:r>
    </w:p>
    <w:p w14:paraId="48140EC0" w14:textId="45667A7E" w:rsidR="00505C1C" w:rsidRPr="00650EE4" w:rsidRDefault="000A0925" w:rsidP="00BD4925">
      <w:pPr>
        <w:pStyle w:val="ListParagraph"/>
        <w:numPr>
          <w:ilvl w:val="0"/>
          <w:numId w:val="65"/>
        </w:numPr>
        <w:spacing w:before="60"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10</w:t>
      </w:r>
      <w:r w:rsidRPr="00650EE4">
        <w:rPr>
          <w:rFonts w:ascii="Times New Roman" w:hAnsi="Times New Roman"/>
          <w:color w:val="000000" w:themeColor="text1"/>
          <w:szCs w:val="22"/>
          <w:lang w:val="lt-LT"/>
        </w:rPr>
        <w:t>0 proc. pastatų</w:t>
      </w:r>
      <w:r>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 xml:space="preserve">kurių esamas šilumos energijos šaltinis nėra CŠT, </w:t>
      </w:r>
      <w:r w:rsidRPr="00650EE4">
        <w:rPr>
          <w:rFonts w:ascii="Times New Roman" w:hAnsi="Times New Roman"/>
          <w:color w:val="000000" w:themeColor="text1"/>
          <w:szCs w:val="22"/>
          <w:lang w:val="lt-LT"/>
        </w:rPr>
        <w:t>kartu su energinio efektyvumo didinimo priemonėmis, įsidiegs ir AEI priemones (šilumos siurblius ir fotovoltinius saulės elementus)</w:t>
      </w:r>
      <w:r w:rsidR="00CA4BA9">
        <w:rPr>
          <w:rFonts w:ascii="Times New Roman" w:hAnsi="Times New Roman"/>
          <w:color w:val="000000" w:themeColor="text1"/>
          <w:szCs w:val="22"/>
          <w:lang w:val="lt-LT"/>
        </w:rPr>
        <w:t>;</w:t>
      </w:r>
    </w:p>
    <w:p w14:paraId="4486A9C0" w14:textId="784BE936" w:rsidR="00505C1C"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00505C1C" w:rsidRPr="00650EE4">
        <w:rPr>
          <w:rFonts w:ascii="Times New Roman" w:hAnsi="Times New Roman"/>
          <w:color w:val="000000" w:themeColor="text1"/>
          <w:szCs w:val="22"/>
          <w:lang w:val="lt-LT"/>
        </w:rPr>
        <w:t xml:space="preserve">isi renovacijoje nedalyvavę </w:t>
      </w:r>
      <w:r w:rsidR="000A0925" w:rsidRPr="00650EE4">
        <w:rPr>
          <w:rFonts w:ascii="Times New Roman" w:hAnsi="Times New Roman"/>
          <w:color w:val="000000" w:themeColor="text1"/>
          <w:szCs w:val="22"/>
          <w:lang w:val="lt-LT"/>
        </w:rPr>
        <w:t>ir iškastinį kurą naudojantys pastatai, neprijungti prie CŠT, pakeis gamybos šaltinį į naudojančius AEI, pvz., įsidiegs šilumos siurblius ir fotovoltinius saulės elementus</w:t>
      </w:r>
      <w:r w:rsidR="000A0925">
        <w:rPr>
          <w:rFonts w:ascii="Times New Roman" w:hAnsi="Times New Roman"/>
          <w:color w:val="000000" w:themeColor="text1"/>
          <w:szCs w:val="22"/>
          <w:lang w:val="lt-LT"/>
        </w:rPr>
        <w:t xml:space="preserve"> ar biokuro katilus</w:t>
      </w:r>
      <w:r w:rsidR="000A0925" w:rsidRPr="00650EE4">
        <w:rPr>
          <w:rFonts w:ascii="Times New Roman" w:hAnsi="Times New Roman"/>
          <w:color w:val="000000" w:themeColor="text1"/>
          <w:szCs w:val="22"/>
          <w:lang w:val="lt-LT"/>
        </w:rPr>
        <w:t xml:space="preserve">. Šis vertinimas remiasi </w:t>
      </w:r>
      <w:r w:rsidR="000A0925">
        <w:rPr>
          <w:rFonts w:ascii="Times New Roman" w:hAnsi="Times New Roman"/>
          <w:color w:val="000000" w:themeColor="text1"/>
          <w:szCs w:val="22"/>
          <w:lang w:val="lt-LT"/>
        </w:rPr>
        <w:t xml:space="preserve">siekiu pilnai </w:t>
      </w:r>
      <w:r w:rsidR="000A0925" w:rsidRPr="00650EE4">
        <w:rPr>
          <w:rFonts w:ascii="Times New Roman" w:hAnsi="Times New Roman"/>
          <w:color w:val="000000" w:themeColor="text1"/>
          <w:szCs w:val="22"/>
          <w:lang w:val="lt-LT"/>
        </w:rPr>
        <w:t>atsisakyti iškastinio kuro šaltinių, juos keičiant AEI</w:t>
      </w:r>
      <w:r>
        <w:rPr>
          <w:rFonts w:ascii="Times New Roman" w:hAnsi="Times New Roman"/>
          <w:color w:val="000000" w:themeColor="text1"/>
          <w:szCs w:val="22"/>
          <w:lang w:val="lt-LT"/>
        </w:rPr>
        <w:t>;</w:t>
      </w:r>
    </w:p>
    <w:p w14:paraId="6C070B65" w14:textId="67318F94" w:rsidR="00900EE8" w:rsidRPr="000A0925" w:rsidRDefault="000A0925" w:rsidP="00395C34">
      <w:pPr>
        <w:pStyle w:val="ListParagraph"/>
        <w:numPr>
          <w:ilvl w:val="0"/>
          <w:numId w:val="54"/>
        </w:numPr>
        <w:spacing w:before="60" w:after="60" w:line="240" w:lineRule="auto"/>
        <w:ind w:left="993"/>
        <w:contextualSpacing w:val="0"/>
        <w:jc w:val="both"/>
        <w:rPr>
          <w:rFonts w:ascii="Times New Roman" w:hAnsi="Times New Roman"/>
          <w:color w:val="000000" w:themeColor="text1"/>
          <w:szCs w:val="22"/>
        </w:rPr>
      </w:pPr>
      <w:r w:rsidRPr="000A0925">
        <w:rPr>
          <w:rFonts w:ascii="Times New Roman" w:hAnsi="Times New Roman"/>
          <w:color w:val="000000" w:themeColor="text1"/>
          <w:szCs w:val="22"/>
          <w:lang w:val="lt-LT"/>
        </w:rPr>
        <w:t>įvyks energetikos sektoriaus transformacija – CŠT ir elektros sektoriai 100 proc. energijos gamins iš AEI. Įvairios energetinio sektoriaus inovacijos ir griežtas reguliavimas leis sulaikyti 100 proc. CO</w:t>
      </w:r>
      <w:r w:rsidRPr="000A0925">
        <w:rPr>
          <w:rFonts w:ascii="Times New Roman" w:hAnsi="Times New Roman"/>
          <w:color w:val="000000" w:themeColor="text1"/>
          <w:szCs w:val="22"/>
          <w:vertAlign w:val="subscript"/>
          <w:lang w:val="lt-LT"/>
        </w:rPr>
        <w:t>2</w:t>
      </w:r>
      <w:r w:rsidRPr="000A0925">
        <w:rPr>
          <w:rFonts w:ascii="Times New Roman" w:hAnsi="Times New Roman"/>
          <w:color w:val="000000" w:themeColor="text1"/>
          <w:szCs w:val="22"/>
          <w:lang w:val="lt-LT"/>
        </w:rPr>
        <w:t xml:space="preserve"> emisijų energijos gamybos procesuose tiek elektros bei šilumos jėgainėse, tiek individualių namų šilumos šaltiniuose. Šis vertinimas remiasi prielaida, kad bus pasiekti NENS ir kituose strateginiuose teisės aktuose deklaruoti tikslai. </w:t>
      </w:r>
    </w:p>
    <w:p w14:paraId="7F349F52" w14:textId="1333C201" w:rsidR="008247AF" w:rsidRPr="00650EE4" w:rsidRDefault="00B60BD4" w:rsidP="00395C34">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Svarbu pastebėti, kad </w:t>
      </w:r>
      <w:r w:rsidR="00FD0C76" w:rsidRPr="00650EE4">
        <w:rPr>
          <w:rFonts w:ascii="Times New Roman" w:hAnsi="Times New Roman"/>
          <w:color w:val="000000" w:themeColor="text1"/>
          <w:szCs w:val="22"/>
        </w:rPr>
        <w:t>dėl duome</w:t>
      </w:r>
      <w:r w:rsidR="00C264E6" w:rsidRPr="00650EE4">
        <w:rPr>
          <w:rFonts w:ascii="Times New Roman" w:hAnsi="Times New Roman"/>
          <w:color w:val="000000" w:themeColor="text1"/>
          <w:szCs w:val="22"/>
        </w:rPr>
        <w:t xml:space="preserve">nų nepakankamumo </w:t>
      </w:r>
      <w:r w:rsidR="00F111BF" w:rsidRPr="00650EE4">
        <w:rPr>
          <w:rFonts w:ascii="Times New Roman" w:hAnsi="Times New Roman"/>
          <w:color w:val="000000" w:themeColor="text1"/>
          <w:szCs w:val="22"/>
        </w:rPr>
        <w:t xml:space="preserve">2020 </w:t>
      </w:r>
      <w:r w:rsidR="00B4287B" w:rsidRPr="00650EE4">
        <w:rPr>
          <w:rFonts w:ascii="Times New Roman" w:hAnsi="Times New Roman"/>
          <w:color w:val="000000" w:themeColor="text1"/>
          <w:szCs w:val="22"/>
        </w:rPr>
        <w:t xml:space="preserve">m. </w:t>
      </w:r>
      <w:r w:rsidR="00C264E6" w:rsidRPr="00650EE4">
        <w:rPr>
          <w:rFonts w:ascii="Times New Roman" w:hAnsi="Times New Roman"/>
          <w:color w:val="000000" w:themeColor="text1"/>
          <w:szCs w:val="22"/>
        </w:rPr>
        <w:t xml:space="preserve">skaičiuotinas </w:t>
      </w:r>
      <w:r w:rsidR="00115A43" w:rsidRPr="00650EE4">
        <w:rPr>
          <w:rFonts w:ascii="Times New Roman" w:hAnsi="Times New Roman"/>
          <w:color w:val="000000" w:themeColor="text1"/>
          <w:szCs w:val="22"/>
        </w:rPr>
        <w:t xml:space="preserve">energijos </w:t>
      </w:r>
      <w:r w:rsidR="00C264E6" w:rsidRPr="00650EE4">
        <w:rPr>
          <w:rFonts w:ascii="Times New Roman" w:hAnsi="Times New Roman"/>
          <w:color w:val="000000" w:themeColor="text1"/>
          <w:szCs w:val="22"/>
        </w:rPr>
        <w:t xml:space="preserve">vartojimas </w:t>
      </w:r>
      <w:r w:rsidR="00115A43" w:rsidRPr="00650EE4">
        <w:rPr>
          <w:rFonts w:ascii="Times New Roman" w:hAnsi="Times New Roman"/>
          <w:color w:val="000000" w:themeColor="text1"/>
          <w:szCs w:val="22"/>
        </w:rPr>
        <w:t xml:space="preserve">apskaičiuotas remiantis prielaidomis (žr. </w:t>
      </w:r>
      <w:r w:rsidR="00DD791C">
        <w:rPr>
          <w:rFonts w:ascii="Times New Roman" w:hAnsi="Times New Roman"/>
          <w:color w:val="000000" w:themeColor="text1"/>
          <w:szCs w:val="22"/>
        </w:rPr>
        <w:t>1</w:t>
      </w:r>
      <w:r w:rsidR="00115A43" w:rsidRPr="00650EE4">
        <w:rPr>
          <w:rFonts w:ascii="Times New Roman" w:hAnsi="Times New Roman"/>
          <w:color w:val="000000" w:themeColor="text1"/>
          <w:szCs w:val="22"/>
        </w:rPr>
        <w:t xml:space="preserve">.2 ir </w:t>
      </w:r>
      <w:r w:rsidR="00DD791C">
        <w:rPr>
          <w:rFonts w:ascii="Times New Roman" w:hAnsi="Times New Roman"/>
          <w:color w:val="000000" w:themeColor="text1"/>
          <w:szCs w:val="22"/>
        </w:rPr>
        <w:t>1</w:t>
      </w:r>
      <w:r w:rsidR="00115A43" w:rsidRPr="00650EE4">
        <w:rPr>
          <w:rFonts w:ascii="Times New Roman" w:hAnsi="Times New Roman"/>
          <w:color w:val="000000" w:themeColor="text1"/>
          <w:szCs w:val="22"/>
        </w:rPr>
        <w:t>.3 skyrius), todėl surinkus faktinius duomenis apie pastatų fondo energijos vartojimą gali</w:t>
      </w:r>
      <w:r w:rsidR="00C264E6" w:rsidRPr="00650EE4">
        <w:rPr>
          <w:rFonts w:ascii="Times New Roman" w:hAnsi="Times New Roman"/>
          <w:color w:val="000000" w:themeColor="text1"/>
          <w:szCs w:val="22"/>
        </w:rPr>
        <w:t xml:space="preserve"> keistis. Atitinkamai, </w:t>
      </w:r>
      <w:r w:rsidR="00115A43" w:rsidRPr="00650EE4">
        <w:rPr>
          <w:rFonts w:ascii="Times New Roman" w:hAnsi="Times New Roman"/>
          <w:color w:val="000000" w:themeColor="text1"/>
          <w:szCs w:val="22"/>
        </w:rPr>
        <w:t>didesnis dėmesys turėtų būti teikiamas ne</w:t>
      </w:r>
      <w:r w:rsidR="00C264E6" w:rsidRPr="00650EE4">
        <w:rPr>
          <w:rFonts w:ascii="Times New Roman" w:hAnsi="Times New Roman"/>
          <w:color w:val="000000" w:themeColor="text1"/>
          <w:szCs w:val="22"/>
        </w:rPr>
        <w:t xml:space="preserve"> </w:t>
      </w:r>
      <w:r w:rsidR="00115A43" w:rsidRPr="00650EE4">
        <w:rPr>
          <w:rFonts w:ascii="Times New Roman" w:hAnsi="Times New Roman"/>
          <w:color w:val="000000" w:themeColor="text1"/>
          <w:szCs w:val="22"/>
        </w:rPr>
        <w:t xml:space="preserve">santykiniam </w:t>
      </w:r>
      <w:r w:rsidR="008C1E7D">
        <w:rPr>
          <w:rFonts w:ascii="Times New Roman" w:hAnsi="Times New Roman"/>
          <w:color w:val="000000" w:themeColor="text1"/>
          <w:szCs w:val="22"/>
        </w:rPr>
        <w:t>rodikliui</w:t>
      </w:r>
      <w:r w:rsidR="00C264E6" w:rsidRPr="00650EE4">
        <w:rPr>
          <w:rFonts w:ascii="Times New Roman" w:hAnsi="Times New Roman"/>
          <w:color w:val="000000" w:themeColor="text1"/>
          <w:szCs w:val="22"/>
        </w:rPr>
        <w:t xml:space="preserve"> (</w:t>
      </w:r>
      <w:r w:rsidR="00115A43" w:rsidRPr="00650EE4">
        <w:rPr>
          <w:rFonts w:ascii="Times New Roman" w:hAnsi="Times New Roman"/>
          <w:color w:val="000000" w:themeColor="text1"/>
          <w:szCs w:val="22"/>
        </w:rPr>
        <w:t xml:space="preserve">sutaupyti </w:t>
      </w:r>
      <w:r w:rsidR="00C264E6" w:rsidRPr="00650EE4">
        <w:rPr>
          <w:rFonts w:ascii="Times New Roman" w:hAnsi="Times New Roman"/>
          <w:color w:val="000000" w:themeColor="text1"/>
          <w:szCs w:val="22"/>
        </w:rPr>
        <w:t xml:space="preserve">70 proc.), o </w:t>
      </w:r>
      <w:r w:rsidR="00115A43" w:rsidRPr="00650EE4">
        <w:rPr>
          <w:rFonts w:ascii="Times New Roman" w:hAnsi="Times New Roman"/>
          <w:color w:val="000000" w:themeColor="text1"/>
          <w:szCs w:val="22"/>
        </w:rPr>
        <w:t>absoliučiam</w:t>
      </w:r>
      <w:r w:rsidR="00C264E6" w:rsidRPr="00650EE4">
        <w:rPr>
          <w:rFonts w:ascii="Times New Roman" w:hAnsi="Times New Roman"/>
          <w:color w:val="000000" w:themeColor="text1"/>
          <w:szCs w:val="22"/>
        </w:rPr>
        <w:t xml:space="preserve"> </w:t>
      </w:r>
      <w:r w:rsidR="00115A43" w:rsidRPr="00650EE4">
        <w:rPr>
          <w:rFonts w:ascii="Times New Roman" w:hAnsi="Times New Roman"/>
          <w:color w:val="000000" w:themeColor="text1"/>
          <w:szCs w:val="22"/>
        </w:rPr>
        <w:t>vartojimo dydžiui pasiekti</w:t>
      </w:r>
      <w:r w:rsidR="00C264E6" w:rsidRPr="00650EE4">
        <w:rPr>
          <w:rFonts w:ascii="Times New Roman" w:hAnsi="Times New Roman"/>
          <w:color w:val="000000" w:themeColor="text1"/>
          <w:szCs w:val="22"/>
        </w:rPr>
        <w:t xml:space="preserve"> (1</w:t>
      </w:r>
      <w:r w:rsidR="000A0925">
        <w:rPr>
          <w:rFonts w:ascii="Times New Roman" w:hAnsi="Times New Roman"/>
          <w:color w:val="000000" w:themeColor="text1"/>
          <w:szCs w:val="22"/>
          <w:lang w:val="en-GB"/>
        </w:rPr>
        <w:t>6,2</w:t>
      </w:r>
      <w:r w:rsidR="00C264E6" w:rsidRPr="00650EE4">
        <w:rPr>
          <w:rFonts w:ascii="Times New Roman" w:hAnsi="Times New Roman"/>
          <w:color w:val="000000" w:themeColor="text1"/>
          <w:szCs w:val="22"/>
        </w:rPr>
        <w:t xml:space="preserve"> </w:t>
      </w:r>
      <w:proofErr w:type="spellStart"/>
      <w:r w:rsidR="00C264E6" w:rsidRPr="00650EE4">
        <w:rPr>
          <w:rFonts w:ascii="Times New Roman" w:hAnsi="Times New Roman"/>
          <w:color w:val="000000" w:themeColor="text1"/>
          <w:szCs w:val="22"/>
        </w:rPr>
        <w:t>TWh</w:t>
      </w:r>
      <w:proofErr w:type="spellEnd"/>
      <w:r w:rsidR="00C264E6" w:rsidRPr="00650EE4">
        <w:rPr>
          <w:rFonts w:ascii="Times New Roman" w:hAnsi="Times New Roman"/>
          <w:color w:val="000000" w:themeColor="text1"/>
          <w:szCs w:val="22"/>
        </w:rPr>
        <w:t xml:space="preserve">) t.y. </w:t>
      </w:r>
      <w:r w:rsidR="00F708C7" w:rsidRPr="00650EE4">
        <w:rPr>
          <w:rFonts w:ascii="Times New Roman" w:hAnsi="Times New Roman"/>
          <w:color w:val="000000" w:themeColor="text1"/>
          <w:szCs w:val="22"/>
        </w:rPr>
        <w:t xml:space="preserve">transformuoti faktiškai naudojamą pastatų </w:t>
      </w:r>
      <w:r w:rsidR="00C264E6" w:rsidRPr="00650EE4">
        <w:rPr>
          <w:rFonts w:ascii="Times New Roman" w:hAnsi="Times New Roman"/>
          <w:color w:val="000000" w:themeColor="text1"/>
          <w:szCs w:val="22"/>
        </w:rPr>
        <w:t>fond</w:t>
      </w:r>
      <w:r w:rsidR="00F708C7" w:rsidRPr="00650EE4">
        <w:rPr>
          <w:rFonts w:ascii="Times New Roman" w:hAnsi="Times New Roman"/>
          <w:color w:val="000000" w:themeColor="text1"/>
          <w:szCs w:val="22"/>
        </w:rPr>
        <w:t>ą</w:t>
      </w:r>
      <w:r w:rsidR="00C264E6" w:rsidRPr="00650EE4">
        <w:rPr>
          <w:rFonts w:ascii="Times New Roman" w:hAnsi="Times New Roman"/>
          <w:color w:val="000000" w:themeColor="text1"/>
          <w:szCs w:val="22"/>
        </w:rPr>
        <w:t xml:space="preserve"> į A</w:t>
      </w:r>
      <w:r w:rsidR="00DD791C">
        <w:rPr>
          <w:rFonts w:ascii="Times New Roman" w:hAnsi="Times New Roman"/>
          <w:color w:val="000000" w:themeColor="text1"/>
          <w:szCs w:val="22"/>
        </w:rPr>
        <w:t xml:space="preserve"> </w:t>
      </w:r>
      <w:r w:rsidR="00C264E6" w:rsidRPr="00650EE4">
        <w:rPr>
          <w:rFonts w:ascii="Times New Roman" w:hAnsi="Times New Roman"/>
          <w:color w:val="000000" w:themeColor="text1"/>
          <w:szCs w:val="22"/>
        </w:rPr>
        <w:t>/</w:t>
      </w:r>
      <w:r w:rsidR="00DD791C">
        <w:rPr>
          <w:rFonts w:ascii="Times New Roman" w:hAnsi="Times New Roman"/>
          <w:color w:val="000000" w:themeColor="text1"/>
          <w:szCs w:val="22"/>
        </w:rPr>
        <w:t xml:space="preserve"> </w:t>
      </w:r>
      <w:r w:rsidR="00C264E6" w:rsidRPr="00650EE4">
        <w:rPr>
          <w:rFonts w:ascii="Times New Roman" w:hAnsi="Times New Roman"/>
          <w:color w:val="000000" w:themeColor="text1"/>
          <w:szCs w:val="22"/>
        </w:rPr>
        <w:t xml:space="preserve">B energinio </w:t>
      </w:r>
      <w:r w:rsidR="00F904F1" w:rsidRPr="00650EE4">
        <w:rPr>
          <w:rFonts w:ascii="Times New Roman" w:hAnsi="Times New Roman"/>
          <w:color w:val="000000" w:themeColor="text1"/>
          <w:szCs w:val="22"/>
        </w:rPr>
        <w:t>naudingumo</w:t>
      </w:r>
      <w:r w:rsidR="00C264E6" w:rsidRPr="00650EE4">
        <w:rPr>
          <w:rFonts w:ascii="Times New Roman" w:hAnsi="Times New Roman"/>
          <w:color w:val="000000" w:themeColor="text1"/>
          <w:szCs w:val="22"/>
        </w:rPr>
        <w:t xml:space="preserve"> klases. </w:t>
      </w:r>
    </w:p>
    <w:p w14:paraId="4D90F125" w14:textId="77777777" w:rsidR="00576EDC" w:rsidRPr="00650EE4" w:rsidRDefault="00576EDC" w:rsidP="00395C34">
      <w:pPr>
        <w:jc w:val="both"/>
        <w:rPr>
          <w:rFonts w:ascii="Times New Roman" w:hAnsi="Times New Roman"/>
          <w:color w:val="000000" w:themeColor="text1"/>
          <w:szCs w:val="22"/>
        </w:rPr>
      </w:pPr>
    </w:p>
    <w:p w14:paraId="5BF76719" w14:textId="38689D46" w:rsidR="00F75D90" w:rsidRPr="00650EE4" w:rsidRDefault="00F75D90" w:rsidP="00F75D90">
      <w:pPr>
        <w:pStyle w:val="Antrastes31"/>
        <w:numPr>
          <w:ilvl w:val="2"/>
          <w:numId w:val="4"/>
        </w:numPr>
        <w:spacing w:before="120"/>
        <w:ind w:left="720" w:hanging="720"/>
        <w:rPr>
          <w:rFonts w:ascii="Times New Roman" w:hAnsi="Times New Roman"/>
          <w:color w:val="000000" w:themeColor="text1"/>
          <w:sz w:val="24"/>
          <w:szCs w:val="24"/>
          <w:lang w:val="lt-LT"/>
        </w:rPr>
      </w:pPr>
      <w:bookmarkStart w:id="160" w:name="_Toc67925161"/>
      <w:r w:rsidRPr="00650EE4">
        <w:rPr>
          <w:rFonts w:ascii="Times New Roman" w:hAnsi="Times New Roman"/>
          <w:color w:val="000000" w:themeColor="text1"/>
          <w:sz w:val="24"/>
          <w:szCs w:val="24"/>
          <w:lang w:val="lt-LT"/>
        </w:rPr>
        <w:t>Pirminės energijos iš iškastinio kuro vartojimo</w:t>
      </w:r>
      <w:r w:rsidR="002A6440" w:rsidRPr="00650EE4">
        <w:rPr>
          <w:rFonts w:ascii="Times New Roman" w:hAnsi="Times New Roman"/>
          <w:color w:val="000000" w:themeColor="text1"/>
          <w:sz w:val="24"/>
          <w:szCs w:val="24"/>
          <w:lang w:val="lt-LT"/>
        </w:rPr>
        <w:t xml:space="preserve"> </w:t>
      </w:r>
      <w:r w:rsidR="000A0925">
        <w:rPr>
          <w:rFonts w:ascii="Times New Roman" w:hAnsi="Times New Roman"/>
          <w:color w:val="000000" w:themeColor="text1"/>
          <w:sz w:val="24"/>
          <w:szCs w:val="24"/>
          <w:lang w:val="lt-LT"/>
        </w:rPr>
        <w:t>atsisakymas</w:t>
      </w:r>
      <w:bookmarkEnd w:id="160"/>
    </w:p>
    <w:p w14:paraId="35B91589" w14:textId="5F3D6B80" w:rsidR="000A0925" w:rsidRPr="00650EE4" w:rsidRDefault="000A0925" w:rsidP="000A0925">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 xml:space="preserve">Siekis </w:t>
      </w:r>
      <w:r>
        <w:rPr>
          <w:rFonts w:ascii="Times New Roman" w:hAnsi="Times New Roman"/>
          <w:color w:val="000000" w:themeColor="text1"/>
          <w:szCs w:val="22"/>
        </w:rPr>
        <w:t xml:space="preserve">100 </w:t>
      </w:r>
      <w:r w:rsidRPr="00650EE4">
        <w:rPr>
          <w:rFonts w:ascii="Times New Roman" w:hAnsi="Times New Roman"/>
          <w:color w:val="000000" w:themeColor="text1"/>
          <w:szCs w:val="22"/>
        </w:rPr>
        <w:t xml:space="preserve">proc. </w:t>
      </w:r>
      <w:r>
        <w:rPr>
          <w:rFonts w:ascii="Times New Roman" w:hAnsi="Times New Roman"/>
          <w:color w:val="000000" w:themeColor="text1"/>
          <w:szCs w:val="22"/>
        </w:rPr>
        <w:t xml:space="preserve">atsisakyti </w:t>
      </w:r>
      <w:r w:rsidRPr="00650EE4">
        <w:rPr>
          <w:rFonts w:ascii="Times New Roman" w:hAnsi="Times New Roman"/>
          <w:color w:val="000000" w:themeColor="text1"/>
          <w:szCs w:val="22"/>
        </w:rPr>
        <w:t>pirminės energijos iš ne AEI ir</w:t>
      </w:r>
      <w:r>
        <w:rPr>
          <w:rFonts w:ascii="Times New Roman" w:hAnsi="Times New Roman"/>
          <w:color w:val="000000" w:themeColor="text1"/>
          <w:szCs w:val="22"/>
        </w:rPr>
        <w:t xml:space="preserve"> pasiekti nulines </w:t>
      </w:r>
      <w:r w:rsidRPr="00650EE4">
        <w:rPr>
          <w:rFonts w:ascii="Times New Roman" w:hAnsi="Times New Roman"/>
          <w:color w:val="000000" w:themeColor="text1"/>
          <w:szCs w:val="22"/>
        </w:rPr>
        <w:t>CO</w:t>
      </w:r>
      <w:r w:rsidRPr="000A0925">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emisijas (stulpelis „2050+“ paveiksle aukščiau) suformuotas prognozuojant, kad iki 2050 m.:</w:t>
      </w:r>
    </w:p>
    <w:p w14:paraId="187BFCD8" w14:textId="5A7FD553" w:rsidR="000A0925" w:rsidRPr="00650EE4"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b</w:t>
      </w:r>
      <w:r w:rsidRPr="00650EE4">
        <w:rPr>
          <w:rFonts w:ascii="Times New Roman" w:hAnsi="Times New Roman"/>
          <w:color w:val="000000" w:themeColor="text1"/>
          <w:szCs w:val="22"/>
          <w:lang w:val="lt-LT"/>
        </w:rPr>
        <w:t xml:space="preserve">us įgyvendintos energinio efektyvumo priemonės (žr. </w:t>
      </w:r>
      <w:r>
        <w:rPr>
          <w:rFonts w:ascii="Times New Roman" w:hAnsi="Times New Roman"/>
          <w:color w:val="000000" w:themeColor="text1"/>
          <w:szCs w:val="22"/>
          <w:lang w:val="lt-LT"/>
        </w:rPr>
        <w:t>5</w:t>
      </w:r>
      <w:r w:rsidRPr="00650EE4">
        <w:rPr>
          <w:rFonts w:ascii="Times New Roman" w:hAnsi="Times New Roman"/>
          <w:color w:val="000000" w:themeColor="text1"/>
          <w:szCs w:val="22"/>
          <w:lang w:val="lt-LT"/>
        </w:rPr>
        <w:t>.1.1 skyrių);</w:t>
      </w:r>
    </w:p>
    <w:p w14:paraId="679F964D" w14:textId="03223217" w:rsidR="000A0925" w:rsidRPr="005365A7"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Pr="005365A7">
        <w:rPr>
          <w:rFonts w:ascii="Times New Roman" w:hAnsi="Times New Roman"/>
          <w:color w:val="000000" w:themeColor="text1"/>
          <w:szCs w:val="22"/>
          <w:lang w:val="lt-LT"/>
        </w:rPr>
        <w:t xml:space="preserve">lektros sektorius 100% </w:t>
      </w:r>
      <w:r>
        <w:rPr>
          <w:rFonts w:ascii="Times New Roman" w:hAnsi="Times New Roman"/>
          <w:color w:val="000000" w:themeColor="text1"/>
          <w:szCs w:val="22"/>
          <w:lang w:val="lt-LT"/>
        </w:rPr>
        <w:t>transformuosis</w:t>
      </w:r>
      <w:r w:rsidRPr="005365A7">
        <w:rPr>
          <w:rFonts w:ascii="Times New Roman" w:hAnsi="Times New Roman"/>
          <w:color w:val="000000" w:themeColor="text1"/>
          <w:szCs w:val="22"/>
          <w:lang w:val="lt-LT"/>
        </w:rPr>
        <w:t xml:space="preserve"> į nulinių CO</w:t>
      </w:r>
      <w:r w:rsidRPr="005365A7">
        <w:rPr>
          <w:rFonts w:ascii="Times New Roman" w:hAnsi="Times New Roman"/>
          <w:color w:val="000000" w:themeColor="text1"/>
          <w:szCs w:val="22"/>
          <w:vertAlign w:val="subscript"/>
          <w:lang w:val="lt-LT"/>
        </w:rPr>
        <w:t>2</w:t>
      </w:r>
      <w:r w:rsidRPr="005365A7">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p>
    <w:p w14:paraId="7055EBC6" w14:textId="556F0084" w:rsidR="000A0925" w:rsidRPr="005365A7"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sidRPr="005365A7">
        <w:rPr>
          <w:rFonts w:ascii="Times New Roman" w:hAnsi="Times New Roman"/>
          <w:color w:val="000000" w:themeColor="text1"/>
          <w:szCs w:val="22"/>
          <w:lang w:val="lt-LT"/>
        </w:rPr>
        <w:t xml:space="preserve">CŠT  sektorius 100% </w:t>
      </w:r>
      <w:r>
        <w:rPr>
          <w:rFonts w:ascii="Times New Roman" w:hAnsi="Times New Roman"/>
          <w:color w:val="000000" w:themeColor="text1"/>
          <w:szCs w:val="22"/>
          <w:lang w:val="lt-LT"/>
        </w:rPr>
        <w:t>transformuosis</w:t>
      </w:r>
      <w:r w:rsidRPr="005365A7">
        <w:rPr>
          <w:rFonts w:ascii="Times New Roman" w:hAnsi="Times New Roman"/>
          <w:color w:val="000000" w:themeColor="text1"/>
          <w:szCs w:val="22"/>
          <w:lang w:val="lt-LT"/>
        </w:rPr>
        <w:t xml:space="preserve"> į nulinių CO</w:t>
      </w:r>
      <w:r w:rsidRPr="005365A7">
        <w:rPr>
          <w:rFonts w:ascii="Times New Roman" w:hAnsi="Times New Roman"/>
          <w:color w:val="000000" w:themeColor="text1"/>
          <w:szCs w:val="22"/>
          <w:vertAlign w:val="subscript"/>
          <w:lang w:val="lt-LT"/>
        </w:rPr>
        <w:t>2</w:t>
      </w:r>
      <w:r w:rsidRPr="005365A7">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p>
    <w:p w14:paraId="2B430909" w14:textId="3BF29D0C" w:rsidR="000A0925" w:rsidRPr="00A86AB3"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Pr="00A86AB3">
        <w:rPr>
          <w:rFonts w:ascii="Times New Roman" w:hAnsi="Times New Roman"/>
          <w:color w:val="000000" w:themeColor="text1"/>
          <w:szCs w:val="22"/>
          <w:lang w:val="lt-LT"/>
        </w:rPr>
        <w:t xml:space="preserve">isi </w:t>
      </w:r>
      <w:r>
        <w:rPr>
          <w:rFonts w:ascii="Times New Roman" w:hAnsi="Times New Roman"/>
          <w:color w:val="000000" w:themeColor="text1"/>
          <w:szCs w:val="22"/>
          <w:lang w:val="lt-LT"/>
        </w:rPr>
        <w:t>p</w:t>
      </w:r>
      <w:r w:rsidRPr="00A86AB3">
        <w:rPr>
          <w:rFonts w:ascii="Times New Roman" w:hAnsi="Times New Roman"/>
          <w:color w:val="000000" w:themeColor="text1"/>
          <w:szCs w:val="22"/>
          <w:lang w:val="lt-LT"/>
        </w:rPr>
        <w:t>astatų fondo pastatai (2020 m.), neprijungti prie CŠT, naudos individualius AEI gamybos šaltinius</w:t>
      </w:r>
      <w:r>
        <w:rPr>
          <w:rFonts w:ascii="Times New Roman" w:hAnsi="Times New Roman"/>
          <w:color w:val="000000" w:themeColor="text1"/>
          <w:szCs w:val="22"/>
          <w:lang w:val="lt-LT"/>
        </w:rPr>
        <w:t>.</w:t>
      </w:r>
    </w:p>
    <w:p w14:paraId="390B43BB" w14:textId="77777777" w:rsidR="002F0B4E" w:rsidRPr="00650EE4" w:rsidRDefault="002F0B4E" w:rsidP="00395C34">
      <w:pPr>
        <w:jc w:val="both"/>
        <w:rPr>
          <w:rFonts w:ascii="Times New Roman" w:hAnsi="Times New Roman"/>
          <w:color w:val="000000" w:themeColor="text1"/>
          <w:sz w:val="24"/>
          <w:szCs w:val="24"/>
        </w:rPr>
      </w:pPr>
    </w:p>
    <w:p w14:paraId="514A228C" w14:textId="2195C993" w:rsidR="003350E3" w:rsidRPr="00650EE4" w:rsidRDefault="003350E3"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61" w:name="_Toc67925270"/>
      <w:r w:rsidR="007744C1">
        <w:t>22</w:t>
      </w:r>
      <w:r w:rsidRPr="00650EE4">
        <w:rPr>
          <w:noProof w:val="0"/>
        </w:rPr>
        <w:fldChar w:fldCharType="end"/>
      </w:r>
      <w:r w:rsidRPr="00650EE4">
        <w:rPr>
          <w:noProof w:val="0"/>
        </w:rPr>
        <w:t xml:space="preserve"> paveikslas. Pastatų fondo transformacijos komponentai (CO2 emisij</w:t>
      </w:r>
      <w:r w:rsidR="00B27D44" w:rsidRPr="00650EE4">
        <w:rPr>
          <w:noProof w:val="0"/>
        </w:rPr>
        <w:t>ų sumažinimas</w:t>
      </w:r>
      <w:r w:rsidRPr="00650EE4">
        <w:rPr>
          <w:noProof w:val="0"/>
        </w:rPr>
        <w:t>)</w:t>
      </w:r>
      <w:bookmarkEnd w:id="161"/>
    </w:p>
    <w:p w14:paraId="7A06DA69" w14:textId="73F5EA13" w:rsidR="000A0925" w:rsidRDefault="000A0925" w:rsidP="000223EF">
      <w:pPr>
        <w:jc w:val="both"/>
        <w:rPr>
          <w:rFonts w:ascii="Times New Roman" w:hAnsi="Times New Roman"/>
          <w:noProof/>
          <w:shd w:val="clear" w:color="auto" w:fill="0070C0"/>
          <w:lang w:eastAsia="lt-LT"/>
        </w:rPr>
      </w:pPr>
      <w:r>
        <w:rPr>
          <w:noProof/>
          <w:lang w:eastAsia="lt-LT"/>
        </w:rPr>
        <w:drawing>
          <wp:inline distT="0" distB="0" distL="0" distR="0" wp14:anchorId="3C21C560" wp14:editId="07B8024D">
            <wp:extent cx="5753819" cy="2786332"/>
            <wp:effectExtent l="0" t="0" r="0" b="14605"/>
            <wp:docPr id="63" name="Chart 6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6B7216-605F-4E93-BCFC-7F20E8A67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392326B" w14:textId="0679643B" w:rsidR="001179ED" w:rsidRDefault="001179ED" w:rsidP="000223EF">
      <w:pPr>
        <w:jc w:val="both"/>
        <w:rPr>
          <w:rFonts w:ascii="Times New Roman" w:hAnsi="Times New Roman"/>
          <w:i/>
          <w:iCs/>
          <w:color w:val="auto"/>
          <w:sz w:val="20"/>
          <w:szCs w:val="20"/>
        </w:rPr>
      </w:pPr>
      <w:r w:rsidRPr="00650EE4">
        <w:rPr>
          <w:rFonts w:ascii="Times New Roman" w:hAnsi="Times New Roman"/>
          <w:i/>
          <w:iCs/>
          <w:color w:val="auto"/>
          <w:sz w:val="20"/>
          <w:szCs w:val="20"/>
        </w:rPr>
        <w:t xml:space="preserve">Šaltinis: Studijos </w:t>
      </w:r>
      <w:r w:rsidR="00DD791C" w:rsidRPr="00DD791C">
        <w:rPr>
          <w:rFonts w:ascii="Times New Roman" w:hAnsi="Times New Roman"/>
          <w:i/>
          <w:iCs/>
          <w:color w:val="auto"/>
          <w:sz w:val="20"/>
          <w:szCs w:val="20"/>
        </w:rPr>
        <w:t xml:space="preserve">Lietuvos ilgalaikei renovacijos strategijai parengti </w:t>
      </w:r>
      <w:r w:rsidRPr="00650EE4">
        <w:rPr>
          <w:rFonts w:ascii="Times New Roman" w:hAnsi="Times New Roman"/>
          <w:i/>
          <w:iCs/>
          <w:color w:val="auto"/>
          <w:sz w:val="20"/>
          <w:szCs w:val="20"/>
        </w:rPr>
        <w:t>autoriai</w:t>
      </w:r>
    </w:p>
    <w:p w14:paraId="633276AF" w14:textId="77777777" w:rsidR="000A0925" w:rsidRDefault="000A0925" w:rsidP="000A0925">
      <w:pPr>
        <w:jc w:val="both"/>
        <w:rPr>
          <w:rFonts w:ascii="Times New Roman" w:hAnsi="Times New Roman"/>
          <w:color w:val="000000" w:themeColor="text1"/>
          <w:szCs w:val="22"/>
        </w:rPr>
      </w:pPr>
    </w:p>
    <w:p w14:paraId="53F79899" w14:textId="60669FB4" w:rsidR="000A0925" w:rsidRPr="00A86AB3" w:rsidRDefault="000A0925" w:rsidP="000A0925">
      <w:pPr>
        <w:jc w:val="both"/>
        <w:rPr>
          <w:rFonts w:ascii="Times New Roman" w:hAnsi="Times New Roman"/>
          <w:color w:val="000000" w:themeColor="text1"/>
          <w:szCs w:val="22"/>
        </w:rPr>
      </w:pPr>
      <w:r w:rsidRPr="00A86AB3">
        <w:rPr>
          <w:rFonts w:ascii="Times New Roman" w:hAnsi="Times New Roman"/>
          <w:color w:val="000000" w:themeColor="text1"/>
          <w:szCs w:val="22"/>
        </w:rPr>
        <w:t xml:space="preserve">Svarbu pastebėti, kad siekiant šių </w:t>
      </w:r>
      <w:r w:rsidR="008C1E7D">
        <w:rPr>
          <w:rFonts w:ascii="Times New Roman" w:hAnsi="Times New Roman"/>
          <w:color w:val="000000" w:themeColor="text1"/>
          <w:szCs w:val="22"/>
        </w:rPr>
        <w:t>rodiklių</w:t>
      </w:r>
      <w:r w:rsidRPr="00A86AB3">
        <w:rPr>
          <w:rFonts w:ascii="Times New Roman" w:hAnsi="Times New Roman"/>
          <w:color w:val="000000" w:themeColor="text1"/>
          <w:szCs w:val="22"/>
        </w:rPr>
        <w:t xml:space="preserve"> būtinas ne tik renovacijos priemonių įgyvendinimas, tačiau ir plate</w:t>
      </w:r>
      <w:r>
        <w:rPr>
          <w:rFonts w:ascii="Times New Roman" w:hAnsi="Times New Roman"/>
          <w:color w:val="000000" w:themeColor="text1"/>
          <w:szCs w:val="22"/>
        </w:rPr>
        <w:t>s</w:t>
      </w:r>
      <w:r w:rsidRPr="00A86AB3">
        <w:rPr>
          <w:rFonts w:ascii="Times New Roman" w:hAnsi="Times New Roman"/>
          <w:color w:val="000000" w:themeColor="text1"/>
          <w:szCs w:val="22"/>
        </w:rPr>
        <w:t>nio masto išorinių veiksnių poveikis, pvz.:</w:t>
      </w:r>
    </w:p>
    <w:p w14:paraId="5CA60B7C" w14:textId="0C573365" w:rsidR="000A0925" w:rsidRPr="00A86AB3"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sidRPr="00A86AB3">
        <w:rPr>
          <w:rFonts w:ascii="Times New Roman" w:hAnsi="Times New Roman"/>
          <w:color w:val="000000" w:themeColor="text1"/>
          <w:szCs w:val="22"/>
          <w:lang w:val="lt-LT"/>
        </w:rPr>
        <w:t>AEI technologijų raida. Šiuo metu reikšminga dalis AEI priemonių nėra CO</w:t>
      </w:r>
      <w:r w:rsidRPr="00F07A70">
        <w:rPr>
          <w:rFonts w:ascii="Times New Roman" w:hAnsi="Times New Roman"/>
          <w:color w:val="000000" w:themeColor="text1"/>
          <w:szCs w:val="22"/>
          <w:vertAlign w:val="subscript"/>
          <w:lang w:val="lt-LT"/>
        </w:rPr>
        <w:t>2</w:t>
      </w:r>
      <w:r w:rsidRPr="00A86AB3">
        <w:rPr>
          <w:rFonts w:ascii="Times New Roman" w:hAnsi="Times New Roman"/>
          <w:color w:val="000000" w:themeColor="text1"/>
          <w:szCs w:val="22"/>
          <w:lang w:val="lt-LT"/>
        </w:rPr>
        <w:t xml:space="preserve"> neutralios, todėl net visų pastatų gamybos šaltinius pakeitus į iškastinio kuro nenaudojančius, CO</w:t>
      </w:r>
      <w:r w:rsidRPr="00F07A70">
        <w:rPr>
          <w:rFonts w:ascii="Times New Roman" w:hAnsi="Times New Roman"/>
          <w:color w:val="000000" w:themeColor="text1"/>
          <w:szCs w:val="22"/>
          <w:vertAlign w:val="subscript"/>
          <w:lang w:val="lt-LT"/>
        </w:rPr>
        <w:t>2</w:t>
      </w:r>
      <w:r w:rsidRPr="00A86AB3">
        <w:rPr>
          <w:rFonts w:ascii="Times New Roman" w:hAnsi="Times New Roman"/>
          <w:color w:val="000000" w:themeColor="text1"/>
          <w:szCs w:val="22"/>
          <w:lang w:val="lt-LT"/>
        </w:rPr>
        <w:t xml:space="preserve"> emisijos nebūtų nuli</w:t>
      </w:r>
      <w:r>
        <w:rPr>
          <w:rFonts w:ascii="Times New Roman" w:hAnsi="Times New Roman"/>
          <w:color w:val="000000" w:themeColor="text1"/>
          <w:szCs w:val="22"/>
          <w:lang w:val="lt-LT"/>
        </w:rPr>
        <w:t>nės;</w:t>
      </w:r>
    </w:p>
    <w:p w14:paraId="15B96665" w14:textId="332EF683" w:rsidR="000A0925" w:rsidRPr="000A0925" w:rsidRDefault="000A0925" w:rsidP="000223EF">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į</w:t>
      </w:r>
      <w:r w:rsidRPr="00A86AB3">
        <w:rPr>
          <w:rFonts w:ascii="Times New Roman" w:hAnsi="Times New Roman"/>
          <w:color w:val="000000" w:themeColor="text1"/>
          <w:szCs w:val="22"/>
          <w:lang w:val="lt-LT"/>
        </w:rPr>
        <w:t xml:space="preserve"> tvarumą nukreiptų politikos priemonių raida. Pavyzdžiui, pakitus biokuro kaip AEI gamybos šaltinio statusui, reikšmingai dalis dabartinių AEI gamybos šaltinių pataptų ne AEI ir pan.</w:t>
      </w:r>
    </w:p>
    <w:p w14:paraId="61D65B77" w14:textId="6FF18AEC" w:rsidR="00F81404" w:rsidRPr="00650EE4" w:rsidRDefault="00D74AEF" w:rsidP="002859E3">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62" w:name="_Toc67925162"/>
      <w:r w:rsidRPr="00650EE4">
        <w:rPr>
          <w:rFonts w:ascii="Times New Roman" w:hAnsi="Times New Roman"/>
          <w:color w:val="auto"/>
          <w:sz w:val="24"/>
          <w:szCs w:val="24"/>
          <w:lang w:val="lt-LT"/>
        </w:rPr>
        <w:lastRenderedPageBreak/>
        <w:t>S</w:t>
      </w:r>
      <w:r w:rsidR="00F81404" w:rsidRPr="00650EE4">
        <w:rPr>
          <w:rFonts w:ascii="Times New Roman" w:hAnsi="Times New Roman"/>
          <w:color w:val="auto"/>
          <w:sz w:val="24"/>
          <w:szCs w:val="24"/>
          <w:lang w:val="lt-LT"/>
        </w:rPr>
        <w:t xml:space="preserve">trategijos įgyvendinimo </w:t>
      </w:r>
      <w:r w:rsidR="00BE54C9" w:rsidRPr="00650EE4">
        <w:rPr>
          <w:rFonts w:ascii="Times New Roman" w:hAnsi="Times New Roman"/>
          <w:color w:val="auto"/>
          <w:sz w:val="24"/>
          <w:szCs w:val="24"/>
          <w:lang w:val="lt-LT"/>
        </w:rPr>
        <w:t>rodikliai</w:t>
      </w:r>
      <w:bookmarkEnd w:id="162"/>
    </w:p>
    <w:p w14:paraId="23B6E45A" w14:textId="0BC5F6C7" w:rsidR="006866B5" w:rsidRPr="00650EE4" w:rsidRDefault="00367082" w:rsidP="00367082">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pateikiami </w:t>
      </w:r>
      <w:r w:rsidR="00B22481" w:rsidRPr="00650EE4">
        <w:rPr>
          <w:rFonts w:ascii="Times New Roman" w:hAnsi="Times New Roman"/>
          <w:bCs/>
          <w:color w:val="000000" w:themeColor="text1"/>
        </w:rPr>
        <w:t xml:space="preserve">numatomi IRS </w:t>
      </w:r>
      <w:r w:rsidR="003445F7" w:rsidRPr="00650EE4">
        <w:rPr>
          <w:rFonts w:ascii="Times New Roman" w:hAnsi="Times New Roman"/>
          <w:bCs/>
          <w:color w:val="000000" w:themeColor="text1"/>
        </w:rPr>
        <w:t>įgyvendinimo</w:t>
      </w:r>
      <w:r w:rsidR="00B22481" w:rsidRPr="00650EE4">
        <w:rPr>
          <w:rFonts w:ascii="Times New Roman" w:hAnsi="Times New Roman"/>
          <w:bCs/>
          <w:color w:val="000000" w:themeColor="text1"/>
        </w:rPr>
        <w:t xml:space="preserve"> orientaciniai 2030 m., 2040 m. ir 2050 m. </w:t>
      </w:r>
      <w:r w:rsidR="008C1E7D">
        <w:rPr>
          <w:rFonts w:ascii="Times New Roman" w:hAnsi="Times New Roman"/>
          <w:bCs/>
          <w:color w:val="000000" w:themeColor="text1"/>
        </w:rPr>
        <w:t>rodikliai</w:t>
      </w:r>
      <w:r w:rsidR="00B22481" w:rsidRPr="00650EE4">
        <w:rPr>
          <w:rFonts w:ascii="Times New Roman" w:hAnsi="Times New Roman"/>
          <w:bCs/>
          <w:color w:val="000000" w:themeColor="text1"/>
        </w:rPr>
        <w:t xml:space="preserve">. </w:t>
      </w:r>
    </w:p>
    <w:p w14:paraId="0F1DBD92" w14:textId="77777777" w:rsidR="009E3D51" w:rsidRPr="00650EE4" w:rsidRDefault="009E3D51" w:rsidP="00367082">
      <w:pPr>
        <w:jc w:val="both"/>
        <w:rPr>
          <w:rFonts w:ascii="Times New Roman" w:hAnsi="Times New Roman"/>
          <w:color w:val="000000" w:themeColor="text1"/>
          <w:szCs w:val="22"/>
        </w:rPr>
      </w:pPr>
    </w:p>
    <w:p w14:paraId="0586C7EF" w14:textId="66850350" w:rsidR="006866B5"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3" w:name="_Toc67925234"/>
      <w:r w:rsidR="007744C1">
        <w:t>51</w:t>
      </w:r>
      <w:r w:rsidRPr="00650EE4">
        <w:rPr>
          <w:noProof w:val="0"/>
        </w:rPr>
        <w:fldChar w:fldCharType="end"/>
      </w:r>
      <w:r w:rsidR="001E6DEB" w:rsidRPr="00650EE4">
        <w:rPr>
          <w:noProof w:val="0"/>
        </w:rPr>
        <w:t xml:space="preserve"> lentelė</w:t>
      </w:r>
      <w:r w:rsidR="006866B5" w:rsidRPr="00650EE4">
        <w:rPr>
          <w:noProof w:val="0"/>
        </w:rPr>
        <w:t xml:space="preserve">. </w:t>
      </w:r>
      <w:r w:rsidR="00181620" w:rsidRPr="00650EE4">
        <w:rPr>
          <w:noProof w:val="0"/>
        </w:rPr>
        <w:t>Renovacijos strategijos siekiami rodikliai</w:t>
      </w:r>
      <w:bookmarkEnd w:id="163"/>
      <w:r w:rsidR="006866B5" w:rsidRPr="00650EE4">
        <w:rPr>
          <w:noProof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8"/>
        <w:gridCol w:w="997"/>
        <w:gridCol w:w="917"/>
        <w:gridCol w:w="966"/>
        <w:gridCol w:w="1066"/>
        <w:gridCol w:w="1066"/>
      </w:tblGrid>
      <w:tr w:rsidR="000A0925" w:rsidRPr="00650EE4" w14:paraId="51DAF966"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CB73E" w14:textId="77777777" w:rsidR="000A0925" w:rsidRPr="00650EE4" w:rsidRDefault="000A0925" w:rsidP="009D1C15">
            <w:pPr>
              <w:spacing w:line="240" w:lineRule="auto"/>
              <w:rPr>
                <w:rFonts w:ascii="Times New Roman" w:eastAsia="Times New Roman" w:hAnsi="Times New Roman"/>
                <w:b/>
                <w:bCs/>
                <w:sz w:val="20"/>
                <w:szCs w:val="20"/>
                <w:lang w:eastAsia="lt-LT"/>
              </w:rPr>
            </w:pPr>
            <w:bookmarkStart w:id="164" w:name="_Toc46399963"/>
            <w:r w:rsidRPr="00650EE4">
              <w:rPr>
                <w:rFonts w:ascii="Times New Roman" w:eastAsia="Times New Roman" w:hAnsi="Times New Roman"/>
                <w:b/>
                <w:bCs/>
                <w:sz w:val="20"/>
                <w:szCs w:val="20"/>
                <w:lang w:eastAsia="lt-LT"/>
              </w:rPr>
              <w:t>Rodiklis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EAB0E" w14:textId="77777777" w:rsidR="000A0925" w:rsidRPr="00650EE4" w:rsidRDefault="000A0925" w:rsidP="009D1C15">
            <w:pPr>
              <w:spacing w:line="240" w:lineRule="auto"/>
              <w:ind w:right="-62"/>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4F048" w14:textId="77777777" w:rsidR="000A0925" w:rsidRPr="00650EE4" w:rsidRDefault="000A0925" w:rsidP="009D1C15">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2DCD6" w14:textId="77777777" w:rsidR="000A0925" w:rsidRPr="00650EE4" w:rsidRDefault="000A0925" w:rsidP="009D1C15">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EE020" w14:textId="77777777" w:rsidR="000A0925" w:rsidRPr="00650EE4" w:rsidRDefault="000A0925" w:rsidP="009D1C15">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8F20F" w14:textId="77777777" w:rsidR="000A0925" w:rsidRPr="00650EE4" w:rsidRDefault="000A0925" w:rsidP="009D1C15">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2050</w:t>
            </w:r>
          </w:p>
        </w:tc>
      </w:tr>
      <w:tr w:rsidR="000A0925" w:rsidRPr="0093740C" w14:paraId="71D61EA0"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E90A0"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 Metinis pirminės energijos vartojimas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F2A68" w14:textId="77777777" w:rsidR="000A0925" w:rsidRPr="0093740C" w:rsidRDefault="000A0925" w:rsidP="009D1C15">
            <w:pPr>
              <w:spacing w:line="240" w:lineRule="auto"/>
              <w:ind w:right="-62"/>
              <w:rPr>
                <w:rFonts w:ascii="Times New Roman" w:eastAsia="Times New Roman" w:hAnsi="Times New Roman"/>
                <w:sz w:val="20"/>
                <w:szCs w:val="20"/>
                <w:lang w:eastAsia="lt-LT"/>
              </w:rPr>
            </w:pPr>
            <w:proofErr w:type="spellStart"/>
            <w:r w:rsidRPr="0093740C">
              <w:rPr>
                <w:rFonts w:ascii="Times New Roman" w:eastAsia="Times New Roman" w:hAnsi="Times New Roman"/>
                <w:sz w:val="20"/>
                <w:szCs w:val="20"/>
                <w:lang w:eastAsia="lt-LT"/>
              </w:rPr>
              <w:t>GWh</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AC149"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40.827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5B768"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34.759</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9D8DD"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25.888</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16615"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16.162</w:t>
            </w:r>
          </w:p>
        </w:tc>
      </w:tr>
      <w:tr w:rsidR="000A0925" w:rsidRPr="0093740C" w14:paraId="0E59AC71"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1C8A7"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R2. Metinis pirminės energijos vartojimas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B7121" w14:textId="77777777" w:rsidR="000A0925" w:rsidRPr="0093740C" w:rsidRDefault="000A0925"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FDD3F"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7A70F"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85%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0B6F3"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63%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77392"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w:t>
            </w:r>
          </w:p>
        </w:tc>
      </w:tr>
      <w:tr w:rsidR="000A0925" w:rsidRPr="0093740C" w14:paraId="25B8B058"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91D08"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R3. Metinis pirminės energijos (ne AEI) vartojimas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B754E" w14:textId="77777777" w:rsidR="000A0925" w:rsidRPr="0093740C" w:rsidRDefault="000A0925" w:rsidP="009D1C15">
            <w:pPr>
              <w:spacing w:line="240" w:lineRule="auto"/>
              <w:ind w:right="-62"/>
              <w:rPr>
                <w:rFonts w:ascii="Times New Roman" w:eastAsia="Times New Roman" w:hAnsi="Times New Roman"/>
                <w:sz w:val="20"/>
                <w:szCs w:val="20"/>
                <w:lang w:eastAsia="lt-LT"/>
              </w:rPr>
            </w:pPr>
            <w:proofErr w:type="spellStart"/>
            <w:r w:rsidRPr="0093740C">
              <w:rPr>
                <w:rFonts w:ascii="Times New Roman" w:eastAsia="Times New Roman" w:hAnsi="Times New Roman"/>
                <w:sz w:val="20"/>
                <w:szCs w:val="20"/>
                <w:lang w:eastAsia="lt-LT"/>
              </w:rPr>
              <w:t>GWh</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FEA0E"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26.407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3082E"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19.865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888"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10.369</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D21DB"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27</w:t>
            </w:r>
          </w:p>
        </w:tc>
      </w:tr>
      <w:tr w:rsidR="000A0925" w:rsidRPr="0093740C" w14:paraId="069FD1C8"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1D518"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R4. Metinis pirminės energijos (ne AEI) energijos vartojimas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8CB3E" w14:textId="77777777" w:rsidR="000A0925" w:rsidRPr="0093740C" w:rsidRDefault="000A0925"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9D4FA"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C514A"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74EE3"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39%</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A2D7C"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r>
      <w:tr w:rsidR="000A0925" w:rsidRPr="0093740C" w14:paraId="344FC9E1"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9011"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R5. CO2 emisijos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6AEAB" w14:textId="77777777" w:rsidR="000A0925" w:rsidRPr="0093740C" w:rsidRDefault="000A0925"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ktCO2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7D5CC"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5.287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1E0BA"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4.003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35CF"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2.108</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811CD"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0</w:t>
            </w:r>
          </w:p>
        </w:tc>
      </w:tr>
      <w:tr w:rsidR="000A0925" w:rsidRPr="0093740C" w14:paraId="1026CD21"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7F7F"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R6. CO2 emisijos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82545" w14:textId="77777777" w:rsidR="000A0925" w:rsidRPr="0093740C" w:rsidRDefault="000A0925"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AA4C0"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F4E0A"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76%</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1ABE1"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B8CD7"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r>
      <w:tr w:rsidR="000A0925" w:rsidRPr="0093740C" w14:paraId="515FC037"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8273C"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R7. Neefektyvių (≤D klasės) pastatų plotas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5F4C6" w14:textId="0D5937FA" w:rsidR="000A0925" w:rsidRPr="0093740C" w:rsidRDefault="000A0925" w:rsidP="009D1C15">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93740C">
              <w:rPr>
                <w:rFonts w:ascii="Times New Roman" w:eastAsia="Times New Roman" w:hAnsi="Times New Roman"/>
                <w:sz w:val="20"/>
                <w:szCs w:val="20"/>
                <w:lang w:eastAsia="lt-LT"/>
              </w:rPr>
              <w:t>m</w:t>
            </w:r>
            <w:r w:rsidRPr="000A0925">
              <w:rPr>
                <w:rFonts w:ascii="Times New Roman" w:eastAsia="Times New Roman" w:hAnsi="Times New Roman"/>
                <w:sz w:val="20"/>
                <w:szCs w:val="20"/>
                <w:vertAlign w:val="superscript"/>
                <w:lang w:eastAsia="lt-LT"/>
              </w:rPr>
              <w:t>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C30CF"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108.924</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97015"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85.887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DAB46"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54.043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06782"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19.981</w:t>
            </w:r>
          </w:p>
        </w:tc>
      </w:tr>
      <w:tr w:rsidR="000A0925" w:rsidRPr="0093740C" w14:paraId="6AAF87B8"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DDD96"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R8. Neefektyvių (≤D klasės) pastatų vartojimas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ABB00" w14:textId="77777777" w:rsidR="000A0925" w:rsidRPr="0093740C" w:rsidRDefault="000A0925" w:rsidP="009D1C15">
            <w:pPr>
              <w:spacing w:line="240" w:lineRule="auto"/>
              <w:ind w:right="-62"/>
              <w:rPr>
                <w:rFonts w:ascii="Times New Roman" w:eastAsia="Times New Roman" w:hAnsi="Times New Roman"/>
                <w:sz w:val="20"/>
                <w:szCs w:val="20"/>
                <w:lang w:eastAsia="lt-LT"/>
              </w:rPr>
            </w:pPr>
            <w:proofErr w:type="spellStart"/>
            <w:r w:rsidRPr="0093740C">
              <w:rPr>
                <w:rFonts w:ascii="Times New Roman" w:eastAsia="Times New Roman" w:hAnsi="Times New Roman"/>
                <w:sz w:val="20"/>
                <w:szCs w:val="20"/>
                <w:lang w:eastAsia="lt-LT"/>
              </w:rPr>
              <w:t>GWh</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4E456"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31.601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8A251"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24.208</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7C68E"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14.306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91A37"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3.717</w:t>
            </w:r>
          </w:p>
        </w:tc>
      </w:tr>
      <w:tr w:rsidR="000A0925" w:rsidRPr="0093740C" w14:paraId="21CB1707"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69294" w14:textId="77777777" w:rsidR="000A0925" w:rsidRPr="0093740C" w:rsidRDefault="000A0925"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R9. Neefektyvių (≤D klasės) pastatų vartojimas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237D2" w14:textId="77777777" w:rsidR="000A0925" w:rsidRPr="0093740C" w:rsidRDefault="000A0925"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4371A"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2A2AE"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7DCEF"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369B5" w14:textId="77777777" w:rsidR="000A0925" w:rsidRPr="0093740C" w:rsidRDefault="000A0925" w:rsidP="009D1C15">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12%</w:t>
            </w:r>
          </w:p>
        </w:tc>
      </w:tr>
      <w:tr w:rsidR="00806AE4" w:rsidRPr="0093740C" w14:paraId="54DB5EA4"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F2BF5" w14:textId="77777777" w:rsidR="00806AE4" w:rsidRPr="0093740C" w:rsidRDefault="00806AE4"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R10. Renovuotų pastatų skaičius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60343" w14:textId="77777777" w:rsidR="00806AE4" w:rsidRPr="0093740C" w:rsidRDefault="00806AE4"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vnt.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7F017" w14:textId="22360736" w:rsidR="00806AE4" w:rsidRPr="0093740C" w:rsidRDefault="00806AE4" w:rsidP="009D1C15">
            <w:pPr>
              <w:spacing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58.774*</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27886" w14:textId="02257393"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99.281</w:t>
            </w:r>
            <w:r>
              <w:rPr>
                <w:rFonts w:ascii="Times New Roman" w:eastAsia="Times New Roman" w:hAnsi="Times New Roman"/>
                <w:sz w:val="20"/>
                <w:szCs w:val="20"/>
                <w:lang w:eastAsia="lt-LT"/>
              </w:rP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6822D" w14:textId="3EF31AB8"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255.421</w:t>
            </w:r>
            <w:r>
              <w:rPr>
                <w:rFonts w:ascii="Times New Roman" w:eastAsia="Times New Roman" w:hAnsi="Times New Roman"/>
                <w:sz w:val="20"/>
                <w:szCs w:val="20"/>
                <w:lang w:eastAsia="lt-LT"/>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CB57C" w14:textId="42CAD575"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436.008</w:t>
            </w:r>
            <w:r>
              <w:rPr>
                <w:rFonts w:ascii="Times New Roman" w:eastAsia="Times New Roman" w:hAnsi="Times New Roman"/>
                <w:sz w:val="20"/>
                <w:szCs w:val="20"/>
                <w:lang w:eastAsia="lt-LT"/>
              </w:rPr>
              <w:t>**</w:t>
            </w:r>
          </w:p>
        </w:tc>
      </w:tr>
      <w:tr w:rsidR="00806AE4" w:rsidRPr="0093740C" w14:paraId="317F4812"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A9882" w14:textId="77777777" w:rsidR="00806AE4" w:rsidRPr="0093740C" w:rsidRDefault="00806AE4"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R11. Renovuotų pastatų dalis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9B8C0" w14:textId="77777777" w:rsidR="00806AE4" w:rsidRPr="0093740C" w:rsidRDefault="00806AE4"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16B73" w14:textId="1393943F" w:rsidR="00806AE4" w:rsidRPr="0093740C" w:rsidRDefault="00806AE4" w:rsidP="009D1C15">
            <w:pPr>
              <w:spacing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8</w:t>
            </w:r>
            <w:r w:rsidRPr="00E77B50">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4027A" w14:textId="7C8F7336"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17%</w:t>
            </w:r>
            <w:r>
              <w:rPr>
                <w:rFonts w:ascii="Times New Roman" w:eastAsia="Times New Roman" w:hAnsi="Times New Roman"/>
                <w:sz w:val="20"/>
                <w:szCs w:val="20"/>
                <w:lang w:eastAsia="lt-LT"/>
              </w:rP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FEB26" w14:textId="11F9505F"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43%</w:t>
            </w:r>
            <w:r>
              <w:rPr>
                <w:rFonts w:ascii="Times New Roman" w:eastAsia="Times New Roman" w:hAnsi="Times New Roman"/>
                <w:sz w:val="20"/>
                <w:szCs w:val="20"/>
                <w:lang w:eastAsia="lt-LT"/>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CC8C7" w14:textId="506ABCE6"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74%</w:t>
            </w:r>
            <w:r>
              <w:rPr>
                <w:rFonts w:ascii="Times New Roman" w:eastAsia="Times New Roman" w:hAnsi="Times New Roman"/>
                <w:sz w:val="20"/>
                <w:szCs w:val="20"/>
                <w:lang w:eastAsia="lt-LT"/>
              </w:rPr>
              <w:t>**</w:t>
            </w:r>
          </w:p>
        </w:tc>
      </w:tr>
      <w:tr w:rsidR="00806AE4" w:rsidRPr="0093740C" w14:paraId="027CD194"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CA2D7" w14:textId="77777777" w:rsidR="00806AE4" w:rsidRPr="0093740C" w:rsidRDefault="00806AE4"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R12. Renovuotų pastatų plotas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01D2C" w14:textId="5F63DB68" w:rsidR="00806AE4" w:rsidRPr="0093740C" w:rsidRDefault="00806AE4" w:rsidP="009D1C15">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93740C">
              <w:rPr>
                <w:rFonts w:ascii="Times New Roman" w:eastAsia="Times New Roman" w:hAnsi="Times New Roman"/>
                <w:sz w:val="20"/>
                <w:szCs w:val="20"/>
                <w:lang w:eastAsia="lt-LT"/>
              </w:rPr>
              <w:t>m</w:t>
            </w:r>
            <w:r w:rsidRPr="000A0925">
              <w:rPr>
                <w:rFonts w:ascii="Times New Roman" w:eastAsia="Times New Roman" w:hAnsi="Times New Roman"/>
                <w:sz w:val="20"/>
                <w:szCs w:val="20"/>
                <w:vertAlign w:val="superscript"/>
                <w:lang w:eastAsia="lt-LT"/>
              </w:rPr>
              <w:t>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BFF9F" w14:textId="3952F62E" w:rsidR="00806AE4" w:rsidRPr="0093740C" w:rsidRDefault="00806AE4" w:rsidP="009D1C15">
            <w:pPr>
              <w:spacing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29.471*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A3A0C" w14:textId="280A2403"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27.819</w:t>
            </w:r>
            <w:r>
              <w:rPr>
                <w:rFonts w:ascii="Times New Roman" w:eastAsia="Times New Roman" w:hAnsi="Times New Roman"/>
                <w:sz w:val="20"/>
                <w:szCs w:val="20"/>
                <w:lang w:eastAsia="lt-LT"/>
              </w:rP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1BC8A" w14:textId="2FCC0829"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67.233</w:t>
            </w:r>
            <w:r>
              <w:rPr>
                <w:rFonts w:ascii="Times New Roman" w:eastAsia="Times New Roman" w:hAnsi="Times New Roman"/>
                <w:sz w:val="20"/>
                <w:szCs w:val="20"/>
                <w:lang w:eastAsia="lt-LT"/>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B06B2" w14:textId="63BDED64"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109.534</w:t>
            </w:r>
            <w:r>
              <w:rPr>
                <w:rFonts w:ascii="Times New Roman" w:eastAsia="Times New Roman" w:hAnsi="Times New Roman"/>
                <w:sz w:val="20"/>
                <w:szCs w:val="20"/>
                <w:lang w:eastAsia="lt-LT"/>
              </w:rPr>
              <w:t>**</w:t>
            </w:r>
          </w:p>
        </w:tc>
      </w:tr>
      <w:tr w:rsidR="00806AE4" w:rsidRPr="0093740C" w14:paraId="199A067A" w14:textId="77777777" w:rsidTr="009D1C15">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D85C" w14:textId="77777777" w:rsidR="00806AE4" w:rsidRPr="0093740C" w:rsidRDefault="00806AE4" w:rsidP="009D1C15">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R13. Renovuotų pastatų plotas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900BD" w14:textId="77777777" w:rsidR="00806AE4" w:rsidRPr="0093740C" w:rsidRDefault="00806AE4" w:rsidP="009D1C15">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E2FCA" w14:textId="72062B0A" w:rsidR="00806AE4" w:rsidRPr="0093740C" w:rsidRDefault="00806AE4" w:rsidP="009D1C15">
            <w:pPr>
              <w:spacing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15</w:t>
            </w:r>
            <w:r w:rsidRPr="00E77B50">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C1A82" w14:textId="3DD3C115"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17%</w:t>
            </w:r>
            <w:r>
              <w:rPr>
                <w:rFonts w:ascii="Times New Roman" w:eastAsia="Times New Roman" w:hAnsi="Times New Roman"/>
                <w:sz w:val="20"/>
                <w:szCs w:val="20"/>
                <w:lang w:eastAsia="lt-LT"/>
              </w:rPr>
              <w: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1BF50" w14:textId="2D82908C"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41%</w:t>
            </w:r>
            <w:r>
              <w:rPr>
                <w:rFonts w:ascii="Times New Roman" w:eastAsia="Times New Roman" w:hAnsi="Times New Roman"/>
                <w:sz w:val="20"/>
                <w:szCs w:val="20"/>
                <w:lang w:eastAsia="lt-LT"/>
              </w:rPr>
              <w:t>**</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52646" w14:textId="07DA2573" w:rsidR="00806AE4" w:rsidRPr="0093740C" w:rsidRDefault="00806AE4" w:rsidP="009D1C15">
            <w:pPr>
              <w:spacing w:line="240" w:lineRule="auto"/>
              <w:jc w:val="right"/>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66%</w:t>
            </w:r>
            <w:r>
              <w:rPr>
                <w:rFonts w:ascii="Times New Roman" w:eastAsia="Times New Roman" w:hAnsi="Times New Roman"/>
                <w:sz w:val="20"/>
                <w:szCs w:val="20"/>
                <w:lang w:eastAsia="lt-LT"/>
              </w:rPr>
              <w:t>**</w:t>
            </w:r>
          </w:p>
        </w:tc>
      </w:tr>
    </w:tbl>
    <w:p w14:paraId="025AC9F2" w14:textId="0D34BD75" w:rsidR="006D0165" w:rsidRPr="00650EE4" w:rsidRDefault="00A336F1" w:rsidP="00631BA6">
      <w:pPr>
        <w:pStyle w:val="TESlentelspavadinimas"/>
        <w:rPr>
          <w:noProof w:val="0"/>
        </w:rPr>
      </w:pPr>
      <w:r w:rsidRPr="00650EE4">
        <w:rPr>
          <w:noProof w:val="0"/>
        </w:rPr>
        <w:t>Šaltinis: S</w:t>
      </w:r>
      <w:r w:rsidR="006D0165" w:rsidRPr="00650EE4">
        <w:rPr>
          <w:noProof w:val="0"/>
        </w:rPr>
        <w:t>tudijos</w:t>
      </w:r>
      <w:r w:rsidR="00DD791C" w:rsidRPr="00DD791C">
        <w:rPr>
          <w:iCs/>
          <w:color w:val="auto"/>
        </w:rPr>
        <w:t xml:space="preserve"> </w:t>
      </w:r>
      <w:r w:rsidR="00DD791C" w:rsidRPr="00874EAF">
        <w:rPr>
          <w:iCs/>
          <w:color w:val="auto"/>
        </w:rPr>
        <w:t>Lietuvos ilgalaikei renovacijos strategijai parengti</w:t>
      </w:r>
      <w:r w:rsidR="006D0165" w:rsidRPr="00650EE4">
        <w:rPr>
          <w:noProof w:val="0"/>
        </w:rPr>
        <w:t xml:space="preserve"> autoriai</w:t>
      </w:r>
    </w:p>
    <w:p w14:paraId="42D34546" w14:textId="77777777" w:rsidR="00E3547E" w:rsidRDefault="00E3547E" w:rsidP="00E3547E">
      <w:pPr>
        <w:rPr>
          <w:rFonts w:ascii="Times New Roman" w:hAnsi="Times New Roman"/>
          <w:szCs w:val="22"/>
        </w:rPr>
      </w:pPr>
    </w:p>
    <w:p w14:paraId="1E6CE6E3" w14:textId="77777777" w:rsidR="0099275B" w:rsidRPr="00B21707" w:rsidRDefault="0099275B" w:rsidP="0099275B">
      <w:pPr>
        <w:pStyle w:val="TESlentelspavadinimas"/>
        <w:rPr>
          <w:noProof w:val="0"/>
        </w:rPr>
      </w:pPr>
      <w:r w:rsidRPr="00B21707">
        <w:rPr>
          <w:noProof w:val="0"/>
        </w:rPr>
        <w:t>*Nauji ir renovuoti B ir aukštesnės energinio naudingumo klasės pastatai</w:t>
      </w:r>
      <w:r>
        <w:rPr>
          <w:noProof w:val="0"/>
        </w:rPr>
        <w:t xml:space="preserve"> </w:t>
      </w:r>
      <w:r w:rsidRPr="00B21707">
        <w:rPr>
          <w:noProof w:val="0"/>
        </w:rPr>
        <w:t>iki 2020 m..</w:t>
      </w:r>
    </w:p>
    <w:p w14:paraId="52E24D6F" w14:textId="77777777" w:rsidR="0099275B" w:rsidRPr="00B21707" w:rsidRDefault="0099275B" w:rsidP="0099275B">
      <w:pPr>
        <w:pStyle w:val="TESlentelspavadinimas"/>
        <w:rPr>
          <w:noProof w:val="0"/>
        </w:rPr>
      </w:pPr>
      <w:r w:rsidRPr="00B21707">
        <w:rPr>
          <w:noProof w:val="0"/>
        </w:rPr>
        <w:t>**</w:t>
      </w:r>
      <w:r>
        <w:rPr>
          <w:noProof w:val="0"/>
        </w:rPr>
        <w:t>Renovuotini pastatai nuo 2021</w:t>
      </w:r>
      <w:r w:rsidRPr="00B21707">
        <w:rPr>
          <w:noProof w:val="0"/>
        </w:rPr>
        <w:t xml:space="preserve"> m. </w:t>
      </w:r>
      <w:r>
        <w:rPr>
          <w:noProof w:val="0"/>
        </w:rPr>
        <w:t>su tarpiniais rodikliais 2030 m., 2040 m. ir 2050 m.</w:t>
      </w:r>
    </w:p>
    <w:p w14:paraId="39EE64F1" w14:textId="77777777" w:rsidR="00806AE4" w:rsidRPr="00650EE4" w:rsidRDefault="00806AE4" w:rsidP="00E3547E">
      <w:pPr>
        <w:rPr>
          <w:rFonts w:ascii="Times New Roman" w:hAnsi="Times New Roman"/>
          <w:szCs w:val="22"/>
        </w:rPr>
      </w:pPr>
    </w:p>
    <w:p w14:paraId="3E155C0E" w14:textId="77777777" w:rsidR="00E3547E" w:rsidRPr="00650EE4" w:rsidRDefault="00E3547E" w:rsidP="00E3547E">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547965D1" w14:textId="71165A3B" w:rsidR="00E3547E" w:rsidRPr="00650EE4" w:rsidRDefault="00CA4BA9" w:rsidP="00477E09">
      <w:pPr>
        <w:pStyle w:val="Pagrindinispaprastastekstas"/>
        <w:numPr>
          <w:ilvl w:val="0"/>
          <w:numId w:val="13"/>
        </w:numPr>
        <w:rPr>
          <w:rFonts w:ascii="Times New Roman" w:hAnsi="Times New Roman"/>
          <w:szCs w:val="22"/>
        </w:rPr>
      </w:pPr>
      <w:r>
        <w:rPr>
          <w:rFonts w:ascii="Times New Roman" w:hAnsi="Times New Roman"/>
          <w:szCs w:val="22"/>
        </w:rPr>
        <w:t>p</w:t>
      </w:r>
      <w:r w:rsidR="00E3547E" w:rsidRPr="00650EE4">
        <w:rPr>
          <w:rFonts w:ascii="Times New Roman" w:hAnsi="Times New Roman"/>
          <w:szCs w:val="22"/>
        </w:rPr>
        <w:t>lanuojamu laikotarpiu bus siekiama</w:t>
      </w:r>
      <w:r w:rsidR="00764D8F" w:rsidRPr="00650EE4">
        <w:rPr>
          <w:rFonts w:ascii="Times New Roman" w:hAnsi="Times New Roman"/>
          <w:szCs w:val="22"/>
        </w:rPr>
        <w:t xml:space="preserve">, kad renovacijoje dalyvautų </w:t>
      </w:r>
      <w:r w:rsidR="00711D8B" w:rsidRPr="00650EE4">
        <w:rPr>
          <w:rFonts w:ascii="Times New Roman" w:hAnsi="Times New Roman"/>
          <w:szCs w:val="22"/>
        </w:rPr>
        <w:t>beveik 440</w:t>
      </w:r>
      <w:r w:rsidR="00E3547E" w:rsidRPr="00650EE4">
        <w:rPr>
          <w:rFonts w:ascii="Times New Roman" w:hAnsi="Times New Roman"/>
          <w:szCs w:val="22"/>
        </w:rPr>
        <w:t xml:space="preserve"> tūkst. pastatų (</w:t>
      </w:r>
      <w:r w:rsidR="00957A18" w:rsidRPr="00650EE4">
        <w:rPr>
          <w:rFonts w:ascii="Times New Roman" w:hAnsi="Times New Roman"/>
          <w:szCs w:val="22"/>
        </w:rPr>
        <w:t>74</w:t>
      </w:r>
      <w:r w:rsidR="00E3547E" w:rsidRPr="00650EE4">
        <w:rPr>
          <w:rFonts w:ascii="Times New Roman" w:hAnsi="Times New Roman"/>
          <w:szCs w:val="22"/>
        </w:rPr>
        <w:t xml:space="preserve"> proc.</w:t>
      </w:r>
      <w:r w:rsidR="00677B2E" w:rsidRPr="00650EE4">
        <w:rPr>
          <w:rFonts w:ascii="Times New Roman" w:hAnsi="Times New Roman"/>
          <w:szCs w:val="22"/>
        </w:rPr>
        <w:t xml:space="preserve"> viso pastatų fondo</w:t>
      </w:r>
      <w:r w:rsidR="00E3547E" w:rsidRPr="00650EE4">
        <w:rPr>
          <w:rFonts w:ascii="Times New Roman" w:hAnsi="Times New Roman"/>
          <w:szCs w:val="22"/>
        </w:rPr>
        <w:t>);</w:t>
      </w:r>
    </w:p>
    <w:p w14:paraId="577910E2" w14:textId="2BED8A4C" w:rsidR="00E3547E" w:rsidRPr="00650EE4" w:rsidRDefault="00CA4BA9" w:rsidP="007271BF">
      <w:pPr>
        <w:pStyle w:val="Pagrindinispaprastastekstas"/>
        <w:numPr>
          <w:ilvl w:val="0"/>
          <w:numId w:val="13"/>
        </w:numPr>
        <w:rPr>
          <w:rFonts w:ascii="Times New Roman" w:hAnsi="Times New Roman"/>
          <w:szCs w:val="22"/>
        </w:rPr>
      </w:pPr>
      <w:r>
        <w:rPr>
          <w:rFonts w:ascii="Times New Roman" w:hAnsi="Times New Roman"/>
          <w:szCs w:val="22"/>
        </w:rPr>
        <w:t>p</w:t>
      </w:r>
      <w:r w:rsidR="00E3547E" w:rsidRPr="00650EE4">
        <w:rPr>
          <w:rFonts w:ascii="Times New Roman" w:hAnsi="Times New Roman"/>
          <w:szCs w:val="22"/>
        </w:rPr>
        <w:t>o renovacijos</w:t>
      </w:r>
      <w:r w:rsidR="00E16548">
        <w:rPr>
          <w:rFonts w:ascii="Times New Roman" w:hAnsi="Times New Roman"/>
          <w:szCs w:val="22"/>
        </w:rPr>
        <w:t xml:space="preserve"> ir energetikos sektoriaus transformacijos</w:t>
      </w:r>
      <w:r w:rsidR="00E3547E" w:rsidRPr="00650EE4">
        <w:rPr>
          <w:rFonts w:ascii="Times New Roman" w:hAnsi="Times New Roman"/>
          <w:szCs w:val="22"/>
        </w:rPr>
        <w:t xml:space="preserve"> pirminės energijos vartojimas sumažės </w:t>
      </w:r>
      <w:r w:rsidR="00E16548">
        <w:rPr>
          <w:rFonts w:ascii="Times New Roman" w:hAnsi="Times New Roman"/>
          <w:szCs w:val="22"/>
          <w:lang w:val="en-GB"/>
        </w:rPr>
        <w:t>60</w:t>
      </w:r>
      <w:r w:rsidR="00E3547E" w:rsidRPr="00650EE4">
        <w:rPr>
          <w:rFonts w:ascii="Times New Roman" w:hAnsi="Times New Roman"/>
          <w:szCs w:val="22"/>
        </w:rPr>
        <w:t xml:space="preserve"> proc. (neefektyviausių pastatų – </w:t>
      </w:r>
      <w:r w:rsidR="00E16548">
        <w:rPr>
          <w:rFonts w:ascii="Times New Roman" w:hAnsi="Times New Roman"/>
          <w:szCs w:val="22"/>
        </w:rPr>
        <w:t>88</w:t>
      </w:r>
      <w:r w:rsidR="006C3B91" w:rsidRPr="00650EE4">
        <w:rPr>
          <w:rFonts w:ascii="Times New Roman" w:hAnsi="Times New Roman"/>
          <w:szCs w:val="22"/>
        </w:rPr>
        <w:t xml:space="preserve"> </w:t>
      </w:r>
      <w:r w:rsidR="00E3547E" w:rsidRPr="00650EE4">
        <w:rPr>
          <w:rFonts w:ascii="Times New Roman" w:hAnsi="Times New Roman"/>
          <w:szCs w:val="22"/>
        </w:rPr>
        <w:t>proc.)</w:t>
      </w:r>
      <w:r w:rsidR="006C3B91" w:rsidRPr="00650EE4">
        <w:rPr>
          <w:rFonts w:ascii="Times New Roman" w:hAnsi="Times New Roman"/>
          <w:szCs w:val="22"/>
        </w:rPr>
        <w:t xml:space="preserve">, </w:t>
      </w:r>
      <w:r w:rsidR="00E3547E" w:rsidRPr="00650EE4">
        <w:rPr>
          <w:rFonts w:ascii="Times New Roman" w:hAnsi="Times New Roman"/>
          <w:szCs w:val="22"/>
        </w:rPr>
        <w:t>CO</w:t>
      </w:r>
      <w:r w:rsidR="00E3547E" w:rsidRPr="00650EE4">
        <w:rPr>
          <w:rFonts w:ascii="Times New Roman" w:hAnsi="Times New Roman"/>
          <w:szCs w:val="22"/>
          <w:vertAlign w:val="subscript"/>
        </w:rPr>
        <w:t>2</w:t>
      </w:r>
      <w:r w:rsidR="00E3547E" w:rsidRPr="00650EE4">
        <w:rPr>
          <w:rFonts w:ascii="Times New Roman" w:hAnsi="Times New Roman"/>
          <w:szCs w:val="22"/>
        </w:rPr>
        <w:t xml:space="preserve"> emisijos sumažės </w:t>
      </w:r>
      <w:r w:rsidR="00E16548">
        <w:rPr>
          <w:rFonts w:ascii="Times New Roman" w:hAnsi="Times New Roman"/>
          <w:szCs w:val="22"/>
        </w:rPr>
        <w:t>100</w:t>
      </w:r>
      <w:r w:rsidR="00E3547E" w:rsidRPr="00650EE4">
        <w:rPr>
          <w:rFonts w:ascii="Times New Roman" w:hAnsi="Times New Roman"/>
          <w:szCs w:val="22"/>
        </w:rPr>
        <w:t xml:space="preserve"> proc.;</w:t>
      </w:r>
    </w:p>
    <w:p w14:paraId="48EEBF25" w14:textId="611BD30E" w:rsidR="006C3B91" w:rsidRPr="00650EE4" w:rsidRDefault="00CA4BA9" w:rsidP="007271BF">
      <w:pPr>
        <w:pStyle w:val="Pagrindinispaprastastekstas"/>
        <w:numPr>
          <w:ilvl w:val="0"/>
          <w:numId w:val="13"/>
        </w:numPr>
        <w:rPr>
          <w:rFonts w:ascii="Times New Roman" w:hAnsi="Times New Roman"/>
          <w:szCs w:val="22"/>
        </w:rPr>
      </w:pPr>
      <w:r>
        <w:rPr>
          <w:rFonts w:ascii="Times New Roman" w:hAnsi="Times New Roman"/>
          <w:szCs w:val="22"/>
        </w:rPr>
        <w:t>p</w:t>
      </w:r>
      <w:r w:rsidR="006C3B91" w:rsidRPr="00650EE4">
        <w:rPr>
          <w:rFonts w:ascii="Times New Roman" w:hAnsi="Times New Roman"/>
          <w:szCs w:val="22"/>
        </w:rPr>
        <w:t xml:space="preserve">rasčiausio energinio efektyvumo pastatų dalis visame fonde sumažės nuo </w:t>
      </w:r>
      <w:r w:rsidR="009B7163" w:rsidRPr="00650EE4">
        <w:rPr>
          <w:rFonts w:ascii="Times New Roman" w:hAnsi="Times New Roman"/>
          <w:szCs w:val="22"/>
        </w:rPr>
        <w:t>66 proc. (2020 m.) iki 25 proc. (2050 m.)</w:t>
      </w:r>
      <w:r w:rsidR="00881ACD" w:rsidRPr="00650EE4">
        <w:rPr>
          <w:rFonts w:ascii="Times New Roman" w:hAnsi="Times New Roman"/>
          <w:szCs w:val="22"/>
        </w:rPr>
        <w:t>.</w:t>
      </w:r>
    </w:p>
    <w:p w14:paraId="3BEFAB71" w14:textId="340E627B" w:rsidR="00881ACD" w:rsidRPr="00650EE4" w:rsidRDefault="00881ACD" w:rsidP="00C85B01">
      <w:pPr>
        <w:spacing w:before="120"/>
        <w:jc w:val="both"/>
        <w:rPr>
          <w:rFonts w:ascii="Times New Roman" w:hAnsi="Times New Roman"/>
          <w:szCs w:val="22"/>
        </w:rPr>
      </w:pPr>
      <w:r w:rsidRPr="00650EE4">
        <w:rPr>
          <w:rFonts w:ascii="Times New Roman" w:hAnsi="Times New Roman"/>
          <w:szCs w:val="22"/>
        </w:rPr>
        <w:t xml:space="preserve">Akivaizdu, kad siekiant IRS transformacijos rodiklių </w:t>
      </w:r>
      <w:r w:rsidR="00B302BA" w:rsidRPr="00650EE4">
        <w:rPr>
          <w:rFonts w:ascii="Times New Roman" w:hAnsi="Times New Roman"/>
          <w:szCs w:val="22"/>
        </w:rPr>
        <w:t xml:space="preserve">turi reikšmingai didėti </w:t>
      </w:r>
      <w:r w:rsidR="008E687E" w:rsidRPr="00650EE4">
        <w:rPr>
          <w:rFonts w:ascii="Times New Roman" w:hAnsi="Times New Roman"/>
          <w:szCs w:val="22"/>
        </w:rPr>
        <w:t xml:space="preserve">tiek </w:t>
      </w:r>
      <w:r w:rsidR="00B302BA" w:rsidRPr="00650EE4">
        <w:rPr>
          <w:rFonts w:ascii="Times New Roman" w:hAnsi="Times New Roman"/>
          <w:szCs w:val="22"/>
        </w:rPr>
        <w:t>renovacijos tempai (</w:t>
      </w:r>
      <w:r w:rsidR="008E687E" w:rsidRPr="00650EE4">
        <w:rPr>
          <w:rFonts w:ascii="Times New Roman" w:hAnsi="Times New Roman"/>
          <w:szCs w:val="22"/>
        </w:rPr>
        <w:t>renovuojamų pastatų skaičius) tiek</w:t>
      </w:r>
      <w:r w:rsidR="00B302BA" w:rsidRPr="00650EE4">
        <w:rPr>
          <w:rFonts w:ascii="Times New Roman" w:hAnsi="Times New Roman"/>
          <w:szCs w:val="22"/>
        </w:rPr>
        <w:t xml:space="preserve"> renovacijos gylis (vykdomų renovacijos priemonių pasiekiami sutaupymai). </w:t>
      </w:r>
      <w:r w:rsidR="00195125" w:rsidRPr="00650EE4">
        <w:rPr>
          <w:rFonts w:ascii="Times New Roman" w:hAnsi="Times New Roman"/>
          <w:szCs w:val="22"/>
        </w:rPr>
        <w:t xml:space="preserve">Atitinkamai, </w:t>
      </w:r>
      <w:r w:rsidR="00E71F27" w:rsidRPr="00650EE4">
        <w:rPr>
          <w:rFonts w:ascii="Times New Roman" w:hAnsi="Times New Roman"/>
          <w:szCs w:val="22"/>
        </w:rPr>
        <w:t>reikšmingai padidės investicijų ir</w:t>
      </w:r>
      <w:r w:rsidR="00B302BA" w:rsidRPr="00650EE4">
        <w:rPr>
          <w:rFonts w:ascii="Times New Roman" w:hAnsi="Times New Roman"/>
          <w:szCs w:val="22"/>
        </w:rPr>
        <w:t xml:space="preserve"> finansavimo</w:t>
      </w:r>
      <w:r w:rsidR="00E71F27" w:rsidRPr="00650EE4">
        <w:rPr>
          <w:rFonts w:ascii="Times New Roman" w:hAnsi="Times New Roman"/>
          <w:szCs w:val="22"/>
        </w:rPr>
        <w:t xml:space="preserve"> poreikis</w:t>
      </w:r>
      <w:r w:rsidR="00B302BA" w:rsidRPr="00650EE4">
        <w:rPr>
          <w:rFonts w:ascii="Times New Roman" w:hAnsi="Times New Roman"/>
          <w:szCs w:val="22"/>
        </w:rPr>
        <w:t>.</w:t>
      </w:r>
    </w:p>
    <w:p w14:paraId="749D577F" w14:textId="728510E2" w:rsidR="007D200E" w:rsidRPr="00650EE4" w:rsidRDefault="007D200E" w:rsidP="00B302BA">
      <w:pPr>
        <w:rPr>
          <w:rFonts w:ascii="Times New Roman" w:hAnsi="Times New Roman"/>
          <w:szCs w:val="22"/>
        </w:rPr>
      </w:pPr>
    </w:p>
    <w:p w14:paraId="70E42D09" w14:textId="4B0E09DE" w:rsidR="002F756A" w:rsidRPr="00650EE4" w:rsidRDefault="002F756A" w:rsidP="00B8248E">
      <w:pPr>
        <w:spacing w:after="120"/>
        <w:jc w:val="both"/>
        <w:rPr>
          <w:rFonts w:ascii="Times New Roman" w:hAnsi="Times New Roman"/>
          <w:b/>
          <w:bCs/>
          <w:szCs w:val="24"/>
        </w:rPr>
      </w:pPr>
      <w:r w:rsidRPr="00650EE4">
        <w:rPr>
          <w:rFonts w:ascii="Times New Roman" w:hAnsi="Times New Roman"/>
          <w:b/>
          <w:bCs/>
          <w:szCs w:val="24"/>
        </w:rPr>
        <w:t>Renovacijos tempai</w:t>
      </w:r>
    </w:p>
    <w:p w14:paraId="78EE2DB8" w14:textId="551D7792" w:rsidR="00D13D6B" w:rsidRPr="00650EE4" w:rsidRDefault="0053170A" w:rsidP="002E56FE">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Norint pasiekti pastatų fondo transformacijai reik</w:t>
      </w:r>
      <w:r w:rsidR="00853868" w:rsidRPr="00650EE4">
        <w:rPr>
          <w:rFonts w:ascii="Times New Roman" w:hAnsi="Times New Roman"/>
          <w:color w:val="000000" w:themeColor="text1"/>
          <w:szCs w:val="22"/>
        </w:rPr>
        <w:t>aling</w:t>
      </w:r>
      <w:r w:rsidRPr="00650EE4">
        <w:rPr>
          <w:rFonts w:ascii="Times New Roman" w:hAnsi="Times New Roman"/>
          <w:color w:val="000000" w:themeColor="text1"/>
          <w:szCs w:val="22"/>
        </w:rPr>
        <w:t xml:space="preserve">us renovacijos tempus reikalingas „įsibėgėjimo“ periodas </w:t>
      </w:r>
      <w:r w:rsidR="00195125" w:rsidRPr="00650EE4">
        <w:rPr>
          <w:rFonts w:ascii="Times New Roman" w:hAnsi="Times New Roman"/>
          <w:color w:val="000000" w:themeColor="text1"/>
          <w:szCs w:val="22"/>
        </w:rPr>
        <w:t xml:space="preserve">per kurį būtų suformuoti paramos priemonių paketai, atlikti reikalingi teisės aktų pakeitimai, statybų bei finansų sektoriai galėtų </w:t>
      </w:r>
      <w:r w:rsidR="00DE75DF" w:rsidRPr="00650EE4">
        <w:rPr>
          <w:rFonts w:ascii="Times New Roman" w:hAnsi="Times New Roman"/>
          <w:color w:val="000000" w:themeColor="text1"/>
          <w:szCs w:val="22"/>
        </w:rPr>
        <w:t>adaptuoti savo resursus</w:t>
      </w:r>
      <w:r w:rsidR="003608AC" w:rsidRPr="00650EE4">
        <w:rPr>
          <w:rFonts w:ascii="Times New Roman" w:hAnsi="Times New Roman"/>
          <w:color w:val="000000" w:themeColor="text1"/>
          <w:szCs w:val="22"/>
        </w:rPr>
        <w:t xml:space="preserve">, </w:t>
      </w:r>
      <w:r w:rsidR="00DE75DF" w:rsidRPr="00650EE4">
        <w:rPr>
          <w:rFonts w:ascii="Times New Roman" w:hAnsi="Times New Roman"/>
          <w:color w:val="000000" w:themeColor="text1"/>
          <w:szCs w:val="22"/>
        </w:rPr>
        <w:t xml:space="preserve">procesus ir pan. </w:t>
      </w:r>
    </w:p>
    <w:p w14:paraId="6DD0A35C" w14:textId="7859DA2E" w:rsidR="00AF1264" w:rsidRPr="00650EE4" w:rsidRDefault="00AF1264" w:rsidP="002E56FE">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pateikiamas planuojamo per metus renovuoti pastatų skaičiaus didėjamas atspindi tiek „įsibėgėjimo“ periodą</w:t>
      </w:r>
      <w:r w:rsidR="00693D7B"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tiek prioritetą didesnio </w:t>
      </w:r>
      <w:r w:rsidR="00693D7B" w:rsidRPr="00650EE4">
        <w:rPr>
          <w:rFonts w:ascii="Times New Roman" w:hAnsi="Times New Roman"/>
          <w:color w:val="000000" w:themeColor="text1"/>
          <w:szCs w:val="22"/>
        </w:rPr>
        <w:t xml:space="preserve">ploto pastatams (daugiabučiams), </w:t>
      </w:r>
      <w:r w:rsidRPr="00650EE4">
        <w:rPr>
          <w:rFonts w:ascii="Times New Roman" w:hAnsi="Times New Roman"/>
          <w:color w:val="000000" w:themeColor="text1"/>
          <w:szCs w:val="22"/>
        </w:rPr>
        <w:t>IRS įgyvendinimo laikotarpio pradžioje.</w:t>
      </w:r>
    </w:p>
    <w:p w14:paraId="7403882F" w14:textId="1753C6E5" w:rsidR="003802B5" w:rsidRPr="00650EE4" w:rsidRDefault="006B5EA7"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5" w:name="_Toc67925235"/>
      <w:r w:rsidR="007744C1">
        <w:t>52</w:t>
      </w:r>
      <w:r w:rsidRPr="00650EE4">
        <w:rPr>
          <w:noProof w:val="0"/>
        </w:rPr>
        <w:fldChar w:fldCharType="end"/>
      </w:r>
      <w:r w:rsidRPr="00650EE4">
        <w:rPr>
          <w:noProof w:val="0"/>
        </w:rPr>
        <w:t xml:space="preserve"> lentelė. Renovacijos tempai</w:t>
      </w:r>
      <w:r w:rsidR="00CD6FFA" w:rsidRPr="00650EE4">
        <w:rPr>
          <w:noProof w:val="0"/>
        </w:rPr>
        <w:t xml:space="preserve"> – </w:t>
      </w:r>
      <w:r w:rsidRPr="00650EE4">
        <w:rPr>
          <w:noProof w:val="0"/>
        </w:rPr>
        <w:t xml:space="preserve"> renovuojamų pastatų skaičius per metus</w:t>
      </w:r>
      <w:bookmarkEnd w:id="165"/>
    </w:p>
    <w:tbl>
      <w:tblPr>
        <w:tblW w:w="5000" w:type="pct"/>
        <w:tblLook w:val="04A0" w:firstRow="1" w:lastRow="0" w:firstColumn="1" w:lastColumn="0" w:noHBand="0" w:noVBand="1"/>
      </w:tblPr>
      <w:tblGrid>
        <w:gridCol w:w="2296"/>
        <w:gridCol w:w="1625"/>
        <w:gridCol w:w="1626"/>
        <w:gridCol w:w="1626"/>
        <w:gridCol w:w="1626"/>
        <w:gridCol w:w="1621"/>
      </w:tblGrid>
      <w:tr w:rsidR="00E16548" w:rsidRPr="00650EE4" w14:paraId="09D6AF06" w14:textId="77777777" w:rsidTr="009D1C15">
        <w:trPr>
          <w:trHeight w:val="255"/>
        </w:trPr>
        <w:tc>
          <w:tcPr>
            <w:tcW w:w="11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FB5E6" w14:textId="77777777" w:rsidR="00E16548" w:rsidRPr="00650EE4" w:rsidRDefault="00E16548" w:rsidP="009D1C1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651FEC4" w14:textId="77777777" w:rsidR="00E16548" w:rsidRPr="00650EE4" w:rsidRDefault="00E16548" w:rsidP="009D1C1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2A76040"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A242FD2"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94B6A73"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7D3F8B79"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r>
      <w:tr w:rsidR="00E16548" w:rsidRPr="00A93038" w14:paraId="481B038B" w14:textId="77777777" w:rsidTr="009D1C15">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0C053BA5"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Daugiabučiai </w:t>
            </w:r>
          </w:p>
        </w:tc>
        <w:tc>
          <w:tcPr>
            <w:tcW w:w="780" w:type="pct"/>
            <w:tcBorders>
              <w:top w:val="nil"/>
              <w:left w:val="nil"/>
              <w:bottom w:val="single" w:sz="4" w:space="0" w:color="auto"/>
              <w:right w:val="single" w:sz="4" w:space="0" w:color="auto"/>
            </w:tcBorders>
            <w:shd w:val="clear" w:color="000000" w:fill="FFFFFF"/>
            <w:noWrap/>
            <w:vAlign w:val="center"/>
            <w:hideMark/>
          </w:tcPr>
          <w:p w14:paraId="3FCDE0D7"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58375EE9"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760</w:t>
            </w:r>
          </w:p>
        </w:tc>
        <w:tc>
          <w:tcPr>
            <w:tcW w:w="780" w:type="pct"/>
            <w:tcBorders>
              <w:top w:val="nil"/>
              <w:left w:val="nil"/>
              <w:bottom w:val="single" w:sz="4" w:space="0" w:color="auto"/>
              <w:right w:val="single" w:sz="4" w:space="0" w:color="auto"/>
            </w:tcBorders>
            <w:shd w:val="clear" w:color="000000" w:fill="FFFFFF"/>
            <w:vAlign w:val="center"/>
            <w:hideMark/>
          </w:tcPr>
          <w:p w14:paraId="5F41036F"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1.086</w:t>
            </w:r>
          </w:p>
        </w:tc>
        <w:tc>
          <w:tcPr>
            <w:tcW w:w="780" w:type="pct"/>
            <w:tcBorders>
              <w:top w:val="nil"/>
              <w:left w:val="nil"/>
              <w:bottom w:val="single" w:sz="4" w:space="0" w:color="auto"/>
              <w:right w:val="single" w:sz="4" w:space="0" w:color="auto"/>
            </w:tcBorders>
            <w:shd w:val="clear" w:color="000000" w:fill="FFFFFF"/>
            <w:vAlign w:val="center"/>
            <w:hideMark/>
          </w:tcPr>
          <w:p w14:paraId="5C2D9DA7"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1.083</w:t>
            </w:r>
          </w:p>
        </w:tc>
        <w:tc>
          <w:tcPr>
            <w:tcW w:w="779" w:type="pct"/>
            <w:tcBorders>
              <w:top w:val="nil"/>
              <w:left w:val="nil"/>
              <w:bottom w:val="single" w:sz="4" w:space="0" w:color="auto"/>
              <w:right w:val="single" w:sz="4" w:space="0" w:color="auto"/>
            </w:tcBorders>
            <w:shd w:val="clear" w:color="000000" w:fill="FFFFFF"/>
            <w:vAlign w:val="center"/>
            <w:hideMark/>
          </w:tcPr>
          <w:p w14:paraId="5D05F1D3"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934</w:t>
            </w:r>
          </w:p>
        </w:tc>
      </w:tr>
      <w:tr w:rsidR="00E16548" w:rsidRPr="00A93038" w14:paraId="568B3C80" w14:textId="77777777" w:rsidTr="009D1C15">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4F63C7CF"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Individualūs</w:t>
            </w:r>
          </w:p>
        </w:tc>
        <w:tc>
          <w:tcPr>
            <w:tcW w:w="780" w:type="pct"/>
            <w:tcBorders>
              <w:top w:val="nil"/>
              <w:left w:val="nil"/>
              <w:bottom w:val="single" w:sz="4" w:space="0" w:color="auto"/>
              <w:right w:val="single" w:sz="4" w:space="0" w:color="auto"/>
            </w:tcBorders>
            <w:shd w:val="clear" w:color="000000" w:fill="FFFFFF"/>
            <w:noWrap/>
            <w:vAlign w:val="center"/>
            <w:hideMark/>
          </w:tcPr>
          <w:p w14:paraId="41F521A5"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7418A1C9"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6.500</w:t>
            </w:r>
          </w:p>
        </w:tc>
        <w:tc>
          <w:tcPr>
            <w:tcW w:w="780" w:type="pct"/>
            <w:tcBorders>
              <w:top w:val="nil"/>
              <w:left w:val="nil"/>
              <w:bottom w:val="single" w:sz="4" w:space="0" w:color="auto"/>
              <w:right w:val="single" w:sz="4" w:space="0" w:color="auto"/>
            </w:tcBorders>
            <w:shd w:val="clear" w:color="000000" w:fill="FFFFFF"/>
            <w:vAlign w:val="center"/>
            <w:hideMark/>
          </w:tcPr>
          <w:p w14:paraId="70039CF8"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8.485</w:t>
            </w:r>
          </w:p>
        </w:tc>
        <w:tc>
          <w:tcPr>
            <w:tcW w:w="780" w:type="pct"/>
            <w:tcBorders>
              <w:top w:val="nil"/>
              <w:left w:val="nil"/>
              <w:bottom w:val="single" w:sz="4" w:space="0" w:color="auto"/>
              <w:right w:val="single" w:sz="4" w:space="0" w:color="auto"/>
            </w:tcBorders>
            <w:shd w:val="clear" w:color="000000" w:fill="FFFFFF"/>
            <w:vAlign w:val="center"/>
            <w:hideMark/>
          </w:tcPr>
          <w:p w14:paraId="55A9C729"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12.702</w:t>
            </w:r>
          </w:p>
        </w:tc>
        <w:tc>
          <w:tcPr>
            <w:tcW w:w="779" w:type="pct"/>
            <w:tcBorders>
              <w:top w:val="nil"/>
              <w:left w:val="nil"/>
              <w:bottom w:val="single" w:sz="4" w:space="0" w:color="auto"/>
              <w:right w:val="single" w:sz="4" w:space="0" w:color="auto"/>
            </w:tcBorders>
            <w:shd w:val="clear" w:color="000000" w:fill="FFFFFF"/>
            <w:vAlign w:val="center"/>
            <w:hideMark/>
          </w:tcPr>
          <w:p w14:paraId="6D4A4D7A"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14.935</w:t>
            </w:r>
          </w:p>
        </w:tc>
      </w:tr>
      <w:tr w:rsidR="00E16548" w:rsidRPr="00A93038" w14:paraId="007AA58E" w14:textId="77777777" w:rsidTr="009D1C15">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369CEC04"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Pramonės</w:t>
            </w:r>
          </w:p>
        </w:tc>
        <w:tc>
          <w:tcPr>
            <w:tcW w:w="780" w:type="pct"/>
            <w:tcBorders>
              <w:top w:val="nil"/>
              <w:left w:val="nil"/>
              <w:bottom w:val="single" w:sz="4" w:space="0" w:color="auto"/>
              <w:right w:val="single" w:sz="4" w:space="0" w:color="auto"/>
            </w:tcBorders>
            <w:shd w:val="clear" w:color="000000" w:fill="FFFFFF"/>
            <w:noWrap/>
            <w:vAlign w:val="center"/>
            <w:hideMark/>
          </w:tcPr>
          <w:p w14:paraId="3D173669"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3E8F35A2"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308</w:t>
            </w:r>
          </w:p>
        </w:tc>
        <w:tc>
          <w:tcPr>
            <w:tcW w:w="780" w:type="pct"/>
            <w:tcBorders>
              <w:top w:val="nil"/>
              <w:left w:val="nil"/>
              <w:bottom w:val="single" w:sz="4" w:space="0" w:color="auto"/>
              <w:right w:val="single" w:sz="4" w:space="0" w:color="auto"/>
            </w:tcBorders>
            <w:shd w:val="clear" w:color="000000" w:fill="FFFFFF"/>
            <w:vAlign w:val="center"/>
            <w:hideMark/>
          </w:tcPr>
          <w:p w14:paraId="17095960"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428</w:t>
            </w:r>
          </w:p>
        </w:tc>
        <w:tc>
          <w:tcPr>
            <w:tcW w:w="780" w:type="pct"/>
            <w:tcBorders>
              <w:top w:val="nil"/>
              <w:left w:val="nil"/>
              <w:bottom w:val="single" w:sz="4" w:space="0" w:color="auto"/>
              <w:right w:val="single" w:sz="4" w:space="0" w:color="auto"/>
            </w:tcBorders>
            <w:shd w:val="clear" w:color="000000" w:fill="FFFFFF"/>
            <w:vAlign w:val="center"/>
            <w:hideMark/>
          </w:tcPr>
          <w:p w14:paraId="5CB68354"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682</w:t>
            </w:r>
          </w:p>
        </w:tc>
        <w:tc>
          <w:tcPr>
            <w:tcW w:w="779" w:type="pct"/>
            <w:tcBorders>
              <w:top w:val="nil"/>
              <w:left w:val="nil"/>
              <w:bottom w:val="single" w:sz="4" w:space="0" w:color="auto"/>
              <w:right w:val="single" w:sz="4" w:space="0" w:color="auto"/>
            </w:tcBorders>
            <w:shd w:val="clear" w:color="000000" w:fill="FFFFFF"/>
            <w:vAlign w:val="center"/>
            <w:hideMark/>
          </w:tcPr>
          <w:p w14:paraId="60D903FB"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816</w:t>
            </w:r>
          </w:p>
        </w:tc>
      </w:tr>
      <w:tr w:rsidR="00E16548" w:rsidRPr="00A93038" w14:paraId="362C7F36" w14:textId="77777777" w:rsidTr="009D1C15">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7C2DE53D"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Kiti negyvenamieji</w:t>
            </w:r>
          </w:p>
        </w:tc>
        <w:tc>
          <w:tcPr>
            <w:tcW w:w="780" w:type="pct"/>
            <w:tcBorders>
              <w:top w:val="nil"/>
              <w:left w:val="nil"/>
              <w:bottom w:val="single" w:sz="4" w:space="0" w:color="auto"/>
              <w:right w:val="single" w:sz="4" w:space="0" w:color="auto"/>
            </w:tcBorders>
            <w:shd w:val="clear" w:color="000000" w:fill="FFFFFF"/>
            <w:noWrap/>
            <w:vAlign w:val="center"/>
            <w:hideMark/>
          </w:tcPr>
          <w:p w14:paraId="07C05F42"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7A131CD9"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518</w:t>
            </w:r>
          </w:p>
        </w:tc>
        <w:tc>
          <w:tcPr>
            <w:tcW w:w="780" w:type="pct"/>
            <w:tcBorders>
              <w:top w:val="nil"/>
              <w:left w:val="nil"/>
              <w:bottom w:val="single" w:sz="4" w:space="0" w:color="auto"/>
              <w:right w:val="single" w:sz="4" w:space="0" w:color="auto"/>
            </w:tcBorders>
            <w:shd w:val="clear" w:color="000000" w:fill="FFFFFF"/>
            <w:vAlign w:val="center"/>
            <w:hideMark/>
          </w:tcPr>
          <w:p w14:paraId="4A46A1AC"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719</w:t>
            </w:r>
          </w:p>
        </w:tc>
        <w:tc>
          <w:tcPr>
            <w:tcW w:w="780" w:type="pct"/>
            <w:tcBorders>
              <w:top w:val="nil"/>
              <w:left w:val="nil"/>
              <w:bottom w:val="single" w:sz="4" w:space="0" w:color="auto"/>
              <w:right w:val="single" w:sz="4" w:space="0" w:color="auto"/>
            </w:tcBorders>
            <w:shd w:val="clear" w:color="000000" w:fill="FFFFFF"/>
            <w:vAlign w:val="center"/>
            <w:hideMark/>
          </w:tcPr>
          <w:p w14:paraId="12B53275"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1.147</w:t>
            </w:r>
          </w:p>
        </w:tc>
        <w:tc>
          <w:tcPr>
            <w:tcW w:w="779" w:type="pct"/>
            <w:tcBorders>
              <w:top w:val="nil"/>
              <w:left w:val="nil"/>
              <w:bottom w:val="single" w:sz="4" w:space="0" w:color="auto"/>
              <w:right w:val="single" w:sz="4" w:space="0" w:color="auto"/>
            </w:tcBorders>
            <w:shd w:val="clear" w:color="000000" w:fill="FFFFFF"/>
            <w:vAlign w:val="center"/>
            <w:hideMark/>
          </w:tcPr>
          <w:p w14:paraId="4C5D665B"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1.373</w:t>
            </w:r>
          </w:p>
        </w:tc>
      </w:tr>
      <w:tr w:rsidR="00E16548" w:rsidRPr="00A93038" w14:paraId="042D962A" w14:textId="77777777" w:rsidTr="009D1C15">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6418FF66" w14:textId="77777777" w:rsidR="00E16548" w:rsidRPr="00A93038" w:rsidRDefault="00E16548" w:rsidP="009D1C15">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Iš viso</w:t>
            </w:r>
          </w:p>
        </w:tc>
        <w:tc>
          <w:tcPr>
            <w:tcW w:w="780" w:type="pct"/>
            <w:tcBorders>
              <w:top w:val="nil"/>
              <w:left w:val="nil"/>
              <w:bottom w:val="single" w:sz="4" w:space="0" w:color="auto"/>
              <w:right w:val="single" w:sz="4" w:space="0" w:color="auto"/>
            </w:tcBorders>
            <w:shd w:val="clear" w:color="000000" w:fill="FFFFFF"/>
            <w:noWrap/>
            <w:vAlign w:val="center"/>
            <w:hideMark/>
          </w:tcPr>
          <w:p w14:paraId="2E0AE285" w14:textId="77777777" w:rsidR="00E16548" w:rsidRPr="00A93038" w:rsidRDefault="00E16548" w:rsidP="009D1C15">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72A0C275"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8.086</w:t>
            </w:r>
          </w:p>
        </w:tc>
        <w:tc>
          <w:tcPr>
            <w:tcW w:w="780" w:type="pct"/>
            <w:tcBorders>
              <w:top w:val="nil"/>
              <w:left w:val="nil"/>
              <w:bottom w:val="single" w:sz="4" w:space="0" w:color="auto"/>
              <w:right w:val="single" w:sz="4" w:space="0" w:color="auto"/>
            </w:tcBorders>
            <w:shd w:val="clear" w:color="000000" w:fill="FFFFFF"/>
            <w:vAlign w:val="center"/>
            <w:hideMark/>
          </w:tcPr>
          <w:p w14:paraId="1C5100E9"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10.717</w:t>
            </w:r>
          </w:p>
        </w:tc>
        <w:tc>
          <w:tcPr>
            <w:tcW w:w="780" w:type="pct"/>
            <w:tcBorders>
              <w:top w:val="nil"/>
              <w:left w:val="nil"/>
              <w:bottom w:val="single" w:sz="4" w:space="0" w:color="auto"/>
              <w:right w:val="single" w:sz="4" w:space="0" w:color="auto"/>
            </w:tcBorders>
            <w:shd w:val="clear" w:color="000000" w:fill="FFFFFF"/>
            <w:vAlign w:val="center"/>
            <w:hideMark/>
          </w:tcPr>
          <w:p w14:paraId="6A9CAE9A"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15.614</w:t>
            </w:r>
          </w:p>
        </w:tc>
        <w:tc>
          <w:tcPr>
            <w:tcW w:w="779" w:type="pct"/>
            <w:tcBorders>
              <w:top w:val="nil"/>
              <w:left w:val="nil"/>
              <w:bottom w:val="single" w:sz="4" w:space="0" w:color="auto"/>
              <w:right w:val="single" w:sz="4" w:space="0" w:color="auto"/>
            </w:tcBorders>
            <w:shd w:val="clear" w:color="000000" w:fill="FFFFFF"/>
            <w:vAlign w:val="center"/>
            <w:hideMark/>
          </w:tcPr>
          <w:p w14:paraId="17E3407C"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18.059</w:t>
            </w:r>
          </w:p>
        </w:tc>
      </w:tr>
    </w:tbl>
    <w:p w14:paraId="40020A51" w14:textId="44F50AEE" w:rsidR="005D16AB" w:rsidRPr="00650EE4" w:rsidRDefault="005D16AB" w:rsidP="00631BA6">
      <w:pPr>
        <w:pStyle w:val="TESlentelspavadinimas"/>
        <w:rPr>
          <w:noProof w:val="0"/>
        </w:rPr>
      </w:pPr>
      <w:r w:rsidRPr="00650EE4">
        <w:rPr>
          <w:noProof w:val="0"/>
        </w:rPr>
        <w:t>Šaltinis: Studijos</w:t>
      </w:r>
      <w:r w:rsidR="00DD791C" w:rsidRPr="00DD791C">
        <w:rPr>
          <w:iCs/>
          <w:color w:val="auto"/>
        </w:rPr>
        <w:t xml:space="preserve"> </w:t>
      </w:r>
      <w:r w:rsidR="00DD791C" w:rsidRPr="00874EAF">
        <w:rPr>
          <w:iCs/>
          <w:color w:val="auto"/>
        </w:rPr>
        <w:t>Lietuvos ilgalaikei renovacijos strategijai parengti</w:t>
      </w:r>
      <w:r w:rsidRPr="00650EE4">
        <w:rPr>
          <w:noProof w:val="0"/>
        </w:rPr>
        <w:t xml:space="preserve"> autoriai</w:t>
      </w:r>
    </w:p>
    <w:p w14:paraId="6A9A8FD1" w14:textId="55943EB6" w:rsidR="003802B5" w:rsidRPr="00650EE4" w:rsidRDefault="003802B5">
      <w:pPr>
        <w:spacing w:after="240"/>
        <w:rPr>
          <w:rFonts w:ascii="Times New Roman" w:eastAsiaTheme="minorHAnsi" w:hAnsi="Times New Roman"/>
          <w:bCs/>
          <w:i/>
          <w:color w:val="000000" w:themeColor="text1"/>
          <w:sz w:val="20"/>
          <w:szCs w:val="20"/>
        </w:rPr>
      </w:pPr>
      <w:r w:rsidRPr="00650EE4">
        <w:br w:type="page"/>
      </w:r>
    </w:p>
    <w:p w14:paraId="791B68A0" w14:textId="723C8B49" w:rsidR="003802B5" w:rsidRPr="00650EE4" w:rsidRDefault="003802B5" w:rsidP="003802B5">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66" w:name="_Toc67925236"/>
      <w:r w:rsidR="007744C1">
        <w:t>53</w:t>
      </w:r>
      <w:r w:rsidRPr="00650EE4">
        <w:rPr>
          <w:noProof w:val="0"/>
        </w:rPr>
        <w:fldChar w:fldCharType="end"/>
      </w:r>
      <w:r w:rsidRPr="00650EE4">
        <w:rPr>
          <w:noProof w:val="0"/>
        </w:rPr>
        <w:t xml:space="preserve"> lentelė. Renovacijos tempai –  renovuojamų pastatų plotas per metus</w:t>
      </w:r>
      <w:bookmarkEnd w:id="166"/>
    </w:p>
    <w:tbl>
      <w:tblPr>
        <w:tblW w:w="5000" w:type="pct"/>
        <w:tblLook w:val="04A0" w:firstRow="1" w:lastRow="0" w:firstColumn="1" w:lastColumn="0" w:noHBand="0" w:noVBand="1"/>
      </w:tblPr>
      <w:tblGrid>
        <w:gridCol w:w="2300"/>
        <w:gridCol w:w="1625"/>
        <w:gridCol w:w="1626"/>
        <w:gridCol w:w="1626"/>
        <w:gridCol w:w="1626"/>
        <w:gridCol w:w="1617"/>
      </w:tblGrid>
      <w:tr w:rsidR="00E16548" w:rsidRPr="00650EE4" w14:paraId="3884C926" w14:textId="77777777" w:rsidTr="009D1C15">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61D28" w14:textId="77777777" w:rsidR="00E16548" w:rsidRPr="00650EE4" w:rsidRDefault="00E16548" w:rsidP="009D1C1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FC94C9D" w14:textId="77777777" w:rsidR="00E16548" w:rsidRPr="00650EE4" w:rsidRDefault="00E16548" w:rsidP="009D1C1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88D0F02"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6858FD2"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CEB7228"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6F8766EF" w14:textId="77777777" w:rsidR="00E16548" w:rsidRPr="00650EE4" w:rsidRDefault="00E16548"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r>
      <w:tr w:rsidR="00E16548" w:rsidRPr="00A93038" w14:paraId="7D5D2496" w14:textId="77777777" w:rsidTr="009D1C15">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25870D"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Daugiabučiai </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FBAEC2C" w14:textId="07F724A8" w:rsidR="00E16548" w:rsidRPr="00A93038" w:rsidRDefault="00E16548" w:rsidP="009D1C15">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102FD6C"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950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AC0DCDF"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1.265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3E6192D"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1.243</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7D6095BB"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1.028</w:t>
            </w:r>
          </w:p>
        </w:tc>
      </w:tr>
      <w:tr w:rsidR="00E16548" w:rsidRPr="00A93038" w14:paraId="602F1352" w14:textId="77777777" w:rsidTr="009D1C15">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517FDB"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Individualūs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6A2EE04" w14:textId="1BACD954" w:rsidR="00E16548" w:rsidRPr="00A93038" w:rsidRDefault="00E16548" w:rsidP="009D1C15">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391FA39"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672</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23956B1"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878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CBF930D"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1.314</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4C792FE4"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1.545</w:t>
            </w:r>
          </w:p>
        </w:tc>
      </w:tr>
      <w:tr w:rsidR="00E16548" w:rsidRPr="00A93038" w14:paraId="7D0DB5E4" w14:textId="77777777" w:rsidTr="009D1C15">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5144C"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Pramonės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2E8637B" w14:textId="76C6F288" w:rsidR="00E16548" w:rsidRPr="00A93038" w:rsidRDefault="00E16548" w:rsidP="009D1C15">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83D1E2E"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212</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BBBA2E6"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295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86549BE"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470</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00CABEFE"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563</w:t>
            </w:r>
          </w:p>
        </w:tc>
      </w:tr>
      <w:tr w:rsidR="00E16548" w:rsidRPr="00A93038" w14:paraId="7D7E601B" w14:textId="77777777" w:rsidTr="009D1C15">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7DEB3" w14:textId="77777777" w:rsidR="00E16548" w:rsidRPr="00A93038" w:rsidRDefault="00E16548"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Kiti negyvenamieji</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2F72310" w14:textId="195DAA4E" w:rsidR="00E16548" w:rsidRPr="00A93038" w:rsidRDefault="00E16548" w:rsidP="009D1C15">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E08F2D4"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413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8589CEF"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573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A8968A6"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914</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74806A63" w14:textId="77777777" w:rsidR="00E16548" w:rsidRPr="00A93038" w:rsidRDefault="00E16548" w:rsidP="009D1C15">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1.094</w:t>
            </w:r>
          </w:p>
        </w:tc>
      </w:tr>
      <w:tr w:rsidR="00E16548" w:rsidRPr="00A93038" w14:paraId="6B2EDC4E" w14:textId="77777777" w:rsidTr="009D1C15">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39EDA8" w14:textId="77777777" w:rsidR="00E16548" w:rsidRPr="00A93038" w:rsidRDefault="00E16548" w:rsidP="009D1C15">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Iš viso</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D5F3DFD" w14:textId="7CEB1E82" w:rsidR="00E16548" w:rsidRPr="00A93038" w:rsidRDefault="00E16548" w:rsidP="009D1C15">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9DA0BC4"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2.248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D025DF5"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3.011</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EDB4E4E"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3.941</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5E57D90E" w14:textId="77777777" w:rsidR="00E16548" w:rsidRPr="00A93038" w:rsidRDefault="00E16548" w:rsidP="009D1C15">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4.230</w:t>
            </w:r>
          </w:p>
        </w:tc>
      </w:tr>
    </w:tbl>
    <w:p w14:paraId="20C4A7F0" w14:textId="32C0C204" w:rsidR="004C28AF" w:rsidRPr="00650EE4" w:rsidRDefault="003802B5" w:rsidP="003802B5">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477CB0CC" w14:textId="77777777" w:rsidR="003802B5" w:rsidRPr="00650EE4" w:rsidRDefault="003802B5" w:rsidP="003802B5">
      <w:pPr>
        <w:pStyle w:val="TESlentelspavadinimas"/>
        <w:rPr>
          <w:noProof w:val="0"/>
        </w:rPr>
      </w:pPr>
    </w:p>
    <w:p w14:paraId="79DCC3B6" w14:textId="38700087" w:rsidR="002F756A" w:rsidRPr="00650EE4" w:rsidRDefault="002F756A" w:rsidP="00B8248E">
      <w:pPr>
        <w:spacing w:after="120"/>
        <w:jc w:val="both"/>
        <w:rPr>
          <w:rFonts w:ascii="Times New Roman" w:hAnsi="Times New Roman"/>
          <w:b/>
          <w:bCs/>
          <w:szCs w:val="24"/>
        </w:rPr>
      </w:pPr>
      <w:r w:rsidRPr="00650EE4">
        <w:rPr>
          <w:rFonts w:ascii="Times New Roman" w:hAnsi="Times New Roman"/>
          <w:b/>
          <w:bCs/>
          <w:szCs w:val="24"/>
        </w:rPr>
        <w:t>Renovacijos investicijos</w:t>
      </w:r>
    </w:p>
    <w:p w14:paraId="45B2E872" w14:textId="6C92FFAE" w:rsidR="00383FA1" w:rsidRPr="00650EE4" w:rsidRDefault="00783FA0" w:rsidP="00010773">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pateikiama renovacijai  įgyvendinti reikalingų metinių investicijų </w:t>
      </w:r>
      <w:r w:rsidR="00F667CA" w:rsidRPr="00650EE4">
        <w:rPr>
          <w:rFonts w:ascii="Times New Roman" w:hAnsi="Times New Roman"/>
          <w:color w:val="000000" w:themeColor="text1"/>
          <w:szCs w:val="22"/>
        </w:rPr>
        <w:t>suvestinė</w:t>
      </w:r>
      <w:r w:rsidRPr="00650EE4">
        <w:rPr>
          <w:rFonts w:ascii="Times New Roman" w:hAnsi="Times New Roman"/>
          <w:color w:val="000000" w:themeColor="text1"/>
          <w:szCs w:val="22"/>
        </w:rPr>
        <w:t>.</w:t>
      </w:r>
    </w:p>
    <w:p w14:paraId="75DD0F9C" w14:textId="176C975C" w:rsidR="005D16AB" w:rsidRPr="00650EE4" w:rsidRDefault="00BC34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7" w:name="_Toc67925237"/>
      <w:r w:rsidR="007744C1">
        <w:t>54</w:t>
      </w:r>
      <w:r w:rsidRPr="00650EE4">
        <w:rPr>
          <w:noProof w:val="0"/>
        </w:rPr>
        <w:fldChar w:fldCharType="end"/>
      </w:r>
      <w:r w:rsidR="005D16AB" w:rsidRPr="00650EE4">
        <w:rPr>
          <w:noProof w:val="0"/>
        </w:rPr>
        <w:t xml:space="preserve"> lentelė. Renovacij</w:t>
      </w:r>
      <w:r w:rsidR="00B6760D" w:rsidRPr="00650EE4">
        <w:rPr>
          <w:noProof w:val="0"/>
        </w:rPr>
        <w:t>ai įgyvendinti reikalingos investicijos</w:t>
      </w:r>
      <w:r w:rsidR="00537836" w:rsidRPr="00650EE4">
        <w:rPr>
          <w:noProof w:val="0"/>
        </w:rPr>
        <w:t xml:space="preserve"> per metus</w:t>
      </w:r>
      <w:r w:rsidR="002D2026" w:rsidRPr="00650EE4">
        <w:rPr>
          <w:rStyle w:val="FootnoteReference"/>
          <w:noProof w:val="0"/>
        </w:rPr>
        <w:footnoteReference w:id="41"/>
      </w:r>
      <w:bookmarkEnd w:id="167"/>
    </w:p>
    <w:tbl>
      <w:tblPr>
        <w:tblW w:w="5000" w:type="pct"/>
        <w:tblLook w:val="04A0" w:firstRow="1" w:lastRow="0" w:firstColumn="1" w:lastColumn="0" w:noHBand="0" w:noVBand="1"/>
      </w:tblPr>
      <w:tblGrid>
        <w:gridCol w:w="2302"/>
        <w:gridCol w:w="1625"/>
        <w:gridCol w:w="1626"/>
        <w:gridCol w:w="1626"/>
        <w:gridCol w:w="1626"/>
        <w:gridCol w:w="1615"/>
      </w:tblGrid>
      <w:tr w:rsidR="00296C0B" w:rsidRPr="00AC6715" w14:paraId="2DE461D2" w14:textId="77777777" w:rsidTr="009D1C15">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BC2D9" w14:textId="77777777" w:rsidR="00296C0B" w:rsidRPr="00AC6715" w:rsidRDefault="00296C0B" w:rsidP="009D1C15">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81EDF6A" w14:textId="77777777" w:rsidR="00296C0B" w:rsidRPr="00AC6715" w:rsidRDefault="00296C0B" w:rsidP="009D1C15">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36DC484"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518E216"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6A60936"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2031-2040</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4ABC1E54"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2041-2050</w:t>
            </w:r>
          </w:p>
        </w:tc>
      </w:tr>
      <w:tr w:rsidR="00296C0B" w:rsidRPr="00A93038" w14:paraId="313290FA" w14:textId="77777777" w:rsidTr="009D1C15">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897EF2"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Daugiabučiai </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ED7D299"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8B6F268"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286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D7E2372"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419</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B22B7F0"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487</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1DF73ED7"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492</w:t>
            </w:r>
          </w:p>
        </w:tc>
      </w:tr>
      <w:tr w:rsidR="00296C0B" w:rsidRPr="00A93038" w14:paraId="76488068" w14:textId="77777777" w:rsidTr="009D1C15">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09C9C"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Individualūs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8B50C0C"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49C2078"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328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4967BF3"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475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C1E09BE"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844</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2768B084"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1.202</w:t>
            </w:r>
          </w:p>
        </w:tc>
      </w:tr>
      <w:tr w:rsidR="00296C0B" w:rsidRPr="00A93038" w14:paraId="552D11E6" w14:textId="77777777" w:rsidTr="009D1C15">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3086C"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Pramonės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616EDA1"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8A6FD87"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88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958D4D3"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136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FE95FA5"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258</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2707113D"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374</w:t>
            </w:r>
          </w:p>
        </w:tc>
      </w:tr>
      <w:tr w:rsidR="00296C0B" w:rsidRPr="00A93038" w14:paraId="0D666B2B" w14:textId="77777777" w:rsidTr="009D1C15">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47BFF"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Kiti negyvenamieji</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5E5BE80" w14:textId="77777777" w:rsidR="00296C0B" w:rsidRPr="00A93038" w:rsidRDefault="00296C0B" w:rsidP="009D1C15">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9CA1EAC"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166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A079516"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255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FEF3658"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483</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7704C780" w14:textId="77777777" w:rsidR="00296C0B" w:rsidRPr="00A93038" w:rsidRDefault="00296C0B" w:rsidP="009D1C15">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700</w:t>
            </w:r>
          </w:p>
        </w:tc>
      </w:tr>
      <w:tr w:rsidR="00296C0B" w:rsidRPr="00A93038" w14:paraId="5A1A6A3E" w14:textId="77777777" w:rsidTr="009D1C15">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A193A" w14:textId="77777777" w:rsidR="00296C0B" w:rsidRPr="00A93038" w:rsidRDefault="00296C0B" w:rsidP="009D1C15">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Iš viso</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316A049" w14:textId="77777777" w:rsidR="00296C0B" w:rsidRPr="00A93038" w:rsidRDefault="00296C0B" w:rsidP="009D1C15">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 xml:space="preserve">mln. </w:t>
            </w:r>
            <w:proofErr w:type="spellStart"/>
            <w:r w:rsidRPr="00A93038">
              <w:rPr>
                <w:rFonts w:ascii="Times New Roman" w:eastAsia="Times New Roman" w:hAnsi="Times New Roman"/>
                <w:b/>
                <w:bCs/>
                <w:sz w:val="20"/>
                <w:szCs w:val="20"/>
              </w:rPr>
              <w:t>Eur</w:t>
            </w:r>
            <w:proofErr w:type="spellEnd"/>
            <w:r w:rsidRPr="00A93038">
              <w:rPr>
                <w:rFonts w:ascii="Times New Roman" w:eastAsia="Times New Roman" w:hAnsi="Times New Roman"/>
                <w:b/>
                <w:bCs/>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60FDEAB" w14:textId="77777777" w:rsidR="00296C0B" w:rsidRPr="00A93038" w:rsidRDefault="00296C0B" w:rsidP="009D1C15">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867</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9DE3145" w14:textId="77777777" w:rsidR="00296C0B" w:rsidRPr="00A93038" w:rsidRDefault="00296C0B" w:rsidP="009D1C15">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1.286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C14F42B" w14:textId="77777777" w:rsidR="00296C0B" w:rsidRPr="00A93038" w:rsidRDefault="00296C0B" w:rsidP="009D1C15">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2.071</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6AE7CFC3" w14:textId="77777777" w:rsidR="00296C0B" w:rsidRPr="00A93038" w:rsidRDefault="00296C0B" w:rsidP="009D1C15">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2.767</w:t>
            </w:r>
          </w:p>
        </w:tc>
      </w:tr>
    </w:tbl>
    <w:p w14:paraId="65CC8D9E" w14:textId="529C9F11" w:rsidR="005D16AB" w:rsidRPr="00650EE4" w:rsidRDefault="005D16AB"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0074F2D0" w14:textId="29B3426A" w:rsidR="00AC6D4E" w:rsidRPr="00650EE4" w:rsidRDefault="00AC6D4E" w:rsidP="00631BA6">
      <w:pPr>
        <w:pStyle w:val="TESlentelspavadinimas"/>
        <w:rPr>
          <w:noProof w:val="0"/>
        </w:rPr>
      </w:pPr>
    </w:p>
    <w:p w14:paraId="55E4E1F8" w14:textId="27EE813D" w:rsidR="002B0414" w:rsidRPr="00650EE4" w:rsidRDefault="002B0414" w:rsidP="00233C32">
      <w:pPr>
        <w:spacing w:before="120" w:after="120"/>
        <w:jc w:val="both"/>
        <w:rPr>
          <w:rFonts w:ascii="Times New Roman" w:hAnsi="Times New Roman"/>
          <w:b/>
          <w:bCs/>
          <w:szCs w:val="24"/>
        </w:rPr>
      </w:pPr>
      <w:r w:rsidRPr="00650EE4">
        <w:rPr>
          <w:rFonts w:ascii="Times New Roman" w:hAnsi="Times New Roman"/>
          <w:b/>
          <w:bCs/>
          <w:szCs w:val="24"/>
        </w:rPr>
        <w:t xml:space="preserve">Renovacijos </w:t>
      </w:r>
      <w:r w:rsidR="00697510" w:rsidRPr="00650EE4">
        <w:rPr>
          <w:rFonts w:ascii="Times New Roman" w:hAnsi="Times New Roman"/>
          <w:b/>
          <w:bCs/>
          <w:szCs w:val="24"/>
        </w:rPr>
        <w:t>subsidijavimas</w:t>
      </w:r>
    </w:p>
    <w:p w14:paraId="4C1AB834" w14:textId="426AB6D9" w:rsidR="00233C32" w:rsidRPr="00650EE4" w:rsidRDefault="006E5504" w:rsidP="00233C32">
      <w:pPr>
        <w:jc w:val="both"/>
        <w:rPr>
          <w:rFonts w:ascii="Times New Roman" w:hAnsi="Times New Roman"/>
          <w:color w:val="000000" w:themeColor="text1"/>
          <w:szCs w:val="22"/>
        </w:rPr>
      </w:pPr>
      <w:r w:rsidRPr="00650EE4">
        <w:rPr>
          <w:rFonts w:ascii="Times New Roman" w:hAnsi="Times New Roman"/>
          <w:color w:val="000000" w:themeColor="text1"/>
          <w:szCs w:val="22"/>
        </w:rPr>
        <w:t>Dėl žemų energijos kainų ir</w:t>
      </w:r>
      <w:r w:rsidR="006E4707" w:rsidRPr="00650EE4">
        <w:rPr>
          <w:rFonts w:ascii="Times New Roman" w:hAnsi="Times New Roman"/>
          <w:color w:val="000000" w:themeColor="text1"/>
          <w:szCs w:val="22"/>
        </w:rPr>
        <w:t xml:space="preserve">, atitinkamai, </w:t>
      </w:r>
      <w:r w:rsidRPr="00650EE4">
        <w:rPr>
          <w:rFonts w:ascii="Times New Roman" w:hAnsi="Times New Roman"/>
          <w:color w:val="000000" w:themeColor="text1"/>
          <w:szCs w:val="22"/>
        </w:rPr>
        <w:t xml:space="preserve">ilgo </w:t>
      </w:r>
      <w:r w:rsidR="003445F7" w:rsidRPr="00650EE4">
        <w:rPr>
          <w:rFonts w:ascii="Times New Roman" w:hAnsi="Times New Roman"/>
          <w:color w:val="000000" w:themeColor="text1"/>
          <w:szCs w:val="22"/>
        </w:rPr>
        <w:t>atsipirkimo</w:t>
      </w:r>
      <w:r w:rsidRPr="00650EE4">
        <w:rPr>
          <w:rFonts w:ascii="Times New Roman" w:hAnsi="Times New Roman"/>
          <w:color w:val="000000" w:themeColor="text1"/>
          <w:szCs w:val="22"/>
        </w:rPr>
        <w:t xml:space="preserve"> laikotarpio, </w:t>
      </w:r>
      <w:r w:rsidR="006E4707" w:rsidRPr="00650EE4">
        <w:rPr>
          <w:rFonts w:ascii="Times New Roman" w:hAnsi="Times New Roman"/>
          <w:color w:val="000000" w:themeColor="text1"/>
          <w:szCs w:val="22"/>
        </w:rPr>
        <w:t xml:space="preserve">numatoma, kad </w:t>
      </w:r>
      <w:r w:rsidRPr="00650EE4">
        <w:rPr>
          <w:rFonts w:ascii="Times New Roman" w:hAnsi="Times New Roman"/>
          <w:color w:val="000000" w:themeColor="text1"/>
          <w:szCs w:val="22"/>
        </w:rPr>
        <w:t>r</w:t>
      </w:r>
      <w:r w:rsidR="009D0EDD" w:rsidRPr="00650EE4">
        <w:rPr>
          <w:rFonts w:ascii="Times New Roman" w:hAnsi="Times New Roman"/>
          <w:color w:val="000000" w:themeColor="text1"/>
          <w:szCs w:val="22"/>
        </w:rPr>
        <w:t>enovac</w:t>
      </w:r>
      <w:r w:rsidR="006E4707" w:rsidRPr="00650EE4">
        <w:rPr>
          <w:rFonts w:ascii="Times New Roman" w:hAnsi="Times New Roman"/>
          <w:color w:val="000000" w:themeColor="text1"/>
          <w:szCs w:val="22"/>
        </w:rPr>
        <w:t>ijai įgyvendinti bus reikalinga paskata valstybės lėšomis (subsidijomis)</w:t>
      </w:r>
      <w:r w:rsidR="009D0EDD" w:rsidRPr="00650EE4">
        <w:rPr>
          <w:rFonts w:ascii="Times New Roman" w:hAnsi="Times New Roman"/>
          <w:color w:val="000000" w:themeColor="text1"/>
          <w:szCs w:val="22"/>
        </w:rPr>
        <w:t xml:space="preserve">. </w:t>
      </w:r>
      <w:r w:rsidR="00233C32" w:rsidRPr="00650EE4">
        <w:rPr>
          <w:rFonts w:ascii="Times New Roman" w:hAnsi="Times New Roman"/>
          <w:color w:val="000000" w:themeColor="text1"/>
          <w:szCs w:val="22"/>
        </w:rPr>
        <w:t xml:space="preserve">Numatomas, renovacijai  įgyvendinti reikalingų subsidijų poreikis </w:t>
      </w:r>
      <w:r w:rsidR="00262C85" w:rsidRPr="00650EE4">
        <w:rPr>
          <w:rFonts w:ascii="Times New Roman" w:hAnsi="Times New Roman"/>
          <w:color w:val="000000" w:themeColor="text1"/>
          <w:szCs w:val="22"/>
        </w:rPr>
        <w:t xml:space="preserve">(per metus) </w:t>
      </w:r>
      <w:r w:rsidR="00233C32" w:rsidRPr="00650EE4">
        <w:rPr>
          <w:rFonts w:ascii="Times New Roman" w:hAnsi="Times New Roman"/>
          <w:color w:val="000000" w:themeColor="text1"/>
          <w:szCs w:val="22"/>
        </w:rPr>
        <w:t>pateikiamas lentelėje žemiau. Subsidijų poreikis</w:t>
      </w:r>
      <w:r w:rsidR="00262C85" w:rsidRPr="00650EE4">
        <w:rPr>
          <w:rFonts w:ascii="Times New Roman" w:hAnsi="Times New Roman"/>
          <w:color w:val="000000" w:themeColor="text1"/>
          <w:szCs w:val="22"/>
        </w:rPr>
        <w:t xml:space="preserve"> </w:t>
      </w:r>
      <w:r w:rsidR="00233C32" w:rsidRPr="00650EE4">
        <w:rPr>
          <w:rFonts w:ascii="Times New Roman" w:hAnsi="Times New Roman"/>
          <w:color w:val="000000" w:themeColor="text1"/>
          <w:szCs w:val="22"/>
        </w:rPr>
        <w:t>apskaičiuotas remiantis šiuo metu taikomų renovacijos paramos priemonių finansavimo intensyvumu, kai finansuojama 30 proc. investicijų. Daugiabučių atveju papildomai įvertinta parama investicinių projektų rengimui ir projekto administravimui, papildomai sudaranti apie 10 proc. investicijų</w:t>
      </w:r>
      <w:r w:rsidR="00296C0B">
        <w:rPr>
          <w:rFonts w:ascii="Times New Roman" w:hAnsi="Times New Roman"/>
          <w:color w:val="000000" w:themeColor="text1"/>
          <w:szCs w:val="22"/>
        </w:rPr>
        <w:t>.</w:t>
      </w:r>
    </w:p>
    <w:p w14:paraId="129E16FF" w14:textId="7EB2DAE5" w:rsidR="002B0414" w:rsidRPr="00650EE4" w:rsidRDefault="002B0414" w:rsidP="00631BA6">
      <w:pPr>
        <w:pStyle w:val="TESlentelspavadinimas"/>
        <w:rPr>
          <w:noProof w:val="0"/>
        </w:rPr>
      </w:pPr>
    </w:p>
    <w:p w14:paraId="136E8F99" w14:textId="10D0B969" w:rsidR="00BE5218" w:rsidRDefault="00BC34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8" w:name="_Toc67925238"/>
      <w:r w:rsidR="007744C1">
        <w:t>55</w:t>
      </w:r>
      <w:r w:rsidRPr="00650EE4">
        <w:rPr>
          <w:noProof w:val="0"/>
        </w:rPr>
        <w:fldChar w:fldCharType="end"/>
      </w:r>
      <w:r w:rsidR="00BE5218" w:rsidRPr="00650EE4">
        <w:rPr>
          <w:noProof w:val="0"/>
        </w:rPr>
        <w:t xml:space="preserve"> lentelė. Renovacijai įgyvendinti reikaling</w:t>
      </w:r>
      <w:r w:rsidR="00C26226" w:rsidRPr="00650EE4">
        <w:rPr>
          <w:noProof w:val="0"/>
        </w:rPr>
        <w:t>ų subsidijų poreikis</w:t>
      </w:r>
      <w:bookmarkEnd w:id="168"/>
    </w:p>
    <w:tbl>
      <w:tblPr>
        <w:tblW w:w="5000" w:type="pct"/>
        <w:tblLook w:val="04A0" w:firstRow="1" w:lastRow="0" w:firstColumn="1" w:lastColumn="0" w:noHBand="0" w:noVBand="1"/>
      </w:tblPr>
      <w:tblGrid>
        <w:gridCol w:w="2298"/>
        <w:gridCol w:w="1625"/>
        <w:gridCol w:w="1626"/>
        <w:gridCol w:w="1626"/>
        <w:gridCol w:w="1626"/>
        <w:gridCol w:w="1619"/>
      </w:tblGrid>
      <w:tr w:rsidR="00296C0B" w:rsidRPr="00AC6715" w14:paraId="353A5468" w14:textId="77777777" w:rsidTr="009D1C15">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BE0BB" w14:textId="77777777" w:rsidR="00296C0B" w:rsidRPr="00AC6715" w:rsidRDefault="00296C0B" w:rsidP="009D1C15">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3E93390" w14:textId="77777777" w:rsidR="00296C0B" w:rsidRPr="00AC6715" w:rsidRDefault="00296C0B" w:rsidP="009D1C15">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46BE412"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A194854"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6F8846D"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2031-2040</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06FD0F23" w14:textId="77777777" w:rsidR="00296C0B" w:rsidRPr="00AC6715" w:rsidRDefault="00296C0B" w:rsidP="009D1C15">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2041-2050</w:t>
            </w:r>
          </w:p>
        </w:tc>
      </w:tr>
      <w:tr w:rsidR="00296C0B" w:rsidRPr="00776DA9" w14:paraId="00BD4AA8" w14:textId="77777777" w:rsidTr="009D1C15">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4F772"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Daugiabučiai </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45585D7"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FFC5023"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114</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D9B300D"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168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58F1453"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195</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3D0B976F"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197</w:t>
            </w:r>
          </w:p>
        </w:tc>
      </w:tr>
      <w:tr w:rsidR="00296C0B" w:rsidRPr="00776DA9" w14:paraId="2BE62186" w14:textId="77777777" w:rsidTr="009D1C15">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5AD86"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Individualūs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E3EEB1D"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ECE7918"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98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2088B74"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143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CDA8CAD"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253</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075390C9"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360</w:t>
            </w:r>
          </w:p>
        </w:tc>
      </w:tr>
      <w:tr w:rsidR="00296C0B" w:rsidRPr="00776DA9" w14:paraId="3F2A6AD3" w14:textId="77777777" w:rsidTr="009D1C15">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0D57E"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Pramonės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32B0502"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46C0D72"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27</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04CA196"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41</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6DFC2CD"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77</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5140D4A4"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112</w:t>
            </w:r>
          </w:p>
        </w:tc>
      </w:tr>
      <w:tr w:rsidR="00296C0B" w:rsidRPr="00776DA9" w14:paraId="2C880EF4" w14:textId="77777777" w:rsidTr="009D1C15">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0F2EC"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Kiti negyvenamieji</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1843283" w14:textId="77777777" w:rsidR="00296C0B" w:rsidRPr="00776DA9" w:rsidRDefault="00296C0B" w:rsidP="009D1C15">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79278D9"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50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932EB94"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77</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184894B"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145</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3493FE1B" w14:textId="77777777" w:rsidR="00296C0B" w:rsidRPr="00776DA9" w:rsidRDefault="00296C0B" w:rsidP="009D1C15">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210</w:t>
            </w:r>
          </w:p>
        </w:tc>
      </w:tr>
      <w:tr w:rsidR="00296C0B" w:rsidRPr="00776DA9" w14:paraId="2320467A" w14:textId="77777777" w:rsidTr="009D1C15">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26281" w14:textId="77777777" w:rsidR="00296C0B" w:rsidRPr="00776DA9" w:rsidRDefault="00296C0B" w:rsidP="009D1C15">
            <w:pPr>
              <w:spacing w:line="240" w:lineRule="auto"/>
              <w:rPr>
                <w:rFonts w:ascii="Times New Roman" w:eastAsia="Times New Roman" w:hAnsi="Times New Roman"/>
                <w:b/>
                <w:bCs/>
                <w:sz w:val="20"/>
                <w:szCs w:val="20"/>
              </w:rPr>
            </w:pPr>
            <w:r w:rsidRPr="00776DA9">
              <w:rPr>
                <w:rFonts w:ascii="Times New Roman" w:eastAsia="Times New Roman" w:hAnsi="Times New Roman"/>
                <w:b/>
                <w:bCs/>
                <w:sz w:val="20"/>
                <w:szCs w:val="20"/>
              </w:rPr>
              <w:t>Iš viso</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879F416" w14:textId="77777777" w:rsidR="00296C0B" w:rsidRPr="00776DA9" w:rsidRDefault="00296C0B" w:rsidP="009D1C15">
            <w:pPr>
              <w:spacing w:line="240" w:lineRule="auto"/>
              <w:rPr>
                <w:rFonts w:ascii="Times New Roman" w:eastAsia="Times New Roman" w:hAnsi="Times New Roman"/>
                <w:b/>
                <w:bCs/>
                <w:sz w:val="20"/>
                <w:szCs w:val="20"/>
              </w:rPr>
            </w:pPr>
            <w:r w:rsidRPr="00776DA9">
              <w:rPr>
                <w:rFonts w:ascii="Times New Roman" w:eastAsia="Times New Roman" w:hAnsi="Times New Roman"/>
                <w:b/>
                <w:bCs/>
                <w:sz w:val="20"/>
                <w:szCs w:val="20"/>
              </w:rPr>
              <w:t xml:space="preserve">mln. </w:t>
            </w:r>
            <w:proofErr w:type="spellStart"/>
            <w:r w:rsidRPr="00776DA9">
              <w:rPr>
                <w:rFonts w:ascii="Times New Roman" w:eastAsia="Times New Roman" w:hAnsi="Times New Roman"/>
                <w:b/>
                <w:bCs/>
                <w:sz w:val="20"/>
                <w:szCs w:val="20"/>
              </w:rPr>
              <w:t>Eur</w:t>
            </w:r>
            <w:proofErr w:type="spellEnd"/>
            <w:r w:rsidRPr="00776DA9">
              <w:rPr>
                <w:rFonts w:ascii="Times New Roman" w:eastAsia="Times New Roman" w:hAnsi="Times New Roman"/>
                <w:b/>
                <w:bCs/>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995C82E" w14:textId="77777777" w:rsidR="00296C0B" w:rsidRPr="00776DA9" w:rsidRDefault="00296C0B" w:rsidP="009D1C15">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289</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22D84E6" w14:textId="77777777" w:rsidR="00296C0B" w:rsidRPr="00776DA9" w:rsidRDefault="00296C0B" w:rsidP="009D1C15">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428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7502C85" w14:textId="77777777" w:rsidR="00296C0B" w:rsidRPr="00776DA9" w:rsidRDefault="00296C0B" w:rsidP="009D1C15">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670</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79C8B04C" w14:textId="77777777" w:rsidR="00296C0B" w:rsidRPr="00776DA9" w:rsidRDefault="00296C0B" w:rsidP="009D1C15">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879</w:t>
            </w:r>
          </w:p>
        </w:tc>
      </w:tr>
    </w:tbl>
    <w:p w14:paraId="24990480" w14:textId="596461C5" w:rsidR="00B05C61" w:rsidRPr="00650EE4" w:rsidRDefault="00BE5218"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661EF19F" w14:textId="77777777" w:rsidR="00B05C61" w:rsidRPr="00650EE4" w:rsidRDefault="00B05C61" w:rsidP="00631BA6">
      <w:pPr>
        <w:pStyle w:val="TESlentelspavadinimas"/>
        <w:rPr>
          <w:noProof w:val="0"/>
        </w:rPr>
      </w:pPr>
    </w:p>
    <w:p w14:paraId="612DA3FA" w14:textId="42F4DE36" w:rsidR="00697510" w:rsidRPr="00650EE4" w:rsidRDefault="00697510" w:rsidP="00233C32">
      <w:pPr>
        <w:spacing w:before="120" w:after="120"/>
        <w:jc w:val="both"/>
        <w:rPr>
          <w:rFonts w:ascii="Times New Roman" w:hAnsi="Times New Roman"/>
          <w:b/>
          <w:bCs/>
          <w:szCs w:val="24"/>
        </w:rPr>
      </w:pPr>
      <w:r w:rsidRPr="00650EE4">
        <w:rPr>
          <w:rFonts w:ascii="Times New Roman" w:hAnsi="Times New Roman"/>
          <w:b/>
          <w:bCs/>
          <w:szCs w:val="24"/>
        </w:rPr>
        <w:t>Renovacijos finansavimas</w:t>
      </w:r>
    </w:p>
    <w:p w14:paraId="04CF1DE8" w14:textId="7A708D77" w:rsidR="00EF1A3F" w:rsidRPr="00650EE4" w:rsidRDefault="00EF1A3F" w:rsidP="00233C32">
      <w:pPr>
        <w:spacing w:before="120" w:after="120"/>
        <w:jc w:val="both"/>
        <w:rPr>
          <w:rFonts w:ascii="Times New Roman" w:hAnsi="Times New Roman"/>
          <w:b/>
          <w:bCs/>
          <w:szCs w:val="24"/>
        </w:rPr>
      </w:pPr>
      <w:r w:rsidRPr="00650EE4">
        <w:rPr>
          <w:rFonts w:ascii="Times New Roman" w:hAnsi="Times New Roman"/>
          <w:szCs w:val="22"/>
        </w:rPr>
        <w:t>N</w:t>
      </w:r>
      <w:r w:rsidR="00D44F5B" w:rsidRPr="00650EE4">
        <w:rPr>
          <w:rFonts w:ascii="Times New Roman" w:hAnsi="Times New Roman"/>
          <w:szCs w:val="22"/>
        </w:rPr>
        <w:t>uma</w:t>
      </w:r>
      <w:r w:rsidRPr="00650EE4">
        <w:rPr>
          <w:rFonts w:ascii="Times New Roman" w:hAnsi="Times New Roman"/>
          <w:szCs w:val="22"/>
        </w:rPr>
        <w:t xml:space="preserve">toma, kad reikšmingai daliai pastatų savininkų, pageidaujančių dalyvauti </w:t>
      </w:r>
      <w:r w:rsidR="00C367FD" w:rsidRPr="00650EE4">
        <w:rPr>
          <w:rFonts w:ascii="Times New Roman" w:hAnsi="Times New Roman"/>
          <w:szCs w:val="22"/>
        </w:rPr>
        <w:t>renovacijos</w:t>
      </w:r>
      <w:r w:rsidRPr="00650EE4">
        <w:rPr>
          <w:rFonts w:ascii="Times New Roman" w:hAnsi="Times New Roman"/>
          <w:szCs w:val="22"/>
        </w:rPr>
        <w:t xml:space="preserve"> procese, bus </w:t>
      </w:r>
      <w:r w:rsidR="00F4081D" w:rsidRPr="00650EE4">
        <w:rPr>
          <w:rFonts w:ascii="Times New Roman" w:hAnsi="Times New Roman"/>
          <w:szCs w:val="22"/>
        </w:rPr>
        <w:t>reikalingi nuosavo įnašo</w:t>
      </w:r>
      <w:r w:rsidRPr="00650EE4">
        <w:rPr>
          <w:rFonts w:ascii="Times New Roman" w:hAnsi="Times New Roman"/>
          <w:szCs w:val="22"/>
        </w:rPr>
        <w:t xml:space="preserve"> dalies finansavimo sprendimai. Maksimalus r</w:t>
      </w:r>
      <w:r w:rsidRPr="00650EE4">
        <w:rPr>
          <w:rFonts w:ascii="Times New Roman" w:hAnsi="Times New Roman"/>
          <w:color w:val="000000" w:themeColor="text1"/>
          <w:szCs w:val="22"/>
        </w:rPr>
        <w:t xml:space="preserve">enovacijai  įgyvendinti reikalingo finansavimo </w:t>
      </w:r>
      <w:r w:rsidR="00262C85" w:rsidRPr="00650EE4">
        <w:rPr>
          <w:rFonts w:ascii="Times New Roman" w:hAnsi="Times New Roman"/>
          <w:color w:val="000000" w:themeColor="text1"/>
          <w:szCs w:val="22"/>
        </w:rPr>
        <w:t xml:space="preserve">(per metus) </w:t>
      </w:r>
      <w:r w:rsidRPr="00650EE4">
        <w:rPr>
          <w:rFonts w:ascii="Times New Roman" w:hAnsi="Times New Roman"/>
          <w:color w:val="000000" w:themeColor="text1"/>
          <w:szCs w:val="22"/>
        </w:rPr>
        <w:t>poreikis</w:t>
      </w:r>
      <w:r w:rsidR="00262C85"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apskaičiuotas remiantis vertinimui, kad kreditavimas bus reikalingas visai pastatų savininkų nuosavo įnašo daliai</w:t>
      </w:r>
      <w:r w:rsidR="00262C85"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w:t>
      </w:r>
      <w:r w:rsidR="00D44F5B" w:rsidRPr="00650EE4">
        <w:rPr>
          <w:rFonts w:ascii="Times New Roman" w:hAnsi="Times New Roman"/>
          <w:color w:val="000000" w:themeColor="text1"/>
          <w:szCs w:val="22"/>
        </w:rPr>
        <w:t>pateikiamas lentelėje žemiau.</w:t>
      </w:r>
    </w:p>
    <w:p w14:paraId="7DCED459" w14:textId="23B576E0" w:rsidR="00BB5E09" w:rsidRPr="00650EE4" w:rsidRDefault="00BC348D" w:rsidP="00BB5E09">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9" w:name="_Toc67925239"/>
      <w:r w:rsidR="007744C1">
        <w:t>56</w:t>
      </w:r>
      <w:r w:rsidRPr="00650EE4">
        <w:rPr>
          <w:noProof w:val="0"/>
        </w:rPr>
        <w:fldChar w:fldCharType="end"/>
      </w:r>
      <w:r w:rsidR="00BB5E09" w:rsidRPr="00650EE4">
        <w:rPr>
          <w:noProof w:val="0"/>
        </w:rPr>
        <w:t xml:space="preserve"> lentelė. Renovacijai įgyvendinti reikalingas finansavimas</w:t>
      </w:r>
      <w:bookmarkEnd w:id="169"/>
    </w:p>
    <w:tbl>
      <w:tblPr>
        <w:tblW w:w="5000" w:type="pct"/>
        <w:tblLook w:val="04A0" w:firstRow="1" w:lastRow="0" w:firstColumn="1" w:lastColumn="0" w:noHBand="0" w:noVBand="1"/>
      </w:tblPr>
      <w:tblGrid>
        <w:gridCol w:w="3229"/>
        <w:gridCol w:w="1627"/>
        <w:gridCol w:w="1391"/>
        <w:gridCol w:w="1391"/>
        <w:gridCol w:w="1391"/>
        <w:gridCol w:w="1391"/>
      </w:tblGrid>
      <w:tr w:rsidR="00296C0B" w:rsidRPr="00F87057" w14:paraId="2EDAB7F3" w14:textId="77777777" w:rsidTr="009D1C15">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6EF798" w14:textId="77777777" w:rsidR="00296C0B" w:rsidRPr="00F87057" w:rsidRDefault="00296C0B" w:rsidP="009D1C15">
            <w:pPr>
              <w:spacing w:line="240" w:lineRule="auto"/>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3B1D3C97" w14:textId="77777777" w:rsidR="00296C0B" w:rsidRPr="00F87057" w:rsidRDefault="00296C0B" w:rsidP="009D1C15">
            <w:pPr>
              <w:spacing w:line="240" w:lineRule="auto"/>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BAA3370" w14:textId="77777777" w:rsidR="00296C0B" w:rsidRPr="00F87057" w:rsidRDefault="00296C0B" w:rsidP="009D1C15">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B842D92" w14:textId="77777777" w:rsidR="00296C0B" w:rsidRPr="00F87057" w:rsidRDefault="00296C0B" w:rsidP="009D1C15">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8D52ACF" w14:textId="77777777" w:rsidR="00296C0B" w:rsidRPr="00F87057" w:rsidRDefault="00296C0B" w:rsidP="009D1C15">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4D808E9" w14:textId="77777777" w:rsidR="00296C0B" w:rsidRPr="00F87057" w:rsidRDefault="00296C0B" w:rsidP="009D1C15">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2041-2050</w:t>
            </w:r>
          </w:p>
        </w:tc>
      </w:tr>
      <w:tr w:rsidR="00296C0B" w:rsidRPr="00776DA9" w14:paraId="2378F0D1" w14:textId="77777777" w:rsidTr="009D1C15">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FAEEF"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1576CF82"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A03690D"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171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FE1BB64"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251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1DEB07C"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292</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72577FC"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295</w:t>
            </w:r>
          </w:p>
        </w:tc>
      </w:tr>
      <w:tr w:rsidR="00296C0B" w:rsidRPr="00776DA9" w14:paraId="36B786D4" w14:textId="77777777" w:rsidTr="009D1C15">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BB3579"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35FF61F6"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15DEFB6"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BC1EEB0"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333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9EE9A0C"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591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1989C78"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841</w:t>
            </w:r>
          </w:p>
        </w:tc>
      </w:tr>
      <w:tr w:rsidR="00296C0B" w:rsidRPr="00776DA9" w14:paraId="12D7AEFA" w14:textId="77777777" w:rsidTr="009D1C15">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BC47AF"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0716E828"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4D5095F"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62</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BD535E3"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95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D811E08"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180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D69E734"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261</w:t>
            </w:r>
          </w:p>
        </w:tc>
      </w:tr>
      <w:tr w:rsidR="00296C0B" w:rsidRPr="00776DA9" w14:paraId="000259AF" w14:textId="77777777" w:rsidTr="009D1C15">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6074AC"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4A68F21B" w14:textId="77777777" w:rsidR="00296C0B" w:rsidRPr="00776DA9" w:rsidRDefault="00296C0B" w:rsidP="009D1C15">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71CC6CF"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116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603B43C"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179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726551D"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338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49C01EA" w14:textId="77777777" w:rsidR="00296C0B" w:rsidRPr="00776DA9" w:rsidRDefault="00296C0B" w:rsidP="009D1C15">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490</w:t>
            </w:r>
          </w:p>
        </w:tc>
      </w:tr>
      <w:tr w:rsidR="00296C0B" w:rsidRPr="00776DA9" w14:paraId="4E9D501D" w14:textId="77777777" w:rsidTr="009D1C15">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742B9" w14:textId="77777777" w:rsidR="00296C0B" w:rsidRPr="00776DA9" w:rsidRDefault="00296C0B" w:rsidP="009D1C15">
            <w:pPr>
              <w:spacing w:line="240" w:lineRule="auto"/>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64079D3B" w14:textId="77777777" w:rsidR="00296C0B" w:rsidRPr="00776DA9" w:rsidRDefault="00296C0B" w:rsidP="009D1C15">
            <w:pPr>
              <w:spacing w:line="240" w:lineRule="auto"/>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 xml:space="preserve">mln. </w:t>
            </w:r>
            <w:proofErr w:type="spellStart"/>
            <w:r w:rsidRPr="00776DA9">
              <w:rPr>
                <w:rFonts w:ascii="Times New Roman" w:eastAsia="Times New Roman" w:hAnsi="Times New Roman"/>
                <w:b/>
                <w:bCs/>
                <w:sz w:val="20"/>
                <w:szCs w:val="20"/>
                <w:lang w:eastAsia="lt-LT"/>
              </w:rPr>
              <w:t>Eur</w:t>
            </w:r>
            <w:proofErr w:type="spellEnd"/>
            <w:r w:rsidRPr="00776DA9">
              <w:rPr>
                <w:rFonts w:ascii="Times New Roman" w:eastAsia="Times New Roman" w:hAnsi="Times New Roman"/>
                <w:b/>
                <w:bCs/>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327C8F6" w14:textId="77777777" w:rsidR="00296C0B" w:rsidRPr="00776DA9" w:rsidRDefault="00296C0B" w:rsidP="009D1C15">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579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85547C0" w14:textId="77777777" w:rsidR="00296C0B" w:rsidRPr="00776DA9" w:rsidRDefault="00296C0B" w:rsidP="009D1C15">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858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AAE8E67" w14:textId="77777777" w:rsidR="00296C0B" w:rsidRPr="00776DA9" w:rsidRDefault="00296C0B" w:rsidP="009D1C15">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1.401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599F6CA" w14:textId="77777777" w:rsidR="00296C0B" w:rsidRPr="00776DA9" w:rsidRDefault="00296C0B" w:rsidP="009D1C15">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1.888</w:t>
            </w:r>
          </w:p>
        </w:tc>
      </w:tr>
    </w:tbl>
    <w:p w14:paraId="1DCB2867" w14:textId="6E66EF2F" w:rsidR="00BB5E09" w:rsidRPr="00650EE4" w:rsidRDefault="00BB5E09" w:rsidP="00BB5E09">
      <w:pPr>
        <w:pStyle w:val="TESlentelspavadinimas"/>
        <w:rPr>
          <w:noProof w:val="0"/>
        </w:rPr>
      </w:pPr>
      <w:r w:rsidRPr="00650EE4">
        <w:rPr>
          <w:noProof w:val="0"/>
        </w:rPr>
        <w:t>Šaltinis: Studijos</w:t>
      </w:r>
      <w:r w:rsidR="00DD791C" w:rsidRPr="00DD791C">
        <w:rPr>
          <w:iCs/>
          <w:color w:val="auto"/>
        </w:rPr>
        <w:t xml:space="preserve"> </w:t>
      </w:r>
      <w:r w:rsidR="00DD791C" w:rsidRPr="00874EAF">
        <w:rPr>
          <w:iCs/>
          <w:color w:val="auto"/>
        </w:rPr>
        <w:t>Lietuvos ilgalaikei renovacijos strategijai parengti</w:t>
      </w:r>
      <w:r w:rsidRPr="00650EE4">
        <w:rPr>
          <w:noProof w:val="0"/>
        </w:rPr>
        <w:t xml:space="preserve"> autoriai</w:t>
      </w:r>
    </w:p>
    <w:p w14:paraId="13028030" w14:textId="4DFE63ED" w:rsidR="00697510" w:rsidRPr="00650EE4" w:rsidRDefault="00697510" w:rsidP="00B05C61">
      <w:pPr>
        <w:spacing w:after="120"/>
        <w:jc w:val="both"/>
        <w:rPr>
          <w:rFonts w:ascii="Times New Roman" w:hAnsi="Times New Roman"/>
          <w:color w:val="000000" w:themeColor="text1"/>
          <w:szCs w:val="22"/>
        </w:rPr>
      </w:pPr>
    </w:p>
    <w:p w14:paraId="33F28086" w14:textId="1E3F8041" w:rsidR="00771A41" w:rsidRPr="00650EE4" w:rsidRDefault="00C22A29" w:rsidP="00771A41">
      <w:pPr>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 xml:space="preserve">Vertinant, kad </w:t>
      </w:r>
      <w:r w:rsidR="001324F8" w:rsidRPr="00650EE4">
        <w:rPr>
          <w:rFonts w:ascii="Times New Roman" w:hAnsi="Times New Roman"/>
          <w:color w:val="000000" w:themeColor="text1"/>
          <w:szCs w:val="22"/>
        </w:rPr>
        <w:t xml:space="preserve"> valstybės galimybės užtikrinti finansavimą (savo ar paramos fondų lėšomis) yra ribotos, didelę svarbą</w:t>
      </w:r>
      <w:r w:rsidR="00771A41" w:rsidRPr="00650EE4">
        <w:rPr>
          <w:rFonts w:ascii="Times New Roman" w:hAnsi="Times New Roman"/>
          <w:color w:val="000000" w:themeColor="text1"/>
          <w:szCs w:val="22"/>
        </w:rPr>
        <w:t xml:space="preserve"> </w:t>
      </w:r>
      <w:r w:rsidR="00C367FD" w:rsidRPr="00650EE4">
        <w:rPr>
          <w:rFonts w:ascii="Times New Roman" w:hAnsi="Times New Roman"/>
          <w:color w:val="000000" w:themeColor="text1"/>
          <w:szCs w:val="22"/>
        </w:rPr>
        <w:t>finansavimo</w:t>
      </w:r>
      <w:r w:rsidR="00771A41" w:rsidRPr="00650EE4">
        <w:rPr>
          <w:rFonts w:ascii="Times New Roman" w:hAnsi="Times New Roman"/>
          <w:color w:val="000000" w:themeColor="text1"/>
          <w:szCs w:val="22"/>
        </w:rPr>
        <w:t xml:space="preserve"> užtikrinimui</w:t>
      </w:r>
      <w:r w:rsidR="001324F8" w:rsidRPr="00650EE4">
        <w:rPr>
          <w:rFonts w:ascii="Times New Roman" w:hAnsi="Times New Roman"/>
          <w:color w:val="000000" w:themeColor="text1"/>
          <w:szCs w:val="22"/>
        </w:rPr>
        <w:t xml:space="preserve"> įgyja </w:t>
      </w:r>
      <w:r w:rsidR="00771A41" w:rsidRPr="00650EE4">
        <w:rPr>
          <w:rFonts w:ascii="Times New Roman" w:hAnsi="Times New Roman"/>
          <w:color w:val="000000" w:themeColor="text1"/>
          <w:szCs w:val="22"/>
        </w:rPr>
        <w:t>gebėjimas sukurti ir pasiūlyti rinkai finansinius instrumentus, turinčius didelį sverto efektą</w:t>
      </w:r>
      <w:r w:rsidR="00771A41" w:rsidRPr="00650EE4">
        <w:rPr>
          <w:rStyle w:val="FootnoteReference"/>
          <w:rFonts w:ascii="Times New Roman" w:hAnsi="Times New Roman"/>
          <w:color w:val="000000" w:themeColor="text1"/>
          <w:szCs w:val="22"/>
        </w:rPr>
        <w:footnoteReference w:id="42"/>
      </w:r>
      <w:r w:rsidR="00771A41" w:rsidRPr="00650EE4">
        <w:rPr>
          <w:rFonts w:ascii="Times New Roman" w:hAnsi="Times New Roman"/>
          <w:color w:val="000000" w:themeColor="text1"/>
          <w:szCs w:val="22"/>
        </w:rPr>
        <w:t xml:space="preserve"> ir įtraukiančius privačias, pensijų fondų, tarptautinių finansinių institucijų lėšas. </w:t>
      </w:r>
    </w:p>
    <w:p w14:paraId="334C60ED" w14:textId="576A9003" w:rsidR="00697510" w:rsidRPr="00650EE4" w:rsidRDefault="00697510" w:rsidP="00771A41">
      <w:pPr>
        <w:jc w:val="both"/>
        <w:rPr>
          <w:rFonts w:ascii="Times New Roman" w:hAnsi="Times New Roman"/>
          <w:color w:val="000000" w:themeColor="text1"/>
          <w:szCs w:val="22"/>
        </w:rPr>
      </w:pPr>
    </w:p>
    <w:p w14:paraId="7DC2D7A4" w14:textId="7A5F6537" w:rsidR="006866B5" w:rsidRPr="00650EE4" w:rsidRDefault="006866B5" w:rsidP="006866B5">
      <w:pPr>
        <w:pStyle w:val="Antrastes31"/>
        <w:numPr>
          <w:ilvl w:val="2"/>
          <w:numId w:val="4"/>
        </w:numPr>
        <w:spacing w:before="120"/>
        <w:ind w:left="720" w:hanging="720"/>
        <w:rPr>
          <w:rFonts w:ascii="Times New Roman" w:hAnsi="Times New Roman"/>
          <w:color w:val="000000" w:themeColor="text1"/>
          <w:sz w:val="24"/>
          <w:szCs w:val="24"/>
          <w:lang w:val="lt-LT"/>
        </w:rPr>
      </w:pPr>
      <w:bookmarkStart w:id="170" w:name="_Toc67925163"/>
      <w:r w:rsidRPr="00650EE4">
        <w:rPr>
          <w:rFonts w:ascii="Times New Roman" w:hAnsi="Times New Roman"/>
          <w:color w:val="000000" w:themeColor="text1"/>
          <w:sz w:val="24"/>
          <w:szCs w:val="24"/>
          <w:lang w:val="lt-LT"/>
        </w:rPr>
        <w:t>Daugiabučiai</w:t>
      </w:r>
      <w:bookmarkEnd w:id="164"/>
      <w:bookmarkEnd w:id="170"/>
    </w:p>
    <w:p w14:paraId="2E9BE250" w14:textId="7B4C5CF8" w:rsidR="006866B5" w:rsidRPr="00650EE4" w:rsidRDefault="006866B5" w:rsidP="00DD0BCA">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pateikiami siektini </w:t>
      </w:r>
      <w:r w:rsidR="002C424D">
        <w:rPr>
          <w:rFonts w:ascii="Times New Roman" w:hAnsi="Times New Roman"/>
          <w:color w:val="000000" w:themeColor="text1"/>
          <w:szCs w:val="22"/>
        </w:rPr>
        <w:t>d</w:t>
      </w:r>
      <w:r w:rsidRPr="00650EE4">
        <w:rPr>
          <w:rFonts w:ascii="Times New Roman" w:hAnsi="Times New Roman"/>
          <w:color w:val="000000" w:themeColor="text1"/>
          <w:szCs w:val="22"/>
        </w:rPr>
        <w:t>augiabučių paskirties pastatų r</w:t>
      </w:r>
      <w:r w:rsidR="0016170B" w:rsidRPr="00650EE4">
        <w:rPr>
          <w:rFonts w:ascii="Times New Roman" w:hAnsi="Times New Roman"/>
          <w:color w:val="000000" w:themeColor="text1"/>
          <w:szCs w:val="22"/>
        </w:rPr>
        <w:t>enovacijos rodikliai:</w:t>
      </w:r>
    </w:p>
    <w:p w14:paraId="7062697D" w14:textId="77777777" w:rsidR="00CB5D5D" w:rsidRPr="00650EE4" w:rsidRDefault="00CB5D5D" w:rsidP="00DD0BCA">
      <w:pPr>
        <w:jc w:val="both"/>
        <w:rPr>
          <w:rFonts w:ascii="Times New Roman" w:hAnsi="Times New Roman"/>
          <w:color w:val="000000" w:themeColor="text1"/>
          <w:szCs w:val="22"/>
        </w:rPr>
      </w:pPr>
    </w:p>
    <w:p w14:paraId="5E5FE353" w14:textId="671B9ACD" w:rsidR="00764C7E"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1" w:name="_Toc67925240"/>
      <w:r w:rsidR="007744C1">
        <w:t>57</w:t>
      </w:r>
      <w:r w:rsidRPr="00650EE4">
        <w:rPr>
          <w:noProof w:val="0"/>
        </w:rPr>
        <w:fldChar w:fldCharType="end"/>
      </w:r>
      <w:r w:rsidR="00F32C43">
        <w:rPr>
          <w:noProof w:val="0"/>
        </w:rPr>
        <w:t xml:space="preserve"> </w:t>
      </w:r>
      <w:r w:rsidR="001E6DEB" w:rsidRPr="00650EE4">
        <w:rPr>
          <w:noProof w:val="0"/>
        </w:rPr>
        <w:t>lentelė</w:t>
      </w:r>
      <w:r w:rsidR="006866B5" w:rsidRPr="00650EE4">
        <w:rPr>
          <w:noProof w:val="0"/>
        </w:rPr>
        <w:t xml:space="preserve">. </w:t>
      </w:r>
      <w:r w:rsidR="00F9023F" w:rsidRPr="00650EE4">
        <w:rPr>
          <w:noProof w:val="0"/>
        </w:rPr>
        <w:t>Daugiabučių</w:t>
      </w:r>
      <w:r w:rsidR="006866B5" w:rsidRPr="00650EE4">
        <w:rPr>
          <w:noProof w:val="0"/>
        </w:rPr>
        <w:t xml:space="preserve"> </w:t>
      </w:r>
      <w:r w:rsidR="00F9023F" w:rsidRPr="00650EE4">
        <w:rPr>
          <w:noProof w:val="0"/>
        </w:rPr>
        <w:t>paskirties pastatų renovacijos rodikliai</w:t>
      </w:r>
      <w:bookmarkEnd w:id="171"/>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968"/>
        <w:gridCol w:w="845"/>
        <w:gridCol w:w="966"/>
        <w:gridCol w:w="966"/>
        <w:gridCol w:w="966"/>
      </w:tblGrid>
      <w:tr w:rsidR="00576E41" w:rsidRPr="00521FEE" w14:paraId="04200244"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A9D2D" w14:textId="77777777" w:rsidR="00576E41" w:rsidRPr="00521FEE" w:rsidRDefault="00576E41" w:rsidP="009D1C15">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CB08C" w14:textId="77777777" w:rsidR="00576E41" w:rsidRPr="00521FEE" w:rsidRDefault="00576E41" w:rsidP="009D1C15">
            <w:pPr>
              <w:spacing w:line="240" w:lineRule="auto"/>
              <w:ind w:right="-108"/>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DC59A"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25727"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61B1C"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AAD88"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576E41" w:rsidRPr="006B7FAD" w14:paraId="6E9F2A07"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3A598"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4AF95" w14:textId="77777777" w:rsidR="00576E41" w:rsidRPr="006B7FAD" w:rsidRDefault="00576E41" w:rsidP="009D1C15">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0A82C"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11.977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04693"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9.891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03DC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7.676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0D53"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5.844</w:t>
            </w:r>
          </w:p>
        </w:tc>
      </w:tr>
      <w:tr w:rsidR="00576E41" w:rsidRPr="006B7FAD" w14:paraId="3DD5D574"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C3890"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2ED6A"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AD426"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98B1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9268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6EB1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49%</w:t>
            </w:r>
          </w:p>
        </w:tc>
      </w:tr>
      <w:tr w:rsidR="00576E41" w:rsidRPr="006B7FAD" w14:paraId="55D49F23"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AA5E5"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B2B77" w14:textId="77777777" w:rsidR="00576E41" w:rsidRPr="006B7FAD" w:rsidRDefault="00576E41" w:rsidP="009D1C15">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F55F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7.243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0ACA1"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4.781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9187"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2.165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B73E"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w:t>
            </w:r>
          </w:p>
        </w:tc>
      </w:tr>
      <w:tr w:rsidR="00576E41" w:rsidRPr="006B7FAD" w14:paraId="33E2CC23"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9E4D8"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D1839"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0FCF"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64E83"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F0163"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4E7F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576E41" w:rsidRPr="006B7FAD" w14:paraId="5F710BBA"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E2E69"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747DE"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CBB56"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B81BF"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D67DF"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6B24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0</w:t>
            </w:r>
          </w:p>
        </w:tc>
      </w:tr>
      <w:tr w:rsidR="00576E41" w:rsidRPr="006B7FAD" w14:paraId="3486060F"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BCD8B"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90159"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5817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536D5"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5597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67DD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576E41" w:rsidRPr="006B7FAD" w14:paraId="7E1AFD6D"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33156"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87972" w14:textId="6FADD076" w:rsidR="00576E41" w:rsidRPr="006B7FAD" w:rsidRDefault="00576E41" w:rsidP="009D1C15">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B7FAD">
              <w:rPr>
                <w:rFonts w:ascii="Times New Roman" w:eastAsia="Times New Roman" w:hAnsi="Times New Roman"/>
                <w:sz w:val="20"/>
                <w:szCs w:val="20"/>
                <w:lang w:eastAsia="lt-LT"/>
              </w:rPr>
              <w:t>m</w:t>
            </w:r>
            <w:r w:rsidRPr="00576E41">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7F60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34.090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5A4A3"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23.937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9C90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12.863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C46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3.228</w:t>
            </w:r>
          </w:p>
        </w:tc>
      </w:tr>
      <w:tr w:rsidR="00576E41" w:rsidRPr="006B7FAD" w14:paraId="6F7446CE"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93B47"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3F63A" w14:textId="77777777" w:rsidR="00576E41" w:rsidRPr="006B7FAD" w:rsidRDefault="00576E41" w:rsidP="009D1C15">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9C40C"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9.548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2C3F2"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4059D"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3.477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824B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693</w:t>
            </w:r>
          </w:p>
        </w:tc>
      </w:tr>
      <w:tr w:rsidR="00576E41" w:rsidRPr="006B7FAD" w14:paraId="28AF68CA"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D48FE"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6115E"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F581"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B0BBD"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E1C2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A59AF"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576E41" w:rsidRPr="006B7FAD" w14:paraId="77DAD4B7"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3DB88"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9DB8D"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8A6AF" w14:textId="62D8B3F1" w:rsidR="00576E41" w:rsidRPr="006B7FAD" w:rsidRDefault="003E4819"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4735</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F6815" w14:textId="339A054A"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9.881</w:t>
            </w:r>
            <w:r w:rsidR="005E392B">
              <w:rPr>
                <w:rFonts w:ascii="Times New Roman" w:eastAsia="Times New Roman" w:hAnsi="Times New Roman"/>
                <w:sz w:val="20"/>
                <w:szCs w:val="20"/>
                <w:lang w:eastAsia="lt-LT"/>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8C5AC" w14:textId="08912F0A"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20.715</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1B5F" w14:textId="44C636D3"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30.060</w:t>
            </w:r>
            <w:r w:rsidR="005E392B">
              <w:rPr>
                <w:rFonts w:ascii="Times New Roman" w:eastAsia="Times New Roman" w:hAnsi="Times New Roman"/>
                <w:sz w:val="20"/>
                <w:szCs w:val="20"/>
                <w:lang w:eastAsia="lt-LT"/>
              </w:rPr>
              <w:t>**</w:t>
            </w:r>
          </w:p>
        </w:tc>
      </w:tr>
      <w:tr w:rsidR="00576E41" w:rsidRPr="006B7FAD" w14:paraId="3B13CEDC"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F5C14"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C3ECF"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27959" w14:textId="7C5DE75F" w:rsidR="00576E41" w:rsidRPr="006B7FAD" w:rsidRDefault="003E4819"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1</w:t>
            </w:r>
            <w:r w:rsidR="00DF1F91">
              <w:rPr>
                <w:rFonts w:ascii="Times New Roman" w:eastAsia="Times New Roman" w:hAnsi="Times New Roman"/>
                <w:sz w:val="20"/>
                <w:szCs w:val="20"/>
                <w:lang w:eastAsia="lt-LT"/>
              </w:rPr>
              <w:t>2</w:t>
            </w:r>
            <w:r w:rsidR="00576E41" w:rsidRPr="006B7FAD">
              <w:rPr>
                <w:rFonts w:ascii="Times New Roman" w:eastAsia="Times New Roman" w:hAnsi="Times New Roman"/>
                <w:sz w:val="20"/>
                <w:szCs w:val="20"/>
                <w:lang w:eastAsia="lt-LT"/>
              </w:rPr>
              <w:t>%</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5FF43" w14:textId="7469593B"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w:t>
            </w:r>
            <w:r w:rsidR="005E392B">
              <w:rPr>
                <w:rFonts w:ascii="Times New Roman" w:eastAsia="Times New Roman" w:hAnsi="Times New Roman"/>
                <w:sz w:val="20"/>
                <w:szCs w:val="20"/>
                <w:lang w:eastAsia="lt-LT"/>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5C19" w14:textId="03320C3B"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51%</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FEBBE" w14:textId="320BE32A"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74%</w:t>
            </w:r>
            <w:r w:rsidR="005E392B">
              <w:rPr>
                <w:rFonts w:ascii="Times New Roman" w:eastAsia="Times New Roman" w:hAnsi="Times New Roman"/>
                <w:sz w:val="20"/>
                <w:szCs w:val="20"/>
                <w:lang w:eastAsia="lt-LT"/>
              </w:rPr>
              <w:t>**</w:t>
            </w:r>
          </w:p>
        </w:tc>
      </w:tr>
      <w:tr w:rsidR="00576E41" w:rsidRPr="006B7FAD" w14:paraId="07278F1B"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3AAE9"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7014" w14:textId="747496BA" w:rsidR="00576E41" w:rsidRPr="006B7FAD" w:rsidRDefault="00576E41" w:rsidP="009D1C15">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B7FAD">
              <w:rPr>
                <w:rFonts w:ascii="Times New Roman" w:eastAsia="Times New Roman" w:hAnsi="Times New Roman"/>
                <w:sz w:val="20"/>
                <w:szCs w:val="20"/>
                <w:lang w:eastAsia="lt-LT"/>
              </w:rPr>
              <w:t>m</w:t>
            </w:r>
            <w:r w:rsidRPr="00576E41">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89B64" w14:textId="5E8BA203" w:rsidR="00576E41" w:rsidRPr="006B7FAD" w:rsidRDefault="002A76A8"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9381</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E19EE" w14:textId="0D1690CA"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11.704</w:t>
            </w:r>
            <w:r w:rsidR="005E392B">
              <w:rPr>
                <w:rFonts w:ascii="Times New Roman" w:eastAsia="Times New Roman" w:hAnsi="Times New Roman"/>
                <w:sz w:val="20"/>
                <w:szCs w:val="20"/>
                <w:lang w:eastAsia="lt-LT"/>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87B0" w14:textId="35BD4749"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24.137</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36F09" w14:textId="3964944F"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34.415</w:t>
            </w:r>
            <w:r w:rsidR="005E392B">
              <w:rPr>
                <w:rFonts w:ascii="Times New Roman" w:eastAsia="Times New Roman" w:hAnsi="Times New Roman"/>
                <w:sz w:val="20"/>
                <w:szCs w:val="20"/>
                <w:lang w:eastAsia="lt-LT"/>
              </w:rPr>
              <w:t>**</w:t>
            </w:r>
          </w:p>
        </w:tc>
      </w:tr>
      <w:tr w:rsidR="00576E41" w:rsidRPr="006B7FAD" w14:paraId="5BE9E079"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9A254"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527BC" w14:textId="77777777" w:rsidR="00576E41" w:rsidRPr="006B7FAD" w:rsidRDefault="00576E41"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2527B" w14:textId="4F90FC5E" w:rsidR="00576E41" w:rsidRPr="006B7FAD" w:rsidRDefault="00DF1F91"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16</w:t>
            </w:r>
            <w:r w:rsidR="00576E41" w:rsidRPr="006B7FAD">
              <w:rPr>
                <w:rFonts w:ascii="Times New Roman" w:eastAsia="Times New Roman" w:hAnsi="Times New Roman"/>
                <w:sz w:val="20"/>
                <w:szCs w:val="20"/>
                <w:lang w:eastAsia="lt-LT"/>
              </w:rPr>
              <w:t>%</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03D6" w14:textId="629A7DE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w:t>
            </w:r>
            <w:r w:rsidR="005E392B">
              <w:rPr>
                <w:rFonts w:ascii="Times New Roman" w:eastAsia="Times New Roman" w:hAnsi="Times New Roman"/>
                <w:sz w:val="20"/>
                <w:szCs w:val="20"/>
                <w:lang w:eastAsia="lt-LT"/>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709B3" w14:textId="5BDCF3A3"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51%</w:t>
            </w:r>
            <w:r w:rsidR="005E392B">
              <w:rPr>
                <w:rFonts w:ascii="Times New Roman" w:eastAsia="Times New Roman" w:hAnsi="Times New Roman"/>
                <w:sz w:val="20"/>
                <w:szCs w:val="20"/>
                <w:lang w:eastAsia="lt-LT"/>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BF384" w14:textId="467BA38F"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72%</w:t>
            </w:r>
            <w:r w:rsidR="005E392B">
              <w:rPr>
                <w:rFonts w:ascii="Times New Roman" w:eastAsia="Times New Roman" w:hAnsi="Times New Roman"/>
                <w:sz w:val="20"/>
                <w:szCs w:val="20"/>
                <w:lang w:eastAsia="lt-LT"/>
              </w:rPr>
              <w:t>**</w:t>
            </w:r>
          </w:p>
        </w:tc>
      </w:tr>
    </w:tbl>
    <w:p w14:paraId="06D4228F" w14:textId="6615C044" w:rsidR="006D0165" w:rsidRPr="00650EE4" w:rsidRDefault="006D0165" w:rsidP="00631BA6">
      <w:pPr>
        <w:pStyle w:val="TESlentelspavadinimas"/>
        <w:rPr>
          <w:noProof w:val="0"/>
        </w:rPr>
      </w:pPr>
      <w:r w:rsidRPr="00650EE4">
        <w:rPr>
          <w:noProof w:val="0"/>
        </w:rPr>
        <w:t xml:space="preserve">Šaltinis: </w:t>
      </w:r>
      <w:r w:rsidR="0019694C" w:rsidRPr="00650EE4">
        <w:rPr>
          <w:noProof w:val="0"/>
        </w:rPr>
        <w:t>S</w:t>
      </w:r>
      <w:r w:rsidRPr="00650EE4">
        <w:rPr>
          <w:noProof w:val="0"/>
        </w:rPr>
        <w:t xml:space="preserve">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4EC1734A" w14:textId="77777777" w:rsidR="0099275B" w:rsidRPr="00B21707" w:rsidRDefault="0099275B" w:rsidP="0099275B">
      <w:pPr>
        <w:pStyle w:val="TESlentelspavadinimas"/>
        <w:rPr>
          <w:noProof w:val="0"/>
        </w:rPr>
      </w:pPr>
      <w:r w:rsidRPr="00B21707">
        <w:rPr>
          <w:noProof w:val="0"/>
        </w:rPr>
        <w:t>*Nauji ir renovuoti B ir aukštesnės energinio naudingumo klasės pastatai</w:t>
      </w:r>
      <w:r>
        <w:rPr>
          <w:noProof w:val="0"/>
        </w:rPr>
        <w:t xml:space="preserve"> </w:t>
      </w:r>
      <w:r w:rsidRPr="00B21707">
        <w:rPr>
          <w:noProof w:val="0"/>
        </w:rPr>
        <w:t>iki 2020 m..</w:t>
      </w:r>
    </w:p>
    <w:p w14:paraId="6E70C129" w14:textId="77777777" w:rsidR="0099275B" w:rsidRPr="00B21707" w:rsidRDefault="0099275B" w:rsidP="0099275B">
      <w:pPr>
        <w:pStyle w:val="TESlentelspavadinimas"/>
        <w:rPr>
          <w:noProof w:val="0"/>
        </w:rPr>
      </w:pPr>
      <w:r w:rsidRPr="00B21707">
        <w:rPr>
          <w:noProof w:val="0"/>
        </w:rPr>
        <w:t>**</w:t>
      </w:r>
      <w:r>
        <w:rPr>
          <w:noProof w:val="0"/>
        </w:rPr>
        <w:t>Renovuotini pastatai nuo 2021</w:t>
      </w:r>
      <w:r w:rsidRPr="00B21707">
        <w:rPr>
          <w:noProof w:val="0"/>
        </w:rPr>
        <w:t xml:space="preserve"> m. </w:t>
      </w:r>
      <w:r>
        <w:rPr>
          <w:noProof w:val="0"/>
        </w:rPr>
        <w:t>su tarpiniais rodikliais 2030 m., 2040 m. ir 2050 m.</w:t>
      </w:r>
    </w:p>
    <w:p w14:paraId="1D9781CF" w14:textId="77777777" w:rsidR="003E4819" w:rsidRPr="003E4819" w:rsidRDefault="003E4819" w:rsidP="003E4819">
      <w:pPr>
        <w:pStyle w:val="TESlentelspavadinimas"/>
        <w:rPr>
          <w:noProof w:val="0"/>
        </w:rPr>
      </w:pPr>
    </w:p>
    <w:p w14:paraId="66066F48" w14:textId="2F85A2A8" w:rsidR="00D4764C" w:rsidRPr="00650EE4" w:rsidRDefault="00D4764C" w:rsidP="00016518">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2B034037" w14:textId="2973B37B" w:rsidR="000B1D75"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71AC4" w:rsidRPr="00650EE4">
        <w:rPr>
          <w:rFonts w:ascii="Times New Roman" w:hAnsi="Times New Roman"/>
          <w:szCs w:val="22"/>
        </w:rPr>
        <w:t>lanuojamu laikotarpiu b</w:t>
      </w:r>
      <w:r w:rsidR="000B1D75" w:rsidRPr="00650EE4">
        <w:rPr>
          <w:rFonts w:ascii="Times New Roman" w:hAnsi="Times New Roman"/>
          <w:szCs w:val="22"/>
        </w:rPr>
        <w:t>us siekiama renovuoti 30 tūkst. pastatų;</w:t>
      </w:r>
    </w:p>
    <w:p w14:paraId="04AABB88" w14:textId="58DD61B4" w:rsidR="00416B5E"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d</w:t>
      </w:r>
      <w:r w:rsidR="00416B5E" w:rsidRPr="00650EE4">
        <w:rPr>
          <w:rFonts w:ascii="Times New Roman" w:hAnsi="Times New Roman"/>
          <w:szCs w:val="22"/>
        </w:rPr>
        <w:t>augiabučiai sudarys tik 7 proc. visų renovuojamų pastatų skaičiaus, tačiau pasieks net 2</w:t>
      </w:r>
      <w:r w:rsidR="00576E41">
        <w:rPr>
          <w:rFonts w:ascii="Times New Roman" w:hAnsi="Times New Roman"/>
          <w:szCs w:val="22"/>
          <w:lang w:val="en-GB"/>
        </w:rPr>
        <w:t>5</w:t>
      </w:r>
      <w:r w:rsidR="00416B5E" w:rsidRPr="00650EE4">
        <w:rPr>
          <w:rFonts w:ascii="Times New Roman" w:hAnsi="Times New Roman"/>
          <w:szCs w:val="22"/>
        </w:rPr>
        <w:t xml:space="preserve"> proc. pirminės energijos ir 2</w:t>
      </w:r>
      <w:r w:rsidR="00576E41">
        <w:rPr>
          <w:rFonts w:ascii="Times New Roman" w:hAnsi="Times New Roman"/>
          <w:szCs w:val="22"/>
        </w:rPr>
        <w:t>4</w:t>
      </w:r>
      <w:r w:rsidR="00416B5E" w:rsidRPr="00650EE4">
        <w:rPr>
          <w:rFonts w:ascii="Times New Roman" w:hAnsi="Times New Roman"/>
          <w:szCs w:val="22"/>
        </w:rPr>
        <w:t xml:space="preserve"> proc. CO</w:t>
      </w:r>
      <w:r w:rsidR="00416B5E" w:rsidRPr="00650EE4">
        <w:rPr>
          <w:rFonts w:ascii="Times New Roman" w:hAnsi="Times New Roman"/>
          <w:szCs w:val="22"/>
          <w:vertAlign w:val="subscript"/>
        </w:rPr>
        <w:t>2</w:t>
      </w:r>
      <w:r w:rsidR="00416B5E" w:rsidRPr="00650EE4">
        <w:rPr>
          <w:rFonts w:ascii="Times New Roman" w:hAnsi="Times New Roman"/>
          <w:szCs w:val="22"/>
        </w:rPr>
        <w:t xml:space="preserve"> emisijų sutaupymų;</w:t>
      </w:r>
    </w:p>
    <w:p w14:paraId="6E5F750F" w14:textId="643A1AD6" w:rsidR="00252B05"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0B1D75" w:rsidRPr="00650EE4">
        <w:rPr>
          <w:rFonts w:ascii="Times New Roman" w:hAnsi="Times New Roman"/>
          <w:szCs w:val="22"/>
        </w:rPr>
        <w:t>o renovacijos</w:t>
      </w:r>
      <w:r w:rsidR="00576E41">
        <w:rPr>
          <w:rFonts w:ascii="Times New Roman" w:hAnsi="Times New Roman"/>
          <w:szCs w:val="22"/>
        </w:rPr>
        <w:t xml:space="preserve"> ir energetikos sektoriaus transformacijos</w:t>
      </w:r>
      <w:r w:rsidR="000B1D75" w:rsidRPr="00650EE4">
        <w:rPr>
          <w:rFonts w:ascii="Times New Roman" w:hAnsi="Times New Roman"/>
          <w:szCs w:val="22"/>
        </w:rPr>
        <w:t xml:space="preserve"> </w:t>
      </w:r>
      <w:r w:rsidR="000951BF" w:rsidRPr="00650EE4">
        <w:rPr>
          <w:rFonts w:ascii="Times New Roman" w:hAnsi="Times New Roman"/>
          <w:szCs w:val="22"/>
        </w:rPr>
        <w:t xml:space="preserve">pirminės energijos vartojimas sumažės </w:t>
      </w:r>
      <w:r w:rsidR="00576E41">
        <w:rPr>
          <w:rFonts w:ascii="Times New Roman" w:hAnsi="Times New Roman"/>
          <w:szCs w:val="22"/>
        </w:rPr>
        <w:t>51</w:t>
      </w:r>
      <w:r w:rsidR="000951BF" w:rsidRPr="00650EE4">
        <w:rPr>
          <w:rFonts w:ascii="Times New Roman" w:hAnsi="Times New Roman"/>
          <w:szCs w:val="22"/>
        </w:rPr>
        <w:t xml:space="preserve"> proc. (</w:t>
      </w:r>
      <w:r w:rsidR="000B1D75" w:rsidRPr="00650EE4">
        <w:rPr>
          <w:rFonts w:ascii="Times New Roman" w:hAnsi="Times New Roman"/>
          <w:szCs w:val="22"/>
        </w:rPr>
        <w:t>n</w:t>
      </w:r>
      <w:r w:rsidR="006674E6" w:rsidRPr="00650EE4">
        <w:rPr>
          <w:rFonts w:ascii="Times New Roman" w:hAnsi="Times New Roman"/>
          <w:szCs w:val="22"/>
        </w:rPr>
        <w:t xml:space="preserve">eefektyviausių pastatų </w:t>
      </w:r>
      <w:r w:rsidR="000951BF" w:rsidRPr="00650EE4">
        <w:rPr>
          <w:rFonts w:ascii="Times New Roman" w:hAnsi="Times New Roman"/>
          <w:szCs w:val="22"/>
        </w:rPr>
        <w:t>–</w:t>
      </w:r>
      <w:r w:rsidR="006674E6" w:rsidRPr="00650EE4">
        <w:rPr>
          <w:rFonts w:ascii="Times New Roman" w:hAnsi="Times New Roman"/>
          <w:szCs w:val="22"/>
        </w:rPr>
        <w:t xml:space="preserve"> 9</w:t>
      </w:r>
      <w:r w:rsidR="00576E41">
        <w:rPr>
          <w:rFonts w:ascii="Times New Roman" w:hAnsi="Times New Roman"/>
          <w:szCs w:val="22"/>
        </w:rPr>
        <w:t>3</w:t>
      </w:r>
      <w:r w:rsidR="006674E6" w:rsidRPr="00650EE4">
        <w:rPr>
          <w:rFonts w:ascii="Times New Roman" w:hAnsi="Times New Roman"/>
          <w:szCs w:val="22"/>
        </w:rPr>
        <w:t xml:space="preserve"> proc.</w:t>
      </w:r>
      <w:r w:rsidR="000951BF" w:rsidRPr="00650EE4">
        <w:rPr>
          <w:rFonts w:ascii="Times New Roman" w:hAnsi="Times New Roman"/>
          <w:szCs w:val="22"/>
        </w:rPr>
        <w:t>)</w:t>
      </w:r>
      <w:r w:rsidR="00880C2E" w:rsidRPr="00650EE4">
        <w:rPr>
          <w:rFonts w:ascii="Times New Roman" w:hAnsi="Times New Roman"/>
          <w:szCs w:val="22"/>
        </w:rPr>
        <w:t>;</w:t>
      </w:r>
    </w:p>
    <w:p w14:paraId="1AF3188A" w14:textId="38ABB790" w:rsidR="006674E6"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52B05" w:rsidRPr="00650EE4">
        <w:rPr>
          <w:rFonts w:ascii="Times New Roman" w:hAnsi="Times New Roman"/>
          <w:szCs w:val="22"/>
        </w:rPr>
        <w:t>o renovacijos</w:t>
      </w:r>
      <w:r w:rsidR="00576E41">
        <w:rPr>
          <w:rFonts w:ascii="Times New Roman" w:hAnsi="Times New Roman"/>
          <w:szCs w:val="22"/>
        </w:rPr>
        <w:t xml:space="preserve"> ir energetikos sektoriaus transformacijos</w:t>
      </w:r>
      <w:r w:rsidR="00252B05" w:rsidRPr="00650EE4">
        <w:rPr>
          <w:rFonts w:ascii="Times New Roman" w:hAnsi="Times New Roman"/>
          <w:szCs w:val="22"/>
        </w:rPr>
        <w:t xml:space="preserve"> </w:t>
      </w:r>
      <w:r w:rsidR="000951BF" w:rsidRPr="00650EE4">
        <w:rPr>
          <w:rFonts w:ascii="Times New Roman" w:hAnsi="Times New Roman"/>
          <w:szCs w:val="22"/>
        </w:rPr>
        <w:t>CO</w:t>
      </w:r>
      <w:r w:rsidR="000951BF" w:rsidRPr="00650EE4">
        <w:rPr>
          <w:rFonts w:ascii="Times New Roman" w:hAnsi="Times New Roman"/>
          <w:szCs w:val="22"/>
          <w:vertAlign w:val="subscript"/>
        </w:rPr>
        <w:t>2</w:t>
      </w:r>
      <w:r w:rsidR="000951BF" w:rsidRPr="00650EE4">
        <w:rPr>
          <w:rFonts w:ascii="Times New Roman" w:hAnsi="Times New Roman"/>
          <w:szCs w:val="22"/>
        </w:rPr>
        <w:t xml:space="preserve"> emisijos sumažės </w:t>
      </w:r>
      <w:r w:rsidR="00576E41">
        <w:rPr>
          <w:rFonts w:ascii="Times New Roman" w:hAnsi="Times New Roman"/>
          <w:szCs w:val="22"/>
        </w:rPr>
        <w:t>100</w:t>
      </w:r>
      <w:r w:rsidR="000951BF" w:rsidRPr="00650EE4">
        <w:rPr>
          <w:rFonts w:ascii="Times New Roman" w:hAnsi="Times New Roman"/>
          <w:szCs w:val="22"/>
        </w:rPr>
        <w:t xml:space="preserve"> proc.</w:t>
      </w:r>
    </w:p>
    <w:p w14:paraId="59BF31EE" w14:textId="12FA23BF" w:rsidR="00F111BF" w:rsidRPr="00650EE4" w:rsidRDefault="00F111BF" w:rsidP="002F1F13">
      <w:pPr>
        <w:jc w:val="both"/>
        <w:rPr>
          <w:rFonts w:ascii="Times New Roman" w:hAnsi="Times New Roman"/>
          <w:color w:val="000000" w:themeColor="text1"/>
          <w:szCs w:val="22"/>
        </w:rPr>
      </w:pPr>
    </w:p>
    <w:p w14:paraId="2139FF00" w14:textId="47E54B28" w:rsidR="006A2C33" w:rsidRPr="00650EE4" w:rsidRDefault="006A2C33"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72" w:name="_Toc67925271"/>
      <w:r w:rsidR="007744C1">
        <w:t>23</w:t>
      </w:r>
      <w:r w:rsidRPr="00650EE4">
        <w:rPr>
          <w:noProof w:val="0"/>
        </w:rPr>
        <w:fldChar w:fldCharType="end"/>
      </w:r>
      <w:r w:rsidRPr="00650EE4">
        <w:rPr>
          <w:noProof w:val="0"/>
        </w:rPr>
        <w:t xml:space="preserve"> paveikslas. </w:t>
      </w:r>
      <w:r w:rsidR="00B4622F" w:rsidRPr="00650EE4">
        <w:rPr>
          <w:noProof w:val="0"/>
        </w:rPr>
        <w:t xml:space="preserve">Siekiami </w:t>
      </w:r>
      <w:r w:rsidR="000B16A6" w:rsidRPr="00650EE4">
        <w:rPr>
          <w:noProof w:val="0"/>
        </w:rPr>
        <w:t>d</w:t>
      </w:r>
      <w:r w:rsidRPr="00650EE4">
        <w:rPr>
          <w:noProof w:val="0"/>
        </w:rPr>
        <w:t>augiabučių pastatų renovacijos tempai</w:t>
      </w:r>
      <w:bookmarkEnd w:id="172"/>
    </w:p>
    <w:p w14:paraId="01DB55DB" w14:textId="54D4545C" w:rsidR="00764C7E" w:rsidRPr="00650EE4" w:rsidRDefault="00576E41" w:rsidP="00631BA6">
      <w:pPr>
        <w:pStyle w:val="TESlentelspavadinimas"/>
        <w:rPr>
          <w:noProof w:val="0"/>
          <w:sz w:val="24"/>
          <w:szCs w:val="24"/>
        </w:rPr>
      </w:pPr>
      <w:r>
        <w:rPr>
          <w:lang w:eastAsia="lt-LT"/>
        </w:rPr>
        <w:drawing>
          <wp:inline distT="0" distB="0" distL="0" distR="0" wp14:anchorId="70B53100" wp14:editId="22A4E5C3">
            <wp:extent cx="6479540" cy="1802765"/>
            <wp:effectExtent l="0" t="0" r="16510" b="26035"/>
            <wp:docPr id="39" name="Chart 3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DDB45-0960-4706-B351-628965601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EFEFF9" w14:textId="57B85B29" w:rsidR="00B55DC7" w:rsidRPr="00650EE4" w:rsidRDefault="00B55DC7"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696DF318" w14:textId="78F398B1" w:rsidR="007C555D" w:rsidRPr="00650EE4" w:rsidRDefault="007C555D" w:rsidP="007C555D">
      <w:pPr>
        <w:pStyle w:val="Pagrindinispaprastastekstas"/>
        <w:rPr>
          <w:rFonts w:ascii="Times New Roman" w:hAnsi="Times New Roman"/>
        </w:rPr>
      </w:pPr>
      <w:r w:rsidRPr="00650EE4">
        <w:rPr>
          <w:rFonts w:ascii="Times New Roman" w:hAnsi="Times New Roman"/>
        </w:rPr>
        <w:t xml:space="preserve">Daugiabučių pastatų renovacijos tempų prognozė pagrįsta planuojamomis paramos priemonėmis, orientuotomis į </w:t>
      </w:r>
      <w:proofErr w:type="spellStart"/>
      <w:r w:rsidR="0046182E" w:rsidRPr="00650EE4">
        <w:rPr>
          <w:rFonts w:ascii="Times New Roman" w:hAnsi="Times New Roman"/>
        </w:rPr>
        <w:t>kvartalinės</w:t>
      </w:r>
      <w:proofErr w:type="spellEnd"/>
      <w:r w:rsidRPr="00650EE4">
        <w:rPr>
          <w:rFonts w:ascii="Times New Roman" w:hAnsi="Times New Roman"/>
        </w:rPr>
        <w:t xml:space="preserve"> renovacijos </w:t>
      </w:r>
      <w:r w:rsidRPr="000A008D">
        <w:rPr>
          <w:rFonts w:ascii="Times New Roman" w:hAnsi="Times New Roman"/>
        </w:rPr>
        <w:t xml:space="preserve">skatinimą (žr. </w:t>
      </w:r>
      <w:r w:rsidR="00436287" w:rsidRPr="000A008D">
        <w:rPr>
          <w:rFonts w:ascii="Times New Roman" w:hAnsi="Times New Roman"/>
        </w:rPr>
        <w:t>6</w:t>
      </w:r>
      <w:r w:rsidR="000A008D" w:rsidRPr="000A008D">
        <w:rPr>
          <w:rFonts w:ascii="Times New Roman" w:hAnsi="Times New Roman"/>
        </w:rPr>
        <w:t>.</w:t>
      </w:r>
      <w:r w:rsidR="000A008D" w:rsidRPr="000A008D">
        <w:rPr>
          <w:rFonts w:ascii="Times New Roman" w:hAnsi="Times New Roman"/>
          <w:lang w:val="en-GB"/>
        </w:rPr>
        <w:t>2</w:t>
      </w:r>
      <w:r w:rsidRPr="000A008D">
        <w:rPr>
          <w:rFonts w:ascii="Times New Roman" w:hAnsi="Times New Roman"/>
        </w:rPr>
        <w:t xml:space="preserve"> skyrių)</w:t>
      </w:r>
      <w:r w:rsidR="005B268B" w:rsidRPr="000A008D">
        <w:rPr>
          <w:rFonts w:ascii="Times New Roman" w:hAnsi="Times New Roman"/>
        </w:rPr>
        <w:t>.</w:t>
      </w:r>
    </w:p>
    <w:p w14:paraId="6005B04C" w14:textId="0EDB70CD" w:rsidR="006866B5" w:rsidRPr="00650EE4" w:rsidRDefault="006866B5" w:rsidP="006866B5">
      <w:pPr>
        <w:pStyle w:val="Antrastes31"/>
        <w:numPr>
          <w:ilvl w:val="2"/>
          <w:numId w:val="4"/>
        </w:numPr>
        <w:spacing w:before="120"/>
        <w:ind w:left="720" w:hanging="720"/>
        <w:rPr>
          <w:rFonts w:ascii="Times New Roman" w:hAnsi="Times New Roman"/>
          <w:color w:val="auto"/>
          <w:sz w:val="24"/>
          <w:szCs w:val="24"/>
          <w:lang w:val="lt-LT"/>
        </w:rPr>
      </w:pPr>
      <w:bookmarkStart w:id="173" w:name="_Toc46399964"/>
      <w:bookmarkStart w:id="174" w:name="_Toc67925164"/>
      <w:r w:rsidRPr="00650EE4">
        <w:rPr>
          <w:rFonts w:ascii="Times New Roman" w:hAnsi="Times New Roman"/>
          <w:color w:val="000000" w:themeColor="text1"/>
          <w:sz w:val="24"/>
          <w:szCs w:val="24"/>
          <w:lang w:val="lt-LT"/>
        </w:rPr>
        <w:lastRenderedPageBreak/>
        <w:t>Individualūs namai</w:t>
      </w:r>
      <w:bookmarkEnd w:id="173"/>
      <w:bookmarkEnd w:id="174"/>
    </w:p>
    <w:p w14:paraId="42D59071" w14:textId="2EB86DCD" w:rsidR="006D0165" w:rsidRPr="00650EE4" w:rsidRDefault="006D0165" w:rsidP="006D0165">
      <w:pPr>
        <w:spacing w:before="240" w:after="120"/>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pateikiami siektini Individualių namų renovacijos rodikliai:</w:t>
      </w:r>
    </w:p>
    <w:p w14:paraId="16132302" w14:textId="30DC35DC" w:rsidR="006D0165"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5" w:name="_Toc67925241"/>
      <w:r w:rsidR="007744C1">
        <w:t>58</w:t>
      </w:r>
      <w:r w:rsidRPr="00650EE4">
        <w:rPr>
          <w:noProof w:val="0"/>
        </w:rPr>
        <w:fldChar w:fldCharType="end"/>
      </w:r>
      <w:r w:rsidR="006D0165" w:rsidRPr="00650EE4">
        <w:rPr>
          <w:noProof w:val="0"/>
        </w:rPr>
        <w:t xml:space="preserve"> lentelė. </w:t>
      </w:r>
      <w:r w:rsidR="00573F22" w:rsidRPr="00650EE4">
        <w:rPr>
          <w:noProof w:val="0"/>
        </w:rPr>
        <w:t>Individualių</w:t>
      </w:r>
      <w:r w:rsidR="006D0165" w:rsidRPr="00650EE4">
        <w:rPr>
          <w:noProof w:val="0"/>
        </w:rPr>
        <w:t xml:space="preserve"> </w:t>
      </w:r>
      <w:r w:rsidR="00671A3C" w:rsidRPr="00650EE4">
        <w:rPr>
          <w:noProof w:val="0"/>
        </w:rPr>
        <w:t xml:space="preserve">namų </w:t>
      </w:r>
      <w:r w:rsidR="006D0165" w:rsidRPr="00650EE4">
        <w:rPr>
          <w:noProof w:val="0"/>
        </w:rPr>
        <w:t>renovacijos rodikliai</w:t>
      </w:r>
      <w:bookmarkEnd w:id="175"/>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1002"/>
        <w:gridCol w:w="866"/>
        <w:gridCol w:w="966"/>
        <w:gridCol w:w="1066"/>
        <w:gridCol w:w="1066"/>
      </w:tblGrid>
      <w:tr w:rsidR="00576E41" w:rsidRPr="00521FEE" w14:paraId="67061EB2"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E8F94" w14:textId="77777777" w:rsidR="00576E41" w:rsidRPr="00521FEE" w:rsidRDefault="00576E41" w:rsidP="009D1C15">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6F2D1" w14:textId="77777777" w:rsidR="00576E41" w:rsidRPr="00521FEE" w:rsidRDefault="00576E41" w:rsidP="009D1C15">
            <w:pPr>
              <w:spacing w:line="240" w:lineRule="auto"/>
              <w:ind w:right="-20"/>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E0270"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0333F"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A9FF9"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7FF9E" w14:textId="77777777" w:rsidR="00576E41" w:rsidRPr="00521FEE" w:rsidRDefault="00576E41"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576E41" w:rsidRPr="006B7FAD" w14:paraId="772D489E"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48BBF"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20C9C" w14:textId="77777777" w:rsidR="00576E41" w:rsidRPr="006B7FAD" w:rsidRDefault="00576E41" w:rsidP="009D1C15">
            <w:pPr>
              <w:spacing w:line="240" w:lineRule="auto"/>
              <w:ind w:right="-20"/>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A77A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13.819</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CA68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11.693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E05C6"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8.269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0709E"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4.244</w:t>
            </w:r>
          </w:p>
        </w:tc>
      </w:tr>
      <w:tr w:rsidR="00576E41" w:rsidRPr="006B7FAD" w14:paraId="7E663E91"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D2D5"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FEB68"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6A6D5"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B201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B86C6"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E210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w:t>
            </w:r>
          </w:p>
        </w:tc>
      </w:tr>
      <w:tr w:rsidR="00576E41" w:rsidRPr="006B7FAD" w14:paraId="2A6264C5"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B3AE3"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ED3D5" w14:textId="77777777" w:rsidR="00576E41" w:rsidRPr="006B7FAD" w:rsidRDefault="00576E41" w:rsidP="009D1C15">
            <w:pPr>
              <w:spacing w:line="240" w:lineRule="auto"/>
              <w:ind w:right="-20"/>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6328"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7.581</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5A1A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5.899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7D012"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3.192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6302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w:t>
            </w:r>
          </w:p>
        </w:tc>
      </w:tr>
      <w:tr w:rsidR="00576E41" w:rsidRPr="006B7FAD" w14:paraId="2F0A700E"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0A52C"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D4706"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9A4D"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E761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5C67F"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CC41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576E41" w:rsidRPr="006B7FAD" w14:paraId="5D55108E"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9A58C"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0CB3E"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EC2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1.570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C8953"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1.224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D1F2E"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666</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1DC16"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0</w:t>
            </w:r>
          </w:p>
        </w:tc>
      </w:tr>
      <w:tr w:rsidR="00576E41" w:rsidRPr="006B7FAD" w14:paraId="4DE0E32F"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90C40"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7C5F9"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2A951"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64352"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171CA"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7136C"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w:t>
            </w:r>
          </w:p>
        </w:tc>
      </w:tr>
      <w:tr w:rsidR="00576E41" w:rsidRPr="006B7FAD" w14:paraId="4D718D31"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870D1"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CED98" w14:textId="3AEF36B2" w:rsidR="00576E41" w:rsidRPr="006B7FAD" w:rsidRDefault="00576E41" w:rsidP="009D1C15">
            <w:pPr>
              <w:spacing w:line="240" w:lineRule="auto"/>
              <w:ind w:right="-20"/>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E11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25.937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F3FBF"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20.527</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D36B1"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12.161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7CF8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2.424</w:t>
            </w:r>
          </w:p>
        </w:tc>
      </w:tr>
      <w:tr w:rsidR="00576E41" w:rsidRPr="006B7FAD" w14:paraId="1DF0123C"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27A27"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4EC7B" w14:textId="77777777" w:rsidR="00576E41" w:rsidRPr="006B7FAD" w:rsidRDefault="00576E41" w:rsidP="009D1C15">
            <w:pPr>
              <w:spacing w:line="240" w:lineRule="auto"/>
              <w:ind w:right="-20"/>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FB01"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9.714</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A4AC6"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7.531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37FF9"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4.330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13877"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657</w:t>
            </w:r>
          </w:p>
        </w:tc>
      </w:tr>
      <w:tr w:rsidR="00576E41" w:rsidRPr="006B7FAD" w14:paraId="7BEEF56C"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85BF2"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C05B7"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41D2B"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FAC60"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4A9BA"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03004" w14:textId="77777777"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576E41" w:rsidRPr="006B7FAD" w14:paraId="59FE6EF3"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A26A0"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87B4D"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F1522" w14:textId="725B671F" w:rsidR="00576E41" w:rsidRPr="006B7FAD" w:rsidRDefault="002A5C54"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47.503*</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AA33A" w14:textId="48D736BE"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78.893</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4B4CD" w14:textId="07783C2C"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205.913</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8CFF4" w14:textId="2AA91178"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355.261</w:t>
            </w:r>
            <w:r w:rsidR="002A5C54">
              <w:rPr>
                <w:rFonts w:ascii="Times New Roman" w:eastAsia="Times New Roman" w:hAnsi="Times New Roman"/>
                <w:sz w:val="20"/>
                <w:szCs w:val="20"/>
                <w:lang w:eastAsia="lt-LT"/>
              </w:rPr>
              <w:t>**</w:t>
            </w:r>
          </w:p>
        </w:tc>
      </w:tr>
      <w:tr w:rsidR="00576E41" w:rsidRPr="006B7FAD" w14:paraId="1B09ED6A"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3452C"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5F88"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AC73D" w14:textId="3B8CBB6B" w:rsidR="00576E41" w:rsidRPr="006B7FAD" w:rsidRDefault="00881AA1"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9</w:t>
            </w:r>
            <w:r w:rsidR="00576E41" w:rsidRPr="006B7FAD">
              <w:rPr>
                <w:rFonts w:ascii="Times New Roman" w:eastAsia="Times New Roman" w:hAnsi="Times New Roman"/>
                <w:sz w:val="20"/>
                <w:szCs w:val="20"/>
                <w:lang w:eastAsia="lt-LT"/>
              </w:rPr>
              <w:t>%</w:t>
            </w:r>
            <w:r w:rsidR="002A5C54">
              <w:rPr>
                <w:rFonts w:ascii="Times New Roman" w:eastAsia="Times New Roman" w:hAnsi="Times New Roman"/>
                <w:sz w:val="20"/>
                <w:szCs w:val="20"/>
                <w:lang w:eastAsia="lt-LT"/>
              </w:rPr>
              <w:t>*</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A390A" w14:textId="330FE5E3"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17%</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1239" w14:textId="03F2FF46"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44%</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6C32B" w14:textId="1C37D0B0"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76%</w:t>
            </w:r>
            <w:r w:rsidR="002A5C54">
              <w:rPr>
                <w:rFonts w:ascii="Times New Roman" w:eastAsia="Times New Roman" w:hAnsi="Times New Roman"/>
                <w:sz w:val="20"/>
                <w:szCs w:val="20"/>
                <w:lang w:eastAsia="lt-LT"/>
              </w:rPr>
              <w:t>**</w:t>
            </w:r>
          </w:p>
        </w:tc>
      </w:tr>
      <w:tr w:rsidR="00576E41" w:rsidRPr="006B7FAD" w14:paraId="3C0D2D9B"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5B61A"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7DEF0" w14:textId="7F4ECEB5" w:rsidR="00576E41" w:rsidRPr="006B7FAD" w:rsidRDefault="00576E41" w:rsidP="009D1C15">
            <w:pPr>
              <w:spacing w:line="240" w:lineRule="auto"/>
              <w:ind w:right="-20"/>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04859" w14:textId="2CC0FEA5" w:rsidR="00576E41" w:rsidRPr="006B7FAD" w:rsidRDefault="002A5C54"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8.124*</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449CA" w14:textId="244DA284"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8.162</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F7A7C" w14:textId="51606CBB"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21.302</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D86B" w14:textId="7B382669"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36.752</w:t>
            </w:r>
            <w:r w:rsidR="002A5C54">
              <w:rPr>
                <w:rFonts w:ascii="Times New Roman" w:eastAsia="Times New Roman" w:hAnsi="Times New Roman"/>
                <w:sz w:val="20"/>
                <w:szCs w:val="20"/>
                <w:lang w:eastAsia="lt-LT"/>
              </w:rPr>
              <w:t>**</w:t>
            </w:r>
          </w:p>
        </w:tc>
      </w:tr>
      <w:tr w:rsidR="00576E41" w:rsidRPr="006B7FAD" w14:paraId="52708E84"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B57A4" w14:textId="77777777" w:rsidR="00576E41" w:rsidRPr="006B7FAD" w:rsidRDefault="00576E41"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E2198" w14:textId="77777777" w:rsidR="00576E41" w:rsidRPr="006B7FAD" w:rsidRDefault="00576E41" w:rsidP="009D1C15">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B9716" w14:textId="6A10ACAD" w:rsidR="00576E41" w:rsidRPr="006B7FAD" w:rsidRDefault="00881AA1"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12</w:t>
            </w:r>
            <w:r w:rsidR="00576E41" w:rsidRPr="006B7FAD">
              <w:rPr>
                <w:rFonts w:ascii="Times New Roman" w:eastAsia="Times New Roman" w:hAnsi="Times New Roman"/>
                <w:sz w:val="20"/>
                <w:szCs w:val="20"/>
                <w:lang w:eastAsia="lt-LT"/>
              </w:rPr>
              <w:t>%</w:t>
            </w:r>
            <w:r w:rsidR="002A5C54">
              <w:rPr>
                <w:rFonts w:ascii="Times New Roman" w:eastAsia="Times New Roman" w:hAnsi="Times New Roman"/>
                <w:sz w:val="20"/>
                <w:szCs w:val="20"/>
                <w:lang w:eastAsia="lt-LT"/>
              </w:rPr>
              <w:t>*</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02326" w14:textId="34267A3D"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16%</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141E5" w14:textId="01CE79CF"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r w:rsidR="002A5C54">
              <w:rPr>
                <w:rFonts w:ascii="Times New Roman" w:eastAsia="Times New Roman" w:hAnsi="Times New Roman"/>
                <w:sz w:val="20"/>
                <w:szCs w:val="20"/>
                <w:lang w:eastAsia="lt-LT"/>
              </w:rPr>
              <w:t>**</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9C6E9" w14:textId="6923A31C" w:rsidR="00576E41" w:rsidRPr="006B7FAD" w:rsidRDefault="00576E41"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74%</w:t>
            </w:r>
            <w:r w:rsidR="002A5C54">
              <w:rPr>
                <w:rFonts w:ascii="Times New Roman" w:eastAsia="Times New Roman" w:hAnsi="Times New Roman"/>
                <w:sz w:val="20"/>
                <w:szCs w:val="20"/>
                <w:lang w:eastAsia="lt-LT"/>
              </w:rPr>
              <w:t>**</w:t>
            </w:r>
          </w:p>
        </w:tc>
      </w:tr>
    </w:tbl>
    <w:p w14:paraId="698FE277" w14:textId="262CCEE1" w:rsidR="006D0165" w:rsidRPr="00650EE4" w:rsidRDefault="006D0165" w:rsidP="00631BA6">
      <w:pPr>
        <w:pStyle w:val="TESlentelspavadinimas"/>
        <w:rPr>
          <w:noProof w:val="0"/>
        </w:rPr>
      </w:pPr>
      <w:r w:rsidRPr="00650EE4">
        <w:rPr>
          <w:noProof w:val="0"/>
        </w:rPr>
        <w:t xml:space="preserve">Šaltinis: </w:t>
      </w:r>
      <w:r w:rsidR="0019694C" w:rsidRPr="00650EE4">
        <w:rPr>
          <w:noProof w:val="0"/>
        </w:rPr>
        <w:t>S</w:t>
      </w:r>
      <w:r w:rsidRPr="00650EE4">
        <w:rPr>
          <w:noProof w:val="0"/>
        </w:rPr>
        <w:t xml:space="preserve">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76AF3595" w14:textId="77777777" w:rsidR="0099275B" w:rsidRPr="00B21707" w:rsidRDefault="0099275B" w:rsidP="0099275B">
      <w:pPr>
        <w:pStyle w:val="TESlentelspavadinimas"/>
        <w:rPr>
          <w:noProof w:val="0"/>
        </w:rPr>
      </w:pPr>
      <w:r w:rsidRPr="00B21707">
        <w:rPr>
          <w:noProof w:val="0"/>
        </w:rPr>
        <w:t>*Nauji ir renovuoti B ir aukštesnės energinio naudingumo klasės pastatai</w:t>
      </w:r>
      <w:r>
        <w:rPr>
          <w:noProof w:val="0"/>
        </w:rPr>
        <w:t xml:space="preserve"> </w:t>
      </w:r>
      <w:r w:rsidRPr="00B21707">
        <w:rPr>
          <w:noProof w:val="0"/>
        </w:rPr>
        <w:t>iki 2020 m..</w:t>
      </w:r>
    </w:p>
    <w:p w14:paraId="3AA7805A" w14:textId="77777777" w:rsidR="0099275B" w:rsidRPr="00B21707" w:rsidRDefault="0099275B" w:rsidP="0099275B">
      <w:pPr>
        <w:pStyle w:val="TESlentelspavadinimas"/>
        <w:rPr>
          <w:noProof w:val="0"/>
        </w:rPr>
      </w:pPr>
      <w:r w:rsidRPr="00B21707">
        <w:rPr>
          <w:noProof w:val="0"/>
        </w:rPr>
        <w:t>**</w:t>
      </w:r>
      <w:r>
        <w:rPr>
          <w:noProof w:val="0"/>
        </w:rPr>
        <w:t>Renovuotini pastatai nuo 2021</w:t>
      </w:r>
      <w:r w:rsidRPr="00B21707">
        <w:rPr>
          <w:noProof w:val="0"/>
        </w:rPr>
        <w:t xml:space="preserve"> m. </w:t>
      </w:r>
      <w:r>
        <w:rPr>
          <w:noProof w:val="0"/>
        </w:rPr>
        <w:t>su tarpiniais rodikliais 2030 m., 2040 m. ir 2050 m.</w:t>
      </w:r>
    </w:p>
    <w:p w14:paraId="1AD00092" w14:textId="77777777" w:rsidR="00767540" w:rsidRPr="00650EE4" w:rsidRDefault="00767540" w:rsidP="00767540">
      <w:pPr>
        <w:rPr>
          <w:rFonts w:ascii="Times New Roman" w:hAnsi="Times New Roman"/>
          <w:szCs w:val="22"/>
        </w:rPr>
      </w:pPr>
    </w:p>
    <w:p w14:paraId="38B2A812" w14:textId="77777777" w:rsidR="00767540" w:rsidRPr="00650EE4" w:rsidRDefault="00767540" w:rsidP="00767540">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38E69BDF" w14:textId="0CD6E9E1" w:rsidR="00767540"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767540" w:rsidRPr="00650EE4">
        <w:rPr>
          <w:rFonts w:ascii="Times New Roman" w:hAnsi="Times New Roman"/>
          <w:szCs w:val="22"/>
        </w:rPr>
        <w:t>lanuojamu laikotarpiu bus siekiama renovuoti 3</w:t>
      </w:r>
      <w:r w:rsidR="00692FBE" w:rsidRPr="00650EE4">
        <w:rPr>
          <w:rFonts w:ascii="Times New Roman" w:hAnsi="Times New Roman"/>
          <w:szCs w:val="22"/>
        </w:rPr>
        <w:t>55</w:t>
      </w:r>
      <w:r w:rsidR="00767540" w:rsidRPr="00650EE4">
        <w:rPr>
          <w:rFonts w:ascii="Times New Roman" w:hAnsi="Times New Roman"/>
          <w:szCs w:val="22"/>
        </w:rPr>
        <w:t xml:space="preserve"> tūkst. pastatų</w:t>
      </w:r>
      <w:r w:rsidR="005B5D4E" w:rsidRPr="00650EE4">
        <w:rPr>
          <w:rFonts w:ascii="Times New Roman" w:hAnsi="Times New Roman"/>
          <w:szCs w:val="22"/>
        </w:rPr>
        <w:t>;</w:t>
      </w:r>
    </w:p>
    <w:p w14:paraId="20D7D87D" w14:textId="2980DBF2" w:rsidR="000F6643"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individualūs namai sudarys</w:t>
      </w:r>
      <w:r w:rsidR="000F6643" w:rsidRPr="00650EE4">
        <w:rPr>
          <w:rFonts w:ascii="Times New Roman" w:hAnsi="Times New Roman"/>
          <w:szCs w:val="22"/>
        </w:rPr>
        <w:t xml:space="preserve"> 81 proc. visų renovuojamų pastatų skaičiaus, pasieks 3</w:t>
      </w:r>
      <w:r w:rsidR="00772ABB">
        <w:rPr>
          <w:rFonts w:ascii="Times New Roman" w:hAnsi="Times New Roman"/>
          <w:szCs w:val="22"/>
        </w:rPr>
        <w:t>9</w:t>
      </w:r>
      <w:r w:rsidR="000F6643" w:rsidRPr="00650EE4">
        <w:rPr>
          <w:rFonts w:ascii="Times New Roman" w:hAnsi="Times New Roman"/>
          <w:szCs w:val="22"/>
        </w:rPr>
        <w:t xml:space="preserve"> proc. pirminės energijos ir </w:t>
      </w:r>
      <w:r w:rsidR="00A860C3" w:rsidRPr="00650EE4">
        <w:rPr>
          <w:rFonts w:ascii="Times New Roman" w:hAnsi="Times New Roman"/>
          <w:szCs w:val="22"/>
        </w:rPr>
        <w:t>3</w:t>
      </w:r>
      <w:r w:rsidR="00772ABB">
        <w:rPr>
          <w:rFonts w:ascii="Times New Roman" w:hAnsi="Times New Roman"/>
          <w:szCs w:val="22"/>
        </w:rPr>
        <w:t>0</w:t>
      </w:r>
      <w:r w:rsidR="000F6643" w:rsidRPr="00650EE4">
        <w:rPr>
          <w:rFonts w:ascii="Times New Roman" w:hAnsi="Times New Roman"/>
          <w:szCs w:val="22"/>
        </w:rPr>
        <w:t xml:space="preserve"> proc. CO</w:t>
      </w:r>
      <w:r w:rsidR="000F6643" w:rsidRPr="00650EE4">
        <w:rPr>
          <w:rFonts w:ascii="Times New Roman" w:hAnsi="Times New Roman"/>
          <w:szCs w:val="22"/>
          <w:vertAlign w:val="subscript"/>
        </w:rPr>
        <w:t>2</w:t>
      </w:r>
      <w:r w:rsidR="000F6643" w:rsidRPr="00650EE4">
        <w:rPr>
          <w:rFonts w:ascii="Times New Roman" w:hAnsi="Times New Roman"/>
          <w:szCs w:val="22"/>
        </w:rPr>
        <w:t xml:space="preserve"> emisijų sutaupymų;</w:t>
      </w:r>
    </w:p>
    <w:p w14:paraId="4B599247" w14:textId="7FA6D5C6" w:rsidR="00A03B86"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03B86" w:rsidRPr="00650EE4">
        <w:rPr>
          <w:rFonts w:ascii="Times New Roman" w:hAnsi="Times New Roman"/>
          <w:szCs w:val="22"/>
        </w:rPr>
        <w:t>o renovacijos</w:t>
      </w:r>
      <w:r w:rsidR="00772ABB">
        <w:rPr>
          <w:rFonts w:ascii="Times New Roman" w:hAnsi="Times New Roman"/>
          <w:szCs w:val="22"/>
        </w:rPr>
        <w:t xml:space="preserve"> ir energetikos sektoriaus transformacijos</w:t>
      </w:r>
      <w:r w:rsidR="00A03B86" w:rsidRPr="00650EE4">
        <w:rPr>
          <w:rFonts w:ascii="Times New Roman" w:hAnsi="Times New Roman"/>
          <w:szCs w:val="22"/>
        </w:rPr>
        <w:t xml:space="preserve"> pirminės energijos vartojimas sumažės </w:t>
      </w:r>
      <w:r w:rsidR="00772ABB">
        <w:rPr>
          <w:rFonts w:ascii="Times New Roman" w:hAnsi="Times New Roman"/>
          <w:szCs w:val="22"/>
        </w:rPr>
        <w:t>69</w:t>
      </w:r>
      <w:r w:rsidR="00A03B86" w:rsidRPr="00650EE4">
        <w:rPr>
          <w:rFonts w:ascii="Times New Roman" w:hAnsi="Times New Roman"/>
          <w:szCs w:val="22"/>
        </w:rPr>
        <w:t xml:space="preserve"> proc. (neefektyviausių pastatų – </w:t>
      </w:r>
      <w:r w:rsidR="006B3D08" w:rsidRPr="00650EE4">
        <w:rPr>
          <w:rFonts w:ascii="Times New Roman" w:hAnsi="Times New Roman"/>
          <w:szCs w:val="22"/>
        </w:rPr>
        <w:t>9</w:t>
      </w:r>
      <w:r w:rsidR="00772ABB">
        <w:rPr>
          <w:rFonts w:ascii="Times New Roman" w:hAnsi="Times New Roman"/>
          <w:szCs w:val="22"/>
        </w:rPr>
        <w:t>3</w:t>
      </w:r>
      <w:r w:rsidR="00A03B86" w:rsidRPr="00650EE4">
        <w:rPr>
          <w:rFonts w:ascii="Times New Roman" w:hAnsi="Times New Roman"/>
          <w:szCs w:val="22"/>
        </w:rPr>
        <w:t xml:space="preserve"> proc.);</w:t>
      </w:r>
    </w:p>
    <w:p w14:paraId="464D8921" w14:textId="1D20AF2D" w:rsidR="00A03B86"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03B86" w:rsidRPr="00650EE4">
        <w:rPr>
          <w:rFonts w:ascii="Times New Roman" w:hAnsi="Times New Roman"/>
          <w:szCs w:val="22"/>
        </w:rPr>
        <w:t>o renovacijos</w:t>
      </w:r>
      <w:r w:rsidR="00772ABB">
        <w:rPr>
          <w:rFonts w:ascii="Times New Roman" w:hAnsi="Times New Roman"/>
          <w:szCs w:val="22"/>
        </w:rPr>
        <w:t xml:space="preserve"> ir energetikos sektoriaus transformacijos</w:t>
      </w:r>
      <w:r w:rsidR="00A03B86" w:rsidRPr="00650EE4">
        <w:rPr>
          <w:rFonts w:ascii="Times New Roman" w:hAnsi="Times New Roman"/>
          <w:szCs w:val="22"/>
        </w:rPr>
        <w:t xml:space="preserve"> CO</w:t>
      </w:r>
      <w:r w:rsidR="00A03B86" w:rsidRPr="00650EE4">
        <w:rPr>
          <w:rFonts w:ascii="Times New Roman" w:hAnsi="Times New Roman"/>
          <w:szCs w:val="22"/>
          <w:vertAlign w:val="subscript"/>
        </w:rPr>
        <w:t>2</w:t>
      </w:r>
      <w:r w:rsidR="00A03B86" w:rsidRPr="00650EE4">
        <w:rPr>
          <w:rFonts w:ascii="Times New Roman" w:hAnsi="Times New Roman"/>
          <w:szCs w:val="22"/>
        </w:rPr>
        <w:t xml:space="preserve"> emisijos sumažės </w:t>
      </w:r>
      <w:r w:rsidR="00772ABB">
        <w:rPr>
          <w:rFonts w:ascii="Times New Roman" w:hAnsi="Times New Roman"/>
          <w:szCs w:val="22"/>
        </w:rPr>
        <w:t>100</w:t>
      </w:r>
      <w:r w:rsidR="00A03B86" w:rsidRPr="00650EE4">
        <w:rPr>
          <w:rFonts w:ascii="Times New Roman" w:hAnsi="Times New Roman"/>
          <w:szCs w:val="22"/>
        </w:rPr>
        <w:t xml:space="preserve"> proc.</w:t>
      </w:r>
    </w:p>
    <w:p w14:paraId="4897C780" w14:textId="77777777" w:rsidR="00772ABB" w:rsidRDefault="00772ABB" w:rsidP="00772ABB">
      <w:pPr>
        <w:jc w:val="both"/>
        <w:rPr>
          <w:rFonts w:ascii="Times New Roman" w:hAnsi="Times New Roman"/>
          <w:color w:val="000000" w:themeColor="text1"/>
          <w:szCs w:val="22"/>
        </w:rPr>
      </w:pPr>
    </w:p>
    <w:p w14:paraId="0DD96A32" w14:textId="6B2A9C21" w:rsidR="00772ABB" w:rsidRPr="00772ABB" w:rsidRDefault="00772ABB" w:rsidP="00772ABB">
      <w:pPr>
        <w:jc w:val="both"/>
        <w:rPr>
          <w:rFonts w:ascii="Times New Roman" w:hAnsi="Times New Roman"/>
          <w:color w:val="000000" w:themeColor="text1"/>
          <w:szCs w:val="22"/>
        </w:rPr>
      </w:pPr>
      <w:r w:rsidRPr="00772ABB">
        <w:rPr>
          <w:rFonts w:ascii="Times New Roman" w:hAnsi="Times New Roman"/>
          <w:color w:val="000000" w:themeColor="text1"/>
          <w:szCs w:val="22"/>
        </w:rPr>
        <w:t xml:space="preserve">Tam, kad būtų pasiekti </w:t>
      </w:r>
      <w:r w:rsidR="00F51047">
        <w:rPr>
          <w:rFonts w:ascii="Times New Roman" w:hAnsi="Times New Roman"/>
          <w:color w:val="000000" w:themeColor="text1"/>
          <w:szCs w:val="22"/>
        </w:rPr>
        <w:t>šie</w:t>
      </w:r>
      <w:r w:rsidRPr="00772ABB">
        <w:rPr>
          <w:rFonts w:ascii="Times New Roman" w:hAnsi="Times New Roman"/>
          <w:color w:val="000000" w:themeColor="text1"/>
          <w:szCs w:val="22"/>
        </w:rPr>
        <w:t xml:space="preserve"> rodikliai, reikės atnaujinti bent po 6500 individualių namų 2021-2023 metais, vėliau kasmet didinant renovacijos tempą bent po 500 pastatų, siekiant 2040 m. pasiekti beveik 15 tūkst. per metus renovuojamų pastatų skaičių ir palaikyti šį tempą iki 2050 metų.</w:t>
      </w:r>
    </w:p>
    <w:p w14:paraId="09ED21D3" w14:textId="77777777" w:rsidR="00772ABB" w:rsidRPr="00650EE4" w:rsidRDefault="00772ABB" w:rsidP="00767540">
      <w:pPr>
        <w:jc w:val="both"/>
        <w:rPr>
          <w:rFonts w:ascii="Times New Roman" w:hAnsi="Times New Roman"/>
          <w:color w:val="000000" w:themeColor="text1"/>
          <w:szCs w:val="22"/>
        </w:rPr>
      </w:pPr>
    </w:p>
    <w:p w14:paraId="75C7C895" w14:textId="09D018B6" w:rsidR="00573F22" w:rsidRPr="00650EE4" w:rsidRDefault="00573F22"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76" w:name="_Toc67925272"/>
      <w:r w:rsidR="007744C1">
        <w:t>24</w:t>
      </w:r>
      <w:r w:rsidRPr="00650EE4">
        <w:rPr>
          <w:noProof w:val="0"/>
        </w:rPr>
        <w:fldChar w:fldCharType="end"/>
      </w:r>
      <w:r w:rsidRPr="00650EE4">
        <w:rPr>
          <w:noProof w:val="0"/>
        </w:rPr>
        <w:t xml:space="preserve"> paveikslas. </w:t>
      </w:r>
      <w:r w:rsidR="00E42C46" w:rsidRPr="00650EE4">
        <w:rPr>
          <w:noProof w:val="0"/>
        </w:rPr>
        <w:t xml:space="preserve">Siekiami </w:t>
      </w:r>
      <w:r w:rsidR="000B16A6" w:rsidRPr="00650EE4">
        <w:rPr>
          <w:noProof w:val="0"/>
        </w:rPr>
        <w:t>i</w:t>
      </w:r>
      <w:r w:rsidRPr="00650EE4">
        <w:rPr>
          <w:noProof w:val="0"/>
        </w:rPr>
        <w:t>ndividuali namų renovacijos tempai</w:t>
      </w:r>
      <w:bookmarkEnd w:id="176"/>
    </w:p>
    <w:p w14:paraId="70637070" w14:textId="34B08D16" w:rsidR="009E7755" w:rsidRPr="00650EE4" w:rsidRDefault="00772ABB" w:rsidP="006F7EC1">
      <w:pPr>
        <w:pStyle w:val="TESlentelspavadinimas"/>
        <w:rPr>
          <w:noProof w:val="0"/>
        </w:rPr>
      </w:pPr>
      <w:r w:rsidRPr="00650EE4">
        <w:rPr>
          <w:lang w:eastAsia="lt-LT"/>
        </w:rPr>
        <w:drawing>
          <wp:inline distT="0" distB="0" distL="0" distR="0" wp14:anchorId="74215A7C" wp14:editId="048003A0">
            <wp:extent cx="6479540" cy="2032635"/>
            <wp:effectExtent l="0" t="0" r="16510" b="24765"/>
            <wp:docPr id="75" name="Chart 7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DFA51-88F7-4178-8E96-1CEF2A8CE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9AE16FA" w14:textId="220B7F22" w:rsidR="00C00F52" w:rsidRPr="00650EE4" w:rsidRDefault="00C00F52"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568D9C7C" w14:textId="302E7C9B" w:rsidR="009E7755" w:rsidRPr="00650EE4" w:rsidRDefault="009E7755" w:rsidP="006866B5">
      <w:pPr>
        <w:pStyle w:val="Pagrindinispaprastastekstas"/>
        <w:rPr>
          <w:rFonts w:ascii="Times New Roman" w:hAnsi="Times New Roman"/>
        </w:rPr>
      </w:pPr>
    </w:p>
    <w:p w14:paraId="026F2087" w14:textId="5A1ACC20" w:rsidR="009E7755" w:rsidRPr="00650EE4" w:rsidRDefault="00CA1829" w:rsidP="006866B5">
      <w:pPr>
        <w:pStyle w:val="Pagrindinispaprastastekstas"/>
        <w:rPr>
          <w:rFonts w:ascii="Times New Roman" w:hAnsi="Times New Roman"/>
        </w:rPr>
      </w:pPr>
      <w:r w:rsidRPr="00650EE4">
        <w:rPr>
          <w:rFonts w:ascii="Times New Roman" w:hAnsi="Times New Roman"/>
        </w:rPr>
        <w:t xml:space="preserve">Individualių namų renovacijos </w:t>
      </w:r>
      <w:r w:rsidR="00475948" w:rsidRPr="00650EE4">
        <w:rPr>
          <w:rFonts w:ascii="Times New Roman" w:hAnsi="Times New Roman"/>
        </w:rPr>
        <w:t>tempų</w:t>
      </w:r>
      <w:r w:rsidRPr="00650EE4">
        <w:rPr>
          <w:rFonts w:ascii="Times New Roman" w:hAnsi="Times New Roman"/>
        </w:rPr>
        <w:t xml:space="preserve"> prognozė pagrįsta </w:t>
      </w:r>
      <w:r w:rsidR="00526609" w:rsidRPr="00650EE4">
        <w:rPr>
          <w:rFonts w:ascii="Times New Roman" w:hAnsi="Times New Roman"/>
        </w:rPr>
        <w:t>savanoriškai pastatų savininkų vykdoma renovacija (žr. </w:t>
      </w:r>
      <w:r w:rsidR="00436287">
        <w:rPr>
          <w:rFonts w:ascii="Times New Roman" w:hAnsi="Times New Roman"/>
        </w:rPr>
        <w:t>1</w:t>
      </w:r>
      <w:r w:rsidR="00526609" w:rsidRPr="00650EE4">
        <w:rPr>
          <w:rFonts w:ascii="Times New Roman" w:hAnsi="Times New Roman"/>
        </w:rPr>
        <w:t>.4.4 skyrių)</w:t>
      </w:r>
      <w:r w:rsidR="00DC7148" w:rsidRPr="00650EE4">
        <w:rPr>
          <w:rFonts w:ascii="Times New Roman" w:hAnsi="Times New Roman"/>
        </w:rPr>
        <w:t xml:space="preserve"> ir planuojamomis paramos priemonėmis, orientuotomis į </w:t>
      </w:r>
      <w:r w:rsidR="002C60B4" w:rsidRPr="00650EE4">
        <w:rPr>
          <w:rFonts w:ascii="Times New Roman" w:hAnsi="Times New Roman"/>
        </w:rPr>
        <w:t>dalinės renovacijos skatinimą</w:t>
      </w:r>
      <w:r w:rsidR="002768A6" w:rsidRPr="00650EE4">
        <w:rPr>
          <w:rFonts w:ascii="Times New Roman" w:hAnsi="Times New Roman"/>
        </w:rPr>
        <w:t>.</w:t>
      </w:r>
    </w:p>
    <w:p w14:paraId="1F5664BC" w14:textId="77777777" w:rsidR="009E7755" w:rsidRPr="00650EE4" w:rsidRDefault="009E7755" w:rsidP="006866B5">
      <w:pPr>
        <w:pStyle w:val="Pagrindinispaprastastekstas"/>
        <w:rPr>
          <w:rFonts w:ascii="Times New Roman" w:hAnsi="Times New Roman"/>
        </w:rPr>
      </w:pPr>
    </w:p>
    <w:p w14:paraId="1082ADCC" w14:textId="77777777" w:rsidR="00F323C5" w:rsidRPr="00650EE4" w:rsidRDefault="00F323C5">
      <w:pPr>
        <w:spacing w:after="240"/>
        <w:rPr>
          <w:rFonts w:ascii="Times New Roman" w:eastAsia="Times New Roman" w:hAnsi="Times New Roman"/>
          <w:b/>
          <w:bCs/>
          <w:color w:val="000000" w:themeColor="text1"/>
          <w:kern w:val="32"/>
          <w:sz w:val="24"/>
          <w:szCs w:val="24"/>
        </w:rPr>
      </w:pPr>
      <w:bookmarkStart w:id="177" w:name="_Toc46399965"/>
      <w:r w:rsidRPr="00650EE4">
        <w:rPr>
          <w:rFonts w:ascii="Times New Roman" w:hAnsi="Times New Roman"/>
          <w:color w:val="000000" w:themeColor="text1"/>
          <w:sz w:val="24"/>
          <w:szCs w:val="24"/>
        </w:rPr>
        <w:br w:type="page"/>
      </w:r>
    </w:p>
    <w:p w14:paraId="614497B6" w14:textId="28A301A4" w:rsidR="006866B5" w:rsidRPr="00650EE4" w:rsidRDefault="006866B5" w:rsidP="006866B5">
      <w:pPr>
        <w:pStyle w:val="Antrastes31"/>
        <w:numPr>
          <w:ilvl w:val="2"/>
          <w:numId w:val="4"/>
        </w:numPr>
        <w:spacing w:before="120"/>
        <w:ind w:left="720" w:hanging="720"/>
        <w:rPr>
          <w:rFonts w:ascii="Times New Roman" w:hAnsi="Times New Roman"/>
          <w:color w:val="000000" w:themeColor="text1"/>
          <w:sz w:val="24"/>
          <w:szCs w:val="24"/>
          <w:lang w:val="lt-LT"/>
        </w:rPr>
      </w:pPr>
      <w:bookmarkStart w:id="178" w:name="_Toc67925165"/>
      <w:r w:rsidRPr="00650EE4">
        <w:rPr>
          <w:rFonts w:ascii="Times New Roman" w:hAnsi="Times New Roman"/>
          <w:color w:val="000000" w:themeColor="text1"/>
          <w:sz w:val="24"/>
          <w:szCs w:val="24"/>
          <w:lang w:val="lt-LT"/>
        </w:rPr>
        <w:lastRenderedPageBreak/>
        <w:t>Kiti negyvenamieji pastatai</w:t>
      </w:r>
      <w:bookmarkEnd w:id="177"/>
      <w:bookmarkEnd w:id="178"/>
    </w:p>
    <w:p w14:paraId="7BDAF27B" w14:textId="00B6C6A1" w:rsidR="00774427" w:rsidRPr="00650EE4" w:rsidRDefault="00774427" w:rsidP="00774427">
      <w:pPr>
        <w:spacing w:before="240"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pateikiami siektini Kitos negyvenamosios paskirties </w:t>
      </w:r>
      <w:r w:rsidR="00307C6B" w:rsidRPr="00650EE4">
        <w:rPr>
          <w:rFonts w:ascii="Times New Roman" w:hAnsi="Times New Roman"/>
          <w:color w:val="000000" w:themeColor="text1"/>
          <w:szCs w:val="22"/>
        </w:rPr>
        <w:t xml:space="preserve">pastatų </w:t>
      </w:r>
      <w:r w:rsidRPr="00650EE4">
        <w:rPr>
          <w:rFonts w:ascii="Times New Roman" w:hAnsi="Times New Roman"/>
          <w:color w:val="000000" w:themeColor="text1"/>
          <w:szCs w:val="22"/>
        </w:rPr>
        <w:t>renovacijos rodikliai:</w:t>
      </w:r>
    </w:p>
    <w:p w14:paraId="19954A34" w14:textId="2A6E710E" w:rsidR="00774427" w:rsidRDefault="00E723D0"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9" w:name="_Toc67925242"/>
      <w:r w:rsidR="007744C1">
        <w:t>59</w:t>
      </w:r>
      <w:r w:rsidRPr="00650EE4">
        <w:rPr>
          <w:noProof w:val="0"/>
        </w:rPr>
        <w:fldChar w:fldCharType="end"/>
      </w:r>
      <w:r w:rsidR="00774427" w:rsidRPr="00650EE4">
        <w:rPr>
          <w:noProof w:val="0"/>
        </w:rPr>
        <w:t xml:space="preserve"> lentelė. Kitos negyvenamosios paskirties renovacijos rodikliai</w:t>
      </w:r>
      <w:bookmarkEnd w:id="179"/>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1"/>
        <w:gridCol w:w="969"/>
        <w:gridCol w:w="923"/>
        <w:gridCol w:w="866"/>
        <w:gridCol w:w="966"/>
        <w:gridCol w:w="966"/>
      </w:tblGrid>
      <w:tr w:rsidR="0037479D" w:rsidRPr="00521FEE" w14:paraId="07E62528"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82F69" w14:textId="77777777" w:rsidR="0037479D" w:rsidRPr="00521FEE" w:rsidRDefault="0037479D" w:rsidP="009D1C15">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FA04A" w14:textId="77777777" w:rsidR="0037479D" w:rsidRPr="00521FEE" w:rsidRDefault="0037479D" w:rsidP="009D1C15">
            <w:pPr>
              <w:spacing w:line="240" w:lineRule="auto"/>
              <w:ind w:right="-112"/>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52C39" w14:textId="77777777" w:rsidR="0037479D" w:rsidRPr="00521FEE" w:rsidRDefault="0037479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E4B6B" w14:textId="77777777" w:rsidR="0037479D" w:rsidRPr="00521FEE" w:rsidRDefault="0037479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1101" w14:textId="77777777" w:rsidR="0037479D" w:rsidRPr="00521FEE" w:rsidRDefault="0037479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911A0" w14:textId="77777777" w:rsidR="0037479D" w:rsidRPr="00521FEE" w:rsidRDefault="0037479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37479D" w:rsidRPr="006B7FAD" w14:paraId="267A0CBB"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C36F1"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472FF" w14:textId="77777777" w:rsidR="0037479D" w:rsidRPr="006B7FAD" w:rsidRDefault="0037479D" w:rsidP="009D1C15">
            <w:pPr>
              <w:spacing w:line="240" w:lineRule="auto"/>
              <w:ind w:right="-112"/>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8A5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7.765</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D0A6"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6.742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595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4.962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1C4D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2.831</w:t>
            </w:r>
          </w:p>
        </w:tc>
      </w:tr>
      <w:tr w:rsidR="0037479D" w:rsidRPr="006B7FAD" w14:paraId="0CA37178"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72F7C"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581CF"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D345"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2B536"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ECCD5"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4E21E"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36%</w:t>
            </w:r>
          </w:p>
        </w:tc>
      </w:tr>
      <w:tr w:rsidR="0037479D" w:rsidRPr="006B7FAD" w14:paraId="7B366E37"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B087"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52420" w14:textId="77777777" w:rsidR="0037479D" w:rsidRPr="006B7FAD" w:rsidRDefault="0037479D" w:rsidP="009D1C15">
            <w:pPr>
              <w:spacing w:line="240" w:lineRule="auto"/>
              <w:ind w:right="-112"/>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7CDD7"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5.962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B8BA"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4.728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B8891"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2.580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30A14"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37479D" w:rsidRPr="006B7FAD" w14:paraId="3DFE4437"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F22B9"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3FEE2"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5D853"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8D925"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F36F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3385"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37479D" w:rsidRPr="006B7FAD" w14:paraId="058FDC72"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D615"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0D73F"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49C6"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1.258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1327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998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A74C6"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545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E8C7A"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w:t>
            </w:r>
          </w:p>
        </w:tc>
      </w:tr>
      <w:tr w:rsidR="0037479D" w:rsidRPr="006B7FAD" w14:paraId="78C18DBD"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B6C2"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83D45"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33F3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D98FF"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32AF5"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B4F3"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37479D" w:rsidRPr="006B7FAD" w14:paraId="6A97715E"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78618"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018EB" w14:textId="635F2BD5" w:rsidR="0037479D" w:rsidRPr="006B7FAD" w:rsidRDefault="0037479D" w:rsidP="009D1C15">
            <w:pPr>
              <w:spacing w:line="240" w:lineRule="auto"/>
              <w:ind w:right="-11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8ACCF"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23.416</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A7F4E"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18.875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2B8B7"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11.263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5151A"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2.225</w:t>
            </w:r>
          </w:p>
        </w:tc>
      </w:tr>
      <w:tr w:rsidR="0037479D" w:rsidRPr="006B7FAD" w14:paraId="7E879CDC"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504B4"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25A43" w14:textId="77777777" w:rsidR="0037479D" w:rsidRPr="006B7FAD" w:rsidRDefault="0037479D" w:rsidP="009D1C15">
            <w:pPr>
              <w:spacing w:line="240" w:lineRule="auto"/>
              <w:ind w:right="-112"/>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D9341"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5.788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7196C"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4.556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74B42"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2.619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EE297"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355</w:t>
            </w:r>
          </w:p>
        </w:tc>
      </w:tr>
      <w:tr w:rsidR="0037479D" w:rsidRPr="006B7FAD" w14:paraId="2B053189"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943E"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8CCCA"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5390D"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A6F21"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622CD"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1D5D6" w14:textId="7777777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w:t>
            </w:r>
          </w:p>
        </w:tc>
      </w:tr>
      <w:tr w:rsidR="0037479D" w:rsidRPr="006B7FAD" w14:paraId="43CBE375"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A107E"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75C56"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0950" w14:textId="3B263267" w:rsidR="0037479D" w:rsidRPr="006B7FAD" w:rsidRDefault="003978DB"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4.404</w:t>
            </w:r>
            <w:r w:rsidR="007A4A39">
              <w:rPr>
                <w:rFonts w:ascii="Times New Roman" w:eastAsia="Times New Roman" w:hAnsi="Times New Roman"/>
                <w:sz w:val="20"/>
                <w:szCs w:val="20"/>
                <w:lang w:eastAsia="lt-LT"/>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81EA3" w14:textId="52077E07"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6.589</w:t>
            </w:r>
            <w:r w:rsidR="007A4A39">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C29E8" w14:textId="7139BD03"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18.057</w:t>
            </w:r>
            <w:r w:rsidR="007A4A39">
              <w:rPr>
                <w:rFonts w:ascii="Times New Roman" w:eastAsia="Times New Roman" w:hAnsi="Times New Roman"/>
                <w:sz w:val="20"/>
                <w:szCs w:val="20"/>
                <w:lang w:eastAsia="lt-LT"/>
              </w:rP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08931" w14:textId="4F15139A"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31.787</w:t>
            </w:r>
            <w:r w:rsidR="007A4A39">
              <w:rPr>
                <w:rFonts w:ascii="Times New Roman" w:eastAsia="Times New Roman" w:hAnsi="Times New Roman"/>
                <w:sz w:val="20"/>
                <w:szCs w:val="20"/>
                <w:lang w:eastAsia="lt-LT"/>
              </w:rPr>
              <w:t>**</w:t>
            </w:r>
          </w:p>
        </w:tc>
      </w:tr>
      <w:tr w:rsidR="0037479D" w:rsidRPr="006B7FAD" w14:paraId="67BECFC8"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E45B"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63A2"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F8F9" w14:textId="2748B568" w:rsidR="0037479D" w:rsidRPr="006B7FAD" w:rsidRDefault="003978DB"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10</w:t>
            </w:r>
            <w:r w:rsidR="0037479D" w:rsidRPr="006B7FAD">
              <w:rPr>
                <w:rFonts w:ascii="Times New Roman" w:eastAsia="Times New Roman" w:hAnsi="Times New Roman"/>
                <w:sz w:val="20"/>
                <w:szCs w:val="20"/>
                <w:lang w:eastAsia="lt-LT"/>
              </w:rPr>
              <w:t>%</w:t>
            </w:r>
            <w:r w:rsidR="007A4A39">
              <w:rPr>
                <w:rFonts w:ascii="Times New Roman" w:eastAsia="Times New Roman" w:hAnsi="Times New Roman"/>
                <w:sz w:val="20"/>
                <w:szCs w:val="20"/>
                <w:lang w:eastAsia="lt-LT"/>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027FE" w14:textId="769DC9FE"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16%</w:t>
            </w:r>
            <w:r w:rsidR="007A4A39">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B3CAD" w14:textId="1E5B0751"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44%</w:t>
            </w:r>
            <w:r w:rsidR="007A4A39">
              <w:rPr>
                <w:rFonts w:ascii="Times New Roman" w:eastAsia="Times New Roman" w:hAnsi="Times New Roman"/>
                <w:sz w:val="20"/>
                <w:szCs w:val="20"/>
                <w:lang w:eastAsia="lt-LT"/>
              </w:rP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386FF" w14:textId="25347370"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77%</w:t>
            </w:r>
            <w:r w:rsidR="007A4A39">
              <w:rPr>
                <w:rFonts w:ascii="Times New Roman" w:eastAsia="Times New Roman" w:hAnsi="Times New Roman"/>
                <w:sz w:val="20"/>
                <w:szCs w:val="20"/>
                <w:lang w:eastAsia="lt-LT"/>
              </w:rPr>
              <w:t>**</w:t>
            </w:r>
          </w:p>
        </w:tc>
      </w:tr>
      <w:tr w:rsidR="0037479D" w:rsidRPr="006B7FAD" w14:paraId="3B827CA7"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6221F"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7B969" w14:textId="0F0C4A15" w:rsidR="0037479D" w:rsidRPr="006B7FAD" w:rsidRDefault="0037479D" w:rsidP="009D1C15">
            <w:pPr>
              <w:spacing w:line="240" w:lineRule="auto"/>
              <w:ind w:right="-11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0A2D3" w14:textId="0AD22CF6" w:rsidR="0037479D" w:rsidRPr="006B7FAD" w:rsidRDefault="003978DB"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7.573</w:t>
            </w:r>
            <w:r w:rsidR="007A4A39">
              <w:rPr>
                <w:rFonts w:ascii="Times New Roman" w:eastAsia="Times New Roman" w:hAnsi="Times New Roman"/>
                <w:sz w:val="20"/>
                <w:szCs w:val="20"/>
                <w:lang w:eastAsia="lt-LT"/>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33C8B" w14:textId="683D4E53"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5.251</w:t>
            </w:r>
            <w:r w:rsidR="007A4A39">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64357" w14:textId="12F2C0AA"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14.390</w:t>
            </w:r>
            <w:r w:rsidR="007A4A39">
              <w:rPr>
                <w:rFonts w:ascii="Times New Roman" w:eastAsia="Times New Roman" w:hAnsi="Times New Roman"/>
                <w:sz w:val="20"/>
                <w:szCs w:val="20"/>
                <w:lang w:eastAsia="lt-LT"/>
              </w:rP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25D8" w14:textId="05D5EC90"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25.332</w:t>
            </w:r>
            <w:r w:rsidR="007A4A39">
              <w:rPr>
                <w:rFonts w:ascii="Times New Roman" w:eastAsia="Times New Roman" w:hAnsi="Times New Roman"/>
                <w:sz w:val="20"/>
                <w:szCs w:val="20"/>
                <w:lang w:eastAsia="lt-LT"/>
              </w:rPr>
              <w:t>**</w:t>
            </w:r>
          </w:p>
        </w:tc>
      </w:tr>
      <w:tr w:rsidR="0037479D" w:rsidRPr="006B7FAD" w14:paraId="1BE8DBCB"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4DA74" w14:textId="77777777" w:rsidR="0037479D" w:rsidRPr="006B7FAD" w:rsidRDefault="0037479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D4811" w14:textId="77777777" w:rsidR="0037479D" w:rsidRPr="006B7FAD" w:rsidRDefault="0037479D" w:rsidP="009D1C15">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2894C" w14:textId="583F6769" w:rsidR="0037479D" w:rsidRPr="006B7FAD" w:rsidRDefault="003978DB"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20</w:t>
            </w:r>
            <w:r w:rsidR="0037479D" w:rsidRPr="006B7FAD">
              <w:rPr>
                <w:rFonts w:ascii="Times New Roman" w:eastAsia="Times New Roman" w:hAnsi="Times New Roman"/>
                <w:sz w:val="20"/>
                <w:szCs w:val="20"/>
                <w:lang w:eastAsia="lt-LT"/>
              </w:rPr>
              <w:t>%</w:t>
            </w:r>
            <w:r w:rsidR="007A4A39">
              <w:rPr>
                <w:rFonts w:ascii="Times New Roman" w:eastAsia="Times New Roman" w:hAnsi="Times New Roman"/>
                <w:sz w:val="20"/>
                <w:szCs w:val="20"/>
                <w:lang w:eastAsia="lt-LT"/>
              </w:rPr>
              <w:t>*</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9E947" w14:textId="7AE109A1"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14%</w:t>
            </w:r>
            <w:r w:rsidR="007A4A39">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6F2E6" w14:textId="263B63F8"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39%</w:t>
            </w:r>
            <w:r w:rsidR="007A4A39">
              <w:rPr>
                <w:rFonts w:ascii="Times New Roman" w:eastAsia="Times New Roman" w:hAnsi="Times New Roman"/>
                <w:sz w:val="20"/>
                <w:szCs w:val="20"/>
                <w:lang w:eastAsia="lt-LT"/>
              </w:rP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164E8" w14:textId="4F76EBF2" w:rsidR="0037479D" w:rsidRPr="006B7FAD" w:rsidRDefault="0037479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w:t>
            </w:r>
            <w:r w:rsidR="007A4A39">
              <w:rPr>
                <w:rFonts w:ascii="Times New Roman" w:eastAsia="Times New Roman" w:hAnsi="Times New Roman"/>
                <w:sz w:val="20"/>
                <w:szCs w:val="20"/>
                <w:lang w:eastAsia="lt-LT"/>
              </w:rPr>
              <w:t>**</w:t>
            </w:r>
          </w:p>
        </w:tc>
      </w:tr>
    </w:tbl>
    <w:p w14:paraId="2A855115" w14:textId="0E91C10D" w:rsidR="00774427" w:rsidRPr="00650EE4" w:rsidRDefault="00774427" w:rsidP="00631BA6">
      <w:pPr>
        <w:pStyle w:val="TESlentelspavadinimas"/>
        <w:rPr>
          <w:noProof w:val="0"/>
        </w:rPr>
      </w:pPr>
      <w:r w:rsidRPr="00650EE4">
        <w:rPr>
          <w:noProof w:val="0"/>
        </w:rPr>
        <w:t xml:space="preserve">Šaltinis: </w:t>
      </w:r>
      <w:r w:rsidR="0019694C" w:rsidRPr="00650EE4">
        <w:rPr>
          <w:noProof w:val="0"/>
        </w:rPr>
        <w:t>S</w:t>
      </w:r>
      <w:r w:rsidRPr="00650EE4">
        <w:rPr>
          <w:noProof w:val="0"/>
        </w:rPr>
        <w:t xml:space="preserve">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46F3D3D6" w14:textId="77777777" w:rsidR="0099275B" w:rsidRPr="00B21707" w:rsidRDefault="0099275B" w:rsidP="0099275B">
      <w:pPr>
        <w:pStyle w:val="TESlentelspavadinimas"/>
        <w:rPr>
          <w:noProof w:val="0"/>
        </w:rPr>
      </w:pPr>
      <w:r w:rsidRPr="00B21707">
        <w:rPr>
          <w:noProof w:val="0"/>
        </w:rPr>
        <w:t>*Nauji ir renovuoti B ir aukštesnės energinio naudingumo klasės pastatai</w:t>
      </w:r>
      <w:r>
        <w:rPr>
          <w:noProof w:val="0"/>
        </w:rPr>
        <w:t xml:space="preserve"> </w:t>
      </w:r>
      <w:r w:rsidRPr="00B21707">
        <w:rPr>
          <w:noProof w:val="0"/>
        </w:rPr>
        <w:t>iki 2020 m..</w:t>
      </w:r>
    </w:p>
    <w:p w14:paraId="13129C1A" w14:textId="77777777" w:rsidR="0099275B" w:rsidRPr="00B21707" w:rsidRDefault="0099275B" w:rsidP="0099275B">
      <w:pPr>
        <w:pStyle w:val="TESlentelspavadinimas"/>
        <w:rPr>
          <w:noProof w:val="0"/>
        </w:rPr>
      </w:pPr>
      <w:r w:rsidRPr="00B21707">
        <w:rPr>
          <w:noProof w:val="0"/>
        </w:rPr>
        <w:t>**</w:t>
      </w:r>
      <w:r>
        <w:rPr>
          <w:noProof w:val="0"/>
        </w:rPr>
        <w:t>Renovuotini pastatai nuo 2021</w:t>
      </w:r>
      <w:r w:rsidRPr="00B21707">
        <w:rPr>
          <w:noProof w:val="0"/>
        </w:rPr>
        <w:t xml:space="preserve"> m. </w:t>
      </w:r>
      <w:r>
        <w:rPr>
          <w:noProof w:val="0"/>
        </w:rPr>
        <w:t>su tarpiniais rodikliais 2030 m., 2040 m. ir 2050 m.</w:t>
      </w:r>
    </w:p>
    <w:p w14:paraId="4B423242" w14:textId="77777777" w:rsidR="00A57169" w:rsidRPr="00650EE4" w:rsidRDefault="00A57169" w:rsidP="00A57169">
      <w:pPr>
        <w:rPr>
          <w:rFonts w:ascii="Times New Roman" w:hAnsi="Times New Roman"/>
          <w:szCs w:val="22"/>
        </w:rPr>
      </w:pPr>
    </w:p>
    <w:p w14:paraId="458EED23" w14:textId="77777777" w:rsidR="00A57169" w:rsidRPr="00650EE4" w:rsidRDefault="00A57169" w:rsidP="00A57169">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72C256B" w14:textId="6ED7A323" w:rsidR="00A57169"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57169" w:rsidRPr="00650EE4">
        <w:rPr>
          <w:rFonts w:ascii="Times New Roman" w:hAnsi="Times New Roman"/>
          <w:szCs w:val="22"/>
        </w:rPr>
        <w:t>lanuojamu laikotarpiu bus siekiama renovuoti 3</w:t>
      </w:r>
      <w:r w:rsidR="007B03EA" w:rsidRPr="00650EE4">
        <w:rPr>
          <w:rFonts w:ascii="Times New Roman" w:hAnsi="Times New Roman"/>
          <w:szCs w:val="22"/>
        </w:rPr>
        <w:t>2</w:t>
      </w:r>
      <w:r w:rsidR="00A57169" w:rsidRPr="00650EE4">
        <w:rPr>
          <w:rFonts w:ascii="Times New Roman" w:hAnsi="Times New Roman"/>
          <w:szCs w:val="22"/>
        </w:rPr>
        <w:t xml:space="preserve"> tūkst. pastatų</w:t>
      </w:r>
      <w:r w:rsidR="00A951DB" w:rsidRPr="00650EE4">
        <w:rPr>
          <w:rFonts w:ascii="Times New Roman" w:hAnsi="Times New Roman"/>
          <w:szCs w:val="22"/>
        </w:rPr>
        <w:t>;</w:t>
      </w:r>
    </w:p>
    <w:p w14:paraId="13A43B36" w14:textId="7FA68C23" w:rsidR="00A57169"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k</w:t>
      </w:r>
      <w:r w:rsidR="001D2113" w:rsidRPr="00650EE4">
        <w:rPr>
          <w:rFonts w:ascii="Times New Roman" w:hAnsi="Times New Roman"/>
          <w:szCs w:val="22"/>
        </w:rPr>
        <w:t>itos negyvenamosios paskirties pastatai</w:t>
      </w:r>
      <w:r w:rsidR="00A57169" w:rsidRPr="00650EE4">
        <w:rPr>
          <w:rFonts w:ascii="Times New Roman" w:hAnsi="Times New Roman"/>
          <w:szCs w:val="22"/>
        </w:rPr>
        <w:t xml:space="preserve"> sudarys tik </w:t>
      </w:r>
      <w:r w:rsidR="00B83C2E" w:rsidRPr="00650EE4">
        <w:rPr>
          <w:rFonts w:ascii="Times New Roman" w:hAnsi="Times New Roman"/>
          <w:szCs w:val="22"/>
        </w:rPr>
        <w:t>7</w:t>
      </w:r>
      <w:r w:rsidR="00A57169" w:rsidRPr="00650EE4">
        <w:rPr>
          <w:rFonts w:ascii="Times New Roman" w:hAnsi="Times New Roman"/>
          <w:szCs w:val="22"/>
        </w:rPr>
        <w:t xml:space="preserve"> proc. visų renovuojamų pastatų skaičiaus</w:t>
      </w:r>
      <w:r w:rsidR="005F094D" w:rsidRPr="00650EE4">
        <w:rPr>
          <w:rFonts w:ascii="Times New Roman" w:hAnsi="Times New Roman"/>
          <w:szCs w:val="22"/>
        </w:rPr>
        <w:t xml:space="preserve"> (23 proc. ploto)</w:t>
      </w:r>
      <w:r w:rsidR="006A0956" w:rsidRPr="00650EE4">
        <w:rPr>
          <w:rFonts w:ascii="Times New Roman" w:hAnsi="Times New Roman"/>
          <w:szCs w:val="22"/>
        </w:rPr>
        <w:t xml:space="preserve"> ir </w:t>
      </w:r>
      <w:r w:rsidR="00A57169" w:rsidRPr="00650EE4">
        <w:rPr>
          <w:rFonts w:ascii="Times New Roman" w:hAnsi="Times New Roman"/>
          <w:szCs w:val="22"/>
        </w:rPr>
        <w:t xml:space="preserve">pasieks </w:t>
      </w:r>
      <w:r w:rsidR="00601B42" w:rsidRPr="00650EE4">
        <w:rPr>
          <w:rFonts w:ascii="Times New Roman" w:hAnsi="Times New Roman"/>
          <w:szCs w:val="22"/>
        </w:rPr>
        <w:t>20</w:t>
      </w:r>
      <w:r w:rsidR="00A57169" w:rsidRPr="00650EE4">
        <w:rPr>
          <w:rFonts w:ascii="Times New Roman" w:hAnsi="Times New Roman"/>
          <w:szCs w:val="22"/>
        </w:rPr>
        <w:t xml:space="preserve"> proc. pirminės energijos ir </w:t>
      </w:r>
      <w:r w:rsidR="00601B42" w:rsidRPr="00650EE4">
        <w:rPr>
          <w:rFonts w:ascii="Times New Roman" w:hAnsi="Times New Roman"/>
          <w:szCs w:val="22"/>
        </w:rPr>
        <w:t>2</w:t>
      </w:r>
      <w:r w:rsidR="0037479D">
        <w:rPr>
          <w:rFonts w:ascii="Times New Roman" w:hAnsi="Times New Roman"/>
          <w:szCs w:val="22"/>
        </w:rPr>
        <w:t>4</w:t>
      </w:r>
      <w:r w:rsidR="00A57169" w:rsidRPr="00650EE4">
        <w:rPr>
          <w:rFonts w:ascii="Times New Roman" w:hAnsi="Times New Roman"/>
          <w:szCs w:val="22"/>
        </w:rPr>
        <w:t xml:space="preserve"> proc. CO</w:t>
      </w:r>
      <w:r w:rsidR="00A57169" w:rsidRPr="00650EE4">
        <w:rPr>
          <w:rFonts w:ascii="Times New Roman" w:hAnsi="Times New Roman"/>
          <w:szCs w:val="22"/>
          <w:vertAlign w:val="subscript"/>
        </w:rPr>
        <w:t>2</w:t>
      </w:r>
      <w:r w:rsidR="00A57169" w:rsidRPr="00650EE4">
        <w:rPr>
          <w:rFonts w:ascii="Times New Roman" w:hAnsi="Times New Roman"/>
          <w:szCs w:val="22"/>
        </w:rPr>
        <w:t xml:space="preserve"> emisijų sutaupymų;</w:t>
      </w:r>
    </w:p>
    <w:p w14:paraId="1E804915" w14:textId="5E54B578" w:rsidR="00A57169"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57169" w:rsidRPr="00650EE4">
        <w:rPr>
          <w:rFonts w:ascii="Times New Roman" w:hAnsi="Times New Roman"/>
          <w:szCs w:val="22"/>
        </w:rPr>
        <w:t xml:space="preserve">o renovacijos </w:t>
      </w:r>
      <w:r w:rsidR="0037479D">
        <w:rPr>
          <w:rFonts w:ascii="Times New Roman" w:hAnsi="Times New Roman"/>
          <w:szCs w:val="22"/>
        </w:rPr>
        <w:t xml:space="preserve">ir energetikos sektoriaus transformacijos </w:t>
      </w:r>
      <w:r w:rsidR="00A57169" w:rsidRPr="00650EE4">
        <w:rPr>
          <w:rFonts w:ascii="Times New Roman" w:hAnsi="Times New Roman"/>
          <w:szCs w:val="22"/>
        </w:rPr>
        <w:t xml:space="preserve">pirminės energijos vartojimas sumažės </w:t>
      </w:r>
      <w:r w:rsidR="0037479D">
        <w:rPr>
          <w:rFonts w:ascii="Times New Roman" w:hAnsi="Times New Roman"/>
          <w:szCs w:val="22"/>
        </w:rPr>
        <w:t>64</w:t>
      </w:r>
      <w:r w:rsidR="00A57169" w:rsidRPr="00650EE4">
        <w:rPr>
          <w:rFonts w:ascii="Times New Roman" w:hAnsi="Times New Roman"/>
          <w:szCs w:val="22"/>
        </w:rPr>
        <w:t xml:space="preserve"> proc. (neefektyviausių pastatų – 9</w:t>
      </w:r>
      <w:r w:rsidR="0037479D">
        <w:rPr>
          <w:rFonts w:ascii="Times New Roman" w:hAnsi="Times New Roman"/>
          <w:szCs w:val="22"/>
        </w:rPr>
        <w:t>4</w:t>
      </w:r>
      <w:r w:rsidR="00A57169" w:rsidRPr="00650EE4">
        <w:rPr>
          <w:rFonts w:ascii="Times New Roman" w:hAnsi="Times New Roman"/>
          <w:szCs w:val="22"/>
        </w:rPr>
        <w:t xml:space="preserve"> proc.);</w:t>
      </w:r>
    </w:p>
    <w:p w14:paraId="3A806287" w14:textId="7F516820" w:rsidR="00A57169"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57169" w:rsidRPr="00650EE4">
        <w:rPr>
          <w:rFonts w:ascii="Times New Roman" w:hAnsi="Times New Roman"/>
          <w:szCs w:val="22"/>
        </w:rPr>
        <w:t>o renovacijos</w:t>
      </w:r>
      <w:r w:rsidR="0037479D">
        <w:rPr>
          <w:rFonts w:ascii="Times New Roman" w:hAnsi="Times New Roman"/>
          <w:szCs w:val="22"/>
        </w:rPr>
        <w:t xml:space="preserve"> ir energetikos sektoriaus transformacijos</w:t>
      </w:r>
      <w:r w:rsidR="00A57169" w:rsidRPr="00650EE4">
        <w:rPr>
          <w:rFonts w:ascii="Times New Roman" w:hAnsi="Times New Roman"/>
          <w:szCs w:val="22"/>
        </w:rPr>
        <w:t xml:space="preserve"> CO</w:t>
      </w:r>
      <w:r w:rsidR="00A57169" w:rsidRPr="00650EE4">
        <w:rPr>
          <w:rFonts w:ascii="Times New Roman" w:hAnsi="Times New Roman"/>
          <w:szCs w:val="22"/>
          <w:vertAlign w:val="subscript"/>
        </w:rPr>
        <w:t>2</w:t>
      </w:r>
      <w:r w:rsidR="00A57169" w:rsidRPr="00650EE4">
        <w:rPr>
          <w:rFonts w:ascii="Times New Roman" w:hAnsi="Times New Roman"/>
          <w:szCs w:val="22"/>
        </w:rPr>
        <w:t xml:space="preserve"> emisijos sumažės </w:t>
      </w:r>
      <w:r w:rsidR="0037479D">
        <w:rPr>
          <w:rFonts w:ascii="Times New Roman" w:hAnsi="Times New Roman"/>
          <w:szCs w:val="22"/>
        </w:rPr>
        <w:t>100</w:t>
      </w:r>
      <w:r w:rsidR="00A57169" w:rsidRPr="00650EE4">
        <w:rPr>
          <w:rFonts w:ascii="Times New Roman" w:hAnsi="Times New Roman"/>
          <w:szCs w:val="22"/>
        </w:rPr>
        <w:t xml:space="preserve"> proc.</w:t>
      </w:r>
    </w:p>
    <w:p w14:paraId="5A8209CA" w14:textId="77777777" w:rsidR="0037479D" w:rsidRDefault="0037479D" w:rsidP="0037479D">
      <w:pPr>
        <w:pStyle w:val="Pagrindinispaprastastekstas"/>
        <w:rPr>
          <w:rFonts w:ascii="Times New Roman" w:hAnsi="Times New Roman"/>
          <w:szCs w:val="22"/>
        </w:rPr>
      </w:pPr>
    </w:p>
    <w:p w14:paraId="289ECA4D" w14:textId="17621858" w:rsidR="0037479D" w:rsidRPr="00650EE4" w:rsidRDefault="0037479D" w:rsidP="0037479D">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Tam, kad būtų pasiekti </w:t>
      </w:r>
      <w:r w:rsidR="00F51047">
        <w:rPr>
          <w:rFonts w:ascii="Times New Roman" w:hAnsi="Times New Roman"/>
          <w:color w:val="000000" w:themeColor="text1"/>
          <w:szCs w:val="22"/>
        </w:rPr>
        <w:t>šie</w:t>
      </w:r>
      <w:r w:rsidRPr="00650EE4">
        <w:rPr>
          <w:rFonts w:ascii="Times New Roman" w:hAnsi="Times New Roman"/>
          <w:color w:val="000000" w:themeColor="text1"/>
          <w:szCs w:val="22"/>
        </w:rPr>
        <w:t xml:space="preserve"> rodikliai, reikės atnaujinti po </w:t>
      </w:r>
      <w:r>
        <w:rPr>
          <w:rFonts w:ascii="Times New Roman" w:hAnsi="Times New Roman"/>
          <w:color w:val="000000" w:themeColor="text1"/>
          <w:szCs w:val="22"/>
        </w:rPr>
        <w:t>500</w:t>
      </w:r>
      <w:r w:rsidRPr="00650EE4">
        <w:rPr>
          <w:rFonts w:ascii="Times New Roman" w:hAnsi="Times New Roman"/>
          <w:color w:val="000000" w:themeColor="text1"/>
          <w:szCs w:val="22"/>
        </w:rPr>
        <w:t xml:space="preserve"> </w:t>
      </w:r>
      <w:r>
        <w:rPr>
          <w:rFonts w:ascii="Times New Roman" w:hAnsi="Times New Roman"/>
          <w:color w:val="000000" w:themeColor="text1"/>
          <w:szCs w:val="22"/>
        </w:rPr>
        <w:t>negyvenamųjų</w:t>
      </w:r>
      <w:r w:rsidRPr="00650EE4">
        <w:rPr>
          <w:rFonts w:ascii="Times New Roman" w:hAnsi="Times New Roman"/>
          <w:color w:val="000000" w:themeColor="text1"/>
          <w:szCs w:val="22"/>
        </w:rPr>
        <w:t xml:space="preserve"> pastatų 2021-202</w:t>
      </w:r>
      <w:r>
        <w:rPr>
          <w:rFonts w:ascii="Times New Roman" w:hAnsi="Times New Roman"/>
          <w:color w:val="000000" w:themeColor="text1"/>
          <w:szCs w:val="22"/>
        </w:rPr>
        <w:t>3</w:t>
      </w:r>
      <w:r w:rsidRPr="00650EE4">
        <w:rPr>
          <w:rFonts w:ascii="Times New Roman" w:hAnsi="Times New Roman"/>
          <w:color w:val="000000" w:themeColor="text1"/>
          <w:szCs w:val="22"/>
        </w:rPr>
        <w:t xml:space="preserve"> metais, vėliau kasmet didinant renovacijos tempą bent po </w:t>
      </w:r>
      <w:r>
        <w:rPr>
          <w:rFonts w:ascii="Times New Roman" w:hAnsi="Times New Roman"/>
          <w:color w:val="000000" w:themeColor="text1"/>
          <w:szCs w:val="22"/>
        </w:rPr>
        <w:t>5</w:t>
      </w:r>
      <w:r w:rsidRPr="00650EE4">
        <w:rPr>
          <w:rFonts w:ascii="Times New Roman" w:hAnsi="Times New Roman"/>
          <w:color w:val="000000" w:themeColor="text1"/>
          <w:szCs w:val="22"/>
        </w:rPr>
        <w:t>0 pastatų, siekiant 20</w:t>
      </w:r>
      <w:r>
        <w:rPr>
          <w:rFonts w:ascii="Times New Roman" w:hAnsi="Times New Roman"/>
          <w:color w:val="000000" w:themeColor="text1"/>
          <w:szCs w:val="22"/>
        </w:rPr>
        <w:t>40</w:t>
      </w:r>
      <w:r w:rsidRPr="00650EE4">
        <w:rPr>
          <w:rFonts w:ascii="Times New Roman" w:hAnsi="Times New Roman"/>
          <w:color w:val="000000" w:themeColor="text1"/>
          <w:szCs w:val="22"/>
        </w:rPr>
        <w:t xml:space="preserve"> m. pasiekti </w:t>
      </w:r>
      <w:r>
        <w:rPr>
          <w:rFonts w:ascii="Times New Roman" w:hAnsi="Times New Roman"/>
          <w:color w:val="000000" w:themeColor="text1"/>
          <w:szCs w:val="22"/>
        </w:rPr>
        <w:t>beveik 1400</w:t>
      </w:r>
      <w:r w:rsidRPr="00650EE4">
        <w:rPr>
          <w:rFonts w:ascii="Times New Roman" w:hAnsi="Times New Roman"/>
          <w:color w:val="000000" w:themeColor="text1"/>
          <w:szCs w:val="22"/>
        </w:rPr>
        <w:t xml:space="preserve"> per metus renovuojamų pastatų skaičių.</w:t>
      </w:r>
    </w:p>
    <w:p w14:paraId="766E39EC" w14:textId="77777777" w:rsidR="00E723D0" w:rsidRDefault="00E723D0" w:rsidP="00631BA6">
      <w:pPr>
        <w:pStyle w:val="TESlentelspavadinimas"/>
        <w:rPr>
          <w:noProof w:val="0"/>
        </w:rPr>
      </w:pPr>
    </w:p>
    <w:p w14:paraId="1AE2B810" w14:textId="3166FA40" w:rsidR="00C00F52" w:rsidRPr="00650EE4" w:rsidRDefault="00C00F52"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80" w:name="_Toc67925273"/>
      <w:r w:rsidR="007744C1">
        <w:t>25</w:t>
      </w:r>
      <w:r w:rsidRPr="00650EE4">
        <w:rPr>
          <w:noProof w:val="0"/>
        </w:rPr>
        <w:fldChar w:fldCharType="end"/>
      </w:r>
      <w:r w:rsidRPr="00650EE4">
        <w:rPr>
          <w:noProof w:val="0"/>
        </w:rPr>
        <w:t xml:space="preserve"> paveikslas. </w:t>
      </w:r>
      <w:r w:rsidR="003A2680" w:rsidRPr="00650EE4">
        <w:rPr>
          <w:noProof w:val="0"/>
        </w:rPr>
        <w:t>Siekiami k</w:t>
      </w:r>
      <w:r w:rsidR="0078764A" w:rsidRPr="00650EE4">
        <w:rPr>
          <w:noProof w:val="0"/>
        </w:rPr>
        <w:t>itų negyvenamųjų pastatų</w:t>
      </w:r>
      <w:r w:rsidRPr="00650EE4">
        <w:rPr>
          <w:noProof w:val="0"/>
        </w:rPr>
        <w:t xml:space="preserve"> renovacijos tempai</w:t>
      </w:r>
      <w:bookmarkEnd w:id="180"/>
    </w:p>
    <w:p w14:paraId="06BBFE7B" w14:textId="5BEDC7C6" w:rsidR="00C00F52" w:rsidRPr="00650EE4" w:rsidRDefault="0037479D" w:rsidP="006F7EC1">
      <w:pPr>
        <w:pStyle w:val="TESlentelspavadinimas"/>
        <w:rPr>
          <w:noProof w:val="0"/>
        </w:rPr>
      </w:pPr>
      <w:r w:rsidRPr="00650EE4">
        <w:rPr>
          <w:lang w:eastAsia="lt-LT"/>
        </w:rPr>
        <w:drawing>
          <wp:inline distT="0" distB="0" distL="0" distR="0" wp14:anchorId="4C15E84C" wp14:editId="198E0C45">
            <wp:extent cx="6479540" cy="2025015"/>
            <wp:effectExtent l="0" t="0" r="16510" b="13335"/>
            <wp:docPr id="76" name="Chart 7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24FA86-4023-48A0-97E2-744FC8515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1E5ECA" w14:textId="12509397" w:rsidR="00C00F52" w:rsidRPr="00650EE4" w:rsidRDefault="00C00F52"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17E3727B" w14:textId="77777777" w:rsidR="006C4053" w:rsidRPr="00650EE4" w:rsidRDefault="006C4053" w:rsidP="006C4053">
      <w:pPr>
        <w:pStyle w:val="Pagrindinispaprastastekstas"/>
        <w:rPr>
          <w:rFonts w:ascii="Times New Roman" w:hAnsi="Times New Roman"/>
        </w:rPr>
      </w:pPr>
    </w:p>
    <w:p w14:paraId="45301A3C" w14:textId="662D22E0" w:rsidR="00F323C5" w:rsidRPr="007A4A39" w:rsidRDefault="006C4053" w:rsidP="007A4A39">
      <w:pPr>
        <w:pStyle w:val="Pagrindinispaprastastekstas"/>
        <w:rPr>
          <w:rFonts w:ascii="Times New Roman" w:hAnsi="Times New Roman"/>
        </w:rPr>
      </w:pPr>
      <w:r w:rsidRPr="00650EE4">
        <w:rPr>
          <w:rFonts w:ascii="Times New Roman" w:hAnsi="Times New Roman"/>
        </w:rPr>
        <w:t xml:space="preserve">Kitos negyvenamosios paskirties pastatų renovacijos tempų prognozė pagrįsta planuojamomis paramos priemonėmis, orientuotomis į </w:t>
      </w:r>
      <w:r w:rsidR="008D5C0B" w:rsidRPr="00650EE4">
        <w:rPr>
          <w:rFonts w:ascii="Times New Roman" w:hAnsi="Times New Roman"/>
        </w:rPr>
        <w:t>integruotą planavimą</w:t>
      </w:r>
      <w:r w:rsidR="00D47392" w:rsidRPr="00650EE4">
        <w:rPr>
          <w:rFonts w:ascii="Times New Roman" w:hAnsi="Times New Roman"/>
        </w:rPr>
        <w:t xml:space="preserve"> (viešieji pastatai)</w:t>
      </w:r>
      <w:r w:rsidR="008D5C0B" w:rsidRPr="00650EE4">
        <w:rPr>
          <w:rFonts w:ascii="Times New Roman" w:hAnsi="Times New Roman"/>
        </w:rPr>
        <w:t xml:space="preserve"> ir </w:t>
      </w:r>
      <w:proofErr w:type="spellStart"/>
      <w:r w:rsidR="008D5C0B" w:rsidRPr="00650EE4">
        <w:rPr>
          <w:rFonts w:ascii="Times New Roman" w:hAnsi="Times New Roman"/>
        </w:rPr>
        <w:t>kvartalinę</w:t>
      </w:r>
      <w:proofErr w:type="spellEnd"/>
      <w:r w:rsidR="008D5C0B" w:rsidRPr="00650EE4">
        <w:rPr>
          <w:rFonts w:ascii="Times New Roman" w:hAnsi="Times New Roman"/>
        </w:rPr>
        <w:t xml:space="preserve"> renovaciją</w:t>
      </w:r>
      <w:r w:rsidRPr="00650EE4">
        <w:rPr>
          <w:rFonts w:ascii="Times New Roman" w:hAnsi="Times New Roman"/>
        </w:rPr>
        <w:t xml:space="preserve"> (žr. </w:t>
      </w:r>
      <w:r w:rsidR="00436287">
        <w:rPr>
          <w:rFonts w:ascii="Times New Roman" w:hAnsi="Times New Roman"/>
        </w:rPr>
        <w:t>6</w:t>
      </w:r>
      <w:r w:rsidRPr="00650EE4">
        <w:rPr>
          <w:rFonts w:ascii="Times New Roman" w:hAnsi="Times New Roman"/>
        </w:rPr>
        <w:t>.</w:t>
      </w:r>
      <w:r w:rsidR="0037479D">
        <w:rPr>
          <w:rFonts w:ascii="Times New Roman" w:hAnsi="Times New Roman"/>
        </w:rPr>
        <w:t>2</w:t>
      </w:r>
      <w:bookmarkStart w:id="181" w:name="_Toc46399966"/>
      <w:r w:rsidR="007A4A39">
        <w:rPr>
          <w:rFonts w:ascii="Times New Roman" w:hAnsi="Times New Roman"/>
        </w:rPr>
        <w:t xml:space="preserve"> skyrių).</w:t>
      </w:r>
      <w:r w:rsidR="00F323C5" w:rsidRPr="00650EE4">
        <w:rPr>
          <w:rFonts w:ascii="Times New Roman" w:hAnsi="Times New Roman"/>
          <w:color w:val="000000" w:themeColor="text1"/>
          <w:sz w:val="24"/>
        </w:rPr>
        <w:br w:type="page"/>
      </w:r>
    </w:p>
    <w:p w14:paraId="6094DC64" w14:textId="6BB977A6" w:rsidR="006866B5" w:rsidRPr="00650EE4" w:rsidRDefault="006866B5" w:rsidP="0019694C">
      <w:pPr>
        <w:pStyle w:val="Antrastes31"/>
        <w:numPr>
          <w:ilvl w:val="2"/>
          <w:numId w:val="4"/>
        </w:numPr>
        <w:spacing w:before="0"/>
        <w:ind w:left="720" w:hanging="720"/>
        <w:rPr>
          <w:rFonts w:ascii="Times New Roman" w:hAnsi="Times New Roman"/>
          <w:color w:val="000000" w:themeColor="text1"/>
          <w:sz w:val="24"/>
          <w:szCs w:val="24"/>
          <w:lang w:val="lt-LT"/>
        </w:rPr>
      </w:pPr>
      <w:bookmarkStart w:id="182" w:name="_Toc67925166"/>
      <w:r w:rsidRPr="00650EE4">
        <w:rPr>
          <w:rFonts w:ascii="Times New Roman" w:hAnsi="Times New Roman"/>
          <w:color w:val="000000" w:themeColor="text1"/>
          <w:sz w:val="24"/>
          <w:szCs w:val="24"/>
          <w:lang w:val="lt-LT"/>
        </w:rPr>
        <w:lastRenderedPageBreak/>
        <w:t>Pramonės pastat</w:t>
      </w:r>
      <w:bookmarkEnd w:id="181"/>
      <w:r w:rsidRPr="00650EE4">
        <w:rPr>
          <w:rFonts w:ascii="Times New Roman" w:hAnsi="Times New Roman"/>
          <w:color w:val="000000" w:themeColor="text1"/>
          <w:sz w:val="24"/>
          <w:szCs w:val="24"/>
          <w:lang w:val="lt-LT"/>
        </w:rPr>
        <w:t>ai</w:t>
      </w:r>
      <w:bookmarkEnd w:id="182"/>
    </w:p>
    <w:p w14:paraId="3E22096C" w14:textId="155ADA2A" w:rsidR="00774427" w:rsidRPr="00650EE4" w:rsidRDefault="00774427" w:rsidP="00774427">
      <w:pPr>
        <w:spacing w:before="240" w:after="120"/>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pateikiami siektini Pramonės pastatų renovacijos rodikliai:</w:t>
      </w:r>
    </w:p>
    <w:p w14:paraId="09EC6504" w14:textId="4C6F69A7" w:rsidR="006F7EC1"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83" w:name="_Toc67925243"/>
      <w:r w:rsidR="007744C1">
        <w:t>60</w:t>
      </w:r>
      <w:r w:rsidRPr="00650EE4">
        <w:rPr>
          <w:noProof w:val="0"/>
        </w:rPr>
        <w:fldChar w:fldCharType="end"/>
      </w:r>
      <w:r w:rsidR="00774427" w:rsidRPr="00650EE4">
        <w:rPr>
          <w:noProof w:val="0"/>
        </w:rPr>
        <w:t xml:space="preserve"> lentelė. Pramonės pastatų renovacijos rodikliai</w:t>
      </w:r>
      <w:bookmarkEnd w:id="183"/>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1"/>
        <w:gridCol w:w="969"/>
        <w:gridCol w:w="845"/>
        <w:gridCol w:w="929"/>
        <w:gridCol w:w="966"/>
        <w:gridCol w:w="966"/>
      </w:tblGrid>
      <w:tr w:rsidR="00FD352D" w:rsidRPr="00521FEE" w14:paraId="6859EE86"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1BF72" w14:textId="77777777" w:rsidR="00FD352D" w:rsidRPr="00521FEE" w:rsidRDefault="00FD352D" w:rsidP="009D1C15">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7120" w14:textId="77777777" w:rsidR="00FD352D" w:rsidRPr="00521FEE" w:rsidRDefault="00FD352D" w:rsidP="009D1C15">
            <w:pPr>
              <w:spacing w:line="240" w:lineRule="auto"/>
              <w:ind w:right="-108"/>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2A400" w14:textId="77777777" w:rsidR="00FD352D" w:rsidRPr="00521FEE" w:rsidRDefault="00FD352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A89DD" w14:textId="77777777" w:rsidR="00FD352D" w:rsidRPr="00521FEE" w:rsidRDefault="00FD352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7B27D" w14:textId="77777777" w:rsidR="00FD352D" w:rsidRPr="00521FEE" w:rsidRDefault="00FD352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718A9" w14:textId="77777777" w:rsidR="00FD352D" w:rsidRPr="00521FEE" w:rsidRDefault="00FD352D" w:rsidP="009D1C15">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FD352D" w:rsidRPr="006B7FAD" w14:paraId="2AEBABAF"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0706E"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61F6D" w14:textId="77777777" w:rsidR="00FD352D" w:rsidRPr="006B7FAD" w:rsidRDefault="00FD352D" w:rsidP="009D1C15">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06EEA"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7.267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BEA71"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6.432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DA607"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4.981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71E20"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3.243</w:t>
            </w:r>
          </w:p>
        </w:tc>
      </w:tr>
      <w:tr w:rsidR="00FD352D" w:rsidRPr="006B7FAD" w14:paraId="69358C41"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62E5E"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DA52B"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60E01"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41CB8"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EAF50"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85C31"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r>
      <w:tr w:rsidR="00FD352D" w:rsidRPr="006B7FAD" w14:paraId="16C701B4"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28C41"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B7001" w14:textId="77777777" w:rsidR="00FD352D" w:rsidRPr="006B7FAD" w:rsidRDefault="00FD352D" w:rsidP="009D1C15">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4C0C2"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5.621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3CFFA"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4.457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EB38A"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2.432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A896E"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FD352D" w:rsidRPr="006B7FAD" w14:paraId="2B8759FC"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90777"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05F75"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F5AE"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D673"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2C322"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4C285"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FD352D" w:rsidRPr="006B7FAD" w14:paraId="54239E48"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3E115"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E8F82"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466DD"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1.180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B079F"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936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048B7"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512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41D0"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w:t>
            </w:r>
          </w:p>
        </w:tc>
      </w:tr>
      <w:tr w:rsidR="00FD352D" w:rsidRPr="006B7FAD" w14:paraId="521C2215"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0233"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D5AC2"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FA476"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5107E"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69281"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F4BCF"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FD352D" w:rsidRPr="006B7FAD" w14:paraId="37D23413"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47053"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5DAD2" w14:textId="2A2CCF20" w:rsidR="00FD352D" w:rsidRPr="006B7FAD" w:rsidRDefault="00FD352D" w:rsidP="009D1C15">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88CBE"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25.481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C48CA"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22.547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13936"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17.756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C9F91"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12.104</w:t>
            </w:r>
          </w:p>
        </w:tc>
      </w:tr>
      <w:tr w:rsidR="00FD352D" w:rsidRPr="006B7FAD" w14:paraId="0D3C969C"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491CD"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A113C" w14:textId="77777777" w:rsidR="00FD352D" w:rsidRPr="006B7FAD" w:rsidRDefault="00FD352D" w:rsidP="009D1C15">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3E144"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6.552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5EFEE"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5.491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24B76"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3.880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5CB14"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2.013</w:t>
            </w:r>
          </w:p>
        </w:tc>
      </w:tr>
      <w:tr w:rsidR="00FD352D" w:rsidRPr="006B7FAD" w14:paraId="261F7A29"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A9811"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8A342"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0812"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E865C"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55FDF"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CFCC" w14:textId="77777777"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w:t>
            </w:r>
          </w:p>
        </w:tc>
      </w:tr>
      <w:tr w:rsidR="00FD352D" w:rsidRPr="006B7FAD" w14:paraId="2D50DB4D"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E4173"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1A859"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45AC9" w14:textId="08233979" w:rsidR="00FD352D" w:rsidRPr="006B7FAD" w:rsidRDefault="00EF2A14"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2.132*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BC5FB" w14:textId="37ED78A2"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3.918</w:t>
            </w:r>
            <w:r w:rsidR="00EF2A14">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71CC7" w14:textId="59D0A591"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10.736</w:t>
            </w:r>
            <w:r w:rsidR="00EF2A14">
              <w:rPr>
                <w:rFonts w:ascii="Times New Roman" w:eastAsia="Times New Roman" w:hAnsi="Times New Roman"/>
                <w:sz w:val="20"/>
                <w:szCs w:val="20"/>
                <w:lang w:eastAsia="lt-LT"/>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7DC08" w14:textId="346C8524"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18.901</w:t>
            </w:r>
            <w:r w:rsidR="00EF2A14">
              <w:rPr>
                <w:rFonts w:ascii="Times New Roman" w:eastAsia="Times New Roman" w:hAnsi="Times New Roman"/>
                <w:sz w:val="20"/>
                <w:szCs w:val="20"/>
                <w:lang w:eastAsia="lt-LT"/>
              </w:rPr>
              <w:t>**</w:t>
            </w:r>
          </w:p>
        </w:tc>
      </w:tr>
      <w:tr w:rsidR="00FD352D" w:rsidRPr="006B7FAD" w14:paraId="49C70F4B"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9DBE3"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54ECF"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D2FA4" w14:textId="76AE1ED8" w:rsidR="00FD352D" w:rsidRPr="006B7FAD" w:rsidRDefault="00EF2A14"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4</w:t>
            </w:r>
            <w:r w:rsidR="00FD352D" w:rsidRPr="006B7FAD">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9B9D" w14:textId="423C8B46"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w:t>
            </w:r>
            <w:r w:rsidR="00EF2A14">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3CB99" w14:textId="27B7C410"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26%</w:t>
            </w:r>
            <w:r w:rsidR="00EF2A14">
              <w:rPr>
                <w:rFonts w:ascii="Times New Roman" w:eastAsia="Times New Roman" w:hAnsi="Times New Roman"/>
                <w:sz w:val="20"/>
                <w:szCs w:val="20"/>
                <w:lang w:eastAsia="lt-LT"/>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68632" w14:textId="4FE9662A"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r w:rsidR="00EF2A14">
              <w:rPr>
                <w:rFonts w:ascii="Times New Roman" w:eastAsia="Times New Roman" w:hAnsi="Times New Roman"/>
                <w:sz w:val="20"/>
                <w:szCs w:val="20"/>
                <w:lang w:eastAsia="lt-LT"/>
              </w:rPr>
              <w:t>**</w:t>
            </w:r>
          </w:p>
        </w:tc>
      </w:tr>
      <w:tr w:rsidR="00FD352D" w:rsidRPr="006B7FAD" w14:paraId="5DD97431"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295FF"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14B1B" w14:textId="2F1320EB" w:rsidR="00FD352D" w:rsidRPr="006B7FAD" w:rsidRDefault="00FD352D" w:rsidP="009D1C15">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FAD6" w14:textId="520FBC10" w:rsidR="00FD352D" w:rsidRPr="006B7FAD" w:rsidRDefault="00EF2A14"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4.393*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5CE23" w14:textId="4801369E"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2.702</w:t>
            </w:r>
            <w:r w:rsidR="00EF2A14">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21239" w14:textId="719931AC"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7.404</w:t>
            </w:r>
            <w:r w:rsidR="00EF2A14">
              <w:rPr>
                <w:rFonts w:ascii="Times New Roman" w:eastAsia="Times New Roman" w:hAnsi="Times New Roman"/>
                <w:sz w:val="20"/>
                <w:szCs w:val="20"/>
                <w:lang w:eastAsia="lt-LT"/>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1D1C7" w14:textId="1D13915E"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13.033</w:t>
            </w:r>
            <w:r w:rsidR="00EF2A14">
              <w:rPr>
                <w:rFonts w:ascii="Times New Roman" w:eastAsia="Times New Roman" w:hAnsi="Times New Roman"/>
                <w:sz w:val="20"/>
                <w:szCs w:val="20"/>
                <w:lang w:eastAsia="lt-LT"/>
              </w:rPr>
              <w:t>**</w:t>
            </w:r>
          </w:p>
        </w:tc>
      </w:tr>
      <w:tr w:rsidR="00FD352D" w:rsidRPr="006B7FAD" w14:paraId="28DE17FA" w14:textId="77777777" w:rsidTr="009D1C15">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B5EC7" w14:textId="77777777" w:rsidR="00FD352D" w:rsidRPr="006B7FAD" w:rsidRDefault="00FD352D" w:rsidP="009D1C15">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679" w14:textId="77777777" w:rsidR="00FD352D" w:rsidRPr="006B7FAD" w:rsidRDefault="00FD352D" w:rsidP="009D1C15">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F554D" w14:textId="04586A06" w:rsidR="00FD352D" w:rsidRPr="006B7FAD" w:rsidRDefault="00EF2A14" w:rsidP="009D1C15">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12</w:t>
            </w:r>
            <w:r w:rsidR="00FD352D" w:rsidRPr="006B7FAD">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8408A" w14:textId="12BC7C9F"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w:t>
            </w:r>
            <w:r w:rsidR="00EF2A14">
              <w:rPr>
                <w:rFonts w:ascii="Times New Roman" w:eastAsia="Times New Roman" w:hAnsi="Times New Roman"/>
                <w:sz w:val="20"/>
                <w:szCs w:val="20"/>
                <w:lang w:eastAsia="lt-LT"/>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0D89B" w14:textId="64059F73"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23%</w:t>
            </w:r>
            <w:r w:rsidR="00EF2A14">
              <w:rPr>
                <w:rFonts w:ascii="Times New Roman" w:eastAsia="Times New Roman" w:hAnsi="Times New Roman"/>
                <w:sz w:val="20"/>
                <w:szCs w:val="20"/>
                <w:lang w:eastAsia="lt-LT"/>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2907E" w14:textId="46C2E7C0" w:rsidR="00FD352D" w:rsidRPr="006B7FAD" w:rsidRDefault="00FD352D" w:rsidP="009D1C15">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41%</w:t>
            </w:r>
            <w:r w:rsidR="00EF2A14">
              <w:rPr>
                <w:rFonts w:ascii="Times New Roman" w:eastAsia="Times New Roman" w:hAnsi="Times New Roman"/>
                <w:sz w:val="20"/>
                <w:szCs w:val="20"/>
                <w:lang w:eastAsia="lt-LT"/>
              </w:rPr>
              <w:t>**</w:t>
            </w:r>
          </w:p>
        </w:tc>
      </w:tr>
    </w:tbl>
    <w:p w14:paraId="5EE4CA09" w14:textId="40933927" w:rsidR="00774427" w:rsidRPr="00650EE4" w:rsidRDefault="00774427"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4BFB3F60" w14:textId="77777777" w:rsidR="0099275B" w:rsidRPr="00B21707" w:rsidRDefault="0099275B" w:rsidP="0099275B">
      <w:pPr>
        <w:pStyle w:val="TESlentelspavadinimas"/>
        <w:rPr>
          <w:noProof w:val="0"/>
        </w:rPr>
      </w:pPr>
      <w:r w:rsidRPr="00B21707">
        <w:rPr>
          <w:noProof w:val="0"/>
        </w:rPr>
        <w:t>*Nauji ir renovuoti B ir aukštesnės energinio naudingumo klasės pastatai</w:t>
      </w:r>
      <w:r>
        <w:rPr>
          <w:noProof w:val="0"/>
        </w:rPr>
        <w:t xml:space="preserve"> </w:t>
      </w:r>
      <w:r w:rsidRPr="00B21707">
        <w:rPr>
          <w:noProof w:val="0"/>
        </w:rPr>
        <w:t>iki 2020 m..</w:t>
      </w:r>
    </w:p>
    <w:p w14:paraId="00BB2CFB" w14:textId="77777777" w:rsidR="0099275B" w:rsidRPr="00B21707" w:rsidRDefault="0099275B" w:rsidP="0099275B">
      <w:pPr>
        <w:pStyle w:val="TESlentelspavadinimas"/>
        <w:rPr>
          <w:noProof w:val="0"/>
        </w:rPr>
      </w:pPr>
      <w:r w:rsidRPr="00B21707">
        <w:rPr>
          <w:noProof w:val="0"/>
        </w:rPr>
        <w:t>**</w:t>
      </w:r>
      <w:r>
        <w:rPr>
          <w:noProof w:val="0"/>
        </w:rPr>
        <w:t>Renovuotini pastatai nuo 2021</w:t>
      </w:r>
      <w:r w:rsidRPr="00B21707">
        <w:rPr>
          <w:noProof w:val="0"/>
        </w:rPr>
        <w:t xml:space="preserve"> m. </w:t>
      </w:r>
      <w:r>
        <w:rPr>
          <w:noProof w:val="0"/>
        </w:rPr>
        <w:t>su tarpiniais rodikliais 2030 m., 2040 m. ir 2050 m.</w:t>
      </w:r>
    </w:p>
    <w:p w14:paraId="66CDAE0F" w14:textId="77777777" w:rsidR="00222643" w:rsidRPr="00650EE4" w:rsidRDefault="00222643" w:rsidP="00222643">
      <w:pPr>
        <w:rPr>
          <w:rFonts w:ascii="Times New Roman" w:hAnsi="Times New Roman"/>
          <w:szCs w:val="22"/>
        </w:rPr>
      </w:pPr>
    </w:p>
    <w:p w14:paraId="7B9B7127" w14:textId="77777777" w:rsidR="00222643" w:rsidRPr="00650EE4" w:rsidRDefault="00222643" w:rsidP="00222643">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550E11A" w14:textId="54885A5C"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22643" w:rsidRPr="00650EE4">
        <w:rPr>
          <w:rFonts w:ascii="Times New Roman" w:hAnsi="Times New Roman"/>
          <w:szCs w:val="22"/>
        </w:rPr>
        <w:t xml:space="preserve">lanuojamu laikotarpiu bus siekiama renovuoti </w:t>
      </w:r>
      <w:r w:rsidR="00FD454E" w:rsidRPr="00650EE4">
        <w:rPr>
          <w:rFonts w:ascii="Times New Roman" w:hAnsi="Times New Roman"/>
          <w:szCs w:val="22"/>
        </w:rPr>
        <w:t>beveik 19</w:t>
      </w:r>
      <w:r w:rsidR="00222643" w:rsidRPr="00650EE4">
        <w:rPr>
          <w:rFonts w:ascii="Times New Roman" w:hAnsi="Times New Roman"/>
          <w:szCs w:val="22"/>
        </w:rPr>
        <w:t xml:space="preserve"> tūkst. pastatų;</w:t>
      </w:r>
    </w:p>
    <w:p w14:paraId="5AD866B4" w14:textId="409902C7"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95580D" w:rsidRPr="00650EE4">
        <w:rPr>
          <w:rFonts w:ascii="Times New Roman" w:hAnsi="Times New Roman"/>
          <w:szCs w:val="22"/>
        </w:rPr>
        <w:t>ramonės</w:t>
      </w:r>
      <w:r w:rsidR="00B67D51" w:rsidRPr="00650EE4">
        <w:rPr>
          <w:rFonts w:ascii="Times New Roman" w:hAnsi="Times New Roman"/>
          <w:szCs w:val="22"/>
        </w:rPr>
        <w:t xml:space="preserve"> pastatai</w:t>
      </w:r>
      <w:r w:rsidR="00222643" w:rsidRPr="00650EE4">
        <w:rPr>
          <w:rFonts w:ascii="Times New Roman" w:hAnsi="Times New Roman"/>
          <w:szCs w:val="22"/>
        </w:rPr>
        <w:t xml:space="preserve"> sudarys tik </w:t>
      </w:r>
      <w:r w:rsidR="00C078AA" w:rsidRPr="00650EE4">
        <w:rPr>
          <w:rFonts w:ascii="Times New Roman" w:hAnsi="Times New Roman"/>
          <w:szCs w:val="22"/>
        </w:rPr>
        <w:t>4</w:t>
      </w:r>
      <w:r w:rsidR="00222643" w:rsidRPr="00650EE4">
        <w:rPr>
          <w:rFonts w:ascii="Times New Roman" w:hAnsi="Times New Roman"/>
          <w:szCs w:val="22"/>
        </w:rPr>
        <w:t xml:space="preserve"> proc. visų renovuojamų pastatų skaičiaus (</w:t>
      </w:r>
      <w:r w:rsidR="00C078AA" w:rsidRPr="00650EE4">
        <w:rPr>
          <w:rFonts w:ascii="Times New Roman" w:hAnsi="Times New Roman"/>
          <w:szCs w:val="22"/>
        </w:rPr>
        <w:t>12</w:t>
      </w:r>
      <w:r w:rsidR="00222643" w:rsidRPr="00650EE4">
        <w:rPr>
          <w:rFonts w:ascii="Times New Roman" w:hAnsi="Times New Roman"/>
          <w:szCs w:val="22"/>
        </w:rPr>
        <w:t xml:space="preserve"> proc. ploto) ir pasieks </w:t>
      </w:r>
      <w:r w:rsidR="00852ADB" w:rsidRPr="00650EE4">
        <w:rPr>
          <w:rFonts w:ascii="Times New Roman" w:hAnsi="Times New Roman"/>
          <w:szCs w:val="22"/>
        </w:rPr>
        <w:t>1</w:t>
      </w:r>
      <w:r w:rsidR="00FD352D">
        <w:rPr>
          <w:rFonts w:ascii="Times New Roman" w:hAnsi="Times New Roman"/>
          <w:szCs w:val="22"/>
        </w:rPr>
        <w:t>6</w:t>
      </w:r>
      <w:r w:rsidR="00222643" w:rsidRPr="00650EE4">
        <w:rPr>
          <w:rFonts w:ascii="Times New Roman" w:hAnsi="Times New Roman"/>
          <w:szCs w:val="22"/>
        </w:rPr>
        <w:t xml:space="preserve"> proc. pirminės energijos ir </w:t>
      </w:r>
      <w:r w:rsidR="00852ADB" w:rsidRPr="00650EE4">
        <w:rPr>
          <w:rFonts w:ascii="Times New Roman" w:hAnsi="Times New Roman"/>
          <w:szCs w:val="22"/>
        </w:rPr>
        <w:t>2</w:t>
      </w:r>
      <w:r w:rsidR="00FD352D">
        <w:rPr>
          <w:rFonts w:ascii="Times New Roman" w:hAnsi="Times New Roman"/>
          <w:szCs w:val="22"/>
        </w:rPr>
        <w:t>2</w:t>
      </w:r>
      <w:r w:rsidR="00222643" w:rsidRPr="00650EE4">
        <w:rPr>
          <w:rFonts w:ascii="Times New Roman" w:hAnsi="Times New Roman"/>
          <w:szCs w:val="22"/>
        </w:rPr>
        <w:t xml:space="preserve"> proc. CO</w:t>
      </w:r>
      <w:r w:rsidR="00222643" w:rsidRPr="00650EE4">
        <w:rPr>
          <w:rFonts w:ascii="Times New Roman" w:hAnsi="Times New Roman"/>
          <w:szCs w:val="22"/>
          <w:vertAlign w:val="subscript"/>
        </w:rPr>
        <w:t>2</w:t>
      </w:r>
      <w:r w:rsidR="00222643" w:rsidRPr="00650EE4">
        <w:rPr>
          <w:rFonts w:ascii="Times New Roman" w:hAnsi="Times New Roman"/>
          <w:szCs w:val="22"/>
        </w:rPr>
        <w:t xml:space="preserve"> emisijų sutaupymų;</w:t>
      </w:r>
    </w:p>
    <w:p w14:paraId="3AE8F370" w14:textId="2BDDFC99"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22643" w:rsidRPr="00650EE4">
        <w:rPr>
          <w:rFonts w:ascii="Times New Roman" w:hAnsi="Times New Roman"/>
          <w:szCs w:val="22"/>
        </w:rPr>
        <w:t>o renovacijos</w:t>
      </w:r>
      <w:r w:rsidR="00FD352D">
        <w:rPr>
          <w:rFonts w:ascii="Times New Roman" w:hAnsi="Times New Roman"/>
          <w:szCs w:val="22"/>
        </w:rPr>
        <w:t xml:space="preserve"> ir energetikos sektoriaus transformacijos</w:t>
      </w:r>
      <w:r w:rsidR="00222643" w:rsidRPr="00650EE4">
        <w:rPr>
          <w:rFonts w:ascii="Times New Roman" w:hAnsi="Times New Roman"/>
          <w:szCs w:val="22"/>
        </w:rPr>
        <w:t xml:space="preserve"> pirminės energijos vartojimas sumažės </w:t>
      </w:r>
      <w:r w:rsidR="00FD352D">
        <w:rPr>
          <w:rFonts w:ascii="Times New Roman" w:hAnsi="Times New Roman"/>
          <w:szCs w:val="22"/>
        </w:rPr>
        <w:t>55</w:t>
      </w:r>
      <w:r w:rsidR="00222643" w:rsidRPr="00650EE4">
        <w:rPr>
          <w:rFonts w:ascii="Times New Roman" w:hAnsi="Times New Roman"/>
          <w:szCs w:val="22"/>
        </w:rPr>
        <w:t xml:space="preserve"> proc. (neefektyviausių pastatų – </w:t>
      </w:r>
      <w:r w:rsidR="00FD352D">
        <w:rPr>
          <w:rFonts w:ascii="Times New Roman" w:hAnsi="Times New Roman"/>
          <w:szCs w:val="22"/>
        </w:rPr>
        <w:t>69</w:t>
      </w:r>
      <w:r w:rsidR="00222643" w:rsidRPr="00650EE4">
        <w:rPr>
          <w:rFonts w:ascii="Times New Roman" w:hAnsi="Times New Roman"/>
          <w:szCs w:val="22"/>
        </w:rPr>
        <w:t xml:space="preserve"> proc.);</w:t>
      </w:r>
    </w:p>
    <w:p w14:paraId="15CFE6AF" w14:textId="0E7ED213"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22643" w:rsidRPr="00650EE4">
        <w:rPr>
          <w:rFonts w:ascii="Times New Roman" w:hAnsi="Times New Roman"/>
          <w:szCs w:val="22"/>
        </w:rPr>
        <w:t xml:space="preserve">o renovacijos </w:t>
      </w:r>
      <w:r w:rsidR="00FD352D">
        <w:rPr>
          <w:rFonts w:ascii="Times New Roman" w:hAnsi="Times New Roman"/>
          <w:szCs w:val="22"/>
        </w:rPr>
        <w:t>ir energetikos sektoriaus transformacijos</w:t>
      </w:r>
      <w:r w:rsidR="00FD352D" w:rsidRPr="00650EE4">
        <w:rPr>
          <w:rFonts w:ascii="Times New Roman" w:hAnsi="Times New Roman"/>
          <w:szCs w:val="22"/>
        </w:rPr>
        <w:t xml:space="preserve"> </w:t>
      </w:r>
      <w:r w:rsidR="00222643" w:rsidRPr="00650EE4">
        <w:rPr>
          <w:rFonts w:ascii="Times New Roman" w:hAnsi="Times New Roman"/>
          <w:szCs w:val="22"/>
        </w:rPr>
        <w:t>CO</w:t>
      </w:r>
      <w:r w:rsidR="00222643" w:rsidRPr="00650EE4">
        <w:rPr>
          <w:rFonts w:ascii="Times New Roman" w:hAnsi="Times New Roman"/>
          <w:szCs w:val="22"/>
          <w:vertAlign w:val="subscript"/>
        </w:rPr>
        <w:t>2</w:t>
      </w:r>
      <w:r w:rsidR="00222643" w:rsidRPr="00650EE4">
        <w:rPr>
          <w:rFonts w:ascii="Times New Roman" w:hAnsi="Times New Roman"/>
          <w:szCs w:val="22"/>
        </w:rPr>
        <w:t xml:space="preserve"> emisijos sumažės </w:t>
      </w:r>
      <w:r w:rsidR="00FD352D">
        <w:rPr>
          <w:rFonts w:ascii="Times New Roman" w:hAnsi="Times New Roman"/>
          <w:szCs w:val="22"/>
        </w:rPr>
        <w:t>100</w:t>
      </w:r>
      <w:r w:rsidR="00222643" w:rsidRPr="00650EE4">
        <w:rPr>
          <w:rFonts w:ascii="Times New Roman" w:hAnsi="Times New Roman"/>
          <w:szCs w:val="22"/>
        </w:rPr>
        <w:t xml:space="preserve"> proc.</w:t>
      </w:r>
    </w:p>
    <w:p w14:paraId="63D176A1" w14:textId="77777777" w:rsidR="00222643" w:rsidRDefault="00222643" w:rsidP="00222643">
      <w:pPr>
        <w:rPr>
          <w:rFonts w:ascii="Times New Roman" w:hAnsi="Times New Roman"/>
          <w:szCs w:val="22"/>
        </w:rPr>
      </w:pPr>
    </w:p>
    <w:p w14:paraId="2142B04A" w14:textId="7DAEB6A8" w:rsidR="00FD352D" w:rsidRPr="00650EE4" w:rsidRDefault="00FD352D" w:rsidP="00FD352D">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Tam, kad būtų pasiekti </w:t>
      </w:r>
      <w:r w:rsidR="00F51047">
        <w:rPr>
          <w:rFonts w:ascii="Times New Roman" w:hAnsi="Times New Roman"/>
          <w:color w:val="000000" w:themeColor="text1"/>
          <w:szCs w:val="22"/>
        </w:rPr>
        <w:t>šie</w:t>
      </w:r>
      <w:r w:rsidRPr="00650EE4">
        <w:rPr>
          <w:rFonts w:ascii="Times New Roman" w:hAnsi="Times New Roman"/>
          <w:color w:val="000000" w:themeColor="text1"/>
          <w:szCs w:val="22"/>
        </w:rPr>
        <w:t xml:space="preserve"> rodikliai, reikės atnaujinti bent po </w:t>
      </w:r>
      <w:r>
        <w:rPr>
          <w:rFonts w:ascii="Times New Roman" w:hAnsi="Times New Roman"/>
          <w:color w:val="000000" w:themeColor="text1"/>
          <w:szCs w:val="22"/>
        </w:rPr>
        <w:t>30</w:t>
      </w:r>
      <w:r w:rsidRPr="00650EE4">
        <w:rPr>
          <w:rFonts w:ascii="Times New Roman" w:hAnsi="Times New Roman"/>
          <w:color w:val="000000" w:themeColor="text1"/>
          <w:szCs w:val="22"/>
        </w:rPr>
        <w:t>0 pramonės pastatų 2021-202</w:t>
      </w:r>
      <w:r>
        <w:rPr>
          <w:rFonts w:ascii="Times New Roman" w:hAnsi="Times New Roman"/>
          <w:color w:val="000000" w:themeColor="text1"/>
          <w:szCs w:val="22"/>
        </w:rPr>
        <w:t>3</w:t>
      </w:r>
      <w:r w:rsidRPr="00650EE4">
        <w:rPr>
          <w:rFonts w:ascii="Times New Roman" w:hAnsi="Times New Roman"/>
          <w:color w:val="000000" w:themeColor="text1"/>
          <w:szCs w:val="22"/>
        </w:rPr>
        <w:t xml:space="preserve"> metais, vėliau kasmet didinant renovacijos tempą bent po </w:t>
      </w:r>
      <w:r>
        <w:rPr>
          <w:rFonts w:ascii="Times New Roman" w:hAnsi="Times New Roman"/>
          <w:color w:val="000000" w:themeColor="text1"/>
          <w:szCs w:val="22"/>
        </w:rPr>
        <w:t>3</w:t>
      </w:r>
      <w:r w:rsidRPr="00650EE4">
        <w:rPr>
          <w:rFonts w:ascii="Times New Roman" w:hAnsi="Times New Roman"/>
          <w:color w:val="000000" w:themeColor="text1"/>
          <w:szCs w:val="22"/>
        </w:rPr>
        <w:t>0 pastatų, siekiant 20</w:t>
      </w:r>
      <w:r>
        <w:rPr>
          <w:rFonts w:ascii="Times New Roman" w:hAnsi="Times New Roman"/>
          <w:color w:val="000000" w:themeColor="text1"/>
          <w:szCs w:val="22"/>
        </w:rPr>
        <w:t>40</w:t>
      </w:r>
      <w:r w:rsidRPr="00650EE4">
        <w:rPr>
          <w:rFonts w:ascii="Times New Roman" w:hAnsi="Times New Roman"/>
          <w:color w:val="000000" w:themeColor="text1"/>
          <w:szCs w:val="22"/>
        </w:rPr>
        <w:t xml:space="preserve"> m. pasiekti </w:t>
      </w:r>
      <w:r>
        <w:rPr>
          <w:rFonts w:ascii="Times New Roman" w:hAnsi="Times New Roman"/>
          <w:color w:val="000000" w:themeColor="text1"/>
          <w:szCs w:val="22"/>
        </w:rPr>
        <w:t xml:space="preserve">virš </w:t>
      </w:r>
      <w:r w:rsidRPr="00650EE4">
        <w:rPr>
          <w:rFonts w:ascii="Times New Roman" w:hAnsi="Times New Roman"/>
          <w:color w:val="000000" w:themeColor="text1"/>
          <w:szCs w:val="22"/>
        </w:rPr>
        <w:t>8</w:t>
      </w:r>
      <w:r>
        <w:rPr>
          <w:rFonts w:ascii="Times New Roman" w:hAnsi="Times New Roman"/>
          <w:color w:val="000000" w:themeColor="text1"/>
          <w:szCs w:val="22"/>
        </w:rPr>
        <w:t>0</w:t>
      </w:r>
      <w:r w:rsidRPr="00650EE4">
        <w:rPr>
          <w:rFonts w:ascii="Times New Roman" w:hAnsi="Times New Roman"/>
          <w:color w:val="000000" w:themeColor="text1"/>
          <w:szCs w:val="22"/>
        </w:rPr>
        <w:t>0 per metus renovuojamų pastatų skaičių.</w:t>
      </w:r>
    </w:p>
    <w:p w14:paraId="0208480B" w14:textId="77777777" w:rsidR="00212F3D" w:rsidRPr="00650EE4" w:rsidRDefault="00212F3D" w:rsidP="00222643">
      <w:pPr>
        <w:jc w:val="both"/>
        <w:rPr>
          <w:rFonts w:ascii="Times New Roman" w:hAnsi="Times New Roman"/>
          <w:color w:val="000000" w:themeColor="text1"/>
          <w:szCs w:val="22"/>
        </w:rPr>
      </w:pPr>
    </w:p>
    <w:p w14:paraId="2D62310C" w14:textId="489B0957" w:rsidR="006E0686" w:rsidRPr="00650EE4" w:rsidRDefault="006E06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84" w:name="_Toc67925274"/>
      <w:r w:rsidR="007744C1">
        <w:t>26</w:t>
      </w:r>
      <w:r w:rsidRPr="00650EE4">
        <w:rPr>
          <w:noProof w:val="0"/>
        </w:rPr>
        <w:fldChar w:fldCharType="end"/>
      </w:r>
      <w:r w:rsidRPr="00650EE4">
        <w:rPr>
          <w:noProof w:val="0"/>
        </w:rPr>
        <w:t xml:space="preserve"> paveikslas. Pramonės pastatų renovacijos tempai</w:t>
      </w:r>
      <w:bookmarkEnd w:id="184"/>
    </w:p>
    <w:p w14:paraId="2B007021" w14:textId="4BE1692D" w:rsidR="006E0686" w:rsidRPr="00650EE4" w:rsidRDefault="00FD352D" w:rsidP="00ED3BBC">
      <w:pPr>
        <w:pStyle w:val="TESlentelspavadinimas"/>
        <w:rPr>
          <w:noProof w:val="0"/>
        </w:rPr>
      </w:pPr>
      <w:r w:rsidRPr="00650EE4">
        <w:rPr>
          <w:lang w:eastAsia="lt-LT"/>
        </w:rPr>
        <w:drawing>
          <wp:inline distT="0" distB="0" distL="0" distR="0" wp14:anchorId="218CBBEA" wp14:editId="71AAC59C">
            <wp:extent cx="6479540" cy="2025015"/>
            <wp:effectExtent l="0" t="0" r="16510" b="13335"/>
            <wp:docPr id="77" name="Chart 7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1967CF-DD5D-4B39-A193-58DA3EB31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DA6280" w14:textId="24DEF328" w:rsidR="006E0686" w:rsidRPr="00650EE4" w:rsidRDefault="006E0686"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43C511E6" w14:textId="77777777" w:rsidR="006D02E1" w:rsidRPr="00650EE4" w:rsidRDefault="006D02E1" w:rsidP="006D02E1">
      <w:pPr>
        <w:pStyle w:val="Pagrindinispaprastastekstas"/>
        <w:rPr>
          <w:rFonts w:ascii="Times New Roman" w:hAnsi="Times New Roman"/>
        </w:rPr>
      </w:pPr>
    </w:p>
    <w:p w14:paraId="68C903AF" w14:textId="1E196757" w:rsidR="002C19B7" w:rsidRPr="00EF2A14" w:rsidRDefault="00284BCA" w:rsidP="00EF2A14">
      <w:pPr>
        <w:pStyle w:val="Pagrindinispaprastastekstas"/>
        <w:rPr>
          <w:rFonts w:ascii="Times New Roman" w:hAnsi="Times New Roman"/>
        </w:rPr>
      </w:pPr>
      <w:r w:rsidRPr="00650EE4">
        <w:rPr>
          <w:rFonts w:ascii="Times New Roman" w:hAnsi="Times New Roman"/>
        </w:rPr>
        <w:t>Pramonės</w:t>
      </w:r>
      <w:r w:rsidR="006D02E1" w:rsidRPr="00650EE4">
        <w:rPr>
          <w:rFonts w:ascii="Times New Roman" w:hAnsi="Times New Roman"/>
        </w:rPr>
        <w:t xml:space="preserve"> paskirties pastatų renovacijos tempų prognozė pagrįsta planuojamomis paramos priemonėmis, orientuotomis į </w:t>
      </w:r>
      <w:r w:rsidR="00DE35B2" w:rsidRPr="00650EE4">
        <w:rPr>
          <w:rFonts w:ascii="Times New Roman" w:hAnsi="Times New Roman"/>
        </w:rPr>
        <w:t xml:space="preserve">energinio </w:t>
      </w:r>
      <w:r w:rsidR="00421BC2" w:rsidRPr="00650EE4">
        <w:rPr>
          <w:rFonts w:ascii="Times New Roman" w:hAnsi="Times New Roman"/>
        </w:rPr>
        <w:t>naudingumo</w:t>
      </w:r>
      <w:r w:rsidR="00DE35B2" w:rsidRPr="00650EE4">
        <w:rPr>
          <w:rFonts w:ascii="Times New Roman" w:hAnsi="Times New Roman"/>
        </w:rPr>
        <w:t xml:space="preserve"> reikalavimų nustatymą rekonstruojamiems pastatams</w:t>
      </w:r>
      <w:r w:rsidR="006D02E1" w:rsidRPr="00650EE4">
        <w:rPr>
          <w:rFonts w:ascii="Times New Roman" w:hAnsi="Times New Roman"/>
        </w:rPr>
        <w:t xml:space="preserve"> ir </w:t>
      </w:r>
      <w:proofErr w:type="spellStart"/>
      <w:r w:rsidR="006D02E1" w:rsidRPr="00650EE4">
        <w:rPr>
          <w:rFonts w:ascii="Times New Roman" w:hAnsi="Times New Roman"/>
        </w:rPr>
        <w:t>kvartalinę</w:t>
      </w:r>
      <w:proofErr w:type="spellEnd"/>
      <w:r w:rsidR="006D02E1" w:rsidRPr="00650EE4">
        <w:rPr>
          <w:rFonts w:ascii="Times New Roman" w:hAnsi="Times New Roman"/>
        </w:rPr>
        <w:t xml:space="preserve"> renovaciją</w:t>
      </w:r>
      <w:r w:rsidR="00D6777C" w:rsidRPr="00650EE4">
        <w:rPr>
          <w:rFonts w:ascii="Times New Roman" w:hAnsi="Times New Roman"/>
        </w:rPr>
        <w:t xml:space="preserve"> (miestuose)</w:t>
      </w:r>
      <w:r w:rsidR="006D02E1" w:rsidRPr="00650EE4">
        <w:rPr>
          <w:rFonts w:ascii="Times New Roman" w:hAnsi="Times New Roman"/>
        </w:rPr>
        <w:t xml:space="preserve"> (žr. </w:t>
      </w:r>
      <w:r w:rsidR="00436287">
        <w:rPr>
          <w:rFonts w:ascii="Times New Roman" w:hAnsi="Times New Roman"/>
        </w:rPr>
        <w:t>6</w:t>
      </w:r>
      <w:r w:rsidR="006D02E1" w:rsidRPr="00650EE4">
        <w:rPr>
          <w:rFonts w:ascii="Times New Roman" w:hAnsi="Times New Roman"/>
        </w:rPr>
        <w:t>.</w:t>
      </w:r>
      <w:r w:rsidR="00FD352D">
        <w:rPr>
          <w:rFonts w:ascii="Times New Roman" w:hAnsi="Times New Roman"/>
        </w:rPr>
        <w:t>2</w:t>
      </w:r>
      <w:r w:rsidR="00EF2A14">
        <w:rPr>
          <w:rFonts w:ascii="Times New Roman" w:hAnsi="Times New Roman"/>
        </w:rPr>
        <w:t xml:space="preserve"> skyrių).</w:t>
      </w:r>
      <w:r w:rsidR="002C19B7" w:rsidRPr="00650EE4">
        <w:rPr>
          <w:rFonts w:ascii="Times New Roman" w:hAnsi="Times New Roman"/>
          <w:sz w:val="24"/>
        </w:rPr>
        <w:br w:type="page"/>
      </w:r>
    </w:p>
    <w:p w14:paraId="3FAB68FA" w14:textId="4706BE8D" w:rsidR="00D867C4" w:rsidRPr="00650EE4" w:rsidRDefault="001657FA" w:rsidP="0019694C">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85" w:name="_Toc67925167"/>
      <w:r w:rsidRPr="00650EE4">
        <w:rPr>
          <w:rFonts w:ascii="Times New Roman" w:hAnsi="Times New Roman"/>
          <w:color w:val="auto"/>
          <w:sz w:val="24"/>
          <w:szCs w:val="24"/>
          <w:lang w:val="lt-LT"/>
        </w:rPr>
        <w:lastRenderedPageBreak/>
        <w:t>Strategijos</w:t>
      </w:r>
      <w:r w:rsidR="0036191F" w:rsidRPr="00650EE4">
        <w:rPr>
          <w:rFonts w:ascii="Times New Roman" w:hAnsi="Times New Roman"/>
          <w:color w:val="auto"/>
          <w:sz w:val="24"/>
          <w:szCs w:val="24"/>
          <w:lang w:val="lt-LT"/>
        </w:rPr>
        <w:t xml:space="preserve"> </w:t>
      </w:r>
      <w:r w:rsidRPr="00650EE4">
        <w:rPr>
          <w:rFonts w:ascii="Times New Roman" w:hAnsi="Times New Roman"/>
          <w:color w:val="auto"/>
          <w:sz w:val="24"/>
          <w:szCs w:val="24"/>
          <w:lang w:val="lt-LT"/>
        </w:rPr>
        <w:t>įgyvendinimo</w:t>
      </w:r>
      <w:r w:rsidR="0036191F" w:rsidRPr="00650EE4">
        <w:rPr>
          <w:rFonts w:ascii="Times New Roman" w:hAnsi="Times New Roman"/>
          <w:color w:val="auto"/>
          <w:sz w:val="24"/>
          <w:szCs w:val="24"/>
          <w:lang w:val="lt-LT"/>
        </w:rPr>
        <w:t xml:space="preserve"> </w:t>
      </w:r>
      <w:r w:rsidR="003F57F0" w:rsidRPr="00650EE4">
        <w:rPr>
          <w:rFonts w:ascii="Times New Roman" w:hAnsi="Times New Roman"/>
          <w:color w:val="auto"/>
          <w:sz w:val="24"/>
          <w:szCs w:val="24"/>
          <w:lang w:val="lt-LT"/>
        </w:rPr>
        <w:t xml:space="preserve">tiesioginės ir </w:t>
      </w:r>
      <w:r w:rsidRPr="00650EE4">
        <w:rPr>
          <w:rFonts w:ascii="Times New Roman" w:hAnsi="Times New Roman"/>
          <w:color w:val="auto"/>
          <w:sz w:val="24"/>
          <w:szCs w:val="24"/>
          <w:lang w:val="lt-LT"/>
        </w:rPr>
        <w:t>platesnio masto naudos</w:t>
      </w:r>
      <w:bookmarkEnd w:id="185"/>
      <w:r w:rsidR="00D867C4" w:rsidRPr="00650EE4">
        <w:rPr>
          <w:rFonts w:ascii="Times New Roman" w:hAnsi="Times New Roman"/>
          <w:color w:val="auto"/>
          <w:sz w:val="24"/>
          <w:szCs w:val="24"/>
          <w:lang w:val="lt-LT"/>
        </w:rPr>
        <w:t xml:space="preserve"> </w:t>
      </w:r>
    </w:p>
    <w:p w14:paraId="72E57ADE" w14:textId="31BA87B4" w:rsidR="00D867C4" w:rsidRPr="00650EE4" w:rsidRDefault="00E7695C" w:rsidP="00D867C4">
      <w:pPr>
        <w:spacing w:after="240"/>
        <w:rPr>
          <w:rFonts w:ascii="Times New Roman" w:hAnsi="Times New Roman"/>
          <w:color w:val="000000" w:themeColor="text1"/>
          <w:szCs w:val="22"/>
        </w:rPr>
      </w:pPr>
      <w:r w:rsidRPr="00650EE4">
        <w:rPr>
          <w:rFonts w:ascii="Times New Roman" w:hAnsi="Times New Roman"/>
          <w:noProof/>
          <w:color w:val="000000" w:themeColor="text1"/>
          <w:sz w:val="24"/>
          <w:szCs w:val="24"/>
          <w:lang w:eastAsia="lt-LT"/>
        </w:rPr>
        <mc:AlternateContent>
          <mc:Choice Requires="wps">
            <w:drawing>
              <wp:inline distT="0" distB="0" distL="0" distR="0" wp14:anchorId="5BF4D217" wp14:editId="339291DA">
                <wp:extent cx="6479540" cy="586853"/>
                <wp:effectExtent l="0" t="0" r="0" b="381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586853"/>
                        </a:xfrm>
                        <a:prstGeom prst="rect">
                          <a:avLst/>
                        </a:prstGeom>
                        <a:solidFill>
                          <a:schemeClr val="bg1">
                            <a:lumMod val="85000"/>
                          </a:schemeClr>
                        </a:solidFill>
                        <a:ln>
                          <a:noFill/>
                        </a:ln>
                      </wps:spPr>
                      <wps:txbx>
                        <w:txbxContent>
                          <w:p w14:paraId="51DD4C07" w14:textId="1C626A4E" w:rsidR="005E392B" w:rsidRPr="00445553" w:rsidRDefault="005E392B" w:rsidP="00E7695C">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g</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s </w:t>
                            </w:r>
                            <w:r w:rsidRPr="00EB20A1">
                              <w:rPr>
                                <w:rFonts w:ascii="Times New Roman" w:hAnsi="Times New Roman" w:cs="Times New Roman"/>
                                <w:bCs/>
                                <w:color w:val="000000" w:themeColor="text1"/>
                                <w:sz w:val="22"/>
                              </w:rPr>
                              <w:t>įrodymais pagrįstas numatomos sutaupyti energijos ir platesnio masto naudos, kaip antai, susijusios su sveikata, sauga ir oro kokybe, įvertinimas.</w:t>
                            </w:r>
                            <w:r>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40" o:spid="_x0000_s1037" type="#_x0000_t202" style="width:510.2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cqGgIAABwEAAAOAAAAZHJzL2Uyb0RvYy54bWysU21v0zAQ/o7Ef7D8nSYtbddFTafRaQhp&#10;DKSNH+A4TmPh+MzZbVJ+PWen6wp8Q3yxfC9+7rnnzuuboTPsoNBrsCWfTnLOlJVQa7sr+bfn+3cr&#10;znwQthYGrCr5UXl+s3n7Zt27Qs2gBVMrZARifdG7krchuCLLvGxVJ/wEnLIUbAA7EcjEXVaj6Am9&#10;M9ksz5dZD1g7BKm8J+/dGOSbhN80SoYvTeNVYKbkxC2kE9NZxTPbrEWxQ+FaLU80xD+w6IS2VPQM&#10;dSeCYHvUf0F1WiJ4aMJEQpdB02ipUg/UzTT/o5unVjiVeiFxvDvL5P8frHw8fEWm65LPSR4rOprR&#10;sxoC+wADIxfp0ztfUNqTo8QwkJ/mnHr17gHkd88sbFthd+oWEfpWiZr4TePL7OLpiOMjSNV/hprq&#10;iH2ABDQ02EXxSA5G6ETkeJ5N5CLJuZxfXS8iR0mxxWq5WrxPJUTx8tqhDx8VdCxeSo40+4QuDg8+&#10;RDaieEmJxTwYXd9rY5IR901tDbKDoE2pdmOHZt8R1dG3WuR50oNw0nrG9IT6G5KxEc9CRB6LRk9S&#10;IjY/yhCGakiiT5NOUaYK6iNpgzCuKH0purSAPznraT1L7n/sBSrOzCdL+l5P51GMkIz54mpGBl5G&#10;qsuIsJKgSh44G6/bMP6BvUO9a6nS2K+FW5pJo5Ncr6xO/GkFU7+n7xJ3/NJOWa+fevMLAAD//wMA&#10;UEsDBBQABgAIAAAAIQD2PL3p3AAAAAUBAAAPAAAAZHJzL2Rvd25yZXYueG1sTI9BS8NAEIXvgv9h&#10;GcGb3TUUrTGbIoKgUgVb9TzNTpNgdjbsbprYX+/Wi14GHu/x3jfFcrKd2JMPrWMNlzMFgrhypuVa&#10;w/vm4WIBIkRkg51j0vBNAZbl6UmBuXEjv9F+HWuRSjjkqKGJsc+lDFVDFsPM9cTJ2zlvMSbpa2k8&#10;jqncdjJT6kpabDktNNjTfUPV13qwGlb8/IS7zeLlcMiG8ePz8Xp8XXmtz8+mu1sQkab4F4YjfkKH&#10;MjFt3cAmiE5DeiT+3qOnMjUHsdVwk81BloX8T1/+AAAA//8DAFBLAQItABQABgAIAAAAIQC2gziS&#10;/gAAAOEBAAATAAAAAAAAAAAAAAAAAAAAAABbQ29udGVudF9UeXBlc10ueG1sUEsBAi0AFAAGAAgA&#10;AAAhADj9If/WAAAAlAEAAAsAAAAAAAAAAAAAAAAALwEAAF9yZWxzLy5yZWxzUEsBAi0AFAAGAAgA&#10;AAAhAAHNhyoaAgAAHAQAAA4AAAAAAAAAAAAAAAAALgIAAGRycy9lMm9Eb2MueG1sUEsBAi0AFAAG&#10;AAgAAAAhAPY8vencAAAABQEAAA8AAAAAAAAAAAAAAAAAdAQAAGRycy9kb3ducmV2LnhtbFBLBQYA&#10;AAAABAAEAPMAAAB9BQAAAAA=&#10;" fillcolor="#d8d8d8 [2732]" stroked="f">
                <v:textbox>
                  <w:txbxContent>
                    <w:p w14:paraId="51DD4C07" w14:textId="1C626A4E" w:rsidR="005E392B" w:rsidRPr="00445553" w:rsidRDefault="005E392B" w:rsidP="00E7695C">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g</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s </w:t>
                      </w:r>
                      <w:r w:rsidRPr="00EB20A1">
                        <w:rPr>
                          <w:rFonts w:ascii="Times New Roman" w:hAnsi="Times New Roman" w:cs="Times New Roman"/>
                          <w:bCs/>
                          <w:color w:val="000000" w:themeColor="text1"/>
                          <w:sz w:val="22"/>
                        </w:rPr>
                        <w:t>įrodymais pagrįstas numatomos sutaupyti energijos ir platesnio masto naudos, kaip antai, susijusios su sveikata, sauga ir oro kokybe, įvertinimas.</w:t>
                      </w:r>
                      <w:r>
                        <w:rPr>
                          <w:rFonts w:ascii="Times New Roman" w:hAnsi="Times New Roman" w:cs="Times New Roman"/>
                          <w:bCs/>
                          <w:color w:val="000000" w:themeColor="text1"/>
                          <w:sz w:val="22"/>
                        </w:rPr>
                        <w:t>“</w:t>
                      </w:r>
                    </w:p>
                  </w:txbxContent>
                </v:textbox>
                <w10:anchorlock/>
              </v:shape>
            </w:pict>
          </mc:Fallback>
        </mc:AlternateContent>
      </w:r>
    </w:p>
    <w:p w14:paraId="0A875DAB" w14:textId="4C56836F" w:rsidR="003A0129" w:rsidRPr="00650EE4" w:rsidRDefault="003A0129" w:rsidP="003A0129">
      <w:pPr>
        <w:jc w:val="both"/>
        <w:rPr>
          <w:rFonts w:ascii="Times New Roman" w:hAnsi="Times New Roman"/>
          <w:color w:val="auto"/>
          <w:szCs w:val="22"/>
        </w:rPr>
      </w:pPr>
      <w:r w:rsidRPr="00650EE4">
        <w:rPr>
          <w:rFonts w:ascii="Times New Roman" w:hAnsi="Times New Roman"/>
          <w:color w:val="auto"/>
          <w:szCs w:val="22"/>
        </w:rPr>
        <w:t xml:space="preserve">Nors IRS </w:t>
      </w:r>
      <w:r w:rsidR="00F51047">
        <w:rPr>
          <w:rFonts w:ascii="Times New Roman" w:hAnsi="Times New Roman"/>
          <w:color w:val="auto"/>
          <w:szCs w:val="22"/>
        </w:rPr>
        <w:t>rodikliai</w:t>
      </w:r>
      <w:r w:rsidRPr="00650EE4">
        <w:rPr>
          <w:rFonts w:ascii="Times New Roman" w:hAnsi="Times New Roman"/>
          <w:color w:val="auto"/>
          <w:szCs w:val="22"/>
        </w:rPr>
        <w:t xml:space="preserve"> akcentuoja renovacijos naudas susijusias su energijos taupymu ir ŠESD išmetimų mažinimu, pastatų renovacija kuria ir</w:t>
      </w:r>
      <w:r w:rsidR="00B04FC7" w:rsidRPr="00650EE4">
        <w:rPr>
          <w:rFonts w:ascii="Times New Roman" w:hAnsi="Times New Roman"/>
          <w:color w:val="auto"/>
          <w:szCs w:val="22"/>
        </w:rPr>
        <w:t xml:space="preserve"> kitas</w:t>
      </w:r>
      <w:r w:rsidRPr="00650EE4">
        <w:rPr>
          <w:rFonts w:ascii="Times New Roman" w:hAnsi="Times New Roman"/>
          <w:color w:val="auto"/>
          <w:szCs w:val="22"/>
        </w:rPr>
        <w:t xml:space="preserve"> reikšmingas </w:t>
      </w:r>
      <w:r w:rsidR="00B04FC7" w:rsidRPr="00650EE4">
        <w:rPr>
          <w:rFonts w:ascii="Times New Roman" w:hAnsi="Times New Roman"/>
          <w:color w:val="auto"/>
          <w:szCs w:val="22"/>
        </w:rPr>
        <w:t xml:space="preserve">naudas, tiek tiesiogines (pastatų techninės būklės pagerinimas, atstatymas), tiek netiesiogines, </w:t>
      </w:r>
      <w:r w:rsidRPr="00650EE4">
        <w:rPr>
          <w:rFonts w:ascii="Times New Roman" w:hAnsi="Times New Roman"/>
          <w:color w:val="auto"/>
          <w:szCs w:val="22"/>
        </w:rPr>
        <w:t xml:space="preserve">papildomas platesnio masto naudas. </w:t>
      </w:r>
    </w:p>
    <w:p w14:paraId="06211303" w14:textId="77777777" w:rsidR="003A0129" w:rsidRPr="00650EE4" w:rsidRDefault="003A0129" w:rsidP="003A0129">
      <w:pPr>
        <w:jc w:val="both"/>
        <w:rPr>
          <w:rFonts w:ascii="Times New Roman" w:hAnsi="Times New Roman"/>
          <w:color w:val="auto"/>
          <w:szCs w:val="22"/>
        </w:rPr>
      </w:pPr>
    </w:p>
    <w:p w14:paraId="3DE2FBCF" w14:textId="1302F111" w:rsidR="003A0129" w:rsidRPr="00650EE4" w:rsidRDefault="003A0129" w:rsidP="003A0129">
      <w:pPr>
        <w:spacing w:after="120"/>
        <w:jc w:val="both"/>
        <w:rPr>
          <w:rFonts w:ascii="Times New Roman" w:hAnsi="Times New Roman"/>
          <w:color w:val="auto"/>
          <w:szCs w:val="22"/>
        </w:rPr>
      </w:pPr>
      <w:r w:rsidRPr="00650EE4">
        <w:rPr>
          <w:rFonts w:ascii="Times New Roman" w:hAnsi="Times New Roman"/>
          <w:szCs w:val="22"/>
        </w:rPr>
        <w:t>Nors PEND nepateikia išsamaus platesnių naudų, kurią reikėtų įvertinti I</w:t>
      </w:r>
      <w:r w:rsidR="002C50C7" w:rsidRPr="00650EE4">
        <w:rPr>
          <w:rFonts w:ascii="Times New Roman" w:hAnsi="Times New Roman"/>
          <w:szCs w:val="22"/>
        </w:rPr>
        <w:t>RS, rūšių sąrašo</w:t>
      </w:r>
      <w:r w:rsidRPr="00650EE4">
        <w:rPr>
          <w:rFonts w:ascii="Times New Roman" w:hAnsi="Times New Roman"/>
          <w:szCs w:val="22"/>
        </w:rPr>
        <w:t>, ap</w:t>
      </w:r>
      <w:r w:rsidRPr="00650EE4">
        <w:rPr>
          <w:rFonts w:ascii="Times New Roman" w:hAnsi="Times New Roman"/>
          <w:color w:val="auto"/>
          <w:szCs w:val="22"/>
        </w:rPr>
        <w:t>ibendrinus studijų, nagrinėjusių pastatų renovacijos teikiamas naudas, rezultatus</w:t>
      </w:r>
      <w:r w:rsidRPr="00650EE4">
        <w:rPr>
          <w:rStyle w:val="FootnoteReference"/>
          <w:rFonts w:ascii="Times New Roman" w:hAnsi="Times New Roman"/>
          <w:color w:val="auto"/>
          <w:szCs w:val="22"/>
        </w:rPr>
        <w:footnoteReference w:id="43"/>
      </w:r>
      <w:r w:rsidR="00B04FC7" w:rsidRPr="00650EE4">
        <w:rPr>
          <w:rFonts w:ascii="Times New Roman" w:hAnsi="Times New Roman"/>
          <w:color w:val="auto"/>
          <w:szCs w:val="22"/>
        </w:rPr>
        <w:t xml:space="preserve">, </w:t>
      </w:r>
      <w:r w:rsidRPr="00650EE4">
        <w:rPr>
          <w:rFonts w:ascii="Times New Roman" w:hAnsi="Times New Roman"/>
          <w:color w:val="auto"/>
          <w:szCs w:val="22"/>
        </w:rPr>
        <w:t xml:space="preserve">visas tiesiogines ir platesnio masto pastatų renovacijos naudas galima suskirstyti į </w:t>
      </w:r>
      <w:r w:rsidR="00B04FC7" w:rsidRPr="00650EE4">
        <w:rPr>
          <w:rFonts w:ascii="Times New Roman" w:hAnsi="Times New Roman"/>
          <w:color w:val="auto"/>
          <w:szCs w:val="22"/>
        </w:rPr>
        <w:t>šias</w:t>
      </w:r>
      <w:r w:rsidRPr="00650EE4">
        <w:rPr>
          <w:rFonts w:ascii="Times New Roman" w:hAnsi="Times New Roman"/>
          <w:color w:val="auto"/>
          <w:szCs w:val="22"/>
        </w:rPr>
        <w:t xml:space="preserve"> pagrindines grupes: </w:t>
      </w:r>
    </w:p>
    <w:p w14:paraId="47E303FF" w14:textId="22FE5D02" w:rsidR="003A0129" w:rsidRPr="00650EE4" w:rsidRDefault="00D23408" w:rsidP="003A0129">
      <w:pPr>
        <w:pStyle w:val="Pagrindinispaprastastekstas"/>
        <w:numPr>
          <w:ilvl w:val="0"/>
          <w:numId w:val="13"/>
        </w:numPr>
        <w:rPr>
          <w:rFonts w:ascii="Times New Roman" w:hAnsi="Times New Roman"/>
          <w:szCs w:val="22"/>
        </w:rPr>
      </w:pPr>
      <w:r>
        <w:rPr>
          <w:rFonts w:ascii="Times New Roman" w:hAnsi="Times New Roman"/>
          <w:szCs w:val="22"/>
        </w:rPr>
        <w:t>a</w:t>
      </w:r>
      <w:r w:rsidR="003A0129" w:rsidRPr="00650EE4">
        <w:rPr>
          <w:rFonts w:ascii="Times New Roman" w:hAnsi="Times New Roman"/>
          <w:szCs w:val="22"/>
        </w:rPr>
        <w:t>plinkosauginės naudos (pvz., sumažėjęs resursų naudojimas, sumažėjusi oro tarša, kt.);</w:t>
      </w:r>
    </w:p>
    <w:p w14:paraId="6B1D38A2" w14:textId="076F3C10" w:rsidR="003A0129" w:rsidRPr="00650EE4" w:rsidRDefault="00D23408" w:rsidP="003A0129">
      <w:pPr>
        <w:pStyle w:val="Pagrindinispaprastastekstas"/>
        <w:numPr>
          <w:ilvl w:val="0"/>
          <w:numId w:val="13"/>
        </w:numPr>
        <w:rPr>
          <w:rFonts w:ascii="Times New Roman" w:hAnsi="Times New Roman"/>
          <w:szCs w:val="22"/>
        </w:rPr>
      </w:pPr>
      <w:r>
        <w:rPr>
          <w:rFonts w:ascii="Times New Roman" w:hAnsi="Times New Roman"/>
          <w:szCs w:val="22"/>
        </w:rPr>
        <w:t>e</w:t>
      </w:r>
      <w:r w:rsidR="003A0129" w:rsidRPr="00650EE4">
        <w:rPr>
          <w:rFonts w:ascii="Times New Roman" w:hAnsi="Times New Roman"/>
          <w:szCs w:val="22"/>
        </w:rPr>
        <w:t>konominės naudos (pvz., BVP aug</w:t>
      </w:r>
      <w:r w:rsidR="002C50C7" w:rsidRPr="00650EE4">
        <w:rPr>
          <w:rFonts w:ascii="Times New Roman" w:hAnsi="Times New Roman"/>
          <w:szCs w:val="22"/>
        </w:rPr>
        <w:t xml:space="preserve">imas, pastatų vertės didėjimas, pastatų techninės būklės pagerinimas, </w:t>
      </w:r>
      <w:r w:rsidR="003A0129" w:rsidRPr="00650EE4">
        <w:rPr>
          <w:rFonts w:ascii="Times New Roman" w:hAnsi="Times New Roman"/>
          <w:szCs w:val="22"/>
        </w:rPr>
        <w:t>padidėjęs atskirų sektorių našumas, kt.);</w:t>
      </w:r>
    </w:p>
    <w:p w14:paraId="5B128760" w14:textId="65FAA46B" w:rsidR="003A0129" w:rsidRPr="00650EE4" w:rsidRDefault="00D23408" w:rsidP="003A0129">
      <w:pPr>
        <w:pStyle w:val="Pagrindinispaprastastekstas"/>
        <w:numPr>
          <w:ilvl w:val="0"/>
          <w:numId w:val="13"/>
        </w:numPr>
        <w:rPr>
          <w:rFonts w:ascii="Times New Roman" w:hAnsi="Times New Roman"/>
          <w:szCs w:val="22"/>
        </w:rPr>
      </w:pPr>
      <w:r>
        <w:rPr>
          <w:rFonts w:ascii="Times New Roman" w:hAnsi="Times New Roman"/>
          <w:szCs w:val="22"/>
        </w:rPr>
        <w:t>s</w:t>
      </w:r>
      <w:r w:rsidR="003A0129" w:rsidRPr="00650EE4">
        <w:rPr>
          <w:rFonts w:ascii="Times New Roman" w:hAnsi="Times New Roman"/>
          <w:szCs w:val="22"/>
        </w:rPr>
        <w:t>ocialinės naudos. (pvz., energetinio skurdo sumažėjimas, pagerėjusi gyvenimo kokybė, kt.).</w:t>
      </w:r>
    </w:p>
    <w:p w14:paraId="70E056B2" w14:textId="77777777" w:rsidR="003A0129" w:rsidRPr="00650EE4" w:rsidRDefault="003A0129" w:rsidP="003A0129">
      <w:pPr>
        <w:rPr>
          <w:rFonts w:ascii="Times New Roman" w:hAnsi="Times New Roman"/>
          <w:color w:val="auto"/>
          <w:szCs w:val="22"/>
        </w:rPr>
      </w:pPr>
    </w:p>
    <w:p w14:paraId="696AEF49" w14:textId="77777777" w:rsidR="003A0129" w:rsidRPr="00650EE4" w:rsidRDefault="003A0129" w:rsidP="003A0129">
      <w:pPr>
        <w:jc w:val="both"/>
        <w:rPr>
          <w:rFonts w:ascii="Times New Roman" w:hAnsi="Times New Roman"/>
          <w:color w:val="auto"/>
          <w:szCs w:val="22"/>
        </w:rPr>
      </w:pPr>
      <w:r w:rsidRPr="00650EE4">
        <w:rPr>
          <w:rFonts w:ascii="Times New Roman" w:eastAsia="Times New Roman" w:hAnsi="Times New Roman"/>
          <w:color w:val="auto"/>
          <w:szCs w:val="22"/>
        </w:rPr>
        <w:t>Dėl savo pobūdžio ar duomenų trūkumo</w:t>
      </w:r>
      <w:r w:rsidRPr="00650EE4">
        <w:rPr>
          <w:rFonts w:ascii="Times New Roman" w:hAnsi="Times New Roman"/>
          <w:color w:val="auto"/>
          <w:szCs w:val="22"/>
        </w:rPr>
        <w:t xml:space="preserve"> ne visos pastatų renovacijos naudos gali būti patikimai įvertinamos pinigine išraiška (</w:t>
      </w:r>
      <w:proofErr w:type="spellStart"/>
      <w:r w:rsidRPr="00650EE4">
        <w:rPr>
          <w:rFonts w:ascii="Times New Roman" w:hAnsi="Times New Roman"/>
          <w:color w:val="auto"/>
          <w:szCs w:val="22"/>
        </w:rPr>
        <w:t>monetizuojamos</w:t>
      </w:r>
      <w:proofErr w:type="spellEnd"/>
      <w:r w:rsidRPr="00650EE4">
        <w:rPr>
          <w:rFonts w:ascii="Times New Roman" w:hAnsi="Times New Roman"/>
          <w:color w:val="auto"/>
          <w:szCs w:val="22"/>
        </w:rPr>
        <w:t xml:space="preserve">). Atitinkamai šiame skyriuje pateikiamas esminių pastatų renovacijos naudų aprašymas, atskiriant </w:t>
      </w:r>
      <w:proofErr w:type="spellStart"/>
      <w:r w:rsidRPr="00650EE4">
        <w:rPr>
          <w:rFonts w:ascii="Times New Roman" w:hAnsi="Times New Roman"/>
          <w:color w:val="auto"/>
          <w:szCs w:val="22"/>
        </w:rPr>
        <w:t>monetizuojamas</w:t>
      </w:r>
      <w:proofErr w:type="spellEnd"/>
      <w:r w:rsidRPr="00650EE4">
        <w:rPr>
          <w:rFonts w:ascii="Times New Roman" w:hAnsi="Times New Roman"/>
          <w:color w:val="auto"/>
          <w:szCs w:val="22"/>
        </w:rPr>
        <w:t xml:space="preserve"> ir </w:t>
      </w:r>
      <w:proofErr w:type="spellStart"/>
      <w:r w:rsidRPr="00650EE4">
        <w:rPr>
          <w:rFonts w:ascii="Times New Roman" w:hAnsi="Times New Roman"/>
          <w:color w:val="auto"/>
          <w:szCs w:val="22"/>
        </w:rPr>
        <w:t>nemonetizuojamas</w:t>
      </w:r>
      <w:proofErr w:type="spellEnd"/>
      <w:r w:rsidRPr="00650EE4">
        <w:rPr>
          <w:rFonts w:ascii="Times New Roman" w:hAnsi="Times New Roman"/>
          <w:color w:val="auto"/>
          <w:szCs w:val="22"/>
        </w:rPr>
        <w:t xml:space="preserve"> naudas.</w:t>
      </w:r>
    </w:p>
    <w:p w14:paraId="451A3274" w14:textId="77777777" w:rsidR="00A34224" w:rsidRPr="00650EE4" w:rsidRDefault="00A34224" w:rsidP="000910B9">
      <w:pPr>
        <w:rPr>
          <w:rFonts w:ascii="Times New Roman" w:hAnsi="Times New Roman"/>
          <w:color w:val="auto"/>
          <w:szCs w:val="22"/>
        </w:rPr>
      </w:pPr>
    </w:p>
    <w:p w14:paraId="39CC53DB" w14:textId="3CD1FE6E" w:rsidR="000910B9" w:rsidRPr="00650EE4" w:rsidRDefault="00A34224" w:rsidP="006A5A8F">
      <w:pPr>
        <w:pStyle w:val="Antrastes31"/>
        <w:numPr>
          <w:ilvl w:val="2"/>
          <w:numId w:val="4"/>
        </w:numPr>
        <w:spacing w:before="120"/>
        <w:ind w:left="720" w:hanging="720"/>
        <w:rPr>
          <w:rFonts w:ascii="Times New Roman" w:hAnsi="Times New Roman"/>
          <w:color w:val="000000" w:themeColor="text1"/>
          <w:sz w:val="24"/>
          <w:szCs w:val="24"/>
          <w:lang w:val="lt-LT"/>
        </w:rPr>
      </w:pPr>
      <w:bookmarkStart w:id="186" w:name="_Ref43293842"/>
      <w:bookmarkStart w:id="187" w:name="_Toc67925168"/>
      <w:proofErr w:type="spellStart"/>
      <w:r w:rsidRPr="00650EE4">
        <w:rPr>
          <w:rFonts w:ascii="Times New Roman" w:hAnsi="Times New Roman"/>
          <w:color w:val="000000" w:themeColor="text1"/>
          <w:sz w:val="24"/>
          <w:szCs w:val="24"/>
          <w:lang w:val="lt-LT"/>
        </w:rPr>
        <w:t>Monetizuojamos</w:t>
      </w:r>
      <w:proofErr w:type="spellEnd"/>
      <w:r w:rsidR="00A01C81" w:rsidRPr="00650EE4">
        <w:rPr>
          <w:rFonts w:ascii="Times New Roman" w:hAnsi="Times New Roman"/>
          <w:color w:val="000000" w:themeColor="text1"/>
          <w:sz w:val="24"/>
          <w:szCs w:val="24"/>
          <w:lang w:val="lt-LT"/>
        </w:rPr>
        <w:t xml:space="preserve"> pastatų renovacijos</w:t>
      </w:r>
      <w:r w:rsidR="000910B9" w:rsidRPr="00650EE4">
        <w:rPr>
          <w:rFonts w:ascii="Times New Roman" w:hAnsi="Times New Roman"/>
          <w:color w:val="000000" w:themeColor="text1"/>
          <w:sz w:val="24"/>
          <w:szCs w:val="24"/>
          <w:lang w:val="lt-LT"/>
        </w:rPr>
        <w:t xml:space="preserve"> naudos</w:t>
      </w:r>
      <w:bookmarkEnd w:id="186"/>
      <w:bookmarkEnd w:id="187"/>
    </w:p>
    <w:p w14:paraId="2C7A2068" w14:textId="500EAC8B" w:rsidR="00C55AB3" w:rsidRPr="00650EE4" w:rsidRDefault="00235869" w:rsidP="00C55AB3">
      <w:pPr>
        <w:jc w:val="both"/>
        <w:rPr>
          <w:rFonts w:ascii="Times New Roman" w:hAnsi="Times New Roman"/>
          <w:color w:val="auto"/>
          <w:szCs w:val="22"/>
        </w:rPr>
      </w:pPr>
      <w:r>
        <w:rPr>
          <w:rFonts w:ascii="Times New Roman" w:hAnsi="Times New Roman"/>
          <w:color w:val="auto"/>
          <w:szCs w:val="22"/>
        </w:rPr>
        <w:t>E</w:t>
      </w:r>
      <w:r w:rsidR="00C55AB3" w:rsidRPr="00650EE4">
        <w:rPr>
          <w:rFonts w:ascii="Times New Roman" w:hAnsi="Times New Roman"/>
          <w:color w:val="auto"/>
          <w:szCs w:val="22"/>
        </w:rPr>
        <w:t xml:space="preserve">konomiškai efektyviausio renovacijos būdo skaičiavimuose </w:t>
      </w:r>
      <w:r w:rsidR="006B5DD8" w:rsidRPr="00650EE4">
        <w:rPr>
          <w:rFonts w:ascii="Times New Roman" w:hAnsi="Times New Roman"/>
          <w:color w:val="auto"/>
          <w:szCs w:val="22"/>
        </w:rPr>
        <w:t>kartu su</w:t>
      </w:r>
      <w:r w:rsidR="00C55AB3" w:rsidRPr="00650EE4">
        <w:rPr>
          <w:rFonts w:ascii="Times New Roman" w:hAnsi="Times New Roman"/>
          <w:color w:val="auto"/>
          <w:szCs w:val="22"/>
        </w:rPr>
        <w:t xml:space="preserve"> tiesiogin</w:t>
      </w:r>
      <w:r w:rsidR="006B5DD8" w:rsidRPr="00650EE4">
        <w:rPr>
          <w:rFonts w:ascii="Times New Roman" w:hAnsi="Times New Roman"/>
          <w:color w:val="auto"/>
          <w:szCs w:val="22"/>
        </w:rPr>
        <w:t>ėmis</w:t>
      </w:r>
      <w:r w:rsidR="00C55AB3" w:rsidRPr="00650EE4">
        <w:rPr>
          <w:rFonts w:ascii="Times New Roman" w:hAnsi="Times New Roman"/>
          <w:color w:val="auto"/>
          <w:szCs w:val="22"/>
        </w:rPr>
        <w:t xml:space="preserve"> renovacijos </w:t>
      </w:r>
      <w:proofErr w:type="spellStart"/>
      <w:r w:rsidR="00C55AB3" w:rsidRPr="00650EE4">
        <w:rPr>
          <w:rFonts w:ascii="Times New Roman" w:hAnsi="Times New Roman"/>
          <w:color w:val="auto"/>
          <w:szCs w:val="22"/>
        </w:rPr>
        <w:t>naud</w:t>
      </w:r>
      <w:r w:rsidR="006B5DD8" w:rsidRPr="00650EE4">
        <w:rPr>
          <w:rFonts w:ascii="Times New Roman" w:hAnsi="Times New Roman"/>
          <w:color w:val="auto"/>
          <w:szCs w:val="22"/>
        </w:rPr>
        <w:t>omis</w:t>
      </w:r>
      <w:proofErr w:type="spellEnd"/>
      <w:r w:rsidR="00C55AB3" w:rsidRPr="00650EE4">
        <w:rPr>
          <w:rFonts w:ascii="Times New Roman" w:hAnsi="Times New Roman"/>
          <w:color w:val="auto"/>
          <w:szCs w:val="22"/>
        </w:rPr>
        <w:t xml:space="preserve"> (sutaupyta energija ir </w:t>
      </w:r>
      <w:r w:rsidR="006B5DD8" w:rsidRPr="00650EE4">
        <w:rPr>
          <w:rFonts w:ascii="Times New Roman" w:hAnsi="Times New Roman"/>
          <w:color w:val="auto"/>
          <w:szCs w:val="22"/>
        </w:rPr>
        <w:t>sumažėjusiomis</w:t>
      </w:r>
      <w:r w:rsidR="00C55AB3" w:rsidRPr="00650EE4">
        <w:rPr>
          <w:rFonts w:ascii="Times New Roman" w:hAnsi="Times New Roman"/>
          <w:color w:val="auto"/>
          <w:szCs w:val="22"/>
        </w:rPr>
        <w:t xml:space="preserve"> CO</w:t>
      </w:r>
      <w:r w:rsidR="00C55AB3" w:rsidRPr="00650EE4">
        <w:rPr>
          <w:rFonts w:ascii="Times New Roman" w:hAnsi="Times New Roman"/>
          <w:color w:val="auto"/>
          <w:szCs w:val="22"/>
          <w:vertAlign w:val="subscript"/>
        </w:rPr>
        <w:t>2</w:t>
      </w:r>
      <w:r w:rsidR="00C55AB3" w:rsidRPr="00650EE4">
        <w:rPr>
          <w:rFonts w:ascii="Times New Roman" w:hAnsi="Times New Roman"/>
          <w:color w:val="auto"/>
          <w:szCs w:val="22"/>
        </w:rPr>
        <w:t xml:space="preserve"> emisijo</w:t>
      </w:r>
      <w:r w:rsidR="006B5DD8" w:rsidRPr="00650EE4">
        <w:rPr>
          <w:rFonts w:ascii="Times New Roman" w:hAnsi="Times New Roman"/>
          <w:color w:val="auto"/>
          <w:szCs w:val="22"/>
        </w:rPr>
        <w:t>mi</w:t>
      </w:r>
      <w:r w:rsidR="00C55AB3" w:rsidRPr="00650EE4">
        <w:rPr>
          <w:rFonts w:ascii="Times New Roman" w:hAnsi="Times New Roman"/>
          <w:color w:val="auto"/>
          <w:szCs w:val="22"/>
        </w:rPr>
        <w:t>s) jau buvo vertintas ir BVP padidėjimas.</w:t>
      </w:r>
      <w:r w:rsidR="006B5DD8" w:rsidRPr="00650EE4">
        <w:rPr>
          <w:rFonts w:ascii="Times New Roman" w:hAnsi="Times New Roman"/>
          <w:color w:val="auto"/>
          <w:szCs w:val="22"/>
        </w:rPr>
        <w:t xml:space="preserve"> </w:t>
      </w:r>
      <w:r w:rsidR="0037329E" w:rsidRPr="00650EE4">
        <w:rPr>
          <w:rFonts w:ascii="Times New Roman" w:hAnsi="Times New Roman"/>
          <w:color w:val="auto"/>
          <w:szCs w:val="22"/>
        </w:rPr>
        <w:t>Papildomai įvertinamos ir apskaičiuojamos platesnio masto naudos iš visų 3 pagrindinių naudų grupių</w:t>
      </w:r>
      <w:r w:rsidR="00AE1150" w:rsidRPr="00650EE4">
        <w:rPr>
          <w:rFonts w:ascii="Times New Roman" w:hAnsi="Times New Roman"/>
          <w:color w:val="auto"/>
          <w:szCs w:val="22"/>
        </w:rPr>
        <w:t xml:space="preserve">, kurias galima </w:t>
      </w:r>
      <w:proofErr w:type="spellStart"/>
      <w:r w:rsidR="00AE1150" w:rsidRPr="00650EE4">
        <w:rPr>
          <w:rFonts w:ascii="Times New Roman" w:hAnsi="Times New Roman"/>
          <w:color w:val="auto"/>
          <w:szCs w:val="22"/>
        </w:rPr>
        <w:t>patikimiausiai</w:t>
      </w:r>
      <w:proofErr w:type="spellEnd"/>
      <w:r w:rsidR="00AE1150" w:rsidRPr="00650EE4">
        <w:rPr>
          <w:rFonts w:ascii="Times New Roman" w:hAnsi="Times New Roman"/>
          <w:color w:val="auto"/>
          <w:szCs w:val="22"/>
        </w:rPr>
        <w:t xml:space="preserve"> </w:t>
      </w:r>
      <w:r w:rsidR="00723226" w:rsidRPr="00650EE4">
        <w:rPr>
          <w:rFonts w:ascii="Times New Roman" w:hAnsi="Times New Roman"/>
          <w:color w:val="auto"/>
          <w:szCs w:val="22"/>
        </w:rPr>
        <w:t>prognozuoti ir įvertinti</w:t>
      </w:r>
      <w:r w:rsidR="00AE1150" w:rsidRPr="00650EE4">
        <w:rPr>
          <w:rFonts w:ascii="Times New Roman" w:hAnsi="Times New Roman"/>
          <w:color w:val="auto"/>
          <w:szCs w:val="22"/>
        </w:rPr>
        <w:t>.</w:t>
      </w:r>
    </w:p>
    <w:p w14:paraId="63047857" w14:textId="77777777" w:rsidR="00673EF0" w:rsidRPr="00650EE4" w:rsidRDefault="00673EF0" w:rsidP="00C55AB3">
      <w:pPr>
        <w:jc w:val="both"/>
        <w:rPr>
          <w:rFonts w:ascii="Times New Roman" w:hAnsi="Times New Roman"/>
          <w:color w:val="auto"/>
          <w:szCs w:val="22"/>
        </w:rPr>
      </w:pPr>
    </w:p>
    <w:p w14:paraId="1DD5CDB8" w14:textId="434C5923" w:rsidR="00C55AB3" w:rsidRPr="00650EE4" w:rsidRDefault="00C55AB3" w:rsidP="00C55AB3">
      <w:pPr>
        <w:jc w:val="both"/>
        <w:rPr>
          <w:rFonts w:ascii="Times New Roman" w:hAnsi="Times New Roman"/>
          <w:color w:val="auto"/>
          <w:szCs w:val="22"/>
        </w:rPr>
      </w:pPr>
      <w:r w:rsidRPr="00650EE4">
        <w:rPr>
          <w:rFonts w:ascii="Times New Roman" w:hAnsi="Times New Roman"/>
          <w:color w:val="auto"/>
          <w:szCs w:val="22"/>
        </w:rPr>
        <w:t xml:space="preserve">Lentelėje žemiau pateikiama apskaičiuotų </w:t>
      </w:r>
      <w:r w:rsidR="006B5DD8" w:rsidRPr="00650EE4">
        <w:rPr>
          <w:rFonts w:ascii="Times New Roman" w:hAnsi="Times New Roman"/>
          <w:color w:val="auto"/>
          <w:szCs w:val="22"/>
        </w:rPr>
        <w:t xml:space="preserve">tiesioginių ir </w:t>
      </w:r>
      <w:r w:rsidRPr="00650EE4">
        <w:rPr>
          <w:rFonts w:ascii="Times New Roman" w:hAnsi="Times New Roman"/>
          <w:color w:val="auto"/>
          <w:szCs w:val="22"/>
        </w:rPr>
        <w:t>platesnio masto naudų suvestinė.</w:t>
      </w:r>
    </w:p>
    <w:p w14:paraId="6F5C5ADA" w14:textId="77777777" w:rsidR="00344BEC" w:rsidRPr="00650EE4" w:rsidRDefault="00344BEC" w:rsidP="0019694C">
      <w:pPr>
        <w:jc w:val="both"/>
        <w:rPr>
          <w:rFonts w:ascii="Times New Roman" w:hAnsi="Times New Roman"/>
          <w:color w:val="auto"/>
          <w:szCs w:val="22"/>
        </w:rPr>
      </w:pPr>
    </w:p>
    <w:p w14:paraId="223F213B" w14:textId="358AF696" w:rsidR="00FE3B6D" w:rsidRPr="00650EE4" w:rsidRDefault="00FE3B6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88" w:name="_Toc67925244"/>
      <w:r w:rsidR="007744C1">
        <w:t>61</w:t>
      </w:r>
      <w:r w:rsidRPr="00650EE4">
        <w:rPr>
          <w:noProof w:val="0"/>
        </w:rPr>
        <w:fldChar w:fldCharType="end"/>
      </w:r>
      <w:r w:rsidRPr="00650EE4">
        <w:rPr>
          <w:noProof w:val="0"/>
        </w:rPr>
        <w:t xml:space="preserve"> lentelė. </w:t>
      </w:r>
      <w:r w:rsidR="00816783" w:rsidRPr="00650EE4">
        <w:rPr>
          <w:noProof w:val="0"/>
        </w:rPr>
        <w:t>IRS įgyvendinimo naudos</w:t>
      </w:r>
      <w:r w:rsidR="00C967AF" w:rsidRPr="00650EE4">
        <w:rPr>
          <w:noProof w:val="0"/>
        </w:rPr>
        <w:t xml:space="preserve"> (realia verte</w:t>
      </w:r>
      <w:r w:rsidR="00C967AF" w:rsidRPr="00650EE4">
        <w:rPr>
          <w:rStyle w:val="FootnoteReference"/>
          <w:noProof w:val="0"/>
        </w:rPr>
        <w:footnoteReference w:id="44"/>
      </w:r>
      <w:r w:rsidR="00C967AF" w:rsidRPr="00650EE4">
        <w:rPr>
          <w:noProof w:val="0"/>
        </w:rPr>
        <w:t>)</w:t>
      </w:r>
      <w:bookmarkEnd w:id="188"/>
    </w:p>
    <w:tbl>
      <w:tblPr>
        <w:tblW w:w="5000" w:type="pct"/>
        <w:tblLook w:val="04A0" w:firstRow="1" w:lastRow="0" w:firstColumn="1" w:lastColumn="0" w:noHBand="0" w:noVBand="1"/>
      </w:tblPr>
      <w:tblGrid>
        <w:gridCol w:w="3907"/>
        <w:gridCol w:w="1113"/>
        <w:gridCol w:w="902"/>
        <w:gridCol w:w="886"/>
        <w:gridCol w:w="886"/>
        <w:gridCol w:w="1163"/>
        <w:gridCol w:w="1563"/>
      </w:tblGrid>
      <w:tr w:rsidR="00A67A01" w:rsidRPr="00650EE4" w14:paraId="3782C450" w14:textId="77777777" w:rsidTr="009D1C15">
        <w:trPr>
          <w:trHeight w:val="17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E3106" w14:textId="77777777" w:rsidR="00A67A01" w:rsidRPr="00650EE4" w:rsidRDefault="00A67A01" w:rsidP="009D1C1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Rodiklis</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BDBB208" w14:textId="77777777" w:rsidR="00A67A01" w:rsidRPr="00650EE4" w:rsidRDefault="00A67A01" w:rsidP="009D1C1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649CAAD" w14:textId="77777777" w:rsidR="00A67A01" w:rsidRPr="00650EE4" w:rsidRDefault="00A67A01"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2021-2030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7F12CBC" w14:textId="77777777" w:rsidR="00A67A01" w:rsidRPr="00650EE4" w:rsidRDefault="00A67A01"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A4DF2A1" w14:textId="77777777" w:rsidR="00A67A01" w:rsidRPr="00650EE4" w:rsidRDefault="00A67A01"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6B61C528" w14:textId="77777777" w:rsidR="00A67A01" w:rsidRPr="00650EE4" w:rsidRDefault="00A67A01"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2041-2050</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0D571FD" w14:textId="77777777" w:rsidR="00A67A01" w:rsidRPr="00650EE4" w:rsidRDefault="00A67A01" w:rsidP="009D1C1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per gyvavimo ciklą</w:t>
            </w:r>
          </w:p>
        </w:tc>
      </w:tr>
      <w:tr w:rsidR="00A67A01" w:rsidRPr="006B7FAD" w14:paraId="3DF521BC"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2EB1FCE4"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Renovuota pastatų</w:t>
            </w:r>
          </w:p>
        </w:tc>
        <w:tc>
          <w:tcPr>
            <w:tcW w:w="534" w:type="pct"/>
            <w:tcBorders>
              <w:top w:val="nil"/>
              <w:left w:val="nil"/>
              <w:bottom w:val="single" w:sz="4" w:space="0" w:color="auto"/>
              <w:right w:val="single" w:sz="4" w:space="0" w:color="auto"/>
            </w:tcBorders>
            <w:shd w:val="clear" w:color="000000" w:fill="FFFFFF"/>
            <w:vAlign w:val="center"/>
            <w:hideMark/>
          </w:tcPr>
          <w:p w14:paraId="7D3F89C5"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vnt.</w:t>
            </w:r>
          </w:p>
        </w:tc>
        <w:tc>
          <w:tcPr>
            <w:tcW w:w="433" w:type="pct"/>
            <w:tcBorders>
              <w:top w:val="nil"/>
              <w:left w:val="nil"/>
              <w:bottom w:val="single" w:sz="4" w:space="0" w:color="auto"/>
              <w:right w:val="single" w:sz="4" w:space="0" w:color="auto"/>
            </w:tcBorders>
            <w:shd w:val="clear" w:color="000000" w:fill="FFFFFF"/>
            <w:vAlign w:val="center"/>
            <w:hideMark/>
          </w:tcPr>
          <w:p w14:paraId="09954DB2"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99.281</w:t>
            </w:r>
          </w:p>
        </w:tc>
        <w:tc>
          <w:tcPr>
            <w:tcW w:w="425" w:type="pct"/>
            <w:tcBorders>
              <w:top w:val="nil"/>
              <w:left w:val="nil"/>
              <w:bottom w:val="single" w:sz="4" w:space="0" w:color="auto"/>
              <w:right w:val="single" w:sz="4" w:space="0" w:color="auto"/>
            </w:tcBorders>
            <w:shd w:val="clear" w:color="000000" w:fill="FFFFFF"/>
            <w:vAlign w:val="center"/>
            <w:hideMark/>
          </w:tcPr>
          <w:p w14:paraId="3FD25432"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156.141</w:t>
            </w:r>
          </w:p>
        </w:tc>
        <w:tc>
          <w:tcPr>
            <w:tcW w:w="425" w:type="pct"/>
            <w:tcBorders>
              <w:top w:val="nil"/>
              <w:left w:val="nil"/>
              <w:bottom w:val="single" w:sz="4" w:space="0" w:color="auto"/>
              <w:right w:val="single" w:sz="4" w:space="0" w:color="auto"/>
            </w:tcBorders>
            <w:shd w:val="clear" w:color="000000" w:fill="FFFFFF"/>
            <w:vAlign w:val="center"/>
            <w:hideMark/>
          </w:tcPr>
          <w:p w14:paraId="02F4D44A"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180.587</w:t>
            </w:r>
          </w:p>
        </w:tc>
        <w:tc>
          <w:tcPr>
            <w:tcW w:w="558" w:type="pct"/>
            <w:tcBorders>
              <w:top w:val="nil"/>
              <w:left w:val="nil"/>
              <w:bottom w:val="single" w:sz="4" w:space="0" w:color="auto"/>
              <w:right w:val="single" w:sz="4" w:space="0" w:color="auto"/>
            </w:tcBorders>
            <w:shd w:val="clear" w:color="000000" w:fill="FFFFFF"/>
            <w:vAlign w:val="center"/>
            <w:hideMark/>
          </w:tcPr>
          <w:p w14:paraId="0580D15C"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436.008</w:t>
            </w:r>
          </w:p>
        </w:tc>
        <w:tc>
          <w:tcPr>
            <w:tcW w:w="750" w:type="pct"/>
            <w:tcBorders>
              <w:top w:val="nil"/>
              <w:left w:val="nil"/>
              <w:bottom w:val="single" w:sz="4" w:space="0" w:color="auto"/>
              <w:right w:val="single" w:sz="4" w:space="0" w:color="auto"/>
            </w:tcBorders>
            <w:shd w:val="clear" w:color="000000" w:fill="FFFFFF"/>
            <w:vAlign w:val="center"/>
            <w:hideMark/>
          </w:tcPr>
          <w:p w14:paraId="39EC6BEC"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436.008</w:t>
            </w:r>
          </w:p>
        </w:tc>
      </w:tr>
      <w:tr w:rsidR="00A67A01" w:rsidRPr="006B7FAD" w14:paraId="756F86E2"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001BF5CE"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Renovuota pastatų</w:t>
            </w:r>
          </w:p>
        </w:tc>
        <w:tc>
          <w:tcPr>
            <w:tcW w:w="534" w:type="pct"/>
            <w:tcBorders>
              <w:top w:val="nil"/>
              <w:left w:val="nil"/>
              <w:bottom w:val="single" w:sz="4" w:space="0" w:color="auto"/>
              <w:right w:val="single" w:sz="4" w:space="0" w:color="auto"/>
            </w:tcBorders>
            <w:shd w:val="clear" w:color="000000" w:fill="FFFFFF"/>
            <w:vAlign w:val="center"/>
            <w:hideMark/>
          </w:tcPr>
          <w:p w14:paraId="4BB17E68"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tūkst. m</w:t>
            </w:r>
            <w:r w:rsidRPr="00A67A01">
              <w:rPr>
                <w:rFonts w:ascii="Times New Roman" w:eastAsia="Times New Roman" w:hAnsi="Times New Roman"/>
                <w:sz w:val="20"/>
                <w:szCs w:val="20"/>
                <w:vertAlign w:val="superscript"/>
              </w:rPr>
              <w:t>2</w:t>
            </w:r>
          </w:p>
        </w:tc>
        <w:tc>
          <w:tcPr>
            <w:tcW w:w="433" w:type="pct"/>
            <w:tcBorders>
              <w:top w:val="nil"/>
              <w:left w:val="nil"/>
              <w:bottom w:val="single" w:sz="4" w:space="0" w:color="auto"/>
              <w:right w:val="single" w:sz="4" w:space="0" w:color="auto"/>
            </w:tcBorders>
            <w:shd w:val="clear" w:color="000000" w:fill="FFFFFF"/>
            <w:vAlign w:val="center"/>
            <w:hideMark/>
          </w:tcPr>
          <w:p w14:paraId="734B39D1"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27.819</w:t>
            </w:r>
          </w:p>
        </w:tc>
        <w:tc>
          <w:tcPr>
            <w:tcW w:w="425" w:type="pct"/>
            <w:tcBorders>
              <w:top w:val="nil"/>
              <w:left w:val="nil"/>
              <w:bottom w:val="single" w:sz="4" w:space="0" w:color="auto"/>
              <w:right w:val="single" w:sz="4" w:space="0" w:color="auto"/>
            </w:tcBorders>
            <w:shd w:val="clear" w:color="000000" w:fill="FFFFFF"/>
            <w:vAlign w:val="center"/>
            <w:hideMark/>
          </w:tcPr>
          <w:p w14:paraId="27F5ED94"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39.414</w:t>
            </w:r>
          </w:p>
        </w:tc>
        <w:tc>
          <w:tcPr>
            <w:tcW w:w="425" w:type="pct"/>
            <w:tcBorders>
              <w:top w:val="nil"/>
              <w:left w:val="nil"/>
              <w:bottom w:val="single" w:sz="4" w:space="0" w:color="auto"/>
              <w:right w:val="single" w:sz="4" w:space="0" w:color="auto"/>
            </w:tcBorders>
            <w:shd w:val="clear" w:color="000000" w:fill="FFFFFF"/>
            <w:vAlign w:val="center"/>
            <w:hideMark/>
          </w:tcPr>
          <w:p w14:paraId="20A81AC3"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42.301</w:t>
            </w:r>
          </w:p>
        </w:tc>
        <w:tc>
          <w:tcPr>
            <w:tcW w:w="558" w:type="pct"/>
            <w:tcBorders>
              <w:top w:val="nil"/>
              <w:left w:val="nil"/>
              <w:bottom w:val="single" w:sz="4" w:space="0" w:color="auto"/>
              <w:right w:val="single" w:sz="4" w:space="0" w:color="auto"/>
            </w:tcBorders>
            <w:shd w:val="clear" w:color="000000" w:fill="FFFFFF"/>
            <w:vAlign w:val="center"/>
            <w:hideMark/>
          </w:tcPr>
          <w:p w14:paraId="6C177611"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109.534</w:t>
            </w:r>
          </w:p>
        </w:tc>
        <w:tc>
          <w:tcPr>
            <w:tcW w:w="750" w:type="pct"/>
            <w:tcBorders>
              <w:top w:val="nil"/>
              <w:left w:val="nil"/>
              <w:bottom w:val="single" w:sz="4" w:space="0" w:color="auto"/>
              <w:right w:val="single" w:sz="4" w:space="0" w:color="auto"/>
            </w:tcBorders>
            <w:shd w:val="clear" w:color="000000" w:fill="FFFFFF"/>
            <w:vAlign w:val="center"/>
            <w:hideMark/>
          </w:tcPr>
          <w:p w14:paraId="5B19521A"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109.534</w:t>
            </w:r>
          </w:p>
        </w:tc>
      </w:tr>
      <w:tr w:rsidR="00A67A01" w:rsidRPr="006B7FAD" w14:paraId="6E164A01"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52968B54"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Investicijos</w:t>
            </w:r>
          </w:p>
        </w:tc>
        <w:tc>
          <w:tcPr>
            <w:tcW w:w="534" w:type="pct"/>
            <w:tcBorders>
              <w:top w:val="nil"/>
              <w:left w:val="nil"/>
              <w:bottom w:val="single" w:sz="4" w:space="0" w:color="auto"/>
              <w:right w:val="single" w:sz="4" w:space="0" w:color="auto"/>
            </w:tcBorders>
            <w:shd w:val="clear" w:color="000000" w:fill="FFFFFF"/>
            <w:vAlign w:val="center"/>
            <w:hideMark/>
          </w:tcPr>
          <w:p w14:paraId="746BFFB0"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6E3CEB89"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11.603</w:t>
            </w:r>
          </w:p>
        </w:tc>
        <w:tc>
          <w:tcPr>
            <w:tcW w:w="425" w:type="pct"/>
            <w:tcBorders>
              <w:top w:val="nil"/>
              <w:left w:val="nil"/>
              <w:bottom w:val="single" w:sz="4" w:space="0" w:color="auto"/>
              <w:right w:val="single" w:sz="4" w:space="0" w:color="auto"/>
            </w:tcBorders>
            <w:shd w:val="clear" w:color="000000" w:fill="FFFFFF"/>
            <w:vAlign w:val="center"/>
            <w:hideMark/>
          </w:tcPr>
          <w:p w14:paraId="3224D67D"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20.714</w:t>
            </w:r>
          </w:p>
        </w:tc>
        <w:tc>
          <w:tcPr>
            <w:tcW w:w="425" w:type="pct"/>
            <w:tcBorders>
              <w:top w:val="nil"/>
              <w:left w:val="nil"/>
              <w:bottom w:val="single" w:sz="4" w:space="0" w:color="auto"/>
              <w:right w:val="single" w:sz="4" w:space="0" w:color="auto"/>
            </w:tcBorders>
            <w:shd w:val="clear" w:color="000000" w:fill="FFFFFF"/>
            <w:vAlign w:val="center"/>
            <w:hideMark/>
          </w:tcPr>
          <w:p w14:paraId="4A454CA8"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27.667</w:t>
            </w:r>
          </w:p>
        </w:tc>
        <w:tc>
          <w:tcPr>
            <w:tcW w:w="558" w:type="pct"/>
            <w:tcBorders>
              <w:top w:val="nil"/>
              <w:left w:val="nil"/>
              <w:bottom w:val="single" w:sz="4" w:space="0" w:color="auto"/>
              <w:right w:val="single" w:sz="4" w:space="0" w:color="auto"/>
            </w:tcBorders>
            <w:shd w:val="clear" w:color="000000" w:fill="FFFFFF"/>
            <w:vAlign w:val="center"/>
            <w:hideMark/>
          </w:tcPr>
          <w:p w14:paraId="5F9A9B4D"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59.985</w:t>
            </w:r>
          </w:p>
        </w:tc>
        <w:tc>
          <w:tcPr>
            <w:tcW w:w="750" w:type="pct"/>
            <w:tcBorders>
              <w:top w:val="nil"/>
              <w:left w:val="nil"/>
              <w:bottom w:val="single" w:sz="4" w:space="0" w:color="auto"/>
              <w:right w:val="single" w:sz="4" w:space="0" w:color="auto"/>
            </w:tcBorders>
            <w:shd w:val="clear" w:color="000000" w:fill="FFFFFF"/>
            <w:vAlign w:val="center"/>
            <w:hideMark/>
          </w:tcPr>
          <w:p w14:paraId="4944C3BF"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59.985</w:t>
            </w:r>
          </w:p>
        </w:tc>
      </w:tr>
      <w:tr w:rsidR="00A67A01" w:rsidRPr="006B7FAD" w14:paraId="7CE747B4"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6821FD79"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Sutaupyta pirminė energija</w:t>
            </w:r>
          </w:p>
        </w:tc>
        <w:tc>
          <w:tcPr>
            <w:tcW w:w="534" w:type="pct"/>
            <w:tcBorders>
              <w:top w:val="nil"/>
              <w:left w:val="nil"/>
              <w:bottom w:val="single" w:sz="4" w:space="0" w:color="auto"/>
              <w:right w:val="single" w:sz="4" w:space="0" w:color="auto"/>
            </w:tcBorders>
            <w:shd w:val="clear" w:color="000000" w:fill="FFFFFF"/>
            <w:vAlign w:val="center"/>
            <w:hideMark/>
          </w:tcPr>
          <w:p w14:paraId="7B06078F" w14:textId="77777777" w:rsidR="00A67A01" w:rsidRPr="001425FE" w:rsidRDefault="00A67A01" w:rsidP="009D1C15">
            <w:pPr>
              <w:spacing w:line="240" w:lineRule="auto"/>
              <w:rPr>
                <w:rFonts w:ascii="Times New Roman" w:eastAsia="Times New Roman" w:hAnsi="Times New Roman"/>
                <w:sz w:val="20"/>
                <w:szCs w:val="20"/>
              </w:rPr>
            </w:pPr>
            <w:proofErr w:type="spellStart"/>
            <w:r w:rsidRPr="001425FE">
              <w:rPr>
                <w:rFonts w:ascii="Times New Roman" w:eastAsia="Times New Roman" w:hAnsi="Times New Roman"/>
                <w:sz w:val="20"/>
                <w:szCs w:val="20"/>
              </w:rPr>
              <w:t>GWh</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15CFBC6"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30.799</w:t>
            </w:r>
          </w:p>
        </w:tc>
        <w:tc>
          <w:tcPr>
            <w:tcW w:w="425" w:type="pct"/>
            <w:tcBorders>
              <w:top w:val="nil"/>
              <w:left w:val="nil"/>
              <w:bottom w:val="single" w:sz="4" w:space="0" w:color="auto"/>
              <w:right w:val="single" w:sz="4" w:space="0" w:color="auto"/>
            </w:tcBorders>
            <w:shd w:val="clear" w:color="000000" w:fill="FFFFFF"/>
            <w:vAlign w:val="center"/>
            <w:hideMark/>
          </w:tcPr>
          <w:p w14:paraId="5733BA50"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107.394</w:t>
            </w:r>
          </w:p>
        </w:tc>
        <w:tc>
          <w:tcPr>
            <w:tcW w:w="425" w:type="pct"/>
            <w:tcBorders>
              <w:top w:val="nil"/>
              <w:left w:val="nil"/>
              <w:bottom w:val="single" w:sz="4" w:space="0" w:color="auto"/>
              <w:right w:val="single" w:sz="4" w:space="0" w:color="auto"/>
            </w:tcBorders>
            <w:shd w:val="clear" w:color="000000" w:fill="FFFFFF"/>
            <w:vAlign w:val="center"/>
            <w:hideMark/>
          </w:tcPr>
          <w:p w14:paraId="767F71AA"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202.883</w:t>
            </w:r>
          </w:p>
        </w:tc>
        <w:tc>
          <w:tcPr>
            <w:tcW w:w="558" w:type="pct"/>
            <w:tcBorders>
              <w:top w:val="nil"/>
              <w:left w:val="nil"/>
              <w:bottom w:val="single" w:sz="4" w:space="0" w:color="auto"/>
              <w:right w:val="single" w:sz="4" w:space="0" w:color="auto"/>
            </w:tcBorders>
            <w:shd w:val="clear" w:color="000000" w:fill="FFFFFF"/>
            <w:vAlign w:val="center"/>
            <w:hideMark/>
          </w:tcPr>
          <w:p w14:paraId="12388876"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341.076</w:t>
            </w:r>
          </w:p>
        </w:tc>
        <w:tc>
          <w:tcPr>
            <w:tcW w:w="750" w:type="pct"/>
            <w:tcBorders>
              <w:top w:val="nil"/>
              <w:left w:val="nil"/>
              <w:bottom w:val="single" w:sz="4" w:space="0" w:color="auto"/>
              <w:right w:val="single" w:sz="4" w:space="0" w:color="auto"/>
            </w:tcBorders>
            <w:shd w:val="clear" w:color="000000" w:fill="FFFFFF"/>
            <w:vAlign w:val="center"/>
            <w:hideMark/>
          </w:tcPr>
          <w:p w14:paraId="1DD7DA88"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739.949</w:t>
            </w:r>
          </w:p>
        </w:tc>
      </w:tr>
      <w:tr w:rsidR="00A67A01" w:rsidRPr="006B7FAD" w14:paraId="28F1A87D"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4FB6BC5A" w14:textId="778752FE" w:rsidR="00A67A01" w:rsidRPr="001425FE" w:rsidRDefault="006D46D1" w:rsidP="009D1C15">
            <w:pPr>
              <w:spacing w:line="240" w:lineRule="auto"/>
              <w:rPr>
                <w:rFonts w:ascii="Times New Roman" w:eastAsia="Times New Roman" w:hAnsi="Times New Roman"/>
                <w:sz w:val="20"/>
                <w:szCs w:val="20"/>
              </w:rPr>
            </w:pPr>
            <w:r>
              <w:rPr>
                <w:rFonts w:ascii="Times New Roman" w:eastAsia="Times New Roman" w:hAnsi="Times New Roman"/>
                <w:sz w:val="20"/>
                <w:szCs w:val="20"/>
              </w:rPr>
              <w:t>Sutaupytos CO2 e</w:t>
            </w:r>
            <w:r w:rsidR="00A67A01" w:rsidRPr="001425FE">
              <w:rPr>
                <w:rFonts w:ascii="Times New Roman" w:eastAsia="Times New Roman" w:hAnsi="Times New Roman"/>
                <w:sz w:val="20"/>
                <w:szCs w:val="20"/>
              </w:rPr>
              <w:t>misijos</w:t>
            </w:r>
          </w:p>
        </w:tc>
        <w:tc>
          <w:tcPr>
            <w:tcW w:w="534" w:type="pct"/>
            <w:tcBorders>
              <w:top w:val="nil"/>
              <w:left w:val="nil"/>
              <w:bottom w:val="single" w:sz="4" w:space="0" w:color="auto"/>
              <w:right w:val="single" w:sz="4" w:space="0" w:color="auto"/>
            </w:tcBorders>
            <w:shd w:val="clear" w:color="000000" w:fill="FFFFFF"/>
            <w:vAlign w:val="center"/>
            <w:hideMark/>
          </w:tcPr>
          <w:p w14:paraId="30649B31"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ktCO</w:t>
            </w:r>
            <w:r w:rsidRPr="00A67A01">
              <w:rPr>
                <w:rFonts w:ascii="Times New Roman" w:eastAsia="Times New Roman" w:hAnsi="Times New Roman"/>
                <w:sz w:val="20"/>
                <w:szCs w:val="20"/>
                <w:vertAlign w:val="subscript"/>
              </w:rPr>
              <w:t>2</w:t>
            </w:r>
          </w:p>
        </w:tc>
        <w:tc>
          <w:tcPr>
            <w:tcW w:w="433" w:type="pct"/>
            <w:tcBorders>
              <w:top w:val="nil"/>
              <w:left w:val="nil"/>
              <w:bottom w:val="single" w:sz="4" w:space="0" w:color="auto"/>
              <w:right w:val="single" w:sz="4" w:space="0" w:color="auto"/>
            </w:tcBorders>
            <w:shd w:val="clear" w:color="000000" w:fill="FFFFFF"/>
            <w:vAlign w:val="center"/>
            <w:hideMark/>
          </w:tcPr>
          <w:p w14:paraId="1EA2801E"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6.504</w:t>
            </w:r>
          </w:p>
        </w:tc>
        <w:tc>
          <w:tcPr>
            <w:tcW w:w="425" w:type="pct"/>
            <w:tcBorders>
              <w:top w:val="nil"/>
              <w:left w:val="nil"/>
              <w:bottom w:val="single" w:sz="4" w:space="0" w:color="auto"/>
              <w:right w:val="single" w:sz="4" w:space="0" w:color="auto"/>
            </w:tcBorders>
            <w:shd w:val="clear" w:color="000000" w:fill="FFFFFF"/>
            <w:vAlign w:val="center"/>
            <w:hideMark/>
          </w:tcPr>
          <w:p w14:paraId="5B19C627"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22.803</w:t>
            </w:r>
          </w:p>
        </w:tc>
        <w:tc>
          <w:tcPr>
            <w:tcW w:w="425" w:type="pct"/>
            <w:tcBorders>
              <w:top w:val="nil"/>
              <w:left w:val="nil"/>
              <w:bottom w:val="single" w:sz="4" w:space="0" w:color="auto"/>
              <w:right w:val="single" w:sz="4" w:space="0" w:color="auto"/>
            </w:tcBorders>
            <w:shd w:val="clear" w:color="000000" w:fill="FFFFFF"/>
            <w:vAlign w:val="center"/>
            <w:hideMark/>
          </w:tcPr>
          <w:p w14:paraId="06D3BC69"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43.261</w:t>
            </w:r>
          </w:p>
        </w:tc>
        <w:tc>
          <w:tcPr>
            <w:tcW w:w="558" w:type="pct"/>
            <w:tcBorders>
              <w:top w:val="nil"/>
              <w:left w:val="nil"/>
              <w:bottom w:val="single" w:sz="4" w:space="0" w:color="auto"/>
              <w:right w:val="single" w:sz="4" w:space="0" w:color="auto"/>
            </w:tcBorders>
            <w:shd w:val="clear" w:color="000000" w:fill="FFFFFF"/>
            <w:vAlign w:val="center"/>
            <w:hideMark/>
          </w:tcPr>
          <w:p w14:paraId="03EFAD63"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72.569</w:t>
            </w:r>
          </w:p>
        </w:tc>
        <w:tc>
          <w:tcPr>
            <w:tcW w:w="750" w:type="pct"/>
            <w:tcBorders>
              <w:top w:val="nil"/>
              <w:left w:val="nil"/>
              <w:bottom w:val="single" w:sz="4" w:space="0" w:color="auto"/>
              <w:right w:val="single" w:sz="4" w:space="0" w:color="auto"/>
            </w:tcBorders>
            <w:shd w:val="clear" w:color="000000" w:fill="FFFFFF"/>
            <w:vAlign w:val="center"/>
            <w:hideMark/>
          </w:tcPr>
          <w:p w14:paraId="1CDB6D02"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157.947</w:t>
            </w:r>
          </w:p>
        </w:tc>
      </w:tr>
      <w:tr w:rsidR="00A67A01" w:rsidRPr="006B7FAD" w14:paraId="0B899C67" w14:textId="77777777" w:rsidTr="009D1C15">
        <w:trPr>
          <w:trHeight w:val="177"/>
        </w:trPr>
        <w:tc>
          <w:tcPr>
            <w:tcW w:w="5000" w:type="pct"/>
            <w:gridSpan w:val="7"/>
            <w:tcBorders>
              <w:top w:val="nil"/>
              <w:left w:val="single" w:sz="4" w:space="0" w:color="auto"/>
              <w:bottom w:val="single" w:sz="4" w:space="0" w:color="auto"/>
              <w:right w:val="single" w:sz="4" w:space="0" w:color="auto"/>
            </w:tcBorders>
            <w:shd w:val="clear" w:color="000000" w:fill="FFFFFF"/>
            <w:vAlign w:val="center"/>
            <w:hideMark/>
          </w:tcPr>
          <w:p w14:paraId="59D9972E" w14:textId="77777777" w:rsidR="00A67A01" w:rsidRPr="006B7FAD" w:rsidRDefault="00A67A01" w:rsidP="009D1C15">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Naudos vertintos ekonomiškai efektyviausio renovacijos būdo vertinime</w:t>
            </w:r>
          </w:p>
        </w:tc>
      </w:tr>
      <w:tr w:rsidR="00A67A01" w:rsidRPr="006B7FAD" w14:paraId="5BF2816A"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3941C2FB"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FN1. Sutaupytos energijos vertė (renovacija)</w:t>
            </w:r>
          </w:p>
        </w:tc>
        <w:tc>
          <w:tcPr>
            <w:tcW w:w="534" w:type="pct"/>
            <w:tcBorders>
              <w:top w:val="nil"/>
              <w:left w:val="nil"/>
              <w:bottom w:val="single" w:sz="4" w:space="0" w:color="auto"/>
              <w:right w:val="single" w:sz="4" w:space="0" w:color="auto"/>
            </w:tcBorders>
            <w:shd w:val="clear" w:color="000000" w:fill="FFFFFF"/>
            <w:vAlign w:val="center"/>
            <w:hideMark/>
          </w:tcPr>
          <w:p w14:paraId="2AE1ED6D"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85E4B0F"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1.235</w:t>
            </w:r>
          </w:p>
        </w:tc>
        <w:tc>
          <w:tcPr>
            <w:tcW w:w="425" w:type="pct"/>
            <w:tcBorders>
              <w:top w:val="nil"/>
              <w:left w:val="nil"/>
              <w:bottom w:val="single" w:sz="4" w:space="0" w:color="auto"/>
              <w:right w:val="single" w:sz="4" w:space="0" w:color="auto"/>
            </w:tcBorders>
            <w:shd w:val="clear" w:color="000000" w:fill="FFFFFF"/>
            <w:vAlign w:val="center"/>
            <w:hideMark/>
          </w:tcPr>
          <w:p w14:paraId="14725DD6"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4.736</w:t>
            </w:r>
          </w:p>
        </w:tc>
        <w:tc>
          <w:tcPr>
            <w:tcW w:w="425" w:type="pct"/>
            <w:tcBorders>
              <w:top w:val="nil"/>
              <w:left w:val="nil"/>
              <w:bottom w:val="single" w:sz="4" w:space="0" w:color="auto"/>
              <w:right w:val="single" w:sz="4" w:space="0" w:color="auto"/>
            </w:tcBorders>
            <w:shd w:val="clear" w:color="000000" w:fill="FFFFFF"/>
            <w:vAlign w:val="center"/>
            <w:hideMark/>
          </w:tcPr>
          <w:p w14:paraId="028696FD"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9.390</w:t>
            </w:r>
          </w:p>
        </w:tc>
        <w:tc>
          <w:tcPr>
            <w:tcW w:w="558" w:type="pct"/>
            <w:tcBorders>
              <w:top w:val="nil"/>
              <w:left w:val="nil"/>
              <w:bottom w:val="single" w:sz="4" w:space="0" w:color="auto"/>
              <w:right w:val="single" w:sz="4" w:space="0" w:color="auto"/>
            </w:tcBorders>
            <w:shd w:val="clear" w:color="000000" w:fill="FFFFFF"/>
            <w:vAlign w:val="center"/>
            <w:hideMark/>
          </w:tcPr>
          <w:p w14:paraId="005B1CE4"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15.360</w:t>
            </w:r>
          </w:p>
        </w:tc>
        <w:tc>
          <w:tcPr>
            <w:tcW w:w="750" w:type="pct"/>
            <w:tcBorders>
              <w:top w:val="nil"/>
              <w:left w:val="nil"/>
              <w:bottom w:val="single" w:sz="4" w:space="0" w:color="auto"/>
              <w:right w:val="single" w:sz="4" w:space="0" w:color="auto"/>
            </w:tcBorders>
            <w:shd w:val="clear" w:color="000000" w:fill="FFFFFF"/>
            <w:vAlign w:val="center"/>
            <w:hideMark/>
          </w:tcPr>
          <w:p w14:paraId="426FF40D"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33.323</w:t>
            </w:r>
          </w:p>
        </w:tc>
      </w:tr>
      <w:tr w:rsidR="00A67A01" w:rsidRPr="006B7FAD" w14:paraId="445A95AC"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015BA244"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FN2. Sumažintų CO2 išmetimų vertė (</w:t>
            </w:r>
            <w:proofErr w:type="spellStart"/>
            <w:r w:rsidRPr="001425FE">
              <w:rPr>
                <w:rFonts w:ascii="Times New Roman" w:eastAsia="Times New Roman" w:hAnsi="Times New Roman"/>
                <w:sz w:val="20"/>
                <w:szCs w:val="20"/>
              </w:rPr>
              <w:t>renvoacija</w:t>
            </w:r>
            <w:proofErr w:type="spellEnd"/>
            <w:r w:rsidRPr="001425FE">
              <w:rPr>
                <w:rFonts w:ascii="Times New Roman" w:eastAsia="Times New Roman" w:hAnsi="Times New Roman"/>
                <w:sz w:val="20"/>
                <w:szCs w:val="20"/>
              </w:rPr>
              <w:t>)</w:t>
            </w:r>
          </w:p>
        </w:tc>
        <w:tc>
          <w:tcPr>
            <w:tcW w:w="534" w:type="pct"/>
            <w:tcBorders>
              <w:top w:val="nil"/>
              <w:left w:val="nil"/>
              <w:bottom w:val="single" w:sz="4" w:space="0" w:color="auto"/>
              <w:right w:val="single" w:sz="4" w:space="0" w:color="auto"/>
            </w:tcBorders>
            <w:shd w:val="clear" w:color="000000" w:fill="FFFFFF"/>
            <w:vAlign w:val="center"/>
            <w:hideMark/>
          </w:tcPr>
          <w:p w14:paraId="336CCD9D"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7018E1BD"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185</w:t>
            </w:r>
          </w:p>
        </w:tc>
        <w:tc>
          <w:tcPr>
            <w:tcW w:w="425" w:type="pct"/>
            <w:tcBorders>
              <w:top w:val="nil"/>
              <w:left w:val="nil"/>
              <w:bottom w:val="single" w:sz="4" w:space="0" w:color="auto"/>
              <w:right w:val="single" w:sz="4" w:space="0" w:color="auto"/>
            </w:tcBorders>
            <w:shd w:val="clear" w:color="000000" w:fill="FFFFFF"/>
            <w:vAlign w:val="center"/>
            <w:hideMark/>
          </w:tcPr>
          <w:p w14:paraId="059915F9"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1.024</w:t>
            </w:r>
          </w:p>
        </w:tc>
        <w:tc>
          <w:tcPr>
            <w:tcW w:w="425" w:type="pct"/>
            <w:tcBorders>
              <w:top w:val="nil"/>
              <w:left w:val="nil"/>
              <w:bottom w:val="single" w:sz="4" w:space="0" w:color="auto"/>
              <w:right w:val="single" w:sz="4" w:space="0" w:color="auto"/>
            </w:tcBorders>
            <w:shd w:val="clear" w:color="000000" w:fill="FFFFFF"/>
            <w:vAlign w:val="center"/>
            <w:hideMark/>
          </w:tcPr>
          <w:p w14:paraId="5CECA861"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3.297</w:t>
            </w:r>
          </w:p>
        </w:tc>
        <w:tc>
          <w:tcPr>
            <w:tcW w:w="558" w:type="pct"/>
            <w:tcBorders>
              <w:top w:val="nil"/>
              <w:left w:val="nil"/>
              <w:bottom w:val="single" w:sz="4" w:space="0" w:color="auto"/>
              <w:right w:val="single" w:sz="4" w:space="0" w:color="auto"/>
            </w:tcBorders>
            <w:shd w:val="clear" w:color="000000" w:fill="FFFFFF"/>
            <w:vAlign w:val="center"/>
            <w:hideMark/>
          </w:tcPr>
          <w:p w14:paraId="7E04708B"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4.506</w:t>
            </w:r>
          </w:p>
        </w:tc>
        <w:tc>
          <w:tcPr>
            <w:tcW w:w="750" w:type="pct"/>
            <w:tcBorders>
              <w:top w:val="nil"/>
              <w:left w:val="nil"/>
              <w:bottom w:val="single" w:sz="4" w:space="0" w:color="auto"/>
              <w:right w:val="single" w:sz="4" w:space="0" w:color="auto"/>
            </w:tcBorders>
            <w:shd w:val="clear" w:color="000000" w:fill="FFFFFF"/>
            <w:vAlign w:val="center"/>
            <w:hideMark/>
          </w:tcPr>
          <w:p w14:paraId="0B5E8680"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9.807</w:t>
            </w:r>
          </w:p>
        </w:tc>
      </w:tr>
      <w:tr w:rsidR="00A67A01" w:rsidRPr="006B7FAD" w14:paraId="63FB593B"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622CB1A9"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EN1. BVP padidėjimas</w:t>
            </w:r>
          </w:p>
        </w:tc>
        <w:tc>
          <w:tcPr>
            <w:tcW w:w="534" w:type="pct"/>
            <w:tcBorders>
              <w:top w:val="nil"/>
              <w:left w:val="nil"/>
              <w:bottom w:val="single" w:sz="4" w:space="0" w:color="auto"/>
              <w:right w:val="single" w:sz="4" w:space="0" w:color="auto"/>
            </w:tcBorders>
            <w:shd w:val="clear" w:color="000000" w:fill="FFFFFF"/>
            <w:vAlign w:val="center"/>
            <w:hideMark/>
          </w:tcPr>
          <w:p w14:paraId="67A899DA"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4A232AE5"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5.801</w:t>
            </w:r>
          </w:p>
        </w:tc>
        <w:tc>
          <w:tcPr>
            <w:tcW w:w="425" w:type="pct"/>
            <w:tcBorders>
              <w:top w:val="nil"/>
              <w:left w:val="nil"/>
              <w:bottom w:val="single" w:sz="4" w:space="0" w:color="auto"/>
              <w:right w:val="single" w:sz="4" w:space="0" w:color="auto"/>
            </w:tcBorders>
            <w:shd w:val="clear" w:color="000000" w:fill="FFFFFF"/>
            <w:vAlign w:val="center"/>
            <w:hideMark/>
          </w:tcPr>
          <w:p w14:paraId="42315FD8"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10.357</w:t>
            </w:r>
          </w:p>
        </w:tc>
        <w:tc>
          <w:tcPr>
            <w:tcW w:w="425" w:type="pct"/>
            <w:tcBorders>
              <w:top w:val="nil"/>
              <w:left w:val="nil"/>
              <w:bottom w:val="single" w:sz="4" w:space="0" w:color="auto"/>
              <w:right w:val="single" w:sz="4" w:space="0" w:color="auto"/>
            </w:tcBorders>
            <w:shd w:val="clear" w:color="000000" w:fill="FFFFFF"/>
            <w:vAlign w:val="center"/>
            <w:hideMark/>
          </w:tcPr>
          <w:p w14:paraId="7B36B456"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13.834</w:t>
            </w:r>
          </w:p>
        </w:tc>
        <w:tc>
          <w:tcPr>
            <w:tcW w:w="558" w:type="pct"/>
            <w:tcBorders>
              <w:top w:val="nil"/>
              <w:left w:val="nil"/>
              <w:bottom w:val="single" w:sz="4" w:space="0" w:color="auto"/>
              <w:right w:val="single" w:sz="4" w:space="0" w:color="auto"/>
            </w:tcBorders>
            <w:shd w:val="clear" w:color="000000" w:fill="FFFFFF"/>
            <w:vAlign w:val="center"/>
            <w:hideMark/>
          </w:tcPr>
          <w:p w14:paraId="7CB14365"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29.992</w:t>
            </w:r>
          </w:p>
        </w:tc>
        <w:tc>
          <w:tcPr>
            <w:tcW w:w="750" w:type="pct"/>
            <w:tcBorders>
              <w:top w:val="nil"/>
              <w:left w:val="nil"/>
              <w:bottom w:val="single" w:sz="4" w:space="0" w:color="auto"/>
              <w:right w:val="single" w:sz="4" w:space="0" w:color="auto"/>
            </w:tcBorders>
            <w:shd w:val="clear" w:color="000000" w:fill="FFFFFF"/>
            <w:vAlign w:val="center"/>
            <w:hideMark/>
          </w:tcPr>
          <w:p w14:paraId="37737925"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29.992</w:t>
            </w:r>
          </w:p>
        </w:tc>
      </w:tr>
      <w:tr w:rsidR="00A67A01" w:rsidRPr="006B7FAD" w14:paraId="293EBA8A"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3C9B0FA4"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Iš viso:</w:t>
            </w:r>
          </w:p>
        </w:tc>
        <w:tc>
          <w:tcPr>
            <w:tcW w:w="534" w:type="pct"/>
            <w:tcBorders>
              <w:top w:val="nil"/>
              <w:left w:val="nil"/>
              <w:bottom w:val="single" w:sz="4" w:space="0" w:color="auto"/>
              <w:right w:val="single" w:sz="4" w:space="0" w:color="auto"/>
            </w:tcBorders>
            <w:shd w:val="clear" w:color="000000" w:fill="FFFFFF"/>
            <w:vAlign w:val="center"/>
            <w:hideMark/>
          </w:tcPr>
          <w:p w14:paraId="23B3CCF0"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43C9DC2B"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7.221</w:t>
            </w:r>
          </w:p>
        </w:tc>
        <w:tc>
          <w:tcPr>
            <w:tcW w:w="425" w:type="pct"/>
            <w:tcBorders>
              <w:top w:val="nil"/>
              <w:left w:val="nil"/>
              <w:bottom w:val="single" w:sz="4" w:space="0" w:color="auto"/>
              <w:right w:val="single" w:sz="4" w:space="0" w:color="auto"/>
            </w:tcBorders>
            <w:shd w:val="clear" w:color="000000" w:fill="FFFFFF"/>
            <w:vAlign w:val="center"/>
            <w:hideMark/>
          </w:tcPr>
          <w:p w14:paraId="32103450"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16.117</w:t>
            </w:r>
          </w:p>
        </w:tc>
        <w:tc>
          <w:tcPr>
            <w:tcW w:w="425" w:type="pct"/>
            <w:tcBorders>
              <w:top w:val="nil"/>
              <w:left w:val="nil"/>
              <w:bottom w:val="single" w:sz="4" w:space="0" w:color="auto"/>
              <w:right w:val="single" w:sz="4" w:space="0" w:color="auto"/>
            </w:tcBorders>
            <w:shd w:val="clear" w:color="000000" w:fill="FFFFFF"/>
            <w:vAlign w:val="center"/>
            <w:hideMark/>
          </w:tcPr>
          <w:p w14:paraId="32B3C0F9"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26.520</w:t>
            </w:r>
          </w:p>
        </w:tc>
        <w:tc>
          <w:tcPr>
            <w:tcW w:w="558" w:type="pct"/>
            <w:tcBorders>
              <w:top w:val="nil"/>
              <w:left w:val="nil"/>
              <w:bottom w:val="single" w:sz="4" w:space="0" w:color="auto"/>
              <w:right w:val="single" w:sz="4" w:space="0" w:color="auto"/>
            </w:tcBorders>
            <w:shd w:val="clear" w:color="000000" w:fill="FFFFFF"/>
            <w:vAlign w:val="center"/>
            <w:hideMark/>
          </w:tcPr>
          <w:p w14:paraId="34FED71E"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49.859</w:t>
            </w:r>
          </w:p>
        </w:tc>
        <w:tc>
          <w:tcPr>
            <w:tcW w:w="750" w:type="pct"/>
            <w:tcBorders>
              <w:top w:val="nil"/>
              <w:left w:val="nil"/>
              <w:bottom w:val="single" w:sz="4" w:space="0" w:color="auto"/>
              <w:right w:val="single" w:sz="4" w:space="0" w:color="auto"/>
            </w:tcBorders>
            <w:shd w:val="clear" w:color="000000" w:fill="FFFFFF"/>
            <w:vAlign w:val="center"/>
            <w:hideMark/>
          </w:tcPr>
          <w:p w14:paraId="2F8F5864"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73.123</w:t>
            </w:r>
          </w:p>
        </w:tc>
      </w:tr>
      <w:tr w:rsidR="00A67A01" w:rsidRPr="006B7FAD" w14:paraId="635ECC48" w14:textId="77777777" w:rsidTr="009D1C15">
        <w:trPr>
          <w:trHeight w:val="177"/>
        </w:trPr>
        <w:tc>
          <w:tcPr>
            <w:tcW w:w="5000" w:type="pct"/>
            <w:gridSpan w:val="7"/>
            <w:tcBorders>
              <w:top w:val="nil"/>
              <w:left w:val="single" w:sz="4" w:space="0" w:color="auto"/>
              <w:bottom w:val="single" w:sz="4" w:space="0" w:color="auto"/>
              <w:right w:val="single" w:sz="4" w:space="0" w:color="auto"/>
            </w:tcBorders>
            <w:shd w:val="clear" w:color="000000" w:fill="FFFFFF"/>
            <w:vAlign w:val="center"/>
            <w:hideMark/>
          </w:tcPr>
          <w:p w14:paraId="6686FB2D" w14:textId="77777777" w:rsidR="00A67A01" w:rsidRPr="006B7FAD" w:rsidRDefault="00A67A01" w:rsidP="009D1C15">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 xml:space="preserve">Papildomos </w:t>
            </w:r>
            <w:proofErr w:type="spellStart"/>
            <w:r w:rsidRPr="006B7FAD">
              <w:rPr>
                <w:rFonts w:ascii="Times New Roman" w:eastAsia="Times New Roman" w:hAnsi="Times New Roman"/>
                <w:b/>
                <w:bCs/>
                <w:sz w:val="20"/>
                <w:szCs w:val="20"/>
              </w:rPr>
              <w:t>monetizuojamos</w:t>
            </w:r>
            <w:proofErr w:type="spellEnd"/>
            <w:r w:rsidRPr="006B7FAD">
              <w:rPr>
                <w:rFonts w:ascii="Times New Roman" w:eastAsia="Times New Roman" w:hAnsi="Times New Roman"/>
                <w:b/>
                <w:bCs/>
                <w:sz w:val="20"/>
                <w:szCs w:val="20"/>
              </w:rPr>
              <w:t xml:space="preserve"> naudos</w:t>
            </w:r>
          </w:p>
        </w:tc>
      </w:tr>
      <w:tr w:rsidR="00A67A01" w:rsidRPr="006B7FAD" w14:paraId="6D1393DD"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46CFC551"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EN2. Pagerėjusi žmonių sveikata ir darbingumas</w:t>
            </w:r>
          </w:p>
        </w:tc>
        <w:tc>
          <w:tcPr>
            <w:tcW w:w="534" w:type="pct"/>
            <w:tcBorders>
              <w:top w:val="nil"/>
              <w:left w:val="nil"/>
              <w:bottom w:val="single" w:sz="4" w:space="0" w:color="auto"/>
              <w:right w:val="single" w:sz="4" w:space="0" w:color="auto"/>
            </w:tcBorders>
            <w:shd w:val="clear" w:color="000000" w:fill="FFFFFF"/>
            <w:vAlign w:val="center"/>
            <w:hideMark/>
          </w:tcPr>
          <w:p w14:paraId="2BD18221"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1F79ED54"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3.771</w:t>
            </w:r>
          </w:p>
        </w:tc>
        <w:tc>
          <w:tcPr>
            <w:tcW w:w="425" w:type="pct"/>
            <w:tcBorders>
              <w:top w:val="nil"/>
              <w:left w:val="nil"/>
              <w:bottom w:val="single" w:sz="4" w:space="0" w:color="auto"/>
              <w:right w:val="single" w:sz="4" w:space="0" w:color="auto"/>
            </w:tcBorders>
            <w:shd w:val="clear" w:color="000000" w:fill="FFFFFF"/>
            <w:vAlign w:val="center"/>
            <w:hideMark/>
          </w:tcPr>
          <w:p w14:paraId="239271FB"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6.732</w:t>
            </w:r>
          </w:p>
        </w:tc>
        <w:tc>
          <w:tcPr>
            <w:tcW w:w="425" w:type="pct"/>
            <w:tcBorders>
              <w:top w:val="nil"/>
              <w:left w:val="nil"/>
              <w:bottom w:val="single" w:sz="4" w:space="0" w:color="auto"/>
              <w:right w:val="single" w:sz="4" w:space="0" w:color="auto"/>
            </w:tcBorders>
            <w:shd w:val="clear" w:color="000000" w:fill="FFFFFF"/>
            <w:vAlign w:val="center"/>
            <w:hideMark/>
          </w:tcPr>
          <w:p w14:paraId="442B6215"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8.992</w:t>
            </w:r>
          </w:p>
        </w:tc>
        <w:tc>
          <w:tcPr>
            <w:tcW w:w="558" w:type="pct"/>
            <w:tcBorders>
              <w:top w:val="nil"/>
              <w:left w:val="nil"/>
              <w:bottom w:val="single" w:sz="4" w:space="0" w:color="auto"/>
              <w:right w:val="single" w:sz="4" w:space="0" w:color="auto"/>
            </w:tcBorders>
            <w:shd w:val="clear" w:color="000000" w:fill="FFFFFF"/>
            <w:vAlign w:val="center"/>
            <w:hideMark/>
          </w:tcPr>
          <w:p w14:paraId="4F5E866F"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19.495</w:t>
            </w:r>
          </w:p>
        </w:tc>
        <w:tc>
          <w:tcPr>
            <w:tcW w:w="750" w:type="pct"/>
            <w:tcBorders>
              <w:top w:val="nil"/>
              <w:left w:val="nil"/>
              <w:bottom w:val="single" w:sz="4" w:space="0" w:color="auto"/>
              <w:right w:val="single" w:sz="4" w:space="0" w:color="auto"/>
            </w:tcBorders>
            <w:shd w:val="clear" w:color="000000" w:fill="FFFFFF"/>
            <w:vAlign w:val="center"/>
            <w:hideMark/>
          </w:tcPr>
          <w:p w14:paraId="7858431C"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19.495</w:t>
            </w:r>
          </w:p>
        </w:tc>
      </w:tr>
      <w:tr w:rsidR="00A67A01" w:rsidRPr="006B7FAD" w14:paraId="7E8F4292"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231C6785"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EN3. Gyvenamojo būsto vertės padidėjimas</w:t>
            </w:r>
          </w:p>
        </w:tc>
        <w:tc>
          <w:tcPr>
            <w:tcW w:w="534" w:type="pct"/>
            <w:tcBorders>
              <w:top w:val="nil"/>
              <w:left w:val="nil"/>
              <w:bottom w:val="single" w:sz="4" w:space="0" w:color="auto"/>
              <w:right w:val="single" w:sz="4" w:space="0" w:color="auto"/>
            </w:tcBorders>
            <w:shd w:val="clear" w:color="000000" w:fill="FFFFFF"/>
            <w:vAlign w:val="center"/>
            <w:hideMark/>
          </w:tcPr>
          <w:p w14:paraId="13BC11E4"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10710A0"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831</w:t>
            </w:r>
          </w:p>
        </w:tc>
        <w:tc>
          <w:tcPr>
            <w:tcW w:w="425" w:type="pct"/>
            <w:tcBorders>
              <w:top w:val="nil"/>
              <w:left w:val="nil"/>
              <w:bottom w:val="single" w:sz="4" w:space="0" w:color="auto"/>
              <w:right w:val="single" w:sz="4" w:space="0" w:color="auto"/>
            </w:tcBorders>
            <w:shd w:val="clear" w:color="000000" w:fill="FFFFFF"/>
            <w:vAlign w:val="center"/>
            <w:hideMark/>
          </w:tcPr>
          <w:p w14:paraId="771597D3"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1.615</w:t>
            </w:r>
          </w:p>
        </w:tc>
        <w:tc>
          <w:tcPr>
            <w:tcW w:w="425" w:type="pct"/>
            <w:tcBorders>
              <w:top w:val="nil"/>
              <w:left w:val="nil"/>
              <w:bottom w:val="single" w:sz="4" w:space="0" w:color="auto"/>
              <w:right w:val="single" w:sz="4" w:space="0" w:color="auto"/>
            </w:tcBorders>
            <w:shd w:val="clear" w:color="000000" w:fill="FFFFFF"/>
            <w:vAlign w:val="center"/>
            <w:hideMark/>
          </w:tcPr>
          <w:p w14:paraId="126E615B"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2.083</w:t>
            </w:r>
          </w:p>
        </w:tc>
        <w:tc>
          <w:tcPr>
            <w:tcW w:w="558" w:type="pct"/>
            <w:tcBorders>
              <w:top w:val="nil"/>
              <w:left w:val="nil"/>
              <w:bottom w:val="single" w:sz="4" w:space="0" w:color="auto"/>
              <w:right w:val="single" w:sz="4" w:space="0" w:color="auto"/>
            </w:tcBorders>
            <w:shd w:val="clear" w:color="000000" w:fill="FFFFFF"/>
            <w:vAlign w:val="center"/>
            <w:hideMark/>
          </w:tcPr>
          <w:p w14:paraId="2F99A285"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4.529</w:t>
            </w:r>
          </w:p>
        </w:tc>
        <w:tc>
          <w:tcPr>
            <w:tcW w:w="750" w:type="pct"/>
            <w:tcBorders>
              <w:top w:val="nil"/>
              <w:left w:val="nil"/>
              <w:bottom w:val="single" w:sz="4" w:space="0" w:color="auto"/>
              <w:right w:val="single" w:sz="4" w:space="0" w:color="auto"/>
            </w:tcBorders>
            <w:shd w:val="clear" w:color="000000" w:fill="FFFFFF"/>
            <w:vAlign w:val="center"/>
            <w:hideMark/>
          </w:tcPr>
          <w:p w14:paraId="33FCA694"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4.529</w:t>
            </w:r>
          </w:p>
        </w:tc>
      </w:tr>
      <w:tr w:rsidR="00A67A01" w:rsidRPr="006B7FAD" w14:paraId="46A59081"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58F9CDD4"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EN4. Taršos sumažėjimas</w:t>
            </w:r>
          </w:p>
        </w:tc>
        <w:tc>
          <w:tcPr>
            <w:tcW w:w="534" w:type="pct"/>
            <w:tcBorders>
              <w:top w:val="nil"/>
              <w:left w:val="nil"/>
              <w:bottom w:val="single" w:sz="4" w:space="0" w:color="auto"/>
              <w:right w:val="single" w:sz="4" w:space="0" w:color="auto"/>
            </w:tcBorders>
            <w:shd w:val="clear" w:color="000000" w:fill="FFFFFF"/>
            <w:vAlign w:val="center"/>
            <w:hideMark/>
          </w:tcPr>
          <w:p w14:paraId="025A2259"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56E46C20"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55</w:t>
            </w:r>
          </w:p>
        </w:tc>
        <w:tc>
          <w:tcPr>
            <w:tcW w:w="425" w:type="pct"/>
            <w:tcBorders>
              <w:top w:val="nil"/>
              <w:left w:val="nil"/>
              <w:bottom w:val="single" w:sz="4" w:space="0" w:color="auto"/>
              <w:right w:val="single" w:sz="4" w:space="0" w:color="auto"/>
            </w:tcBorders>
            <w:shd w:val="clear" w:color="000000" w:fill="FFFFFF"/>
            <w:vAlign w:val="center"/>
            <w:hideMark/>
          </w:tcPr>
          <w:p w14:paraId="1414DF85"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288</w:t>
            </w:r>
          </w:p>
        </w:tc>
        <w:tc>
          <w:tcPr>
            <w:tcW w:w="425" w:type="pct"/>
            <w:tcBorders>
              <w:top w:val="nil"/>
              <w:left w:val="nil"/>
              <w:bottom w:val="single" w:sz="4" w:space="0" w:color="auto"/>
              <w:right w:val="single" w:sz="4" w:space="0" w:color="auto"/>
            </w:tcBorders>
            <w:shd w:val="clear" w:color="000000" w:fill="FFFFFF"/>
            <w:vAlign w:val="center"/>
            <w:hideMark/>
          </w:tcPr>
          <w:p w14:paraId="7FCFBE44"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857</w:t>
            </w:r>
          </w:p>
        </w:tc>
        <w:tc>
          <w:tcPr>
            <w:tcW w:w="558" w:type="pct"/>
            <w:tcBorders>
              <w:top w:val="nil"/>
              <w:left w:val="nil"/>
              <w:bottom w:val="single" w:sz="4" w:space="0" w:color="auto"/>
              <w:right w:val="single" w:sz="4" w:space="0" w:color="auto"/>
            </w:tcBorders>
            <w:shd w:val="clear" w:color="000000" w:fill="FFFFFF"/>
            <w:vAlign w:val="center"/>
            <w:hideMark/>
          </w:tcPr>
          <w:p w14:paraId="5FC32572"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1.201</w:t>
            </w:r>
          </w:p>
        </w:tc>
        <w:tc>
          <w:tcPr>
            <w:tcW w:w="750" w:type="pct"/>
            <w:tcBorders>
              <w:top w:val="nil"/>
              <w:left w:val="nil"/>
              <w:bottom w:val="single" w:sz="4" w:space="0" w:color="auto"/>
              <w:right w:val="single" w:sz="4" w:space="0" w:color="auto"/>
            </w:tcBorders>
            <w:shd w:val="clear" w:color="000000" w:fill="FFFFFF"/>
            <w:vAlign w:val="center"/>
            <w:hideMark/>
          </w:tcPr>
          <w:p w14:paraId="5C807216"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2.606</w:t>
            </w:r>
          </w:p>
        </w:tc>
      </w:tr>
      <w:tr w:rsidR="00A67A01" w:rsidRPr="006B7FAD" w14:paraId="38497DDC"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58A58EE3"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EN5. Sumažėjusios išmokos</w:t>
            </w:r>
          </w:p>
        </w:tc>
        <w:tc>
          <w:tcPr>
            <w:tcW w:w="534" w:type="pct"/>
            <w:tcBorders>
              <w:top w:val="nil"/>
              <w:left w:val="nil"/>
              <w:bottom w:val="single" w:sz="4" w:space="0" w:color="auto"/>
              <w:right w:val="single" w:sz="4" w:space="0" w:color="auto"/>
            </w:tcBorders>
            <w:shd w:val="clear" w:color="000000" w:fill="FFFFFF"/>
            <w:vAlign w:val="center"/>
            <w:hideMark/>
          </w:tcPr>
          <w:p w14:paraId="62677520" w14:textId="77777777" w:rsidR="00A67A01" w:rsidRPr="001425FE" w:rsidRDefault="00A67A01" w:rsidP="009D1C15">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6054496"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32</w:t>
            </w:r>
          </w:p>
        </w:tc>
        <w:tc>
          <w:tcPr>
            <w:tcW w:w="425" w:type="pct"/>
            <w:tcBorders>
              <w:top w:val="nil"/>
              <w:left w:val="nil"/>
              <w:bottom w:val="single" w:sz="4" w:space="0" w:color="auto"/>
              <w:right w:val="single" w:sz="4" w:space="0" w:color="auto"/>
            </w:tcBorders>
            <w:shd w:val="clear" w:color="000000" w:fill="FFFFFF"/>
            <w:vAlign w:val="center"/>
            <w:hideMark/>
          </w:tcPr>
          <w:p w14:paraId="032500EB"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89</w:t>
            </w:r>
          </w:p>
        </w:tc>
        <w:tc>
          <w:tcPr>
            <w:tcW w:w="425" w:type="pct"/>
            <w:tcBorders>
              <w:top w:val="nil"/>
              <w:left w:val="nil"/>
              <w:bottom w:val="single" w:sz="4" w:space="0" w:color="auto"/>
              <w:right w:val="single" w:sz="4" w:space="0" w:color="auto"/>
            </w:tcBorders>
            <w:shd w:val="clear" w:color="000000" w:fill="FFFFFF"/>
            <w:vAlign w:val="center"/>
            <w:hideMark/>
          </w:tcPr>
          <w:p w14:paraId="3DA0E35B"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147</w:t>
            </w:r>
          </w:p>
        </w:tc>
        <w:tc>
          <w:tcPr>
            <w:tcW w:w="558" w:type="pct"/>
            <w:tcBorders>
              <w:top w:val="nil"/>
              <w:left w:val="nil"/>
              <w:bottom w:val="single" w:sz="4" w:space="0" w:color="auto"/>
              <w:right w:val="single" w:sz="4" w:space="0" w:color="auto"/>
            </w:tcBorders>
            <w:shd w:val="clear" w:color="000000" w:fill="FFFFFF"/>
            <w:vAlign w:val="center"/>
            <w:hideMark/>
          </w:tcPr>
          <w:p w14:paraId="603EE570"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268</w:t>
            </w:r>
          </w:p>
        </w:tc>
        <w:tc>
          <w:tcPr>
            <w:tcW w:w="750" w:type="pct"/>
            <w:tcBorders>
              <w:top w:val="nil"/>
              <w:left w:val="nil"/>
              <w:bottom w:val="single" w:sz="4" w:space="0" w:color="auto"/>
              <w:right w:val="single" w:sz="4" w:space="0" w:color="auto"/>
            </w:tcBorders>
            <w:shd w:val="clear" w:color="000000" w:fill="FFFFFF"/>
            <w:vAlign w:val="center"/>
            <w:hideMark/>
          </w:tcPr>
          <w:p w14:paraId="67F4E030" w14:textId="77777777" w:rsidR="00A67A01" w:rsidRPr="001425FE" w:rsidRDefault="00A67A01" w:rsidP="009D1C15">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268</w:t>
            </w:r>
          </w:p>
        </w:tc>
      </w:tr>
      <w:tr w:rsidR="00A67A01" w:rsidRPr="006B7FAD" w14:paraId="146FDC37" w14:textId="77777777" w:rsidTr="009D1C15">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766E3464" w14:textId="77777777" w:rsidR="00A67A01" w:rsidRPr="006B7FAD" w:rsidRDefault="00A67A01" w:rsidP="009D1C15">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 xml:space="preserve">Iš viso su papildomomis </w:t>
            </w:r>
            <w:proofErr w:type="spellStart"/>
            <w:r w:rsidRPr="006B7FAD">
              <w:rPr>
                <w:rFonts w:ascii="Times New Roman" w:eastAsia="Times New Roman" w:hAnsi="Times New Roman"/>
                <w:b/>
                <w:bCs/>
                <w:sz w:val="20"/>
                <w:szCs w:val="20"/>
              </w:rPr>
              <w:t>naudomis</w:t>
            </w:r>
            <w:proofErr w:type="spellEnd"/>
            <w:r w:rsidRPr="006B7FAD">
              <w:rPr>
                <w:rFonts w:ascii="Times New Roman" w:eastAsia="Times New Roman" w:hAnsi="Times New Roman"/>
                <w:b/>
                <w:bCs/>
                <w:sz w:val="20"/>
                <w:szCs w:val="20"/>
              </w:rPr>
              <w:t>:</w:t>
            </w:r>
          </w:p>
        </w:tc>
        <w:tc>
          <w:tcPr>
            <w:tcW w:w="534" w:type="pct"/>
            <w:tcBorders>
              <w:top w:val="nil"/>
              <w:left w:val="nil"/>
              <w:bottom w:val="single" w:sz="4" w:space="0" w:color="auto"/>
              <w:right w:val="single" w:sz="4" w:space="0" w:color="auto"/>
            </w:tcBorders>
            <w:shd w:val="clear" w:color="000000" w:fill="FFFFFF"/>
            <w:vAlign w:val="center"/>
            <w:hideMark/>
          </w:tcPr>
          <w:p w14:paraId="7CDCC780" w14:textId="77777777" w:rsidR="00A67A01" w:rsidRPr="006B7FAD" w:rsidRDefault="00A67A01" w:rsidP="009D1C15">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 xml:space="preserve">mln. </w:t>
            </w:r>
            <w:proofErr w:type="spellStart"/>
            <w:r w:rsidRPr="006B7FAD">
              <w:rPr>
                <w:rFonts w:ascii="Times New Roman" w:eastAsia="Times New Roman" w:hAnsi="Times New Roman"/>
                <w:b/>
                <w:bCs/>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CDE7E59" w14:textId="77777777" w:rsidR="00A67A01" w:rsidRPr="006B7FAD" w:rsidRDefault="00A67A01" w:rsidP="009D1C15">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11.910</w:t>
            </w:r>
          </w:p>
        </w:tc>
        <w:tc>
          <w:tcPr>
            <w:tcW w:w="425" w:type="pct"/>
            <w:tcBorders>
              <w:top w:val="nil"/>
              <w:left w:val="nil"/>
              <w:bottom w:val="single" w:sz="4" w:space="0" w:color="auto"/>
              <w:right w:val="single" w:sz="4" w:space="0" w:color="auto"/>
            </w:tcBorders>
            <w:shd w:val="clear" w:color="000000" w:fill="FFFFFF"/>
            <w:vAlign w:val="center"/>
            <w:hideMark/>
          </w:tcPr>
          <w:p w14:paraId="3EA1F81F" w14:textId="77777777" w:rsidR="00A67A01" w:rsidRPr="006B7FAD" w:rsidRDefault="00A67A01" w:rsidP="009D1C15">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24.842</w:t>
            </w:r>
          </w:p>
        </w:tc>
        <w:tc>
          <w:tcPr>
            <w:tcW w:w="425" w:type="pct"/>
            <w:tcBorders>
              <w:top w:val="nil"/>
              <w:left w:val="nil"/>
              <w:bottom w:val="single" w:sz="4" w:space="0" w:color="auto"/>
              <w:right w:val="single" w:sz="4" w:space="0" w:color="auto"/>
            </w:tcBorders>
            <w:shd w:val="clear" w:color="000000" w:fill="FFFFFF"/>
            <w:vAlign w:val="center"/>
            <w:hideMark/>
          </w:tcPr>
          <w:p w14:paraId="66B8844B" w14:textId="77777777" w:rsidR="00A67A01" w:rsidRPr="006B7FAD" w:rsidRDefault="00A67A01" w:rsidP="009D1C15">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38.600</w:t>
            </w:r>
          </w:p>
        </w:tc>
        <w:tc>
          <w:tcPr>
            <w:tcW w:w="558" w:type="pct"/>
            <w:tcBorders>
              <w:top w:val="nil"/>
              <w:left w:val="nil"/>
              <w:bottom w:val="single" w:sz="4" w:space="0" w:color="auto"/>
              <w:right w:val="single" w:sz="4" w:space="0" w:color="auto"/>
            </w:tcBorders>
            <w:shd w:val="clear" w:color="000000" w:fill="FFFFFF"/>
            <w:vAlign w:val="center"/>
            <w:hideMark/>
          </w:tcPr>
          <w:p w14:paraId="4FB81294" w14:textId="77777777" w:rsidR="00A67A01" w:rsidRPr="001425FE" w:rsidRDefault="00A67A01" w:rsidP="009D1C15">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75.351</w:t>
            </w:r>
          </w:p>
        </w:tc>
        <w:tc>
          <w:tcPr>
            <w:tcW w:w="750" w:type="pct"/>
            <w:tcBorders>
              <w:top w:val="nil"/>
              <w:left w:val="nil"/>
              <w:bottom w:val="single" w:sz="4" w:space="0" w:color="auto"/>
              <w:right w:val="single" w:sz="4" w:space="0" w:color="auto"/>
            </w:tcBorders>
            <w:shd w:val="clear" w:color="000000" w:fill="FFFFFF"/>
            <w:vAlign w:val="center"/>
            <w:hideMark/>
          </w:tcPr>
          <w:p w14:paraId="63AD8FBB" w14:textId="77777777" w:rsidR="00A67A01" w:rsidRPr="006B7FAD" w:rsidRDefault="00A67A01" w:rsidP="009D1C15">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100.020</w:t>
            </w:r>
          </w:p>
        </w:tc>
      </w:tr>
    </w:tbl>
    <w:p w14:paraId="2C61F3E9" w14:textId="77777777" w:rsidR="000A008D" w:rsidRDefault="000A008D" w:rsidP="00631BA6">
      <w:pPr>
        <w:pStyle w:val="TESlentelspavadinimas"/>
        <w:rPr>
          <w:noProof w:val="0"/>
        </w:rPr>
      </w:pPr>
    </w:p>
    <w:p w14:paraId="55DA3FB6" w14:textId="77777777" w:rsidR="000A008D" w:rsidRDefault="000A008D" w:rsidP="00631BA6">
      <w:pPr>
        <w:pStyle w:val="TESlentelspavadinimas"/>
        <w:rPr>
          <w:noProof w:val="0"/>
        </w:rPr>
      </w:pPr>
    </w:p>
    <w:p w14:paraId="44D6EC77" w14:textId="77777777" w:rsidR="000A008D" w:rsidRDefault="000A008D" w:rsidP="00631BA6">
      <w:pPr>
        <w:pStyle w:val="TESlentelspavadinimas"/>
        <w:rPr>
          <w:noProof w:val="0"/>
        </w:rPr>
      </w:pPr>
    </w:p>
    <w:p w14:paraId="7A618785" w14:textId="13A8B185" w:rsidR="00FE3B6D" w:rsidRPr="00650EE4" w:rsidRDefault="00FE3B6D" w:rsidP="00631BA6">
      <w:pPr>
        <w:pStyle w:val="TESlentelspavadinimas"/>
        <w:rPr>
          <w:noProof w:val="0"/>
        </w:rPr>
      </w:pPr>
      <w:r w:rsidRPr="00650EE4">
        <w:rPr>
          <w:noProof w:val="0"/>
        </w:rPr>
        <w:t xml:space="preserve">Šaltinis: </w:t>
      </w:r>
      <w:r w:rsidR="006C489E" w:rsidRPr="00650EE4">
        <w:rPr>
          <w:noProof w:val="0"/>
        </w:rPr>
        <w:t>S</w:t>
      </w:r>
      <w:r w:rsidRPr="00650EE4">
        <w:rPr>
          <w:noProof w:val="0"/>
        </w:rPr>
        <w:t xml:space="preserve">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78F383C2" w14:textId="07736580" w:rsidR="008609A8" w:rsidRPr="00650EE4" w:rsidRDefault="008609A8" w:rsidP="00217B0B">
      <w:pPr>
        <w:rPr>
          <w:rFonts w:ascii="Times New Roman" w:hAnsi="Times New Roman"/>
          <w:color w:val="000000" w:themeColor="text1"/>
          <w:szCs w:val="22"/>
        </w:rPr>
      </w:pPr>
    </w:p>
    <w:p w14:paraId="508214D7" w14:textId="269D3B2A" w:rsidR="00776CA7" w:rsidRPr="00650EE4" w:rsidRDefault="00776CA7" w:rsidP="00776CA7">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FD0E667" w14:textId="72BBBEE8" w:rsidR="00776CA7"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r</w:t>
      </w:r>
      <w:r w:rsidR="00776CA7" w:rsidRPr="00650EE4">
        <w:rPr>
          <w:rFonts w:ascii="Times New Roman" w:hAnsi="Times New Roman"/>
          <w:szCs w:val="22"/>
        </w:rPr>
        <w:t>eikšminga dalis naudų persikelia (yra gaunama) į laikotarpį po renovacijos įgyvendinimo</w:t>
      </w:r>
      <w:r w:rsidR="002E34FB" w:rsidRPr="00650EE4">
        <w:rPr>
          <w:rFonts w:ascii="Times New Roman" w:hAnsi="Times New Roman"/>
          <w:szCs w:val="22"/>
        </w:rPr>
        <w:t xml:space="preserve"> (po 2050 m.)</w:t>
      </w:r>
      <w:r w:rsidR="00776CA7" w:rsidRPr="00650EE4">
        <w:rPr>
          <w:rFonts w:ascii="Times New Roman" w:hAnsi="Times New Roman"/>
          <w:szCs w:val="22"/>
        </w:rPr>
        <w:t>, pvz., 2050 metais renovuotas pastata</w:t>
      </w:r>
      <w:r>
        <w:rPr>
          <w:rFonts w:ascii="Times New Roman" w:hAnsi="Times New Roman"/>
          <w:szCs w:val="22"/>
        </w:rPr>
        <w:t>s taupys energiją</w:t>
      </w:r>
      <w:r w:rsidR="00175A5A">
        <w:rPr>
          <w:rFonts w:ascii="Times New Roman" w:hAnsi="Times New Roman"/>
          <w:szCs w:val="22"/>
        </w:rPr>
        <w:t xml:space="preserve"> bent</w:t>
      </w:r>
      <w:r>
        <w:rPr>
          <w:rFonts w:ascii="Times New Roman" w:hAnsi="Times New Roman"/>
          <w:szCs w:val="22"/>
        </w:rPr>
        <w:t xml:space="preserve"> iki 2079 metų;</w:t>
      </w:r>
    </w:p>
    <w:p w14:paraId="3D8423A9" w14:textId="3A49B738" w:rsidR="00776CA7"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n</w:t>
      </w:r>
      <w:r w:rsidR="00776CA7" w:rsidRPr="00650EE4">
        <w:rPr>
          <w:rFonts w:ascii="Times New Roman" w:hAnsi="Times New Roman"/>
          <w:szCs w:val="22"/>
        </w:rPr>
        <w:t xml:space="preserve">et ir renovacijos strategijos </w:t>
      </w:r>
      <w:r w:rsidR="002E34FB" w:rsidRPr="00650EE4">
        <w:rPr>
          <w:rFonts w:ascii="Times New Roman" w:hAnsi="Times New Roman"/>
          <w:szCs w:val="22"/>
        </w:rPr>
        <w:t xml:space="preserve">įgyvendinimo </w:t>
      </w:r>
      <w:r w:rsidR="00776CA7" w:rsidRPr="00650EE4">
        <w:rPr>
          <w:rFonts w:ascii="Times New Roman" w:hAnsi="Times New Roman"/>
          <w:szCs w:val="22"/>
        </w:rPr>
        <w:t>laikotarpiu</w:t>
      </w:r>
      <w:r w:rsidR="002E34FB" w:rsidRPr="00650EE4">
        <w:rPr>
          <w:rFonts w:ascii="Times New Roman" w:hAnsi="Times New Roman"/>
          <w:szCs w:val="22"/>
        </w:rPr>
        <w:t xml:space="preserve"> (2021-2050 m.)</w:t>
      </w:r>
      <w:r w:rsidR="00776CA7" w:rsidRPr="00650EE4">
        <w:rPr>
          <w:rFonts w:ascii="Times New Roman" w:hAnsi="Times New Roman"/>
          <w:szCs w:val="22"/>
        </w:rPr>
        <w:t xml:space="preserve"> papildomos</w:t>
      </w:r>
      <w:r w:rsidR="002E34FB" w:rsidRPr="00650EE4">
        <w:rPr>
          <w:rFonts w:ascii="Times New Roman" w:hAnsi="Times New Roman"/>
          <w:szCs w:val="22"/>
        </w:rPr>
        <w:t xml:space="preserve"> naudos viršija </w:t>
      </w:r>
      <w:r w:rsidR="00066535" w:rsidRPr="00650EE4">
        <w:rPr>
          <w:rFonts w:ascii="Times New Roman" w:hAnsi="Times New Roman"/>
          <w:szCs w:val="22"/>
        </w:rPr>
        <w:t>investicij</w:t>
      </w:r>
      <w:r>
        <w:rPr>
          <w:rFonts w:ascii="Times New Roman" w:hAnsi="Times New Roman"/>
          <w:szCs w:val="22"/>
        </w:rPr>
        <w:t>as, t.y. investicijos atsiperka;</w:t>
      </w:r>
    </w:p>
    <w:p w14:paraId="6E622DF1" w14:textId="7C2F5A1D" w:rsidR="00776CA7"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p</w:t>
      </w:r>
      <w:r w:rsidR="00776CA7" w:rsidRPr="00650EE4">
        <w:rPr>
          <w:rFonts w:ascii="Times New Roman" w:hAnsi="Times New Roman"/>
          <w:szCs w:val="22"/>
        </w:rPr>
        <w:t>latesnio masto naudos yra reikšmingai didesnės nei tiesioginė renovacijos nauda – sutaupyt</w:t>
      </w:r>
      <w:r w:rsidR="00066535" w:rsidRPr="00650EE4">
        <w:rPr>
          <w:rFonts w:ascii="Times New Roman" w:hAnsi="Times New Roman"/>
          <w:szCs w:val="22"/>
        </w:rPr>
        <w:t>os</w:t>
      </w:r>
      <w:r w:rsidR="00776CA7" w:rsidRPr="00650EE4">
        <w:rPr>
          <w:rFonts w:ascii="Times New Roman" w:hAnsi="Times New Roman"/>
          <w:szCs w:val="22"/>
        </w:rPr>
        <w:t xml:space="preserve"> energij</w:t>
      </w:r>
      <w:r w:rsidR="00066535" w:rsidRPr="00650EE4">
        <w:rPr>
          <w:rFonts w:ascii="Times New Roman" w:hAnsi="Times New Roman"/>
          <w:szCs w:val="22"/>
        </w:rPr>
        <w:t>os</w:t>
      </w:r>
      <w:r w:rsidR="00776CA7" w:rsidRPr="00650EE4">
        <w:rPr>
          <w:rFonts w:ascii="Times New Roman" w:hAnsi="Times New Roman"/>
          <w:szCs w:val="22"/>
        </w:rPr>
        <w:t xml:space="preserve"> ir CO</w:t>
      </w:r>
      <w:r w:rsidR="00776CA7" w:rsidRPr="00650EE4">
        <w:rPr>
          <w:rFonts w:ascii="Times New Roman" w:hAnsi="Times New Roman"/>
          <w:szCs w:val="22"/>
          <w:vertAlign w:val="subscript"/>
        </w:rPr>
        <w:t>2</w:t>
      </w:r>
      <w:r w:rsidR="00776CA7" w:rsidRPr="00650EE4">
        <w:rPr>
          <w:rFonts w:ascii="Times New Roman" w:hAnsi="Times New Roman"/>
          <w:szCs w:val="22"/>
        </w:rPr>
        <w:t xml:space="preserve"> emisij</w:t>
      </w:r>
      <w:r w:rsidR="00066535" w:rsidRPr="00650EE4">
        <w:rPr>
          <w:rFonts w:ascii="Times New Roman" w:hAnsi="Times New Roman"/>
          <w:szCs w:val="22"/>
        </w:rPr>
        <w:t>ų vertė</w:t>
      </w:r>
      <w:r w:rsidR="00C70C73" w:rsidRPr="00650EE4">
        <w:rPr>
          <w:rFonts w:ascii="Times New Roman" w:hAnsi="Times New Roman"/>
          <w:szCs w:val="22"/>
        </w:rPr>
        <w:t>, v</w:t>
      </w:r>
      <w:r>
        <w:rPr>
          <w:rFonts w:ascii="Times New Roman" w:hAnsi="Times New Roman"/>
          <w:szCs w:val="22"/>
        </w:rPr>
        <w:t>isais vertinamais laikotarpiais;</w:t>
      </w:r>
    </w:p>
    <w:p w14:paraId="7F09B0F8" w14:textId="067F3820" w:rsidR="00282BD1"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p</w:t>
      </w:r>
      <w:r w:rsidR="008F5A3B" w:rsidRPr="00650EE4">
        <w:rPr>
          <w:rFonts w:ascii="Times New Roman" w:hAnsi="Times New Roman"/>
          <w:szCs w:val="22"/>
        </w:rPr>
        <w:t xml:space="preserve">latesnio masto naudų skaičiavimai pateikia visų naudų suminį rezultatą visiems naudos gavėjams (pastato savininkui, valstybės biudžetui, kitiems piliečiams ir kt.). </w:t>
      </w:r>
      <w:r w:rsidR="00282BD1" w:rsidRPr="00650EE4">
        <w:rPr>
          <w:rFonts w:ascii="Times New Roman" w:hAnsi="Times New Roman"/>
          <w:szCs w:val="22"/>
        </w:rPr>
        <w:t xml:space="preserve">Vertinant </w:t>
      </w:r>
      <w:r w:rsidR="008D52D4" w:rsidRPr="00650EE4">
        <w:rPr>
          <w:rFonts w:ascii="Times New Roman" w:hAnsi="Times New Roman"/>
          <w:szCs w:val="22"/>
        </w:rPr>
        <w:t>naudų</w:t>
      </w:r>
      <w:r w:rsidR="008F5A3B" w:rsidRPr="00650EE4">
        <w:rPr>
          <w:rFonts w:ascii="Times New Roman" w:hAnsi="Times New Roman"/>
          <w:szCs w:val="22"/>
        </w:rPr>
        <w:t xml:space="preserve"> skaičiavimo</w:t>
      </w:r>
      <w:r w:rsidR="008D52D4" w:rsidRPr="00650EE4">
        <w:rPr>
          <w:rFonts w:ascii="Times New Roman" w:hAnsi="Times New Roman"/>
          <w:szCs w:val="22"/>
        </w:rPr>
        <w:t xml:space="preserve"> rezultatus </w:t>
      </w:r>
      <w:r w:rsidR="008F5A3B" w:rsidRPr="00650EE4">
        <w:rPr>
          <w:rFonts w:ascii="Times New Roman" w:hAnsi="Times New Roman"/>
          <w:szCs w:val="22"/>
        </w:rPr>
        <w:t>iš atskiro</w:t>
      </w:r>
      <w:r w:rsidR="008D52D4" w:rsidRPr="00650EE4">
        <w:rPr>
          <w:rFonts w:ascii="Times New Roman" w:hAnsi="Times New Roman"/>
          <w:szCs w:val="22"/>
        </w:rPr>
        <w:t xml:space="preserve"> naudos gavėjo perspektyv</w:t>
      </w:r>
      <w:r>
        <w:rPr>
          <w:rFonts w:ascii="Times New Roman" w:hAnsi="Times New Roman"/>
          <w:szCs w:val="22"/>
        </w:rPr>
        <w:t>os, jos gali skirtis;</w:t>
      </w:r>
    </w:p>
    <w:p w14:paraId="4B62895A" w14:textId="59EDB62E" w:rsidR="006321DC"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v</w:t>
      </w:r>
      <w:r w:rsidR="006321DC" w:rsidRPr="00650EE4">
        <w:rPr>
          <w:rFonts w:ascii="Times New Roman" w:hAnsi="Times New Roman"/>
          <w:szCs w:val="22"/>
        </w:rPr>
        <w:t>ertinant renovacijos investicijas nėra atsižvelgiama į faktą, kad dalį investicijų pastatuose atlikti būtina norint jį toliau naudoti</w:t>
      </w:r>
      <w:r w:rsidR="00835DE7" w:rsidRPr="00650EE4">
        <w:rPr>
          <w:rFonts w:ascii="Times New Roman" w:hAnsi="Times New Roman"/>
          <w:szCs w:val="22"/>
        </w:rPr>
        <w:t xml:space="preserve"> (net ir neatliekant renovacijos)</w:t>
      </w:r>
      <w:r w:rsidR="006321DC" w:rsidRPr="00650EE4">
        <w:rPr>
          <w:rFonts w:ascii="Times New Roman" w:hAnsi="Times New Roman"/>
          <w:szCs w:val="22"/>
        </w:rPr>
        <w:t>. Tikėtina, kad atlikus tokį vertinimą, renovacijos investicijos būtų mažesnės.</w:t>
      </w:r>
    </w:p>
    <w:p w14:paraId="08223E7E" w14:textId="77777777" w:rsidR="00232EC4" w:rsidRPr="00650EE4" w:rsidRDefault="00232EC4" w:rsidP="000011E5">
      <w:pPr>
        <w:pStyle w:val="Pagrindinispaprastastekstas"/>
        <w:rPr>
          <w:rFonts w:ascii="Times New Roman" w:hAnsi="Times New Roman"/>
          <w:szCs w:val="22"/>
        </w:rPr>
      </w:pPr>
    </w:p>
    <w:p w14:paraId="4ED915FD" w14:textId="03766818" w:rsidR="00232EC4" w:rsidRPr="00650EE4" w:rsidRDefault="00232EC4" w:rsidP="000011E5">
      <w:pPr>
        <w:pStyle w:val="Pagrindinispaprastastekstas"/>
        <w:rPr>
          <w:rFonts w:ascii="Times New Roman" w:hAnsi="Times New Roman"/>
          <w:szCs w:val="22"/>
        </w:rPr>
      </w:pPr>
      <w:r w:rsidRPr="00650EE4">
        <w:rPr>
          <w:rFonts w:ascii="Times New Roman" w:hAnsi="Times New Roman"/>
          <w:szCs w:val="22"/>
        </w:rPr>
        <w:t>Toliau pateikiamas platesnio masto naudų apskaičiavimo aprašymas.</w:t>
      </w:r>
    </w:p>
    <w:p w14:paraId="1E5C2848" w14:textId="77777777" w:rsidR="00776CA7" w:rsidRPr="00650EE4" w:rsidRDefault="00776CA7" w:rsidP="000011E5">
      <w:pPr>
        <w:jc w:val="both"/>
        <w:rPr>
          <w:rFonts w:ascii="Times New Roman" w:hAnsi="Times New Roman"/>
          <w:color w:val="auto"/>
          <w:sz w:val="24"/>
          <w:szCs w:val="24"/>
        </w:rPr>
      </w:pPr>
    </w:p>
    <w:p w14:paraId="2CE5EA6A" w14:textId="40A2355F" w:rsidR="002C637B" w:rsidRPr="00650EE4" w:rsidRDefault="00FE3B6D" w:rsidP="000F7355">
      <w:pPr>
        <w:spacing w:after="120"/>
        <w:jc w:val="both"/>
        <w:rPr>
          <w:rFonts w:ascii="Times New Roman" w:hAnsi="Times New Roman"/>
          <w:b/>
          <w:bCs/>
          <w:szCs w:val="24"/>
        </w:rPr>
      </w:pPr>
      <w:r w:rsidRPr="00650EE4">
        <w:rPr>
          <w:rFonts w:ascii="Times New Roman" w:hAnsi="Times New Roman"/>
          <w:b/>
          <w:bCs/>
          <w:szCs w:val="24"/>
        </w:rPr>
        <w:t xml:space="preserve">N1. </w:t>
      </w:r>
      <w:r w:rsidR="002C637B" w:rsidRPr="00650EE4">
        <w:rPr>
          <w:rFonts w:ascii="Times New Roman" w:hAnsi="Times New Roman"/>
          <w:b/>
          <w:bCs/>
          <w:szCs w:val="24"/>
        </w:rPr>
        <w:t xml:space="preserve">Energijos </w:t>
      </w:r>
      <w:r w:rsidR="00F87AFE" w:rsidRPr="00650EE4">
        <w:rPr>
          <w:rFonts w:ascii="Times New Roman" w:hAnsi="Times New Roman"/>
          <w:b/>
          <w:bCs/>
          <w:szCs w:val="24"/>
        </w:rPr>
        <w:t xml:space="preserve">sąnaudų </w:t>
      </w:r>
      <w:r w:rsidR="00FE4802" w:rsidRPr="00650EE4">
        <w:rPr>
          <w:rFonts w:ascii="Times New Roman" w:hAnsi="Times New Roman"/>
          <w:b/>
          <w:bCs/>
          <w:szCs w:val="24"/>
        </w:rPr>
        <w:t>sumažėjimas</w:t>
      </w:r>
      <w:r w:rsidR="007A3B70" w:rsidRPr="00650EE4">
        <w:rPr>
          <w:rFonts w:ascii="Times New Roman" w:hAnsi="Times New Roman"/>
          <w:b/>
          <w:bCs/>
          <w:szCs w:val="24"/>
        </w:rPr>
        <w:t xml:space="preserve"> </w:t>
      </w:r>
    </w:p>
    <w:p w14:paraId="1F131343" w14:textId="3F0EA3FC" w:rsidR="00D535EC" w:rsidRPr="00650EE4" w:rsidRDefault="002C637B" w:rsidP="00FD38C4">
      <w:pPr>
        <w:pStyle w:val="BodyText"/>
        <w:jc w:val="both"/>
        <w:rPr>
          <w:rFonts w:ascii="Times New Roman" w:hAnsi="Times New Roman"/>
          <w:lang w:val="lt-LT"/>
        </w:rPr>
      </w:pPr>
      <w:r w:rsidRPr="00650EE4">
        <w:rPr>
          <w:rFonts w:ascii="Times New Roman" w:hAnsi="Times New Roman"/>
          <w:color w:val="auto"/>
          <w:szCs w:val="22"/>
          <w:lang w:val="lt-LT"/>
        </w:rPr>
        <w:t>Pagrindinis pastatų fondo renovacijos tikslas y</w:t>
      </w:r>
      <w:r w:rsidR="00344BEC" w:rsidRPr="00650EE4">
        <w:rPr>
          <w:rFonts w:ascii="Times New Roman" w:hAnsi="Times New Roman"/>
          <w:color w:val="auto"/>
          <w:szCs w:val="22"/>
          <w:lang w:val="lt-LT"/>
        </w:rPr>
        <w:t>ra sumažinti pastato energijos</w:t>
      </w:r>
      <w:r w:rsidRPr="00650EE4">
        <w:rPr>
          <w:rFonts w:ascii="Times New Roman" w:hAnsi="Times New Roman"/>
          <w:color w:val="auto"/>
          <w:szCs w:val="22"/>
          <w:lang w:val="lt-LT"/>
        </w:rPr>
        <w:t xml:space="preserve"> sąnaudas, </w:t>
      </w:r>
      <w:r w:rsidR="00D36589" w:rsidRPr="00650EE4">
        <w:rPr>
          <w:rFonts w:ascii="Times New Roman" w:hAnsi="Times New Roman"/>
          <w:color w:val="auto"/>
          <w:szCs w:val="22"/>
          <w:lang w:val="lt-LT"/>
        </w:rPr>
        <w:t>kurios per sumažėjusias sąskaitas,</w:t>
      </w:r>
      <w:r w:rsidRPr="00650EE4">
        <w:rPr>
          <w:rFonts w:ascii="Times New Roman" w:hAnsi="Times New Roman"/>
          <w:color w:val="auto"/>
          <w:szCs w:val="22"/>
          <w:lang w:val="lt-LT"/>
        </w:rPr>
        <w:t xml:space="preserve"> duoda tiesioginę finansinę naudą vartotojams. </w:t>
      </w:r>
    </w:p>
    <w:p w14:paraId="686FAB7F" w14:textId="77777777" w:rsidR="00D535EC" w:rsidRPr="00650EE4" w:rsidRDefault="00D535EC" w:rsidP="002C637B">
      <w:pPr>
        <w:pStyle w:val="Pagrindinispaprastastekstas"/>
        <w:rPr>
          <w:rFonts w:ascii="Times New Roman" w:hAnsi="Times New Roman"/>
          <w:szCs w:val="22"/>
        </w:rPr>
      </w:pPr>
    </w:p>
    <w:p w14:paraId="02773735" w14:textId="25897534" w:rsidR="002C637B" w:rsidRPr="00650EE4" w:rsidRDefault="002C637B" w:rsidP="002C637B">
      <w:pPr>
        <w:pStyle w:val="Pagrindinispaprastastekstas"/>
        <w:rPr>
          <w:rFonts w:ascii="Times New Roman" w:hAnsi="Times New Roman"/>
          <w:szCs w:val="22"/>
        </w:rPr>
      </w:pPr>
      <w:r w:rsidRPr="00650EE4">
        <w:rPr>
          <w:rFonts w:ascii="Times New Roman" w:hAnsi="Times New Roman"/>
          <w:szCs w:val="22"/>
        </w:rPr>
        <w:t xml:space="preserve">Įgyvendinant renovacijos programą pagal kurią būtų renovuota 60 proc. </w:t>
      </w:r>
      <w:r w:rsidR="00607EE3" w:rsidRPr="00650EE4">
        <w:rPr>
          <w:rFonts w:ascii="Times New Roman" w:hAnsi="Times New Roman"/>
          <w:szCs w:val="22"/>
        </w:rPr>
        <w:t>per IRS įgyvendinimo laikotarpį sutaupytos energijos</w:t>
      </w:r>
      <w:r w:rsidRPr="00650EE4">
        <w:rPr>
          <w:rFonts w:ascii="Times New Roman" w:hAnsi="Times New Roman"/>
          <w:szCs w:val="22"/>
        </w:rPr>
        <w:t xml:space="preserve"> finansinė vertė siek</w:t>
      </w:r>
      <w:r w:rsidR="00607EE3" w:rsidRPr="00650EE4">
        <w:rPr>
          <w:rFonts w:ascii="Times New Roman" w:hAnsi="Times New Roman"/>
          <w:szCs w:val="22"/>
        </w:rPr>
        <w:t>tų</w:t>
      </w:r>
      <w:r w:rsidRPr="00650EE4">
        <w:rPr>
          <w:rFonts w:ascii="Times New Roman" w:hAnsi="Times New Roman"/>
          <w:szCs w:val="22"/>
        </w:rPr>
        <w:t xml:space="preserve"> </w:t>
      </w:r>
      <w:r w:rsidR="00175A5A" w:rsidRPr="00650EE4">
        <w:rPr>
          <w:rFonts w:ascii="Times New Roman" w:hAnsi="Times New Roman"/>
          <w:szCs w:val="22"/>
        </w:rPr>
        <w:t>1</w:t>
      </w:r>
      <w:r w:rsidR="00175A5A">
        <w:rPr>
          <w:rFonts w:ascii="Times New Roman" w:hAnsi="Times New Roman"/>
          <w:szCs w:val="22"/>
        </w:rPr>
        <w:t>5</w:t>
      </w:r>
      <w:r w:rsidR="00175A5A" w:rsidRPr="00650EE4">
        <w:rPr>
          <w:rFonts w:ascii="Times New Roman" w:hAnsi="Times New Roman"/>
          <w:szCs w:val="22"/>
        </w:rPr>
        <w:t>,</w:t>
      </w:r>
      <w:r w:rsidR="00175A5A">
        <w:rPr>
          <w:rFonts w:ascii="Times New Roman" w:hAnsi="Times New Roman"/>
          <w:szCs w:val="22"/>
        </w:rPr>
        <w:t>4</w:t>
      </w:r>
      <w:r w:rsidRPr="00650EE4">
        <w:rPr>
          <w:rFonts w:ascii="Times New Roman" w:hAnsi="Times New Roman"/>
          <w:szCs w:val="22"/>
        </w:rPr>
        <w:t xml:space="preserve"> mlrd. Eurų.</w:t>
      </w:r>
    </w:p>
    <w:p w14:paraId="7DDB2AC5" w14:textId="77777777" w:rsidR="00A34224" w:rsidRPr="00650EE4" w:rsidRDefault="00A34224" w:rsidP="000F7355">
      <w:pPr>
        <w:spacing w:after="120"/>
        <w:jc w:val="both"/>
        <w:rPr>
          <w:rFonts w:ascii="Times New Roman" w:hAnsi="Times New Roman"/>
          <w:color w:val="auto"/>
          <w:szCs w:val="22"/>
        </w:rPr>
      </w:pPr>
    </w:p>
    <w:p w14:paraId="0F5413AC" w14:textId="4BE5825F" w:rsidR="00664F63" w:rsidRPr="00650EE4" w:rsidRDefault="00664F63" w:rsidP="000F7355">
      <w:pPr>
        <w:spacing w:after="120"/>
        <w:jc w:val="both"/>
        <w:rPr>
          <w:rFonts w:ascii="Times New Roman" w:hAnsi="Times New Roman"/>
          <w:b/>
          <w:bCs/>
          <w:szCs w:val="24"/>
        </w:rPr>
      </w:pPr>
      <w:r w:rsidRPr="00650EE4">
        <w:rPr>
          <w:rFonts w:ascii="Times New Roman" w:hAnsi="Times New Roman"/>
          <w:b/>
          <w:bCs/>
          <w:szCs w:val="24"/>
        </w:rPr>
        <w:t>N2. Sumažinti CO</w:t>
      </w:r>
      <w:r w:rsidRPr="00650EE4">
        <w:rPr>
          <w:rFonts w:ascii="Times New Roman" w:hAnsi="Times New Roman"/>
          <w:b/>
          <w:bCs/>
          <w:szCs w:val="24"/>
          <w:vertAlign w:val="subscript"/>
        </w:rPr>
        <w:t>2</w:t>
      </w:r>
      <w:r w:rsidRPr="00650EE4">
        <w:rPr>
          <w:rFonts w:ascii="Times New Roman" w:hAnsi="Times New Roman"/>
          <w:b/>
          <w:bCs/>
          <w:szCs w:val="24"/>
        </w:rPr>
        <w:t xml:space="preserve"> išmetimai</w:t>
      </w:r>
    </w:p>
    <w:p w14:paraId="3A26ADE6" w14:textId="7CE9DD0C" w:rsidR="000910B9" w:rsidRPr="00650EE4" w:rsidRDefault="000910B9" w:rsidP="0039417B">
      <w:pPr>
        <w:pStyle w:val="BodyText"/>
        <w:jc w:val="both"/>
        <w:rPr>
          <w:rFonts w:ascii="Times New Roman" w:hAnsi="Times New Roman"/>
          <w:szCs w:val="22"/>
          <w:lang w:val="lt-LT"/>
        </w:rPr>
      </w:pPr>
      <w:r w:rsidRPr="00650EE4">
        <w:rPr>
          <w:rFonts w:ascii="Times New Roman" w:hAnsi="Times New Roman"/>
          <w:szCs w:val="22"/>
          <w:lang w:val="lt-LT"/>
        </w:rPr>
        <w:t>ŠESD neigiamą poveikį aplinkai sukelia per šiltnamio efektą, augantį vandenynų rūgštingumą ir atitinkamai susijusius kitus aplinkos pokyčius keičiančius ekologinę pusiausvyrą.</w:t>
      </w:r>
      <w:r w:rsidR="0039417B" w:rsidRPr="00650EE4">
        <w:rPr>
          <w:rFonts w:ascii="Times New Roman" w:hAnsi="Times New Roman"/>
          <w:szCs w:val="22"/>
          <w:lang w:val="lt-LT"/>
        </w:rPr>
        <w:t xml:space="preserve"> </w:t>
      </w:r>
    </w:p>
    <w:p w14:paraId="78EA1137" w14:textId="77777777" w:rsidR="000910B9" w:rsidRPr="00650EE4" w:rsidRDefault="000910B9" w:rsidP="0019694C">
      <w:pPr>
        <w:pStyle w:val="Pagrindinispaprastastekstas"/>
        <w:rPr>
          <w:rFonts w:ascii="Times New Roman" w:hAnsi="Times New Roman"/>
          <w:szCs w:val="22"/>
        </w:rPr>
      </w:pPr>
    </w:p>
    <w:p w14:paraId="70F4980C" w14:textId="77777777" w:rsidR="00175A5A" w:rsidRDefault="004108BA" w:rsidP="00175A5A">
      <w:pPr>
        <w:jc w:val="both"/>
        <w:rPr>
          <w:rFonts w:ascii="Times New Roman" w:hAnsi="Times New Roman"/>
          <w:color w:val="auto"/>
          <w:szCs w:val="22"/>
        </w:rPr>
      </w:pPr>
      <w:r w:rsidRPr="00650EE4">
        <w:rPr>
          <w:rFonts w:ascii="Times New Roman" w:hAnsi="Times New Roman"/>
          <w:color w:val="auto"/>
          <w:szCs w:val="22"/>
        </w:rPr>
        <w:t>Visas pastatų fondas</w:t>
      </w:r>
      <w:r w:rsidR="00175A5A">
        <w:rPr>
          <w:rFonts w:ascii="Times New Roman" w:hAnsi="Times New Roman"/>
          <w:color w:val="auto"/>
          <w:szCs w:val="22"/>
        </w:rPr>
        <w:t xml:space="preserve"> per metus</w:t>
      </w:r>
      <w:r w:rsidRPr="00650EE4">
        <w:rPr>
          <w:rFonts w:ascii="Times New Roman" w:hAnsi="Times New Roman"/>
          <w:color w:val="auto"/>
          <w:szCs w:val="22"/>
        </w:rPr>
        <w:t xml:space="preserve"> sunaudoja 40,8 </w:t>
      </w:r>
      <w:proofErr w:type="spellStart"/>
      <w:r w:rsidRPr="00650EE4">
        <w:rPr>
          <w:rFonts w:ascii="Times New Roman" w:hAnsi="Times New Roman"/>
          <w:color w:val="auto"/>
          <w:szCs w:val="22"/>
        </w:rPr>
        <w:t>TWh</w:t>
      </w:r>
      <w:proofErr w:type="spellEnd"/>
      <w:r w:rsidRPr="00650EE4">
        <w:rPr>
          <w:rFonts w:ascii="Times New Roman" w:hAnsi="Times New Roman"/>
          <w:color w:val="auto"/>
          <w:szCs w:val="22"/>
        </w:rPr>
        <w:t xml:space="preserve"> energijos, kuri lemia 5,3 mln. tonų CO</w:t>
      </w:r>
      <w:r w:rsidRPr="00650EE4">
        <w:rPr>
          <w:rFonts w:ascii="Times New Roman" w:hAnsi="Times New Roman"/>
          <w:color w:val="auto"/>
          <w:szCs w:val="22"/>
          <w:vertAlign w:val="subscript"/>
        </w:rPr>
        <w:t>2</w:t>
      </w:r>
      <w:r w:rsidRPr="00650EE4">
        <w:rPr>
          <w:rFonts w:ascii="Times New Roman" w:hAnsi="Times New Roman"/>
          <w:color w:val="auto"/>
          <w:szCs w:val="22"/>
        </w:rPr>
        <w:t xml:space="preserve"> emisijas per metus. Sumažinus </w:t>
      </w:r>
      <w:r w:rsidR="009A7656" w:rsidRPr="00650EE4">
        <w:rPr>
          <w:rFonts w:ascii="Times New Roman" w:hAnsi="Times New Roman"/>
          <w:color w:val="auto"/>
          <w:szCs w:val="22"/>
        </w:rPr>
        <w:t xml:space="preserve">pirminės </w:t>
      </w:r>
      <w:r w:rsidRPr="00650EE4">
        <w:rPr>
          <w:rFonts w:ascii="Times New Roman" w:hAnsi="Times New Roman"/>
          <w:color w:val="auto"/>
          <w:szCs w:val="22"/>
        </w:rPr>
        <w:t xml:space="preserve">energijos sąnaudas </w:t>
      </w:r>
      <w:r w:rsidR="009A7656" w:rsidRPr="00650EE4">
        <w:rPr>
          <w:rFonts w:ascii="Times New Roman" w:hAnsi="Times New Roman"/>
          <w:color w:val="auto"/>
          <w:szCs w:val="22"/>
        </w:rPr>
        <w:t>~</w:t>
      </w:r>
      <w:r w:rsidR="00175A5A">
        <w:rPr>
          <w:rFonts w:ascii="Times New Roman" w:hAnsi="Times New Roman"/>
          <w:color w:val="auto"/>
          <w:szCs w:val="22"/>
        </w:rPr>
        <w:t>6</w:t>
      </w:r>
      <w:r w:rsidRPr="00650EE4">
        <w:rPr>
          <w:rFonts w:ascii="Times New Roman" w:hAnsi="Times New Roman"/>
          <w:color w:val="auto"/>
          <w:szCs w:val="22"/>
        </w:rPr>
        <w:t>0 proc. tikėtina, kad CO</w:t>
      </w:r>
      <w:r w:rsidRPr="00175A5A">
        <w:rPr>
          <w:rFonts w:ascii="Times New Roman" w:hAnsi="Times New Roman"/>
          <w:color w:val="auto"/>
          <w:szCs w:val="22"/>
          <w:vertAlign w:val="subscript"/>
        </w:rPr>
        <w:t>2</w:t>
      </w:r>
      <w:r w:rsidRPr="00650EE4">
        <w:rPr>
          <w:rFonts w:ascii="Times New Roman" w:hAnsi="Times New Roman"/>
          <w:color w:val="auto"/>
          <w:szCs w:val="22"/>
        </w:rPr>
        <w:t xml:space="preserve"> emisijos sumažėtų </w:t>
      </w:r>
      <w:r w:rsidR="00175A5A">
        <w:rPr>
          <w:rFonts w:ascii="Times New Roman" w:hAnsi="Times New Roman"/>
          <w:color w:val="auto"/>
          <w:szCs w:val="22"/>
        </w:rPr>
        <w:t>3</w:t>
      </w:r>
      <w:r w:rsidRPr="00650EE4">
        <w:rPr>
          <w:rFonts w:ascii="Times New Roman" w:hAnsi="Times New Roman"/>
          <w:color w:val="auto"/>
          <w:szCs w:val="22"/>
        </w:rPr>
        <w:t xml:space="preserve">,8 mln. tonų, arba </w:t>
      </w:r>
      <w:r w:rsidR="009A7656" w:rsidRPr="00650EE4">
        <w:rPr>
          <w:rFonts w:ascii="Times New Roman" w:hAnsi="Times New Roman"/>
          <w:color w:val="auto"/>
          <w:szCs w:val="22"/>
        </w:rPr>
        <w:t>~</w:t>
      </w:r>
      <w:r w:rsidR="00175A5A">
        <w:rPr>
          <w:rFonts w:ascii="Times New Roman" w:hAnsi="Times New Roman"/>
          <w:color w:val="auto"/>
          <w:szCs w:val="22"/>
        </w:rPr>
        <w:t>7</w:t>
      </w:r>
      <w:r w:rsidRPr="00650EE4">
        <w:rPr>
          <w:rFonts w:ascii="Times New Roman" w:hAnsi="Times New Roman"/>
          <w:color w:val="auto"/>
          <w:szCs w:val="22"/>
        </w:rPr>
        <w:t>0 proc.</w:t>
      </w:r>
      <w:r w:rsidR="00175A5A">
        <w:rPr>
          <w:rFonts w:ascii="Times New Roman" w:hAnsi="Times New Roman"/>
          <w:color w:val="auto"/>
          <w:szCs w:val="22"/>
        </w:rPr>
        <w:t xml:space="preserve"> per metus.</w:t>
      </w:r>
    </w:p>
    <w:p w14:paraId="4CB4E994" w14:textId="77777777" w:rsidR="00175A5A" w:rsidRDefault="00175A5A" w:rsidP="00175A5A">
      <w:pPr>
        <w:jc w:val="both"/>
        <w:rPr>
          <w:rFonts w:ascii="Times New Roman" w:hAnsi="Times New Roman"/>
          <w:color w:val="auto"/>
          <w:szCs w:val="22"/>
        </w:rPr>
      </w:pPr>
    </w:p>
    <w:p w14:paraId="1706525D" w14:textId="7279FB91" w:rsidR="00175A5A" w:rsidRDefault="00175A5A" w:rsidP="00175A5A">
      <w:pPr>
        <w:jc w:val="both"/>
        <w:rPr>
          <w:rFonts w:ascii="Times New Roman" w:hAnsi="Times New Roman"/>
          <w:color w:val="auto"/>
          <w:szCs w:val="22"/>
        </w:rPr>
      </w:pPr>
      <w:r>
        <w:rPr>
          <w:rFonts w:ascii="Times New Roman" w:hAnsi="Times New Roman"/>
          <w:color w:val="auto"/>
          <w:szCs w:val="22"/>
        </w:rPr>
        <w:t>Papildomai CO</w:t>
      </w:r>
      <w:r w:rsidRPr="00080C2A">
        <w:rPr>
          <w:rFonts w:ascii="Times New Roman" w:hAnsi="Times New Roman"/>
          <w:color w:val="auto"/>
          <w:szCs w:val="22"/>
          <w:vertAlign w:val="subscript"/>
        </w:rPr>
        <w:t>2</w:t>
      </w:r>
      <w:r>
        <w:rPr>
          <w:rFonts w:ascii="Times New Roman" w:hAnsi="Times New Roman"/>
          <w:color w:val="auto"/>
          <w:szCs w:val="22"/>
        </w:rPr>
        <w:t xml:space="preserve"> emisijos taptų nulinės, jeigu būtų įgyvendintos šios sąlygos:</w:t>
      </w:r>
    </w:p>
    <w:p w14:paraId="68927008" w14:textId="3789B91E" w:rsidR="00175A5A" w:rsidRPr="00C3756B" w:rsidRDefault="00175A5A" w:rsidP="00175A5A">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Pr="00C3756B">
        <w:rPr>
          <w:rFonts w:ascii="Times New Roman" w:hAnsi="Times New Roman"/>
          <w:color w:val="000000" w:themeColor="text1"/>
          <w:szCs w:val="22"/>
          <w:lang w:val="lt-LT"/>
        </w:rPr>
        <w:t>lektros sektorius 100% transformu</w:t>
      </w:r>
      <w:r>
        <w:rPr>
          <w:rFonts w:ascii="Times New Roman" w:hAnsi="Times New Roman"/>
          <w:color w:val="000000" w:themeColor="text1"/>
          <w:szCs w:val="22"/>
          <w:lang w:val="lt-LT"/>
        </w:rPr>
        <w:t>otųsi</w:t>
      </w:r>
      <w:r w:rsidRPr="00C3756B">
        <w:rPr>
          <w:rFonts w:ascii="Times New Roman" w:hAnsi="Times New Roman"/>
          <w:color w:val="000000" w:themeColor="text1"/>
          <w:szCs w:val="22"/>
          <w:lang w:val="lt-LT"/>
        </w:rPr>
        <w:t xml:space="preserve"> į nulinių CO</w:t>
      </w:r>
      <w:r w:rsidRPr="00175A5A">
        <w:rPr>
          <w:rFonts w:ascii="Times New Roman" w:hAnsi="Times New Roman"/>
          <w:color w:val="000000" w:themeColor="text1"/>
          <w:szCs w:val="22"/>
          <w:vertAlign w:val="subscript"/>
          <w:lang w:val="lt-LT"/>
        </w:rPr>
        <w:t>2</w:t>
      </w:r>
      <w:r w:rsidRPr="00C3756B">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r w:rsidRPr="00C3756B">
        <w:rPr>
          <w:rFonts w:ascii="Times New Roman" w:hAnsi="Times New Roman"/>
          <w:color w:val="000000" w:themeColor="text1"/>
          <w:szCs w:val="22"/>
          <w:lang w:val="lt-LT"/>
        </w:rPr>
        <w:t xml:space="preserve"> </w:t>
      </w:r>
    </w:p>
    <w:p w14:paraId="54E0D03A" w14:textId="4149D853" w:rsidR="00175A5A" w:rsidRPr="00C3756B" w:rsidRDefault="00175A5A" w:rsidP="00175A5A">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sidRPr="00C3756B">
        <w:rPr>
          <w:rFonts w:ascii="Times New Roman" w:hAnsi="Times New Roman"/>
          <w:color w:val="000000" w:themeColor="text1"/>
          <w:szCs w:val="22"/>
          <w:lang w:val="lt-LT"/>
        </w:rPr>
        <w:t>CŠT sektorius turi 100% transformu</w:t>
      </w:r>
      <w:r>
        <w:rPr>
          <w:rFonts w:ascii="Times New Roman" w:hAnsi="Times New Roman"/>
          <w:color w:val="000000" w:themeColor="text1"/>
          <w:szCs w:val="22"/>
          <w:lang w:val="lt-LT"/>
        </w:rPr>
        <w:t>otųsi</w:t>
      </w:r>
      <w:r w:rsidRPr="00C3756B">
        <w:rPr>
          <w:rFonts w:ascii="Times New Roman" w:hAnsi="Times New Roman"/>
          <w:color w:val="000000" w:themeColor="text1"/>
          <w:szCs w:val="22"/>
          <w:lang w:val="lt-LT"/>
        </w:rPr>
        <w:t xml:space="preserve"> į nulinių CO</w:t>
      </w:r>
      <w:r w:rsidRPr="00175A5A">
        <w:rPr>
          <w:rFonts w:ascii="Times New Roman" w:hAnsi="Times New Roman"/>
          <w:color w:val="000000" w:themeColor="text1"/>
          <w:szCs w:val="22"/>
          <w:vertAlign w:val="subscript"/>
          <w:lang w:val="lt-LT"/>
        </w:rPr>
        <w:t>2</w:t>
      </w:r>
      <w:r w:rsidRPr="00C3756B">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r w:rsidRPr="00C3756B">
        <w:rPr>
          <w:rFonts w:ascii="Times New Roman" w:hAnsi="Times New Roman"/>
          <w:color w:val="000000" w:themeColor="text1"/>
          <w:szCs w:val="22"/>
          <w:lang w:val="lt-LT"/>
        </w:rPr>
        <w:t xml:space="preserve"> </w:t>
      </w:r>
    </w:p>
    <w:p w14:paraId="4FA11B6F" w14:textId="4566C0E8" w:rsidR="00175A5A" w:rsidRPr="0041181A" w:rsidRDefault="00175A5A" w:rsidP="00175A5A">
      <w:pPr>
        <w:pStyle w:val="ListParagraph"/>
        <w:numPr>
          <w:ilvl w:val="3"/>
          <w:numId w:val="47"/>
        </w:numPr>
        <w:spacing w:before="60" w:after="60"/>
        <w:ind w:left="453" w:hanging="357"/>
        <w:contextualSpacing w:val="0"/>
        <w:jc w:val="both"/>
        <w:rPr>
          <w:rFonts w:ascii="Times New Roman" w:hAnsi="Times New Roman"/>
          <w:color w:val="auto"/>
          <w:szCs w:val="22"/>
        </w:rPr>
      </w:pPr>
      <w:r>
        <w:rPr>
          <w:rFonts w:ascii="Times New Roman" w:hAnsi="Times New Roman"/>
          <w:color w:val="000000" w:themeColor="text1"/>
          <w:szCs w:val="22"/>
          <w:lang w:val="lt-LT"/>
        </w:rPr>
        <w:t>visi p</w:t>
      </w:r>
      <w:r w:rsidRPr="0041181A">
        <w:rPr>
          <w:rFonts w:ascii="Times New Roman" w:hAnsi="Times New Roman"/>
          <w:color w:val="000000" w:themeColor="text1"/>
          <w:szCs w:val="22"/>
          <w:lang w:val="lt-LT"/>
        </w:rPr>
        <w:t>astatų fondo pastatai, neprijungti prie CŠT, atsisakytų individualių gamybos šaltinių, naudojančių iškastinį kurą.</w:t>
      </w:r>
    </w:p>
    <w:p w14:paraId="6E52DA96" w14:textId="77777777" w:rsidR="004108BA" w:rsidRPr="00650EE4" w:rsidRDefault="004108BA" w:rsidP="0019694C">
      <w:pPr>
        <w:jc w:val="both"/>
        <w:rPr>
          <w:rFonts w:ascii="Times New Roman" w:hAnsi="Times New Roman"/>
          <w:color w:val="auto"/>
          <w:szCs w:val="22"/>
        </w:rPr>
      </w:pPr>
    </w:p>
    <w:p w14:paraId="611E30B1" w14:textId="3DB7E7E9" w:rsidR="006F76D3" w:rsidRPr="00650EE4" w:rsidRDefault="00F15A21" w:rsidP="0019694C">
      <w:pPr>
        <w:jc w:val="both"/>
        <w:rPr>
          <w:rFonts w:ascii="Times New Roman" w:hAnsi="Times New Roman"/>
          <w:color w:val="auto"/>
          <w:szCs w:val="22"/>
        </w:rPr>
      </w:pPr>
      <w:r w:rsidRPr="00650EE4">
        <w:rPr>
          <w:rFonts w:ascii="Times New Roman" w:hAnsi="Times New Roman"/>
          <w:color w:val="auto"/>
          <w:szCs w:val="22"/>
        </w:rPr>
        <w:t>Vadovaujantis</w:t>
      </w:r>
      <w:r w:rsidR="001727DF" w:rsidRPr="00650EE4">
        <w:rPr>
          <w:rFonts w:ascii="Times New Roman" w:hAnsi="Times New Roman"/>
          <w:color w:val="auto"/>
          <w:szCs w:val="22"/>
        </w:rPr>
        <w:t xml:space="preserve"> Rekomendacijomis, CO</w:t>
      </w:r>
      <w:r w:rsidR="001727DF" w:rsidRPr="00650EE4">
        <w:rPr>
          <w:rFonts w:ascii="Times New Roman" w:hAnsi="Times New Roman"/>
          <w:color w:val="auto"/>
          <w:szCs w:val="22"/>
          <w:vertAlign w:val="subscript"/>
        </w:rPr>
        <w:t>2</w:t>
      </w:r>
      <w:r w:rsidR="001727DF" w:rsidRPr="00650EE4">
        <w:rPr>
          <w:rFonts w:ascii="Times New Roman" w:hAnsi="Times New Roman"/>
          <w:color w:val="auto"/>
          <w:szCs w:val="22"/>
        </w:rPr>
        <w:t xml:space="preserve"> sutaupymų vertė įvertinta remiantis Europos komisijos skelbiamomis anglies dioksido apyvartinių taršos leidimų kainos prognoze, veiksmingos technologijos (bendri veiksmai, mažos iškastinio kuro kainos) scenarijumi, kuriuo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001727DF" w:rsidRPr="00650EE4">
        <w:rPr>
          <w:rFonts w:ascii="Times New Roman" w:hAnsi="Times New Roman"/>
          <w:color w:val="auto"/>
          <w:szCs w:val="22"/>
        </w:rPr>
        <w:t xml:space="preserve">kaina didėtų nuo 25 </w:t>
      </w:r>
      <w:proofErr w:type="spellStart"/>
      <w:r w:rsidR="003719EC" w:rsidRPr="00650EE4">
        <w:rPr>
          <w:rFonts w:ascii="Times New Roman" w:hAnsi="Times New Roman"/>
          <w:color w:val="auto"/>
          <w:szCs w:val="22"/>
        </w:rPr>
        <w:t>Eur</w:t>
      </w:r>
      <w:proofErr w:type="spellEnd"/>
      <w:r w:rsidR="004108BA" w:rsidRPr="00650EE4">
        <w:rPr>
          <w:rFonts w:ascii="Times New Roman" w:hAnsi="Times New Roman"/>
          <w:color w:val="auto"/>
          <w:szCs w:val="22"/>
        </w:rPr>
        <w:t xml:space="preserve">/t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004108BA" w:rsidRPr="00650EE4">
        <w:rPr>
          <w:rFonts w:ascii="Times New Roman" w:hAnsi="Times New Roman"/>
          <w:color w:val="auto"/>
          <w:szCs w:val="22"/>
        </w:rPr>
        <w:t>emisijų 2020 metais</w:t>
      </w:r>
      <w:r w:rsidR="001727DF" w:rsidRPr="00650EE4">
        <w:rPr>
          <w:rFonts w:ascii="Times New Roman" w:hAnsi="Times New Roman"/>
          <w:color w:val="auto"/>
          <w:szCs w:val="22"/>
        </w:rPr>
        <w:t xml:space="preserve"> iki 147 </w:t>
      </w:r>
      <w:proofErr w:type="spellStart"/>
      <w:r w:rsidR="001727DF" w:rsidRPr="00650EE4">
        <w:rPr>
          <w:rFonts w:ascii="Times New Roman" w:hAnsi="Times New Roman"/>
          <w:color w:val="auto"/>
          <w:szCs w:val="22"/>
        </w:rPr>
        <w:t>Eur</w:t>
      </w:r>
      <w:proofErr w:type="spellEnd"/>
      <w:r w:rsidR="001727DF" w:rsidRPr="00650EE4">
        <w:rPr>
          <w:rFonts w:ascii="Times New Roman" w:hAnsi="Times New Roman"/>
          <w:color w:val="auto"/>
          <w:szCs w:val="22"/>
        </w:rPr>
        <w:t xml:space="preserve">/t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001727DF" w:rsidRPr="00650EE4">
        <w:rPr>
          <w:rFonts w:ascii="Times New Roman" w:hAnsi="Times New Roman"/>
          <w:color w:val="auto"/>
          <w:szCs w:val="22"/>
        </w:rPr>
        <w:t>emisijų</w:t>
      </w:r>
      <w:r w:rsidR="004108BA" w:rsidRPr="00650EE4">
        <w:rPr>
          <w:rFonts w:ascii="Times New Roman" w:hAnsi="Times New Roman"/>
          <w:color w:val="auto"/>
          <w:szCs w:val="22"/>
        </w:rPr>
        <w:t xml:space="preserve"> 2050 met</w:t>
      </w:r>
      <w:r w:rsidR="001727DF" w:rsidRPr="00650EE4">
        <w:rPr>
          <w:rFonts w:ascii="Times New Roman" w:hAnsi="Times New Roman"/>
          <w:color w:val="auto"/>
          <w:szCs w:val="22"/>
        </w:rPr>
        <w:t>ais</w:t>
      </w:r>
      <w:r w:rsidR="004108BA" w:rsidRPr="00650EE4">
        <w:rPr>
          <w:rFonts w:ascii="Times New Roman" w:hAnsi="Times New Roman"/>
          <w:color w:val="auto"/>
          <w:szCs w:val="22"/>
        </w:rPr>
        <w:t>.</w:t>
      </w:r>
    </w:p>
    <w:p w14:paraId="2C8CD230" w14:textId="40A74332" w:rsidR="006F76D3" w:rsidRPr="00650EE4" w:rsidRDefault="006F76D3" w:rsidP="0019694C">
      <w:pPr>
        <w:jc w:val="both"/>
        <w:rPr>
          <w:rFonts w:ascii="Times New Roman" w:hAnsi="Times New Roman"/>
          <w:color w:val="auto"/>
          <w:szCs w:val="22"/>
        </w:rPr>
      </w:pPr>
    </w:p>
    <w:p w14:paraId="6BC9B6CB" w14:textId="254D27CD" w:rsidR="00AB4B09" w:rsidRPr="00650EE4" w:rsidRDefault="00AB4B09" w:rsidP="0019694C">
      <w:pPr>
        <w:jc w:val="both"/>
        <w:rPr>
          <w:rFonts w:ascii="Times New Roman" w:hAnsi="Times New Roman"/>
          <w:color w:val="auto"/>
          <w:szCs w:val="22"/>
        </w:rPr>
      </w:pPr>
      <w:r w:rsidRPr="00650EE4">
        <w:rPr>
          <w:rFonts w:ascii="Times New Roman" w:hAnsi="Times New Roman"/>
          <w:szCs w:val="22"/>
        </w:rPr>
        <w:t xml:space="preserve">Rezultate apskaičiuota, kad per IRS įgyvendinimo laikotarpį dėl sumažėjusių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Pr="00650EE4">
        <w:rPr>
          <w:rFonts w:ascii="Times New Roman" w:hAnsi="Times New Roman"/>
          <w:szCs w:val="22"/>
        </w:rPr>
        <w:t xml:space="preserve">emisijų, būtų patiriama bent </w:t>
      </w:r>
      <w:r w:rsidR="00175A5A">
        <w:rPr>
          <w:rFonts w:ascii="Times New Roman" w:hAnsi="Times New Roman"/>
          <w:szCs w:val="22"/>
        </w:rPr>
        <w:t>4,5</w:t>
      </w:r>
      <w:r w:rsidRPr="00650EE4">
        <w:rPr>
          <w:rFonts w:ascii="Times New Roman" w:hAnsi="Times New Roman"/>
          <w:szCs w:val="22"/>
        </w:rPr>
        <w:t xml:space="preserve"> mlrd. </w:t>
      </w:r>
      <w:proofErr w:type="spellStart"/>
      <w:r w:rsidRPr="00650EE4">
        <w:rPr>
          <w:rFonts w:ascii="Times New Roman" w:hAnsi="Times New Roman"/>
          <w:szCs w:val="22"/>
        </w:rPr>
        <w:t>Eur</w:t>
      </w:r>
      <w:proofErr w:type="spellEnd"/>
      <w:r w:rsidRPr="00650EE4">
        <w:rPr>
          <w:rFonts w:ascii="Times New Roman" w:hAnsi="Times New Roman"/>
          <w:szCs w:val="22"/>
        </w:rPr>
        <w:t xml:space="preserve"> nauda</w:t>
      </w:r>
      <w:r w:rsidR="00235869">
        <w:rPr>
          <w:rFonts w:ascii="Times New Roman" w:hAnsi="Times New Roman"/>
          <w:szCs w:val="22"/>
        </w:rPr>
        <w:t>.</w:t>
      </w:r>
    </w:p>
    <w:p w14:paraId="4C635803" w14:textId="1A345B69" w:rsidR="001E3A37" w:rsidRPr="00650EE4" w:rsidRDefault="001E3A37" w:rsidP="000F7355">
      <w:pPr>
        <w:spacing w:after="120"/>
        <w:rPr>
          <w:rFonts w:ascii="Times New Roman" w:hAnsi="Times New Roman"/>
          <w:color w:val="auto"/>
          <w:szCs w:val="22"/>
        </w:rPr>
      </w:pPr>
    </w:p>
    <w:p w14:paraId="4DD878F0" w14:textId="4DD27F50" w:rsidR="001E3A37" w:rsidRPr="00650EE4" w:rsidRDefault="00644AC2" w:rsidP="000F7355">
      <w:pPr>
        <w:spacing w:after="120"/>
        <w:jc w:val="both"/>
        <w:rPr>
          <w:rFonts w:ascii="Times New Roman" w:hAnsi="Times New Roman"/>
          <w:b/>
          <w:bCs/>
          <w:szCs w:val="24"/>
        </w:rPr>
      </w:pPr>
      <w:r w:rsidRPr="00650EE4">
        <w:rPr>
          <w:rFonts w:ascii="Times New Roman" w:hAnsi="Times New Roman"/>
          <w:b/>
          <w:bCs/>
          <w:szCs w:val="24"/>
        </w:rPr>
        <w:t>N</w:t>
      </w:r>
      <w:r w:rsidR="000F7355" w:rsidRPr="00650EE4">
        <w:rPr>
          <w:rFonts w:ascii="Times New Roman" w:hAnsi="Times New Roman"/>
          <w:b/>
          <w:bCs/>
          <w:szCs w:val="24"/>
        </w:rPr>
        <w:t>3</w:t>
      </w:r>
      <w:r w:rsidR="001E3A37" w:rsidRPr="00650EE4">
        <w:rPr>
          <w:rFonts w:ascii="Times New Roman" w:hAnsi="Times New Roman"/>
          <w:b/>
          <w:bCs/>
          <w:szCs w:val="24"/>
        </w:rPr>
        <w:t>. BVP padidėjimas</w:t>
      </w:r>
    </w:p>
    <w:p w14:paraId="4EC52DEE" w14:textId="77777777" w:rsidR="00DD52F8" w:rsidRPr="00650EE4" w:rsidRDefault="00DD52F8" w:rsidP="00DD52F8">
      <w:pPr>
        <w:spacing w:after="120"/>
        <w:jc w:val="both"/>
        <w:rPr>
          <w:rFonts w:ascii="Times New Roman" w:hAnsi="Times New Roman"/>
          <w:color w:val="auto"/>
          <w:szCs w:val="22"/>
        </w:rPr>
      </w:pPr>
      <w:r w:rsidRPr="00650EE4">
        <w:rPr>
          <w:rFonts w:ascii="Times New Roman" w:hAnsi="Times New Roman"/>
          <w:color w:val="auto"/>
          <w:szCs w:val="22"/>
        </w:rPr>
        <w:t xml:space="preserve">Nacionalinio pastatų fondo renovacija turi daugialypį poveikį šalies ekonomikai: </w:t>
      </w:r>
    </w:p>
    <w:p w14:paraId="7D7FEBD5" w14:textId="0A5D8BB2" w:rsidR="00DD52F8" w:rsidRPr="00650EE4" w:rsidRDefault="00395B24" w:rsidP="00BD4925">
      <w:pPr>
        <w:pStyle w:val="ListParagraph"/>
        <w:numPr>
          <w:ilvl w:val="0"/>
          <w:numId w:val="26"/>
        </w:numPr>
        <w:jc w:val="both"/>
        <w:rPr>
          <w:rFonts w:ascii="Times New Roman" w:hAnsi="Times New Roman"/>
          <w:color w:val="auto"/>
          <w:szCs w:val="22"/>
          <w:lang w:val="lt-LT"/>
        </w:rPr>
      </w:pPr>
      <w:r>
        <w:rPr>
          <w:rFonts w:ascii="Times New Roman" w:hAnsi="Times New Roman"/>
          <w:color w:val="auto"/>
          <w:szCs w:val="22"/>
          <w:lang w:val="lt-LT"/>
        </w:rPr>
        <w:lastRenderedPageBreak/>
        <w:t>d</w:t>
      </w:r>
      <w:r w:rsidR="00DD52F8" w:rsidRPr="00650EE4">
        <w:rPr>
          <w:rFonts w:ascii="Times New Roman" w:hAnsi="Times New Roman"/>
          <w:color w:val="auto"/>
          <w:szCs w:val="22"/>
          <w:lang w:val="lt-LT"/>
        </w:rPr>
        <w:t>ėl investicijų į pastatų renovaciją, išauga kiekis įsigyjamų medžiagų, reikalingų renovacijai. Poveikis ekonomikai priklauso nuo pasirinkto renovacijos priemonių rinkinio, priemonių sudėtingumo, automatizacijos galimybių ir v</w:t>
      </w:r>
      <w:r>
        <w:rPr>
          <w:rFonts w:ascii="Times New Roman" w:hAnsi="Times New Roman"/>
          <w:color w:val="auto"/>
          <w:szCs w:val="22"/>
          <w:lang w:val="lt-LT"/>
        </w:rPr>
        <w:t>ietinės produkcijos prieinamumo;</w:t>
      </w:r>
    </w:p>
    <w:p w14:paraId="2F874B8E" w14:textId="77AAE760" w:rsidR="00DD52F8" w:rsidRPr="00650EE4" w:rsidRDefault="00395B24" w:rsidP="00BD4925">
      <w:pPr>
        <w:pStyle w:val="ListParagraph"/>
        <w:numPr>
          <w:ilvl w:val="0"/>
          <w:numId w:val="26"/>
        </w:numPr>
        <w:jc w:val="both"/>
        <w:rPr>
          <w:rFonts w:ascii="Times New Roman" w:hAnsi="Times New Roman"/>
          <w:color w:val="auto"/>
          <w:szCs w:val="22"/>
          <w:lang w:val="lt-LT"/>
        </w:rPr>
      </w:pPr>
      <w:r>
        <w:rPr>
          <w:rFonts w:ascii="Times New Roman" w:hAnsi="Times New Roman"/>
          <w:color w:val="auto"/>
          <w:szCs w:val="22"/>
          <w:lang w:val="lt-LT"/>
        </w:rPr>
        <w:t>r</w:t>
      </w:r>
      <w:r w:rsidR="00DD52F8" w:rsidRPr="00650EE4">
        <w:rPr>
          <w:rFonts w:ascii="Times New Roman" w:hAnsi="Times New Roman"/>
          <w:color w:val="auto"/>
          <w:szCs w:val="22"/>
          <w:lang w:val="lt-LT"/>
        </w:rPr>
        <w:t>enovacija tiesiogiai ir netiesiogiai didina vietinių gyventojų užimtumą. Vertinama, kad 1 mln. Eurų investicija per metus sukuria nuo 19 iki 37 darbo vietų</w:t>
      </w:r>
      <w:r w:rsidR="000B4447" w:rsidRPr="00650EE4">
        <w:rPr>
          <w:rStyle w:val="FootnoteReference"/>
          <w:rFonts w:ascii="Times New Roman" w:hAnsi="Times New Roman"/>
          <w:color w:val="auto"/>
          <w:szCs w:val="22"/>
          <w:lang w:val="lt-LT"/>
        </w:rPr>
        <w:footnoteReference w:id="45"/>
      </w:r>
      <w:r w:rsidR="00DD52F8" w:rsidRPr="00650EE4">
        <w:rPr>
          <w:rFonts w:ascii="Times New Roman" w:hAnsi="Times New Roman"/>
          <w:color w:val="auto"/>
          <w:szCs w:val="22"/>
          <w:lang w:val="lt-LT"/>
        </w:rPr>
        <w:t>. Darbo vietų kiekis priklauso nuo pasirinkto renovacijos priemonių rinkinio, priemonių sudėtingu</w:t>
      </w:r>
      <w:r>
        <w:rPr>
          <w:rFonts w:ascii="Times New Roman" w:hAnsi="Times New Roman"/>
          <w:color w:val="auto"/>
          <w:szCs w:val="22"/>
          <w:lang w:val="lt-LT"/>
        </w:rPr>
        <w:t>mo ir automatizacijos galimybių;</w:t>
      </w:r>
    </w:p>
    <w:p w14:paraId="746A661E" w14:textId="7F52684D" w:rsidR="00DD52F8" w:rsidRPr="00650EE4" w:rsidRDefault="00395B24" w:rsidP="00BD4925">
      <w:pPr>
        <w:pStyle w:val="ListParagraph"/>
        <w:numPr>
          <w:ilvl w:val="0"/>
          <w:numId w:val="26"/>
        </w:numPr>
        <w:jc w:val="both"/>
        <w:rPr>
          <w:rFonts w:ascii="Times New Roman" w:hAnsi="Times New Roman"/>
          <w:color w:val="auto"/>
          <w:szCs w:val="22"/>
          <w:lang w:val="lt-LT"/>
        </w:rPr>
      </w:pPr>
      <w:r>
        <w:rPr>
          <w:rFonts w:ascii="Times New Roman" w:hAnsi="Times New Roman"/>
          <w:color w:val="auto"/>
          <w:szCs w:val="22"/>
          <w:lang w:val="lt-LT"/>
        </w:rPr>
        <w:t>r</w:t>
      </w:r>
      <w:r w:rsidR="00C143BB" w:rsidRPr="00650EE4">
        <w:rPr>
          <w:rFonts w:ascii="Times New Roman" w:hAnsi="Times New Roman"/>
          <w:color w:val="auto"/>
          <w:szCs w:val="22"/>
          <w:lang w:val="lt-LT"/>
        </w:rPr>
        <w:t xml:space="preserve">enovacija </w:t>
      </w:r>
      <w:r w:rsidR="00DD52F8" w:rsidRPr="00650EE4">
        <w:rPr>
          <w:rFonts w:ascii="Times New Roman" w:hAnsi="Times New Roman"/>
          <w:color w:val="auto"/>
          <w:szCs w:val="22"/>
          <w:lang w:val="lt-LT"/>
        </w:rPr>
        <w:t>mažina energetinių išteklių importą, t.y. prekybos deficitą. Dujos išlieka svarbus energijos šaltinis pastatų ūkių šildymui. O naftos kilmės skystas kuras išlieka svarbus medienos kilmės kuro surinkimui ir logistikoje. Atitinkamai, didinamas pastatų energinis efektyvumas mažina užsienio produkcijos importą, prekybos deficitą ir prisideda prie vietinės ekonomikos augimo bei didesnio energetinio saugumo, ypač šalčių metu, kai dėl išaugusio šilumos poveikio įjungiami rezerviniai CŠT šilumos gamybos pajėgumai.</w:t>
      </w:r>
    </w:p>
    <w:p w14:paraId="30DC7D71" w14:textId="77777777" w:rsidR="00DD52F8" w:rsidRPr="00650EE4" w:rsidRDefault="00DD52F8" w:rsidP="00DD52F8">
      <w:pPr>
        <w:jc w:val="both"/>
        <w:rPr>
          <w:rFonts w:ascii="Times New Roman" w:hAnsi="Times New Roman"/>
          <w:color w:val="auto"/>
          <w:szCs w:val="22"/>
        </w:rPr>
      </w:pPr>
    </w:p>
    <w:p w14:paraId="15C52B4D" w14:textId="257F2453" w:rsidR="00DD52F8" w:rsidRPr="00650EE4" w:rsidRDefault="00DD52F8" w:rsidP="00DD52F8">
      <w:pPr>
        <w:pStyle w:val="Pagrindinispaprastastekstas"/>
        <w:rPr>
          <w:rFonts w:ascii="Times New Roman" w:hAnsi="Times New Roman"/>
          <w:szCs w:val="22"/>
        </w:rPr>
      </w:pPr>
      <w:r w:rsidRPr="00650EE4">
        <w:rPr>
          <w:rFonts w:ascii="Times New Roman" w:hAnsi="Times New Roman"/>
          <w:szCs w:val="22"/>
        </w:rPr>
        <w:t xml:space="preserve">Remiantis </w:t>
      </w:r>
      <w:r w:rsidR="00235869">
        <w:rPr>
          <w:rFonts w:ascii="Times New Roman" w:hAnsi="Times New Roman"/>
          <w:szCs w:val="22"/>
        </w:rPr>
        <w:t>„</w:t>
      </w:r>
      <w:proofErr w:type="spellStart"/>
      <w:r w:rsidRPr="00650EE4">
        <w:rPr>
          <w:rFonts w:ascii="Times New Roman" w:hAnsi="Times New Roman"/>
          <w:szCs w:val="22"/>
        </w:rPr>
        <w:t>Copenhagen</w:t>
      </w:r>
      <w:proofErr w:type="spellEnd"/>
      <w:r w:rsidRPr="00650EE4">
        <w:rPr>
          <w:rFonts w:ascii="Times New Roman" w:hAnsi="Times New Roman"/>
          <w:szCs w:val="22"/>
        </w:rPr>
        <w:t xml:space="preserve"> </w:t>
      </w:r>
      <w:proofErr w:type="spellStart"/>
      <w:r w:rsidRPr="00650EE4">
        <w:rPr>
          <w:rFonts w:ascii="Times New Roman" w:hAnsi="Times New Roman"/>
          <w:szCs w:val="22"/>
        </w:rPr>
        <w:t>Economics</w:t>
      </w:r>
      <w:proofErr w:type="spellEnd"/>
      <w:r w:rsidR="00235869">
        <w:rPr>
          <w:rFonts w:ascii="Times New Roman" w:hAnsi="Times New Roman"/>
          <w:szCs w:val="22"/>
        </w:rPr>
        <w:t>“</w:t>
      </w:r>
      <w:r w:rsidRPr="00650EE4">
        <w:rPr>
          <w:rFonts w:ascii="Times New Roman" w:hAnsi="Times New Roman"/>
          <w:szCs w:val="22"/>
        </w:rPr>
        <w:t xml:space="preserve"> atlikta studija</w:t>
      </w:r>
      <w:r w:rsidRPr="00650EE4">
        <w:rPr>
          <w:rStyle w:val="FootnoteReference"/>
          <w:rFonts w:ascii="Times New Roman" w:hAnsi="Times New Roman"/>
          <w:szCs w:val="22"/>
        </w:rPr>
        <w:footnoteReference w:id="46"/>
      </w:r>
      <w:r w:rsidR="007274E6" w:rsidRPr="00650EE4">
        <w:rPr>
          <w:rFonts w:ascii="Times New Roman" w:hAnsi="Times New Roman"/>
          <w:szCs w:val="22"/>
        </w:rPr>
        <w:t>,</w:t>
      </w:r>
      <w:r w:rsidRPr="00650EE4">
        <w:rPr>
          <w:rFonts w:ascii="Times New Roman" w:hAnsi="Times New Roman"/>
          <w:szCs w:val="22"/>
        </w:rPr>
        <w:t xml:space="preserve"> </w:t>
      </w:r>
      <w:r w:rsidR="007274E6" w:rsidRPr="00650EE4">
        <w:rPr>
          <w:rFonts w:ascii="Times New Roman" w:hAnsi="Times New Roman"/>
          <w:szCs w:val="22"/>
        </w:rPr>
        <w:t xml:space="preserve">vidutiniškai, ES šalyse, </w:t>
      </w:r>
      <w:r w:rsidRPr="00650EE4">
        <w:rPr>
          <w:rFonts w:ascii="Times New Roman" w:hAnsi="Times New Roman"/>
          <w:szCs w:val="22"/>
        </w:rPr>
        <w:t>1 mlrd. Eurų investicijos</w:t>
      </w:r>
      <w:r w:rsidR="007274E6" w:rsidRPr="00650EE4">
        <w:rPr>
          <w:rFonts w:ascii="Times New Roman" w:hAnsi="Times New Roman"/>
          <w:szCs w:val="22"/>
        </w:rPr>
        <w:t xml:space="preserve"> į renovaciją, šalies BVP</w:t>
      </w:r>
      <w:r w:rsidRPr="00650EE4">
        <w:rPr>
          <w:rFonts w:ascii="Times New Roman" w:hAnsi="Times New Roman"/>
          <w:szCs w:val="22"/>
        </w:rPr>
        <w:t xml:space="preserve"> </w:t>
      </w:r>
      <w:r w:rsidR="007274E6" w:rsidRPr="00650EE4">
        <w:rPr>
          <w:rFonts w:ascii="Times New Roman" w:hAnsi="Times New Roman"/>
          <w:szCs w:val="22"/>
        </w:rPr>
        <w:t>padidina 0,88-1,06</w:t>
      </w:r>
      <w:r w:rsidRPr="00650EE4">
        <w:rPr>
          <w:rFonts w:ascii="Times New Roman" w:hAnsi="Times New Roman"/>
          <w:szCs w:val="22"/>
        </w:rPr>
        <w:t xml:space="preserve"> mlrd</w:t>
      </w:r>
      <w:r w:rsidR="007274E6" w:rsidRPr="00650EE4">
        <w:rPr>
          <w:rFonts w:ascii="Times New Roman" w:hAnsi="Times New Roman"/>
          <w:szCs w:val="22"/>
        </w:rPr>
        <w:t xml:space="preserve">. Eurų. Specifiškai Lietuvos rinkai toks vertinimas nėra atliktas. </w:t>
      </w:r>
      <w:r w:rsidRPr="00650EE4">
        <w:rPr>
          <w:rFonts w:ascii="Times New Roman" w:hAnsi="Times New Roman"/>
          <w:szCs w:val="22"/>
        </w:rPr>
        <w:t>Remiantis konservatyvumo principu,</w:t>
      </w:r>
      <w:r w:rsidR="008D75B0" w:rsidRPr="00650EE4">
        <w:rPr>
          <w:rFonts w:ascii="Times New Roman" w:hAnsi="Times New Roman"/>
          <w:szCs w:val="22"/>
        </w:rPr>
        <w:t xml:space="preserve"> vertinama, kad 1 </w:t>
      </w:r>
      <w:proofErr w:type="spellStart"/>
      <w:r w:rsidR="008D75B0" w:rsidRPr="00650EE4">
        <w:rPr>
          <w:rFonts w:ascii="Times New Roman" w:hAnsi="Times New Roman"/>
          <w:szCs w:val="22"/>
        </w:rPr>
        <w:t>Eur</w:t>
      </w:r>
      <w:proofErr w:type="spellEnd"/>
      <w:r w:rsidR="008D75B0" w:rsidRPr="00650EE4">
        <w:rPr>
          <w:rFonts w:ascii="Times New Roman" w:hAnsi="Times New Roman"/>
          <w:szCs w:val="22"/>
        </w:rPr>
        <w:t xml:space="preserve"> investicija į renovaciją, šalies BVP padidins 0,5 </w:t>
      </w:r>
      <w:proofErr w:type="spellStart"/>
      <w:r w:rsidR="008D75B0" w:rsidRPr="00650EE4">
        <w:rPr>
          <w:rFonts w:ascii="Times New Roman" w:hAnsi="Times New Roman"/>
          <w:szCs w:val="22"/>
        </w:rPr>
        <w:t>Eur</w:t>
      </w:r>
      <w:proofErr w:type="spellEnd"/>
      <w:r w:rsidR="008D75B0" w:rsidRPr="00650EE4">
        <w:rPr>
          <w:rFonts w:ascii="Times New Roman" w:hAnsi="Times New Roman"/>
          <w:szCs w:val="22"/>
        </w:rPr>
        <w:t>.</w:t>
      </w:r>
    </w:p>
    <w:p w14:paraId="481AD4E1" w14:textId="77777777" w:rsidR="00DD52F8" w:rsidRPr="00650EE4" w:rsidRDefault="00DD52F8" w:rsidP="00DD52F8">
      <w:pPr>
        <w:jc w:val="both"/>
        <w:rPr>
          <w:rFonts w:ascii="Times New Roman" w:hAnsi="Times New Roman"/>
          <w:color w:val="auto"/>
          <w:szCs w:val="22"/>
        </w:rPr>
      </w:pPr>
    </w:p>
    <w:p w14:paraId="67768056" w14:textId="267AB941" w:rsidR="00051C38" w:rsidRPr="00650EE4" w:rsidRDefault="00051C38" w:rsidP="008D75B0">
      <w:pPr>
        <w:spacing w:before="120" w:after="120"/>
        <w:jc w:val="both"/>
        <w:rPr>
          <w:rFonts w:ascii="Times New Roman" w:hAnsi="Times New Roman"/>
          <w:b/>
          <w:bCs/>
          <w:szCs w:val="24"/>
        </w:rPr>
      </w:pPr>
      <w:bookmarkStart w:id="189" w:name="_Ref43212086"/>
      <w:r w:rsidRPr="00650EE4">
        <w:rPr>
          <w:rFonts w:ascii="Times New Roman" w:hAnsi="Times New Roman"/>
          <w:b/>
          <w:bCs/>
          <w:szCs w:val="24"/>
        </w:rPr>
        <w:t>N</w:t>
      </w:r>
      <w:r w:rsidR="000F7355" w:rsidRPr="00650EE4">
        <w:rPr>
          <w:rFonts w:ascii="Times New Roman" w:hAnsi="Times New Roman"/>
          <w:b/>
          <w:bCs/>
          <w:szCs w:val="24"/>
        </w:rPr>
        <w:t>4</w:t>
      </w:r>
      <w:r w:rsidRPr="00650EE4">
        <w:rPr>
          <w:rFonts w:ascii="Times New Roman" w:hAnsi="Times New Roman"/>
          <w:b/>
          <w:bCs/>
          <w:szCs w:val="24"/>
        </w:rPr>
        <w:t>. Geresnė gyventojų sveikata ir darbingumas</w:t>
      </w:r>
      <w:bookmarkEnd w:id="189"/>
    </w:p>
    <w:p w14:paraId="16B446EE" w14:textId="6967D1DA"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 xml:space="preserve">Geresnė šilumos izoliacija, efektyvesnės šildymo ir vėsinimo sistemos, geresnis patalpų apšvietimas ir geresnė </w:t>
      </w:r>
      <w:r w:rsidR="00294279" w:rsidRPr="00650EE4">
        <w:rPr>
          <w:rFonts w:ascii="Times New Roman" w:hAnsi="Times New Roman"/>
          <w:szCs w:val="22"/>
        </w:rPr>
        <w:t xml:space="preserve">vėdinimo sistema </w:t>
      </w:r>
      <w:r w:rsidRPr="00650EE4">
        <w:rPr>
          <w:rFonts w:ascii="Times New Roman" w:hAnsi="Times New Roman"/>
          <w:szCs w:val="22"/>
        </w:rPr>
        <w:t xml:space="preserve">teigiamai veikia sveikatą ir produktyvumą. Renovacija pašalina tokias problemas kaip nepakankama vidaus patalpų temperatūra, drėgmė, nepakankama oro kaita ir/ar nepakankamas apšvietimas. </w:t>
      </w:r>
    </w:p>
    <w:p w14:paraId="1D11CD37" w14:textId="77777777" w:rsidR="005E7B75" w:rsidRPr="00650EE4" w:rsidRDefault="005E7B75" w:rsidP="005E7B75">
      <w:pPr>
        <w:pStyle w:val="Pagrindinispaprastastekstas"/>
        <w:rPr>
          <w:rFonts w:ascii="Times New Roman" w:hAnsi="Times New Roman"/>
          <w:szCs w:val="22"/>
        </w:rPr>
      </w:pPr>
    </w:p>
    <w:p w14:paraId="4EFA65A9" w14:textId="25D3EAB3"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BPIE atliktoje studijoje</w:t>
      </w:r>
      <w:r w:rsidRPr="00650EE4">
        <w:rPr>
          <w:rStyle w:val="FootnoteReference"/>
          <w:rFonts w:ascii="Times New Roman" w:hAnsi="Times New Roman"/>
          <w:szCs w:val="22"/>
        </w:rPr>
        <w:footnoteReference w:id="47"/>
      </w:r>
      <w:r w:rsidRPr="00650EE4">
        <w:rPr>
          <w:rFonts w:ascii="Times New Roman" w:hAnsi="Times New Roman"/>
          <w:szCs w:val="22"/>
        </w:rPr>
        <w:t xml:space="preserve"> „Kaip integruoti patalpų aplinkos kokybę į nacionalines ilgalaikes renovacijos strategijas“ teigiama, kad daugybė mokslinių tyrimų rodo, kad patalpų aplinkos kokybė daro tiesioginį poveikį sveikatai, komfortui, gerovei ir produktyvumui. Tyrimai parodė, kad kvėpavimo takų ir kraujotakos </w:t>
      </w:r>
      <w:proofErr w:type="spellStart"/>
      <w:r w:rsidRPr="00650EE4">
        <w:rPr>
          <w:rFonts w:ascii="Times New Roman" w:hAnsi="Times New Roman"/>
          <w:szCs w:val="22"/>
        </w:rPr>
        <w:t>hospitalizacijų</w:t>
      </w:r>
      <w:proofErr w:type="spellEnd"/>
      <w:r w:rsidRPr="00650EE4">
        <w:rPr>
          <w:rFonts w:ascii="Times New Roman" w:hAnsi="Times New Roman"/>
          <w:szCs w:val="22"/>
        </w:rPr>
        <w:t xml:space="preserve"> skaičius sumažėjo apšiltinant namus, pagrinde dėl tinkamos vidaus temperatūros užtikrinimo. Šalti namai taip pat dažnai yra ir drėgni, dėl to gali augti pelėsiai, sukeliantys kvėpavimo takų ligas. Geresnis patalpų apšvietimas ir vėdinimas pagerina biurų </w:t>
      </w:r>
      <w:r w:rsidR="00294279" w:rsidRPr="00650EE4">
        <w:rPr>
          <w:rFonts w:ascii="Times New Roman" w:hAnsi="Times New Roman"/>
          <w:szCs w:val="22"/>
        </w:rPr>
        <w:t xml:space="preserve">ir mokslo </w:t>
      </w:r>
      <w:r w:rsidRPr="00650EE4">
        <w:rPr>
          <w:rFonts w:ascii="Times New Roman" w:hAnsi="Times New Roman"/>
          <w:szCs w:val="22"/>
        </w:rPr>
        <w:t>pastatų vidaus klimatą, o tai greičiausiai padidins produktyvumą</w:t>
      </w:r>
      <w:r w:rsidR="00294279" w:rsidRPr="00650EE4">
        <w:rPr>
          <w:rFonts w:ascii="Times New Roman" w:hAnsi="Times New Roman"/>
          <w:szCs w:val="22"/>
        </w:rPr>
        <w:t>, pagerinant</w:t>
      </w:r>
      <w:r w:rsidRPr="00650EE4">
        <w:rPr>
          <w:rFonts w:ascii="Times New Roman" w:hAnsi="Times New Roman"/>
          <w:szCs w:val="22"/>
        </w:rPr>
        <w:t xml:space="preserve"> moksleivių ir studentų </w:t>
      </w:r>
      <w:r w:rsidR="00294279" w:rsidRPr="00650EE4">
        <w:rPr>
          <w:rFonts w:ascii="Times New Roman" w:hAnsi="Times New Roman"/>
          <w:szCs w:val="22"/>
        </w:rPr>
        <w:t xml:space="preserve">darbo bei </w:t>
      </w:r>
      <w:r w:rsidRPr="00650EE4">
        <w:rPr>
          <w:rFonts w:ascii="Times New Roman" w:hAnsi="Times New Roman"/>
          <w:szCs w:val="22"/>
        </w:rPr>
        <w:t>mokymosi galimybes ir jų produktyvumą.</w:t>
      </w:r>
    </w:p>
    <w:p w14:paraId="771AE473" w14:textId="77777777" w:rsidR="005E7B75" w:rsidRPr="00650EE4" w:rsidRDefault="005E7B75" w:rsidP="005E7B75">
      <w:pPr>
        <w:pStyle w:val="Pagrindinispaprastastekstas"/>
        <w:rPr>
          <w:rFonts w:ascii="Times New Roman" w:hAnsi="Times New Roman"/>
          <w:szCs w:val="22"/>
        </w:rPr>
      </w:pPr>
    </w:p>
    <w:p w14:paraId="34875379" w14:textId="07FFE2C9" w:rsidR="005E7B75" w:rsidRPr="00650EE4" w:rsidRDefault="005E7B75" w:rsidP="005E7B75">
      <w:pPr>
        <w:pStyle w:val="Pagrindinispaprastastekstas"/>
        <w:spacing w:after="120"/>
        <w:rPr>
          <w:rFonts w:ascii="Times New Roman" w:hAnsi="Times New Roman"/>
          <w:szCs w:val="22"/>
        </w:rPr>
      </w:pPr>
      <w:r w:rsidRPr="00650EE4">
        <w:rPr>
          <w:rFonts w:ascii="Times New Roman" w:hAnsi="Times New Roman"/>
          <w:szCs w:val="22"/>
        </w:rPr>
        <w:t xml:space="preserve">Dauguma energijos vartojimo efektyvumo didinimo priemonių </w:t>
      </w:r>
      <w:r w:rsidR="00294279" w:rsidRPr="00650EE4">
        <w:rPr>
          <w:rFonts w:ascii="Times New Roman" w:hAnsi="Times New Roman"/>
          <w:szCs w:val="22"/>
        </w:rPr>
        <w:t>užtikrina reikiamą</w:t>
      </w:r>
      <w:r w:rsidRPr="00650EE4">
        <w:rPr>
          <w:rFonts w:ascii="Times New Roman" w:hAnsi="Times New Roman"/>
          <w:szCs w:val="22"/>
        </w:rPr>
        <w:t xml:space="preserve"> patalpų temperatūrą</w:t>
      </w:r>
      <w:r w:rsidR="00294279" w:rsidRPr="00650EE4">
        <w:rPr>
          <w:rFonts w:ascii="Times New Roman" w:hAnsi="Times New Roman"/>
          <w:szCs w:val="22"/>
        </w:rPr>
        <w:t xml:space="preserve"> pagal higienos normas</w:t>
      </w:r>
      <w:r w:rsidRPr="00650EE4">
        <w:rPr>
          <w:rFonts w:ascii="Times New Roman" w:hAnsi="Times New Roman"/>
          <w:szCs w:val="22"/>
        </w:rPr>
        <w:t>, o pasirinkus renovacijos priemones, kurios taip pat pagerina patalpų klimatą, naudos sveikatai galima gauti dėl:</w:t>
      </w:r>
    </w:p>
    <w:p w14:paraId="469A1F33"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mažesnio sergamumo;</w:t>
      </w:r>
    </w:p>
    <w:p w14:paraId="21ABC3FE"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mažesnio mirštamumo;</w:t>
      </w:r>
    </w:p>
    <w:p w14:paraId="558AA04B"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didesnio darbuotojų produktyvumo;</w:t>
      </w:r>
    </w:p>
    <w:p w14:paraId="42343FDA"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bendros gyvenimo kokybės pagerėjimo.</w:t>
      </w:r>
    </w:p>
    <w:p w14:paraId="69826988" w14:textId="77777777" w:rsidR="005E7B75" w:rsidRPr="00650EE4" w:rsidRDefault="005E7B75" w:rsidP="005E7B75">
      <w:pPr>
        <w:pStyle w:val="BodyText"/>
        <w:rPr>
          <w:rFonts w:ascii="Times New Roman" w:hAnsi="Times New Roman"/>
          <w:color w:val="auto"/>
          <w:szCs w:val="22"/>
          <w:lang w:val="lt-LT"/>
        </w:rPr>
      </w:pPr>
    </w:p>
    <w:p w14:paraId="4B17705B" w14:textId="53489A94" w:rsidR="005E7B75" w:rsidRPr="00650EE4" w:rsidRDefault="005E7B75" w:rsidP="005E7B75">
      <w:pPr>
        <w:pStyle w:val="BodyText"/>
        <w:spacing w:after="120"/>
        <w:rPr>
          <w:rFonts w:ascii="Times New Roman" w:hAnsi="Times New Roman"/>
          <w:color w:val="auto"/>
          <w:szCs w:val="22"/>
          <w:lang w:val="lt-LT"/>
        </w:rPr>
      </w:pPr>
      <w:r w:rsidRPr="00650EE4">
        <w:rPr>
          <w:rFonts w:ascii="Times New Roman" w:hAnsi="Times New Roman"/>
          <w:color w:val="auto"/>
          <w:szCs w:val="22"/>
          <w:lang w:val="lt-LT"/>
        </w:rPr>
        <w:t xml:space="preserve">Dėl geresnės gyventojų sveikatos taip pat gerėja </w:t>
      </w:r>
      <w:r w:rsidR="00235869">
        <w:rPr>
          <w:rFonts w:ascii="Times New Roman" w:hAnsi="Times New Roman"/>
          <w:color w:val="auto"/>
          <w:szCs w:val="22"/>
          <w:lang w:val="lt-LT"/>
        </w:rPr>
        <w:t>v</w:t>
      </w:r>
      <w:r w:rsidRPr="00650EE4">
        <w:rPr>
          <w:rFonts w:ascii="Times New Roman" w:hAnsi="Times New Roman"/>
          <w:color w:val="auto"/>
          <w:szCs w:val="22"/>
          <w:lang w:val="lt-LT"/>
        </w:rPr>
        <w:t>alstybės biudžeto balansas:</w:t>
      </w:r>
    </w:p>
    <w:p w14:paraId="5D3E26C1" w14:textId="235EFDCD" w:rsidR="005E7B75" w:rsidRPr="00650EE4" w:rsidRDefault="00235869" w:rsidP="003E08E8">
      <w:pPr>
        <w:pStyle w:val="BodyText"/>
        <w:numPr>
          <w:ilvl w:val="0"/>
          <w:numId w:val="14"/>
        </w:numPr>
        <w:rPr>
          <w:rFonts w:ascii="Times New Roman" w:hAnsi="Times New Roman"/>
          <w:color w:val="auto"/>
          <w:szCs w:val="22"/>
          <w:lang w:val="lt-LT"/>
        </w:rPr>
      </w:pPr>
      <w:r>
        <w:rPr>
          <w:rFonts w:ascii="Times New Roman" w:hAnsi="Times New Roman"/>
          <w:color w:val="auto"/>
          <w:szCs w:val="22"/>
          <w:lang w:val="lt-LT"/>
        </w:rPr>
        <w:t>v</w:t>
      </w:r>
      <w:r w:rsidR="005E7B75" w:rsidRPr="00650EE4">
        <w:rPr>
          <w:rFonts w:ascii="Times New Roman" w:hAnsi="Times New Roman"/>
          <w:color w:val="auto"/>
          <w:szCs w:val="22"/>
          <w:lang w:val="lt-LT"/>
        </w:rPr>
        <w:t>alstybės biudžeto išlaidos sumažės dėl mažesnių sveikatos priežiūros išlaidų</w:t>
      </w:r>
      <w:r>
        <w:rPr>
          <w:rFonts w:ascii="Times New Roman" w:hAnsi="Times New Roman"/>
          <w:color w:val="auto"/>
          <w:szCs w:val="22"/>
          <w:lang w:val="lt-LT"/>
        </w:rPr>
        <w:t>;</w:t>
      </w:r>
    </w:p>
    <w:p w14:paraId="34618FD5" w14:textId="0E3B79BE" w:rsidR="005E7B75" w:rsidRPr="00650EE4" w:rsidRDefault="00235869" w:rsidP="003E08E8">
      <w:pPr>
        <w:pStyle w:val="BodyText"/>
        <w:numPr>
          <w:ilvl w:val="0"/>
          <w:numId w:val="14"/>
        </w:numPr>
        <w:rPr>
          <w:rFonts w:ascii="Times New Roman" w:hAnsi="Times New Roman"/>
          <w:color w:val="auto"/>
          <w:szCs w:val="22"/>
          <w:lang w:val="lt-LT"/>
        </w:rPr>
      </w:pPr>
      <w:r>
        <w:rPr>
          <w:rFonts w:ascii="Times New Roman" w:hAnsi="Times New Roman"/>
          <w:color w:val="auto"/>
          <w:szCs w:val="22"/>
          <w:lang w:val="lt-LT"/>
        </w:rPr>
        <w:t>v</w:t>
      </w:r>
      <w:r w:rsidR="005E7B75" w:rsidRPr="00650EE4">
        <w:rPr>
          <w:rFonts w:ascii="Times New Roman" w:hAnsi="Times New Roman"/>
          <w:color w:val="auto"/>
          <w:szCs w:val="22"/>
          <w:lang w:val="lt-LT"/>
        </w:rPr>
        <w:t>alstybės biudžetas gali būti papildytas, nes darbuotojai mažiau sirgs ir daugiau dienų bus darbingi (mažesnės išlaidos kompensuojant prarastas pajamas ir didesnės įplaukos nuo darbo užmokesčio)</w:t>
      </w:r>
      <w:r>
        <w:rPr>
          <w:rFonts w:ascii="Times New Roman" w:hAnsi="Times New Roman"/>
          <w:color w:val="auto"/>
          <w:szCs w:val="22"/>
          <w:lang w:val="lt-LT"/>
        </w:rPr>
        <w:t>.</w:t>
      </w:r>
    </w:p>
    <w:p w14:paraId="1DD7B06E" w14:textId="77777777" w:rsidR="005E7B75" w:rsidRPr="00650EE4" w:rsidRDefault="005E7B75" w:rsidP="005E7B75">
      <w:pPr>
        <w:pStyle w:val="Pagrindinispaprastastekstas"/>
        <w:rPr>
          <w:rFonts w:ascii="Times New Roman" w:hAnsi="Times New Roman"/>
          <w:szCs w:val="22"/>
        </w:rPr>
      </w:pPr>
    </w:p>
    <w:p w14:paraId="76981B76" w14:textId="1ABA2074"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 xml:space="preserve">Projektai, kuriais siekiama pagerinti pastatų energetines charakteristikas, paprastai apima fasadų ir stogų </w:t>
      </w:r>
      <w:r w:rsidR="009501DA" w:rsidRPr="00650EE4">
        <w:rPr>
          <w:rFonts w:ascii="Times New Roman" w:hAnsi="Times New Roman"/>
          <w:szCs w:val="22"/>
        </w:rPr>
        <w:t>apšiltinimo</w:t>
      </w:r>
      <w:r w:rsidRPr="00650EE4">
        <w:rPr>
          <w:rFonts w:ascii="Times New Roman" w:hAnsi="Times New Roman"/>
          <w:szCs w:val="22"/>
        </w:rPr>
        <w:t xml:space="preserve"> darbus, langų pakeitimą ir šildymo sistemų </w:t>
      </w:r>
      <w:r w:rsidR="009501DA" w:rsidRPr="00650EE4">
        <w:rPr>
          <w:rFonts w:ascii="Times New Roman" w:hAnsi="Times New Roman"/>
          <w:szCs w:val="22"/>
        </w:rPr>
        <w:t>atnaujinimą</w:t>
      </w:r>
      <w:r w:rsidRPr="00650EE4">
        <w:rPr>
          <w:rFonts w:ascii="Times New Roman" w:hAnsi="Times New Roman"/>
          <w:szCs w:val="22"/>
        </w:rPr>
        <w:t xml:space="preserve">. Jie gali sukelti dvejopą poveikį: pirma, vidaus temperatūros padidėjimą ir dėl to atsiradusį komforto padidėjimą ir, antra, energijos suvartojimo sąnaudų sumažėjimą. Lietuvoje įprastinė temperatūra nerenovuotuose pastatuose šaltuoju metų laiku yra 18°C, kuri yra Lietuvos teisės aktų ir Pasaulio sveikatos organizacijos rekomenduotina minimali temperatūra, tačiau prastu </w:t>
      </w:r>
      <w:r w:rsidRPr="00650EE4">
        <w:rPr>
          <w:rFonts w:ascii="Times New Roman" w:hAnsi="Times New Roman"/>
          <w:szCs w:val="22"/>
        </w:rPr>
        <w:lastRenderedPageBreak/>
        <w:t xml:space="preserve">energetiniu efektyvumu pasižyminčiuose pastatuose ne visada gali pavykti užtikrinti tokią temperatūrą. Prastų energetinių charakteristikų patalpose aukštesnės temperatūros dažnai vengiama siekiant mažesnių sąskaitų už energiją. </w:t>
      </w:r>
    </w:p>
    <w:p w14:paraId="44628437" w14:textId="77777777" w:rsidR="005E7B75" w:rsidRPr="00650EE4" w:rsidRDefault="005E7B75" w:rsidP="005E7B75">
      <w:pPr>
        <w:pStyle w:val="Pagrindinispaprastastekstas"/>
        <w:rPr>
          <w:rFonts w:ascii="Times New Roman" w:hAnsi="Times New Roman"/>
          <w:szCs w:val="22"/>
        </w:rPr>
      </w:pPr>
    </w:p>
    <w:p w14:paraId="1276FFAF" w14:textId="7D3DA9B6"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Šiame kontekste renovacija, priklausomai nuo konkrečių intervencijų, gali sąlygoti ne tik energijos suvartojimo sąnaudų sumažėjimą, bet ir temperatūros patalpose, o kartu ir komforto, padidėjimą. Lietuvoje renovuotuose pastatuose paprastai palaikoma 20-22°C vidutinė oro temperatūra, jei pastatų gyventojams ar naudotojams nėra galimybės individualiai reguliuoti kiekvieno buto / patalpos temperatūros, ir 18–25°C, jei naudotojai gali laisvai reguliuoti patalpų temperatūrą</w:t>
      </w:r>
      <w:r w:rsidR="009F679E" w:rsidRPr="00650EE4">
        <w:rPr>
          <w:rFonts w:ascii="Times New Roman" w:hAnsi="Times New Roman"/>
          <w:szCs w:val="22"/>
        </w:rPr>
        <w:t>, atsižvelgiant į</w:t>
      </w:r>
      <w:r w:rsidRPr="00650EE4">
        <w:rPr>
          <w:rFonts w:ascii="Times New Roman" w:hAnsi="Times New Roman"/>
          <w:szCs w:val="22"/>
        </w:rPr>
        <w:t xml:space="preserve"> savo </w:t>
      </w:r>
      <w:r w:rsidR="009F679E" w:rsidRPr="00650EE4">
        <w:rPr>
          <w:rFonts w:ascii="Times New Roman" w:hAnsi="Times New Roman"/>
          <w:szCs w:val="22"/>
        </w:rPr>
        <w:t>norus, išorės lauko</w:t>
      </w:r>
      <w:r w:rsidRPr="00650EE4">
        <w:rPr>
          <w:rFonts w:ascii="Times New Roman" w:hAnsi="Times New Roman"/>
          <w:szCs w:val="22"/>
        </w:rPr>
        <w:t xml:space="preserve"> temperatūr</w:t>
      </w:r>
      <w:r w:rsidR="009F679E" w:rsidRPr="00650EE4">
        <w:rPr>
          <w:rFonts w:ascii="Times New Roman" w:hAnsi="Times New Roman"/>
          <w:szCs w:val="22"/>
        </w:rPr>
        <w:t>ą</w:t>
      </w:r>
      <w:r w:rsidRPr="00650EE4">
        <w:rPr>
          <w:rFonts w:ascii="Times New Roman" w:hAnsi="Times New Roman"/>
          <w:szCs w:val="22"/>
        </w:rPr>
        <w:t xml:space="preserve"> ir ekonom</w:t>
      </w:r>
      <w:r w:rsidR="009F679E" w:rsidRPr="00650EE4">
        <w:rPr>
          <w:rFonts w:ascii="Times New Roman" w:hAnsi="Times New Roman"/>
          <w:szCs w:val="22"/>
        </w:rPr>
        <w:t>es galimybes</w:t>
      </w:r>
      <w:r w:rsidRPr="00650EE4">
        <w:rPr>
          <w:rFonts w:ascii="Times New Roman" w:hAnsi="Times New Roman"/>
          <w:szCs w:val="22"/>
        </w:rPr>
        <w:t xml:space="preserve">. </w:t>
      </w:r>
    </w:p>
    <w:p w14:paraId="7A3B9DE9" w14:textId="77777777" w:rsidR="005E7B75" w:rsidRPr="00650EE4" w:rsidRDefault="005E7B75" w:rsidP="005E7B75">
      <w:pPr>
        <w:pStyle w:val="Pagrindinispaprastastekstas"/>
        <w:rPr>
          <w:rFonts w:ascii="Times New Roman" w:hAnsi="Times New Roman"/>
          <w:szCs w:val="22"/>
        </w:rPr>
      </w:pPr>
    </w:p>
    <w:p w14:paraId="5C25DC78" w14:textId="29F285F9"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 xml:space="preserve">Siekiant įvertinti renovacijos naudą dėl teigiamo poveikio sveikatai ir darbingumui, buvo remtasi </w:t>
      </w:r>
      <w:r w:rsidR="00235869">
        <w:rPr>
          <w:rFonts w:ascii="Times New Roman" w:hAnsi="Times New Roman"/>
          <w:szCs w:val="22"/>
        </w:rPr>
        <w:t>„</w:t>
      </w:r>
      <w:proofErr w:type="spellStart"/>
      <w:r w:rsidRPr="00650EE4">
        <w:rPr>
          <w:rFonts w:ascii="Times New Roman" w:hAnsi="Times New Roman"/>
          <w:szCs w:val="22"/>
        </w:rPr>
        <w:t>Copenhagen</w:t>
      </w:r>
      <w:proofErr w:type="spellEnd"/>
      <w:r w:rsidRPr="00650EE4">
        <w:rPr>
          <w:rFonts w:ascii="Times New Roman" w:hAnsi="Times New Roman"/>
          <w:szCs w:val="22"/>
        </w:rPr>
        <w:t xml:space="preserve"> </w:t>
      </w:r>
      <w:proofErr w:type="spellStart"/>
      <w:r w:rsidRPr="00650EE4">
        <w:rPr>
          <w:rFonts w:ascii="Times New Roman" w:hAnsi="Times New Roman"/>
          <w:szCs w:val="22"/>
        </w:rPr>
        <w:t>Economics</w:t>
      </w:r>
      <w:proofErr w:type="spellEnd"/>
      <w:r w:rsidR="00235869">
        <w:rPr>
          <w:rFonts w:ascii="Times New Roman" w:hAnsi="Times New Roman"/>
          <w:szCs w:val="22"/>
        </w:rPr>
        <w:t>“</w:t>
      </w:r>
      <w:r w:rsidRPr="00650EE4">
        <w:rPr>
          <w:rFonts w:ascii="Times New Roman" w:hAnsi="Times New Roman"/>
          <w:szCs w:val="22"/>
        </w:rPr>
        <w:t xml:space="preserve"> atlikta studija</w:t>
      </w:r>
      <w:r w:rsidRPr="00650EE4">
        <w:rPr>
          <w:rStyle w:val="FootnoteReference"/>
          <w:rFonts w:ascii="Times New Roman" w:hAnsi="Times New Roman"/>
          <w:szCs w:val="22"/>
        </w:rPr>
        <w:footnoteReference w:id="48"/>
      </w:r>
      <w:r w:rsidRPr="00650EE4">
        <w:rPr>
          <w:rFonts w:ascii="Times New Roman" w:hAnsi="Times New Roman"/>
          <w:szCs w:val="22"/>
        </w:rPr>
        <w:t xml:space="preserve"> „Daugialypiai investavimo į energiją taupančius pastatus atnaujinimo privalumai“. Šioje studijoje buvo įvertinta, kad vidutinė nauda sveikatai ir darbingumui siekia nuo 1,05 mlrd. Eurų iki 2,2 mlrd. Eurų per metus kiekvienam investuotam 1 mlrd. Eurų. Atsižvelgiant į mažesnes gyventojų pajamas Lietuvoje ir vadovaujantis konservatyvumo principu, daroma prielaida, kad šie koeficientai Lietuvoje bus 5 kartus mažesni ir sieks nuo 0,21 iki 0,44 mlrd. Eurų vienam milijardui eurų investicijų. Naudų vertinimui naudojamas šių reikšmių vidurkis – 0,325 </w:t>
      </w:r>
      <w:proofErr w:type="spellStart"/>
      <w:r w:rsidRPr="00650EE4">
        <w:rPr>
          <w:rFonts w:ascii="Times New Roman" w:hAnsi="Times New Roman"/>
          <w:szCs w:val="22"/>
        </w:rPr>
        <w:t>Eur</w:t>
      </w:r>
      <w:proofErr w:type="spellEnd"/>
      <w:r w:rsidRPr="00650EE4">
        <w:rPr>
          <w:rFonts w:ascii="Times New Roman" w:hAnsi="Times New Roman"/>
          <w:szCs w:val="22"/>
        </w:rPr>
        <w:t xml:space="preserve"> nauda vienam investuotam eurui.</w:t>
      </w:r>
    </w:p>
    <w:p w14:paraId="3387C5EE" w14:textId="77777777" w:rsidR="005E7B75" w:rsidRPr="00650EE4" w:rsidRDefault="005E7B75" w:rsidP="005E7B75">
      <w:pPr>
        <w:pStyle w:val="Pagrindinispaprastastekstas"/>
        <w:rPr>
          <w:rFonts w:ascii="Times New Roman" w:hAnsi="Times New Roman"/>
          <w:szCs w:val="22"/>
        </w:rPr>
      </w:pPr>
    </w:p>
    <w:p w14:paraId="7AC1093C" w14:textId="1A1CE791"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Atsižvelgiant į planuojamas IRS įgyvendinimo</w:t>
      </w:r>
      <w:r w:rsidR="008D75B0" w:rsidRPr="00650EE4">
        <w:rPr>
          <w:rFonts w:ascii="Times New Roman" w:hAnsi="Times New Roman"/>
          <w:szCs w:val="22"/>
        </w:rPr>
        <w:t xml:space="preserve"> investicijas</w:t>
      </w:r>
      <w:r w:rsidRPr="00650EE4">
        <w:rPr>
          <w:rFonts w:ascii="Times New Roman" w:hAnsi="Times New Roman"/>
          <w:szCs w:val="22"/>
        </w:rPr>
        <w:t xml:space="preserve">, vertinama, kad socialinė nauda dėl geresnės gyventojų </w:t>
      </w:r>
      <w:r w:rsidR="008D75B0" w:rsidRPr="00650EE4">
        <w:rPr>
          <w:rFonts w:ascii="Times New Roman" w:hAnsi="Times New Roman"/>
          <w:szCs w:val="22"/>
        </w:rPr>
        <w:t>sveikatos ir darbingumo sieks 1</w:t>
      </w:r>
      <w:r w:rsidR="00175A5A">
        <w:rPr>
          <w:rFonts w:ascii="Times New Roman" w:hAnsi="Times New Roman"/>
          <w:szCs w:val="22"/>
        </w:rPr>
        <w:t>9</w:t>
      </w:r>
      <w:r w:rsidR="008D75B0" w:rsidRPr="00650EE4">
        <w:rPr>
          <w:rFonts w:ascii="Times New Roman" w:hAnsi="Times New Roman"/>
          <w:szCs w:val="22"/>
        </w:rPr>
        <w:t>,</w:t>
      </w:r>
      <w:r w:rsidR="00175A5A">
        <w:rPr>
          <w:rFonts w:ascii="Times New Roman" w:hAnsi="Times New Roman"/>
          <w:szCs w:val="22"/>
        </w:rPr>
        <w:t>5</w:t>
      </w:r>
      <w:r w:rsidRPr="00650EE4">
        <w:rPr>
          <w:rFonts w:ascii="Times New Roman" w:hAnsi="Times New Roman"/>
          <w:szCs w:val="22"/>
        </w:rPr>
        <w:t xml:space="preserve"> mlrd. </w:t>
      </w:r>
      <w:proofErr w:type="spellStart"/>
      <w:r w:rsidRPr="00650EE4">
        <w:rPr>
          <w:rFonts w:ascii="Times New Roman" w:hAnsi="Times New Roman"/>
          <w:szCs w:val="22"/>
        </w:rPr>
        <w:t>Eur</w:t>
      </w:r>
      <w:proofErr w:type="spellEnd"/>
      <w:r w:rsidR="008D75B0" w:rsidRPr="00650EE4">
        <w:rPr>
          <w:rFonts w:ascii="Times New Roman" w:hAnsi="Times New Roman"/>
          <w:szCs w:val="22"/>
        </w:rPr>
        <w:t>, per 2021-2050 m. laikotarpį.</w:t>
      </w:r>
    </w:p>
    <w:p w14:paraId="1584C3C6" w14:textId="5E72C0DD" w:rsidR="006A2623" w:rsidRPr="00650EE4" w:rsidRDefault="006A2623" w:rsidP="000F7355">
      <w:pPr>
        <w:spacing w:after="120"/>
        <w:rPr>
          <w:rFonts w:ascii="Times New Roman" w:hAnsi="Times New Roman"/>
          <w:color w:val="auto"/>
          <w:szCs w:val="22"/>
        </w:rPr>
      </w:pPr>
    </w:p>
    <w:p w14:paraId="730871E8" w14:textId="2FF81D34" w:rsidR="006A2623" w:rsidRPr="00650EE4" w:rsidRDefault="000F7355" w:rsidP="000F7355">
      <w:pPr>
        <w:spacing w:after="120"/>
        <w:jc w:val="both"/>
        <w:rPr>
          <w:rFonts w:ascii="Times New Roman" w:hAnsi="Times New Roman"/>
          <w:b/>
          <w:bCs/>
          <w:szCs w:val="24"/>
        </w:rPr>
      </w:pPr>
      <w:r w:rsidRPr="00650EE4">
        <w:rPr>
          <w:rFonts w:ascii="Times New Roman" w:hAnsi="Times New Roman"/>
          <w:b/>
          <w:bCs/>
          <w:szCs w:val="24"/>
        </w:rPr>
        <w:t>N5</w:t>
      </w:r>
      <w:r w:rsidR="006A2623" w:rsidRPr="00650EE4">
        <w:rPr>
          <w:rFonts w:ascii="Times New Roman" w:hAnsi="Times New Roman"/>
          <w:b/>
          <w:bCs/>
          <w:szCs w:val="24"/>
        </w:rPr>
        <w:t>. Gyvenamojo NT vertės augimas</w:t>
      </w:r>
    </w:p>
    <w:p w14:paraId="5E90F396" w14:textId="1B8CF60C" w:rsidR="00F36EC7" w:rsidRPr="00650EE4" w:rsidRDefault="00F36EC7" w:rsidP="00F36EC7">
      <w:pPr>
        <w:pStyle w:val="Pagrindinispaprastastekstas"/>
        <w:rPr>
          <w:rFonts w:ascii="Times New Roman" w:hAnsi="Times New Roman"/>
          <w:szCs w:val="22"/>
        </w:rPr>
      </w:pPr>
      <w:r w:rsidRPr="00650EE4">
        <w:rPr>
          <w:rFonts w:ascii="Times New Roman" w:hAnsi="Times New Roman"/>
          <w:szCs w:val="22"/>
        </w:rPr>
        <w:t xml:space="preserve">Remiantis </w:t>
      </w:r>
      <w:proofErr w:type="spellStart"/>
      <w:r w:rsidRPr="00650EE4">
        <w:rPr>
          <w:rFonts w:ascii="Times New Roman" w:hAnsi="Times New Roman"/>
          <w:szCs w:val="22"/>
        </w:rPr>
        <w:t>Ober-haus</w:t>
      </w:r>
      <w:proofErr w:type="spellEnd"/>
      <w:r w:rsidRPr="00650EE4">
        <w:rPr>
          <w:rFonts w:ascii="Times New Roman" w:hAnsi="Times New Roman"/>
          <w:szCs w:val="22"/>
        </w:rPr>
        <w:t xml:space="preserve"> nekilnojamojo turto kainų statistika</w:t>
      </w:r>
      <w:r w:rsidRPr="00650EE4">
        <w:rPr>
          <w:rStyle w:val="FootnoteReference"/>
          <w:rFonts w:ascii="Times New Roman" w:hAnsi="Times New Roman"/>
          <w:szCs w:val="22"/>
        </w:rPr>
        <w:footnoteReference w:id="49"/>
      </w:r>
      <w:r w:rsidRPr="00650EE4">
        <w:rPr>
          <w:rFonts w:ascii="Times New Roman" w:hAnsi="Times New Roman"/>
          <w:szCs w:val="22"/>
        </w:rPr>
        <w:t xml:space="preserve">, gyventojai yra linkę mokėti nuo 10 proc. iki 33 proc. brangiau už </w:t>
      </w:r>
      <w:r w:rsidR="008D75B0" w:rsidRPr="00650EE4">
        <w:rPr>
          <w:rFonts w:ascii="Times New Roman" w:hAnsi="Times New Roman"/>
          <w:szCs w:val="22"/>
        </w:rPr>
        <w:t>butą renovuotame name</w:t>
      </w:r>
      <w:r w:rsidRPr="00650EE4">
        <w:rPr>
          <w:rFonts w:ascii="Times New Roman" w:hAnsi="Times New Roman"/>
          <w:szCs w:val="22"/>
        </w:rPr>
        <w:t>. Apibendrinant BETA atliekamų gyventojų nuomonės tyrimų</w:t>
      </w:r>
      <w:r w:rsidRPr="00650EE4">
        <w:rPr>
          <w:rStyle w:val="FootnoteReference"/>
          <w:rFonts w:ascii="Times New Roman" w:hAnsi="Times New Roman"/>
          <w:szCs w:val="22"/>
        </w:rPr>
        <w:footnoteReference w:id="50"/>
      </w:r>
      <w:r w:rsidRPr="00650EE4">
        <w:rPr>
          <w:rFonts w:ascii="Times New Roman" w:hAnsi="Times New Roman"/>
          <w:szCs w:val="22"/>
        </w:rPr>
        <w:t xml:space="preserve"> rezultatus galima teigti, kad be tokių priežasčių kaip mažesnės šildymo sąnaudos ir estetiškai geresnis vaizdas, už renovuotą gyvenamąjį NT </w:t>
      </w:r>
      <w:r w:rsidR="00F50547" w:rsidRPr="00650EE4">
        <w:rPr>
          <w:rFonts w:ascii="Times New Roman" w:hAnsi="Times New Roman"/>
          <w:szCs w:val="22"/>
        </w:rPr>
        <w:t xml:space="preserve">pirkėjai yra pasiruošę mokėti brangiau, nes </w:t>
      </w:r>
      <w:r w:rsidRPr="00650EE4">
        <w:rPr>
          <w:rFonts w:ascii="Times New Roman" w:hAnsi="Times New Roman"/>
          <w:szCs w:val="22"/>
        </w:rPr>
        <w:t>mano, kad nerenovuotam</w:t>
      </w:r>
      <w:r w:rsidR="00F50547" w:rsidRPr="00650EE4">
        <w:rPr>
          <w:rFonts w:ascii="Times New Roman" w:hAnsi="Times New Roman"/>
          <w:szCs w:val="22"/>
        </w:rPr>
        <w:t>e name</w:t>
      </w:r>
      <w:r w:rsidRPr="00650EE4">
        <w:rPr>
          <w:rFonts w:ascii="Times New Roman" w:hAnsi="Times New Roman"/>
          <w:szCs w:val="22"/>
        </w:rPr>
        <w:t xml:space="preserve"> </w:t>
      </w:r>
      <w:r w:rsidR="00F50547" w:rsidRPr="00650EE4">
        <w:rPr>
          <w:rFonts w:ascii="Times New Roman" w:hAnsi="Times New Roman"/>
          <w:szCs w:val="22"/>
        </w:rPr>
        <w:t>yra rizika</w:t>
      </w:r>
      <w:r w:rsidR="007436B7" w:rsidRPr="00650EE4">
        <w:rPr>
          <w:rFonts w:ascii="Times New Roman" w:hAnsi="Times New Roman"/>
          <w:szCs w:val="22"/>
        </w:rPr>
        <w:t xml:space="preserve"> nesusitarti ir neįgyv</w:t>
      </w:r>
      <w:r w:rsidR="00F50547" w:rsidRPr="00650EE4">
        <w:rPr>
          <w:rFonts w:ascii="Times New Roman" w:hAnsi="Times New Roman"/>
          <w:szCs w:val="22"/>
        </w:rPr>
        <w:t>endinti renovacijos projekto</w:t>
      </w:r>
      <w:r w:rsidR="007436B7" w:rsidRPr="00650EE4">
        <w:rPr>
          <w:rFonts w:ascii="Times New Roman" w:hAnsi="Times New Roman"/>
          <w:szCs w:val="22"/>
        </w:rPr>
        <w:t xml:space="preserve">, taip pat yra </w:t>
      </w:r>
      <w:r w:rsidR="00C367FD" w:rsidRPr="00650EE4">
        <w:rPr>
          <w:rFonts w:ascii="Times New Roman" w:hAnsi="Times New Roman"/>
          <w:szCs w:val="22"/>
        </w:rPr>
        <w:t>pasiryžimas</w:t>
      </w:r>
      <w:r w:rsidRPr="00650EE4">
        <w:rPr>
          <w:rFonts w:ascii="Times New Roman" w:hAnsi="Times New Roman"/>
          <w:szCs w:val="22"/>
        </w:rPr>
        <w:t xml:space="preserve"> sumokėti papildomai už tai, kad nereikėtų gyventi renovuojamame objekte renovacijo</w:t>
      </w:r>
      <w:r w:rsidR="007436B7" w:rsidRPr="00650EE4">
        <w:rPr>
          <w:rFonts w:ascii="Times New Roman" w:hAnsi="Times New Roman"/>
          <w:szCs w:val="22"/>
        </w:rPr>
        <w:t xml:space="preserve">s metu, už </w:t>
      </w:r>
      <w:r w:rsidRPr="00650EE4">
        <w:rPr>
          <w:rFonts w:ascii="Times New Roman" w:hAnsi="Times New Roman"/>
          <w:szCs w:val="22"/>
        </w:rPr>
        <w:t>renovuoto objekto konstrukcijų numatytą ilgesnį tarnavimo laiką bei didesnį komfortą.</w:t>
      </w:r>
    </w:p>
    <w:p w14:paraId="79DD976F" w14:textId="77777777" w:rsidR="00F36EC7" w:rsidRPr="00650EE4" w:rsidRDefault="00F36EC7" w:rsidP="00F36EC7">
      <w:pPr>
        <w:jc w:val="both"/>
        <w:rPr>
          <w:rFonts w:ascii="Times New Roman" w:hAnsi="Times New Roman"/>
          <w:color w:val="auto"/>
          <w:szCs w:val="22"/>
        </w:rPr>
      </w:pPr>
    </w:p>
    <w:p w14:paraId="45076447" w14:textId="77777777" w:rsidR="00F36EC7" w:rsidRPr="00650EE4" w:rsidRDefault="00F36EC7" w:rsidP="00F36EC7">
      <w:pPr>
        <w:spacing w:after="120"/>
        <w:jc w:val="both"/>
        <w:rPr>
          <w:rFonts w:ascii="Times New Roman" w:hAnsi="Times New Roman"/>
          <w:color w:val="auto"/>
          <w:szCs w:val="22"/>
        </w:rPr>
      </w:pPr>
      <w:r w:rsidRPr="00650EE4">
        <w:rPr>
          <w:rFonts w:ascii="Times New Roman" w:hAnsi="Times New Roman"/>
          <w:color w:val="auto"/>
          <w:szCs w:val="22"/>
        </w:rPr>
        <w:t>Gyvenamojo nekilnojamo turto NT vertės augimo įtaka apskaičiuota žemiau nurodyta tvarka:</w:t>
      </w:r>
    </w:p>
    <w:p w14:paraId="479EC173" w14:textId="7F5F89CC" w:rsidR="00F36EC7" w:rsidRPr="00650EE4" w:rsidRDefault="00395B24" w:rsidP="00BD4925">
      <w:pPr>
        <w:pStyle w:val="ListParagraph"/>
        <w:numPr>
          <w:ilvl w:val="0"/>
          <w:numId w:val="44"/>
        </w:numPr>
        <w:spacing w:after="120"/>
        <w:jc w:val="both"/>
        <w:rPr>
          <w:rFonts w:ascii="Times New Roman" w:hAnsi="Times New Roman"/>
          <w:szCs w:val="22"/>
          <w:lang w:val="lt-LT"/>
        </w:rPr>
      </w:pPr>
      <w:r>
        <w:rPr>
          <w:rFonts w:ascii="Times New Roman" w:hAnsi="Times New Roman"/>
          <w:color w:val="auto"/>
          <w:szCs w:val="22"/>
          <w:lang w:val="lt-LT"/>
        </w:rPr>
        <w:t>į</w:t>
      </w:r>
      <w:r w:rsidR="00F36EC7" w:rsidRPr="00650EE4">
        <w:rPr>
          <w:rFonts w:ascii="Times New Roman" w:hAnsi="Times New Roman"/>
          <w:color w:val="auto"/>
          <w:szCs w:val="22"/>
          <w:lang w:val="lt-LT"/>
        </w:rPr>
        <w:t>vertintas IRS įgyvendinimo laikotarpiu renovuojamų gyvenamosios paskirties pastatų plotas (m</w:t>
      </w:r>
      <w:r w:rsidR="00F36EC7" w:rsidRPr="00650EE4">
        <w:rPr>
          <w:rFonts w:ascii="Times New Roman" w:hAnsi="Times New Roman"/>
          <w:color w:val="auto"/>
          <w:szCs w:val="22"/>
          <w:vertAlign w:val="superscript"/>
          <w:lang w:val="lt-LT"/>
        </w:rPr>
        <w:t>2</w:t>
      </w:r>
      <w:r w:rsidR="00F36EC7" w:rsidRPr="00650EE4">
        <w:rPr>
          <w:rFonts w:ascii="Times New Roman" w:hAnsi="Times New Roman"/>
          <w:color w:val="auto"/>
          <w:szCs w:val="22"/>
          <w:lang w:val="lt-LT"/>
        </w:rPr>
        <w:t xml:space="preserve">) 5 didžiausiuose Lietuvos miestuose: </w:t>
      </w:r>
      <w:r w:rsidR="00F36EC7" w:rsidRPr="00650EE4">
        <w:rPr>
          <w:rFonts w:ascii="Times New Roman" w:hAnsi="Times New Roman"/>
          <w:szCs w:val="22"/>
          <w:lang w:val="lt-LT"/>
        </w:rPr>
        <w:t>Vilniuje, Kaune, Klaipėda, Šiauliuose ir Panevėžyje (33,1 mln. m</w:t>
      </w:r>
      <w:r w:rsidR="00F36EC7" w:rsidRPr="00650EE4">
        <w:rPr>
          <w:rFonts w:ascii="Times New Roman" w:hAnsi="Times New Roman"/>
          <w:szCs w:val="22"/>
          <w:vertAlign w:val="superscript"/>
          <w:lang w:val="lt-LT"/>
        </w:rPr>
        <w:t>2</w:t>
      </w:r>
      <w:r w:rsidR="00F36EC7" w:rsidRPr="00650EE4">
        <w:rPr>
          <w:rFonts w:ascii="Times New Roman" w:hAnsi="Times New Roman"/>
          <w:szCs w:val="22"/>
          <w:lang w:val="lt-LT"/>
        </w:rPr>
        <w:t>);</w:t>
      </w:r>
    </w:p>
    <w:p w14:paraId="30702176" w14:textId="30A6E1EB" w:rsidR="00F36EC7" w:rsidRPr="00650EE4" w:rsidRDefault="00395B24" w:rsidP="00BD4925">
      <w:pPr>
        <w:pStyle w:val="ListParagraph"/>
        <w:numPr>
          <w:ilvl w:val="0"/>
          <w:numId w:val="44"/>
        </w:numPr>
        <w:jc w:val="both"/>
        <w:rPr>
          <w:rFonts w:ascii="Times New Roman" w:hAnsi="Times New Roman"/>
          <w:color w:val="auto"/>
          <w:szCs w:val="22"/>
          <w:lang w:val="lt-LT"/>
        </w:rPr>
      </w:pPr>
      <w:r>
        <w:rPr>
          <w:rFonts w:ascii="Times New Roman" w:hAnsi="Times New Roman"/>
          <w:color w:val="auto"/>
          <w:szCs w:val="22"/>
          <w:lang w:val="lt-LT"/>
        </w:rPr>
        <w:t>n</w:t>
      </w:r>
      <w:r w:rsidR="00F36EC7" w:rsidRPr="00650EE4">
        <w:rPr>
          <w:rFonts w:ascii="Times New Roman" w:hAnsi="Times New Roman"/>
          <w:color w:val="auto"/>
          <w:szCs w:val="22"/>
          <w:lang w:val="lt-LT"/>
        </w:rPr>
        <w:t>ustatyta vidutinė gyvenamojo būsto rinkos kaina kiekviename mieste (</w:t>
      </w:r>
      <w:proofErr w:type="spellStart"/>
      <w:r w:rsidR="00F36EC7" w:rsidRPr="00650EE4">
        <w:rPr>
          <w:rFonts w:ascii="Times New Roman" w:hAnsi="Times New Roman"/>
          <w:color w:val="auto"/>
          <w:szCs w:val="22"/>
          <w:lang w:val="lt-LT"/>
        </w:rPr>
        <w:t>Eur</w:t>
      </w:r>
      <w:proofErr w:type="spellEnd"/>
      <w:r w:rsidR="00F36EC7" w:rsidRPr="00650EE4">
        <w:rPr>
          <w:rFonts w:ascii="Times New Roman" w:hAnsi="Times New Roman"/>
          <w:color w:val="auto"/>
          <w:szCs w:val="22"/>
          <w:lang w:val="lt-LT"/>
        </w:rPr>
        <w:t>/m</w:t>
      </w:r>
      <w:r w:rsidR="00F36EC7" w:rsidRPr="00650EE4">
        <w:rPr>
          <w:rFonts w:ascii="Times New Roman" w:hAnsi="Times New Roman"/>
          <w:color w:val="auto"/>
          <w:szCs w:val="22"/>
          <w:vertAlign w:val="superscript"/>
          <w:lang w:val="lt-LT"/>
        </w:rPr>
        <w:t>2</w:t>
      </w:r>
      <w:r w:rsidR="00F36EC7" w:rsidRPr="00650EE4">
        <w:rPr>
          <w:rFonts w:ascii="Times New Roman" w:hAnsi="Times New Roman"/>
          <w:color w:val="auto"/>
          <w:szCs w:val="22"/>
          <w:lang w:val="lt-LT"/>
        </w:rPr>
        <w:t>);</w:t>
      </w:r>
    </w:p>
    <w:p w14:paraId="58C066AF" w14:textId="77777777" w:rsidR="00F36EC7" w:rsidRPr="00650EE4" w:rsidRDefault="00F36EC7" w:rsidP="00631BA6">
      <w:pPr>
        <w:pStyle w:val="TESlentelspavadinimas"/>
        <w:rPr>
          <w:noProof w:val="0"/>
        </w:rPr>
      </w:pPr>
    </w:p>
    <w:p w14:paraId="683037F7" w14:textId="5D4924C7" w:rsidR="00F36EC7" w:rsidRPr="00650EE4" w:rsidRDefault="00F36EC7"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90" w:name="_Toc67925245"/>
      <w:r w:rsidR="007744C1">
        <w:t>62</w:t>
      </w:r>
      <w:r w:rsidRPr="00650EE4">
        <w:rPr>
          <w:noProof w:val="0"/>
        </w:rPr>
        <w:fldChar w:fldCharType="end"/>
      </w:r>
      <w:r w:rsidRPr="00650EE4">
        <w:rPr>
          <w:noProof w:val="0"/>
        </w:rPr>
        <w:t xml:space="preserve"> lentelė. Vidutinė gyvenamojo NT rinkos vertė didžiuosiuose Lietuvos miestuose</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2904"/>
        <w:gridCol w:w="3581"/>
      </w:tblGrid>
      <w:tr w:rsidR="00F36EC7" w:rsidRPr="00650EE4" w14:paraId="2A6E764E" w14:textId="77777777" w:rsidTr="004E127F">
        <w:tc>
          <w:tcPr>
            <w:tcW w:w="2689" w:type="dxa"/>
            <w:shd w:val="clear" w:color="auto" w:fill="auto"/>
            <w:noWrap/>
            <w:vAlign w:val="bottom"/>
            <w:hideMark/>
          </w:tcPr>
          <w:p w14:paraId="1CDFEA41" w14:textId="77777777" w:rsidR="00F36EC7" w:rsidRPr="00650EE4" w:rsidRDefault="00F36EC7" w:rsidP="0092133F">
            <w:pPr>
              <w:spacing w:after="100" w:afterAutospacing="1"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Miestas</w:t>
            </w:r>
          </w:p>
        </w:tc>
        <w:tc>
          <w:tcPr>
            <w:tcW w:w="1984" w:type="dxa"/>
          </w:tcPr>
          <w:p w14:paraId="552A8C30" w14:textId="77777777" w:rsidR="00F36EC7" w:rsidRPr="00650EE4" w:rsidRDefault="00F36EC7" w:rsidP="0092133F">
            <w:pPr>
              <w:spacing w:after="100" w:afterAutospacing="1"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2447" w:type="dxa"/>
            <w:shd w:val="clear" w:color="auto" w:fill="auto"/>
            <w:noWrap/>
            <w:vAlign w:val="bottom"/>
            <w:hideMark/>
          </w:tcPr>
          <w:p w14:paraId="5C50FFB4" w14:textId="77777777" w:rsidR="00F36EC7" w:rsidRPr="00650EE4" w:rsidRDefault="00F36EC7" w:rsidP="0092133F">
            <w:pPr>
              <w:spacing w:after="100" w:afterAutospacing="1"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Rinkos vertė</w:t>
            </w:r>
          </w:p>
        </w:tc>
      </w:tr>
      <w:tr w:rsidR="00F36EC7" w:rsidRPr="00650EE4" w14:paraId="29956950" w14:textId="77777777" w:rsidTr="004E127F">
        <w:tc>
          <w:tcPr>
            <w:tcW w:w="2689" w:type="dxa"/>
            <w:shd w:val="clear" w:color="auto" w:fill="auto"/>
            <w:noWrap/>
            <w:vAlign w:val="bottom"/>
            <w:hideMark/>
          </w:tcPr>
          <w:p w14:paraId="6ABD66F9"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Vilnius</w:t>
            </w:r>
          </w:p>
        </w:tc>
        <w:tc>
          <w:tcPr>
            <w:tcW w:w="1984" w:type="dxa"/>
          </w:tcPr>
          <w:p w14:paraId="7F245A16"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30A0F2F5"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1600</w:t>
            </w:r>
          </w:p>
        </w:tc>
      </w:tr>
      <w:tr w:rsidR="00F36EC7" w:rsidRPr="00650EE4" w14:paraId="2FC5A4B3" w14:textId="77777777" w:rsidTr="004E127F">
        <w:tc>
          <w:tcPr>
            <w:tcW w:w="2689" w:type="dxa"/>
            <w:shd w:val="clear" w:color="auto" w:fill="auto"/>
            <w:noWrap/>
            <w:vAlign w:val="bottom"/>
            <w:hideMark/>
          </w:tcPr>
          <w:p w14:paraId="63F5E067"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Kaunas</w:t>
            </w:r>
          </w:p>
        </w:tc>
        <w:tc>
          <w:tcPr>
            <w:tcW w:w="1984" w:type="dxa"/>
          </w:tcPr>
          <w:p w14:paraId="6AAEAE0D"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4A58125F"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1270</w:t>
            </w:r>
          </w:p>
        </w:tc>
      </w:tr>
      <w:tr w:rsidR="00F36EC7" w:rsidRPr="00650EE4" w14:paraId="4CE13993" w14:textId="77777777" w:rsidTr="004E127F">
        <w:tc>
          <w:tcPr>
            <w:tcW w:w="2689" w:type="dxa"/>
            <w:shd w:val="clear" w:color="auto" w:fill="auto"/>
            <w:noWrap/>
            <w:vAlign w:val="bottom"/>
            <w:hideMark/>
          </w:tcPr>
          <w:p w14:paraId="4C4C26DE"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Klaipėda</w:t>
            </w:r>
          </w:p>
        </w:tc>
        <w:tc>
          <w:tcPr>
            <w:tcW w:w="1984" w:type="dxa"/>
          </w:tcPr>
          <w:p w14:paraId="207BE333"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4BC7D91E"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1280</w:t>
            </w:r>
          </w:p>
        </w:tc>
      </w:tr>
      <w:tr w:rsidR="00F36EC7" w:rsidRPr="00650EE4" w14:paraId="62F97D2B" w14:textId="77777777" w:rsidTr="004E127F">
        <w:tc>
          <w:tcPr>
            <w:tcW w:w="2689" w:type="dxa"/>
            <w:shd w:val="clear" w:color="auto" w:fill="auto"/>
            <w:noWrap/>
            <w:vAlign w:val="bottom"/>
            <w:hideMark/>
          </w:tcPr>
          <w:p w14:paraId="776AA8E5"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Šiauliai</w:t>
            </w:r>
          </w:p>
        </w:tc>
        <w:tc>
          <w:tcPr>
            <w:tcW w:w="1984" w:type="dxa"/>
          </w:tcPr>
          <w:p w14:paraId="51DE59FE"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5A2F4867"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870</w:t>
            </w:r>
          </w:p>
        </w:tc>
      </w:tr>
      <w:tr w:rsidR="00F36EC7" w:rsidRPr="00650EE4" w14:paraId="61B11753" w14:textId="77777777" w:rsidTr="004E127F">
        <w:tc>
          <w:tcPr>
            <w:tcW w:w="2689" w:type="dxa"/>
            <w:shd w:val="clear" w:color="auto" w:fill="auto"/>
            <w:noWrap/>
            <w:vAlign w:val="bottom"/>
            <w:hideMark/>
          </w:tcPr>
          <w:p w14:paraId="1843CE17"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Panevėžys</w:t>
            </w:r>
          </w:p>
        </w:tc>
        <w:tc>
          <w:tcPr>
            <w:tcW w:w="1984" w:type="dxa"/>
          </w:tcPr>
          <w:p w14:paraId="7C45F84E"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2353D222"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870</w:t>
            </w:r>
          </w:p>
        </w:tc>
      </w:tr>
    </w:tbl>
    <w:p w14:paraId="61D8B519" w14:textId="77777777" w:rsidR="00F36EC7" w:rsidRPr="00650EE4" w:rsidRDefault="00F36EC7" w:rsidP="00F36EC7">
      <w:pPr>
        <w:spacing w:after="240"/>
        <w:jc w:val="both"/>
        <w:rPr>
          <w:rFonts w:ascii="Times New Roman" w:hAnsi="Times New Roman"/>
          <w:i/>
          <w:iCs/>
          <w:color w:val="auto"/>
          <w:sz w:val="20"/>
          <w:szCs w:val="20"/>
        </w:rPr>
      </w:pPr>
      <w:r w:rsidRPr="00650EE4">
        <w:rPr>
          <w:rFonts w:ascii="Times New Roman" w:hAnsi="Times New Roman"/>
          <w:i/>
          <w:iCs/>
          <w:color w:val="auto"/>
          <w:sz w:val="20"/>
          <w:szCs w:val="20"/>
        </w:rPr>
        <w:t xml:space="preserve">Šaltinis: </w:t>
      </w:r>
      <w:proofErr w:type="spellStart"/>
      <w:r w:rsidRPr="00650EE4">
        <w:rPr>
          <w:rFonts w:ascii="Times New Roman" w:hAnsi="Times New Roman"/>
          <w:i/>
          <w:iCs/>
          <w:color w:val="auto"/>
          <w:sz w:val="20"/>
          <w:szCs w:val="20"/>
        </w:rPr>
        <w:t>Ober-haus</w:t>
      </w:r>
      <w:proofErr w:type="spellEnd"/>
    </w:p>
    <w:p w14:paraId="51A87A24" w14:textId="64A4DA3E" w:rsidR="00F36EC7" w:rsidRPr="00650EE4" w:rsidRDefault="00395B24" w:rsidP="00BD4925">
      <w:pPr>
        <w:pStyle w:val="Pagrindinispaprastastekstas"/>
        <w:numPr>
          <w:ilvl w:val="0"/>
          <w:numId w:val="44"/>
        </w:numPr>
        <w:rPr>
          <w:rFonts w:ascii="Times New Roman" w:hAnsi="Times New Roman"/>
          <w:szCs w:val="22"/>
        </w:rPr>
      </w:pPr>
      <w:r>
        <w:rPr>
          <w:rFonts w:ascii="Times New Roman" w:hAnsi="Times New Roman"/>
          <w:szCs w:val="22"/>
        </w:rPr>
        <w:t>n</w:t>
      </w:r>
      <w:r w:rsidR="00F36EC7" w:rsidRPr="00650EE4">
        <w:rPr>
          <w:rFonts w:ascii="Times New Roman" w:hAnsi="Times New Roman"/>
          <w:szCs w:val="22"/>
        </w:rPr>
        <w:t>ustatyta renovacijos įtaka būsto vertei. Vadovaujantis konservatyvumo principu taikoma žemutinė riba – 10 proc.</w:t>
      </w:r>
    </w:p>
    <w:p w14:paraId="47628CCC" w14:textId="77777777" w:rsidR="00F36EC7" w:rsidRPr="00650EE4" w:rsidRDefault="00F36EC7" w:rsidP="00F36EC7">
      <w:pPr>
        <w:pStyle w:val="Pagrindinispaprastastekstas"/>
        <w:rPr>
          <w:rFonts w:ascii="Times New Roman" w:hAnsi="Times New Roman"/>
          <w:szCs w:val="22"/>
        </w:rPr>
      </w:pPr>
    </w:p>
    <w:p w14:paraId="2AC04028" w14:textId="717BBEFB" w:rsidR="00F36EC7" w:rsidRPr="00650EE4" w:rsidRDefault="008F6593" w:rsidP="00F36EC7">
      <w:pPr>
        <w:pStyle w:val="Pagrindinispaprastastekstas"/>
        <w:rPr>
          <w:rFonts w:ascii="Times New Roman" w:hAnsi="Times New Roman"/>
          <w:szCs w:val="22"/>
        </w:rPr>
      </w:pPr>
      <w:r>
        <w:rPr>
          <w:rFonts w:ascii="Times New Roman" w:hAnsi="Times New Roman"/>
          <w:szCs w:val="22"/>
        </w:rPr>
        <w:t>A</w:t>
      </w:r>
      <w:r w:rsidR="00F36EC7" w:rsidRPr="00650EE4">
        <w:rPr>
          <w:rFonts w:ascii="Times New Roman" w:hAnsi="Times New Roman"/>
          <w:szCs w:val="22"/>
        </w:rPr>
        <w:t xml:space="preserve">pskaičiuota, kad per IRS įgyvendinimo laikotarpį dėl gyvenamojo NT vertės augimo būtų patiriama bent 4,529 mlrd. </w:t>
      </w:r>
      <w:proofErr w:type="spellStart"/>
      <w:r w:rsidR="00F36EC7" w:rsidRPr="00650EE4">
        <w:rPr>
          <w:rFonts w:ascii="Times New Roman" w:hAnsi="Times New Roman"/>
          <w:szCs w:val="22"/>
        </w:rPr>
        <w:t>Eur</w:t>
      </w:r>
      <w:proofErr w:type="spellEnd"/>
      <w:r w:rsidR="00F36EC7" w:rsidRPr="00650EE4">
        <w:rPr>
          <w:rFonts w:ascii="Times New Roman" w:hAnsi="Times New Roman"/>
          <w:szCs w:val="22"/>
        </w:rPr>
        <w:t xml:space="preserve"> nauda, vien tik didžiuosiuose penkiuose Lietuvos miestuose.</w:t>
      </w:r>
    </w:p>
    <w:p w14:paraId="2C6A1467" w14:textId="77777777" w:rsidR="00F36EC7" w:rsidRPr="00650EE4" w:rsidRDefault="00F36EC7" w:rsidP="00F36EC7">
      <w:pPr>
        <w:pStyle w:val="Pagrindinispaprastastekstas"/>
        <w:rPr>
          <w:rFonts w:ascii="Times New Roman" w:hAnsi="Times New Roman"/>
          <w:szCs w:val="22"/>
        </w:rPr>
      </w:pPr>
    </w:p>
    <w:p w14:paraId="439DB969" w14:textId="77777777" w:rsidR="00175A5A" w:rsidRDefault="00175A5A">
      <w:pPr>
        <w:spacing w:after="240"/>
        <w:rPr>
          <w:rFonts w:ascii="Times New Roman" w:hAnsi="Times New Roman"/>
          <w:b/>
          <w:bCs/>
          <w:szCs w:val="24"/>
        </w:rPr>
      </w:pPr>
      <w:bookmarkStart w:id="191" w:name="_Ref43203064"/>
      <w:r>
        <w:rPr>
          <w:rFonts w:ascii="Times New Roman" w:hAnsi="Times New Roman"/>
          <w:b/>
          <w:bCs/>
          <w:szCs w:val="24"/>
        </w:rPr>
        <w:br w:type="page"/>
      </w:r>
    </w:p>
    <w:p w14:paraId="2932B460" w14:textId="61EC5C4C" w:rsidR="000910B9" w:rsidRPr="00650EE4" w:rsidRDefault="000F7355" w:rsidP="000F7355">
      <w:pPr>
        <w:spacing w:after="120"/>
        <w:jc w:val="both"/>
        <w:rPr>
          <w:rFonts w:ascii="Times New Roman" w:hAnsi="Times New Roman"/>
          <w:b/>
          <w:bCs/>
          <w:szCs w:val="24"/>
        </w:rPr>
      </w:pPr>
      <w:r w:rsidRPr="00650EE4">
        <w:rPr>
          <w:rFonts w:ascii="Times New Roman" w:hAnsi="Times New Roman"/>
          <w:b/>
          <w:bCs/>
          <w:szCs w:val="24"/>
        </w:rPr>
        <w:lastRenderedPageBreak/>
        <w:t>N6</w:t>
      </w:r>
      <w:r w:rsidR="00447D62" w:rsidRPr="00650EE4">
        <w:rPr>
          <w:rFonts w:ascii="Times New Roman" w:hAnsi="Times New Roman"/>
          <w:b/>
          <w:bCs/>
          <w:szCs w:val="24"/>
        </w:rPr>
        <w:t xml:space="preserve">. </w:t>
      </w:r>
      <w:r w:rsidR="000910B9" w:rsidRPr="00650EE4">
        <w:rPr>
          <w:rFonts w:ascii="Times New Roman" w:hAnsi="Times New Roman"/>
          <w:b/>
          <w:bCs/>
          <w:szCs w:val="24"/>
        </w:rPr>
        <w:t>Pastatų fondo renovacijos įtaka taršai</w:t>
      </w:r>
      <w:bookmarkEnd w:id="191"/>
    </w:p>
    <w:p w14:paraId="7530491E" w14:textId="77777777" w:rsidR="00AD0547" w:rsidRPr="00650EE4" w:rsidRDefault="00AD0547" w:rsidP="00AD0547">
      <w:pPr>
        <w:pStyle w:val="Pagrindinispaprastastekstas"/>
        <w:rPr>
          <w:rFonts w:ascii="Times New Roman" w:hAnsi="Times New Roman"/>
          <w:szCs w:val="22"/>
        </w:rPr>
      </w:pPr>
      <w:bookmarkStart w:id="192" w:name="_Ref43203105"/>
      <w:r w:rsidRPr="00650EE4">
        <w:rPr>
          <w:rFonts w:ascii="Times New Roman" w:hAnsi="Times New Roman"/>
          <w:szCs w:val="22"/>
        </w:rPr>
        <w:t xml:space="preserve">Pastatų ūkių energetiniams poreikiams patenkinti, ne ŠESD emisijų susidaro ir kiti teršalai: anglies </w:t>
      </w:r>
      <w:proofErr w:type="spellStart"/>
      <w:r w:rsidRPr="00650EE4">
        <w:rPr>
          <w:rFonts w:ascii="Times New Roman" w:hAnsi="Times New Roman"/>
          <w:szCs w:val="22"/>
        </w:rPr>
        <w:t>monoksidas</w:t>
      </w:r>
      <w:proofErr w:type="spellEnd"/>
      <w:r w:rsidRPr="00650EE4">
        <w:rPr>
          <w:rFonts w:ascii="Times New Roman" w:hAnsi="Times New Roman"/>
          <w:szCs w:val="22"/>
        </w:rPr>
        <w:t xml:space="preserve"> (CO), azoto junginiai (</w:t>
      </w:r>
      <w:proofErr w:type="spellStart"/>
      <w:r w:rsidRPr="00650EE4">
        <w:rPr>
          <w:rFonts w:ascii="Times New Roman" w:hAnsi="Times New Roman"/>
          <w:szCs w:val="22"/>
        </w:rPr>
        <w:t>NO</w:t>
      </w:r>
      <w:r w:rsidRPr="00650EE4">
        <w:rPr>
          <w:rFonts w:ascii="Times New Roman" w:hAnsi="Times New Roman"/>
          <w:szCs w:val="22"/>
          <w:vertAlign w:val="subscript"/>
        </w:rPr>
        <w:t>x</w:t>
      </w:r>
      <w:proofErr w:type="spellEnd"/>
      <w:r w:rsidRPr="00650EE4">
        <w:rPr>
          <w:rFonts w:ascii="Times New Roman" w:hAnsi="Times New Roman"/>
          <w:szCs w:val="22"/>
        </w:rPr>
        <w:t>), sieros dioksidas (SO</w:t>
      </w:r>
      <w:r w:rsidRPr="00650EE4">
        <w:rPr>
          <w:rFonts w:ascii="Times New Roman" w:hAnsi="Times New Roman"/>
          <w:szCs w:val="22"/>
          <w:vertAlign w:val="subscript"/>
        </w:rPr>
        <w:t>2</w:t>
      </w:r>
      <w:r w:rsidRPr="00650EE4">
        <w:rPr>
          <w:rFonts w:ascii="Times New Roman" w:hAnsi="Times New Roman"/>
          <w:szCs w:val="22"/>
        </w:rPr>
        <w:t>) ir kietosios dalelės (KD). Priešingai nei ŠESD emisijų atveju, šių teršalų poveikis stipriausiai jaučiamas būtent ten, kur susidaro emisijos – miestuose, gyvenamųjų namų kvartaluose ar pramoniniuose parkuose, kur naudojama daug kieto kuro. Šie teršalai turi stiprų neigiamą poveikį aplinkai ir žmonių sveikatai – dėl pablogėjusios oro kokybės rodiklių gali padidėti sergančiųjų kvėpavimo sistemos ligomis (</w:t>
      </w:r>
      <w:proofErr w:type="spellStart"/>
      <w:r w:rsidRPr="00650EE4">
        <w:rPr>
          <w:rFonts w:ascii="Times New Roman" w:hAnsi="Times New Roman"/>
          <w:szCs w:val="22"/>
        </w:rPr>
        <w:t>tracheitu</w:t>
      </w:r>
      <w:proofErr w:type="spellEnd"/>
      <w:r w:rsidRPr="00650EE4">
        <w:rPr>
          <w:rFonts w:ascii="Times New Roman" w:hAnsi="Times New Roman"/>
          <w:szCs w:val="22"/>
        </w:rPr>
        <w:t>, bronchitu, bronchinės astma, kitomis lėtinėmis kvėpavimo sistemos ligomis ar pasireikšti jų paūmėjimai).</w:t>
      </w:r>
    </w:p>
    <w:p w14:paraId="5871E9E0" w14:textId="77777777" w:rsidR="00AD0547" w:rsidRPr="00650EE4" w:rsidRDefault="00AD0547" w:rsidP="00AD0547">
      <w:pPr>
        <w:pStyle w:val="Pagrindinispaprastastekstas"/>
        <w:rPr>
          <w:rFonts w:ascii="Times New Roman" w:hAnsi="Times New Roman"/>
          <w:szCs w:val="22"/>
        </w:rPr>
      </w:pPr>
    </w:p>
    <w:p w14:paraId="25261875" w14:textId="77777777" w:rsidR="00AD0547" w:rsidRPr="00650EE4" w:rsidRDefault="00AD0547" w:rsidP="00AD0547">
      <w:pPr>
        <w:spacing w:after="120"/>
        <w:jc w:val="both"/>
        <w:rPr>
          <w:rFonts w:ascii="Times New Roman" w:hAnsi="Times New Roman"/>
          <w:color w:val="auto"/>
          <w:szCs w:val="22"/>
        </w:rPr>
      </w:pPr>
      <w:r w:rsidRPr="00650EE4">
        <w:rPr>
          <w:rFonts w:ascii="Times New Roman" w:hAnsi="Times New Roman"/>
          <w:color w:val="auto"/>
          <w:szCs w:val="22"/>
        </w:rPr>
        <w:t>Oro taršos sumažėjimo įtaka apskaičiuota žemiau nurodyta tvarka:</w:t>
      </w:r>
    </w:p>
    <w:p w14:paraId="28B5FAFB" w14:textId="17D7518C" w:rsidR="00AD0547" w:rsidRPr="00650EE4" w:rsidRDefault="00395B24" w:rsidP="00BD4925">
      <w:pPr>
        <w:pStyle w:val="ListParagraph"/>
        <w:numPr>
          <w:ilvl w:val="0"/>
          <w:numId w:val="43"/>
        </w:numPr>
        <w:spacing w:after="60"/>
        <w:ind w:hanging="357"/>
        <w:contextualSpacing w:val="0"/>
        <w:jc w:val="both"/>
        <w:rPr>
          <w:rFonts w:ascii="Times New Roman" w:hAnsi="Times New Roman"/>
          <w:color w:val="auto"/>
          <w:szCs w:val="22"/>
          <w:lang w:val="lt-LT"/>
        </w:rPr>
      </w:pPr>
      <w:r>
        <w:rPr>
          <w:rFonts w:ascii="Times New Roman" w:hAnsi="Times New Roman"/>
          <w:color w:val="auto"/>
          <w:szCs w:val="22"/>
          <w:lang w:val="lt-LT"/>
        </w:rPr>
        <w:t>a</w:t>
      </w:r>
      <w:r w:rsidR="00AD0547" w:rsidRPr="00650EE4">
        <w:rPr>
          <w:rFonts w:ascii="Times New Roman" w:hAnsi="Times New Roman"/>
          <w:color w:val="auto"/>
          <w:szCs w:val="22"/>
          <w:lang w:val="lt-LT"/>
        </w:rPr>
        <w:t>pskaičiuotas sutaupytos pirminės energijos kiekis (</w:t>
      </w:r>
      <w:proofErr w:type="spellStart"/>
      <w:r w:rsidR="00AD0547" w:rsidRPr="00650EE4">
        <w:rPr>
          <w:rFonts w:ascii="Times New Roman" w:hAnsi="Times New Roman"/>
          <w:color w:val="auto"/>
          <w:szCs w:val="22"/>
          <w:lang w:val="lt-LT"/>
        </w:rPr>
        <w:t>GWh</w:t>
      </w:r>
      <w:proofErr w:type="spellEnd"/>
      <w:r w:rsidR="00AD0547" w:rsidRPr="00650EE4">
        <w:rPr>
          <w:rFonts w:ascii="Times New Roman" w:hAnsi="Times New Roman"/>
          <w:color w:val="auto"/>
          <w:szCs w:val="22"/>
          <w:lang w:val="lt-LT"/>
        </w:rPr>
        <w:t>) pagal 5 gamybos</w:t>
      </w:r>
      <w:r w:rsidR="008F6593">
        <w:rPr>
          <w:rFonts w:ascii="Times New Roman" w:hAnsi="Times New Roman"/>
          <w:color w:val="auto"/>
          <w:szCs w:val="22"/>
          <w:lang w:val="lt-LT"/>
        </w:rPr>
        <w:t xml:space="preserve"> </w:t>
      </w:r>
      <w:r w:rsidR="00AD0547" w:rsidRPr="00650EE4">
        <w:rPr>
          <w:rFonts w:ascii="Times New Roman" w:hAnsi="Times New Roman"/>
          <w:color w:val="auto"/>
          <w:szCs w:val="22"/>
          <w:lang w:val="lt-LT"/>
        </w:rPr>
        <w:t>/</w:t>
      </w:r>
      <w:r w:rsidR="008F6593">
        <w:rPr>
          <w:rFonts w:ascii="Times New Roman" w:hAnsi="Times New Roman"/>
          <w:color w:val="auto"/>
          <w:szCs w:val="22"/>
          <w:lang w:val="lt-LT"/>
        </w:rPr>
        <w:t xml:space="preserve"> </w:t>
      </w:r>
      <w:r w:rsidR="00AD0547" w:rsidRPr="00650EE4">
        <w:rPr>
          <w:rFonts w:ascii="Times New Roman" w:hAnsi="Times New Roman"/>
          <w:color w:val="auto"/>
          <w:szCs w:val="22"/>
          <w:lang w:val="lt-LT"/>
        </w:rPr>
        <w:t>kuro rūšis: CŠT, gamtinės dujos, biokuras, elektra, kitas kuras.</w:t>
      </w:r>
      <w:r w:rsidR="00CC50D7" w:rsidRPr="00650EE4">
        <w:rPr>
          <w:rFonts w:ascii="Times New Roman" w:hAnsi="Times New Roman"/>
          <w:color w:val="auto"/>
          <w:szCs w:val="22"/>
          <w:lang w:val="lt-LT"/>
        </w:rPr>
        <w:t xml:space="preserve"> Vertinama, kad </w:t>
      </w:r>
      <w:r w:rsidR="00AD0547" w:rsidRPr="00650EE4">
        <w:rPr>
          <w:rFonts w:ascii="Times New Roman" w:hAnsi="Times New Roman"/>
          <w:color w:val="auto"/>
          <w:szCs w:val="22"/>
          <w:lang w:val="lt-LT"/>
        </w:rPr>
        <w:t xml:space="preserve">CŠT </w:t>
      </w:r>
      <w:r w:rsidR="00CC50D7" w:rsidRPr="00650EE4">
        <w:rPr>
          <w:rFonts w:ascii="Times New Roman" w:hAnsi="Times New Roman"/>
          <w:color w:val="auto"/>
          <w:szCs w:val="22"/>
          <w:lang w:val="lt-LT"/>
        </w:rPr>
        <w:t xml:space="preserve">kuro struktūra: biokuras (80 proc.), </w:t>
      </w:r>
      <w:r w:rsidR="00AD0547" w:rsidRPr="00650EE4">
        <w:rPr>
          <w:rFonts w:ascii="Times New Roman" w:hAnsi="Times New Roman"/>
          <w:color w:val="auto"/>
          <w:szCs w:val="22"/>
          <w:lang w:val="lt-LT"/>
        </w:rPr>
        <w:t>gamtinės dujos (20 proc.).</w:t>
      </w:r>
      <w:r w:rsidR="00CC50D7" w:rsidRPr="00650EE4">
        <w:rPr>
          <w:rFonts w:ascii="Times New Roman" w:hAnsi="Times New Roman"/>
          <w:color w:val="auto"/>
          <w:szCs w:val="22"/>
          <w:lang w:val="lt-LT"/>
        </w:rPr>
        <w:t xml:space="preserve"> Kito </w:t>
      </w:r>
      <w:r w:rsidR="00AD0547" w:rsidRPr="00650EE4">
        <w:rPr>
          <w:rFonts w:ascii="Times New Roman" w:hAnsi="Times New Roman"/>
          <w:color w:val="auto"/>
          <w:szCs w:val="22"/>
          <w:lang w:val="lt-LT"/>
        </w:rPr>
        <w:t>kuro struktūr</w:t>
      </w:r>
      <w:r w:rsidR="00CC50D7" w:rsidRPr="00650EE4">
        <w:rPr>
          <w:rFonts w:ascii="Times New Roman" w:hAnsi="Times New Roman"/>
          <w:color w:val="auto"/>
          <w:szCs w:val="22"/>
          <w:lang w:val="lt-LT"/>
        </w:rPr>
        <w:t>a:</w:t>
      </w:r>
      <w:r w:rsidR="00AD0547" w:rsidRPr="00650EE4">
        <w:rPr>
          <w:rFonts w:ascii="Times New Roman" w:hAnsi="Times New Roman"/>
          <w:color w:val="auto"/>
          <w:szCs w:val="22"/>
          <w:lang w:val="lt-LT"/>
        </w:rPr>
        <w:t xml:space="preserve"> skystas kuras (50 proc.), suskystintos gamtinės dujos (</w:t>
      </w:r>
      <w:r w:rsidR="00CC50D7" w:rsidRPr="00650EE4">
        <w:rPr>
          <w:rFonts w:ascii="Times New Roman" w:hAnsi="Times New Roman"/>
          <w:color w:val="auto"/>
          <w:szCs w:val="22"/>
          <w:lang w:val="lt-LT"/>
        </w:rPr>
        <w:t xml:space="preserve">10 proc.), anglys (10 proc.), </w:t>
      </w:r>
      <w:r>
        <w:rPr>
          <w:rFonts w:ascii="Times New Roman" w:hAnsi="Times New Roman"/>
          <w:color w:val="auto"/>
          <w:szCs w:val="22"/>
          <w:lang w:val="lt-LT"/>
        </w:rPr>
        <w:t>durpės (30 proc.);</w:t>
      </w:r>
    </w:p>
    <w:p w14:paraId="686A3730" w14:textId="097D94C8" w:rsidR="00AD0547" w:rsidRPr="00650EE4" w:rsidRDefault="00395B24" w:rsidP="00BD4925">
      <w:pPr>
        <w:pStyle w:val="ListParagraph"/>
        <w:numPr>
          <w:ilvl w:val="0"/>
          <w:numId w:val="43"/>
        </w:numPr>
        <w:spacing w:after="60"/>
        <w:ind w:hanging="357"/>
        <w:contextualSpacing w:val="0"/>
        <w:jc w:val="both"/>
        <w:rPr>
          <w:rFonts w:ascii="Times New Roman" w:hAnsi="Times New Roman"/>
          <w:color w:val="auto"/>
          <w:szCs w:val="22"/>
          <w:lang w:val="lt-LT"/>
        </w:rPr>
      </w:pPr>
      <w:r>
        <w:rPr>
          <w:rFonts w:ascii="Times New Roman" w:hAnsi="Times New Roman"/>
          <w:color w:val="auto"/>
          <w:szCs w:val="22"/>
          <w:lang w:val="lt-LT"/>
        </w:rPr>
        <w:t>k</w:t>
      </w:r>
      <w:r w:rsidR="00AD0547" w:rsidRPr="00650EE4">
        <w:rPr>
          <w:rFonts w:ascii="Times New Roman" w:hAnsi="Times New Roman"/>
          <w:color w:val="auto"/>
          <w:szCs w:val="22"/>
          <w:lang w:val="lt-LT"/>
        </w:rPr>
        <w:t xml:space="preserve">iekvienai vertinamai kuro rūšiai nustatyti teršalų (CO, </w:t>
      </w:r>
      <w:proofErr w:type="spellStart"/>
      <w:r w:rsidR="00AD0547" w:rsidRPr="00650EE4">
        <w:rPr>
          <w:rFonts w:ascii="Times New Roman" w:hAnsi="Times New Roman"/>
          <w:color w:val="auto"/>
          <w:szCs w:val="22"/>
          <w:lang w:val="lt-LT"/>
        </w:rPr>
        <w:t>NO</w:t>
      </w:r>
      <w:r w:rsidR="00AD0547" w:rsidRPr="00650EE4">
        <w:rPr>
          <w:rFonts w:ascii="Times New Roman" w:hAnsi="Times New Roman"/>
          <w:color w:val="auto"/>
          <w:szCs w:val="22"/>
          <w:vertAlign w:val="subscript"/>
          <w:lang w:val="lt-LT"/>
        </w:rPr>
        <w:t>x</w:t>
      </w:r>
      <w:proofErr w:type="spellEnd"/>
      <w:r w:rsidR="00AD0547" w:rsidRPr="00650EE4">
        <w:rPr>
          <w:rFonts w:ascii="Times New Roman" w:hAnsi="Times New Roman"/>
          <w:color w:val="auto"/>
          <w:szCs w:val="22"/>
          <w:lang w:val="lt-LT"/>
        </w:rPr>
        <w:t>, SO</w:t>
      </w:r>
      <w:r w:rsidR="00AD0547" w:rsidRPr="00650EE4">
        <w:rPr>
          <w:rFonts w:ascii="Times New Roman" w:hAnsi="Times New Roman"/>
          <w:color w:val="auto"/>
          <w:szCs w:val="22"/>
          <w:vertAlign w:val="subscript"/>
          <w:lang w:val="lt-LT"/>
        </w:rPr>
        <w:t>2</w:t>
      </w:r>
      <w:r w:rsidR="00AD0547" w:rsidRPr="00650EE4">
        <w:rPr>
          <w:rFonts w:ascii="Times New Roman" w:hAnsi="Times New Roman"/>
          <w:color w:val="auto"/>
          <w:szCs w:val="22"/>
          <w:lang w:val="lt-LT"/>
        </w:rPr>
        <w:t xml:space="preserve"> ir KD) emisijos faktoriai (g/</w:t>
      </w:r>
      <w:proofErr w:type="spellStart"/>
      <w:r w:rsidR="00AD0547" w:rsidRPr="00650EE4">
        <w:rPr>
          <w:rFonts w:ascii="Times New Roman" w:hAnsi="Times New Roman"/>
          <w:color w:val="auto"/>
          <w:szCs w:val="22"/>
          <w:lang w:val="lt-LT"/>
        </w:rPr>
        <w:t>kWh</w:t>
      </w:r>
      <w:proofErr w:type="spellEnd"/>
      <w:r w:rsidR="00AD0547" w:rsidRPr="00650EE4">
        <w:rPr>
          <w:rFonts w:ascii="Times New Roman" w:hAnsi="Times New Roman"/>
          <w:color w:val="auto"/>
          <w:szCs w:val="22"/>
          <w:lang w:val="lt-LT"/>
        </w:rPr>
        <w:t xml:space="preserve">). </w:t>
      </w:r>
      <w:r w:rsidR="00AD0547" w:rsidRPr="00650EE4">
        <w:rPr>
          <w:rFonts w:ascii="Times New Roman" w:eastAsiaTheme="minorHAnsi" w:hAnsi="Times New Roman"/>
          <w:szCs w:val="22"/>
          <w:lang w:val="lt-LT"/>
        </w:rPr>
        <w:t>Vadovautasi Europos aplinkos apsaugos agentūros į atmosferą išmetamų teršalų apskaitos metodika „</w:t>
      </w:r>
      <w:r w:rsidR="00AD0547" w:rsidRPr="00650EE4">
        <w:rPr>
          <w:rFonts w:ascii="Times New Roman" w:eastAsiaTheme="minorHAnsi" w:hAnsi="Times New Roman"/>
          <w:i/>
          <w:iCs/>
          <w:szCs w:val="22"/>
          <w:lang w:val="lt-LT"/>
        </w:rPr>
        <w:t xml:space="preserve">EMEP/EEA </w:t>
      </w:r>
      <w:proofErr w:type="spellStart"/>
      <w:r w:rsidR="00AD0547" w:rsidRPr="00650EE4">
        <w:rPr>
          <w:rFonts w:ascii="Times New Roman" w:eastAsiaTheme="minorHAnsi" w:hAnsi="Times New Roman"/>
          <w:i/>
          <w:iCs/>
          <w:szCs w:val="22"/>
          <w:lang w:val="lt-LT"/>
        </w:rPr>
        <w:t>air</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pollutant</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emission</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hAnsi="Times New Roman"/>
          <w:color w:val="auto"/>
          <w:szCs w:val="22"/>
          <w:lang w:val="lt-LT"/>
        </w:rPr>
        <w:t>inventory</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guidebook</w:t>
      </w:r>
      <w:proofErr w:type="spellEnd"/>
      <w:r w:rsidR="00AD0547" w:rsidRPr="00650EE4">
        <w:rPr>
          <w:rFonts w:ascii="Times New Roman" w:eastAsiaTheme="minorHAnsi" w:hAnsi="Times New Roman"/>
          <w:i/>
          <w:iCs/>
          <w:szCs w:val="22"/>
          <w:lang w:val="lt-LT"/>
        </w:rPr>
        <w:t xml:space="preserve"> - 2016</w:t>
      </w:r>
      <w:r w:rsidR="00AD0547" w:rsidRPr="00650EE4">
        <w:rPr>
          <w:rFonts w:ascii="Times New Roman" w:eastAsiaTheme="minorHAnsi" w:hAnsi="Times New Roman"/>
          <w:szCs w:val="22"/>
          <w:lang w:val="lt-LT"/>
        </w:rPr>
        <w:t>“, 1.A.4 skyrius „</w:t>
      </w:r>
      <w:proofErr w:type="spellStart"/>
      <w:r w:rsidR="00AD0547" w:rsidRPr="00650EE4">
        <w:rPr>
          <w:rFonts w:ascii="Times New Roman" w:eastAsiaTheme="minorHAnsi" w:hAnsi="Times New Roman"/>
          <w:i/>
          <w:iCs/>
          <w:szCs w:val="22"/>
          <w:lang w:val="lt-LT"/>
        </w:rPr>
        <w:t>Small</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Combustion</w:t>
      </w:r>
      <w:proofErr w:type="spellEnd"/>
      <w:r w:rsidR="00AD0547" w:rsidRPr="00650EE4">
        <w:rPr>
          <w:rFonts w:ascii="Times New Roman" w:eastAsiaTheme="minorHAnsi" w:hAnsi="Times New Roman"/>
          <w:szCs w:val="22"/>
          <w:lang w:val="lt-LT"/>
        </w:rPr>
        <w:t>“</w:t>
      </w:r>
      <w:r w:rsidR="00620431">
        <w:rPr>
          <w:rFonts w:ascii="Times New Roman" w:eastAsiaTheme="minorHAnsi" w:hAnsi="Times New Roman"/>
          <w:szCs w:val="22"/>
          <w:lang w:val="lt-LT"/>
        </w:rPr>
        <w:t>,</w:t>
      </w:r>
      <w:r w:rsidR="00AD0547" w:rsidRPr="00650EE4">
        <w:rPr>
          <w:rFonts w:ascii="Times New Roman" w:eastAsiaTheme="minorHAnsi" w:hAnsi="Times New Roman"/>
          <w:szCs w:val="22"/>
          <w:lang w:val="lt-LT"/>
        </w:rPr>
        <w:t xml:space="preserve"> Metodika patvirtinta L</w:t>
      </w:r>
      <w:r w:rsidR="00620431">
        <w:rPr>
          <w:rFonts w:ascii="Times New Roman" w:eastAsiaTheme="minorHAnsi" w:hAnsi="Times New Roman"/>
          <w:szCs w:val="22"/>
          <w:lang w:val="lt-LT"/>
        </w:rPr>
        <w:t xml:space="preserve">ietuvos </w:t>
      </w:r>
      <w:r w:rsidR="00AD0547" w:rsidRPr="00650EE4">
        <w:rPr>
          <w:rFonts w:ascii="Times New Roman" w:eastAsiaTheme="minorHAnsi" w:hAnsi="Times New Roman"/>
          <w:szCs w:val="22"/>
          <w:lang w:val="lt-LT"/>
        </w:rPr>
        <w:t>R</w:t>
      </w:r>
      <w:r w:rsidR="00620431">
        <w:rPr>
          <w:rFonts w:ascii="Times New Roman" w:eastAsiaTheme="minorHAnsi" w:hAnsi="Times New Roman"/>
          <w:szCs w:val="22"/>
          <w:lang w:val="lt-LT"/>
        </w:rPr>
        <w:t>espublikos</w:t>
      </w:r>
      <w:r w:rsidR="00AD0547" w:rsidRPr="00650EE4">
        <w:rPr>
          <w:rFonts w:ascii="Times New Roman" w:eastAsiaTheme="minorHAnsi" w:hAnsi="Times New Roman"/>
          <w:szCs w:val="22"/>
          <w:lang w:val="lt-LT"/>
        </w:rPr>
        <w:t xml:space="preserve"> aplinkos ministro 2005 m. liepos 15 d. įsakymu Nr. D1–378 „</w:t>
      </w:r>
      <w:r w:rsidR="008F6593">
        <w:rPr>
          <w:rFonts w:ascii="Times New Roman" w:eastAsiaTheme="minorHAnsi" w:hAnsi="Times New Roman"/>
          <w:szCs w:val="22"/>
          <w:lang w:val="lt-LT"/>
        </w:rPr>
        <w:t xml:space="preserve">Dėl </w:t>
      </w:r>
      <w:r w:rsidR="00AD0547" w:rsidRPr="00650EE4">
        <w:rPr>
          <w:rFonts w:ascii="Times New Roman" w:eastAsiaTheme="minorHAnsi" w:hAnsi="Times New Roman"/>
          <w:szCs w:val="22"/>
          <w:lang w:val="lt-LT"/>
        </w:rPr>
        <w:t>Į atmosferą išmetamo teršalų kiekio apskaičiavimo metodikų sąraš</w:t>
      </w:r>
      <w:r w:rsidR="008F6593">
        <w:rPr>
          <w:rFonts w:ascii="Times New Roman" w:eastAsiaTheme="minorHAnsi" w:hAnsi="Times New Roman"/>
          <w:szCs w:val="22"/>
          <w:lang w:val="lt-LT"/>
        </w:rPr>
        <w:t>o patvirtinimo</w:t>
      </w:r>
      <w:r w:rsidR="00620431">
        <w:rPr>
          <w:rFonts w:ascii="Times New Roman" w:eastAsiaTheme="minorHAnsi" w:hAnsi="Times New Roman"/>
          <w:szCs w:val="22"/>
          <w:lang w:val="lt-LT"/>
        </w:rPr>
        <w:t xml:space="preserve"> ir apmokestinamųjų teršalų kiekio nustatymo asmenims, kurie netvarko privalomosios teršalų išmetimo į aplinką apskaitos</w:t>
      </w:r>
      <w:r>
        <w:rPr>
          <w:rFonts w:ascii="Times New Roman" w:eastAsiaTheme="minorHAnsi" w:hAnsi="Times New Roman"/>
          <w:szCs w:val="22"/>
          <w:lang w:val="lt-LT"/>
        </w:rPr>
        <w:t>“;</w:t>
      </w:r>
    </w:p>
    <w:p w14:paraId="4DD41BA1" w14:textId="77777777" w:rsidR="00AD0547" w:rsidRPr="00650EE4" w:rsidRDefault="00AD0547" w:rsidP="00631BA6">
      <w:pPr>
        <w:pStyle w:val="TESlentelspavadinimas"/>
        <w:rPr>
          <w:noProof w:val="0"/>
        </w:rPr>
      </w:pPr>
    </w:p>
    <w:p w14:paraId="5D34DE9B" w14:textId="6D48F9E9" w:rsidR="00AD0547" w:rsidRPr="00650EE4" w:rsidRDefault="00AD0547"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93" w:name="_Toc67925246"/>
      <w:r w:rsidR="007744C1">
        <w:t>63</w:t>
      </w:r>
      <w:r w:rsidRPr="00650EE4">
        <w:rPr>
          <w:noProof w:val="0"/>
        </w:rPr>
        <w:fldChar w:fldCharType="end"/>
      </w:r>
      <w:r w:rsidRPr="00650EE4">
        <w:rPr>
          <w:noProof w:val="0"/>
        </w:rPr>
        <w:t xml:space="preserve"> lentelė. Teršalų emisijos faktoriai</w:t>
      </w:r>
      <w:bookmarkEnd w:id="193"/>
    </w:p>
    <w:tbl>
      <w:tblPr>
        <w:tblStyle w:val="TableGrid"/>
        <w:tblW w:w="0" w:type="auto"/>
        <w:tblLook w:val="04A0" w:firstRow="1" w:lastRow="0" w:firstColumn="1" w:lastColumn="0" w:noHBand="0" w:noVBand="1"/>
      </w:tblPr>
      <w:tblGrid>
        <w:gridCol w:w="704"/>
        <w:gridCol w:w="2664"/>
        <w:gridCol w:w="1774"/>
        <w:gridCol w:w="1684"/>
        <w:gridCol w:w="1684"/>
        <w:gridCol w:w="1684"/>
      </w:tblGrid>
      <w:tr w:rsidR="00AD0547" w:rsidRPr="00650EE4" w14:paraId="1B0FDD5A" w14:textId="77777777" w:rsidTr="0092133F">
        <w:tc>
          <w:tcPr>
            <w:tcW w:w="704" w:type="dxa"/>
          </w:tcPr>
          <w:p w14:paraId="504CC875"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Nr.</w:t>
            </w:r>
          </w:p>
        </w:tc>
        <w:tc>
          <w:tcPr>
            <w:tcW w:w="2664" w:type="dxa"/>
          </w:tcPr>
          <w:p w14:paraId="2CB31CC7"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Gamybos šaltinis</w:t>
            </w:r>
          </w:p>
        </w:tc>
        <w:tc>
          <w:tcPr>
            <w:tcW w:w="1774" w:type="dxa"/>
          </w:tcPr>
          <w:p w14:paraId="6E63C3D3"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Mato vnt.</w:t>
            </w:r>
          </w:p>
        </w:tc>
        <w:tc>
          <w:tcPr>
            <w:tcW w:w="1684" w:type="dxa"/>
          </w:tcPr>
          <w:p w14:paraId="045C6513" w14:textId="77777777" w:rsidR="00AD0547" w:rsidRPr="00650EE4" w:rsidRDefault="00AD0547" w:rsidP="0092133F">
            <w:pPr>
              <w:jc w:val="both"/>
              <w:rPr>
                <w:rFonts w:ascii="Times New Roman" w:hAnsi="Times New Roman"/>
                <w:b/>
                <w:bCs/>
                <w:color w:val="auto"/>
                <w:sz w:val="20"/>
                <w:szCs w:val="20"/>
              </w:rPr>
            </w:pPr>
            <w:proofErr w:type="spellStart"/>
            <w:r w:rsidRPr="00650EE4">
              <w:rPr>
                <w:rFonts w:ascii="Times New Roman" w:hAnsi="Times New Roman"/>
                <w:b/>
                <w:bCs/>
                <w:color w:val="auto"/>
                <w:sz w:val="20"/>
                <w:szCs w:val="20"/>
              </w:rPr>
              <w:t>NO</w:t>
            </w:r>
            <w:r w:rsidRPr="00650EE4">
              <w:rPr>
                <w:rFonts w:ascii="Times New Roman" w:hAnsi="Times New Roman"/>
                <w:b/>
                <w:bCs/>
                <w:color w:val="auto"/>
                <w:sz w:val="20"/>
                <w:szCs w:val="20"/>
                <w:vertAlign w:val="subscript"/>
              </w:rPr>
              <w:t>x</w:t>
            </w:r>
            <w:proofErr w:type="spellEnd"/>
          </w:p>
        </w:tc>
        <w:tc>
          <w:tcPr>
            <w:tcW w:w="1684" w:type="dxa"/>
          </w:tcPr>
          <w:p w14:paraId="679E4146"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SO</w:t>
            </w:r>
            <w:r w:rsidRPr="00650EE4">
              <w:rPr>
                <w:rFonts w:ascii="Times New Roman" w:hAnsi="Times New Roman"/>
                <w:b/>
                <w:bCs/>
                <w:color w:val="auto"/>
                <w:sz w:val="20"/>
                <w:szCs w:val="20"/>
                <w:vertAlign w:val="subscript"/>
              </w:rPr>
              <w:t>2</w:t>
            </w:r>
          </w:p>
        </w:tc>
        <w:tc>
          <w:tcPr>
            <w:tcW w:w="1684" w:type="dxa"/>
          </w:tcPr>
          <w:p w14:paraId="3D3AFD30"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KD</w:t>
            </w:r>
          </w:p>
        </w:tc>
      </w:tr>
      <w:tr w:rsidR="00AD0547" w:rsidRPr="00650EE4" w14:paraId="48646DC3" w14:textId="77777777" w:rsidTr="0092133F">
        <w:tc>
          <w:tcPr>
            <w:tcW w:w="704" w:type="dxa"/>
          </w:tcPr>
          <w:p w14:paraId="4AAB810A"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w:t>
            </w:r>
          </w:p>
        </w:tc>
        <w:tc>
          <w:tcPr>
            <w:tcW w:w="2664" w:type="dxa"/>
          </w:tcPr>
          <w:p w14:paraId="30823114"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CŠT</w:t>
            </w:r>
          </w:p>
        </w:tc>
        <w:tc>
          <w:tcPr>
            <w:tcW w:w="1774" w:type="dxa"/>
          </w:tcPr>
          <w:p w14:paraId="0DA19AF2"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0BC1DEC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46,1</w:t>
            </w:r>
          </w:p>
        </w:tc>
        <w:tc>
          <w:tcPr>
            <w:tcW w:w="1684" w:type="dxa"/>
          </w:tcPr>
          <w:p w14:paraId="278B455E"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5,5</w:t>
            </w:r>
          </w:p>
        </w:tc>
        <w:tc>
          <w:tcPr>
            <w:tcW w:w="1684" w:type="dxa"/>
          </w:tcPr>
          <w:p w14:paraId="24F0E3EB"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87,6</w:t>
            </w:r>
          </w:p>
        </w:tc>
      </w:tr>
      <w:tr w:rsidR="00AD0547" w:rsidRPr="00650EE4" w14:paraId="109A91FC" w14:textId="77777777" w:rsidTr="0092133F">
        <w:tc>
          <w:tcPr>
            <w:tcW w:w="704" w:type="dxa"/>
          </w:tcPr>
          <w:p w14:paraId="4FD39EF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2.</w:t>
            </w:r>
          </w:p>
        </w:tc>
        <w:tc>
          <w:tcPr>
            <w:tcW w:w="2664" w:type="dxa"/>
          </w:tcPr>
          <w:p w14:paraId="048559DF"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Gamtinės dujos</w:t>
            </w:r>
          </w:p>
        </w:tc>
        <w:tc>
          <w:tcPr>
            <w:tcW w:w="1774" w:type="dxa"/>
          </w:tcPr>
          <w:p w14:paraId="0AD57D15"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3B2C4387"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0,142</w:t>
            </w:r>
          </w:p>
        </w:tc>
        <w:tc>
          <w:tcPr>
            <w:tcW w:w="1684" w:type="dxa"/>
          </w:tcPr>
          <w:p w14:paraId="2C277506"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0,001</w:t>
            </w:r>
          </w:p>
        </w:tc>
        <w:tc>
          <w:tcPr>
            <w:tcW w:w="1684" w:type="dxa"/>
          </w:tcPr>
          <w:p w14:paraId="00C13F0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w:t>
            </w:r>
          </w:p>
        </w:tc>
      </w:tr>
      <w:tr w:rsidR="00AD0547" w:rsidRPr="00650EE4" w14:paraId="420F79F0" w14:textId="77777777" w:rsidTr="0092133F">
        <w:tc>
          <w:tcPr>
            <w:tcW w:w="704" w:type="dxa"/>
          </w:tcPr>
          <w:p w14:paraId="14DF1FC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3.</w:t>
            </w:r>
          </w:p>
        </w:tc>
        <w:tc>
          <w:tcPr>
            <w:tcW w:w="2664" w:type="dxa"/>
          </w:tcPr>
          <w:p w14:paraId="4ED1FEB9"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Biokuras</w:t>
            </w:r>
          </w:p>
        </w:tc>
        <w:tc>
          <w:tcPr>
            <w:tcW w:w="1774" w:type="dxa"/>
          </w:tcPr>
          <w:p w14:paraId="6925EBF7"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6EDA4256"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0,156</w:t>
            </w:r>
          </w:p>
        </w:tc>
        <w:tc>
          <w:tcPr>
            <w:tcW w:w="1684" w:type="dxa"/>
          </w:tcPr>
          <w:p w14:paraId="462FD4C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0,04</w:t>
            </w:r>
          </w:p>
        </w:tc>
        <w:tc>
          <w:tcPr>
            <w:tcW w:w="1684" w:type="dxa"/>
          </w:tcPr>
          <w:p w14:paraId="3401BF2A"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1,04</w:t>
            </w:r>
          </w:p>
        </w:tc>
      </w:tr>
      <w:tr w:rsidR="00AD0547" w:rsidRPr="00650EE4" w14:paraId="332363FE" w14:textId="77777777" w:rsidTr="0092133F">
        <w:tc>
          <w:tcPr>
            <w:tcW w:w="704" w:type="dxa"/>
          </w:tcPr>
          <w:p w14:paraId="66C5B132"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4.</w:t>
            </w:r>
          </w:p>
        </w:tc>
        <w:tc>
          <w:tcPr>
            <w:tcW w:w="2664" w:type="dxa"/>
          </w:tcPr>
          <w:p w14:paraId="492BB02B"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Elektra</w:t>
            </w:r>
          </w:p>
        </w:tc>
        <w:tc>
          <w:tcPr>
            <w:tcW w:w="1774" w:type="dxa"/>
          </w:tcPr>
          <w:p w14:paraId="2C1235C4"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51A5795E"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1,82</w:t>
            </w:r>
          </w:p>
        </w:tc>
        <w:tc>
          <w:tcPr>
            <w:tcW w:w="1684" w:type="dxa"/>
          </w:tcPr>
          <w:p w14:paraId="542DEAD5"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1,67</w:t>
            </w:r>
          </w:p>
        </w:tc>
        <w:tc>
          <w:tcPr>
            <w:tcW w:w="1684" w:type="dxa"/>
          </w:tcPr>
          <w:p w14:paraId="0096C58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w:t>
            </w:r>
          </w:p>
        </w:tc>
      </w:tr>
      <w:tr w:rsidR="00AD0547" w:rsidRPr="00650EE4" w14:paraId="52570A7C" w14:textId="77777777" w:rsidTr="0092133F">
        <w:tc>
          <w:tcPr>
            <w:tcW w:w="704" w:type="dxa"/>
          </w:tcPr>
          <w:p w14:paraId="6FBFCC5B"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5.</w:t>
            </w:r>
          </w:p>
        </w:tc>
        <w:tc>
          <w:tcPr>
            <w:tcW w:w="2664" w:type="dxa"/>
          </w:tcPr>
          <w:p w14:paraId="2C0FB689"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Kitas kuras</w:t>
            </w:r>
          </w:p>
        </w:tc>
        <w:tc>
          <w:tcPr>
            <w:tcW w:w="1774" w:type="dxa"/>
          </w:tcPr>
          <w:p w14:paraId="71DA5E3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615C4F05"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0,45</w:t>
            </w:r>
          </w:p>
        </w:tc>
        <w:tc>
          <w:tcPr>
            <w:tcW w:w="1684" w:type="dxa"/>
          </w:tcPr>
          <w:p w14:paraId="2D506F2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1,56</w:t>
            </w:r>
          </w:p>
        </w:tc>
        <w:tc>
          <w:tcPr>
            <w:tcW w:w="1684" w:type="dxa"/>
          </w:tcPr>
          <w:p w14:paraId="01C3DF38"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0,68</w:t>
            </w:r>
          </w:p>
        </w:tc>
      </w:tr>
    </w:tbl>
    <w:p w14:paraId="703A1827" w14:textId="5625BDC3" w:rsidR="00AD0547" w:rsidRPr="00650EE4" w:rsidRDefault="00AD0547" w:rsidP="00AD0547">
      <w:pPr>
        <w:jc w:val="both"/>
        <w:rPr>
          <w:rFonts w:ascii="Times New Roman" w:hAnsi="Times New Roman"/>
          <w:i/>
          <w:iCs/>
          <w:color w:val="auto"/>
          <w:sz w:val="20"/>
          <w:szCs w:val="20"/>
        </w:rPr>
      </w:pPr>
      <w:r w:rsidRPr="00650EE4">
        <w:rPr>
          <w:rFonts w:ascii="Times New Roman" w:hAnsi="Times New Roman"/>
          <w:i/>
          <w:iCs/>
          <w:color w:val="auto"/>
          <w:sz w:val="20"/>
          <w:szCs w:val="20"/>
        </w:rPr>
        <w:t xml:space="preserve">Šaltinis: Studijos </w:t>
      </w:r>
      <w:r w:rsidR="002616CA" w:rsidRPr="00874EAF">
        <w:rPr>
          <w:rFonts w:ascii="Times New Roman" w:hAnsi="Times New Roman"/>
          <w:i/>
          <w:iCs/>
          <w:color w:val="auto"/>
          <w:sz w:val="20"/>
          <w:szCs w:val="20"/>
        </w:rPr>
        <w:t>Lietuvos ilgalaikei renovacijos strategijai parengti</w:t>
      </w:r>
      <w:r w:rsidR="002616CA" w:rsidRPr="00650EE4">
        <w:rPr>
          <w:rFonts w:ascii="Times New Roman" w:hAnsi="Times New Roman"/>
          <w:i/>
          <w:iCs/>
          <w:color w:val="auto"/>
          <w:sz w:val="20"/>
          <w:szCs w:val="20"/>
        </w:rPr>
        <w:t xml:space="preserve"> </w:t>
      </w:r>
      <w:r w:rsidRPr="00650EE4">
        <w:rPr>
          <w:rFonts w:ascii="Times New Roman" w:hAnsi="Times New Roman"/>
          <w:i/>
          <w:iCs/>
          <w:color w:val="auto"/>
          <w:sz w:val="20"/>
          <w:szCs w:val="20"/>
        </w:rPr>
        <w:t>autoriai, remiantis Europos aplinkos apsaugos agentūros į atmosferą išmetamų teršalų apskaitos metodika</w:t>
      </w:r>
    </w:p>
    <w:p w14:paraId="7FBD9097" w14:textId="77777777" w:rsidR="00AD0547" w:rsidRPr="00650EE4" w:rsidRDefault="00AD0547" w:rsidP="00AD0547">
      <w:pPr>
        <w:jc w:val="both"/>
        <w:rPr>
          <w:rFonts w:ascii="Times New Roman" w:hAnsi="Times New Roman"/>
          <w:i/>
          <w:iCs/>
          <w:color w:val="auto"/>
          <w:sz w:val="20"/>
          <w:szCs w:val="20"/>
        </w:rPr>
      </w:pPr>
    </w:p>
    <w:p w14:paraId="2660FDF3" w14:textId="661CCCD5" w:rsidR="00AD0547"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eastAsiaTheme="minorHAnsi" w:hAnsi="Times New Roman"/>
          <w:szCs w:val="22"/>
          <w:lang w:val="lt-LT"/>
        </w:rPr>
        <w:t>a</w:t>
      </w:r>
      <w:r w:rsidR="00AD0547" w:rsidRPr="00650EE4">
        <w:rPr>
          <w:rFonts w:ascii="Times New Roman" w:eastAsiaTheme="minorHAnsi" w:hAnsi="Times New Roman"/>
          <w:szCs w:val="22"/>
          <w:lang w:val="lt-LT"/>
        </w:rPr>
        <w:t>pskaičiuotas per laikotarpį išmetamų teršalų kiekis (t);</w:t>
      </w:r>
    </w:p>
    <w:p w14:paraId="71FB07F3" w14:textId="7CB45817" w:rsidR="00AD0547"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n</w:t>
      </w:r>
      <w:r w:rsidR="00AD0547" w:rsidRPr="00650EE4">
        <w:rPr>
          <w:rFonts w:ascii="Times New Roman" w:hAnsi="Times New Roman"/>
          <w:color w:val="auto"/>
          <w:szCs w:val="22"/>
          <w:lang w:val="lt-LT"/>
        </w:rPr>
        <w:t>ustatytos kiekvieno vertinamo teršalo taršos sąnaudos (</w:t>
      </w:r>
      <w:proofErr w:type="spellStart"/>
      <w:r w:rsidR="00AD0547" w:rsidRPr="00650EE4">
        <w:rPr>
          <w:rFonts w:ascii="Times New Roman" w:hAnsi="Times New Roman"/>
          <w:color w:val="auto"/>
          <w:szCs w:val="22"/>
          <w:lang w:val="lt-LT"/>
        </w:rPr>
        <w:t>Eur</w:t>
      </w:r>
      <w:proofErr w:type="spellEnd"/>
      <w:r w:rsidR="00AD0547" w:rsidRPr="00650EE4">
        <w:rPr>
          <w:rFonts w:ascii="Times New Roman" w:hAnsi="Times New Roman"/>
          <w:color w:val="auto"/>
          <w:szCs w:val="22"/>
          <w:lang w:val="lt-LT"/>
        </w:rPr>
        <w:t>/t)</w:t>
      </w:r>
      <w:r>
        <w:rPr>
          <w:rFonts w:ascii="Times New Roman" w:hAnsi="Times New Roman"/>
          <w:color w:val="auto"/>
          <w:szCs w:val="22"/>
          <w:lang w:val="lt-LT"/>
        </w:rPr>
        <w:t>;</w:t>
      </w:r>
    </w:p>
    <w:p w14:paraId="466CE9B7" w14:textId="16C12B53" w:rsidR="00AD0547"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a</w:t>
      </w:r>
      <w:r w:rsidR="00AD0547" w:rsidRPr="00650EE4">
        <w:rPr>
          <w:rFonts w:ascii="Times New Roman" w:hAnsi="Times New Roman"/>
          <w:color w:val="auto"/>
          <w:szCs w:val="22"/>
          <w:lang w:val="lt-LT"/>
        </w:rPr>
        <w:t>pskaičiuota per vertinimo laikotarpį išvengtos taršos nauda (</w:t>
      </w:r>
      <w:proofErr w:type="spellStart"/>
      <w:r w:rsidR="00AD0547" w:rsidRPr="00650EE4">
        <w:rPr>
          <w:rFonts w:ascii="Times New Roman" w:hAnsi="Times New Roman"/>
          <w:color w:val="auto"/>
          <w:szCs w:val="22"/>
          <w:lang w:val="lt-LT"/>
        </w:rPr>
        <w:t>Eur</w:t>
      </w:r>
      <w:proofErr w:type="spellEnd"/>
      <w:r w:rsidR="00AD0547" w:rsidRPr="00650EE4">
        <w:rPr>
          <w:rFonts w:ascii="Times New Roman" w:hAnsi="Times New Roman"/>
          <w:color w:val="auto"/>
          <w:szCs w:val="22"/>
          <w:lang w:val="lt-LT"/>
        </w:rPr>
        <w:t>).</w:t>
      </w:r>
    </w:p>
    <w:p w14:paraId="5B4EF5CF" w14:textId="77777777" w:rsidR="00AD0547" w:rsidRPr="00650EE4" w:rsidRDefault="00AD0547" w:rsidP="00AD0547">
      <w:pPr>
        <w:pStyle w:val="Pagrindinispaprastastekstas"/>
        <w:rPr>
          <w:rFonts w:ascii="Times New Roman" w:hAnsi="Times New Roman"/>
          <w:szCs w:val="22"/>
        </w:rPr>
      </w:pPr>
    </w:p>
    <w:p w14:paraId="7F38E85A" w14:textId="3F1B99E1" w:rsidR="00AD0547" w:rsidRPr="00650EE4" w:rsidRDefault="008F6593" w:rsidP="00AD0547">
      <w:pPr>
        <w:rPr>
          <w:rFonts w:ascii="Times New Roman" w:hAnsi="Times New Roman"/>
          <w:color w:val="auto"/>
          <w:szCs w:val="22"/>
        </w:rPr>
      </w:pPr>
      <w:r>
        <w:rPr>
          <w:rFonts w:ascii="Times New Roman" w:hAnsi="Times New Roman"/>
          <w:color w:val="auto"/>
          <w:szCs w:val="22"/>
        </w:rPr>
        <w:t>A</w:t>
      </w:r>
      <w:r w:rsidR="00AD0547" w:rsidRPr="00650EE4">
        <w:rPr>
          <w:rFonts w:ascii="Times New Roman" w:hAnsi="Times New Roman"/>
          <w:color w:val="auto"/>
          <w:szCs w:val="22"/>
        </w:rPr>
        <w:t>pskaičiuota, kad per IRS įgyvendinimo laikotarpį bus išvengta 1,201 ml</w:t>
      </w:r>
      <w:r w:rsidR="00175A5A">
        <w:rPr>
          <w:rFonts w:ascii="Times New Roman" w:hAnsi="Times New Roman"/>
          <w:color w:val="auto"/>
          <w:szCs w:val="22"/>
        </w:rPr>
        <w:t>rd</w:t>
      </w:r>
      <w:r w:rsidR="00AD0547" w:rsidRPr="00650EE4">
        <w:rPr>
          <w:rFonts w:ascii="Times New Roman" w:hAnsi="Times New Roman"/>
          <w:color w:val="auto"/>
          <w:szCs w:val="22"/>
        </w:rPr>
        <w:t xml:space="preserve">. </w:t>
      </w:r>
      <w:proofErr w:type="spellStart"/>
      <w:r w:rsidR="00AD0547" w:rsidRPr="00650EE4">
        <w:rPr>
          <w:rFonts w:ascii="Times New Roman" w:hAnsi="Times New Roman"/>
          <w:color w:val="auto"/>
          <w:szCs w:val="22"/>
        </w:rPr>
        <w:t>Eur</w:t>
      </w:r>
      <w:proofErr w:type="spellEnd"/>
      <w:r w:rsidR="00AD0547" w:rsidRPr="00650EE4">
        <w:rPr>
          <w:rFonts w:ascii="Times New Roman" w:hAnsi="Times New Roman"/>
          <w:color w:val="auto"/>
          <w:szCs w:val="22"/>
        </w:rPr>
        <w:t xml:space="preserve"> oro taršos.</w:t>
      </w:r>
    </w:p>
    <w:p w14:paraId="4536C2F3" w14:textId="77777777" w:rsidR="00AD0547" w:rsidRPr="00650EE4" w:rsidRDefault="00AD0547" w:rsidP="00381F11">
      <w:pPr>
        <w:spacing w:after="120"/>
        <w:jc w:val="both"/>
        <w:rPr>
          <w:rFonts w:ascii="Times New Roman" w:hAnsi="Times New Roman"/>
          <w:color w:val="auto"/>
          <w:szCs w:val="22"/>
        </w:rPr>
      </w:pPr>
    </w:p>
    <w:p w14:paraId="57CF43AF" w14:textId="175245EC" w:rsidR="00445AFB" w:rsidRPr="00650EE4" w:rsidRDefault="00381F11" w:rsidP="00381F11">
      <w:pPr>
        <w:spacing w:after="120"/>
        <w:jc w:val="both"/>
        <w:rPr>
          <w:rFonts w:ascii="Times New Roman" w:hAnsi="Times New Roman"/>
          <w:b/>
          <w:bCs/>
          <w:szCs w:val="24"/>
        </w:rPr>
      </w:pPr>
      <w:r w:rsidRPr="00650EE4">
        <w:rPr>
          <w:rFonts w:ascii="Times New Roman" w:hAnsi="Times New Roman"/>
          <w:b/>
          <w:bCs/>
          <w:szCs w:val="24"/>
        </w:rPr>
        <w:t>N7</w:t>
      </w:r>
      <w:r w:rsidR="00445AFB" w:rsidRPr="00650EE4">
        <w:rPr>
          <w:rFonts w:ascii="Times New Roman" w:hAnsi="Times New Roman"/>
          <w:b/>
          <w:bCs/>
          <w:szCs w:val="24"/>
        </w:rPr>
        <w:t>.</w:t>
      </w:r>
      <w:r w:rsidRPr="00650EE4">
        <w:rPr>
          <w:rFonts w:ascii="Times New Roman" w:hAnsi="Times New Roman"/>
          <w:b/>
          <w:bCs/>
          <w:szCs w:val="24"/>
        </w:rPr>
        <w:t xml:space="preserve"> </w:t>
      </w:r>
      <w:r w:rsidR="00445AFB" w:rsidRPr="00650EE4">
        <w:rPr>
          <w:rFonts w:ascii="Times New Roman" w:hAnsi="Times New Roman"/>
          <w:b/>
          <w:bCs/>
          <w:szCs w:val="24"/>
        </w:rPr>
        <w:t xml:space="preserve">Mažesnės kompensacijos </w:t>
      </w:r>
      <w:r w:rsidR="008316EA" w:rsidRPr="00650EE4">
        <w:rPr>
          <w:rFonts w:ascii="Times New Roman" w:hAnsi="Times New Roman"/>
          <w:b/>
          <w:bCs/>
          <w:szCs w:val="24"/>
        </w:rPr>
        <w:t>pažeidžiamų</w:t>
      </w:r>
      <w:r w:rsidR="00445AFB" w:rsidRPr="00650EE4">
        <w:rPr>
          <w:rFonts w:ascii="Times New Roman" w:hAnsi="Times New Roman"/>
          <w:b/>
          <w:bCs/>
          <w:szCs w:val="24"/>
        </w:rPr>
        <w:t xml:space="preserve"> gyventojų būsto šildymo sąnaudoms kompensuoti</w:t>
      </w:r>
      <w:bookmarkEnd w:id="192"/>
    </w:p>
    <w:p w14:paraId="505DD787" w14:textId="50256C10" w:rsidR="009D6DB7" w:rsidRPr="00650EE4" w:rsidRDefault="006B04B6" w:rsidP="006B04B6">
      <w:pPr>
        <w:pStyle w:val="BodyText"/>
        <w:jc w:val="both"/>
        <w:rPr>
          <w:rFonts w:ascii="Times New Roman" w:hAnsi="Times New Roman"/>
          <w:color w:val="auto"/>
          <w:szCs w:val="22"/>
          <w:lang w:val="lt-LT"/>
        </w:rPr>
      </w:pPr>
      <w:r w:rsidRPr="00650EE4">
        <w:rPr>
          <w:rFonts w:ascii="Times New Roman" w:hAnsi="Times New Roman"/>
          <w:color w:val="auto"/>
          <w:szCs w:val="22"/>
          <w:lang w:val="lt-LT"/>
        </w:rPr>
        <w:t xml:space="preserve">Šiuo metu Lietuvoje </w:t>
      </w:r>
      <w:r w:rsidR="006D08AE" w:rsidRPr="00650EE4">
        <w:rPr>
          <w:rFonts w:ascii="Times New Roman" w:hAnsi="Times New Roman"/>
          <w:color w:val="auto"/>
          <w:szCs w:val="22"/>
          <w:lang w:val="lt-LT"/>
        </w:rPr>
        <w:t>nepasiturintiems gyventojams kompensuojamos būsto šildymo, geriamojo ir karšto vandens išlaidos</w:t>
      </w:r>
      <w:r w:rsidRPr="00650EE4">
        <w:rPr>
          <w:rFonts w:ascii="Times New Roman" w:hAnsi="Times New Roman"/>
          <w:color w:val="auto"/>
          <w:szCs w:val="22"/>
          <w:lang w:val="lt-LT"/>
        </w:rPr>
        <w:t xml:space="preserve">. </w:t>
      </w:r>
      <w:r w:rsidR="006178D0" w:rsidRPr="00650EE4">
        <w:rPr>
          <w:rFonts w:ascii="Times New Roman" w:hAnsi="Times New Roman"/>
          <w:color w:val="auto"/>
          <w:szCs w:val="22"/>
          <w:lang w:val="lt-LT"/>
        </w:rPr>
        <w:t xml:space="preserve">Nepasiturintiems gyventojams kompensuojama būsto šildymo išlaidų dalis, viršijanti 10 procentų skirtumo tarp šeimos (asmens) pajamų ir valstybės remiamų pajamų (VRP) šeimai (asmeniui) dydžio. </w:t>
      </w:r>
      <w:r w:rsidR="00E85A25">
        <w:rPr>
          <w:rFonts w:ascii="Times New Roman" w:hAnsi="Times New Roman"/>
          <w:color w:val="auto"/>
          <w:szCs w:val="22"/>
          <w:lang w:val="lt-LT"/>
        </w:rPr>
        <w:t>20</w:t>
      </w:r>
      <w:r w:rsidR="00F30099">
        <w:rPr>
          <w:rFonts w:ascii="Times New Roman" w:hAnsi="Times New Roman"/>
          <w:color w:val="auto"/>
          <w:szCs w:val="22"/>
          <w:lang w:val="lt-LT"/>
        </w:rPr>
        <w:t>19</w:t>
      </w:r>
      <w:r w:rsidR="00E85A25">
        <w:rPr>
          <w:rFonts w:ascii="Times New Roman" w:hAnsi="Times New Roman"/>
          <w:color w:val="auto"/>
          <w:szCs w:val="22"/>
          <w:lang w:val="lt-LT"/>
        </w:rPr>
        <w:t xml:space="preserve"> m.</w:t>
      </w:r>
      <w:r w:rsidR="006178D0" w:rsidRPr="00650EE4">
        <w:rPr>
          <w:rFonts w:ascii="Times New Roman" w:hAnsi="Times New Roman"/>
          <w:color w:val="auto"/>
          <w:szCs w:val="22"/>
          <w:lang w:val="lt-LT"/>
        </w:rPr>
        <w:t xml:space="preserve"> VRP </w:t>
      </w:r>
      <w:r w:rsidR="00E85A25">
        <w:rPr>
          <w:rFonts w:ascii="Times New Roman" w:hAnsi="Times New Roman"/>
          <w:color w:val="auto"/>
          <w:szCs w:val="22"/>
          <w:lang w:val="lt-LT"/>
        </w:rPr>
        <w:t>buvo</w:t>
      </w:r>
      <w:r w:rsidR="006178D0" w:rsidRPr="00650EE4">
        <w:rPr>
          <w:rFonts w:ascii="Times New Roman" w:hAnsi="Times New Roman"/>
          <w:color w:val="auto"/>
          <w:szCs w:val="22"/>
          <w:lang w:val="lt-LT"/>
        </w:rPr>
        <w:t xml:space="preserve"> 12</w:t>
      </w:r>
      <w:r w:rsidR="00F30099">
        <w:rPr>
          <w:rFonts w:ascii="Times New Roman" w:hAnsi="Times New Roman"/>
          <w:color w:val="auto"/>
          <w:szCs w:val="22"/>
          <w:lang w:val="lt-LT"/>
        </w:rPr>
        <w:t>2</w:t>
      </w:r>
      <w:r w:rsidR="006178D0" w:rsidRPr="00650EE4">
        <w:rPr>
          <w:rFonts w:ascii="Times New Roman" w:hAnsi="Times New Roman"/>
          <w:color w:val="auto"/>
          <w:szCs w:val="22"/>
          <w:lang w:val="lt-LT"/>
        </w:rPr>
        <w:t xml:space="preserve"> </w:t>
      </w:r>
      <w:proofErr w:type="spellStart"/>
      <w:r w:rsidR="006178D0" w:rsidRPr="00650EE4">
        <w:rPr>
          <w:rFonts w:ascii="Times New Roman" w:hAnsi="Times New Roman"/>
          <w:color w:val="auto"/>
          <w:szCs w:val="22"/>
          <w:lang w:val="lt-LT"/>
        </w:rPr>
        <w:t>Eur</w:t>
      </w:r>
      <w:proofErr w:type="spellEnd"/>
      <w:r w:rsidR="006178D0" w:rsidRPr="00650EE4">
        <w:rPr>
          <w:rFonts w:ascii="Times New Roman" w:hAnsi="Times New Roman"/>
          <w:color w:val="auto"/>
          <w:szCs w:val="22"/>
          <w:lang w:val="lt-LT"/>
        </w:rPr>
        <w:t>.</w:t>
      </w:r>
      <w:r w:rsidRPr="00650EE4">
        <w:rPr>
          <w:rFonts w:ascii="Times New Roman" w:hAnsi="Times New Roman"/>
          <w:color w:val="auto"/>
          <w:szCs w:val="22"/>
          <w:lang w:val="lt-LT"/>
        </w:rPr>
        <w:t xml:space="preserve"> Pavyzdžiui, jei namų ūkio pajamos sudaro 800 eurų, o šildymo sąskaita siekia 1</w:t>
      </w:r>
      <w:r w:rsidR="006178D0" w:rsidRPr="00650EE4">
        <w:rPr>
          <w:rFonts w:ascii="Times New Roman" w:hAnsi="Times New Roman"/>
          <w:color w:val="auto"/>
          <w:szCs w:val="22"/>
          <w:lang w:val="lt-LT"/>
        </w:rPr>
        <w:t>0</w:t>
      </w:r>
      <w:r w:rsidRPr="00650EE4">
        <w:rPr>
          <w:rFonts w:ascii="Times New Roman" w:hAnsi="Times New Roman"/>
          <w:color w:val="auto"/>
          <w:szCs w:val="22"/>
          <w:lang w:val="lt-LT"/>
        </w:rPr>
        <w:t xml:space="preserve">0 eurų, tokiu atveju kompensuojama </w:t>
      </w:r>
      <w:r w:rsidR="00F30099">
        <w:rPr>
          <w:rFonts w:ascii="Times New Roman" w:hAnsi="Times New Roman"/>
          <w:color w:val="auto"/>
          <w:szCs w:val="22"/>
          <w:lang w:val="lt-LT"/>
        </w:rPr>
        <w:t xml:space="preserve">apie </w:t>
      </w:r>
      <w:r w:rsidR="006178D0" w:rsidRPr="00650EE4">
        <w:rPr>
          <w:rFonts w:ascii="Times New Roman" w:hAnsi="Times New Roman"/>
          <w:color w:val="auto"/>
          <w:szCs w:val="22"/>
          <w:lang w:val="lt-LT"/>
        </w:rPr>
        <w:t>70</w:t>
      </w:r>
      <w:r w:rsidRPr="00650EE4">
        <w:rPr>
          <w:rFonts w:ascii="Times New Roman" w:hAnsi="Times New Roman"/>
          <w:color w:val="auto"/>
          <w:szCs w:val="22"/>
          <w:lang w:val="lt-LT"/>
        </w:rPr>
        <w:t xml:space="preserve"> eurų šildymo sąskaitos</w:t>
      </w:r>
      <w:r w:rsidR="006178D0" w:rsidRPr="00650EE4">
        <w:rPr>
          <w:rFonts w:ascii="Times New Roman" w:hAnsi="Times New Roman"/>
          <w:color w:val="auto"/>
          <w:szCs w:val="22"/>
          <w:lang w:val="lt-LT"/>
        </w:rPr>
        <w:t xml:space="preserve">, </w:t>
      </w:r>
      <w:r w:rsidRPr="00650EE4">
        <w:rPr>
          <w:rFonts w:ascii="Times New Roman" w:hAnsi="Times New Roman"/>
          <w:color w:val="auto"/>
          <w:szCs w:val="22"/>
          <w:lang w:val="lt-LT"/>
        </w:rPr>
        <w:t xml:space="preserve">t.y. vartotojo išlaidos šildymui negali viršyti </w:t>
      </w:r>
      <w:r w:rsidR="00E85A25">
        <w:rPr>
          <w:rFonts w:ascii="Times New Roman" w:hAnsi="Times New Roman"/>
          <w:color w:val="auto"/>
          <w:szCs w:val="22"/>
          <w:lang w:val="lt-LT"/>
        </w:rPr>
        <w:t>3</w:t>
      </w:r>
      <w:r w:rsidR="00F30099">
        <w:rPr>
          <w:rFonts w:ascii="Times New Roman" w:hAnsi="Times New Roman"/>
          <w:color w:val="auto"/>
          <w:szCs w:val="22"/>
          <w:lang w:val="lt-LT"/>
        </w:rPr>
        <w:t>1,2</w:t>
      </w:r>
      <w:r w:rsidRPr="00650EE4">
        <w:rPr>
          <w:rFonts w:ascii="Times New Roman" w:hAnsi="Times New Roman"/>
          <w:color w:val="auto"/>
          <w:szCs w:val="22"/>
          <w:lang w:val="lt-LT"/>
        </w:rPr>
        <w:t xml:space="preserve"> </w:t>
      </w:r>
      <w:proofErr w:type="spellStart"/>
      <w:r w:rsidRPr="00650EE4">
        <w:rPr>
          <w:rFonts w:ascii="Times New Roman" w:hAnsi="Times New Roman"/>
          <w:color w:val="auto"/>
          <w:szCs w:val="22"/>
          <w:lang w:val="lt-LT"/>
        </w:rPr>
        <w:t>Eur</w:t>
      </w:r>
      <w:proofErr w:type="spellEnd"/>
      <w:r w:rsidR="006178D0" w:rsidRPr="00650EE4">
        <w:rPr>
          <w:rStyle w:val="FootnoteReference"/>
          <w:rFonts w:ascii="Times New Roman" w:hAnsi="Times New Roman"/>
          <w:color w:val="auto"/>
          <w:szCs w:val="22"/>
          <w:lang w:val="lt-LT"/>
        </w:rPr>
        <w:footnoteReference w:id="51"/>
      </w:r>
      <w:r w:rsidRPr="00650EE4">
        <w:rPr>
          <w:rFonts w:ascii="Times New Roman" w:hAnsi="Times New Roman"/>
          <w:color w:val="auto"/>
          <w:szCs w:val="22"/>
          <w:lang w:val="lt-LT"/>
        </w:rPr>
        <w:t xml:space="preserve">. </w:t>
      </w:r>
    </w:p>
    <w:p w14:paraId="2AECB342" w14:textId="77777777" w:rsidR="009D6DB7" w:rsidRPr="00650EE4" w:rsidRDefault="009D6DB7" w:rsidP="006B04B6">
      <w:pPr>
        <w:pStyle w:val="BodyText"/>
        <w:jc w:val="both"/>
        <w:rPr>
          <w:rFonts w:ascii="Times New Roman" w:hAnsi="Times New Roman"/>
          <w:color w:val="auto"/>
          <w:szCs w:val="22"/>
          <w:lang w:val="lt-LT"/>
        </w:rPr>
      </w:pPr>
    </w:p>
    <w:p w14:paraId="7D87AD2F" w14:textId="5B01F38A" w:rsidR="006B04B6" w:rsidRPr="00650EE4" w:rsidRDefault="006B04B6" w:rsidP="006B04B6">
      <w:pPr>
        <w:pStyle w:val="BodyText"/>
        <w:jc w:val="both"/>
        <w:rPr>
          <w:rFonts w:ascii="Times New Roman" w:hAnsi="Times New Roman"/>
          <w:color w:val="auto"/>
          <w:szCs w:val="22"/>
          <w:lang w:val="lt-LT"/>
        </w:rPr>
      </w:pPr>
      <w:r w:rsidRPr="00650EE4">
        <w:rPr>
          <w:rFonts w:ascii="Times New Roman" w:hAnsi="Times New Roman"/>
          <w:color w:val="auto"/>
          <w:szCs w:val="22"/>
          <w:lang w:val="lt-LT"/>
        </w:rPr>
        <w:t>Paveiksle žemiau pateikiama šildymo kompensacijų išmokų biudžeto statistika 2012-2018 metais</w:t>
      </w:r>
      <w:r w:rsidR="009D6DB7" w:rsidRPr="00650EE4">
        <w:rPr>
          <w:rFonts w:ascii="Times New Roman" w:hAnsi="Times New Roman"/>
          <w:color w:val="auto"/>
          <w:szCs w:val="22"/>
          <w:lang w:val="lt-LT"/>
        </w:rPr>
        <w:t>.</w:t>
      </w:r>
      <w:r w:rsidR="00175A5A">
        <w:rPr>
          <w:rFonts w:ascii="Times New Roman" w:hAnsi="Times New Roman"/>
          <w:color w:val="auto"/>
          <w:szCs w:val="22"/>
          <w:lang w:val="lt-LT"/>
        </w:rPr>
        <w:t xml:space="preserve"> </w:t>
      </w:r>
      <w:r w:rsidR="00175A5A" w:rsidRPr="00650EE4">
        <w:rPr>
          <w:rFonts w:ascii="Times New Roman" w:hAnsi="Times New Roman"/>
          <w:color w:val="auto"/>
          <w:szCs w:val="22"/>
          <w:lang w:val="lt-LT"/>
        </w:rPr>
        <w:t>Kompensacijų poreikiui įtaką daro trys pagrindiniai veiksniai suvartojamos šilumos kiekis, šilumos kainos ir namų ūkių pajamos. Didžiausias renovacijos poveikis – sumažėjęs šiluminės energijos poreikis.</w:t>
      </w:r>
    </w:p>
    <w:p w14:paraId="5F9234D8" w14:textId="77777777" w:rsidR="00562523" w:rsidRPr="00650EE4" w:rsidRDefault="00562523" w:rsidP="006B04B6">
      <w:pPr>
        <w:pStyle w:val="BodyText"/>
        <w:jc w:val="both"/>
        <w:rPr>
          <w:rFonts w:ascii="Times New Roman" w:hAnsi="Times New Roman"/>
          <w:color w:val="auto"/>
          <w:szCs w:val="22"/>
          <w:lang w:val="lt-LT"/>
        </w:rPr>
      </w:pPr>
    </w:p>
    <w:p w14:paraId="1765B096" w14:textId="77777777" w:rsidR="00175A5A" w:rsidRDefault="00175A5A" w:rsidP="00631BA6">
      <w:pPr>
        <w:pStyle w:val="TESlentelspavadinimas"/>
        <w:rPr>
          <w:noProof w:val="0"/>
        </w:rPr>
      </w:pPr>
    </w:p>
    <w:p w14:paraId="3334253D" w14:textId="77777777" w:rsidR="00175A5A" w:rsidRDefault="00175A5A" w:rsidP="00631BA6">
      <w:pPr>
        <w:pStyle w:val="TESlentelspavadinimas"/>
        <w:rPr>
          <w:noProof w:val="0"/>
        </w:rPr>
      </w:pPr>
    </w:p>
    <w:p w14:paraId="72855838" w14:textId="77777777" w:rsidR="00175A5A" w:rsidRDefault="00175A5A" w:rsidP="00631BA6">
      <w:pPr>
        <w:pStyle w:val="TESlentelspavadinimas"/>
        <w:rPr>
          <w:noProof w:val="0"/>
        </w:rPr>
      </w:pPr>
    </w:p>
    <w:p w14:paraId="00964BFE" w14:textId="77777777" w:rsidR="00175A5A" w:rsidRDefault="00175A5A" w:rsidP="00631BA6">
      <w:pPr>
        <w:pStyle w:val="TESlentelspavadinimas"/>
        <w:rPr>
          <w:noProof w:val="0"/>
        </w:rPr>
      </w:pPr>
    </w:p>
    <w:p w14:paraId="20EDF51D" w14:textId="77777777" w:rsidR="00175A5A" w:rsidRDefault="00175A5A" w:rsidP="00631BA6">
      <w:pPr>
        <w:pStyle w:val="TESlentelspavadinimas"/>
        <w:rPr>
          <w:noProof w:val="0"/>
        </w:rPr>
      </w:pPr>
    </w:p>
    <w:p w14:paraId="03B01492" w14:textId="35FAC93B" w:rsidR="00727994" w:rsidRPr="00650EE4" w:rsidRDefault="00727994"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94" w:name="_Toc67925275"/>
      <w:r w:rsidR="007744C1">
        <w:t>27</w:t>
      </w:r>
      <w:r w:rsidRPr="00650EE4">
        <w:rPr>
          <w:noProof w:val="0"/>
        </w:rPr>
        <w:fldChar w:fldCharType="end"/>
      </w:r>
      <w:r w:rsidRPr="00650EE4">
        <w:rPr>
          <w:noProof w:val="0"/>
        </w:rPr>
        <w:t xml:space="preserve"> paveikslas. Būsto kompensavimo iš</w:t>
      </w:r>
      <w:r w:rsidR="005B42E9">
        <w:rPr>
          <w:noProof w:val="0"/>
        </w:rPr>
        <w:t>laidos</w:t>
      </w:r>
      <w:r w:rsidRPr="00650EE4">
        <w:rPr>
          <w:noProof w:val="0"/>
        </w:rPr>
        <w:t xml:space="preserve"> ir gavėjų skaičiaus lygis 2012-2018 m. Lietuvoje</w:t>
      </w:r>
      <w:bookmarkEnd w:id="194"/>
    </w:p>
    <w:p w14:paraId="3C098AF1" w14:textId="059BD92A" w:rsidR="006B04B6" w:rsidRPr="00650EE4" w:rsidRDefault="00175A5A" w:rsidP="006B04B6">
      <w:pPr>
        <w:rPr>
          <w:rFonts w:ascii="Times New Roman" w:hAnsi="Times New Roman"/>
          <w:color w:val="auto"/>
          <w:szCs w:val="22"/>
        </w:rPr>
      </w:pPr>
      <w:r w:rsidRPr="00650EE4">
        <w:rPr>
          <w:rFonts w:ascii="Times New Roman" w:hAnsi="Times New Roman"/>
          <w:noProof/>
          <w:color w:val="auto"/>
          <w:szCs w:val="22"/>
          <w:lang w:eastAsia="lt-LT"/>
        </w:rPr>
        <w:drawing>
          <wp:inline distT="0" distB="0" distL="0" distR="0" wp14:anchorId="46E6D143" wp14:editId="55256A23">
            <wp:extent cx="6479540" cy="2235300"/>
            <wp:effectExtent l="0" t="0" r="16510" b="12700"/>
            <wp:docPr id="65" name="Chart 6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E92C4B-861B-49DF-B67F-6D0EBC082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241172" w14:textId="77777777" w:rsidR="006B04B6" w:rsidRPr="00650EE4" w:rsidRDefault="006B04B6" w:rsidP="006B04B6">
      <w:pPr>
        <w:spacing w:before="60" w:line="240" w:lineRule="auto"/>
        <w:rPr>
          <w:rFonts w:ascii="Times New Roman" w:eastAsia="Times New Roman" w:hAnsi="Times New Roman"/>
          <w:i/>
          <w:color w:val="auto"/>
          <w:sz w:val="20"/>
          <w:szCs w:val="20"/>
        </w:rPr>
      </w:pPr>
      <w:r w:rsidRPr="00650EE4">
        <w:rPr>
          <w:rFonts w:ascii="Times New Roman" w:eastAsia="Times New Roman" w:hAnsi="Times New Roman"/>
          <w:i/>
          <w:color w:val="auto"/>
          <w:sz w:val="20"/>
          <w:szCs w:val="20"/>
        </w:rPr>
        <w:t>Šaltinis: Lietuvos Respublikos socialinės apsaugos ir darbo ministerija</w:t>
      </w:r>
    </w:p>
    <w:p w14:paraId="738AA50F" w14:textId="77777777" w:rsidR="006B04B6" w:rsidRPr="00650EE4" w:rsidRDefault="006B04B6" w:rsidP="006B04B6">
      <w:pPr>
        <w:jc w:val="both"/>
        <w:rPr>
          <w:rFonts w:ascii="Times New Roman" w:hAnsi="Times New Roman"/>
          <w:color w:val="auto"/>
          <w:szCs w:val="22"/>
        </w:rPr>
      </w:pPr>
    </w:p>
    <w:p w14:paraId="28EB183A" w14:textId="77777777" w:rsidR="006B04B6" w:rsidRPr="00650EE4" w:rsidRDefault="006B04B6" w:rsidP="006B04B6">
      <w:pPr>
        <w:jc w:val="both"/>
        <w:rPr>
          <w:rFonts w:ascii="Times New Roman" w:hAnsi="Times New Roman"/>
          <w:color w:val="auto"/>
          <w:szCs w:val="22"/>
        </w:rPr>
      </w:pPr>
      <w:r w:rsidRPr="00650EE4">
        <w:rPr>
          <w:rFonts w:ascii="Times New Roman" w:hAnsi="Times New Roman"/>
          <w:color w:val="auto"/>
          <w:szCs w:val="22"/>
        </w:rPr>
        <w:t>Atitinkamai kompensacijų už šildymą mažėjimas apskaičiuotas žemiau nurodyta tvarka:</w:t>
      </w:r>
    </w:p>
    <w:p w14:paraId="5E0D3293" w14:textId="3E248930" w:rsidR="006B04B6"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n</w:t>
      </w:r>
      <w:r w:rsidR="006B04B6" w:rsidRPr="00650EE4">
        <w:rPr>
          <w:rFonts w:ascii="Times New Roman" w:hAnsi="Times New Roman"/>
          <w:color w:val="auto"/>
          <w:szCs w:val="22"/>
          <w:lang w:val="lt-LT"/>
        </w:rPr>
        <w:t xml:space="preserve">ustatytas metinis kompensacijų poreikis – 21,6 mln. </w:t>
      </w:r>
      <w:proofErr w:type="spellStart"/>
      <w:r w:rsidR="006B04B6" w:rsidRPr="00650EE4">
        <w:rPr>
          <w:rFonts w:ascii="Times New Roman" w:hAnsi="Times New Roman"/>
          <w:color w:val="auto"/>
          <w:szCs w:val="22"/>
          <w:lang w:val="lt-LT"/>
        </w:rPr>
        <w:t>Eur</w:t>
      </w:r>
      <w:proofErr w:type="spellEnd"/>
      <w:r w:rsidR="006B04B6" w:rsidRPr="00650EE4">
        <w:rPr>
          <w:rFonts w:ascii="Times New Roman" w:hAnsi="Times New Roman"/>
          <w:color w:val="auto"/>
          <w:szCs w:val="22"/>
          <w:lang w:val="lt-LT"/>
        </w:rPr>
        <w:t>;</w:t>
      </w:r>
    </w:p>
    <w:p w14:paraId="3B5A1283" w14:textId="15DA1D99" w:rsidR="006B04B6"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k</w:t>
      </w:r>
      <w:r w:rsidR="006B04B6" w:rsidRPr="00650EE4">
        <w:rPr>
          <w:rFonts w:ascii="Times New Roman" w:hAnsi="Times New Roman"/>
          <w:color w:val="auto"/>
          <w:szCs w:val="22"/>
          <w:lang w:val="lt-LT"/>
        </w:rPr>
        <w:t>adangi iki 2050 m. bus renovuojami visi C arba žemesnės energinio naudingumo klasės pastatai ir laikantis konservatyvumo principo, vertinama kad iki 2050 m. dings poreikis 80 proc. kompensacijų, t.y. vidutiniškai kasmet nebereikės mo</w:t>
      </w:r>
      <w:r>
        <w:rPr>
          <w:rFonts w:ascii="Times New Roman" w:hAnsi="Times New Roman"/>
          <w:color w:val="auto"/>
          <w:szCs w:val="22"/>
          <w:lang w:val="lt-LT"/>
        </w:rPr>
        <w:t xml:space="preserve">kėti 0,58 mln. </w:t>
      </w:r>
      <w:proofErr w:type="spellStart"/>
      <w:r>
        <w:rPr>
          <w:rFonts w:ascii="Times New Roman" w:hAnsi="Times New Roman"/>
          <w:color w:val="auto"/>
          <w:szCs w:val="22"/>
          <w:lang w:val="lt-LT"/>
        </w:rPr>
        <w:t>Eur</w:t>
      </w:r>
      <w:proofErr w:type="spellEnd"/>
      <w:r>
        <w:rPr>
          <w:rFonts w:ascii="Times New Roman" w:hAnsi="Times New Roman"/>
          <w:color w:val="auto"/>
          <w:szCs w:val="22"/>
          <w:lang w:val="lt-LT"/>
        </w:rPr>
        <w:t xml:space="preserve"> kompensacijų;</w:t>
      </w:r>
    </w:p>
    <w:p w14:paraId="0984EEA8" w14:textId="165C12EC" w:rsidR="006B04B6"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a</w:t>
      </w:r>
      <w:r w:rsidR="006B04B6" w:rsidRPr="00650EE4">
        <w:rPr>
          <w:rFonts w:ascii="Times New Roman" w:hAnsi="Times New Roman"/>
          <w:color w:val="auto"/>
          <w:szCs w:val="22"/>
          <w:lang w:val="lt-LT"/>
        </w:rPr>
        <w:t xml:space="preserve">titinkamai per IRS įgyvendinimo laikotarpį bus sutaupyta 267,8 mln. </w:t>
      </w:r>
      <w:proofErr w:type="spellStart"/>
      <w:r w:rsidR="006B04B6" w:rsidRPr="00650EE4">
        <w:rPr>
          <w:rFonts w:ascii="Times New Roman" w:hAnsi="Times New Roman"/>
          <w:color w:val="auto"/>
          <w:szCs w:val="22"/>
          <w:lang w:val="lt-LT"/>
        </w:rPr>
        <w:t>Eur</w:t>
      </w:r>
      <w:proofErr w:type="spellEnd"/>
      <w:r w:rsidR="006B04B6" w:rsidRPr="00650EE4">
        <w:rPr>
          <w:rFonts w:ascii="Times New Roman" w:hAnsi="Times New Roman"/>
          <w:color w:val="auto"/>
          <w:szCs w:val="22"/>
          <w:lang w:val="lt-LT"/>
        </w:rPr>
        <w:t xml:space="preserve"> kompensacijoms už šildymą.</w:t>
      </w:r>
    </w:p>
    <w:p w14:paraId="142228E6" w14:textId="77777777" w:rsidR="006B04B6" w:rsidRPr="00650EE4" w:rsidRDefault="006B04B6" w:rsidP="000910B9">
      <w:pPr>
        <w:rPr>
          <w:rFonts w:ascii="Times New Roman" w:hAnsi="Times New Roman"/>
          <w:color w:val="auto"/>
          <w:szCs w:val="22"/>
        </w:rPr>
      </w:pPr>
    </w:p>
    <w:p w14:paraId="1E611794" w14:textId="6BB29CB6" w:rsidR="000910B9" w:rsidRPr="00650EE4" w:rsidRDefault="00E723D0" w:rsidP="006A5A8F">
      <w:pPr>
        <w:pStyle w:val="Antrastes31"/>
        <w:numPr>
          <w:ilvl w:val="2"/>
          <w:numId w:val="4"/>
        </w:numPr>
        <w:spacing w:before="120"/>
        <w:ind w:left="720" w:hanging="720"/>
        <w:rPr>
          <w:rFonts w:ascii="Times New Roman" w:hAnsi="Times New Roman"/>
          <w:color w:val="000000" w:themeColor="text1"/>
          <w:sz w:val="24"/>
          <w:szCs w:val="24"/>
          <w:lang w:val="lt-LT"/>
        </w:rPr>
      </w:pPr>
      <w:bookmarkStart w:id="195" w:name="_Toc67925169"/>
      <w:r>
        <w:rPr>
          <w:rFonts w:ascii="Times New Roman" w:hAnsi="Times New Roman"/>
          <w:color w:val="000000" w:themeColor="text1"/>
          <w:sz w:val="24"/>
          <w:szCs w:val="24"/>
          <w:lang w:val="lt-LT"/>
        </w:rPr>
        <w:t>Papildomos</w:t>
      </w:r>
      <w:r w:rsidR="005D7DFB" w:rsidRPr="00650EE4">
        <w:rPr>
          <w:rFonts w:ascii="Times New Roman" w:hAnsi="Times New Roman"/>
          <w:color w:val="000000" w:themeColor="text1"/>
          <w:sz w:val="24"/>
          <w:szCs w:val="24"/>
          <w:lang w:val="lt-LT"/>
        </w:rPr>
        <w:t xml:space="preserve"> naudos</w:t>
      </w:r>
      <w:bookmarkEnd w:id="195"/>
    </w:p>
    <w:p w14:paraId="609B132E" w14:textId="7DB10466" w:rsidR="00CE7DD6" w:rsidRPr="00650EE4" w:rsidRDefault="00CE7DD6" w:rsidP="00EE4D5D">
      <w:pPr>
        <w:spacing w:after="120"/>
        <w:jc w:val="both"/>
        <w:rPr>
          <w:rFonts w:ascii="Times New Roman" w:eastAsia="Times New Roman" w:hAnsi="Times New Roman"/>
          <w:color w:val="auto"/>
          <w:szCs w:val="22"/>
        </w:rPr>
      </w:pPr>
      <w:r w:rsidRPr="00650EE4">
        <w:rPr>
          <w:rFonts w:ascii="Times New Roman" w:eastAsia="Times New Roman" w:hAnsi="Times New Roman"/>
          <w:color w:val="auto"/>
          <w:szCs w:val="22"/>
        </w:rPr>
        <w:t xml:space="preserve">Papildomai prie aukščiau aprašytų apskaičiuotų naudų egzistuoja kitos, neapskaičiuojamos, naudos, kurias sudėtinga įvertinti dėl jų pobūdžio ar duomenų trūkumo. Toliau pateikiama </w:t>
      </w:r>
      <w:r w:rsidR="00AE772E" w:rsidRPr="00650EE4">
        <w:rPr>
          <w:rFonts w:ascii="Times New Roman" w:eastAsia="Times New Roman" w:hAnsi="Times New Roman"/>
          <w:color w:val="auto"/>
          <w:szCs w:val="22"/>
        </w:rPr>
        <w:t xml:space="preserve">šių </w:t>
      </w:r>
      <w:r w:rsidRPr="00650EE4">
        <w:rPr>
          <w:rFonts w:ascii="Times New Roman" w:eastAsia="Times New Roman" w:hAnsi="Times New Roman"/>
          <w:color w:val="auto"/>
          <w:szCs w:val="22"/>
        </w:rPr>
        <w:t>reikšmingiausių platesnio masto naudų apžvalga</w:t>
      </w:r>
      <w:r w:rsidR="00EE4D5D" w:rsidRPr="00650EE4">
        <w:rPr>
          <w:rFonts w:ascii="Times New Roman" w:eastAsia="Times New Roman" w:hAnsi="Times New Roman"/>
          <w:color w:val="auto"/>
          <w:szCs w:val="22"/>
        </w:rPr>
        <w:t>:</w:t>
      </w:r>
    </w:p>
    <w:p w14:paraId="383BA999" w14:textId="3DFC9984"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energetinė nepriklausomybė</w:t>
      </w:r>
      <w:r w:rsidR="00CB3822" w:rsidRPr="00650EE4">
        <w:rPr>
          <w:rFonts w:ascii="Times New Roman" w:hAnsi="Times New Roman"/>
          <w:color w:val="auto"/>
          <w:szCs w:val="22"/>
          <w:lang w:val="lt-LT"/>
        </w:rPr>
        <w:t>;</w:t>
      </w:r>
    </w:p>
    <w:p w14:paraId="63E61CE9" w14:textId="1E9A2A22"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esamų gamybos pajėgumų panaudojimas</w:t>
      </w:r>
      <w:r w:rsidR="00CB3822" w:rsidRPr="00650EE4">
        <w:rPr>
          <w:rFonts w:ascii="Times New Roman" w:hAnsi="Times New Roman"/>
          <w:color w:val="auto"/>
          <w:szCs w:val="22"/>
          <w:lang w:val="lt-LT"/>
        </w:rPr>
        <w:t>;</w:t>
      </w:r>
    </w:p>
    <w:p w14:paraId="0DEFF7AE" w14:textId="1B4F1147"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pastatų tarnavimo laikotarpio padidėjimas</w:t>
      </w:r>
      <w:r w:rsidR="00CB3822" w:rsidRPr="00650EE4">
        <w:rPr>
          <w:rFonts w:ascii="Times New Roman" w:hAnsi="Times New Roman"/>
          <w:color w:val="auto"/>
          <w:szCs w:val="22"/>
          <w:lang w:val="lt-LT"/>
        </w:rPr>
        <w:t>;</w:t>
      </w:r>
    </w:p>
    <w:p w14:paraId="49FD8A4E" w14:textId="435689BD"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subsidijų poreikio mažėjimas susijusiuose sektoriuose</w:t>
      </w:r>
      <w:r w:rsidR="00CB3822" w:rsidRPr="00650EE4">
        <w:rPr>
          <w:rFonts w:ascii="Times New Roman" w:hAnsi="Times New Roman"/>
          <w:color w:val="auto"/>
          <w:szCs w:val="22"/>
          <w:lang w:val="lt-LT"/>
        </w:rPr>
        <w:t>;</w:t>
      </w:r>
    </w:p>
    <w:p w14:paraId="1EAF9FBD" w14:textId="69EEF34C"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statybos ir statybinių medžiagų gamintojų sektoriaus stiprėjimas</w:t>
      </w:r>
      <w:r w:rsidR="00CB3822" w:rsidRPr="00650EE4">
        <w:rPr>
          <w:rFonts w:ascii="Times New Roman" w:hAnsi="Times New Roman"/>
          <w:color w:val="auto"/>
          <w:szCs w:val="22"/>
          <w:lang w:val="lt-LT"/>
        </w:rPr>
        <w:t>.</w:t>
      </w:r>
    </w:p>
    <w:p w14:paraId="528FE17D" w14:textId="77777777" w:rsidR="00CE7DD6" w:rsidRPr="00650EE4" w:rsidRDefault="00CE7DD6" w:rsidP="00CE7DD6">
      <w:pPr>
        <w:jc w:val="both"/>
        <w:rPr>
          <w:rFonts w:ascii="Times New Roman" w:hAnsi="Times New Roman"/>
          <w:color w:val="auto"/>
          <w:szCs w:val="22"/>
        </w:rPr>
      </w:pPr>
    </w:p>
    <w:p w14:paraId="74CA4B5A" w14:textId="6869574F"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t>Energetinė nepr</w:t>
      </w:r>
      <w:r w:rsidR="00D32AC8" w:rsidRPr="00650EE4">
        <w:rPr>
          <w:rFonts w:ascii="Times New Roman" w:hAnsi="Times New Roman"/>
          <w:b/>
          <w:bCs/>
          <w:color w:val="auto"/>
          <w:szCs w:val="22"/>
        </w:rPr>
        <w:t>i</w:t>
      </w:r>
      <w:r w:rsidRPr="00650EE4">
        <w:rPr>
          <w:rFonts w:ascii="Times New Roman" w:hAnsi="Times New Roman"/>
          <w:b/>
          <w:bCs/>
          <w:color w:val="auto"/>
          <w:szCs w:val="22"/>
        </w:rPr>
        <w:t>klausomybė</w:t>
      </w:r>
    </w:p>
    <w:p w14:paraId="0FB9BED3" w14:textId="1B8E113F"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Energetiškai efektyvūs pastatai </w:t>
      </w:r>
      <w:r w:rsidR="009C6CAC" w:rsidRPr="00650EE4">
        <w:rPr>
          <w:rFonts w:ascii="Times New Roman" w:hAnsi="Times New Roman"/>
          <w:color w:val="auto"/>
          <w:szCs w:val="22"/>
        </w:rPr>
        <w:t>reikšmingai</w:t>
      </w:r>
      <w:r w:rsidRPr="00650EE4">
        <w:rPr>
          <w:rFonts w:ascii="Times New Roman" w:hAnsi="Times New Roman"/>
          <w:color w:val="auto"/>
          <w:szCs w:val="22"/>
        </w:rPr>
        <w:t xml:space="preserve"> sumažina energijos poreikį, ypa</w:t>
      </w:r>
      <w:r w:rsidR="00AE1217" w:rsidRPr="00650EE4">
        <w:rPr>
          <w:rFonts w:ascii="Times New Roman" w:hAnsi="Times New Roman"/>
          <w:color w:val="auto"/>
          <w:szCs w:val="22"/>
        </w:rPr>
        <w:t>tingai</w:t>
      </w:r>
      <w:r w:rsidRPr="00650EE4">
        <w:rPr>
          <w:rFonts w:ascii="Times New Roman" w:hAnsi="Times New Roman"/>
          <w:color w:val="auto"/>
          <w:szCs w:val="22"/>
        </w:rPr>
        <w:t xml:space="preserve"> ekstremalių šalčių metu, kai priklausomybė nuo importuojamų energetinių išteklių</w:t>
      </w:r>
      <w:r w:rsidR="004A1300" w:rsidRPr="00650EE4">
        <w:rPr>
          <w:rFonts w:ascii="Times New Roman" w:hAnsi="Times New Roman"/>
          <w:color w:val="auto"/>
          <w:szCs w:val="22"/>
        </w:rPr>
        <w:t xml:space="preserve"> (Lietuvoje – </w:t>
      </w:r>
      <w:r w:rsidR="00A81B2E" w:rsidRPr="00650EE4">
        <w:rPr>
          <w:rFonts w:ascii="Times New Roman" w:hAnsi="Times New Roman"/>
          <w:color w:val="auto"/>
          <w:szCs w:val="22"/>
        </w:rPr>
        <w:t xml:space="preserve">gamtinių </w:t>
      </w:r>
      <w:r w:rsidR="004A1300" w:rsidRPr="00650EE4">
        <w:rPr>
          <w:rFonts w:ascii="Times New Roman" w:hAnsi="Times New Roman"/>
          <w:color w:val="auto"/>
          <w:szCs w:val="22"/>
        </w:rPr>
        <w:t>dujų)</w:t>
      </w:r>
      <w:r w:rsidRPr="00650EE4">
        <w:rPr>
          <w:rFonts w:ascii="Times New Roman" w:hAnsi="Times New Roman"/>
          <w:color w:val="auto"/>
          <w:szCs w:val="22"/>
        </w:rPr>
        <w:t xml:space="preserve"> yra didžiausia, o visuomenė </w:t>
      </w:r>
      <w:proofErr w:type="spellStart"/>
      <w:r w:rsidRPr="00650EE4">
        <w:rPr>
          <w:rFonts w:ascii="Times New Roman" w:hAnsi="Times New Roman"/>
          <w:color w:val="auto"/>
          <w:szCs w:val="22"/>
        </w:rPr>
        <w:t>pažeidžiamiausia</w:t>
      </w:r>
      <w:proofErr w:type="spellEnd"/>
      <w:r w:rsidRPr="00650EE4">
        <w:rPr>
          <w:rFonts w:ascii="Times New Roman" w:hAnsi="Times New Roman"/>
          <w:color w:val="auto"/>
          <w:szCs w:val="22"/>
        </w:rPr>
        <w:t xml:space="preserve">. </w:t>
      </w:r>
      <w:r w:rsidR="00AE1217" w:rsidRPr="00650EE4">
        <w:rPr>
          <w:rFonts w:ascii="Times New Roman" w:hAnsi="Times New Roman"/>
          <w:color w:val="auto"/>
          <w:szCs w:val="22"/>
        </w:rPr>
        <w:t>Papildomai</w:t>
      </w:r>
      <w:r w:rsidRPr="00650EE4">
        <w:rPr>
          <w:rFonts w:ascii="Times New Roman" w:hAnsi="Times New Roman"/>
          <w:color w:val="auto"/>
          <w:szCs w:val="22"/>
        </w:rPr>
        <w:t xml:space="preserve"> mažesnis importuojamų išteklių poreikis </w:t>
      </w:r>
      <w:r w:rsidR="00AE1217" w:rsidRPr="00650EE4">
        <w:rPr>
          <w:rFonts w:ascii="Times New Roman" w:hAnsi="Times New Roman"/>
          <w:color w:val="auto"/>
          <w:szCs w:val="22"/>
        </w:rPr>
        <w:t>yra vienas</w:t>
      </w:r>
      <w:r w:rsidRPr="00650EE4">
        <w:rPr>
          <w:rFonts w:ascii="Times New Roman" w:hAnsi="Times New Roman"/>
          <w:color w:val="auto"/>
          <w:szCs w:val="22"/>
        </w:rPr>
        <w:t xml:space="preserve"> faktorių prisidedančių prie spartesnio ekonomikos augimo</w:t>
      </w:r>
      <w:r w:rsidR="00AE1217" w:rsidRPr="00650EE4">
        <w:rPr>
          <w:rFonts w:ascii="Times New Roman" w:hAnsi="Times New Roman"/>
          <w:color w:val="auto"/>
          <w:szCs w:val="22"/>
        </w:rPr>
        <w:t>.</w:t>
      </w:r>
    </w:p>
    <w:p w14:paraId="63DA5355" w14:textId="77777777" w:rsidR="00CE7DD6" w:rsidRPr="00650EE4" w:rsidRDefault="00CE7DD6" w:rsidP="00CE7DD6">
      <w:pPr>
        <w:jc w:val="both"/>
        <w:rPr>
          <w:rFonts w:ascii="Times New Roman" w:hAnsi="Times New Roman"/>
          <w:color w:val="auto"/>
          <w:szCs w:val="22"/>
        </w:rPr>
      </w:pPr>
    </w:p>
    <w:p w14:paraId="49BBC3F0" w14:textId="225C994E"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Didesnė energetinė nepriklausomybė taip pat reiškia didesnį atsparumą išoriniams energetinių išteklių kainų ar pasiūlos </w:t>
      </w:r>
      <w:r w:rsidR="00770E5F" w:rsidRPr="00650EE4">
        <w:rPr>
          <w:rFonts w:ascii="Times New Roman" w:hAnsi="Times New Roman"/>
          <w:color w:val="auto"/>
          <w:szCs w:val="22"/>
        </w:rPr>
        <w:t>svyravimams</w:t>
      </w:r>
      <w:r w:rsidRPr="00650EE4">
        <w:rPr>
          <w:rFonts w:ascii="Times New Roman" w:hAnsi="Times New Roman"/>
          <w:color w:val="auto"/>
          <w:szCs w:val="22"/>
        </w:rPr>
        <w:t>, kuriuos lemia ekonominiai ar politiniai pasaulio įvykiai. Tokiu atveju ne tik užtikrinamas šalies ekonomikos stabilumas, bet ir šalies verslo ir visuomenės stiprumas nepaisant pasaulinių įvykių bei iškyla šalies konkurencinis pranašumas esant pokyčiams energijos išteklių rinkoje.</w:t>
      </w:r>
    </w:p>
    <w:p w14:paraId="4358A2C8" w14:textId="77777777" w:rsidR="00CE7DD6" w:rsidRPr="00650EE4" w:rsidRDefault="00CE7DD6" w:rsidP="00CE7DD6">
      <w:pPr>
        <w:jc w:val="both"/>
        <w:rPr>
          <w:rFonts w:ascii="Times New Roman" w:hAnsi="Times New Roman"/>
          <w:color w:val="auto"/>
          <w:szCs w:val="22"/>
        </w:rPr>
      </w:pPr>
    </w:p>
    <w:p w14:paraId="3A69AF45" w14:textId="14B79E02"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t>Mažesnės investicijos į gamybos pajėgumus</w:t>
      </w:r>
    </w:p>
    <w:p w14:paraId="0C2404D7" w14:textId="464655E8" w:rsidR="00C57AC0"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Energetiškai efektyviems pastatams reikia mažiau </w:t>
      </w:r>
      <w:r w:rsidR="005236C1" w:rsidRPr="00650EE4">
        <w:rPr>
          <w:rFonts w:ascii="Times New Roman" w:hAnsi="Times New Roman"/>
          <w:color w:val="auto"/>
          <w:szCs w:val="22"/>
        </w:rPr>
        <w:t xml:space="preserve">šiluminės </w:t>
      </w:r>
      <w:r w:rsidRPr="00650EE4">
        <w:rPr>
          <w:rFonts w:ascii="Times New Roman" w:hAnsi="Times New Roman"/>
          <w:color w:val="auto"/>
          <w:szCs w:val="22"/>
        </w:rPr>
        <w:t>energijos</w:t>
      </w:r>
      <w:r w:rsidR="005236C1" w:rsidRPr="00650EE4">
        <w:rPr>
          <w:rFonts w:ascii="Times New Roman" w:hAnsi="Times New Roman"/>
          <w:color w:val="auto"/>
          <w:szCs w:val="22"/>
        </w:rPr>
        <w:t xml:space="preserve"> pastatui šildyti</w:t>
      </w:r>
      <w:r w:rsidR="00914A61" w:rsidRPr="00650EE4">
        <w:rPr>
          <w:rFonts w:ascii="Times New Roman" w:hAnsi="Times New Roman"/>
          <w:color w:val="auto"/>
          <w:szCs w:val="22"/>
        </w:rPr>
        <w:t>. T</w:t>
      </w:r>
      <w:r w:rsidRPr="00650EE4">
        <w:rPr>
          <w:rFonts w:ascii="Times New Roman" w:hAnsi="Times New Roman"/>
          <w:color w:val="auto"/>
          <w:szCs w:val="22"/>
        </w:rPr>
        <w:t xml:space="preserve">ai reiškia, kad </w:t>
      </w:r>
      <w:r w:rsidR="00914A61" w:rsidRPr="00650EE4">
        <w:rPr>
          <w:rFonts w:ascii="Times New Roman" w:hAnsi="Times New Roman"/>
          <w:color w:val="auto"/>
          <w:szCs w:val="22"/>
        </w:rPr>
        <w:t xml:space="preserve">miestuose </w:t>
      </w:r>
      <w:r w:rsidRPr="00650EE4">
        <w:rPr>
          <w:rFonts w:ascii="Times New Roman" w:hAnsi="Times New Roman"/>
          <w:color w:val="auto"/>
          <w:szCs w:val="22"/>
        </w:rPr>
        <w:t xml:space="preserve">net ir didėjant pastatų statymo tankumui, dėl efektyvesnio vartojimo nėra poreikio didinti energetinių išteklių </w:t>
      </w:r>
      <w:r w:rsidR="00914A61" w:rsidRPr="00650EE4">
        <w:rPr>
          <w:rFonts w:ascii="Times New Roman" w:hAnsi="Times New Roman"/>
          <w:color w:val="auto"/>
          <w:szCs w:val="22"/>
        </w:rPr>
        <w:t>(</w:t>
      </w:r>
      <w:r w:rsidR="00171034" w:rsidRPr="00650EE4">
        <w:rPr>
          <w:rFonts w:ascii="Times New Roman" w:hAnsi="Times New Roman"/>
          <w:color w:val="auto"/>
          <w:szCs w:val="22"/>
        </w:rPr>
        <w:t xml:space="preserve">gamtinių </w:t>
      </w:r>
      <w:r w:rsidR="00914A61" w:rsidRPr="00650EE4">
        <w:rPr>
          <w:rFonts w:ascii="Times New Roman" w:hAnsi="Times New Roman"/>
          <w:color w:val="auto"/>
          <w:szCs w:val="22"/>
        </w:rPr>
        <w:t>dujų, CŠT ar elektros)</w:t>
      </w:r>
      <w:r w:rsidR="00C57AC0" w:rsidRPr="00650EE4">
        <w:rPr>
          <w:rFonts w:ascii="Times New Roman" w:hAnsi="Times New Roman"/>
          <w:color w:val="auto"/>
          <w:szCs w:val="22"/>
        </w:rPr>
        <w:t xml:space="preserve"> </w:t>
      </w:r>
      <w:r w:rsidR="00914A61" w:rsidRPr="00650EE4">
        <w:rPr>
          <w:rFonts w:ascii="Times New Roman" w:hAnsi="Times New Roman"/>
          <w:color w:val="auto"/>
          <w:szCs w:val="22"/>
        </w:rPr>
        <w:t>gamybos ir tiekimo</w:t>
      </w:r>
      <w:r w:rsidRPr="00650EE4">
        <w:rPr>
          <w:rFonts w:ascii="Times New Roman" w:hAnsi="Times New Roman"/>
          <w:color w:val="auto"/>
          <w:szCs w:val="22"/>
        </w:rPr>
        <w:t xml:space="preserve"> pajėgumų. </w:t>
      </w:r>
    </w:p>
    <w:p w14:paraId="1AE8AB44" w14:textId="4FBE5C51" w:rsidR="00C57AC0" w:rsidRPr="00650EE4" w:rsidRDefault="00C57AC0" w:rsidP="00CE7DD6">
      <w:pPr>
        <w:jc w:val="both"/>
        <w:rPr>
          <w:rFonts w:ascii="Times New Roman" w:hAnsi="Times New Roman"/>
          <w:color w:val="auto"/>
          <w:szCs w:val="22"/>
        </w:rPr>
      </w:pPr>
    </w:p>
    <w:p w14:paraId="0375B107" w14:textId="6A3EF955" w:rsidR="00CE7DD6" w:rsidRPr="00650EE4" w:rsidRDefault="00C57AC0" w:rsidP="00CE7DD6">
      <w:pPr>
        <w:jc w:val="both"/>
        <w:rPr>
          <w:rFonts w:ascii="Times New Roman" w:hAnsi="Times New Roman"/>
          <w:color w:val="auto"/>
          <w:szCs w:val="22"/>
        </w:rPr>
      </w:pPr>
      <w:r w:rsidRPr="00650EE4">
        <w:rPr>
          <w:rFonts w:ascii="Times New Roman" w:hAnsi="Times New Roman"/>
          <w:color w:val="auto"/>
          <w:szCs w:val="22"/>
        </w:rPr>
        <w:t>Papildomos naudos gali būti pasiektos įgyvendinant pa</w:t>
      </w:r>
      <w:r w:rsidR="00172FE8" w:rsidRPr="00650EE4">
        <w:rPr>
          <w:rFonts w:ascii="Times New Roman" w:hAnsi="Times New Roman"/>
          <w:color w:val="auto"/>
          <w:szCs w:val="22"/>
        </w:rPr>
        <w:t>s</w:t>
      </w:r>
      <w:r w:rsidRPr="00650EE4">
        <w:rPr>
          <w:rFonts w:ascii="Times New Roman" w:hAnsi="Times New Roman"/>
          <w:color w:val="auto"/>
          <w:szCs w:val="22"/>
        </w:rPr>
        <w:t xml:space="preserve">tatų renovaciją kvartalais ir kartu atnaujinant energijos tiekimo infrastruktūrą. Pvz., </w:t>
      </w:r>
      <w:r w:rsidR="00CE7DD6" w:rsidRPr="00650EE4">
        <w:rPr>
          <w:rFonts w:ascii="Times New Roman" w:hAnsi="Times New Roman"/>
          <w:color w:val="auto"/>
          <w:szCs w:val="22"/>
        </w:rPr>
        <w:t>atnaujinant šilumos paskirstym</w:t>
      </w:r>
      <w:r w:rsidR="00172FE8" w:rsidRPr="00650EE4">
        <w:rPr>
          <w:rFonts w:ascii="Times New Roman" w:hAnsi="Times New Roman"/>
          <w:color w:val="auto"/>
          <w:szCs w:val="22"/>
        </w:rPr>
        <w:t>ą</w:t>
      </w:r>
      <w:r w:rsidR="00CE7DD6" w:rsidRPr="00650EE4">
        <w:rPr>
          <w:rFonts w:ascii="Times New Roman" w:hAnsi="Times New Roman"/>
          <w:color w:val="auto"/>
          <w:szCs w:val="22"/>
        </w:rPr>
        <w:t xml:space="preserve"> CŠT kvartale</w:t>
      </w:r>
      <w:r w:rsidR="00172FE8" w:rsidRPr="00650EE4">
        <w:rPr>
          <w:rFonts w:ascii="Times New Roman" w:hAnsi="Times New Roman"/>
          <w:color w:val="auto"/>
          <w:szCs w:val="22"/>
        </w:rPr>
        <w:t>.</w:t>
      </w:r>
    </w:p>
    <w:p w14:paraId="55150D8B" w14:textId="77777777" w:rsidR="00CE7DD6" w:rsidRPr="00650EE4" w:rsidRDefault="00CE7DD6" w:rsidP="00CE7DD6">
      <w:pPr>
        <w:jc w:val="both"/>
        <w:rPr>
          <w:rFonts w:ascii="Times New Roman" w:hAnsi="Times New Roman"/>
          <w:color w:val="auto"/>
          <w:szCs w:val="22"/>
        </w:rPr>
      </w:pPr>
    </w:p>
    <w:p w14:paraId="23B56996" w14:textId="77777777"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lastRenderedPageBreak/>
        <w:t>Pastatų tarnavimo laikotarpio padidėjimas</w:t>
      </w:r>
    </w:p>
    <w:p w14:paraId="01A05C0A" w14:textId="05DE1C85"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Renovacija ne tik sumažina pastatų energetines sąnaudas, bet ir apsaugo pastato konstrukcijas nuo atmosferos poveikio</w:t>
      </w:r>
      <w:r w:rsidR="000D259B" w:rsidRPr="00650EE4">
        <w:rPr>
          <w:rFonts w:ascii="Times New Roman" w:hAnsi="Times New Roman"/>
          <w:color w:val="auto"/>
          <w:szCs w:val="22"/>
        </w:rPr>
        <w:t xml:space="preserve">, </w:t>
      </w:r>
      <w:r w:rsidRPr="00650EE4">
        <w:rPr>
          <w:rFonts w:ascii="Times New Roman" w:hAnsi="Times New Roman"/>
          <w:color w:val="auto"/>
          <w:szCs w:val="22"/>
        </w:rPr>
        <w:t xml:space="preserve">taip prailginant jų tarnavimo trukmę. Taip pat renovacijos metu dažnai keičiamas stogas, langai, elektros instaliacija, vamzdynai ir šilumos punktas. Visos šios pastatų inžinerinės sistemos dažnu atveju būna </w:t>
      </w:r>
      <w:r w:rsidR="000D259B" w:rsidRPr="00650EE4">
        <w:rPr>
          <w:rFonts w:ascii="Times New Roman" w:hAnsi="Times New Roman"/>
          <w:color w:val="auto"/>
          <w:szCs w:val="22"/>
        </w:rPr>
        <w:t>susidėvėjusios</w:t>
      </w:r>
      <w:r w:rsidRPr="00650EE4">
        <w:rPr>
          <w:rFonts w:ascii="Times New Roman" w:hAnsi="Times New Roman"/>
          <w:color w:val="auto"/>
          <w:szCs w:val="22"/>
        </w:rPr>
        <w:t xml:space="preserve"> ir reikalauja nuolatinių išlaidų remontui, arba kelia pavojų žmonių sveikatai ir turtui (</w:t>
      </w:r>
      <w:r w:rsidR="000D259B" w:rsidRPr="00650EE4">
        <w:rPr>
          <w:rFonts w:ascii="Times New Roman" w:hAnsi="Times New Roman"/>
          <w:color w:val="auto"/>
          <w:szCs w:val="22"/>
        </w:rPr>
        <w:t xml:space="preserve">pvz., </w:t>
      </w:r>
      <w:r w:rsidRPr="00650EE4">
        <w:rPr>
          <w:rFonts w:ascii="Times New Roman" w:hAnsi="Times New Roman"/>
          <w:color w:val="auto"/>
          <w:szCs w:val="22"/>
        </w:rPr>
        <w:t>trūkus vandentiekio vamzdžiui, leidžiant stogui, esant nestabiliam elektros tiekimui ar susidėvėjusiai laidų izoliacijai nuo kurių gali kilti gaisras, trupantis fasadas ar balkonai gali sužeisti žmones ar apgadinti automobilius).</w:t>
      </w:r>
    </w:p>
    <w:p w14:paraId="7FF7961D" w14:textId="77777777" w:rsidR="00CE7DD6" w:rsidRPr="00650EE4" w:rsidRDefault="00CE7DD6" w:rsidP="00CE7DD6">
      <w:pPr>
        <w:jc w:val="both"/>
        <w:rPr>
          <w:rFonts w:ascii="Times New Roman" w:hAnsi="Times New Roman"/>
          <w:color w:val="auto"/>
          <w:szCs w:val="22"/>
        </w:rPr>
      </w:pPr>
    </w:p>
    <w:p w14:paraId="5846D65D" w14:textId="77777777"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t xml:space="preserve">Mažesnis subsidijų poreikis </w:t>
      </w:r>
    </w:p>
    <w:p w14:paraId="309A8E85" w14:textId="311274AC"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Šiuo metu </w:t>
      </w:r>
      <w:r w:rsidR="005134BA" w:rsidRPr="00650EE4">
        <w:rPr>
          <w:rFonts w:ascii="Times New Roman" w:hAnsi="Times New Roman"/>
          <w:color w:val="auto"/>
          <w:szCs w:val="22"/>
        </w:rPr>
        <w:t xml:space="preserve">tiek Lietuvoje, tiek kitose </w:t>
      </w:r>
      <w:r w:rsidRPr="00650EE4">
        <w:rPr>
          <w:rFonts w:ascii="Times New Roman" w:hAnsi="Times New Roman"/>
          <w:color w:val="auto"/>
          <w:szCs w:val="22"/>
        </w:rPr>
        <w:t xml:space="preserve">Europos </w:t>
      </w:r>
      <w:r w:rsidR="005134BA" w:rsidRPr="00650EE4">
        <w:rPr>
          <w:rFonts w:ascii="Times New Roman" w:hAnsi="Times New Roman"/>
          <w:color w:val="auto"/>
          <w:szCs w:val="22"/>
        </w:rPr>
        <w:t xml:space="preserve">sąjungos </w:t>
      </w:r>
      <w:r w:rsidRPr="00650EE4">
        <w:rPr>
          <w:rFonts w:ascii="Times New Roman" w:hAnsi="Times New Roman"/>
          <w:color w:val="auto"/>
          <w:szCs w:val="22"/>
        </w:rPr>
        <w:t>valstybės</w:t>
      </w:r>
      <w:r w:rsidR="005134BA" w:rsidRPr="00650EE4">
        <w:rPr>
          <w:rFonts w:ascii="Times New Roman" w:hAnsi="Times New Roman"/>
          <w:color w:val="auto"/>
          <w:szCs w:val="22"/>
        </w:rPr>
        <w:t>e</w:t>
      </w:r>
      <w:r w:rsidRPr="00650EE4">
        <w:rPr>
          <w:rFonts w:ascii="Times New Roman" w:hAnsi="Times New Roman"/>
          <w:color w:val="auto"/>
          <w:szCs w:val="22"/>
        </w:rPr>
        <w:t xml:space="preserve"> subsidijuoja</w:t>
      </w:r>
      <w:r w:rsidR="005134BA" w:rsidRPr="00650EE4">
        <w:rPr>
          <w:rFonts w:ascii="Times New Roman" w:hAnsi="Times New Roman"/>
          <w:color w:val="auto"/>
          <w:szCs w:val="22"/>
        </w:rPr>
        <w:t>mas</w:t>
      </w:r>
      <w:r w:rsidRPr="00650EE4">
        <w:rPr>
          <w:rFonts w:ascii="Times New Roman" w:hAnsi="Times New Roman"/>
          <w:color w:val="auto"/>
          <w:szCs w:val="22"/>
        </w:rPr>
        <w:t xml:space="preserve"> tiek iškastinio kuro vartojim</w:t>
      </w:r>
      <w:r w:rsidR="00424A35" w:rsidRPr="00650EE4">
        <w:rPr>
          <w:rFonts w:ascii="Times New Roman" w:hAnsi="Times New Roman"/>
          <w:color w:val="auto"/>
          <w:szCs w:val="22"/>
        </w:rPr>
        <w:t>as</w:t>
      </w:r>
      <w:r w:rsidRPr="00650EE4">
        <w:rPr>
          <w:rFonts w:ascii="Times New Roman" w:hAnsi="Times New Roman"/>
          <w:color w:val="auto"/>
          <w:szCs w:val="22"/>
        </w:rPr>
        <w:t xml:space="preserve">, tiek ir </w:t>
      </w:r>
      <w:r w:rsidR="00424A35" w:rsidRPr="00650EE4">
        <w:rPr>
          <w:rFonts w:ascii="Times New Roman" w:hAnsi="Times New Roman"/>
          <w:color w:val="auto"/>
          <w:szCs w:val="22"/>
        </w:rPr>
        <w:t>AEI</w:t>
      </w:r>
      <w:r w:rsidRPr="00650EE4">
        <w:rPr>
          <w:rFonts w:ascii="Times New Roman" w:hAnsi="Times New Roman"/>
          <w:color w:val="auto"/>
          <w:szCs w:val="22"/>
        </w:rPr>
        <w:t xml:space="preserve"> technologijų diegim</w:t>
      </w:r>
      <w:r w:rsidR="00424A35" w:rsidRPr="00650EE4">
        <w:rPr>
          <w:rFonts w:ascii="Times New Roman" w:hAnsi="Times New Roman"/>
          <w:color w:val="auto"/>
          <w:szCs w:val="22"/>
        </w:rPr>
        <w:t>as</w:t>
      </w:r>
      <w:r w:rsidRPr="00650EE4">
        <w:rPr>
          <w:rFonts w:ascii="Times New Roman" w:hAnsi="Times New Roman"/>
          <w:color w:val="auto"/>
          <w:szCs w:val="22"/>
        </w:rPr>
        <w:t xml:space="preserve">. Sumažinus energijos suvartojimą efektyviai atnaujinant pastatus, gali būti sumažintos abi subsidijų rūšys. Tai turės teigiamą poveikį valstybės finansams. Šios lėšos galėtų būti </w:t>
      </w:r>
      <w:r w:rsidR="00424A35" w:rsidRPr="00650EE4">
        <w:rPr>
          <w:rFonts w:ascii="Times New Roman" w:hAnsi="Times New Roman"/>
          <w:color w:val="auto"/>
          <w:szCs w:val="22"/>
        </w:rPr>
        <w:t>nukreiptos į kitas sritis pvz.,</w:t>
      </w:r>
      <w:r w:rsidRPr="00650EE4">
        <w:rPr>
          <w:rFonts w:ascii="Times New Roman" w:hAnsi="Times New Roman"/>
          <w:color w:val="auto"/>
          <w:szCs w:val="22"/>
        </w:rPr>
        <w:t xml:space="preserve"> investicijoms į mažai anglies dioksido į aplinką išskiriančių technologijų, įskaitant energijos vartojimo efektyvumą, inovacijoms skatinti, kad ateityje būtų pasiekti griežtesni žmogaus įtakos klimato kaitai poveikio mažinimo tikslai.</w:t>
      </w:r>
    </w:p>
    <w:p w14:paraId="345A4AE6" w14:textId="77777777" w:rsidR="00CE7DD6" w:rsidRPr="00650EE4" w:rsidRDefault="00CE7DD6" w:rsidP="00CE7DD6">
      <w:pPr>
        <w:jc w:val="both"/>
        <w:rPr>
          <w:rFonts w:ascii="Times New Roman" w:hAnsi="Times New Roman"/>
          <w:color w:val="auto"/>
          <w:szCs w:val="22"/>
        </w:rPr>
      </w:pPr>
    </w:p>
    <w:p w14:paraId="06F83772" w14:textId="2D440E76" w:rsidR="00CE7DD6" w:rsidRPr="00650EE4" w:rsidRDefault="00AA522F" w:rsidP="00CE7DD6">
      <w:pPr>
        <w:spacing w:after="120"/>
        <w:jc w:val="both"/>
        <w:rPr>
          <w:rFonts w:ascii="Times New Roman" w:hAnsi="Times New Roman"/>
          <w:b/>
          <w:bCs/>
          <w:color w:val="auto"/>
          <w:szCs w:val="22"/>
        </w:rPr>
      </w:pPr>
      <w:r w:rsidRPr="00650EE4">
        <w:rPr>
          <w:rFonts w:ascii="Times New Roman" w:hAnsi="Times New Roman"/>
          <w:b/>
          <w:bCs/>
          <w:color w:val="auto"/>
          <w:szCs w:val="22"/>
        </w:rPr>
        <w:t>Kitų sektorių ir naujų ver</w:t>
      </w:r>
      <w:r w:rsidR="004B43A9" w:rsidRPr="00650EE4">
        <w:rPr>
          <w:rFonts w:ascii="Times New Roman" w:hAnsi="Times New Roman"/>
          <w:b/>
          <w:bCs/>
          <w:color w:val="auto"/>
          <w:szCs w:val="22"/>
        </w:rPr>
        <w:t>s</w:t>
      </w:r>
      <w:r w:rsidRPr="00650EE4">
        <w:rPr>
          <w:rFonts w:ascii="Times New Roman" w:hAnsi="Times New Roman"/>
          <w:b/>
          <w:bCs/>
          <w:color w:val="auto"/>
          <w:szCs w:val="22"/>
        </w:rPr>
        <w:t>lų augimas</w:t>
      </w:r>
      <w:r w:rsidR="00CE7DD6" w:rsidRPr="00650EE4">
        <w:rPr>
          <w:rFonts w:ascii="Times New Roman" w:hAnsi="Times New Roman"/>
          <w:b/>
          <w:bCs/>
          <w:color w:val="auto"/>
          <w:szCs w:val="22"/>
        </w:rPr>
        <w:t xml:space="preserve"> </w:t>
      </w:r>
    </w:p>
    <w:p w14:paraId="301039AB" w14:textId="622F87A9" w:rsidR="00AA522F" w:rsidRPr="00650EE4" w:rsidRDefault="00AA522F" w:rsidP="00CE7DD6">
      <w:pPr>
        <w:jc w:val="both"/>
        <w:rPr>
          <w:rFonts w:ascii="Times New Roman" w:hAnsi="Times New Roman"/>
          <w:color w:val="auto"/>
          <w:szCs w:val="22"/>
        </w:rPr>
      </w:pPr>
      <w:r w:rsidRPr="00650EE4">
        <w:rPr>
          <w:rFonts w:ascii="Times New Roman" w:hAnsi="Times New Roman"/>
          <w:color w:val="auto"/>
          <w:szCs w:val="22"/>
        </w:rPr>
        <w:t xml:space="preserve">Reikšmingas investicijų ir kitų išteklių poreikio padidėjimas dėl renovacijos gali tapti postūmiu kurtis arba augti kitų sektorių verslams. Tokios postūmio pavyzdys Lietuvoje – CŠT šiluminės energijos gamybos konversija iš gamtinių dujų į biokurą. </w:t>
      </w:r>
      <w:r w:rsidR="00CE7DD6" w:rsidRPr="00650EE4">
        <w:rPr>
          <w:rFonts w:ascii="Times New Roman" w:hAnsi="Times New Roman"/>
          <w:color w:val="auto"/>
          <w:szCs w:val="22"/>
        </w:rPr>
        <w:t>2007 m. pradėjus perėjimą nuo</w:t>
      </w:r>
      <w:r w:rsidR="00194832" w:rsidRPr="00650EE4">
        <w:rPr>
          <w:rFonts w:ascii="Times New Roman" w:hAnsi="Times New Roman"/>
          <w:color w:val="auto"/>
          <w:szCs w:val="22"/>
        </w:rPr>
        <w:t xml:space="preserve"> gamtinių</w:t>
      </w:r>
      <w:r w:rsidR="00CE7DD6" w:rsidRPr="00650EE4">
        <w:rPr>
          <w:rFonts w:ascii="Times New Roman" w:hAnsi="Times New Roman"/>
          <w:color w:val="auto"/>
          <w:szCs w:val="22"/>
        </w:rPr>
        <w:t xml:space="preserve"> dujų, kaip pagrindinio kuro,</w:t>
      </w:r>
      <w:r w:rsidRPr="00650EE4">
        <w:rPr>
          <w:rFonts w:ascii="Times New Roman" w:hAnsi="Times New Roman"/>
          <w:color w:val="auto"/>
          <w:szCs w:val="22"/>
        </w:rPr>
        <w:t xml:space="preserve"> </w:t>
      </w:r>
      <w:r w:rsidR="00CE7DD6" w:rsidRPr="00650EE4">
        <w:rPr>
          <w:rFonts w:ascii="Times New Roman" w:hAnsi="Times New Roman"/>
          <w:color w:val="auto"/>
          <w:szCs w:val="22"/>
        </w:rPr>
        <w:t xml:space="preserve">nebuvo stiprių įmonių užsiimančių biokuro katilų gamyba, o vietinio kuro panaudojimas CŠT siekė 16 proc. Tačiau 2019 m. pasiekus </w:t>
      </w:r>
      <w:r w:rsidR="004B43A9" w:rsidRPr="00650EE4">
        <w:rPr>
          <w:rFonts w:ascii="Times New Roman" w:hAnsi="Times New Roman"/>
          <w:color w:val="auto"/>
          <w:szCs w:val="22"/>
        </w:rPr>
        <w:t xml:space="preserve">67 proc. </w:t>
      </w:r>
      <w:r w:rsidR="00CE7DD6" w:rsidRPr="00650EE4">
        <w:rPr>
          <w:rFonts w:ascii="Times New Roman" w:hAnsi="Times New Roman"/>
          <w:color w:val="auto"/>
          <w:szCs w:val="22"/>
        </w:rPr>
        <w:t xml:space="preserve">biokuro panaudojimo CŠT  lygį, susikūrė </w:t>
      </w:r>
      <w:r w:rsidRPr="00650EE4">
        <w:rPr>
          <w:rFonts w:ascii="Times New Roman" w:hAnsi="Times New Roman"/>
          <w:color w:val="auto"/>
          <w:szCs w:val="22"/>
        </w:rPr>
        <w:t xml:space="preserve">stiprios </w:t>
      </w:r>
      <w:r w:rsidR="00CE7DD6" w:rsidRPr="00650EE4">
        <w:rPr>
          <w:rFonts w:ascii="Times New Roman" w:hAnsi="Times New Roman"/>
          <w:color w:val="auto"/>
          <w:szCs w:val="22"/>
        </w:rPr>
        <w:t xml:space="preserve">biokuro katilų gamintojų </w:t>
      </w:r>
      <w:r w:rsidRPr="00650EE4">
        <w:rPr>
          <w:rFonts w:ascii="Times New Roman" w:hAnsi="Times New Roman"/>
          <w:color w:val="auto"/>
          <w:szCs w:val="22"/>
        </w:rPr>
        <w:t>ir biokuro tiekėjų grupės</w:t>
      </w:r>
      <w:r w:rsidR="004B43A9" w:rsidRPr="00650EE4">
        <w:rPr>
          <w:rFonts w:ascii="Times New Roman" w:hAnsi="Times New Roman"/>
          <w:color w:val="auto"/>
          <w:szCs w:val="22"/>
        </w:rPr>
        <w:t>. Biokuro katilų gamintojai</w:t>
      </w:r>
      <w:r w:rsidRPr="00650EE4">
        <w:rPr>
          <w:rFonts w:ascii="Times New Roman" w:hAnsi="Times New Roman"/>
          <w:color w:val="auto"/>
          <w:szCs w:val="22"/>
        </w:rPr>
        <w:t xml:space="preserve"> </w:t>
      </w:r>
      <w:r w:rsidR="004B43A9" w:rsidRPr="00650EE4">
        <w:rPr>
          <w:rFonts w:ascii="Times New Roman" w:hAnsi="Times New Roman"/>
          <w:color w:val="auto"/>
          <w:szCs w:val="22"/>
        </w:rPr>
        <w:t>teikia</w:t>
      </w:r>
      <w:r w:rsidR="00CE7DD6" w:rsidRPr="00650EE4">
        <w:rPr>
          <w:rFonts w:ascii="Times New Roman" w:hAnsi="Times New Roman"/>
          <w:color w:val="auto"/>
          <w:szCs w:val="22"/>
        </w:rPr>
        <w:t xml:space="preserve"> sprendimus tiek CŠT, tiek individualių pastatų šildymui</w:t>
      </w:r>
      <w:r w:rsidR="004B43A9" w:rsidRPr="00650EE4">
        <w:rPr>
          <w:rFonts w:ascii="Times New Roman" w:hAnsi="Times New Roman"/>
          <w:color w:val="auto"/>
          <w:szCs w:val="22"/>
        </w:rPr>
        <w:t>. Taip pat abiejų sektorių įmonės eksportuoja savo paslaugas į užsienį.</w:t>
      </w:r>
      <w:r w:rsidR="00CE7DD6" w:rsidRPr="00650EE4">
        <w:rPr>
          <w:rFonts w:ascii="Times New Roman" w:hAnsi="Times New Roman"/>
          <w:color w:val="auto"/>
          <w:szCs w:val="22"/>
        </w:rPr>
        <w:t xml:space="preserve"> </w:t>
      </w:r>
    </w:p>
    <w:p w14:paraId="68390FF9" w14:textId="77777777" w:rsidR="00AA522F" w:rsidRPr="00650EE4" w:rsidRDefault="00AA522F" w:rsidP="00CE7DD6">
      <w:pPr>
        <w:jc w:val="both"/>
        <w:rPr>
          <w:rFonts w:ascii="Times New Roman" w:hAnsi="Times New Roman"/>
          <w:color w:val="auto"/>
          <w:szCs w:val="22"/>
        </w:rPr>
      </w:pPr>
    </w:p>
    <w:p w14:paraId="7B73B460" w14:textId="1645A3F5"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Su pastatų renovacija, Lietuvoje būtų galima siekti panašaus rezultato, sukuriant stiprias įmones siūlančias sprendinius ir paslaugas renovuojant pastatus. Vienas iš šių sprendinių galėtų būti skydinė renovavimo technologija, kai pagal tikslius pastato brėžinius skydai galėtų būti pagaminti Lietuvoje, kur darbo sąnaudos mažesnės, </w:t>
      </w:r>
      <w:r w:rsidR="009A5871" w:rsidRPr="00650EE4">
        <w:rPr>
          <w:rFonts w:ascii="Times New Roman" w:hAnsi="Times New Roman"/>
          <w:color w:val="auto"/>
          <w:szCs w:val="22"/>
        </w:rPr>
        <w:t>vėliau eksportuojant į užsienį</w:t>
      </w:r>
      <w:r w:rsidRPr="00650EE4">
        <w:rPr>
          <w:rFonts w:ascii="Times New Roman" w:hAnsi="Times New Roman"/>
          <w:color w:val="auto"/>
          <w:szCs w:val="22"/>
        </w:rPr>
        <w:t>.</w:t>
      </w:r>
    </w:p>
    <w:p w14:paraId="6AB20788" w14:textId="764A8A43" w:rsidR="00CE7DD6" w:rsidRPr="00650EE4" w:rsidRDefault="00CE7DD6" w:rsidP="00355821">
      <w:pPr>
        <w:rPr>
          <w:rFonts w:ascii="Times New Roman" w:hAnsi="Times New Roman"/>
          <w:color w:val="auto"/>
          <w:szCs w:val="22"/>
        </w:rPr>
      </w:pPr>
    </w:p>
    <w:p w14:paraId="49CD1CFD" w14:textId="4D661A8B" w:rsidR="00FA6D6D" w:rsidRPr="00650EE4" w:rsidRDefault="00FA6D6D" w:rsidP="00FA6D6D">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96" w:name="_Toc67925170"/>
      <w:r w:rsidRPr="00650EE4">
        <w:rPr>
          <w:rFonts w:ascii="Times New Roman" w:hAnsi="Times New Roman"/>
          <w:color w:val="auto"/>
          <w:sz w:val="24"/>
          <w:szCs w:val="24"/>
          <w:lang w:val="lt-LT"/>
        </w:rPr>
        <w:t>Esminiai skyriaus pastebėjimai</w:t>
      </w:r>
      <w:bookmarkEnd w:id="196"/>
    </w:p>
    <w:tbl>
      <w:tblPr>
        <w:tblW w:w="10161" w:type="dxa"/>
        <w:tblBorders>
          <w:left w:val="single" w:sz="36" w:space="0" w:color="EA0D2C"/>
        </w:tblBorders>
        <w:tblLayout w:type="fixed"/>
        <w:tblLook w:val="00A0" w:firstRow="1" w:lastRow="0" w:firstColumn="1" w:lastColumn="0" w:noHBand="0" w:noVBand="0"/>
      </w:tblPr>
      <w:tblGrid>
        <w:gridCol w:w="10161"/>
      </w:tblGrid>
      <w:tr w:rsidR="00FA6D6D" w:rsidRPr="00650EE4" w14:paraId="4993E6CD" w14:textId="77777777" w:rsidTr="00BC28B7">
        <w:tc>
          <w:tcPr>
            <w:tcW w:w="10161" w:type="dxa"/>
            <w:tcBorders>
              <w:left w:val="single" w:sz="36" w:space="0" w:color="002060"/>
            </w:tcBorders>
            <w:shd w:val="clear" w:color="auto" w:fill="F0F0F0"/>
          </w:tcPr>
          <w:p w14:paraId="626F74CC" w14:textId="1C124013" w:rsidR="00A46638" w:rsidRPr="00650EE4" w:rsidRDefault="00A46638"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 xml:space="preserve">Renovacijos strategijos </w:t>
            </w:r>
            <w:r w:rsidR="00F51047">
              <w:rPr>
                <w:rFonts w:ascii="Times New Roman" w:hAnsi="Times New Roman"/>
                <w:szCs w:val="24"/>
                <w:lang w:val="lt-LT"/>
              </w:rPr>
              <w:t>rodikliai</w:t>
            </w:r>
            <w:r w:rsidRPr="00650EE4">
              <w:rPr>
                <w:rFonts w:ascii="Times New Roman" w:hAnsi="Times New Roman"/>
                <w:szCs w:val="24"/>
                <w:lang w:val="lt-LT"/>
              </w:rPr>
              <w:t xml:space="preserve"> iki 2050 m. sumažinti metinius pastatų fondo rodiklius</w:t>
            </w:r>
            <w:r w:rsidR="00010161" w:rsidRPr="00650EE4">
              <w:rPr>
                <w:rFonts w:ascii="Times New Roman" w:hAnsi="Times New Roman"/>
                <w:szCs w:val="24"/>
                <w:lang w:val="lt-LT"/>
              </w:rPr>
              <w:t xml:space="preserve"> lyginant su 2020 metais</w:t>
            </w:r>
            <w:r w:rsidRPr="00650EE4">
              <w:rPr>
                <w:rFonts w:ascii="Times New Roman" w:hAnsi="Times New Roman"/>
                <w:szCs w:val="24"/>
                <w:lang w:val="lt-LT"/>
              </w:rPr>
              <w:t xml:space="preserve">: </w:t>
            </w:r>
          </w:p>
          <w:p w14:paraId="68E0ADFE" w14:textId="4B8EECD7" w:rsidR="00A46638" w:rsidRPr="00650EE4" w:rsidRDefault="00175A5A" w:rsidP="00BD4925">
            <w:pPr>
              <w:pStyle w:val="ListParagraph"/>
              <w:numPr>
                <w:ilvl w:val="1"/>
                <w:numId w:val="27"/>
              </w:numPr>
              <w:spacing w:before="120" w:after="120" w:line="240" w:lineRule="auto"/>
              <w:ind w:left="985"/>
              <w:contextualSpacing w:val="0"/>
              <w:jc w:val="both"/>
              <w:rPr>
                <w:rFonts w:ascii="Times New Roman" w:hAnsi="Times New Roman"/>
                <w:szCs w:val="24"/>
                <w:lang w:val="lt-LT"/>
              </w:rPr>
            </w:pPr>
            <w:r>
              <w:rPr>
                <w:rFonts w:ascii="Times New Roman" w:hAnsi="Times New Roman"/>
                <w:szCs w:val="24"/>
                <w:lang w:val="lt-LT"/>
              </w:rPr>
              <w:t xml:space="preserve">sumažinti </w:t>
            </w:r>
            <w:r w:rsidR="00A46638" w:rsidRPr="00650EE4">
              <w:rPr>
                <w:rFonts w:ascii="Times New Roman" w:hAnsi="Times New Roman"/>
                <w:szCs w:val="24"/>
                <w:lang w:val="lt-LT"/>
              </w:rPr>
              <w:t>pirminės energijos vartojimą iki 1</w:t>
            </w:r>
            <w:r>
              <w:rPr>
                <w:rFonts w:ascii="Times New Roman" w:hAnsi="Times New Roman"/>
                <w:szCs w:val="24"/>
              </w:rPr>
              <w:t>6</w:t>
            </w:r>
            <w:r w:rsidR="00A46638" w:rsidRPr="00650EE4">
              <w:rPr>
                <w:rFonts w:ascii="Times New Roman" w:hAnsi="Times New Roman"/>
                <w:szCs w:val="24"/>
                <w:lang w:val="lt-LT"/>
              </w:rPr>
              <w:t>,</w:t>
            </w:r>
            <w:r>
              <w:rPr>
                <w:rFonts w:ascii="Times New Roman" w:hAnsi="Times New Roman"/>
                <w:szCs w:val="24"/>
                <w:lang w:val="lt-LT"/>
              </w:rPr>
              <w:t>2</w:t>
            </w:r>
            <w:r w:rsidR="00A46638" w:rsidRPr="00650EE4">
              <w:rPr>
                <w:rFonts w:ascii="Times New Roman" w:hAnsi="Times New Roman"/>
                <w:szCs w:val="24"/>
                <w:lang w:val="lt-LT"/>
              </w:rPr>
              <w:t xml:space="preserve"> </w:t>
            </w:r>
            <w:proofErr w:type="spellStart"/>
            <w:r w:rsidR="00A46638" w:rsidRPr="00650EE4">
              <w:rPr>
                <w:rFonts w:ascii="Times New Roman" w:hAnsi="Times New Roman"/>
                <w:szCs w:val="24"/>
                <w:lang w:val="lt-LT"/>
              </w:rPr>
              <w:t>TWh</w:t>
            </w:r>
            <w:proofErr w:type="spellEnd"/>
            <w:r w:rsidR="00A46638" w:rsidRPr="00650EE4">
              <w:rPr>
                <w:rFonts w:ascii="Times New Roman" w:hAnsi="Times New Roman"/>
                <w:szCs w:val="24"/>
                <w:lang w:val="lt-LT"/>
              </w:rPr>
              <w:t xml:space="preserve"> (</w:t>
            </w:r>
            <w:r w:rsidR="00694760" w:rsidRPr="00650EE4">
              <w:rPr>
                <w:rFonts w:ascii="Times New Roman" w:hAnsi="Times New Roman"/>
                <w:szCs w:val="24"/>
                <w:lang w:val="lt-LT"/>
              </w:rPr>
              <w:t>~</w:t>
            </w:r>
            <w:r>
              <w:rPr>
                <w:rFonts w:ascii="Times New Roman" w:hAnsi="Times New Roman"/>
                <w:szCs w:val="24"/>
                <w:lang w:val="lt-LT"/>
              </w:rPr>
              <w:t>6</w:t>
            </w:r>
            <w:r w:rsidR="00A46638" w:rsidRPr="00650EE4">
              <w:rPr>
                <w:rFonts w:ascii="Times New Roman" w:hAnsi="Times New Roman"/>
                <w:szCs w:val="24"/>
                <w:lang w:val="lt-LT"/>
              </w:rPr>
              <w:t>0 proc.);</w:t>
            </w:r>
          </w:p>
          <w:p w14:paraId="0E7FDB18" w14:textId="15AF186B" w:rsidR="00A46638" w:rsidRPr="00650EE4" w:rsidRDefault="00175A5A" w:rsidP="00BD4925">
            <w:pPr>
              <w:pStyle w:val="ListParagraph"/>
              <w:numPr>
                <w:ilvl w:val="1"/>
                <w:numId w:val="27"/>
              </w:numPr>
              <w:spacing w:before="120" w:after="120" w:line="240" w:lineRule="auto"/>
              <w:ind w:left="985"/>
              <w:contextualSpacing w:val="0"/>
              <w:jc w:val="both"/>
              <w:rPr>
                <w:rFonts w:ascii="Times New Roman" w:hAnsi="Times New Roman"/>
                <w:szCs w:val="24"/>
                <w:lang w:val="lt-LT"/>
              </w:rPr>
            </w:pPr>
            <w:r>
              <w:rPr>
                <w:rFonts w:ascii="Times New Roman" w:hAnsi="Times New Roman"/>
                <w:szCs w:val="24"/>
                <w:lang w:val="lt-LT"/>
              </w:rPr>
              <w:t xml:space="preserve">atsisakyti </w:t>
            </w:r>
            <w:r w:rsidR="00A46638" w:rsidRPr="00650EE4">
              <w:rPr>
                <w:rFonts w:ascii="Times New Roman" w:hAnsi="Times New Roman"/>
                <w:szCs w:val="24"/>
                <w:lang w:val="lt-LT"/>
              </w:rPr>
              <w:t>pirminės energijos iš iškastinio kuro;</w:t>
            </w:r>
          </w:p>
          <w:p w14:paraId="5A04D7D2" w14:textId="6218793A" w:rsidR="00A46638" w:rsidRPr="00650EE4" w:rsidRDefault="00175A5A" w:rsidP="00BD4925">
            <w:pPr>
              <w:pStyle w:val="ListParagraph"/>
              <w:numPr>
                <w:ilvl w:val="1"/>
                <w:numId w:val="27"/>
              </w:numPr>
              <w:spacing w:before="120" w:after="120" w:line="240" w:lineRule="auto"/>
              <w:ind w:left="985"/>
              <w:contextualSpacing w:val="0"/>
              <w:jc w:val="both"/>
              <w:rPr>
                <w:rFonts w:ascii="Times New Roman" w:hAnsi="Times New Roman"/>
                <w:szCs w:val="24"/>
                <w:lang w:val="lt-LT"/>
              </w:rPr>
            </w:pPr>
            <w:r>
              <w:rPr>
                <w:rFonts w:ascii="Times New Roman" w:hAnsi="Times New Roman"/>
                <w:szCs w:val="24"/>
                <w:lang w:val="lt-LT"/>
              </w:rPr>
              <w:t xml:space="preserve">pasiekti nulines </w:t>
            </w:r>
            <w:r w:rsidRPr="00650EE4">
              <w:rPr>
                <w:rFonts w:ascii="Times New Roman" w:hAnsi="Times New Roman"/>
                <w:szCs w:val="24"/>
                <w:lang w:val="lt-LT"/>
              </w:rPr>
              <w:t>CO</w:t>
            </w:r>
            <w:r w:rsidRPr="00650EE4">
              <w:rPr>
                <w:rFonts w:ascii="Times New Roman" w:hAnsi="Times New Roman"/>
                <w:szCs w:val="24"/>
                <w:vertAlign w:val="subscript"/>
                <w:lang w:val="lt-LT"/>
              </w:rPr>
              <w:t>2</w:t>
            </w:r>
            <w:r w:rsidRPr="00650EE4">
              <w:rPr>
                <w:rFonts w:ascii="Times New Roman" w:hAnsi="Times New Roman"/>
                <w:szCs w:val="24"/>
                <w:lang w:val="lt-LT"/>
              </w:rPr>
              <w:t xml:space="preserve"> emisij</w:t>
            </w:r>
            <w:r>
              <w:rPr>
                <w:rFonts w:ascii="Times New Roman" w:hAnsi="Times New Roman"/>
                <w:szCs w:val="24"/>
                <w:lang w:val="lt-LT"/>
              </w:rPr>
              <w:t>as</w:t>
            </w:r>
            <w:r w:rsidR="00A46638" w:rsidRPr="00650EE4">
              <w:rPr>
                <w:rFonts w:ascii="Times New Roman" w:hAnsi="Times New Roman"/>
                <w:szCs w:val="24"/>
                <w:lang w:val="lt-LT"/>
              </w:rPr>
              <w:t>.</w:t>
            </w:r>
          </w:p>
          <w:p w14:paraId="4BD36A4B" w14:textId="05CDD3FF" w:rsidR="00BE692B" w:rsidRPr="00650EE4" w:rsidRDefault="00BE692B"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Pasiekus šiuos rodiklius</w:t>
            </w:r>
            <w:r w:rsidR="00812095" w:rsidRPr="00650EE4">
              <w:rPr>
                <w:rFonts w:ascii="Times New Roman" w:hAnsi="Times New Roman"/>
                <w:szCs w:val="24"/>
                <w:lang w:val="lt-LT"/>
              </w:rPr>
              <w:t xml:space="preserve"> neefektyviausių (≤D klasės) pastatų pirminės energijos dalis bendrame vartojime sumažės nuo 77 iki 2</w:t>
            </w:r>
            <w:r w:rsidR="00175A5A">
              <w:rPr>
                <w:rFonts w:ascii="Times New Roman" w:hAnsi="Times New Roman"/>
                <w:szCs w:val="24"/>
                <w:lang w:val="lt-LT"/>
              </w:rPr>
              <w:t xml:space="preserve">3 </w:t>
            </w:r>
            <w:r w:rsidR="00812095" w:rsidRPr="00650EE4">
              <w:rPr>
                <w:rFonts w:ascii="Times New Roman" w:hAnsi="Times New Roman"/>
                <w:szCs w:val="24"/>
                <w:lang w:val="lt-LT"/>
              </w:rPr>
              <w:t>proc.;</w:t>
            </w:r>
          </w:p>
          <w:p w14:paraId="3D517FC3" w14:textId="7BB0B713" w:rsidR="00765CBD" w:rsidRPr="00650EE4" w:rsidRDefault="00287BDC"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Pastatų fondas, kaip energijos vartotojas yra neatskiriama energetikos sektoriaus dalis, todėl siektini rodikliai remiasi prielaida, kad bus įgyvendinta tiek Pastatų fondo (energijos vartojimo), tiek energetikos sektoriaus (energijos gamybos) transformacija</w:t>
            </w:r>
            <w:r w:rsidR="00BE576D" w:rsidRPr="00650EE4">
              <w:rPr>
                <w:rFonts w:ascii="Times New Roman" w:hAnsi="Times New Roman"/>
                <w:szCs w:val="24"/>
                <w:lang w:val="lt-LT"/>
              </w:rPr>
              <w:t>, t.y. t</w:t>
            </w:r>
            <w:r w:rsidR="00765CBD" w:rsidRPr="00650EE4">
              <w:rPr>
                <w:rFonts w:ascii="Times New Roman" w:hAnsi="Times New Roman"/>
                <w:szCs w:val="24"/>
                <w:lang w:val="lt-LT"/>
              </w:rPr>
              <w:t xml:space="preserve">iek CŠT, tiek elektros energijos gamyboje AEI sudarys bent </w:t>
            </w:r>
            <w:r w:rsidR="00175A5A">
              <w:rPr>
                <w:rFonts w:ascii="Times New Roman" w:hAnsi="Times New Roman"/>
                <w:szCs w:val="24"/>
                <w:lang w:val="lt-LT"/>
              </w:rPr>
              <w:t>10</w:t>
            </w:r>
            <w:r w:rsidR="00765CBD" w:rsidRPr="00650EE4">
              <w:rPr>
                <w:rFonts w:ascii="Times New Roman" w:hAnsi="Times New Roman"/>
                <w:szCs w:val="24"/>
                <w:lang w:val="lt-LT"/>
              </w:rPr>
              <w:t>0 proc.</w:t>
            </w:r>
          </w:p>
          <w:p w14:paraId="354DB66E" w14:textId="56A910DE" w:rsidR="00FA6D6D" w:rsidRPr="00650EE4" w:rsidRDefault="00153EDE"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Didžioji dalis pirminės energijos</w:t>
            </w:r>
            <w:r w:rsidR="00765CBD" w:rsidRPr="00650EE4">
              <w:rPr>
                <w:rFonts w:ascii="Times New Roman" w:hAnsi="Times New Roman"/>
                <w:szCs w:val="24"/>
                <w:lang w:val="lt-LT"/>
              </w:rPr>
              <w:t xml:space="preserve"> (3</w:t>
            </w:r>
            <w:r w:rsidR="00175A5A">
              <w:rPr>
                <w:rFonts w:ascii="Times New Roman" w:hAnsi="Times New Roman"/>
                <w:szCs w:val="24"/>
                <w:lang w:val="lt-LT"/>
              </w:rPr>
              <w:t>9</w:t>
            </w:r>
            <w:r w:rsidR="00765CBD" w:rsidRPr="00650EE4">
              <w:rPr>
                <w:rFonts w:ascii="Times New Roman" w:hAnsi="Times New Roman"/>
                <w:szCs w:val="24"/>
                <w:lang w:val="lt-LT"/>
              </w:rPr>
              <w:t xml:space="preserve"> proc.) ir CO</w:t>
            </w:r>
            <w:r w:rsidR="00765CBD" w:rsidRPr="00650EE4">
              <w:rPr>
                <w:rFonts w:ascii="Times New Roman" w:hAnsi="Times New Roman"/>
                <w:szCs w:val="24"/>
                <w:vertAlign w:val="subscript"/>
                <w:lang w:val="lt-LT"/>
              </w:rPr>
              <w:t>2</w:t>
            </w:r>
            <w:r w:rsidR="00765CBD" w:rsidRPr="00650EE4">
              <w:rPr>
                <w:rFonts w:ascii="Times New Roman" w:hAnsi="Times New Roman"/>
                <w:szCs w:val="24"/>
                <w:lang w:val="lt-LT"/>
              </w:rPr>
              <w:t xml:space="preserve"> emisijų (3</w:t>
            </w:r>
            <w:r w:rsidR="00175A5A">
              <w:rPr>
                <w:rFonts w:ascii="Times New Roman" w:hAnsi="Times New Roman"/>
                <w:szCs w:val="24"/>
                <w:lang w:val="lt-LT"/>
              </w:rPr>
              <w:t>0</w:t>
            </w:r>
            <w:r w:rsidR="00765CBD" w:rsidRPr="00650EE4">
              <w:rPr>
                <w:rFonts w:ascii="Times New Roman" w:hAnsi="Times New Roman"/>
                <w:szCs w:val="24"/>
                <w:lang w:val="lt-LT"/>
              </w:rPr>
              <w:t xml:space="preserve"> proc.)</w:t>
            </w:r>
            <w:r w:rsidRPr="00650EE4">
              <w:rPr>
                <w:rFonts w:ascii="Times New Roman" w:hAnsi="Times New Roman"/>
                <w:szCs w:val="24"/>
                <w:lang w:val="lt-LT"/>
              </w:rPr>
              <w:t xml:space="preserve"> sutaupymų bus pasiekta individualiuose namuose</w:t>
            </w:r>
            <w:r w:rsidR="00AC6C9F" w:rsidRPr="00650EE4">
              <w:rPr>
                <w:rFonts w:ascii="Times New Roman" w:hAnsi="Times New Roman"/>
                <w:szCs w:val="24"/>
                <w:lang w:val="lt-LT"/>
              </w:rPr>
              <w:t>, likusi dalis – daugiabučių (</w:t>
            </w:r>
            <w:r w:rsidR="00487969" w:rsidRPr="00650EE4">
              <w:rPr>
                <w:rFonts w:ascii="Times New Roman" w:hAnsi="Times New Roman"/>
                <w:szCs w:val="24"/>
                <w:lang w:val="lt-LT"/>
              </w:rPr>
              <w:t xml:space="preserve">atitinkamai </w:t>
            </w:r>
            <w:r w:rsidR="00AC6C9F" w:rsidRPr="00650EE4">
              <w:rPr>
                <w:rFonts w:ascii="Times New Roman" w:hAnsi="Times New Roman"/>
                <w:szCs w:val="24"/>
                <w:lang w:val="lt-LT"/>
              </w:rPr>
              <w:t>2</w:t>
            </w:r>
            <w:r w:rsidR="00984459">
              <w:rPr>
                <w:rFonts w:ascii="Times New Roman" w:hAnsi="Times New Roman"/>
                <w:szCs w:val="24"/>
                <w:lang w:val="lt-LT"/>
              </w:rPr>
              <w:t>5</w:t>
            </w:r>
            <w:r w:rsidR="00AC6C9F" w:rsidRPr="00650EE4">
              <w:rPr>
                <w:rFonts w:ascii="Times New Roman" w:hAnsi="Times New Roman"/>
                <w:szCs w:val="24"/>
                <w:lang w:val="lt-LT"/>
              </w:rPr>
              <w:t xml:space="preserve"> ir 2</w:t>
            </w:r>
            <w:r w:rsidR="00984459">
              <w:rPr>
                <w:rFonts w:ascii="Times New Roman" w:hAnsi="Times New Roman"/>
                <w:szCs w:val="24"/>
                <w:lang w:val="lt-LT"/>
              </w:rPr>
              <w:t>4</w:t>
            </w:r>
            <w:r w:rsidR="00AC6C9F" w:rsidRPr="00650EE4">
              <w:rPr>
                <w:rFonts w:ascii="Times New Roman" w:hAnsi="Times New Roman"/>
                <w:szCs w:val="24"/>
                <w:lang w:val="lt-LT"/>
              </w:rPr>
              <w:t xml:space="preserve"> proc.), kitos negyvenamosios (20 ir 2</w:t>
            </w:r>
            <w:r w:rsidR="00984459">
              <w:rPr>
                <w:rFonts w:ascii="Times New Roman" w:hAnsi="Times New Roman"/>
                <w:szCs w:val="24"/>
                <w:lang w:val="lt-LT"/>
              </w:rPr>
              <w:t>4</w:t>
            </w:r>
            <w:r w:rsidR="00AC6C9F" w:rsidRPr="00650EE4">
              <w:rPr>
                <w:rFonts w:ascii="Times New Roman" w:hAnsi="Times New Roman"/>
                <w:szCs w:val="24"/>
                <w:lang w:val="lt-LT"/>
              </w:rPr>
              <w:t xml:space="preserve"> proc.) bei pramonės (1</w:t>
            </w:r>
            <w:r w:rsidR="00984459">
              <w:rPr>
                <w:rFonts w:ascii="Times New Roman" w:hAnsi="Times New Roman"/>
                <w:szCs w:val="24"/>
                <w:lang w:val="lt-LT"/>
              </w:rPr>
              <w:t>6</w:t>
            </w:r>
            <w:r w:rsidR="00AC6C9F" w:rsidRPr="00650EE4">
              <w:rPr>
                <w:rFonts w:ascii="Times New Roman" w:hAnsi="Times New Roman"/>
                <w:szCs w:val="24"/>
                <w:lang w:val="lt-LT"/>
              </w:rPr>
              <w:t xml:space="preserve"> ir 2</w:t>
            </w:r>
            <w:r w:rsidR="00984459">
              <w:rPr>
                <w:rFonts w:ascii="Times New Roman" w:hAnsi="Times New Roman"/>
                <w:szCs w:val="24"/>
                <w:lang w:val="lt-LT"/>
              </w:rPr>
              <w:t>2</w:t>
            </w:r>
            <w:r w:rsidR="00AC6C9F" w:rsidRPr="00650EE4">
              <w:rPr>
                <w:rFonts w:ascii="Times New Roman" w:hAnsi="Times New Roman"/>
                <w:szCs w:val="24"/>
                <w:lang w:val="lt-LT"/>
              </w:rPr>
              <w:t xml:space="preserve"> proc.) paskirties pastatuose.</w:t>
            </w:r>
          </w:p>
          <w:p w14:paraId="4592DD1B" w14:textId="76A96E9B" w:rsidR="00623CCC" w:rsidRPr="00650EE4" w:rsidRDefault="005270FF"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Norint pasiekti renovacijos rodiklius turės būti renovuota beveik 440 tūkst. pastatų (74 proc.)</w:t>
            </w:r>
            <w:r w:rsidR="00927035" w:rsidRPr="00650EE4">
              <w:rPr>
                <w:rFonts w:ascii="Times New Roman" w:hAnsi="Times New Roman"/>
                <w:szCs w:val="24"/>
                <w:lang w:val="lt-LT"/>
              </w:rPr>
              <w:t>.</w:t>
            </w:r>
            <w:r w:rsidRPr="00650EE4">
              <w:rPr>
                <w:rFonts w:ascii="Times New Roman" w:hAnsi="Times New Roman"/>
                <w:szCs w:val="24"/>
                <w:lang w:val="lt-LT"/>
              </w:rPr>
              <w:t xml:space="preserve"> </w:t>
            </w:r>
          </w:p>
          <w:p w14:paraId="5CDDF1D9" w14:textId="6B91A147" w:rsidR="00623CCC" w:rsidRPr="00650EE4" w:rsidRDefault="00623CCC" w:rsidP="00984459">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 xml:space="preserve">Renovacijos strategijos įgyvendinimo laikotarpiu iki 2050 m. reikės investuoti </w:t>
            </w:r>
            <w:r w:rsidR="00984459">
              <w:rPr>
                <w:rFonts w:ascii="Times New Roman" w:hAnsi="Times New Roman"/>
                <w:szCs w:val="24"/>
                <w:lang w:val="lt-LT"/>
              </w:rPr>
              <w:t>60</w:t>
            </w:r>
            <w:r w:rsidRPr="00650EE4">
              <w:rPr>
                <w:rFonts w:ascii="Times New Roman" w:hAnsi="Times New Roman"/>
                <w:szCs w:val="24"/>
                <w:lang w:val="lt-LT"/>
              </w:rPr>
              <w:t xml:space="preserve"> mlrd. </w:t>
            </w:r>
            <w:proofErr w:type="spellStart"/>
            <w:r w:rsidRPr="00650EE4">
              <w:rPr>
                <w:rFonts w:ascii="Times New Roman" w:hAnsi="Times New Roman"/>
                <w:szCs w:val="24"/>
                <w:lang w:val="lt-LT"/>
              </w:rPr>
              <w:t>Eur</w:t>
            </w:r>
            <w:proofErr w:type="spellEnd"/>
            <w:r w:rsidRPr="00650EE4">
              <w:rPr>
                <w:rFonts w:ascii="Times New Roman" w:hAnsi="Times New Roman"/>
                <w:szCs w:val="24"/>
                <w:lang w:val="lt-LT"/>
              </w:rPr>
              <w:t>, tačiau tuo pačiu laikotarpiu naudos reik</w:t>
            </w:r>
            <w:r w:rsidR="0016519E" w:rsidRPr="00650EE4">
              <w:rPr>
                <w:rFonts w:ascii="Times New Roman" w:hAnsi="Times New Roman"/>
                <w:szCs w:val="24"/>
                <w:lang w:val="lt-LT"/>
              </w:rPr>
              <w:t>š</w:t>
            </w:r>
            <w:r w:rsidRPr="00650EE4">
              <w:rPr>
                <w:rFonts w:ascii="Times New Roman" w:hAnsi="Times New Roman"/>
                <w:szCs w:val="24"/>
                <w:lang w:val="lt-LT"/>
              </w:rPr>
              <w:t xml:space="preserve">mingai viršys investicijas ir sieks </w:t>
            </w:r>
            <w:r w:rsidR="00984459">
              <w:rPr>
                <w:rFonts w:ascii="Times New Roman" w:hAnsi="Times New Roman"/>
                <w:szCs w:val="24"/>
                <w:lang w:val="lt-LT"/>
              </w:rPr>
              <w:t>75</w:t>
            </w:r>
            <w:r w:rsidRPr="00650EE4">
              <w:rPr>
                <w:rFonts w:ascii="Times New Roman" w:hAnsi="Times New Roman"/>
                <w:szCs w:val="24"/>
                <w:lang w:val="lt-LT"/>
              </w:rPr>
              <w:t>,</w:t>
            </w:r>
            <w:r w:rsidR="00984459">
              <w:rPr>
                <w:rFonts w:ascii="Times New Roman" w:hAnsi="Times New Roman"/>
                <w:szCs w:val="24"/>
                <w:lang w:val="lt-LT"/>
              </w:rPr>
              <w:t>3</w:t>
            </w:r>
            <w:r w:rsidRPr="00650EE4">
              <w:rPr>
                <w:rFonts w:ascii="Times New Roman" w:hAnsi="Times New Roman"/>
                <w:szCs w:val="24"/>
                <w:lang w:val="lt-LT"/>
              </w:rPr>
              <w:t xml:space="preserve"> mlr</w:t>
            </w:r>
            <w:r w:rsidR="0016519E" w:rsidRPr="00650EE4">
              <w:rPr>
                <w:rFonts w:ascii="Times New Roman" w:hAnsi="Times New Roman"/>
                <w:szCs w:val="24"/>
                <w:lang w:val="lt-LT"/>
              </w:rPr>
              <w:t>d</w:t>
            </w:r>
            <w:r w:rsidRPr="00650EE4">
              <w:rPr>
                <w:rFonts w:ascii="Times New Roman" w:hAnsi="Times New Roman"/>
                <w:szCs w:val="24"/>
                <w:lang w:val="lt-LT"/>
              </w:rPr>
              <w:t xml:space="preserve">. </w:t>
            </w:r>
            <w:proofErr w:type="spellStart"/>
            <w:r w:rsidRPr="00650EE4">
              <w:rPr>
                <w:rFonts w:ascii="Times New Roman" w:hAnsi="Times New Roman"/>
                <w:szCs w:val="24"/>
                <w:lang w:val="lt-LT"/>
              </w:rPr>
              <w:t>Eur</w:t>
            </w:r>
            <w:proofErr w:type="spellEnd"/>
            <w:r w:rsidRPr="00650EE4">
              <w:rPr>
                <w:rFonts w:ascii="Times New Roman" w:hAnsi="Times New Roman"/>
                <w:szCs w:val="24"/>
                <w:lang w:val="lt-LT"/>
              </w:rPr>
              <w:t>.</w:t>
            </w:r>
          </w:p>
        </w:tc>
      </w:tr>
    </w:tbl>
    <w:p w14:paraId="4815CAF7" w14:textId="2445CF4F" w:rsidR="00FA6D6D" w:rsidRPr="00650EE4" w:rsidRDefault="00FA6D6D">
      <w:pPr>
        <w:spacing w:after="240"/>
        <w:rPr>
          <w:rFonts w:ascii="Times New Roman" w:hAnsi="Times New Roman"/>
          <w:color w:val="002060"/>
          <w:szCs w:val="28"/>
        </w:rPr>
      </w:pPr>
      <w:r w:rsidRPr="00650EE4">
        <w:rPr>
          <w:rFonts w:ascii="Times New Roman" w:hAnsi="Times New Roman"/>
          <w:color w:val="002060"/>
          <w:szCs w:val="28"/>
        </w:rPr>
        <w:br w:type="page"/>
      </w:r>
    </w:p>
    <w:p w14:paraId="18D48F1B" w14:textId="06DED8EF" w:rsidR="0034475F" w:rsidRPr="00650EE4" w:rsidRDefault="001D07DB" w:rsidP="006F1CDA">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Cs w:val="28"/>
        </w:rPr>
      </w:pPr>
      <w:bookmarkStart w:id="197" w:name="_Toc67925171"/>
      <w:r w:rsidRPr="00650EE4">
        <w:rPr>
          <w:rFonts w:ascii="Times New Roman" w:hAnsi="Times New Roman"/>
          <w:color w:val="002060"/>
          <w:szCs w:val="28"/>
        </w:rPr>
        <w:lastRenderedPageBreak/>
        <w:t>RENOVACIJOS STRATEGIJOS VEIKSMŲ GAIRĖS</w:t>
      </w:r>
      <w:bookmarkEnd w:id="197"/>
      <w:r w:rsidR="005B5436" w:rsidRPr="00650EE4">
        <w:rPr>
          <w:rFonts w:ascii="Times New Roman" w:hAnsi="Times New Roman"/>
          <w:color w:val="002060"/>
          <w:szCs w:val="28"/>
        </w:rPr>
        <w:t xml:space="preserve"> </w:t>
      </w:r>
    </w:p>
    <w:p w14:paraId="1A213D7C" w14:textId="3EB9A567" w:rsidR="00D67906" w:rsidRPr="00650EE4" w:rsidRDefault="001D07DB" w:rsidP="003853BB">
      <w:pPr>
        <w:spacing w:line="240" w:lineRule="auto"/>
        <w:jc w:val="both"/>
        <w:rPr>
          <w:rFonts w:ascii="Times New Roman" w:hAnsi="Times New Roman"/>
          <w:color w:val="000000" w:themeColor="text1"/>
          <w:szCs w:val="22"/>
        </w:rPr>
      </w:pPr>
      <w:r w:rsidRPr="00650EE4">
        <w:rPr>
          <w:rFonts w:ascii="Times New Roman" w:hAnsi="Times New Roman"/>
          <w:noProof/>
          <w:color w:val="000000" w:themeColor="text1"/>
          <w:sz w:val="24"/>
          <w:szCs w:val="24"/>
          <w:lang w:eastAsia="lt-LT"/>
        </w:rPr>
        <mc:AlternateContent>
          <mc:Choice Requires="wps">
            <w:drawing>
              <wp:inline distT="0" distB="0" distL="0" distR="0" wp14:anchorId="730B286C" wp14:editId="00A732C4">
                <wp:extent cx="6479540" cy="1428750"/>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28750"/>
                        </a:xfrm>
                        <a:prstGeom prst="rect">
                          <a:avLst/>
                        </a:prstGeom>
                        <a:solidFill>
                          <a:schemeClr val="bg1">
                            <a:lumMod val="85000"/>
                          </a:schemeClr>
                        </a:solidFill>
                        <a:ln>
                          <a:noFill/>
                        </a:ln>
                      </wps:spPr>
                      <wps:txbx>
                        <w:txbxContent>
                          <w:p w14:paraId="29FC40F1" w14:textId="77777777" w:rsidR="005E392B" w:rsidRPr="00862E2C" w:rsidRDefault="005E392B" w:rsidP="001D07DB">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4D542E79" w14:textId="77777777" w:rsidR="005E392B" w:rsidRPr="00445553" w:rsidRDefault="005E392B" w:rsidP="001D07DB">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25" o:spid="_x0000_s1038" type="#_x0000_t202" style="width:510.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y6GwIAAB0EAAAOAAAAZHJzL2Uyb0RvYy54bWysU9uO0zAQfUfiHyy/01yUbrtR09XS1SKk&#10;hUXa5QMcx0ksHI+x3Sbl6xk7bSnwhnixPBefOXNmvLmbBkUOwjoJuqLZIqVEaA6N1F1Fv74+vltT&#10;4jzTDVOgRUWPwtG77ds3m9GUIoceVCMsQRDtytFUtPfelEnieC8G5hZghMZgC3ZgHk3bJY1lI6IP&#10;KsnT9CYZwTbGAhfOofdhDtJtxG9bwf1z2zrhiaoocvPxtPGsw5lsN6zsLDO95Cca7B9YDExqLHqB&#10;emCekb2Vf0ENkltw0PoFhyGBtpVcxB6wmyz9o5uXnhkRe0FxnLnI5P4fLP98+GKJbCqaLynRbMAZ&#10;vYrJk/cwEXShPqNxJaa9GEz0E/pxzrFXZ56Af3NEw65nuhP31sLYC9Ygvyy8TK6ezjgugNTjJ2iw&#10;Dtt7iEBTa4cgHspBEB3ndLzMJnDh6LwpVrfLAkMcY1mRr1fLOL2Elefnxjr/QcBAwqWiFocf4dnh&#10;yflAh5XnlFDNgZLNo1QqGmHhxE5ZcmC4KnU3t6j2A3Kdfetlmp5Lxv0M6RH1NySlA56GgDwXDZ4o&#10;Reh+1sFP9RRVz/KzxDU0RxTHwryj+Kfw0oP9QcmI+1lR933PrKBEfdQo8G1WBDV8NIrlKkfDXkfq&#10;6wjTHKEq6imZrzs/f4K9sbLrsdLcr4Z7HEoro1xhejOrE3/cwdjv6b+EJb+2Y9avX739CQAA//8D&#10;AFBLAwQUAAYACAAAACEAkag0qd0AAAAGAQAADwAAAGRycy9kb3ducmV2LnhtbEyPT0vDQBDF74Lf&#10;YRnBm9118U+J2RQRBJVasFXP0+w0CWZnQ3bTxH56t170MvB4j/d+ky8m14o99aHxbOBypkAQl942&#10;XBl43zxezEGEiGyx9UwGvinAojg9yTGzfuQ32q9jJVIJhwwN1DF2mZShrMlhmPmOOHk73zuMSfaV&#10;tD2Oqdy1Uit1Ix02nBZq7OihpvJrPTgDS355xt1m/no46GH8+Hy6HVfL3pjzs+n+DkSkKf6F4Yif&#10;0KFITFs/sA2iNZAeib/36CmtrkBsDWh9rUAWufyPX/wAAAD//wMAUEsBAi0AFAAGAAgAAAAhALaD&#10;OJL+AAAA4QEAABMAAAAAAAAAAAAAAAAAAAAAAFtDb250ZW50X1R5cGVzXS54bWxQSwECLQAUAAYA&#10;CAAAACEAOP0h/9YAAACUAQAACwAAAAAAAAAAAAAAAAAvAQAAX3JlbHMvLnJlbHNQSwECLQAUAAYA&#10;CAAAACEAQc/MuhsCAAAdBAAADgAAAAAAAAAAAAAAAAAuAgAAZHJzL2Uyb0RvYy54bWxQSwECLQAU&#10;AAYACAAAACEAkag0qd0AAAAGAQAADwAAAAAAAAAAAAAAAAB1BAAAZHJzL2Rvd25yZXYueG1sUEsF&#10;BgAAAAAEAAQA8wAAAH8FAAAAAA==&#10;" fillcolor="#d8d8d8 [2732]" stroked="f">
                <v:textbox>
                  <w:txbxContent>
                    <w:p w14:paraId="29FC40F1" w14:textId="77777777" w:rsidR="005E392B" w:rsidRPr="00862E2C" w:rsidRDefault="005E392B" w:rsidP="001D07DB">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4D542E79" w14:textId="77777777" w:rsidR="005E392B" w:rsidRPr="00445553" w:rsidRDefault="005E392B" w:rsidP="001D07DB">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104966F9" w14:textId="77777777" w:rsidR="00F0478A" w:rsidRPr="00650EE4" w:rsidRDefault="00F0478A" w:rsidP="001666B0">
      <w:pPr>
        <w:spacing w:line="240" w:lineRule="auto"/>
        <w:jc w:val="both"/>
        <w:rPr>
          <w:rFonts w:ascii="Times New Roman" w:hAnsi="Times New Roman"/>
          <w:color w:val="000000" w:themeColor="text1"/>
          <w:szCs w:val="22"/>
        </w:rPr>
      </w:pPr>
    </w:p>
    <w:p w14:paraId="2E34F5DC" w14:textId="62A60515" w:rsidR="001D07DB" w:rsidRPr="00650EE4" w:rsidRDefault="001D07DB" w:rsidP="00DD1817">
      <w:pPr>
        <w:spacing w:after="120"/>
        <w:jc w:val="both"/>
        <w:rPr>
          <w:rFonts w:ascii="Times New Roman" w:hAnsi="Times New Roman"/>
          <w:color w:val="000000" w:themeColor="text1"/>
          <w:szCs w:val="22"/>
        </w:rPr>
      </w:pPr>
      <w:r w:rsidRPr="00650EE4">
        <w:rPr>
          <w:rFonts w:ascii="Times New Roman" w:hAnsi="Times New Roman"/>
          <w:noProof/>
          <w:color w:val="000000" w:themeColor="text1"/>
          <w:sz w:val="24"/>
          <w:szCs w:val="24"/>
          <w:lang w:eastAsia="lt-LT"/>
        </w:rPr>
        <mc:AlternateContent>
          <mc:Choice Requires="wps">
            <w:drawing>
              <wp:inline distT="0" distB="0" distL="0" distR="0" wp14:anchorId="161DDEDB" wp14:editId="12FB4470">
                <wp:extent cx="6469811" cy="2303252"/>
                <wp:effectExtent l="0" t="0" r="7620" b="19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1" cy="2303252"/>
                        </a:xfrm>
                        <a:prstGeom prst="rect">
                          <a:avLst/>
                        </a:prstGeom>
                        <a:solidFill>
                          <a:schemeClr val="bg1">
                            <a:lumMod val="85000"/>
                          </a:schemeClr>
                        </a:solidFill>
                        <a:ln>
                          <a:noFill/>
                        </a:ln>
                      </wps:spPr>
                      <wps:txbx>
                        <w:txbxContent>
                          <w:p w14:paraId="54D68636"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bCs/>
                                <w:color w:val="000000" w:themeColor="text1"/>
                                <w:sz w:val="21"/>
                              </w:rPr>
                              <w:t>PEND 2a straipsnio 3 dalyje numatyta „</w:t>
                            </w:r>
                            <w:r w:rsidRPr="0088207D">
                              <w:rPr>
                                <w:rFonts w:ascii="Times New Roman" w:hAnsi="Times New Roman"/>
                                <w:sz w:val="21"/>
                              </w:rPr>
                              <w:t xml:space="preserve">kad būtų remiamas investicijų į renovavimą, būtiną 1 dalyje nurodytiems tikslams pasiekti, mobilizavimas, valstybės narės sudaro palankesnes sąlygas naudotis tinkamais mechanizmais siekiant: </w:t>
                            </w:r>
                          </w:p>
                          <w:p w14:paraId="44E7AC45"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a) jungti projektus, be kita ko, naudojant investavimo platformas arba grupes ir mažųjų ir vidutinių įmonių konsorciumus, kad būtų suteikta prieiga investuotojams ir suteikta galimybė pasiūlyti kompleksinius sprendimus galimiems klientams; </w:t>
                            </w:r>
                          </w:p>
                          <w:p w14:paraId="06C8A711"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b) mažinti numanomą energijos vartojimo efektyvumo operacijų riziką investuotojams ir privačiajam sektoriui; </w:t>
                            </w:r>
                          </w:p>
                          <w:p w14:paraId="5ABDDC0A"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c) naudoti viešąjį finansavimą papildomoms privačiojo sektoriaus investicijoms pritraukti arba konkretiems rinkos nepakankamumo atvejams šalinti; </w:t>
                            </w:r>
                          </w:p>
                          <w:p w14:paraId="40AF538F"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d) nukreipti investicijas į efektyviai energiją vartojantį viešųjų pastatų ūkį, vadovaujantis Eurostato gairėmis, ir </w:t>
                            </w:r>
                          </w:p>
                          <w:p w14:paraId="21256C51" w14:textId="77777777" w:rsidR="005E392B" w:rsidRPr="0088207D" w:rsidRDefault="005E392B" w:rsidP="001D07DB">
                            <w:pPr>
                              <w:pStyle w:val="Text"/>
                              <w:spacing w:after="0" w:line="240" w:lineRule="auto"/>
                              <w:ind w:left="0" w:right="0"/>
                              <w:rPr>
                                <w:rFonts w:ascii="Times New Roman" w:hAnsi="Times New Roman" w:cs="Times New Roman"/>
                                <w:bCs/>
                                <w:color w:val="000000" w:themeColor="text1"/>
                                <w:sz w:val="21"/>
                                <w:szCs w:val="21"/>
                              </w:rPr>
                            </w:pPr>
                            <w:r w:rsidRPr="0088207D">
                              <w:rPr>
                                <w:rFonts w:ascii="Times New Roman" w:hAnsi="Times New Roman"/>
                                <w:sz w:val="21"/>
                                <w:szCs w:val="21"/>
                              </w:rPr>
                              <w:t>e) taikyti prieinamas ir skaidrias patariamąsias priemones, kaip antai, vieno langelio sistemas vartotojams ir konsultavimo energetikos klausimais paslaugas, susijusias su atitinkamomis energijos vartojimo efektyvumui didinti skirtomis renovacijomis ir finansavimo priemonėmis.</w:t>
                            </w:r>
                            <w:r w:rsidRPr="0088207D">
                              <w:rPr>
                                <w:rFonts w:ascii="Times New Roman" w:hAnsi="Times New Roman" w:cs="Times New Roman"/>
                                <w:bCs/>
                                <w:color w:val="000000" w:themeColor="text1"/>
                                <w:sz w:val="21"/>
                                <w:szCs w:val="21"/>
                              </w:rPr>
                              <w:t>“</w:t>
                            </w:r>
                          </w:p>
                          <w:p w14:paraId="33B93153" w14:textId="77777777" w:rsidR="005E392B" w:rsidRPr="00445553" w:rsidRDefault="005E392B" w:rsidP="001D07DB">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52" o:spid="_x0000_s1039" type="#_x0000_t202" style="width:509.4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dwHQIAAB0EAAAOAAAAZHJzL2Uyb0RvYy54bWysU9uO0zAQfUfiHyy/01x6oRs1XS1dLUJa&#10;LtIuH+A4TmPheIztNlm+nrHdlgJviBfLc/GZM2fGm9tpUOQorJOga1rMckqE5tBKva/p1+eHN2tK&#10;nGe6ZQq0qOmLcPR2+/rVZjSVKKEH1QpLEES7ajQ17b03VZY53ouBuRkYoTHYgR2YR9Pus9ayEdEH&#10;lZV5vspGsK2xwIVz6L1PQbqN+F0nuP/cdU54omqK3Hw8bTybcGbbDav2lple8hMN9g8sBiY1Fr1A&#10;3TPPyMHKv6AGyS046PyMw5BB10kuYg/YTZH/0c1Tz4yIvaA4zlxkcv8Pln86frFEtjVdlpRoNuCM&#10;nsXkyTuYCLpQn9G4CtOeDCb6Cf0459irM4/AvzmiYdczvRd31sLYC9YivyK8zK6eJhwXQJrxI7RY&#10;hx08RKCps0MQD+UgiI5zernMJnDh6FwtVjfroqCEY6yc5/MysctYdX5urPPvBQwkXGpqcfgRnh0f&#10;nQ90WHVOCdUcKNk+SKWiERZO7JQlR4ar0uxTi+owINfkWy/zPC4M4sT9DOkR9TckpQOehoCcigZP&#10;lCJ0n3TwUzNF1Yv5WeIG2hcUx0LaUfxTeOnB/qBkxP2sqft+YFZQoj5oFPimWCzCQkdjsXxbomGv&#10;I811hGmOUDX1lKTrzqdPcDBW7nuslPrVcIdD6WSUK0wvsTrxxx2M/Z7+S1jyaztm/frV258AAAD/&#10;/wMAUEsDBBQABgAIAAAAIQAJ5C/n3QAAAAYBAAAPAAAAZHJzL2Rvd25yZXYueG1sTI9BS8NAEIXv&#10;gv9hGcGb3TRCG2M2RQRBpQq26nmanSbB7GzY3TSxv96tF70MPN7jvW+K1WQ6cSDnW8sK5rMEBHFl&#10;dcu1gvftw1UGwgdkjZ1lUvBNHlbl+VmBubYjv9FhE2oRS9jnqKAJoc+l9FVDBv3M9sTR21tnMETp&#10;aqkdjrHcdDJNkoU02HJcaLCn+4aqr81gFKz5+Qn32+zleEyH8ePzcTm+rp1SlxfT3S2IQFP4C8MJ&#10;P6JDGZl2dmDtRacgPhJ+78lL5tkNiJ2C60W6BFkW8j9++QMAAP//AwBQSwECLQAUAAYACAAAACEA&#10;toM4kv4AAADhAQAAEwAAAAAAAAAAAAAAAAAAAAAAW0NvbnRlbnRfVHlwZXNdLnhtbFBLAQItABQA&#10;BgAIAAAAIQA4/SH/1gAAAJQBAAALAAAAAAAAAAAAAAAAAC8BAABfcmVscy8ucmVsc1BLAQItABQA&#10;BgAIAAAAIQBtufdwHQIAAB0EAAAOAAAAAAAAAAAAAAAAAC4CAABkcnMvZTJvRG9jLnhtbFBLAQIt&#10;ABQABgAIAAAAIQAJ5C/n3QAAAAYBAAAPAAAAAAAAAAAAAAAAAHcEAABkcnMvZG93bnJldi54bWxQ&#10;SwUGAAAAAAQABADzAAAAgQUAAAAA&#10;" fillcolor="#d8d8d8 [2732]" stroked="f">
                <v:textbox>
                  <w:txbxContent>
                    <w:p w14:paraId="54D68636"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bCs/>
                          <w:color w:val="000000" w:themeColor="text1"/>
                          <w:sz w:val="21"/>
                        </w:rPr>
                        <w:t>PEND 2a straipsnio 3 dalyje numatyta „</w:t>
                      </w:r>
                      <w:r w:rsidRPr="0088207D">
                        <w:rPr>
                          <w:rFonts w:ascii="Times New Roman" w:hAnsi="Times New Roman"/>
                          <w:sz w:val="21"/>
                        </w:rPr>
                        <w:t xml:space="preserve">kad būtų remiamas investicijų į renovavimą, būtiną 1 dalyje nurodytiems tikslams pasiekti, mobilizavimas, valstybės narės sudaro palankesnes sąlygas naudotis tinkamais mechanizmais siekiant: </w:t>
                      </w:r>
                    </w:p>
                    <w:p w14:paraId="44E7AC45"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a) jungti projektus, be kita ko, naudojant investavimo platformas arba grupes ir mažųjų ir vidutinių įmonių konsorciumus, kad būtų suteikta prieiga investuotojams ir suteikta galimybė pasiūlyti kompleksinius sprendimus galimiems klientams; </w:t>
                      </w:r>
                    </w:p>
                    <w:p w14:paraId="06C8A711"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b) mažinti numanomą energijos vartojimo efektyvumo operacijų riziką investuotojams ir privačiajam sektoriui; </w:t>
                      </w:r>
                    </w:p>
                    <w:p w14:paraId="5ABDDC0A"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c) naudoti viešąjį finansavimą papildomoms privačiojo sektoriaus investicijoms pritraukti arba konkretiems rinkos nepakankamumo atvejams šalinti; </w:t>
                      </w:r>
                    </w:p>
                    <w:p w14:paraId="40AF538F" w14:textId="77777777" w:rsidR="005E392B" w:rsidRPr="0088207D" w:rsidRDefault="005E392B" w:rsidP="001D07DB">
                      <w:pPr>
                        <w:spacing w:after="60" w:line="240" w:lineRule="auto"/>
                        <w:rPr>
                          <w:rFonts w:ascii="Times New Roman" w:hAnsi="Times New Roman"/>
                          <w:sz w:val="21"/>
                        </w:rPr>
                      </w:pPr>
                      <w:r w:rsidRPr="0088207D">
                        <w:rPr>
                          <w:rFonts w:ascii="Times New Roman" w:hAnsi="Times New Roman"/>
                          <w:sz w:val="21"/>
                        </w:rPr>
                        <w:t xml:space="preserve">d) nukreipti investicijas į efektyviai energiją vartojantį viešųjų pastatų ūkį, vadovaujantis Eurostato gairėmis, ir </w:t>
                      </w:r>
                    </w:p>
                    <w:p w14:paraId="21256C51" w14:textId="77777777" w:rsidR="005E392B" w:rsidRPr="0088207D" w:rsidRDefault="005E392B" w:rsidP="001D07DB">
                      <w:pPr>
                        <w:pStyle w:val="Text"/>
                        <w:spacing w:after="0" w:line="240" w:lineRule="auto"/>
                        <w:ind w:left="0" w:right="0"/>
                        <w:rPr>
                          <w:rFonts w:ascii="Times New Roman" w:hAnsi="Times New Roman" w:cs="Times New Roman"/>
                          <w:bCs/>
                          <w:color w:val="000000" w:themeColor="text1"/>
                          <w:sz w:val="21"/>
                          <w:szCs w:val="21"/>
                        </w:rPr>
                      </w:pPr>
                      <w:r w:rsidRPr="0088207D">
                        <w:rPr>
                          <w:rFonts w:ascii="Times New Roman" w:hAnsi="Times New Roman"/>
                          <w:sz w:val="21"/>
                          <w:szCs w:val="21"/>
                        </w:rPr>
                        <w:t>e) taikyti prieinamas ir skaidrias patariamąsias priemones, kaip antai, vieno langelio sistemas vartotojams ir konsultavimo energetikos klausimais paslaugas, susijusias su atitinkamomis energijos vartojimo efektyvumui didinti skirtomis renovacijomis ir finansavimo priemonėmis.</w:t>
                      </w:r>
                      <w:r w:rsidRPr="0088207D">
                        <w:rPr>
                          <w:rFonts w:ascii="Times New Roman" w:hAnsi="Times New Roman" w:cs="Times New Roman"/>
                          <w:bCs/>
                          <w:color w:val="000000" w:themeColor="text1"/>
                          <w:sz w:val="21"/>
                          <w:szCs w:val="21"/>
                        </w:rPr>
                        <w:t>“</w:t>
                      </w:r>
                    </w:p>
                    <w:p w14:paraId="33B93153" w14:textId="77777777" w:rsidR="005E392B" w:rsidRPr="00445553" w:rsidRDefault="005E392B" w:rsidP="001D07DB">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05E282C3" w14:textId="77777777" w:rsidR="00DD1817" w:rsidRPr="00650EE4" w:rsidRDefault="00DD1817" w:rsidP="00DD1817">
      <w:pPr>
        <w:jc w:val="both"/>
        <w:rPr>
          <w:rFonts w:ascii="Times New Roman" w:hAnsi="Times New Roman"/>
          <w:color w:val="000000" w:themeColor="text1"/>
          <w:szCs w:val="22"/>
        </w:rPr>
      </w:pPr>
    </w:p>
    <w:p w14:paraId="7BC434DF" w14:textId="0330D7FF" w:rsidR="001D07DB" w:rsidRPr="00650EE4" w:rsidRDefault="00741600" w:rsidP="00027296">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Informacija apie </w:t>
      </w:r>
      <w:r w:rsidR="00027296" w:rsidRPr="00650EE4">
        <w:rPr>
          <w:rFonts w:ascii="Times New Roman" w:hAnsi="Times New Roman"/>
          <w:color w:val="000000" w:themeColor="text1"/>
          <w:szCs w:val="22"/>
        </w:rPr>
        <w:t>pasta</w:t>
      </w:r>
      <w:r w:rsidR="00825C96" w:rsidRPr="00650EE4">
        <w:rPr>
          <w:rFonts w:ascii="Times New Roman" w:hAnsi="Times New Roman"/>
          <w:color w:val="000000" w:themeColor="text1"/>
          <w:szCs w:val="22"/>
        </w:rPr>
        <w:t xml:space="preserve">tų fondo </w:t>
      </w:r>
      <w:r w:rsidRPr="00650EE4">
        <w:rPr>
          <w:rFonts w:ascii="Times New Roman" w:hAnsi="Times New Roman"/>
          <w:color w:val="000000" w:themeColor="text1"/>
          <w:szCs w:val="22"/>
        </w:rPr>
        <w:t xml:space="preserve">transformacijos rodiklius ir siektinas naudas pateikiama </w:t>
      </w:r>
      <w:r w:rsidR="00E76D60">
        <w:rPr>
          <w:rFonts w:ascii="Times New Roman" w:hAnsi="Times New Roman"/>
          <w:color w:val="000000" w:themeColor="text1"/>
          <w:szCs w:val="22"/>
          <w:lang w:val="en-GB"/>
        </w:rPr>
        <w:t>5</w:t>
      </w:r>
      <w:r w:rsidRPr="00650EE4">
        <w:rPr>
          <w:rFonts w:ascii="Times New Roman" w:hAnsi="Times New Roman"/>
          <w:color w:val="000000" w:themeColor="text1"/>
          <w:szCs w:val="22"/>
        </w:rPr>
        <w:t xml:space="preserve"> skyriuje.</w:t>
      </w:r>
      <w:r w:rsidR="00825C96" w:rsidRPr="00650EE4">
        <w:rPr>
          <w:rFonts w:ascii="Times New Roman" w:hAnsi="Times New Roman"/>
          <w:color w:val="000000" w:themeColor="text1"/>
          <w:szCs w:val="22"/>
        </w:rPr>
        <w:t xml:space="preserve"> Konkrečios</w:t>
      </w:r>
      <w:r w:rsidR="00793199" w:rsidRPr="00650EE4">
        <w:rPr>
          <w:rFonts w:ascii="Times New Roman" w:hAnsi="Times New Roman"/>
          <w:color w:val="000000" w:themeColor="text1"/>
          <w:szCs w:val="22"/>
        </w:rPr>
        <w:t xml:space="preserve"> transformacijos įgyvendinimo priemonės, jų įgyvendinimui reik</w:t>
      </w:r>
      <w:r w:rsidR="00825C96" w:rsidRPr="00650EE4">
        <w:rPr>
          <w:rFonts w:ascii="Times New Roman" w:hAnsi="Times New Roman"/>
          <w:color w:val="000000" w:themeColor="text1"/>
          <w:szCs w:val="22"/>
        </w:rPr>
        <w:t>a</w:t>
      </w:r>
      <w:r w:rsidR="00793199" w:rsidRPr="00650EE4">
        <w:rPr>
          <w:rFonts w:ascii="Times New Roman" w:hAnsi="Times New Roman"/>
          <w:color w:val="000000" w:themeColor="text1"/>
          <w:szCs w:val="22"/>
        </w:rPr>
        <w:t xml:space="preserve">lingi resursai </w:t>
      </w:r>
      <w:r w:rsidR="00825C96" w:rsidRPr="00650EE4">
        <w:rPr>
          <w:rFonts w:ascii="Times New Roman" w:hAnsi="Times New Roman"/>
          <w:color w:val="000000" w:themeColor="text1"/>
          <w:szCs w:val="22"/>
        </w:rPr>
        <w:t xml:space="preserve">ir finansavimo mechanizmai bus nurodyti IRS </w:t>
      </w:r>
      <w:r w:rsidR="00027296" w:rsidRPr="00650EE4">
        <w:rPr>
          <w:rFonts w:ascii="Times New Roman" w:hAnsi="Times New Roman"/>
          <w:color w:val="000000" w:themeColor="text1"/>
          <w:szCs w:val="22"/>
        </w:rPr>
        <w:t>įgyvendinimo plane 2021</w:t>
      </w:r>
      <w:r w:rsidR="00825C96" w:rsidRPr="00650EE4">
        <w:rPr>
          <w:rFonts w:ascii="Times New Roman" w:hAnsi="Times New Roman"/>
          <w:color w:val="000000" w:themeColor="text1"/>
          <w:szCs w:val="22"/>
        </w:rPr>
        <w:t xml:space="preserve">-2030. </w:t>
      </w:r>
    </w:p>
    <w:p w14:paraId="32504236" w14:textId="77777777" w:rsidR="001D07DB" w:rsidRPr="00650EE4" w:rsidRDefault="001D07DB" w:rsidP="00027296">
      <w:pPr>
        <w:jc w:val="both"/>
        <w:rPr>
          <w:rFonts w:ascii="Times New Roman" w:hAnsi="Times New Roman"/>
          <w:color w:val="000000" w:themeColor="text1"/>
          <w:szCs w:val="22"/>
        </w:rPr>
      </w:pPr>
    </w:p>
    <w:p w14:paraId="031D70D5" w14:textId="312D4F84" w:rsidR="00741600" w:rsidRPr="00650EE4" w:rsidRDefault="00741600" w:rsidP="00027296">
      <w:pPr>
        <w:jc w:val="both"/>
        <w:rPr>
          <w:rFonts w:ascii="Times New Roman" w:hAnsi="Times New Roman"/>
          <w:color w:val="000000" w:themeColor="text1"/>
          <w:szCs w:val="22"/>
        </w:rPr>
      </w:pPr>
      <w:r w:rsidRPr="00650EE4">
        <w:rPr>
          <w:rFonts w:ascii="Times New Roman" w:hAnsi="Times New Roman"/>
          <w:color w:val="000000" w:themeColor="text1"/>
          <w:szCs w:val="22"/>
        </w:rPr>
        <w:t>Šiame skyriuje pateikiama informacija apie</w:t>
      </w:r>
      <w:r w:rsidR="00825C96" w:rsidRPr="00650EE4">
        <w:rPr>
          <w:rFonts w:ascii="Times New Roman" w:hAnsi="Times New Roman"/>
          <w:color w:val="000000" w:themeColor="text1"/>
          <w:szCs w:val="22"/>
        </w:rPr>
        <w:t xml:space="preserve"> principinį renovacijos strategijos įgyvendinimo modelį</w:t>
      </w:r>
      <w:r w:rsidR="00027296" w:rsidRPr="00650EE4">
        <w:rPr>
          <w:rFonts w:ascii="Times New Roman" w:hAnsi="Times New Roman"/>
          <w:color w:val="000000" w:themeColor="text1"/>
          <w:szCs w:val="22"/>
        </w:rPr>
        <w:t xml:space="preserve">, kuriuo remiantis būtų rengiamas  IRS įgyvendinimo planas 2021-2030. </w:t>
      </w:r>
    </w:p>
    <w:p w14:paraId="1BE8BBC2" w14:textId="77777777" w:rsidR="00027296" w:rsidRPr="00650EE4" w:rsidRDefault="00027296" w:rsidP="00027296">
      <w:pPr>
        <w:jc w:val="both"/>
        <w:rPr>
          <w:rFonts w:ascii="Times New Roman" w:hAnsi="Times New Roman"/>
          <w:color w:val="000000" w:themeColor="text1"/>
          <w:szCs w:val="22"/>
        </w:rPr>
      </w:pPr>
    </w:p>
    <w:p w14:paraId="4016BA4D" w14:textId="1922CEF6" w:rsidR="00027296" w:rsidRPr="00650EE4" w:rsidRDefault="00485DFC" w:rsidP="00485DFC">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Kuriant </w:t>
      </w:r>
      <w:r w:rsidR="00741600" w:rsidRPr="00650EE4">
        <w:rPr>
          <w:rFonts w:ascii="Times New Roman" w:hAnsi="Times New Roman"/>
          <w:color w:val="000000" w:themeColor="text1"/>
          <w:szCs w:val="22"/>
        </w:rPr>
        <w:t xml:space="preserve">principinį </w:t>
      </w:r>
      <w:r w:rsidR="00027296" w:rsidRPr="00650EE4">
        <w:rPr>
          <w:rFonts w:ascii="Times New Roman" w:hAnsi="Times New Roman"/>
          <w:color w:val="000000" w:themeColor="text1"/>
          <w:szCs w:val="22"/>
        </w:rPr>
        <w:t xml:space="preserve">renovacijos strategijos įgyvendinimo </w:t>
      </w:r>
      <w:r w:rsidRPr="00650EE4">
        <w:rPr>
          <w:rFonts w:ascii="Times New Roman" w:hAnsi="Times New Roman"/>
          <w:color w:val="000000" w:themeColor="text1"/>
          <w:szCs w:val="22"/>
        </w:rPr>
        <w:t xml:space="preserve">modelį </w:t>
      </w:r>
      <w:r w:rsidR="00027296" w:rsidRPr="00650EE4">
        <w:rPr>
          <w:rFonts w:ascii="Times New Roman" w:hAnsi="Times New Roman"/>
          <w:color w:val="000000" w:themeColor="text1"/>
          <w:szCs w:val="22"/>
        </w:rPr>
        <w:t xml:space="preserve">siekta: </w:t>
      </w:r>
    </w:p>
    <w:p w14:paraId="62921B69" w14:textId="38DAE164" w:rsidR="00916640"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i</w:t>
      </w:r>
      <w:r w:rsidR="00916640" w:rsidRPr="00650EE4">
        <w:rPr>
          <w:rFonts w:ascii="Times New Roman" w:hAnsi="Times New Roman"/>
          <w:color w:val="000000" w:themeColor="text1"/>
          <w:szCs w:val="22"/>
          <w:lang w:val="lt-LT"/>
        </w:rPr>
        <w:t xml:space="preserve">dentifikuoti  kritinius </w:t>
      </w:r>
      <w:r w:rsidR="006D180C" w:rsidRPr="00650EE4">
        <w:rPr>
          <w:rFonts w:ascii="Times New Roman" w:hAnsi="Times New Roman"/>
          <w:color w:val="000000" w:themeColor="text1"/>
          <w:szCs w:val="22"/>
          <w:lang w:val="lt-LT"/>
        </w:rPr>
        <w:t xml:space="preserve">strategijos įgyvendinimo </w:t>
      </w:r>
      <w:r w:rsidR="00916640" w:rsidRPr="00650EE4">
        <w:rPr>
          <w:rFonts w:ascii="Times New Roman" w:hAnsi="Times New Roman"/>
          <w:color w:val="000000" w:themeColor="text1"/>
          <w:szCs w:val="22"/>
          <w:lang w:val="lt-LT"/>
        </w:rPr>
        <w:t xml:space="preserve">veiksnius (sėkmės faktorius), būtinus nustatytų renovacijos barjerų (žr. </w:t>
      </w:r>
      <w:r w:rsidR="00E76D60">
        <w:rPr>
          <w:rFonts w:ascii="Times New Roman" w:hAnsi="Times New Roman"/>
          <w:color w:val="000000" w:themeColor="text1"/>
          <w:szCs w:val="22"/>
          <w:lang w:val="lt-LT"/>
        </w:rPr>
        <w:t>4</w:t>
      </w:r>
      <w:r w:rsidR="00916640" w:rsidRPr="00650EE4">
        <w:rPr>
          <w:rFonts w:ascii="Times New Roman" w:hAnsi="Times New Roman"/>
          <w:color w:val="000000" w:themeColor="text1"/>
          <w:szCs w:val="22"/>
          <w:lang w:val="lt-LT"/>
        </w:rPr>
        <w:t xml:space="preserve"> skyrių) panaikinimui ar sumažinimui iki priimtino lygio, tam, kad </w:t>
      </w:r>
      <w:r w:rsidR="00F51047">
        <w:rPr>
          <w:rFonts w:ascii="Times New Roman" w:hAnsi="Times New Roman"/>
          <w:color w:val="000000" w:themeColor="text1"/>
          <w:szCs w:val="22"/>
          <w:lang w:val="lt-LT"/>
        </w:rPr>
        <w:t>siekiami</w:t>
      </w:r>
      <w:r w:rsidR="00916640" w:rsidRPr="00650EE4">
        <w:rPr>
          <w:rFonts w:ascii="Times New Roman" w:hAnsi="Times New Roman"/>
          <w:color w:val="000000" w:themeColor="text1"/>
          <w:szCs w:val="22"/>
          <w:lang w:val="lt-LT"/>
        </w:rPr>
        <w:t xml:space="preserve"> </w:t>
      </w:r>
      <w:r w:rsidR="00F51047">
        <w:rPr>
          <w:rFonts w:ascii="Times New Roman" w:hAnsi="Times New Roman"/>
          <w:color w:val="000000" w:themeColor="text1"/>
          <w:szCs w:val="22"/>
          <w:lang w:val="lt-LT"/>
        </w:rPr>
        <w:t>rodikliai</w:t>
      </w:r>
      <w:r w:rsidR="00916640" w:rsidRPr="00650EE4">
        <w:rPr>
          <w:rFonts w:ascii="Times New Roman" w:hAnsi="Times New Roman"/>
          <w:color w:val="000000" w:themeColor="text1"/>
          <w:szCs w:val="22"/>
          <w:lang w:val="lt-LT"/>
        </w:rPr>
        <w:t xml:space="preserve"> būtų pasiekti;</w:t>
      </w:r>
    </w:p>
    <w:p w14:paraId="07A114F3" w14:textId="3F1D4F9C" w:rsidR="00DD1817" w:rsidRPr="00650EE4" w:rsidRDefault="005F7759" w:rsidP="008F114A">
      <w:pPr>
        <w:pStyle w:val="ListParagraph"/>
        <w:numPr>
          <w:ilvl w:val="0"/>
          <w:numId w:val="33"/>
        </w:numPr>
        <w:spacing w:after="24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į</w:t>
      </w:r>
      <w:r w:rsidR="00916640" w:rsidRPr="00650EE4">
        <w:rPr>
          <w:rFonts w:ascii="Times New Roman" w:hAnsi="Times New Roman"/>
          <w:color w:val="000000" w:themeColor="text1"/>
          <w:szCs w:val="22"/>
          <w:lang w:val="lt-LT"/>
        </w:rPr>
        <w:t xml:space="preserve">gyvendinimo eigą ir priemones formuoti taip, kad </w:t>
      </w:r>
      <w:r w:rsidR="00DD1817" w:rsidRPr="00650EE4">
        <w:rPr>
          <w:rFonts w:ascii="Times New Roman" w:hAnsi="Times New Roman"/>
          <w:color w:val="000000" w:themeColor="text1"/>
          <w:szCs w:val="22"/>
          <w:lang w:val="lt-LT"/>
        </w:rPr>
        <w:t>pastatų fondo transformacija būtų tvari, kompleksiška ir atspindinti esmines Europos žaliojo kurso nuostatas</w:t>
      </w:r>
      <w:r w:rsidR="008F114A">
        <w:rPr>
          <w:rFonts w:ascii="Times New Roman" w:hAnsi="Times New Roman"/>
          <w:color w:val="000000" w:themeColor="text1"/>
          <w:szCs w:val="22"/>
          <w:lang w:val="lt-LT"/>
        </w:rPr>
        <w:t>,</w:t>
      </w:r>
      <w:r w:rsidR="00DD1817" w:rsidRPr="00650EE4">
        <w:rPr>
          <w:rFonts w:ascii="Times New Roman" w:hAnsi="Times New Roman"/>
          <w:color w:val="000000" w:themeColor="text1"/>
          <w:szCs w:val="22"/>
          <w:lang w:val="lt-LT"/>
        </w:rPr>
        <w:t xml:space="preserve"> </w:t>
      </w:r>
      <w:r w:rsidR="008F114A" w:rsidRPr="008F114A">
        <w:rPr>
          <w:rFonts w:ascii="Times New Roman" w:hAnsi="Times New Roman"/>
          <w:color w:val="000000" w:themeColor="text1"/>
          <w:szCs w:val="22"/>
          <w:lang w:val="lt-LT"/>
        </w:rPr>
        <w:t>orientuotas tiek į konkrečius pastatų fondo transformacijos tikslus (žr. paveikslą žemiau), tiek į kitas, Europos žaliajame kurse akcentuojamas, platesnio masto naudas (pvz. užtikrinant pastatų fondo transformacij</w:t>
      </w:r>
      <w:r w:rsidR="007D6EB9">
        <w:rPr>
          <w:rFonts w:ascii="Times New Roman" w:hAnsi="Times New Roman"/>
          <w:color w:val="000000" w:themeColor="text1"/>
          <w:szCs w:val="22"/>
          <w:lang w:val="lt-LT"/>
        </w:rPr>
        <w:t>ą pagal universalaus dizaino principus,</w:t>
      </w:r>
      <w:r w:rsidR="008F114A" w:rsidRPr="008F114A">
        <w:rPr>
          <w:rFonts w:ascii="Times New Roman" w:hAnsi="Times New Roman"/>
          <w:color w:val="000000" w:themeColor="text1"/>
          <w:szCs w:val="22"/>
          <w:lang w:val="lt-LT"/>
        </w:rPr>
        <w:t xml:space="preserve"> darną su biologinės įvairovės apsaugos tikslais).</w:t>
      </w:r>
    </w:p>
    <w:p w14:paraId="3B491725" w14:textId="51E20ADD" w:rsidR="006D180C" w:rsidRPr="00650EE4" w:rsidRDefault="006D180C" w:rsidP="00DD1817">
      <w:pPr>
        <w:spacing w:line="240" w:lineRule="auto"/>
        <w:jc w:val="both"/>
        <w:rPr>
          <w:rFonts w:ascii="Times New Roman" w:hAnsi="Times New Roman"/>
          <w:color w:val="000000" w:themeColor="text1"/>
          <w:szCs w:val="24"/>
        </w:rPr>
      </w:pPr>
      <w:r w:rsidRPr="00650EE4">
        <w:rPr>
          <w:rFonts w:ascii="Times New Roman" w:hAnsi="Times New Roman"/>
          <w:color w:val="000000" w:themeColor="text1"/>
          <w:szCs w:val="24"/>
        </w:rPr>
        <w:t>Atliktos renovacijos barjerų analizės rezultata</w:t>
      </w:r>
      <w:r w:rsidR="009F6208" w:rsidRPr="00650EE4">
        <w:rPr>
          <w:rFonts w:ascii="Times New Roman" w:hAnsi="Times New Roman"/>
          <w:color w:val="000000" w:themeColor="text1"/>
          <w:szCs w:val="24"/>
        </w:rPr>
        <w:t>i</w:t>
      </w:r>
      <w:r w:rsidRPr="00650EE4">
        <w:rPr>
          <w:rFonts w:ascii="Times New Roman" w:hAnsi="Times New Roman"/>
          <w:color w:val="000000" w:themeColor="text1"/>
          <w:szCs w:val="24"/>
        </w:rPr>
        <w:t xml:space="preserve"> patvirtino daugybės atliktų studijų ir tyrimų išvadą, kad renovacijos procesas yra ypatingai fragmentuotas ir dėl to sunkiai transformuojamas. Renovacijos proceso fragmentacija pasireiškia tuo, kad procese dalyvauja da</w:t>
      </w:r>
      <w:r w:rsidR="005F7759">
        <w:rPr>
          <w:rFonts w:ascii="Times New Roman" w:hAnsi="Times New Roman"/>
          <w:color w:val="000000" w:themeColor="text1"/>
          <w:szCs w:val="24"/>
        </w:rPr>
        <w:t>ug skirtingų šalių su skirtinga</w:t>
      </w:r>
      <w:r w:rsidRPr="00650EE4">
        <w:rPr>
          <w:rFonts w:ascii="Times New Roman" w:hAnsi="Times New Roman"/>
          <w:color w:val="000000" w:themeColor="text1"/>
          <w:szCs w:val="24"/>
        </w:rPr>
        <w:t>is interesais ir, atitinkamai, skirtingais barjerais trukdančiais priimti sprendimus, būtinus sparčiam ir efektyviam renovacijos įgyvendinimui.</w:t>
      </w:r>
    </w:p>
    <w:p w14:paraId="714173CA" w14:textId="77777777" w:rsidR="00485DFC" w:rsidRPr="00650EE4" w:rsidRDefault="00485DFC" w:rsidP="00485DFC">
      <w:pPr>
        <w:spacing w:line="240" w:lineRule="auto"/>
        <w:jc w:val="both"/>
        <w:rPr>
          <w:rFonts w:ascii="Times New Roman" w:hAnsi="Times New Roman"/>
          <w:color w:val="000000" w:themeColor="text1"/>
          <w:szCs w:val="24"/>
        </w:rPr>
      </w:pPr>
    </w:p>
    <w:p w14:paraId="7703FD86" w14:textId="2C880B12" w:rsidR="00485DFC" w:rsidRPr="00650EE4" w:rsidRDefault="00485DFC" w:rsidP="00485DFC">
      <w:pPr>
        <w:spacing w:line="240" w:lineRule="auto"/>
        <w:rPr>
          <w:rFonts w:ascii="Times New Roman" w:hAnsi="Times New Roman"/>
          <w:color w:val="000000" w:themeColor="text1"/>
          <w:szCs w:val="22"/>
        </w:rPr>
      </w:pPr>
      <w:r w:rsidRPr="00650EE4">
        <w:rPr>
          <w:rFonts w:ascii="Times New Roman" w:hAnsi="Times New Roman"/>
          <w:color w:val="000000" w:themeColor="text1"/>
          <w:szCs w:val="22"/>
        </w:rPr>
        <w:t>Iniciatyvos „Renovacijos banga“</w:t>
      </w:r>
      <w:r w:rsidRPr="00650EE4">
        <w:rPr>
          <w:rStyle w:val="FootnoteReference"/>
          <w:rFonts w:ascii="Times New Roman" w:hAnsi="Times New Roman"/>
          <w:i/>
          <w:iCs/>
          <w:color w:val="000000" w:themeColor="text1"/>
          <w:sz w:val="20"/>
          <w:szCs w:val="20"/>
        </w:rPr>
        <w:t xml:space="preserve"> </w:t>
      </w:r>
      <w:r w:rsidRPr="00650EE4">
        <w:rPr>
          <w:rFonts w:ascii="Times New Roman" w:hAnsi="Times New Roman"/>
          <w:color w:val="000000" w:themeColor="text1"/>
          <w:szCs w:val="22"/>
        </w:rPr>
        <w:t>veiksmų planas išskiria šias pagrindines renovacijos suinteresuotas šalis ir proceso dalyvių grupes bei siektinas jų atsakomybes renovacijos procese:</w:t>
      </w:r>
    </w:p>
    <w:p w14:paraId="6F21E24E" w14:textId="77777777" w:rsidR="00485DFC" w:rsidRDefault="00485DFC" w:rsidP="00485DFC">
      <w:pPr>
        <w:spacing w:line="240" w:lineRule="auto"/>
        <w:rPr>
          <w:rFonts w:ascii="Times New Roman" w:hAnsi="Times New Roman"/>
          <w:color w:val="000000" w:themeColor="text1"/>
          <w:szCs w:val="22"/>
        </w:rPr>
      </w:pPr>
    </w:p>
    <w:p w14:paraId="4C58ED88" w14:textId="77777777" w:rsidR="006C2F66" w:rsidRDefault="006C2F66" w:rsidP="00485DFC">
      <w:pPr>
        <w:spacing w:line="240" w:lineRule="auto"/>
        <w:rPr>
          <w:rFonts w:ascii="Times New Roman" w:hAnsi="Times New Roman"/>
          <w:color w:val="000000" w:themeColor="text1"/>
          <w:szCs w:val="22"/>
        </w:rPr>
      </w:pPr>
    </w:p>
    <w:p w14:paraId="0A9D59B8" w14:textId="77777777" w:rsidR="006C2F66" w:rsidRDefault="006C2F66" w:rsidP="00485DFC">
      <w:pPr>
        <w:spacing w:line="240" w:lineRule="auto"/>
        <w:rPr>
          <w:rFonts w:ascii="Times New Roman" w:hAnsi="Times New Roman"/>
          <w:color w:val="000000" w:themeColor="text1"/>
          <w:szCs w:val="22"/>
        </w:rPr>
      </w:pPr>
    </w:p>
    <w:p w14:paraId="51879D1E" w14:textId="77777777" w:rsidR="006C2F66" w:rsidRPr="00650EE4" w:rsidRDefault="006C2F66" w:rsidP="00485DFC">
      <w:pPr>
        <w:spacing w:line="240" w:lineRule="auto"/>
        <w:rPr>
          <w:rFonts w:ascii="Times New Roman" w:hAnsi="Times New Roman"/>
          <w:color w:val="000000" w:themeColor="text1"/>
          <w:szCs w:val="22"/>
        </w:rPr>
      </w:pPr>
    </w:p>
    <w:p w14:paraId="01F3C872" w14:textId="0D9A17C6" w:rsidR="00485DFC" w:rsidRPr="00650EE4" w:rsidRDefault="00485DFC"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98" w:name="_Toc49918659"/>
      <w:bookmarkStart w:id="199" w:name="_Toc67925247"/>
      <w:r w:rsidR="007744C1">
        <w:t>64</w:t>
      </w:r>
      <w:r w:rsidRPr="00650EE4">
        <w:rPr>
          <w:noProof w:val="0"/>
        </w:rPr>
        <w:fldChar w:fldCharType="end"/>
      </w:r>
      <w:r w:rsidRPr="00650EE4">
        <w:rPr>
          <w:noProof w:val="0"/>
        </w:rPr>
        <w:t xml:space="preserve"> lentelė. Renovacijos proceso šalys ir atsakomybės</w:t>
      </w:r>
      <w:bookmarkEnd w:id="198"/>
      <w:bookmarkEnd w:id="199"/>
      <w:r w:rsidRPr="00650EE4">
        <w:rPr>
          <w:noProof w:val="0"/>
        </w:rPr>
        <w:t xml:space="preserve"> </w:t>
      </w:r>
    </w:p>
    <w:tbl>
      <w:tblPr>
        <w:tblStyle w:val="TableGrid"/>
        <w:tblW w:w="10201" w:type="dxa"/>
        <w:tblLook w:val="04A0" w:firstRow="1" w:lastRow="0" w:firstColumn="1" w:lastColumn="0" w:noHBand="0" w:noVBand="1"/>
      </w:tblPr>
      <w:tblGrid>
        <w:gridCol w:w="2547"/>
        <w:gridCol w:w="7654"/>
      </w:tblGrid>
      <w:tr w:rsidR="00485DFC" w:rsidRPr="00650EE4" w14:paraId="4FD7BB81" w14:textId="77777777" w:rsidTr="00562E41">
        <w:tc>
          <w:tcPr>
            <w:tcW w:w="2547" w:type="dxa"/>
          </w:tcPr>
          <w:p w14:paraId="005D6581" w14:textId="77777777" w:rsidR="00485DFC" w:rsidRPr="00650EE4" w:rsidRDefault="00485DFC" w:rsidP="00562E41">
            <w:pPr>
              <w:rPr>
                <w:rFonts w:ascii="Times New Roman" w:hAnsi="Times New Roman"/>
                <w:b/>
                <w:color w:val="auto"/>
                <w:sz w:val="20"/>
                <w:szCs w:val="20"/>
              </w:rPr>
            </w:pPr>
            <w:r w:rsidRPr="00650EE4">
              <w:rPr>
                <w:rFonts w:ascii="Times New Roman" w:hAnsi="Times New Roman"/>
                <w:b/>
                <w:color w:val="auto"/>
                <w:sz w:val="20"/>
                <w:szCs w:val="20"/>
              </w:rPr>
              <w:t>Šalis</w:t>
            </w:r>
          </w:p>
        </w:tc>
        <w:tc>
          <w:tcPr>
            <w:tcW w:w="7654" w:type="dxa"/>
          </w:tcPr>
          <w:p w14:paraId="1A0BC02A" w14:textId="77777777" w:rsidR="00485DFC" w:rsidRPr="00650EE4" w:rsidRDefault="00485DFC" w:rsidP="00562E41">
            <w:pPr>
              <w:rPr>
                <w:rFonts w:ascii="Times New Roman" w:hAnsi="Times New Roman"/>
                <w:b/>
                <w:color w:val="auto"/>
                <w:sz w:val="20"/>
                <w:szCs w:val="20"/>
              </w:rPr>
            </w:pPr>
            <w:r w:rsidRPr="00650EE4">
              <w:rPr>
                <w:rFonts w:ascii="Times New Roman" w:hAnsi="Times New Roman"/>
                <w:b/>
                <w:color w:val="auto"/>
                <w:sz w:val="20"/>
                <w:szCs w:val="20"/>
              </w:rPr>
              <w:t>Atsakomybė siekiant proveržio renovacijoje</w:t>
            </w:r>
          </w:p>
        </w:tc>
      </w:tr>
      <w:tr w:rsidR="00485DFC" w:rsidRPr="00650EE4" w14:paraId="7160197F" w14:textId="77777777" w:rsidTr="00562E41">
        <w:tc>
          <w:tcPr>
            <w:tcW w:w="2547" w:type="dxa"/>
          </w:tcPr>
          <w:p w14:paraId="224132E9" w14:textId="77777777" w:rsidR="00485DFC" w:rsidRPr="00650EE4" w:rsidRDefault="00485DFC" w:rsidP="00562E41">
            <w:pPr>
              <w:pStyle w:val="BodyText"/>
              <w:spacing w:after="60"/>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Ministerijos, Vyriausybės lygmuo</w:t>
            </w:r>
          </w:p>
          <w:p w14:paraId="3A4ACF77" w14:textId="77777777" w:rsidR="00485DFC" w:rsidRPr="00650EE4" w:rsidRDefault="00485DFC" w:rsidP="00562E41">
            <w:pPr>
              <w:rPr>
                <w:rFonts w:ascii="Times New Roman" w:hAnsi="Times New Roman"/>
                <w:color w:val="auto"/>
                <w:sz w:val="20"/>
                <w:szCs w:val="20"/>
              </w:rPr>
            </w:pPr>
          </w:p>
        </w:tc>
        <w:tc>
          <w:tcPr>
            <w:tcW w:w="7654" w:type="dxa"/>
          </w:tcPr>
          <w:p w14:paraId="6305D242"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 xml:space="preserve">Tvirtina ilgalaikę renovacijos strategiją, griežtina minimalius energinio naudingumo reikalavimus, nustato reikalavimus rekonstruojamiems pastatams, renovuoja valstybei priklausančius pastatus, vykdo integruotą planavimą ir nacionalinę komunikaciją  </w:t>
            </w:r>
          </w:p>
        </w:tc>
      </w:tr>
      <w:tr w:rsidR="00485DFC" w:rsidRPr="00650EE4" w14:paraId="46532631" w14:textId="77777777" w:rsidTr="00562E41">
        <w:tc>
          <w:tcPr>
            <w:tcW w:w="2547" w:type="dxa"/>
          </w:tcPr>
          <w:p w14:paraId="0EBF1014" w14:textId="77777777" w:rsidR="00485DFC" w:rsidRPr="00650EE4" w:rsidRDefault="00485DFC" w:rsidP="00562E41">
            <w:pPr>
              <w:rPr>
                <w:rFonts w:ascii="Times New Roman" w:hAnsi="Times New Roman"/>
                <w:color w:val="auto"/>
                <w:sz w:val="20"/>
                <w:szCs w:val="20"/>
              </w:rPr>
            </w:pPr>
            <w:r w:rsidRPr="00650EE4">
              <w:rPr>
                <w:rFonts w:ascii="Times New Roman" w:hAnsi="Times New Roman"/>
                <w:color w:val="auto"/>
                <w:sz w:val="20"/>
                <w:szCs w:val="20"/>
              </w:rPr>
              <w:t>Vietos savivaldos lygmuo</w:t>
            </w:r>
          </w:p>
          <w:p w14:paraId="52D89B51" w14:textId="77777777" w:rsidR="00485DFC" w:rsidRPr="00650EE4" w:rsidRDefault="00485DFC" w:rsidP="00562E41">
            <w:pPr>
              <w:rPr>
                <w:rFonts w:ascii="Times New Roman" w:hAnsi="Times New Roman"/>
                <w:color w:val="auto"/>
                <w:sz w:val="20"/>
                <w:szCs w:val="20"/>
              </w:rPr>
            </w:pPr>
          </w:p>
        </w:tc>
        <w:tc>
          <w:tcPr>
            <w:tcW w:w="7654" w:type="dxa"/>
          </w:tcPr>
          <w:p w14:paraId="5ACB5A46"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Užtikrina, kad renovacija vykdoma ne pavieniams pastatams, bet didesnėmis grupėmis kartu su inžinerinių tinklų rekonstrukcija, vykdo savivaldybės pastatų renovaciją, įkuria „vieno langelio“ konsultacinius centrus, kuriuose teikia informaciją apie visas įmanomas renovacijos galimybes, renka duomenis apie pastatų fondą ir jo charakteristikas</w:t>
            </w:r>
          </w:p>
        </w:tc>
      </w:tr>
      <w:tr w:rsidR="00485DFC" w:rsidRPr="00650EE4" w14:paraId="34813F55" w14:textId="77777777" w:rsidTr="00562E41">
        <w:tc>
          <w:tcPr>
            <w:tcW w:w="2547" w:type="dxa"/>
          </w:tcPr>
          <w:p w14:paraId="7EECFBD1" w14:textId="77777777" w:rsidR="00485DFC" w:rsidRPr="00650EE4" w:rsidRDefault="00485DFC" w:rsidP="00562E41">
            <w:pPr>
              <w:pStyle w:val="BodyText"/>
              <w:spacing w:after="60"/>
              <w:jc w:val="both"/>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Finansų sektorius</w:t>
            </w:r>
          </w:p>
          <w:p w14:paraId="64856ED8" w14:textId="77777777" w:rsidR="00485DFC" w:rsidRPr="00650EE4" w:rsidRDefault="00485DFC" w:rsidP="00562E41">
            <w:pPr>
              <w:rPr>
                <w:rFonts w:ascii="Times New Roman" w:hAnsi="Times New Roman"/>
                <w:color w:val="auto"/>
                <w:sz w:val="20"/>
                <w:szCs w:val="20"/>
              </w:rPr>
            </w:pPr>
          </w:p>
        </w:tc>
        <w:tc>
          <w:tcPr>
            <w:tcW w:w="7654" w:type="dxa"/>
          </w:tcPr>
          <w:p w14:paraId="6DFA404A"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 xml:space="preserve">Užtikrina energinio efektyvumo kompetencijų vystymą, vertina ir apjungia technines ir finansines </w:t>
            </w:r>
            <w:proofErr w:type="spellStart"/>
            <w:r w:rsidRPr="00650EE4">
              <w:rPr>
                <w:rFonts w:ascii="Times New Roman" w:hAnsi="Times New Roman"/>
                <w:color w:val="auto"/>
                <w:sz w:val="20"/>
                <w:szCs w:val="20"/>
              </w:rPr>
              <w:t>rizikas</w:t>
            </w:r>
            <w:proofErr w:type="spellEnd"/>
            <w:r w:rsidRPr="00650EE4">
              <w:rPr>
                <w:rFonts w:ascii="Times New Roman" w:hAnsi="Times New Roman"/>
                <w:color w:val="auto"/>
                <w:sz w:val="20"/>
                <w:szCs w:val="20"/>
              </w:rPr>
              <w:t>, prie finansinio vertinimo įtraukia aplinkosauginius, socialinius ir valdymo kriterijus, kuria ir siūlo standartinius finansinius produktus renovacijai</w:t>
            </w:r>
          </w:p>
        </w:tc>
      </w:tr>
      <w:tr w:rsidR="00485DFC" w:rsidRPr="00650EE4" w14:paraId="7EECA288" w14:textId="77777777" w:rsidTr="00562E41">
        <w:tc>
          <w:tcPr>
            <w:tcW w:w="2547" w:type="dxa"/>
          </w:tcPr>
          <w:p w14:paraId="5D6781CF" w14:textId="77777777" w:rsidR="00485DFC" w:rsidRPr="00650EE4" w:rsidRDefault="00485DFC" w:rsidP="00562E41">
            <w:pPr>
              <w:pStyle w:val="BodyText"/>
              <w:spacing w:after="120"/>
              <w:ind w:right="-108"/>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 xml:space="preserve">Projektuotojai </w:t>
            </w:r>
          </w:p>
        </w:tc>
        <w:tc>
          <w:tcPr>
            <w:tcW w:w="7654" w:type="dxa"/>
          </w:tcPr>
          <w:p w14:paraId="66EBCB8C"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Projektuoja naujus produktus, skirtus specifiškai renovacijai, panaudodami visas įmanomas naujiems pastatams skirtas priemones ir technologijas</w:t>
            </w:r>
          </w:p>
        </w:tc>
      </w:tr>
      <w:tr w:rsidR="00485DFC" w:rsidRPr="00650EE4" w14:paraId="51BEFE3E" w14:textId="77777777" w:rsidTr="00562E41">
        <w:tc>
          <w:tcPr>
            <w:tcW w:w="2547" w:type="dxa"/>
          </w:tcPr>
          <w:p w14:paraId="57243217" w14:textId="77777777" w:rsidR="00485DFC" w:rsidRPr="00650EE4" w:rsidRDefault="00485DFC" w:rsidP="00562E41">
            <w:pPr>
              <w:pStyle w:val="BodyText"/>
              <w:spacing w:after="120"/>
              <w:ind w:right="-108"/>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 xml:space="preserve">NT </w:t>
            </w:r>
            <w:proofErr w:type="spellStart"/>
            <w:r w:rsidRPr="00650EE4">
              <w:rPr>
                <w:rFonts w:ascii="Times New Roman" w:hAnsi="Times New Roman"/>
                <w:color w:val="000000" w:themeColor="text1"/>
                <w:sz w:val="20"/>
                <w:szCs w:val="20"/>
                <w:lang w:val="lt-LT"/>
              </w:rPr>
              <w:t>vystytojai</w:t>
            </w:r>
            <w:proofErr w:type="spellEnd"/>
          </w:p>
        </w:tc>
        <w:tc>
          <w:tcPr>
            <w:tcW w:w="7654" w:type="dxa"/>
          </w:tcPr>
          <w:p w14:paraId="22A291C5" w14:textId="050C194D"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 xml:space="preserve">Užtikrina statybos procesą be nereikalingo resursų eikvojimo, investuoja į inovacijas, įsitraukia į </w:t>
            </w:r>
            <w:r w:rsidR="00DF32CA">
              <w:rPr>
                <w:rFonts w:ascii="Times New Roman" w:hAnsi="Times New Roman"/>
                <w:color w:val="auto"/>
                <w:sz w:val="20"/>
                <w:szCs w:val="20"/>
              </w:rPr>
              <w:t>„</w:t>
            </w:r>
            <w:proofErr w:type="spellStart"/>
            <w:r w:rsidRPr="00650EE4">
              <w:rPr>
                <w:rFonts w:ascii="Times New Roman" w:hAnsi="Times New Roman"/>
                <w:color w:val="auto"/>
                <w:sz w:val="20"/>
                <w:szCs w:val="20"/>
              </w:rPr>
              <w:t>pre-fabrikuotų</w:t>
            </w:r>
            <w:r w:rsidR="00DF32CA">
              <w:rPr>
                <w:rFonts w:ascii="Times New Roman" w:hAnsi="Times New Roman"/>
                <w:color w:val="auto"/>
                <w:sz w:val="20"/>
                <w:szCs w:val="20"/>
              </w:rPr>
              <w:t>“</w:t>
            </w:r>
            <w:proofErr w:type="spellEnd"/>
            <w:r w:rsidRPr="00650EE4">
              <w:rPr>
                <w:rFonts w:ascii="Times New Roman" w:hAnsi="Times New Roman"/>
                <w:color w:val="auto"/>
                <w:sz w:val="20"/>
                <w:szCs w:val="20"/>
              </w:rPr>
              <w:t xml:space="preserve"> renovacijos produktų kūrimą, gamybą ir panaudojimą</w:t>
            </w:r>
          </w:p>
        </w:tc>
      </w:tr>
      <w:tr w:rsidR="00485DFC" w:rsidRPr="00650EE4" w14:paraId="5AFA834F" w14:textId="77777777" w:rsidTr="00562E41">
        <w:tc>
          <w:tcPr>
            <w:tcW w:w="2547" w:type="dxa"/>
          </w:tcPr>
          <w:p w14:paraId="272C7BE6" w14:textId="77777777" w:rsidR="00485DFC" w:rsidRPr="00650EE4" w:rsidRDefault="00485DFC" w:rsidP="00562E41">
            <w:pPr>
              <w:rPr>
                <w:rFonts w:ascii="Times New Roman" w:hAnsi="Times New Roman"/>
                <w:color w:val="auto"/>
                <w:sz w:val="20"/>
                <w:szCs w:val="20"/>
              </w:rPr>
            </w:pPr>
            <w:r w:rsidRPr="00650EE4">
              <w:rPr>
                <w:rFonts w:ascii="Times New Roman" w:hAnsi="Times New Roman"/>
                <w:color w:val="auto"/>
                <w:sz w:val="20"/>
                <w:szCs w:val="20"/>
              </w:rPr>
              <w:t>Energijos tiekėjai</w:t>
            </w:r>
          </w:p>
        </w:tc>
        <w:tc>
          <w:tcPr>
            <w:tcW w:w="7654" w:type="dxa"/>
          </w:tcPr>
          <w:p w14:paraId="7099E531" w14:textId="560B540D" w:rsidR="00485DFC" w:rsidRPr="00650EE4" w:rsidRDefault="00485DFC" w:rsidP="009F6208">
            <w:pPr>
              <w:spacing w:after="60"/>
              <w:rPr>
                <w:rFonts w:ascii="Times New Roman" w:hAnsi="Times New Roman"/>
                <w:color w:val="auto"/>
                <w:sz w:val="20"/>
                <w:szCs w:val="20"/>
              </w:rPr>
            </w:pPr>
            <w:r w:rsidRPr="00650EE4">
              <w:rPr>
                <w:rFonts w:ascii="Times New Roman" w:hAnsi="Times New Roman"/>
                <w:color w:val="auto"/>
                <w:sz w:val="20"/>
                <w:szCs w:val="20"/>
              </w:rPr>
              <w:t>Teikia skaidrią informaciją apie energijos vartojimą tiek vartotojams (renovacijos sprendimams priimti), tiek savivaldybėms ir analitikams, peržiūri savo verslo modelį siekdami tapti ne energijo</w:t>
            </w:r>
            <w:r w:rsidR="009F6208" w:rsidRPr="00650EE4">
              <w:rPr>
                <w:rFonts w:ascii="Times New Roman" w:hAnsi="Times New Roman"/>
                <w:color w:val="auto"/>
                <w:sz w:val="20"/>
                <w:szCs w:val="20"/>
              </w:rPr>
              <w:t>s vieneto (</w:t>
            </w:r>
            <w:proofErr w:type="spellStart"/>
            <w:r w:rsidR="009F6208" w:rsidRPr="00650EE4">
              <w:rPr>
                <w:rFonts w:ascii="Times New Roman" w:hAnsi="Times New Roman"/>
                <w:color w:val="auto"/>
                <w:sz w:val="20"/>
                <w:szCs w:val="20"/>
              </w:rPr>
              <w:t>kWh</w:t>
            </w:r>
            <w:proofErr w:type="spellEnd"/>
            <w:r w:rsidR="009F6208" w:rsidRPr="00650EE4">
              <w:rPr>
                <w:rFonts w:ascii="Times New Roman" w:hAnsi="Times New Roman"/>
                <w:color w:val="auto"/>
                <w:sz w:val="20"/>
                <w:szCs w:val="20"/>
              </w:rPr>
              <w:t>), bet paslaugos tiekėjais</w:t>
            </w:r>
          </w:p>
        </w:tc>
      </w:tr>
      <w:tr w:rsidR="00485DFC" w:rsidRPr="00650EE4" w14:paraId="438C4B1A" w14:textId="77777777" w:rsidTr="00562E41">
        <w:tc>
          <w:tcPr>
            <w:tcW w:w="2547" w:type="dxa"/>
          </w:tcPr>
          <w:p w14:paraId="578C46F0" w14:textId="77777777" w:rsidR="00485DFC" w:rsidRPr="00650EE4" w:rsidRDefault="00485DFC" w:rsidP="00562E41">
            <w:pPr>
              <w:rPr>
                <w:rFonts w:ascii="Times New Roman" w:hAnsi="Times New Roman"/>
                <w:color w:val="auto"/>
                <w:sz w:val="20"/>
                <w:szCs w:val="20"/>
              </w:rPr>
            </w:pPr>
            <w:r w:rsidRPr="00650EE4">
              <w:rPr>
                <w:rFonts w:ascii="Times New Roman" w:hAnsi="Times New Roman"/>
                <w:color w:val="auto"/>
                <w:sz w:val="20"/>
                <w:szCs w:val="20"/>
              </w:rPr>
              <w:t>Pastatų savininkai</w:t>
            </w:r>
          </w:p>
        </w:tc>
        <w:tc>
          <w:tcPr>
            <w:tcW w:w="7654" w:type="dxa"/>
          </w:tcPr>
          <w:p w14:paraId="3B8A4BD7"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Vadovaudamiesi prieinama informacija ir reikalavimais, priima sprendimus dėl renovacijos įgyvendinimo fakto, laiko ir apimčių.</w:t>
            </w:r>
          </w:p>
        </w:tc>
      </w:tr>
    </w:tbl>
    <w:p w14:paraId="7829EFAC" w14:textId="7E172C80" w:rsidR="00485DFC" w:rsidRPr="00650EE4" w:rsidRDefault="00485DFC" w:rsidP="00485DFC">
      <w:pPr>
        <w:spacing w:line="240" w:lineRule="auto"/>
        <w:rPr>
          <w:rFonts w:ascii="Times New Roman" w:hAnsi="Times New Roman"/>
          <w:i/>
          <w:iCs/>
          <w:color w:val="000000" w:themeColor="text1"/>
          <w:sz w:val="20"/>
          <w:szCs w:val="20"/>
        </w:rPr>
      </w:pPr>
      <w:r w:rsidRPr="00650EE4">
        <w:rPr>
          <w:rFonts w:ascii="Times New Roman" w:hAnsi="Times New Roman"/>
          <w:i/>
          <w:iCs/>
          <w:color w:val="000000" w:themeColor="text1"/>
          <w:sz w:val="20"/>
          <w:szCs w:val="20"/>
        </w:rPr>
        <w:t>Šaltinis: Iniciatyvos „Re</w:t>
      </w:r>
      <w:r w:rsidR="00DF32CA">
        <w:rPr>
          <w:rFonts w:ascii="Times New Roman" w:hAnsi="Times New Roman"/>
          <w:i/>
          <w:iCs/>
          <w:color w:val="000000" w:themeColor="text1"/>
          <w:sz w:val="20"/>
          <w:szCs w:val="20"/>
        </w:rPr>
        <w:t>novacijos banga“ veiksmų planas</w:t>
      </w:r>
    </w:p>
    <w:p w14:paraId="315ECC3C" w14:textId="77777777" w:rsidR="002B53AC" w:rsidRDefault="002B53AC" w:rsidP="00485DFC">
      <w:pPr>
        <w:spacing w:after="120" w:line="240" w:lineRule="auto"/>
        <w:jc w:val="both"/>
        <w:rPr>
          <w:rFonts w:ascii="Times New Roman" w:hAnsi="Times New Roman"/>
          <w:color w:val="000000" w:themeColor="text1"/>
          <w:szCs w:val="22"/>
        </w:rPr>
      </w:pPr>
    </w:p>
    <w:p w14:paraId="54A3E03C" w14:textId="4C315332" w:rsidR="002B53AC" w:rsidRDefault="002B53AC" w:rsidP="002B53AC">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Be aukščiau lentelėje paminėtų šalių, Lietuvoje renovacijos proceso šalimi taip pat gali būti būsto valdytojai ir būsto valdytojus vienijančios organizacijos, kaip šalys galinčios bendradarbiauti tarp gyventojų ir kitų institucijų, skleisti informaciją apie renovacijos naudą gyventojams.</w:t>
      </w:r>
      <w:r w:rsidRPr="00650EE4">
        <w:rPr>
          <w:rFonts w:ascii="Times New Roman" w:hAnsi="Times New Roman"/>
          <w:color w:val="000000" w:themeColor="text1"/>
          <w:szCs w:val="22"/>
        </w:rPr>
        <w:t xml:space="preserve"> </w:t>
      </w:r>
    </w:p>
    <w:p w14:paraId="555D7096" w14:textId="1164AE53" w:rsidR="00485DFC" w:rsidRPr="00650EE4" w:rsidRDefault="00DF32CA" w:rsidP="00485DFC">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V</w:t>
      </w:r>
      <w:r w:rsidR="00485DFC" w:rsidRPr="00650EE4">
        <w:rPr>
          <w:rFonts w:ascii="Times New Roman" w:hAnsi="Times New Roman"/>
          <w:color w:val="000000" w:themeColor="text1"/>
          <w:szCs w:val="22"/>
        </w:rPr>
        <w:t xml:space="preserve">isos lentelėje aukščiau paminėtos šalys dalyvaujančios renovacijos procese yra svarbios ir atliekančios tam tikrą vaidmenį skirtinguose renovacijos etapuose, svarbiausia šalis, be kurios sprendimo renovacija negali įvykti – pastato savininkas. </w:t>
      </w:r>
    </w:p>
    <w:p w14:paraId="4751841A" w14:textId="5E805C2D" w:rsidR="00485DFC" w:rsidRPr="00650EE4" w:rsidRDefault="00485DFC" w:rsidP="00485DFC">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Tam, kad </w:t>
      </w:r>
      <w:r w:rsidR="00DF32CA">
        <w:rPr>
          <w:rFonts w:ascii="Times New Roman" w:hAnsi="Times New Roman"/>
          <w:color w:val="000000" w:themeColor="text1"/>
          <w:szCs w:val="22"/>
        </w:rPr>
        <w:t>5</w:t>
      </w:r>
      <w:r w:rsidR="00DF32CA" w:rsidRPr="00650EE4">
        <w:rPr>
          <w:rFonts w:ascii="Times New Roman" w:hAnsi="Times New Roman"/>
          <w:color w:val="000000" w:themeColor="text1"/>
          <w:szCs w:val="22"/>
        </w:rPr>
        <w:t xml:space="preserve"> </w:t>
      </w:r>
      <w:r w:rsidR="006D180C" w:rsidRPr="00650EE4">
        <w:rPr>
          <w:rFonts w:ascii="Times New Roman" w:hAnsi="Times New Roman"/>
          <w:color w:val="000000" w:themeColor="text1"/>
          <w:szCs w:val="22"/>
        </w:rPr>
        <w:t xml:space="preserve">skyriuje nustatyti </w:t>
      </w:r>
      <w:r w:rsidRPr="00650EE4">
        <w:rPr>
          <w:rFonts w:ascii="Times New Roman" w:hAnsi="Times New Roman"/>
          <w:color w:val="000000" w:themeColor="text1"/>
          <w:szCs w:val="22"/>
        </w:rPr>
        <w:t xml:space="preserve">renovacijos rodikliai būtų pasiekti, renovacijoje turi dalyvauti ~80 proc. </w:t>
      </w:r>
      <w:r w:rsidR="006D180C" w:rsidRPr="00650EE4">
        <w:rPr>
          <w:rFonts w:ascii="Times New Roman" w:hAnsi="Times New Roman"/>
          <w:color w:val="000000" w:themeColor="text1"/>
          <w:szCs w:val="22"/>
        </w:rPr>
        <w:t xml:space="preserve">dabartinio </w:t>
      </w:r>
      <w:r w:rsidRPr="00650EE4">
        <w:rPr>
          <w:rFonts w:ascii="Times New Roman" w:hAnsi="Times New Roman"/>
          <w:color w:val="000000" w:themeColor="text1"/>
          <w:szCs w:val="22"/>
        </w:rPr>
        <w:t>pastatų fondo vienetų.</w:t>
      </w:r>
      <w:r w:rsidR="006D180C"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Lietuvoje tik 2 proc. pastatų fondo vienetų nuosavybės yra vieša (valstybės arba savivaldybės nuosavybė). Likusi nuosavybė yra privati (t.y. fizinių arba juridinių asmenų) ir nuosavybės prasme nėra reikšmingai koncentruota – 2/3 pastatų pagal plotą yra daugiabučiai ir individualūs namai, didžiąja dalimi priklausantys fiziniams asmenims. </w:t>
      </w:r>
    </w:p>
    <w:p w14:paraId="1D45BE14" w14:textId="508A6AB7" w:rsidR="00485DFC" w:rsidRPr="00650EE4" w:rsidRDefault="00DF32CA" w:rsidP="00485DFC">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S</w:t>
      </w:r>
      <w:r w:rsidR="00485DFC" w:rsidRPr="00650EE4">
        <w:rPr>
          <w:rFonts w:ascii="Times New Roman" w:hAnsi="Times New Roman"/>
          <w:color w:val="000000" w:themeColor="text1"/>
          <w:szCs w:val="22"/>
        </w:rPr>
        <w:t xml:space="preserve">iekiant proveržio, renovacijos nauda reikia įtikinti absoliučią daugumą pastatų savininkų. </w:t>
      </w:r>
      <w:r>
        <w:rPr>
          <w:rFonts w:ascii="Times New Roman" w:hAnsi="Times New Roman"/>
          <w:color w:val="000000" w:themeColor="text1"/>
          <w:szCs w:val="22"/>
        </w:rPr>
        <w:t>T</w:t>
      </w:r>
      <w:r w:rsidR="00485DFC" w:rsidRPr="00650EE4">
        <w:rPr>
          <w:rFonts w:ascii="Times New Roman" w:hAnsi="Times New Roman"/>
          <w:color w:val="000000" w:themeColor="text1"/>
          <w:szCs w:val="22"/>
        </w:rPr>
        <w:t xml:space="preserve">okiam rezultatui pasiekti būtina, kad IRS įgyvendinimo modelis būtų orientuotas į pastato savininką, jo lūkesčius, bei esminių barjerų, trukdančių jo apsisprendimui dalyvauti renovacijoje, panaikinimą. </w:t>
      </w:r>
    </w:p>
    <w:p w14:paraId="3D714D35" w14:textId="5627D850" w:rsidR="006D180C" w:rsidRPr="00650EE4" w:rsidRDefault="006D180C" w:rsidP="006D180C">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IRS įgyvendinimo modelio orientacija į pastato savininką yra kritinis strategijos įgyvendinimo veiksnys, kuriuo remiantis formuojamas strategijos įgyvendinimo modelis.</w:t>
      </w:r>
    </w:p>
    <w:p w14:paraId="057583D4" w14:textId="77777777" w:rsidR="00DD1817" w:rsidRPr="00650EE4" w:rsidRDefault="00DD1817" w:rsidP="001666B0">
      <w:pPr>
        <w:spacing w:line="240" w:lineRule="auto"/>
        <w:jc w:val="both"/>
        <w:rPr>
          <w:rFonts w:ascii="Times New Roman" w:hAnsi="Times New Roman"/>
          <w:color w:val="000000" w:themeColor="text1"/>
          <w:szCs w:val="22"/>
        </w:rPr>
      </w:pPr>
    </w:p>
    <w:p w14:paraId="5625381B" w14:textId="479F4053" w:rsidR="00686D06" w:rsidRPr="00650EE4" w:rsidRDefault="003853BB" w:rsidP="009F6208">
      <w:pPr>
        <w:pStyle w:val="Antrastes2"/>
        <w:numPr>
          <w:ilvl w:val="1"/>
          <w:numId w:val="4"/>
        </w:numPr>
        <w:pBdr>
          <w:bottom w:val="single" w:sz="4" w:space="1" w:color="auto"/>
        </w:pBdr>
        <w:spacing w:before="120"/>
        <w:ind w:left="576" w:hanging="576"/>
        <w:jc w:val="both"/>
        <w:rPr>
          <w:rFonts w:ascii="Times New Roman" w:hAnsi="Times New Roman"/>
          <w:color w:val="auto"/>
          <w:sz w:val="24"/>
          <w:szCs w:val="24"/>
          <w:lang w:val="lt-LT"/>
        </w:rPr>
      </w:pPr>
      <w:bookmarkStart w:id="200" w:name="_Toc67925172"/>
      <w:r w:rsidRPr="00650EE4">
        <w:rPr>
          <w:rFonts w:ascii="Times New Roman" w:hAnsi="Times New Roman"/>
          <w:color w:val="auto"/>
          <w:sz w:val="24"/>
          <w:szCs w:val="24"/>
          <w:lang w:val="lt-LT"/>
        </w:rPr>
        <w:t>S</w:t>
      </w:r>
      <w:r w:rsidR="008C3EDB" w:rsidRPr="00650EE4">
        <w:rPr>
          <w:rFonts w:ascii="Times New Roman" w:hAnsi="Times New Roman"/>
          <w:color w:val="auto"/>
          <w:sz w:val="24"/>
          <w:szCs w:val="24"/>
          <w:lang w:val="lt-LT"/>
        </w:rPr>
        <w:t>trategijos</w:t>
      </w:r>
      <w:r w:rsidR="00686D06" w:rsidRPr="00650EE4">
        <w:rPr>
          <w:rFonts w:ascii="Times New Roman" w:hAnsi="Times New Roman"/>
          <w:color w:val="auto"/>
          <w:sz w:val="24"/>
          <w:szCs w:val="24"/>
          <w:lang w:val="lt-LT"/>
        </w:rPr>
        <w:t xml:space="preserve"> įgyvendinimo modelis</w:t>
      </w:r>
      <w:bookmarkEnd w:id="200"/>
    </w:p>
    <w:p w14:paraId="1BB7342A" w14:textId="0F90D86D" w:rsidR="00416BB4" w:rsidRPr="00650EE4" w:rsidRDefault="00416BB4" w:rsidP="00416BB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Siekiant efektyviai įgyvendinti į pastato savininką orientuotą strategijos įgyvendinimo modelį svarbu gebėti įvertinti renovaciją iš savininko perspektyvos.  </w:t>
      </w:r>
    </w:p>
    <w:p w14:paraId="258E846C" w14:textId="77777777" w:rsidR="00416BB4" w:rsidRPr="00650EE4" w:rsidRDefault="00416BB4" w:rsidP="00416BB4">
      <w:pPr>
        <w:spacing w:line="240" w:lineRule="auto"/>
        <w:jc w:val="both"/>
        <w:rPr>
          <w:rFonts w:ascii="Times New Roman" w:hAnsi="Times New Roman"/>
          <w:color w:val="000000" w:themeColor="text1"/>
          <w:szCs w:val="22"/>
        </w:rPr>
      </w:pPr>
    </w:p>
    <w:p w14:paraId="0B965CF7" w14:textId="4C0DBE3E" w:rsidR="004C28AF" w:rsidRPr="00650EE4" w:rsidRDefault="009A07E1" w:rsidP="00416BB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Skirti</w:t>
      </w:r>
      <w:r w:rsidR="00AB060C" w:rsidRPr="00650EE4">
        <w:rPr>
          <w:rFonts w:ascii="Times New Roman" w:hAnsi="Times New Roman"/>
          <w:color w:val="000000" w:themeColor="text1"/>
          <w:szCs w:val="22"/>
        </w:rPr>
        <w:t xml:space="preserve">ngos studijos ir tyrimai pateikia skirtingus </w:t>
      </w:r>
      <w:r w:rsidRPr="00650EE4">
        <w:rPr>
          <w:rFonts w:ascii="Times New Roman" w:hAnsi="Times New Roman"/>
          <w:color w:val="000000" w:themeColor="text1"/>
          <w:szCs w:val="22"/>
        </w:rPr>
        <w:t>pastatų s</w:t>
      </w:r>
      <w:r w:rsidR="00B140EB" w:rsidRPr="00650EE4">
        <w:rPr>
          <w:rFonts w:ascii="Times New Roman" w:hAnsi="Times New Roman"/>
          <w:color w:val="000000" w:themeColor="text1"/>
          <w:szCs w:val="22"/>
        </w:rPr>
        <w:t>avininkų lūkesčius ir</w:t>
      </w:r>
      <w:r w:rsidRPr="00650EE4">
        <w:rPr>
          <w:rFonts w:ascii="Times New Roman" w:hAnsi="Times New Roman"/>
          <w:color w:val="000000" w:themeColor="text1"/>
          <w:szCs w:val="22"/>
        </w:rPr>
        <w:t xml:space="preserve"> </w:t>
      </w:r>
      <w:r w:rsidR="00346C61" w:rsidRPr="00650EE4">
        <w:rPr>
          <w:rFonts w:ascii="Times New Roman" w:hAnsi="Times New Roman"/>
          <w:color w:val="000000" w:themeColor="text1"/>
          <w:szCs w:val="22"/>
        </w:rPr>
        <w:t xml:space="preserve">tipinius </w:t>
      </w:r>
      <w:r w:rsidRPr="00650EE4">
        <w:rPr>
          <w:rFonts w:ascii="Times New Roman" w:hAnsi="Times New Roman"/>
          <w:color w:val="000000" w:themeColor="text1"/>
          <w:szCs w:val="22"/>
        </w:rPr>
        <w:t xml:space="preserve">barjerus, kurie trukdo </w:t>
      </w:r>
      <w:r w:rsidR="00B140EB" w:rsidRPr="00650EE4">
        <w:rPr>
          <w:rFonts w:ascii="Times New Roman" w:hAnsi="Times New Roman"/>
          <w:color w:val="000000" w:themeColor="text1"/>
          <w:szCs w:val="22"/>
        </w:rPr>
        <w:t>savininkų</w:t>
      </w:r>
      <w:r w:rsidR="00346C61" w:rsidRPr="00650EE4">
        <w:rPr>
          <w:rFonts w:ascii="Times New Roman" w:hAnsi="Times New Roman"/>
          <w:color w:val="000000" w:themeColor="text1"/>
          <w:szCs w:val="22"/>
        </w:rPr>
        <w:t xml:space="preserve"> apsisprendimui dalyvauti renovacijoje</w:t>
      </w:r>
      <w:r w:rsidR="00526F99" w:rsidRPr="00650EE4">
        <w:rPr>
          <w:rFonts w:ascii="Times New Roman" w:hAnsi="Times New Roman"/>
          <w:color w:val="000000" w:themeColor="text1"/>
          <w:szCs w:val="22"/>
        </w:rPr>
        <w:t>. Tačiau</w:t>
      </w:r>
      <w:r w:rsidR="00B140EB" w:rsidRPr="00650EE4">
        <w:rPr>
          <w:rFonts w:ascii="Times New Roman" w:hAnsi="Times New Roman"/>
          <w:color w:val="000000" w:themeColor="text1"/>
          <w:szCs w:val="22"/>
        </w:rPr>
        <w:t>, apibendrinant</w:t>
      </w:r>
      <w:r w:rsidR="00EA2BFB" w:rsidRPr="00650EE4">
        <w:rPr>
          <w:rFonts w:ascii="Times New Roman" w:hAnsi="Times New Roman"/>
          <w:color w:val="000000" w:themeColor="text1"/>
          <w:szCs w:val="22"/>
        </w:rPr>
        <w:t xml:space="preserve"> </w:t>
      </w:r>
      <w:r w:rsidR="00526F99" w:rsidRPr="00650EE4">
        <w:rPr>
          <w:rFonts w:ascii="Times New Roman" w:hAnsi="Times New Roman"/>
          <w:color w:val="000000" w:themeColor="text1"/>
          <w:szCs w:val="22"/>
        </w:rPr>
        <w:t xml:space="preserve">galima teigti, </w:t>
      </w:r>
      <w:r w:rsidR="00EA2BFB" w:rsidRPr="00650EE4">
        <w:rPr>
          <w:rFonts w:ascii="Times New Roman" w:hAnsi="Times New Roman"/>
          <w:color w:val="000000" w:themeColor="text1"/>
          <w:szCs w:val="22"/>
        </w:rPr>
        <w:t xml:space="preserve">jog tam </w:t>
      </w:r>
      <w:r w:rsidR="00526F99" w:rsidRPr="00650EE4">
        <w:rPr>
          <w:rFonts w:ascii="Times New Roman" w:hAnsi="Times New Roman"/>
          <w:color w:val="000000" w:themeColor="text1"/>
          <w:szCs w:val="22"/>
        </w:rPr>
        <w:t>kad pastato savininkas dalyvau</w:t>
      </w:r>
      <w:r w:rsidR="00EA2BFB" w:rsidRPr="00650EE4">
        <w:rPr>
          <w:rFonts w:ascii="Times New Roman" w:hAnsi="Times New Roman"/>
          <w:color w:val="000000" w:themeColor="text1"/>
          <w:szCs w:val="22"/>
        </w:rPr>
        <w:t>tų</w:t>
      </w:r>
      <w:r w:rsidR="00526F99" w:rsidRPr="00650EE4">
        <w:rPr>
          <w:rFonts w:ascii="Times New Roman" w:hAnsi="Times New Roman"/>
          <w:color w:val="000000" w:themeColor="text1"/>
          <w:szCs w:val="22"/>
        </w:rPr>
        <w:t xml:space="preserve"> renovacijoje, jis turi tikėti renovacijos nauda t.y. tikėti, kad renovacijos naudos bus didesnės nei jo investicija.</w:t>
      </w:r>
      <w:r w:rsidR="00D4112C" w:rsidRPr="00650EE4">
        <w:rPr>
          <w:rFonts w:ascii="Times New Roman" w:hAnsi="Times New Roman"/>
          <w:color w:val="000000" w:themeColor="text1"/>
          <w:szCs w:val="22"/>
        </w:rPr>
        <w:t xml:space="preserve"> </w:t>
      </w:r>
    </w:p>
    <w:p w14:paraId="5100C4E6" w14:textId="77777777" w:rsidR="00416BB4" w:rsidRPr="00650EE4" w:rsidRDefault="00416BB4" w:rsidP="00416BB4">
      <w:pPr>
        <w:spacing w:line="240" w:lineRule="auto"/>
        <w:jc w:val="both"/>
        <w:rPr>
          <w:rFonts w:ascii="Times New Roman" w:hAnsi="Times New Roman"/>
          <w:color w:val="000000" w:themeColor="text1"/>
          <w:szCs w:val="22"/>
        </w:rPr>
      </w:pPr>
    </w:p>
    <w:p w14:paraId="1D333E95" w14:textId="689F4567" w:rsidR="009C5216" w:rsidRPr="00650EE4" w:rsidRDefault="00B81A0C" w:rsidP="000D66AF">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T</w:t>
      </w:r>
      <w:r w:rsidR="0064779E" w:rsidRPr="00650EE4">
        <w:rPr>
          <w:rFonts w:ascii="Times New Roman" w:hAnsi="Times New Roman"/>
          <w:color w:val="000000" w:themeColor="text1"/>
          <w:szCs w:val="22"/>
        </w:rPr>
        <w:t xml:space="preserve">am, </w:t>
      </w:r>
      <w:r w:rsidR="00526F99" w:rsidRPr="00650EE4">
        <w:rPr>
          <w:rFonts w:ascii="Times New Roman" w:hAnsi="Times New Roman"/>
          <w:color w:val="000000" w:themeColor="text1"/>
          <w:szCs w:val="22"/>
        </w:rPr>
        <w:t xml:space="preserve">kad pastato savininkas tikėtų renovacijos </w:t>
      </w:r>
      <w:r w:rsidR="00176991" w:rsidRPr="00650EE4">
        <w:rPr>
          <w:rFonts w:ascii="Times New Roman" w:hAnsi="Times New Roman"/>
          <w:color w:val="000000" w:themeColor="text1"/>
          <w:szCs w:val="22"/>
        </w:rPr>
        <w:t>nauda</w:t>
      </w:r>
      <w:r w:rsidR="002D6096" w:rsidRPr="00650EE4">
        <w:rPr>
          <w:rFonts w:ascii="Times New Roman" w:hAnsi="Times New Roman"/>
          <w:color w:val="000000" w:themeColor="text1"/>
          <w:szCs w:val="22"/>
        </w:rPr>
        <w:t>:</w:t>
      </w:r>
      <w:r w:rsidR="0064779E" w:rsidRPr="00650EE4">
        <w:rPr>
          <w:rFonts w:ascii="Times New Roman" w:hAnsi="Times New Roman"/>
          <w:color w:val="000000" w:themeColor="text1"/>
          <w:szCs w:val="22"/>
        </w:rPr>
        <w:t xml:space="preserve"> </w:t>
      </w:r>
    </w:p>
    <w:p w14:paraId="0ED983FF" w14:textId="2DA843E3" w:rsidR="009C5216"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n</w:t>
      </w:r>
      <w:r w:rsidR="00F8621E" w:rsidRPr="00650EE4">
        <w:rPr>
          <w:rFonts w:ascii="Times New Roman" w:hAnsi="Times New Roman"/>
          <w:color w:val="000000" w:themeColor="text1"/>
          <w:szCs w:val="22"/>
          <w:lang w:val="lt-LT"/>
        </w:rPr>
        <w:t xml:space="preserve">auda savininkui turi objektyviai </w:t>
      </w:r>
      <w:r w:rsidR="008B46BE" w:rsidRPr="00650EE4">
        <w:rPr>
          <w:rFonts w:ascii="Times New Roman" w:hAnsi="Times New Roman"/>
          <w:color w:val="000000" w:themeColor="text1"/>
          <w:szCs w:val="22"/>
          <w:lang w:val="lt-LT"/>
        </w:rPr>
        <w:t>egzistuoti</w:t>
      </w:r>
      <w:r>
        <w:rPr>
          <w:rFonts w:ascii="Times New Roman" w:hAnsi="Times New Roman"/>
          <w:color w:val="000000" w:themeColor="text1"/>
          <w:szCs w:val="22"/>
          <w:lang w:val="lt-LT"/>
        </w:rPr>
        <w:t>;</w:t>
      </w:r>
    </w:p>
    <w:p w14:paraId="7208AC3B" w14:textId="31C03EF4" w:rsidR="009C5216"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C77A73" w:rsidRPr="00650EE4">
        <w:rPr>
          <w:rFonts w:ascii="Times New Roman" w:hAnsi="Times New Roman"/>
          <w:color w:val="000000" w:themeColor="text1"/>
          <w:szCs w:val="22"/>
          <w:lang w:val="lt-LT"/>
        </w:rPr>
        <w:t xml:space="preserve">avininkas turi būti apie </w:t>
      </w:r>
      <w:r w:rsidR="002D6096" w:rsidRPr="00650EE4">
        <w:rPr>
          <w:rFonts w:ascii="Times New Roman" w:hAnsi="Times New Roman"/>
          <w:color w:val="000000" w:themeColor="text1"/>
          <w:szCs w:val="22"/>
          <w:lang w:val="lt-LT"/>
        </w:rPr>
        <w:t xml:space="preserve">naudas </w:t>
      </w:r>
      <w:r w:rsidR="00C77A73" w:rsidRPr="00650EE4">
        <w:rPr>
          <w:rFonts w:ascii="Times New Roman" w:hAnsi="Times New Roman"/>
          <w:color w:val="000000" w:themeColor="text1"/>
          <w:szCs w:val="22"/>
          <w:lang w:val="lt-LT"/>
        </w:rPr>
        <w:t>informuot</w:t>
      </w:r>
      <w:r w:rsidR="002D6096" w:rsidRPr="00650EE4">
        <w:rPr>
          <w:rFonts w:ascii="Times New Roman" w:hAnsi="Times New Roman"/>
          <w:color w:val="000000" w:themeColor="text1"/>
          <w:szCs w:val="22"/>
          <w:lang w:val="lt-LT"/>
        </w:rPr>
        <w:t>a</w:t>
      </w:r>
      <w:r w:rsidR="00817E4D" w:rsidRPr="00650EE4">
        <w:rPr>
          <w:rFonts w:ascii="Times New Roman" w:hAnsi="Times New Roman"/>
          <w:color w:val="000000" w:themeColor="text1"/>
          <w:szCs w:val="22"/>
          <w:lang w:val="lt-LT"/>
        </w:rPr>
        <w:t>s</w:t>
      </w:r>
      <w:r w:rsidR="002D6096" w:rsidRPr="00650EE4">
        <w:rPr>
          <w:rFonts w:ascii="Times New Roman" w:hAnsi="Times New Roman"/>
          <w:color w:val="000000" w:themeColor="text1"/>
          <w:szCs w:val="22"/>
          <w:lang w:val="lt-LT"/>
        </w:rPr>
        <w:t xml:space="preserve"> – svarbu įvertinti</w:t>
      </w:r>
      <w:r w:rsidR="00E74B31" w:rsidRPr="00650EE4">
        <w:rPr>
          <w:rFonts w:ascii="Times New Roman" w:hAnsi="Times New Roman"/>
          <w:color w:val="000000" w:themeColor="text1"/>
          <w:szCs w:val="22"/>
          <w:lang w:val="lt-LT"/>
        </w:rPr>
        <w:t xml:space="preserve">, kad </w:t>
      </w:r>
      <w:r w:rsidR="00C77A73" w:rsidRPr="00650EE4">
        <w:rPr>
          <w:rFonts w:ascii="Times New Roman" w:hAnsi="Times New Roman"/>
          <w:color w:val="000000" w:themeColor="text1"/>
          <w:szCs w:val="22"/>
          <w:lang w:val="lt-LT"/>
        </w:rPr>
        <w:t>s</w:t>
      </w:r>
      <w:r w:rsidR="00475D42" w:rsidRPr="00650EE4">
        <w:rPr>
          <w:rFonts w:ascii="Times New Roman" w:hAnsi="Times New Roman"/>
          <w:color w:val="000000" w:themeColor="text1"/>
          <w:szCs w:val="22"/>
          <w:lang w:val="lt-LT"/>
        </w:rPr>
        <w:t xml:space="preserve">avininko investicija yra finansinė, </w:t>
      </w:r>
      <w:r w:rsidR="00E74B31" w:rsidRPr="00650EE4">
        <w:rPr>
          <w:rFonts w:ascii="Times New Roman" w:hAnsi="Times New Roman"/>
          <w:color w:val="000000" w:themeColor="text1"/>
          <w:szCs w:val="22"/>
          <w:lang w:val="lt-LT"/>
        </w:rPr>
        <w:t>o</w:t>
      </w:r>
      <w:r w:rsidR="00475D42" w:rsidRPr="00650EE4">
        <w:rPr>
          <w:rFonts w:ascii="Times New Roman" w:hAnsi="Times New Roman"/>
          <w:color w:val="000000" w:themeColor="text1"/>
          <w:szCs w:val="22"/>
          <w:lang w:val="lt-LT"/>
        </w:rPr>
        <w:t xml:space="preserve"> r</w:t>
      </w:r>
      <w:r w:rsidR="000D66AF" w:rsidRPr="00650EE4">
        <w:rPr>
          <w:rFonts w:ascii="Times New Roman" w:hAnsi="Times New Roman"/>
          <w:color w:val="000000" w:themeColor="text1"/>
          <w:szCs w:val="22"/>
          <w:lang w:val="lt-LT"/>
        </w:rPr>
        <w:t>enovacijos teikiamos naudo</w:t>
      </w:r>
      <w:r w:rsidR="00817E4D" w:rsidRPr="00650EE4">
        <w:rPr>
          <w:rFonts w:ascii="Times New Roman" w:hAnsi="Times New Roman"/>
          <w:color w:val="000000" w:themeColor="text1"/>
          <w:szCs w:val="22"/>
          <w:lang w:val="lt-LT"/>
        </w:rPr>
        <w:t>s</w:t>
      </w:r>
      <w:r w:rsidR="00475D42" w:rsidRPr="00650EE4">
        <w:rPr>
          <w:rFonts w:ascii="Times New Roman" w:hAnsi="Times New Roman"/>
          <w:color w:val="000000" w:themeColor="text1"/>
          <w:szCs w:val="22"/>
          <w:lang w:val="lt-LT"/>
        </w:rPr>
        <w:t xml:space="preserve"> daugialypės (ne tik energijos sutaupym</w:t>
      </w:r>
      <w:r w:rsidR="00786B52" w:rsidRPr="00650EE4">
        <w:rPr>
          <w:rFonts w:ascii="Times New Roman" w:hAnsi="Times New Roman"/>
          <w:color w:val="000000" w:themeColor="text1"/>
          <w:szCs w:val="22"/>
          <w:lang w:val="lt-LT"/>
        </w:rPr>
        <w:t>a</w:t>
      </w:r>
      <w:r w:rsidR="00475D42" w:rsidRPr="00650EE4">
        <w:rPr>
          <w:rFonts w:ascii="Times New Roman" w:hAnsi="Times New Roman"/>
          <w:color w:val="000000" w:themeColor="text1"/>
          <w:szCs w:val="22"/>
          <w:lang w:val="lt-LT"/>
        </w:rPr>
        <w:t>s</w:t>
      </w:r>
      <w:r w:rsidR="00786B52" w:rsidRPr="00650EE4">
        <w:rPr>
          <w:rFonts w:ascii="Times New Roman" w:hAnsi="Times New Roman"/>
          <w:color w:val="000000" w:themeColor="text1"/>
          <w:szCs w:val="22"/>
          <w:lang w:val="lt-LT"/>
        </w:rPr>
        <w:t xml:space="preserve"> ir sumažėjusios išlaidos</w:t>
      </w:r>
      <w:r w:rsidR="00475D42" w:rsidRPr="00650EE4">
        <w:rPr>
          <w:rFonts w:ascii="Times New Roman" w:hAnsi="Times New Roman"/>
          <w:color w:val="000000" w:themeColor="text1"/>
          <w:szCs w:val="22"/>
          <w:lang w:val="lt-LT"/>
        </w:rPr>
        <w:t>, bet ir būsto vertės padidėjim</w:t>
      </w:r>
      <w:r w:rsidR="00786B52" w:rsidRPr="00650EE4">
        <w:rPr>
          <w:rFonts w:ascii="Times New Roman" w:hAnsi="Times New Roman"/>
          <w:color w:val="000000" w:themeColor="text1"/>
          <w:szCs w:val="22"/>
          <w:lang w:val="lt-LT"/>
        </w:rPr>
        <w:t>as</w:t>
      </w:r>
      <w:r w:rsidR="00475D42" w:rsidRPr="00650EE4">
        <w:rPr>
          <w:rFonts w:ascii="Times New Roman" w:hAnsi="Times New Roman"/>
          <w:color w:val="000000" w:themeColor="text1"/>
          <w:szCs w:val="22"/>
          <w:lang w:val="lt-LT"/>
        </w:rPr>
        <w:t>, geresn</w:t>
      </w:r>
      <w:r w:rsidR="00786B52" w:rsidRPr="00650EE4">
        <w:rPr>
          <w:rFonts w:ascii="Times New Roman" w:hAnsi="Times New Roman"/>
          <w:color w:val="000000" w:themeColor="text1"/>
          <w:szCs w:val="22"/>
          <w:lang w:val="lt-LT"/>
        </w:rPr>
        <w:t>ė</w:t>
      </w:r>
      <w:r w:rsidR="00E74B31" w:rsidRPr="00650EE4">
        <w:rPr>
          <w:rFonts w:ascii="Times New Roman" w:hAnsi="Times New Roman"/>
          <w:color w:val="000000" w:themeColor="text1"/>
          <w:szCs w:val="22"/>
          <w:lang w:val="lt-LT"/>
        </w:rPr>
        <w:t xml:space="preserve"> socialinė aplinka </w:t>
      </w:r>
      <w:r w:rsidR="00475D42" w:rsidRPr="00650EE4">
        <w:rPr>
          <w:rFonts w:ascii="Times New Roman" w:hAnsi="Times New Roman"/>
          <w:color w:val="000000" w:themeColor="text1"/>
          <w:szCs w:val="22"/>
          <w:lang w:val="lt-LT"/>
        </w:rPr>
        <w:t>ir pan.</w:t>
      </w:r>
      <w:r w:rsidR="00E74B31" w:rsidRPr="00650EE4">
        <w:rPr>
          <w:rFonts w:ascii="Times New Roman" w:hAnsi="Times New Roman"/>
          <w:color w:val="000000" w:themeColor="text1"/>
          <w:szCs w:val="22"/>
          <w:lang w:val="lt-LT"/>
        </w:rPr>
        <w:t xml:space="preserve">), </w:t>
      </w:r>
      <w:r w:rsidR="002D6096" w:rsidRPr="00650EE4">
        <w:rPr>
          <w:rFonts w:ascii="Times New Roman" w:hAnsi="Times New Roman"/>
          <w:color w:val="000000" w:themeColor="text1"/>
          <w:szCs w:val="22"/>
          <w:lang w:val="lt-LT"/>
        </w:rPr>
        <w:t xml:space="preserve">todėl </w:t>
      </w:r>
      <w:r w:rsidR="00E74B31" w:rsidRPr="00650EE4">
        <w:rPr>
          <w:rFonts w:ascii="Times New Roman" w:hAnsi="Times New Roman"/>
          <w:color w:val="000000" w:themeColor="text1"/>
          <w:szCs w:val="22"/>
          <w:lang w:val="lt-LT"/>
        </w:rPr>
        <w:t xml:space="preserve">savininkas </w:t>
      </w:r>
      <w:r w:rsidR="002D6096" w:rsidRPr="00650EE4">
        <w:rPr>
          <w:rFonts w:ascii="Times New Roman" w:hAnsi="Times New Roman"/>
          <w:color w:val="000000" w:themeColor="text1"/>
          <w:szCs w:val="22"/>
          <w:lang w:val="lt-LT"/>
        </w:rPr>
        <w:t>turi būti</w:t>
      </w:r>
      <w:r w:rsidR="000D66AF" w:rsidRPr="00650EE4">
        <w:rPr>
          <w:rFonts w:ascii="Times New Roman" w:hAnsi="Times New Roman"/>
          <w:color w:val="000000" w:themeColor="text1"/>
          <w:szCs w:val="22"/>
          <w:lang w:val="lt-LT"/>
        </w:rPr>
        <w:t xml:space="preserve"> informuotas </w:t>
      </w:r>
      <w:r w:rsidR="009C5216" w:rsidRPr="00650EE4">
        <w:rPr>
          <w:rFonts w:ascii="Times New Roman" w:hAnsi="Times New Roman"/>
          <w:color w:val="000000" w:themeColor="text1"/>
          <w:szCs w:val="22"/>
          <w:lang w:val="lt-LT"/>
        </w:rPr>
        <w:t xml:space="preserve">apie </w:t>
      </w:r>
      <w:r w:rsidR="00475D42" w:rsidRPr="00650EE4">
        <w:rPr>
          <w:rFonts w:ascii="Times New Roman" w:hAnsi="Times New Roman"/>
          <w:color w:val="000000" w:themeColor="text1"/>
          <w:szCs w:val="22"/>
          <w:lang w:val="lt-LT"/>
        </w:rPr>
        <w:t>visą renovacijos galimybių ir naudų spektrą.</w:t>
      </w:r>
      <w:r w:rsidR="00B1268A" w:rsidRPr="00650EE4">
        <w:rPr>
          <w:rFonts w:ascii="Times New Roman" w:hAnsi="Times New Roman"/>
          <w:color w:val="000000" w:themeColor="text1"/>
          <w:szCs w:val="22"/>
          <w:lang w:val="lt-LT"/>
        </w:rPr>
        <w:t xml:space="preserve"> </w:t>
      </w:r>
      <w:r w:rsidR="00E74B31" w:rsidRPr="00650EE4">
        <w:rPr>
          <w:rFonts w:ascii="Times New Roman" w:hAnsi="Times New Roman"/>
          <w:color w:val="000000" w:themeColor="text1"/>
          <w:szCs w:val="22"/>
          <w:lang w:val="lt-LT"/>
        </w:rPr>
        <w:t xml:space="preserve">Taip pat, kritiškai svarbu komunikuoti, kad ilgalaikėje perspektyvoje, </w:t>
      </w:r>
      <w:proofErr w:type="spellStart"/>
      <w:r w:rsidR="00E74B31" w:rsidRPr="00650EE4">
        <w:rPr>
          <w:rFonts w:ascii="Times New Roman" w:hAnsi="Times New Roman"/>
          <w:color w:val="000000" w:themeColor="text1"/>
          <w:szCs w:val="22"/>
          <w:lang w:val="lt-LT"/>
        </w:rPr>
        <w:t>inžineriškai</w:t>
      </w:r>
      <w:proofErr w:type="spellEnd"/>
      <w:r w:rsidR="00E74B31" w:rsidRPr="00650EE4">
        <w:rPr>
          <w:rFonts w:ascii="Times New Roman" w:hAnsi="Times New Roman"/>
          <w:color w:val="000000" w:themeColor="text1"/>
          <w:szCs w:val="22"/>
          <w:lang w:val="lt-LT"/>
        </w:rPr>
        <w:t xml:space="preserve"> nusidėvėjusiems, energetiškai neefektyviems pastatams nėra pasitrinkimo dalyvauti ar nedalyvauti renovacijoje. </w:t>
      </w:r>
      <w:r w:rsidR="005A2942" w:rsidRPr="00650EE4">
        <w:rPr>
          <w:rFonts w:ascii="Times New Roman" w:hAnsi="Times New Roman"/>
          <w:color w:val="000000" w:themeColor="text1"/>
          <w:szCs w:val="22"/>
          <w:lang w:val="lt-LT"/>
        </w:rPr>
        <w:t>Vienintelis savininko pasirinkimas - ar renovaciją vykdyti pasinaudojant valstybės parama</w:t>
      </w:r>
      <w:r w:rsidR="00B81A0C">
        <w:rPr>
          <w:rFonts w:ascii="Times New Roman" w:hAnsi="Times New Roman"/>
          <w:color w:val="000000" w:themeColor="text1"/>
          <w:szCs w:val="22"/>
          <w:lang w:val="lt-LT"/>
        </w:rPr>
        <w:t xml:space="preserve"> ar ne</w:t>
      </w:r>
      <w:r>
        <w:rPr>
          <w:rFonts w:ascii="Times New Roman" w:hAnsi="Times New Roman"/>
          <w:color w:val="000000" w:themeColor="text1"/>
          <w:szCs w:val="22"/>
          <w:lang w:val="lt-LT"/>
        </w:rPr>
        <w:t>;</w:t>
      </w:r>
      <w:r w:rsidR="005A2942" w:rsidRPr="00650EE4">
        <w:rPr>
          <w:rFonts w:ascii="Times New Roman" w:hAnsi="Times New Roman"/>
          <w:color w:val="000000" w:themeColor="text1"/>
          <w:szCs w:val="22"/>
          <w:lang w:val="lt-LT"/>
        </w:rPr>
        <w:t xml:space="preserve"> </w:t>
      </w:r>
    </w:p>
    <w:p w14:paraId="5ABDA6C1" w14:textId="39C60784" w:rsidR="000D66AF"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t</w:t>
      </w:r>
      <w:r w:rsidR="002D6096" w:rsidRPr="00650EE4">
        <w:rPr>
          <w:rFonts w:ascii="Times New Roman" w:hAnsi="Times New Roman"/>
          <w:color w:val="000000" w:themeColor="text1"/>
          <w:szCs w:val="22"/>
          <w:lang w:val="lt-LT"/>
        </w:rPr>
        <w:t>uri egzistuoti patrauklūs finansavimo sprendimai - n</w:t>
      </w:r>
      <w:r w:rsidR="004C28EE" w:rsidRPr="00650EE4">
        <w:rPr>
          <w:rFonts w:ascii="Times New Roman" w:hAnsi="Times New Roman"/>
          <w:color w:val="000000" w:themeColor="text1"/>
          <w:szCs w:val="22"/>
          <w:lang w:val="lt-LT"/>
        </w:rPr>
        <w:t xml:space="preserve">et ir </w:t>
      </w:r>
      <w:r w:rsidR="00623426" w:rsidRPr="00650EE4">
        <w:rPr>
          <w:rFonts w:ascii="Times New Roman" w:hAnsi="Times New Roman"/>
          <w:color w:val="000000" w:themeColor="text1"/>
          <w:szCs w:val="22"/>
          <w:lang w:val="lt-LT"/>
        </w:rPr>
        <w:t>tikint</w:t>
      </w:r>
      <w:r w:rsidR="00C77A73" w:rsidRPr="00650EE4">
        <w:rPr>
          <w:rFonts w:ascii="Times New Roman" w:hAnsi="Times New Roman"/>
          <w:color w:val="000000" w:themeColor="text1"/>
          <w:szCs w:val="22"/>
          <w:lang w:val="lt-LT"/>
        </w:rPr>
        <w:t>is</w:t>
      </w:r>
      <w:r w:rsidR="004C28EE" w:rsidRPr="00650EE4">
        <w:rPr>
          <w:rFonts w:ascii="Times New Roman" w:hAnsi="Times New Roman"/>
          <w:color w:val="000000" w:themeColor="text1"/>
          <w:szCs w:val="22"/>
          <w:lang w:val="lt-LT"/>
        </w:rPr>
        <w:t xml:space="preserve"> renovacijos nauda</w:t>
      </w:r>
      <w:r w:rsidR="00C77A73" w:rsidRPr="00650EE4">
        <w:rPr>
          <w:rFonts w:ascii="Times New Roman" w:hAnsi="Times New Roman"/>
          <w:color w:val="000000" w:themeColor="text1"/>
          <w:szCs w:val="22"/>
          <w:lang w:val="lt-LT"/>
        </w:rPr>
        <w:t xml:space="preserve"> </w:t>
      </w:r>
      <w:r w:rsidR="004C28EE" w:rsidRPr="00650EE4">
        <w:rPr>
          <w:rFonts w:ascii="Times New Roman" w:hAnsi="Times New Roman"/>
          <w:color w:val="000000" w:themeColor="text1"/>
          <w:szCs w:val="22"/>
          <w:lang w:val="lt-LT"/>
        </w:rPr>
        <w:t>pastato savininkas nedalyvaus renovacijoje</w:t>
      </w:r>
      <w:r w:rsidR="00623426" w:rsidRPr="00650EE4">
        <w:rPr>
          <w:rFonts w:ascii="Times New Roman" w:hAnsi="Times New Roman"/>
          <w:color w:val="000000" w:themeColor="text1"/>
          <w:szCs w:val="22"/>
          <w:lang w:val="lt-LT"/>
        </w:rPr>
        <w:t>,</w:t>
      </w:r>
      <w:r w:rsidR="004C28EE" w:rsidRPr="00650EE4">
        <w:rPr>
          <w:rFonts w:ascii="Times New Roman" w:hAnsi="Times New Roman"/>
          <w:color w:val="000000" w:themeColor="text1"/>
          <w:szCs w:val="22"/>
          <w:lang w:val="lt-LT"/>
        </w:rPr>
        <w:t xml:space="preserve"> jei neturės </w:t>
      </w:r>
      <w:r w:rsidR="00531460" w:rsidRPr="00650EE4">
        <w:rPr>
          <w:rFonts w:ascii="Times New Roman" w:hAnsi="Times New Roman"/>
          <w:color w:val="000000" w:themeColor="text1"/>
          <w:szCs w:val="22"/>
          <w:lang w:val="lt-LT"/>
        </w:rPr>
        <w:t>tam fi</w:t>
      </w:r>
      <w:r>
        <w:rPr>
          <w:rFonts w:ascii="Times New Roman" w:hAnsi="Times New Roman"/>
          <w:color w:val="000000" w:themeColor="text1"/>
          <w:szCs w:val="22"/>
          <w:lang w:val="lt-LT"/>
        </w:rPr>
        <w:t>nansinių galimybių;</w:t>
      </w:r>
    </w:p>
    <w:p w14:paraId="2285E49B" w14:textId="172A9291" w:rsidR="009C5216" w:rsidRPr="00650EE4" w:rsidRDefault="005F7759" w:rsidP="00BD4925">
      <w:pPr>
        <w:pStyle w:val="ListParagraph"/>
        <w:numPr>
          <w:ilvl w:val="0"/>
          <w:numId w:val="33"/>
        </w:numPr>
        <w:spacing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t</w:t>
      </w:r>
      <w:r w:rsidR="002D6096" w:rsidRPr="00650EE4">
        <w:rPr>
          <w:rFonts w:ascii="Times New Roman" w:hAnsi="Times New Roman"/>
          <w:color w:val="000000" w:themeColor="text1"/>
          <w:szCs w:val="22"/>
          <w:lang w:val="lt-LT"/>
        </w:rPr>
        <w:t>uri būti pakankamas užtikrinimas, kad renovacijos naudos bus realizuotos – net ir tikintis</w:t>
      </w:r>
      <w:r w:rsidR="00531460" w:rsidRPr="00650EE4">
        <w:rPr>
          <w:rFonts w:ascii="Times New Roman" w:hAnsi="Times New Roman"/>
          <w:color w:val="000000" w:themeColor="text1"/>
          <w:szCs w:val="22"/>
          <w:lang w:val="lt-LT"/>
        </w:rPr>
        <w:t xml:space="preserve"> renovacijos nauda</w:t>
      </w:r>
      <w:r w:rsidR="002D6096" w:rsidRPr="00650EE4">
        <w:rPr>
          <w:rFonts w:ascii="Times New Roman" w:hAnsi="Times New Roman"/>
          <w:color w:val="000000" w:themeColor="text1"/>
          <w:szCs w:val="22"/>
          <w:lang w:val="lt-LT"/>
        </w:rPr>
        <w:t xml:space="preserve"> ir turintis </w:t>
      </w:r>
      <w:r w:rsidR="00342E55" w:rsidRPr="00650EE4">
        <w:rPr>
          <w:rFonts w:ascii="Times New Roman" w:hAnsi="Times New Roman"/>
          <w:color w:val="000000" w:themeColor="text1"/>
          <w:szCs w:val="22"/>
          <w:lang w:val="lt-LT"/>
        </w:rPr>
        <w:t>patrauklias finansavimo galimybes</w:t>
      </w:r>
      <w:r w:rsidR="004371CC" w:rsidRPr="00650EE4">
        <w:rPr>
          <w:rFonts w:ascii="Times New Roman" w:hAnsi="Times New Roman"/>
          <w:color w:val="000000" w:themeColor="text1"/>
          <w:szCs w:val="22"/>
          <w:lang w:val="lt-LT"/>
        </w:rPr>
        <w:t xml:space="preserve"> pastato savininkas</w:t>
      </w:r>
      <w:r w:rsidR="00817E4D" w:rsidRPr="00650EE4">
        <w:rPr>
          <w:rFonts w:ascii="Times New Roman" w:hAnsi="Times New Roman"/>
          <w:color w:val="000000" w:themeColor="text1"/>
          <w:szCs w:val="22"/>
          <w:lang w:val="lt-LT"/>
        </w:rPr>
        <w:t xml:space="preserve"> tikėtina nedalyvaus</w:t>
      </w:r>
      <w:r w:rsidR="00342E55" w:rsidRPr="00650EE4">
        <w:rPr>
          <w:rFonts w:ascii="Times New Roman" w:hAnsi="Times New Roman"/>
          <w:color w:val="000000" w:themeColor="text1"/>
          <w:szCs w:val="22"/>
          <w:lang w:val="lt-LT"/>
        </w:rPr>
        <w:t xml:space="preserve"> renovacijoje</w:t>
      </w:r>
      <w:r w:rsidR="006D3D87" w:rsidRPr="00650EE4">
        <w:rPr>
          <w:rFonts w:ascii="Times New Roman" w:hAnsi="Times New Roman"/>
          <w:color w:val="000000" w:themeColor="text1"/>
          <w:szCs w:val="22"/>
          <w:lang w:val="lt-LT"/>
        </w:rPr>
        <w:t>,</w:t>
      </w:r>
      <w:r w:rsidR="00470DFE" w:rsidRPr="00650EE4">
        <w:rPr>
          <w:rFonts w:ascii="Times New Roman" w:hAnsi="Times New Roman"/>
          <w:color w:val="000000" w:themeColor="text1"/>
          <w:szCs w:val="22"/>
          <w:lang w:val="lt-LT"/>
        </w:rPr>
        <w:t xml:space="preserve"> jei </w:t>
      </w:r>
      <w:r w:rsidR="002D6096" w:rsidRPr="00650EE4">
        <w:rPr>
          <w:rFonts w:ascii="Times New Roman" w:hAnsi="Times New Roman"/>
          <w:color w:val="000000" w:themeColor="text1"/>
          <w:szCs w:val="22"/>
          <w:lang w:val="lt-LT"/>
        </w:rPr>
        <w:t>netikės, kad planuojamas rezultatas bus pasiektas.</w:t>
      </w:r>
    </w:p>
    <w:p w14:paraId="65C0EA79" w14:textId="77777777" w:rsidR="000C360F" w:rsidRPr="00650EE4" w:rsidRDefault="000C360F" w:rsidP="000C360F">
      <w:pPr>
        <w:spacing w:line="240" w:lineRule="auto"/>
        <w:jc w:val="both"/>
        <w:rPr>
          <w:rFonts w:ascii="Times New Roman" w:hAnsi="Times New Roman"/>
          <w:color w:val="000000" w:themeColor="text1"/>
          <w:szCs w:val="22"/>
        </w:rPr>
      </w:pPr>
    </w:p>
    <w:p w14:paraId="2B2BA619" w14:textId="20D42E2F" w:rsidR="000F1FD1" w:rsidRPr="00650EE4" w:rsidRDefault="009A5F77" w:rsidP="00A66BCF">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Principinės priemonės, kuriomis </w:t>
      </w:r>
      <w:r w:rsidR="006C30A0" w:rsidRPr="00650EE4">
        <w:rPr>
          <w:rFonts w:ascii="Times New Roman" w:hAnsi="Times New Roman"/>
          <w:color w:val="000000" w:themeColor="text1"/>
          <w:szCs w:val="22"/>
        </w:rPr>
        <w:t>turėtų būti</w:t>
      </w:r>
      <w:r w:rsidRPr="00650EE4">
        <w:rPr>
          <w:rFonts w:ascii="Times New Roman" w:hAnsi="Times New Roman"/>
          <w:color w:val="000000" w:themeColor="text1"/>
          <w:szCs w:val="22"/>
        </w:rPr>
        <w:t xml:space="preserve"> siekiama proveržio </w:t>
      </w:r>
      <w:r w:rsidR="00C67880" w:rsidRPr="00650EE4">
        <w:rPr>
          <w:rFonts w:ascii="Times New Roman" w:hAnsi="Times New Roman"/>
          <w:color w:val="000000" w:themeColor="text1"/>
          <w:szCs w:val="22"/>
        </w:rPr>
        <w:t>renovacijoje</w:t>
      </w:r>
      <w:r w:rsidR="005F7759">
        <w:rPr>
          <w:rFonts w:ascii="Times New Roman" w:hAnsi="Times New Roman"/>
          <w:color w:val="000000" w:themeColor="text1"/>
          <w:szCs w:val="22"/>
        </w:rPr>
        <w:t xml:space="preserve"> pateikiamos žemiau.</w:t>
      </w:r>
    </w:p>
    <w:p w14:paraId="580ED31C" w14:textId="44F1A310" w:rsidR="00C34A7A" w:rsidRPr="00650EE4" w:rsidRDefault="00C34A7A"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Integruotas planavimas</w:t>
      </w:r>
      <w:r w:rsidR="00817E4D" w:rsidRPr="00650EE4">
        <w:rPr>
          <w:rFonts w:ascii="Times New Roman" w:hAnsi="Times New Roman"/>
          <w:b/>
          <w:color w:val="000000" w:themeColor="text1"/>
          <w:szCs w:val="22"/>
          <w:lang w:val="lt-LT"/>
        </w:rPr>
        <w:t xml:space="preserve"> ir </w:t>
      </w:r>
      <w:proofErr w:type="spellStart"/>
      <w:r w:rsidR="00817E4D" w:rsidRPr="00650EE4">
        <w:rPr>
          <w:rFonts w:ascii="Times New Roman" w:hAnsi="Times New Roman"/>
          <w:b/>
          <w:color w:val="000000" w:themeColor="text1"/>
          <w:szCs w:val="22"/>
          <w:lang w:val="lt-LT"/>
        </w:rPr>
        <w:t>stebėsena</w:t>
      </w:r>
      <w:proofErr w:type="spellEnd"/>
      <w:r w:rsidRPr="00650EE4">
        <w:rPr>
          <w:rFonts w:ascii="Times New Roman" w:hAnsi="Times New Roman"/>
          <w:color w:val="000000" w:themeColor="text1"/>
          <w:szCs w:val="22"/>
          <w:lang w:val="lt-LT"/>
        </w:rPr>
        <w:t xml:space="preserve"> – tam, kad būtų maksimizuotos renovacijos naudos, suderintos paramos priemonės ir užtikrintas sklandus procesas svarbu planuoti ir suderinti tiek paties renovacijos proceso dalis, tiek jo ryšius su kitomis sritimis (pvz., energetika, teritorijų planavimu).</w:t>
      </w:r>
    </w:p>
    <w:p w14:paraId="4BC5AEF7" w14:textId="72591066" w:rsidR="00C34A7A" w:rsidRPr="00650EE4" w:rsidRDefault="00817E4D"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Kompleksinis</w:t>
      </w:r>
      <w:r w:rsidR="00C34A7A" w:rsidRPr="00650EE4">
        <w:rPr>
          <w:rFonts w:ascii="Times New Roman" w:hAnsi="Times New Roman"/>
          <w:b/>
          <w:color w:val="000000" w:themeColor="text1"/>
          <w:szCs w:val="22"/>
          <w:lang w:val="lt-LT"/>
        </w:rPr>
        <w:t xml:space="preserve"> paramos priemonių paketas</w:t>
      </w:r>
      <w:r w:rsidR="00C34A7A" w:rsidRPr="00650EE4">
        <w:rPr>
          <w:rFonts w:ascii="Times New Roman" w:hAnsi="Times New Roman"/>
          <w:color w:val="000000" w:themeColor="text1"/>
          <w:szCs w:val="22"/>
          <w:lang w:val="lt-LT"/>
        </w:rPr>
        <w:t xml:space="preserve"> – tam, kad savininkai patikėtų renovacijos nauda ir dalyvautų renovacijoje pakankamais tempais, turime taikyti kompleksines motyvacijos priemones (tiek skatinimą, tiek nuobaudas), orientuotas į naudų maksimizavimą.</w:t>
      </w:r>
    </w:p>
    <w:p w14:paraId="79D612BE" w14:textId="77777777" w:rsidR="00C34A7A" w:rsidRPr="00650EE4" w:rsidRDefault="00C34A7A" w:rsidP="00BD4925">
      <w:pPr>
        <w:pStyle w:val="ListParagraph"/>
        <w:numPr>
          <w:ilvl w:val="0"/>
          <w:numId w:val="41"/>
        </w:numPr>
        <w:spacing w:after="120"/>
        <w:contextualSpacing w:val="0"/>
        <w:jc w:val="both"/>
        <w:rPr>
          <w:rFonts w:ascii="Times New Roman" w:hAnsi="Times New Roman"/>
          <w:bCs/>
          <w:color w:val="000000" w:themeColor="text1"/>
          <w:szCs w:val="22"/>
          <w:lang w:val="lt-LT"/>
        </w:rPr>
      </w:pPr>
      <w:r w:rsidRPr="00650EE4">
        <w:rPr>
          <w:rFonts w:ascii="Times New Roman" w:hAnsi="Times New Roman"/>
          <w:b/>
          <w:color w:val="000000" w:themeColor="text1"/>
          <w:szCs w:val="22"/>
          <w:lang w:val="lt-LT"/>
        </w:rPr>
        <w:t xml:space="preserve">Pakankamas finansavimas – </w:t>
      </w:r>
      <w:r w:rsidRPr="00650EE4">
        <w:rPr>
          <w:rFonts w:ascii="Times New Roman" w:hAnsi="Times New Roman"/>
          <w:bCs/>
          <w:color w:val="000000" w:themeColor="text1"/>
          <w:szCs w:val="22"/>
          <w:lang w:val="lt-LT"/>
        </w:rPr>
        <w:t xml:space="preserve">tam, kad savininkai norėtų ir galėtų įdėti savo indėlį į renovacijos investicijas, reikalingas pakankamas finansavimas. </w:t>
      </w:r>
    </w:p>
    <w:p w14:paraId="424427C9" w14:textId="73678587" w:rsidR="00C34A7A" w:rsidRPr="00650EE4" w:rsidRDefault="00817E4D"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Efektyvi</w:t>
      </w:r>
      <w:r w:rsidR="00C34A7A" w:rsidRPr="00650EE4">
        <w:rPr>
          <w:rFonts w:ascii="Times New Roman" w:hAnsi="Times New Roman"/>
          <w:b/>
          <w:color w:val="000000" w:themeColor="text1"/>
          <w:szCs w:val="22"/>
          <w:lang w:val="lt-LT"/>
        </w:rPr>
        <w:t xml:space="preserve"> komunikacija </w:t>
      </w:r>
      <w:r w:rsidR="00C34A7A" w:rsidRPr="00650EE4">
        <w:rPr>
          <w:rFonts w:ascii="Times New Roman" w:hAnsi="Times New Roman"/>
          <w:color w:val="000000" w:themeColor="text1"/>
          <w:szCs w:val="22"/>
          <w:lang w:val="lt-LT"/>
        </w:rPr>
        <w:t>– tam, kad pastatų savininkai, kaip naudos gavėjai, ir kitos susijusios šalys būtų informuoti apie šias priemones, turi būti vykdoma aiški, sklandi, koordinuota ir savalaikė komunikacija.</w:t>
      </w:r>
    </w:p>
    <w:p w14:paraId="17AF2498" w14:textId="197E5038" w:rsidR="00226D29" w:rsidRPr="00650EE4" w:rsidRDefault="00226D29"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 xml:space="preserve">Patikima įgyvendinimo sistema </w:t>
      </w:r>
      <w:r w:rsidRPr="00650EE4">
        <w:rPr>
          <w:rFonts w:ascii="Times New Roman" w:hAnsi="Times New Roman"/>
          <w:color w:val="000000" w:themeColor="text1"/>
          <w:szCs w:val="22"/>
          <w:lang w:val="lt-LT"/>
        </w:rPr>
        <w:t xml:space="preserve">– tam, kad būtų užtikrintas sklandus procesas ir atsižvelgta į pastatų savininkų poreikius, reikia priartėti prie pastatų savininkų: tiek fiziškai, tiek atliepiant jų poreikius. </w:t>
      </w:r>
    </w:p>
    <w:p w14:paraId="2E150FC8" w14:textId="77777777" w:rsidR="006C467B" w:rsidRPr="00650EE4" w:rsidRDefault="006C467B" w:rsidP="00416BB4">
      <w:pPr>
        <w:jc w:val="both"/>
        <w:rPr>
          <w:rFonts w:ascii="Times New Roman" w:hAnsi="Times New Roman"/>
          <w:color w:val="auto"/>
          <w:szCs w:val="22"/>
        </w:rPr>
      </w:pPr>
    </w:p>
    <w:p w14:paraId="42CB75C2" w14:textId="0C3CA90F" w:rsidR="00416BB4" w:rsidRPr="00650EE4" w:rsidRDefault="00B81A0C" w:rsidP="00416BB4">
      <w:pPr>
        <w:jc w:val="both"/>
        <w:rPr>
          <w:rFonts w:ascii="Times New Roman" w:hAnsi="Times New Roman"/>
          <w:color w:val="auto"/>
          <w:szCs w:val="22"/>
        </w:rPr>
      </w:pPr>
      <w:r>
        <w:rPr>
          <w:rFonts w:ascii="Times New Roman" w:hAnsi="Times New Roman"/>
          <w:color w:val="auto"/>
          <w:szCs w:val="22"/>
        </w:rPr>
        <w:t>P</w:t>
      </w:r>
      <w:r w:rsidR="00416BB4" w:rsidRPr="00650EE4">
        <w:rPr>
          <w:rFonts w:ascii="Times New Roman" w:hAnsi="Times New Roman"/>
          <w:color w:val="auto"/>
          <w:szCs w:val="22"/>
        </w:rPr>
        <w:t>aveiksle</w:t>
      </w:r>
      <w:r>
        <w:rPr>
          <w:rFonts w:ascii="Times New Roman" w:hAnsi="Times New Roman"/>
          <w:color w:val="auto"/>
          <w:szCs w:val="22"/>
        </w:rPr>
        <w:t xml:space="preserve"> žemiau</w:t>
      </w:r>
      <w:r w:rsidR="00E723D0">
        <w:rPr>
          <w:rFonts w:ascii="Times New Roman" w:hAnsi="Times New Roman"/>
          <w:color w:val="auto"/>
          <w:szCs w:val="22"/>
        </w:rPr>
        <w:t xml:space="preserve"> </w:t>
      </w:r>
      <w:r w:rsidR="00416BB4" w:rsidRPr="00650EE4">
        <w:rPr>
          <w:rFonts w:ascii="Times New Roman" w:hAnsi="Times New Roman"/>
          <w:color w:val="auto"/>
          <w:szCs w:val="22"/>
        </w:rPr>
        <w:t xml:space="preserve">pateikiama </w:t>
      </w:r>
      <w:r w:rsidR="00416BB4" w:rsidRPr="00650EE4">
        <w:rPr>
          <w:rFonts w:ascii="Times New Roman" w:hAnsi="Times New Roman"/>
          <w:color w:val="000000" w:themeColor="text1"/>
          <w:szCs w:val="22"/>
        </w:rPr>
        <w:t>į pastato savininką orientuoto renovacijos s</w:t>
      </w:r>
      <w:r w:rsidR="00687CA9">
        <w:rPr>
          <w:rFonts w:ascii="Times New Roman" w:hAnsi="Times New Roman"/>
          <w:color w:val="000000" w:themeColor="text1"/>
          <w:szCs w:val="22"/>
        </w:rPr>
        <w:t>trategijos įgyvendinimo modelio</w:t>
      </w:r>
      <w:r w:rsidR="00416BB4" w:rsidRPr="00650EE4">
        <w:rPr>
          <w:rFonts w:ascii="Times New Roman" w:hAnsi="Times New Roman"/>
          <w:color w:val="000000" w:themeColor="text1"/>
          <w:szCs w:val="22"/>
        </w:rPr>
        <w:t xml:space="preserve"> schema.</w:t>
      </w:r>
    </w:p>
    <w:p w14:paraId="12717B1B" w14:textId="77777777" w:rsidR="00416BB4" w:rsidRPr="00650EE4" w:rsidRDefault="00416BB4" w:rsidP="00283744">
      <w:pPr>
        <w:rPr>
          <w:rFonts w:ascii="Times New Roman" w:hAnsi="Times New Roman"/>
          <w:color w:val="auto"/>
          <w:szCs w:val="22"/>
        </w:rPr>
      </w:pPr>
    </w:p>
    <w:p w14:paraId="570CABB0" w14:textId="7CAB4F71" w:rsidR="00817E4D" w:rsidRPr="00650EE4" w:rsidRDefault="00817E4D"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01" w:name="_Toc67925276"/>
      <w:r w:rsidR="007744C1">
        <w:t>28</w:t>
      </w:r>
      <w:r w:rsidRPr="00650EE4">
        <w:rPr>
          <w:noProof w:val="0"/>
        </w:rPr>
        <w:fldChar w:fldCharType="end"/>
      </w:r>
      <w:r w:rsidRPr="00650EE4">
        <w:rPr>
          <w:noProof w:val="0"/>
        </w:rPr>
        <w:t xml:space="preserve"> paveikslas. Renovacijos įgyvendinimo modelis</w:t>
      </w:r>
      <w:bookmarkEnd w:id="201"/>
      <w:r w:rsidRPr="00650EE4">
        <w:rPr>
          <w:noProof w:val="0"/>
        </w:rPr>
        <w:t xml:space="preserve"> </w:t>
      </w:r>
    </w:p>
    <w:p w14:paraId="1C236A76" w14:textId="2755DBE4" w:rsidR="00817E4D" w:rsidRPr="00650EE4" w:rsidRDefault="00604318" w:rsidP="00631BA6">
      <w:pPr>
        <w:pStyle w:val="TESlentelspavadinimas"/>
        <w:rPr>
          <w:noProof w:val="0"/>
        </w:rPr>
      </w:pPr>
      <w:r w:rsidRPr="00650EE4">
        <w:rPr>
          <w:lang w:eastAsia="lt-LT"/>
        </w:rPr>
        <w:drawing>
          <wp:inline distT="0" distB="0" distL="0" distR="0" wp14:anchorId="23E190AC" wp14:editId="1F77DDF8">
            <wp:extent cx="6390005" cy="3150456"/>
            <wp:effectExtent l="19050" t="19050" r="10795"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1448" cy="3175819"/>
                    </a:xfrm>
                    <a:prstGeom prst="rect">
                      <a:avLst/>
                    </a:prstGeom>
                    <a:noFill/>
                    <a:ln>
                      <a:solidFill>
                        <a:schemeClr val="tx1"/>
                      </a:solidFill>
                    </a:ln>
                  </pic:spPr>
                </pic:pic>
              </a:graphicData>
            </a:graphic>
          </wp:inline>
        </w:drawing>
      </w:r>
    </w:p>
    <w:p w14:paraId="15B7FD72" w14:textId="3E9E6D58" w:rsidR="00817E4D" w:rsidRPr="00650EE4" w:rsidRDefault="00817E4D"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7A2E7176" w14:textId="41B17911" w:rsidR="005536B8" w:rsidRPr="00650EE4" w:rsidRDefault="00DD1817" w:rsidP="00D1278A">
      <w:pPr>
        <w:pStyle w:val="Antrastes2"/>
        <w:numPr>
          <w:ilvl w:val="1"/>
          <w:numId w:val="4"/>
        </w:numPr>
        <w:pBdr>
          <w:bottom w:val="single" w:sz="4" w:space="1" w:color="auto"/>
        </w:pBdr>
        <w:spacing w:before="240"/>
        <w:ind w:left="576" w:hanging="576"/>
        <w:jc w:val="both"/>
        <w:rPr>
          <w:rFonts w:ascii="Times New Roman" w:hAnsi="Times New Roman"/>
          <w:color w:val="auto"/>
          <w:sz w:val="24"/>
          <w:szCs w:val="24"/>
          <w:lang w:val="lt-LT"/>
        </w:rPr>
      </w:pPr>
      <w:bookmarkStart w:id="202" w:name="_Toc67925173"/>
      <w:r w:rsidRPr="00650EE4">
        <w:rPr>
          <w:rFonts w:ascii="Times New Roman" w:hAnsi="Times New Roman"/>
          <w:color w:val="auto"/>
          <w:sz w:val="24"/>
          <w:szCs w:val="24"/>
          <w:lang w:val="lt-LT"/>
        </w:rPr>
        <w:lastRenderedPageBreak/>
        <w:t>Strategijos į</w:t>
      </w:r>
      <w:r w:rsidR="005536B8" w:rsidRPr="00650EE4">
        <w:rPr>
          <w:rFonts w:ascii="Times New Roman" w:hAnsi="Times New Roman"/>
          <w:color w:val="auto"/>
          <w:sz w:val="24"/>
          <w:szCs w:val="24"/>
          <w:lang w:val="lt-LT"/>
        </w:rPr>
        <w:t>gyvendinimo</w:t>
      </w:r>
      <w:r w:rsidR="006719BF" w:rsidRPr="00650EE4">
        <w:rPr>
          <w:rFonts w:ascii="Times New Roman" w:hAnsi="Times New Roman"/>
          <w:color w:val="auto"/>
          <w:sz w:val="24"/>
          <w:szCs w:val="24"/>
          <w:lang w:val="lt-LT"/>
        </w:rPr>
        <w:t xml:space="preserve"> </w:t>
      </w:r>
      <w:r w:rsidR="00342238" w:rsidRPr="00650EE4">
        <w:rPr>
          <w:rFonts w:ascii="Times New Roman" w:hAnsi="Times New Roman"/>
          <w:color w:val="auto"/>
          <w:sz w:val="24"/>
          <w:szCs w:val="24"/>
          <w:lang w:val="lt-LT"/>
        </w:rPr>
        <w:t>priemo</w:t>
      </w:r>
      <w:r w:rsidR="00864305" w:rsidRPr="00650EE4">
        <w:rPr>
          <w:rFonts w:ascii="Times New Roman" w:hAnsi="Times New Roman"/>
          <w:color w:val="auto"/>
          <w:sz w:val="24"/>
          <w:szCs w:val="24"/>
          <w:lang w:val="lt-LT"/>
        </w:rPr>
        <w:t>n</w:t>
      </w:r>
      <w:r w:rsidR="002B66F2" w:rsidRPr="00650EE4">
        <w:rPr>
          <w:rFonts w:ascii="Times New Roman" w:hAnsi="Times New Roman"/>
          <w:color w:val="auto"/>
          <w:sz w:val="24"/>
          <w:szCs w:val="24"/>
          <w:lang w:val="lt-LT"/>
        </w:rPr>
        <w:t>ės</w:t>
      </w:r>
      <w:bookmarkEnd w:id="202"/>
    </w:p>
    <w:p w14:paraId="2CC93BB1" w14:textId="77777777" w:rsidR="00AE1646" w:rsidRPr="00650EE4" w:rsidRDefault="00AE1646" w:rsidP="00AE1646">
      <w:pPr>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pateikiamas planuojamų principinių renovacijos strategijos įgyvendinimui reikalingų priemonių ir veiksmų sąrašas.</w:t>
      </w:r>
    </w:p>
    <w:p w14:paraId="3F03BA4F" w14:textId="77777777" w:rsidR="00AE1646" w:rsidRPr="00650EE4" w:rsidRDefault="00AE1646" w:rsidP="00AE1646">
      <w:pPr>
        <w:jc w:val="both"/>
        <w:rPr>
          <w:rFonts w:ascii="Times New Roman" w:hAnsi="Times New Roman"/>
          <w:color w:val="000000" w:themeColor="text1"/>
          <w:szCs w:val="22"/>
        </w:rPr>
      </w:pPr>
    </w:p>
    <w:p w14:paraId="0D0F4DB5" w14:textId="5BA66F91" w:rsidR="00AE1646" w:rsidRPr="00650EE4" w:rsidRDefault="00AE164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03" w:name="_Toc67925248"/>
      <w:r w:rsidR="007744C1">
        <w:t>65</w:t>
      </w:r>
      <w:r w:rsidRPr="00650EE4">
        <w:rPr>
          <w:noProof w:val="0"/>
        </w:rPr>
        <w:fldChar w:fldCharType="end"/>
      </w:r>
      <w:r w:rsidRPr="00650EE4">
        <w:rPr>
          <w:noProof w:val="0"/>
        </w:rPr>
        <w:t xml:space="preserve"> lentelė. Renovacijos strategijos įgyvendinimo priemonių ir veiksmų sąrašas</w:t>
      </w:r>
      <w:bookmarkEnd w:id="203"/>
      <w:r w:rsidRPr="00650EE4">
        <w:rPr>
          <w:noProof w:val="0"/>
        </w:rPr>
        <w:t xml:space="preserve">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92"/>
      </w:tblGrid>
      <w:tr w:rsidR="00B66665" w:rsidRPr="00650EE4" w14:paraId="0AB5E311" w14:textId="77777777" w:rsidTr="009D1C15">
        <w:trPr>
          <w:trHeight w:val="298"/>
          <w:tblHeader/>
        </w:trPr>
        <w:tc>
          <w:tcPr>
            <w:tcW w:w="1696" w:type="dxa"/>
            <w:shd w:val="clear" w:color="auto" w:fill="auto"/>
            <w:vAlign w:val="center"/>
            <w:hideMark/>
          </w:tcPr>
          <w:p w14:paraId="2F63131E" w14:textId="77777777" w:rsidR="00B66665" w:rsidRPr="00650EE4" w:rsidRDefault="00B66665" w:rsidP="009D1C15">
            <w:pPr>
              <w:spacing w:line="240" w:lineRule="auto"/>
              <w:rPr>
                <w:rFonts w:ascii="Times New Roman" w:eastAsia="Times New Roman" w:hAnsi="Times New Roman"/>
                <w:b/>
                <w:bCs/>
                <w:sz w:val="20"/>
                <w:szCs w:val="20"/>
                <w:lang w:eastAsia="lt-LT"/>
              </w:rPr>
            </w:pPr>
            <w:bookmarkStart w:id="204" w:name="_Hlk55483534"/>
            <w:r w:rsidRPr="00650EE4">
              <w:rPr>
                <w:rFonts w:ascii="Times New Roman" w:eastAsia="Times New Roman" w:hAnsi="Times New Roman"/>
                <w:b/>
                <w:bCs/>
                <w:sz w:val="20"/>
                <w:szCs w:val="20"/>
                <w:lang w:eastAsia="lt-LT"/>
              </w:rPr>
              <w:t>Priemonė</w:t>
            </w:r>
          </w:p>
        </w:tc>
        <w:tc>
          <w:tcPr>
            <w:tcW w:w="8504" w:type="dxa"/>
            <w:shd w:val="clear" w:color="auto" w:fill="auto"/>
            <w:vAlign w:val="center"/>
            <w:hideMark/>
          </w:tcPr>
          <w:p w14:paraId="06E14237" w14:textId="77777777" w:rsidR="00B66665" w:rsidRPr="00650EE4" w:rsidRDefault="00B66665" w:rsidP="009D1C15">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Veiksmai </w:t>
            </w:r>
          </w:p>
        </w:tc>
      </w:tr>
      <w:tr w:rsidR="00B66665" w:rsidRPr="00650EE4" w14:paraId="4B5A42C3" w14:textId="77777777" w:rsidTr="009D1C15">
        <w:tc>
          <w:tcPr>
            <w:tcW w:w="1696" w:type="dxa"/>
            <w:vMerge w:val="restart"/>
            <w:shd w:val="clear" w:color="auto" w:fill="auto"/>
            <w:vAlign w:val="center"/>
          </w:tcPr>
          <w:p w14:paraId="7ED4C7A8" w14:textId="77777777" w:rsidR="00B66665" w:rsidRPr="00650EE4" w:rsidRDefault="00B66665" w:rsidP="009D1C15">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 xml:space="preserve">P1. Integruotas planavimas ir </w:t>
            </w:r>
            <w:proofErr w:type="spellStart"/>
            <w:r w:rsidRPr="00650EE4">
              <w:rPr>
                <w:rFonts w:ascii="Times New Roman" w:eastAsia="Times New Roman" w:hAnsi="Times New Roman"/>
                <w:b/>
                <w:sz w:val="20"/>
                <w:szCs w:val="20"/>
                <w:lang w:eastAsia="lt-LT"/>
              </w:rPr>
              <w:t>stebėsena</w:t>
            </w:r>
            <w:proofErr w:type="spellEnd"/>
          </w:p>
        </w:tc>
        <w:tc>
          <w:tcPr>
            <w:tcW w:w="8504" w:type="dxa"/>
            <w:shd w:val="clear" w:color="auto" w:fill="auto"/>
          </w:tcPr>
          <w:p w14:paraId="43FC78FC"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P1. </w:t>
            </w:r>
            <w:bookmarkStart w:id="205" w:name="_Hlk51673749"/>
            <w:r w:rsidRPr="00650EE4">
              <w:rPr>
                <w:rFonts w:ascii="Times New Roman" w:eastAsia="Times New Roman" w:hAnsi="Times New Roman"/>
                <w:b/>
                <w:bCs/>
                <w:sz w:val="20"/>
                <w:szCs w:val="20"/>
                <w:lang w:eastAsia="lt-LT"/>
              </w:rPr>
              <w:t xml:space="preserve">Koordinuotas </w:t>
            </w:r>
            <w:proofErr w:type="spellStart"/>
            <w:r w:rsidRPr="00650EE4">
              <w:rPr>
                <w:rFonts w:ascii="Times New Roman" w:eastAsia="Times New Roman" w:hAnsi="Times New Roman"/>
                <w:b/>
                <w:bCs/>
                <w:sz w:val="20"/>
                <w:szCs w:val="20"/>
                <w:lang w:eastAsia="lt-LT"/>
              </w:rPr>
              <w:t>tarpinstitucinis</w:t>
            </w:r>
            <w:proofErr w:type="spellEnd"/>
            <w:r w:rsidRPr="00650EE4">
              <w:rPr>
                <w:rFonts w:ascii="Times New Roman" w:eastAsia="Times New Roman" w:hAnsi="Times New Roman"/>
                <w:b/>
                <w:bCs/>
                <w:sz w:val="20"/>
                <w:szCs w:val="20"/>
                <w:lang w:eastAsia="lt-LT"/>
              </w:rPr>
              <w:t xml:space="preserve"> planavimas</w:t>
            </w:r>
            <w:bookmarkEnd w:id="205"/>
          </w:p>
          <w:p w14:paraId="47BA2640" w14:textId="77777777" w:rsidR="00B66665" w:rsidRPr="00650EE4" w:rsidRDefault="00B66665" w:rsidP="009D1C15">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Koordinuotas visų energinio efektyvumo ir AEI priemonių planavimas tarp skirtingų institucijų</w:t>
            </w:r>
          </w:p>
        </w:tc>
      </w:tr>
      <w:tr w:rsidR="00B66665" w:rsidRPr="00650EE4" w14:paraId="4F8D4A8E" w14:textId="77777777" w:rsidTr="009D1C15">
        <w:tc>
          <w:tcPr>
            <w:tcW w:w="1696" w:type="dxa"/>
            <w:vMerge/>
            <w:shd w:val="clear" w:color="auto" w:fill="auto"/>
            <w:vAlign w:val="center"/>
          </w:tcPr>
          <w:p w14:paraId="60C000B0" w14:textId="77777777" w:rsidR="00B66665" w:rsidRPr="00650EE4" w:rsidRDefault="00B66665" w:rsidP="009D1C15">
            <w:pPr>
              <w:spacing w:line="240" w:lineRule="auto"/>
              <w:rPr>
                <w:rFonts w:ascii="Times New Roman" w:eastAsia="Times New Roman" w:hAnsi="Times New Roman"/>
                <w:sz w:val="20"/>
                <w:szCs w:val="20"/>
                <w:lang w:eastAsia="lt-LT"/>
              </w:rPr>
            </w:pPr>
          </w:p>
        </w:tc>
        <w:tc>
          <w:tcPr>
            <w:tcW w:w="8504" w:type="dxa"/>
            <w:shd w:val="clear" w:color="auto" w:fill="auto"/>
          </w:tcPr>
          <w:p w14:paraId="40E75593"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P2. Pastatų fondo inventorizacija ir duomenų susisteminimas</w:t>
            </w:r>
          </w:p>
          <w:p w14:paraId="05CAC8FD"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Bendros duomenų bazės sukūrimas, informacijos surinkimo ir atnaujinimo proceso patvirtinimas</w:t>
            </w:r>
          </w:p>
        </w:tc>
      </w:tr>
      <w:tr w:rsidR="00B66665" w:rsidRPr="00650EE4" w14:paraId="58CED5FB" w14:textId="77777777" w:rsidTr="009D1C15">
        <w:tc>
          <w:tcPr>
            <w:tcW w:w="1696" w:type="dxa"/>
            <w:vMerge/>
            <w:shd w:val="clear" w:color="auto" w:fill="auto"/>
            <w:vAlign w:val="center"/>
          </w:tcPr>
          <w:p w14:paraId="7A720FB6" w14:textId="77777777" w:rsidR="00B66665" w:rsidRPr="00650EE4" w:rsidRDefault="00B66665" w:rsidP="009D1C15">
            <w:pPr>
              <w:spacing w:line="240" w:lineRule="auto"/>
              <w:rPr>
                <w:rFonts w:ascii="Times New Roman" w:eastAsia="Times New Roman" w:hAnsi="Times New Roman"/>
                <w:sz w:val="20"/>
                <w:szCs w:val="20"/>
                <w:lang w:eastAsia="lt-LT"/>
              </w:rPr>
            </w:pPr>
          </w:p>
        </w:tc>
        <w:tc>
          <w:tcPr>
            <w:tcW w:w="8504" w:type="dxa"/>
            <w:shd w:val="clear" w:color="auto" w:fill="auto"/>
            <w:vAlign w:val="center"/>
          </w:tcPr>
          <w:p w14:paraId="04D1A910" w14:textId="2DEA8EEC"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P3. </w:t>
            </w:r>
            <w:bookmarkStart w:id="206" w:name="_Hlk51673762"/>
            <w:r w:rsidRPr="00650EE4">
              <w:rPr>
                <w:rFonts w:ascii="Times New Roman" w:eastAsia="Times New Roman" w:hAnsi="Times New Roman"/>
                <w:b/>
                <w:bCs/>
                <w:sz w:val="20"/>
                <w:szCs w:val="20"/>
                <w:lang w:eastAsia="lt-LT"/>
              </w:rPr>
              <w:t xml:space="preserve">Renovacijos </w:t>
            </w:r>
            <w:r w:rsidR="00F51047">
              <w:rPr>
                <w:rFonts w:ascii="Times New Roman" w:eastAsia="Times New Roman" w:hAnsi="Times New Roman"/>
                <w:b/>
                <w:bCs/>
                <w:sz w:val="20"/>
                <w:szCs w:val="20"/>
                <w:lang w:eastAsia="lt-LT"/>
              </w:rPr>
              <w:t>rodiklių</w:t>
            </w:r>
            <w:r w:rsidRPr="00650EE4">
              <w:rPr>
                <w:rFonts w:ascii="Times New Roman" w:eastAsia="Times New Roman" w:hAnsi="Times New Roman"/>
                <w:b/>
                <w:bCs/>
                <w:sz w:val="20"/>
                <w:szCs w:val="20"/>
                <w:lang w:eastAsia="lt-LT"/>
              </w:rPr>
              <w:t xml:space="preserve"> integracija į teisės aktų sistemą</w:t>
            </w:r>
            <w:bookmarkEnd w:id="206"/>
          </w:p>
          <w:p w14:paraId="7A4F8C85" w14:textId="77777777" w:rsidR="00B66665" w:rsidRPr="00650EE4" w:rsidRDefault="00B66665" w:rsidP="009D1C15">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IRS suderinimas su kitomis strategijomis, NECP ir kitais teisės aktais</w:t>
            </w:r>
          </w:p>
        </w:tc>
      </w:tr>
      <w:tr w:rsidR="00B66665" w:rsidRPr="00650EE4" w14:paraId="55E3DFBC" w14:textId="77777777" w:rsidTr="009D1C15">
        <w:tc>
          <w:tcPr>
            <w:tcW w:w="1696" w:type="dxa"/>
            <w:vMerge/>
            <w:shd w:val="clear" w:color="auto" w:fill="auto"/>
            <w:vAlign w:val="center"/>
          </w:tcPr>
          <w:p w14:paraId="11F3EE34" w14:textId="77777777" w:rsidR="00B66665" w:rsidRPr="00650EE4" w:rsidRDefault="00B66665" w:rsidP="009D1C15">
            <w:pPr>
              <w:spacing w:line="240" w:lineRule="auto"/>
              <w:rPr>
                <w:rFonts w:ascii="Times New Roman" w:eastAsia="Times New Roman" w:hAnsi="Times New Roman"/>
                <w:sz w:val="20"/>
                <w:szCs w:val="20"/>
                <w:lang w:eastAsia="lt-LT"/>
              </w:rPr>
            </w:pPr>
          </w:p>
        </w:tc>
        <w:tc>
          <w:tcPr>
            <w:tcW w:w="8504" w:type="dxa"/>
            <w:shd w:val="clear" w:color="auto" w:fill="auto"/>
            <w:vAlign w:val="center"/>
          </w:tcPr>
          <w:p w14:paraId="56060992"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P4. </w:t>
            </w:r>
            <w:bookmarkStart w:id="207" w:name="_Hlk51673773"/>
            <w:r w:rsidRPr="00650EE4">
              <w:rPr>
                <w:rFonts w:ascii="Times New Roman" w:eastAsia="Times New Roman" w:hAnsi="Times New Roman"/>
                <w:b/>
                <w:bCs/>
                <w:sz w:val="20"/>
                <w:szCs w:val="20"/>
                <w:lang w:eastAsia="lt-LT"/>
              </w:rPr>
              <w:t xml:space="preserve">Svarbesnis savivaldos </w:t>
            </w:r>
            <w:bookmarkEnd w:id="207"/>
            <w:r w:rsidRPr="00650EE4">
              <w:rPr>
                <w:rFonts w:ascii="Times New Roman" w:eastAsia="Times New Roman" w:hAnsi="Times New Roman"/>
                <w:b/>
                <w:bCs/>
                <w:sz w:val="20"/>
                <w:szCs w:val="20"/>
                <w:lang w:eastAsia="lt-LT"/>
              </w:rPr>
              <w:t>lygmens vaidmuo</w:t>
            </w:r>
          </w:p>
          <w:p w14:paraId="40AA0739"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 xml:space="preserve">IRS rodiklių integracija į savivaldos lygmenį, </w:t>
            </w:r>
            <w:r w:rsidRPr="002A2408">
              <w:rPr>
                <w:rFonts w:ascii="Times New Roman" w:eastAsia="Times New Roman" w:hAnsi="Times New Roman"/>
                <w:sz w:val="20"/>
                <w:szCs w:val="20"/>
                <w:lang w:eastAsia="lt-LT"/>
              </w:rPr>
              <w:t>savivaldybių vaidmens įteisinimas</w:t>
            </w:r>
          </w:p>
        </w:tc>
      </w:tr>
      <w:tr w:rsidR="00B66665" w:rsidRPr="00650EE4" w14:paraId="55BAB123" w14:textId="77777777" w:rsidTr="009D1C15">
        <w:tc>
          <w:tcPr>
            <w:tcW w:w="1696" w:type="dxa"/>
            <w:vMerge/>
            <w:shd w:val="clear" w:color="auto" w:fill="auto"/>
            <w:vAlign w:val="center"/>
          </w:tcPr>
          <w:p w14:paraId="220B1AD2" w14:textId="77777777" w:rsidR="00B66665" w:rsidRPr="00650EE4" w:rsidRDefault="00B66665" w:rsidP="009D1C15">
            <w:pPr>
              <w:spacing w:line="240" w:lineRule="auto"/>
              <w:rPr>
                <w:rFonts w:ascii="Times New Roman" w:eastAsia="Times New Roman" w:hAnsi="Times New Roman"/>
                <w:sz w:val="20"/>
                <w:szCs w:val="20"/>
                <w:lang w:eastAsia="lt-LT"/>
              </w:rPr>
            </w:pPr>
          </w:p>
        </w:tc>
        <w:tc>
          <w:tcPr>
            <w:tcW w:w="8504" w:type="dxa"/>
            <w:shd w:val="clear" w:color="auto" w:fill="auto"/>
            <w:vAlign w:val="center"/>
          </w:tcPr>
          <w:p w14:paraId="1F10B6DE"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P5. </w:t>
            </w:r>
            <w:proofErr w:type="spellStart"/>
            <w:r w:rsidRPr="00650EE4">
              <w:rPr>
                <w:rFonts w:ascii="Times New Roman" w:eastAsia="Times New Roman" w:hAnsi="Times New Roman"/>
                <w:b/>
                <w:bCs/>
                <w:sz w:val="20"/>
                <w:szCs w:val="20"/>
                <w:lang w:eastAsia="lt-LT"/>
              </w:rPr>
              <w:t>Stebėsenos</w:t>
            </w:r>
            <w:proofErr w:type="spellEnd"/>
            <w:r w:rsidRPr="00650EE4">
              <w:rPr>
                <w:rFonts w:ascii="Times New Roman" w:eastAsia="Times New Roman" w:hAnsi="Times New Roman"/>
                <w:b/>
                <w:bCs/>
                <w:sz w:val="20"/>
                <w:szCs w:val="20"/>
                <w:lang w:eastAsia="lt-LT"/>
              </w:rPr>
              <w:t xml:space="preserve"> (monitoringo) sistemos</w:t>
            </w:r>
          </w:p>
          <w:p w14:paraId="5F442E8D" w14:textId="77777777" w:rsidR="00B66665" w:rsidRPr="00650EE4" w:rsidRDefault="00B66665" w:rsidP="009D1C15">
            <w:pPr>
              <w:spacing w:after="60" w:line="240" w:lineRule="auto"/>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Stebėsenos</w:t>
            </w:r>
            <w:proofErr w:type="spellEnd"/>
            <w:r w:rsidRPr="00650EE4">
              <w:rPr>
                <w:rFonts w:ascii="Times New Roman" w:eastAsia="Times New Roman" w:hAnsi="Times New Roman"/>
                <w:sz w:val="20"/>
                <w:szCs w:val="20"/>
                <w:lang w:eastAsia="lt-LT"/>
              </w:rPr>
              <w:t xml:space="preserve"> sistemos sukūrimas</w:t>
            </w:r>
          </w:p>
        </w:tc>
      </w:tr>
      <w:tr w:rsidR="00B66665" w:rsidRPr="00650EE4" w14:paraId="6B9D2421" w14:textId="77777777" w:rsidTr="009D1C15">
        <w:tc>
          <w:tcPr>
            <w:tcW w:w="1696" w:type="dxa"/>
            <w:vMerge w:val="restart"/>
            <w:shd w:val="clear" w:color="auto" w:fill="auto"/>
            <w:vAlign w:val="center"/>
          </w:tcPr>
          <w:p w14:paraId="762A645A" w14:textId="77777777" w:rsidR="00B66665" w:rsidRPr="00650EE4" w:rsidRDefault="00B66665" w:rsidP="009D1C15">
            <w:pPr>
              <w:spacing w:line="240" w:lineRule="auto"/>
              <w:ind w:right="-108"/>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 xml:space="preserve">P2. </w:t>
            </w:r>
            <w:bookmarkStart w:id="208" w:name="_Hlk51673809"/>
            <w:r w:rsidRPr="00650EE4">
              <w:rPr>
                <w:rFonts w:ascii="Times New Roman" w:eastAsia="Times New Roman" w:hAnsi="Times New Roman"/>
                <w:b/>
                <w:sz w:val="20"/>
                <w:szCs w:val="20"/>
                <w:lang w:eastAsia="lt-LT"/>
              </w:rPr>
              <w:t xml:space="preserve">Kompleksinis paramos priemonių paketas </w:t>
            </w:r>
            <w:bookmarkEnd w:id="208"/>
          </w:p>
        </w:tc>
        <w:tc>
          <w:tcPr>
            <w:tcW w:w="8504" w:type="dxa"/>
            <w:shd w:val="clear" w:color="auto" w:fill="auto"/>
            <w:vAlign w:val="center"/>
          </w:tcPr>
          <w:p w14:paraId="5358CC53"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P6. Pilna energijos kaina </w:t>
            </w:r>
          </w:p>
          <w:p w14:paraId="10A3811E"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Energijos kainų subsidijavimo mažinimas</w:t>
            </w:r>
          </w:p>
        </w:tc>
      </w:tr>
      <w:tr w:rsidR="00B66665" w:rsidRPr="00650EE4" w14:paraId="630CEF2C" w14:textId="77777777" w:rsidTr="009D1C15">
        <w:tc>
          <w:tcPr>
            <w:tcW w:w="1696" w:type="dxa"/>
            <w:vMerge/>
            <w:shd w:val="clear" w:color="auto" w:fill="auto"/>
            <w:vAlign w:val="center"/>
          </w:tcPr>
          <w:p w14:paraId="067FE3BA"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3501309"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P7. Taršos mokesčiai</w:t>
            </w:r>
          </w:p>
          <w:p w14:paraId="61F73083"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Taršos (CO</w:t>
            </w:r>
            <w:r w:rsidRPr="00650EE4">
              <w:rPr>
                <w:rFonts w:ascii="Times New Roman" w:eastAsia="Times New Roman" w:hAnsi="Times New Roman"/>
                <w:sz w:val="20"/>
                <w:szCs w:val="20"/>
                <w:vertAlign w:val="subscript"/>
                <w:lang w:eastAsia="lt-LT"/>
              </w:rPr>
              <w:t>2</w:t>
            </w:r>
            <w:r w:rsidRPr="00650EE4">
              <w:rPr>
                <w:rFonts w:ascii="Times New Roman" w:eastAsia="Times New Roman" w:hAnsi="Times New Roman"/>
                <w:sz w:val="20"/>
                <w:szCs w:val="20"/>
                <w:lang w:eastAsia="lt-LT"/>
              </w:rPr>
              <w:t xml:space="preserve"> emisijų)  ir (arba) didesnio energijos vartojimo apmokestinimas</w:t>
            </w:r>
          </w:p>
        </w:tc>
      </w:tr>
      <w:tr w:rsidR="00B66665" w:rsidRPr="00650EE4" w14:paraId="70C3ECE1" w14:textId="77777777" w:rsidTr="009D1C15">
        <w:tc>
          <w:tcPr>
            <w:tcW w:w="1696" w:type="dxa"/>
            <w:vMerge/>
            <w:shd w:val="clear" w:color="auto" w:fill="auto"/>
            <w:vAlign w:val="center"/>
          </w:tcPr>
          <w:p w14:paraId="0240662C"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B9C4AC5"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P8. Esminės renovacijos skatinimas</w:t>
            </w:r>
          </w:p>
          <w:p w14:paraId="35ED6EE4"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Finansinis skatinimas, priklausomas nuo energijos sutaupymų (didesni sutaupymai = didesnė parama)</w:t>
            </w:r>
          </w:p>
        </w:tc>
      </w:tr>
      <w:tr w:rsidR="00B66665" w:rsidRPr="00650EE4" w14:paraId="7973F568" w14:textId="77777777" w:rsidTr="009D1C15">
        <w:tc>
          <w:tcPr>
            <w:tcW w:w="1696" w:type="dxa"/>
            <w:vMerge/>
            <w:shd w:val="clear" w:color="auto" w:fill="auto"/>
            <w:vAlign w:val="center"/>
          </w:tcPr>
          <w:p w14:paraId="27635B97"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29BD8041"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P9. Racionalios renovacijos skatinimas</w:t>
            </w:r>
          </w:p>
          <w:p w14:paraId="65EE13A1"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Pr>
                <w:rFonts w:ascii="Times New Roman" w:eastAsia="Times New Roman" w:hAnsi="Times New Roman"/>
                <w:sz w:val="20"/>
                <w:szCs w:val="20"/>
                <w:lang w:eastAsia="lt-LT"/>
              </w:rPr>
              <w:t xml:space="preserve">Racionali </w:t>
            </w:r>
            <w:r w:rsidRPr="00650EE4">
              <w:rPr>
                <w:rFonts w:ascii="Times New Roman" w:eastAsia="Times New Roman" w:hAnsi="Times New Roman"/>
                <w:sz w:val="20"/>
                <w:szCs w:val="20"/>
                <w:lang w:eastAsia="lt-LT"/>
              </w:rPr>
              <w:t xml:space="preserve">AEI </w:t>
            </w:r>
            <w:r>
              <w:rPr>
                <w:rFonts w:ascii="Times New Roman" w:eastAsia="Times New Roman" w:hAnsi="Times New Roman"/>
                <w:sz w:val="20"/>
                <w:szCs w:val="20"/>
                <w:lang w:eastAsia="lt-LT"/>
              </w:rPr>
              <w:t xml:space="preserve">ir </w:t>
            </w:r>
            <w:r w:rsidRPr="00650EE4">
              <w:rPr>
                <w:rFonts w:ascii="Times New Roman" w:eastAsia="Times New Roman" w:hAnsi="Times New Roman"/>
                <w:sz w:val="20"/>
                <w:szCs w:val="20"/>
                <w:lang w:eastAsia="lt-LT"/>
              </w:rPr>
              <w:t>EE priemonių įgyvendinimo</w:t>
            </w:r>
            <w:r>
              <w:rPr>
                <w:rFonts w:ascii="Times New Roman" w:eastAsia="Times New Roman" w:hAnsi="Times New Roman"/>
                <w:sz w:val="20"/>
                <w:szCs w:val="20"/>
                <w:lang w:eastAsia="lt-LT"/>
              </w:rPr>
              <w:t xml:space="preserve"> seka</w:t>
            </w:r>
          </w:p>
        </w:tc>
      </w:tr>
      <w:tr w:rsidR="00B66665" w:rsidRPr="00650EE4" w14:paraId="0C7C671E" w14:textId="77777777" w:rsidTr="009D1C15">
        <w:tc>
          <w:tcPr>
            <w:tcW w:w="1696" w:type="dxa"/>
            <w:vMerge/>
            <w:shd w:val="clear" w:color="auto" w:fill="auto"/>
            <w:vAlign w:val="center"/>
          </w:tcPr>
          <w:p w14:paraId="709A8287"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28E5686" w14:textId="77777777" w:rsidR="00B66665" w:rsidRDefault="00B66665" w:rsidP="009D1C15">
            <w:pPr>
              <w:spacing w:after="60" w:line="240" w:lineRule="auto"/>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P10. Nulinių CO</w:t>
            </w:r>
            <w:r w:rsidRPr="009E590B">
              <w:rPr>
                <w:rFonts w:ascii="Times New Roman" w:eastAsia="Times New Roman" w:hAnsi="Times New Roman"/>
                <w:b/>
                <w:bCs/>
                <w:sz w:val="20"/>
                <w:szCs w:val="20"/>
                <w:vertAlign w:val="subscript"/>
                <w:lang w:eastAsia="lt-LT"/>
              </w:rPr>
              <w:t>2</w:t>
            </w:r>
            <w:r>
              <w:rPr>
                <w:rFonts w:ascii="Times New Roman" w:eastAsia="Times New Roman" w:hAnsi="Times New Roman"/>
                <w:b/>
                <w:bCs/>
                <w:sz w:val="20"/>
                <w:szCs w:val="20"/>
                <w:lang w:eastAsia="lt-LT"/>
              </w:rPr>
              <w:t xml:space="preserve"> emisijų siekis</w:t>
            </w:r>
          </w:p>
          <w:p w14:paraId="599A38A8" w14:textId="77777777" w:rsidR="00B66665" w:rsidRPr="003E03FA" w:rsidRDefault="00B66665" w:rsidP="009D1C15">
            <w:pPr>
              <w:spacing w:after="60" w:line="240" w:lineRule="auto"/>
              <w:rPr>
                <w:rFonts w:ascii="Times New Roman" w:eastAsia="Times New Roman" w:hAnsi="Times New Roman"/>
                <w:bCs/>
                <w:sz w:val="20"/>
                <w:szCs w:val="20"/>
                <w:lang w:eastAsia="lt-LT"/>
              </w:rPr>
            </w:pPr>
            <w:r>
              <w:rPr>
                <w:rFonts w:ascii="Times New Roman" w:eastAsia="Times New Roman" w:hAnsi="Times New Roman"/>
                <w:sz w:val="20"/>
                <w:szCs w:val="20"/>
                <w:lang w:eastAsia="lt-LT"/>
              </w:rPr>
              <w:t>K</w:t>
            </w:r>
            <w:r w:rsidRPr="003E03FA">
              <w:rPr>
                <w:rFonts w:ascii="Times New Roman" w:eastAsia="Times New Roman" w:hAnsi="Times New Roman"/>
                <w:sz w:val="20"/>
                <w:szCs w:val="20"/>
                <w:lang w:eastAsia="lt-LT"/>
              </w:rPr>
              <w:t xml:space="preserve">oordinuotos </w:t>
            </w:r>
            <w:proofErr w:type="spellStart"/>
            <w:r w:rsidRPr="003E03FA">
              <w:rPr>
                <w:rFonts w:ascii="Times New Roman" w:eastAsia="Times New Roman" w:hAnsi="Times New Roman"/>
                <w:sz w:val="20"/>
                <w:szCs w:val="20"/>
                <w:lang w:eastAsia="lt-LT"/>
              </w:rPr>
              <w:t>tarpinstitucinės</w:t>
            </w:r>
            <w:proofErr w:type="spellEnd"/>
            <w:r w:rsidRPr="003E03FA">
              <w:rPr>
                <w:rFonts w:ascii="Times New Roman" w:eastAsia="Times New Roman" w:hAnsi="Times New Roman"/>
                <w:sz w:val="20"/>
                <w:szCs w:val="20"/>
                <w:lang w:eastAsia="lt-LT"/>
              </w:rPr>
              <w:t xml:space="preserve"> pastangos</w:t>
            </w:r>
            <w:r>
              <w:rPr>
                <w:rFonts w:ascii="Times New Roman" w:eastAsia="Times New Roman" w:hAnsi="Times New Roman"/>
                <w:sz w:val="20"/>
                <w:szCs w:val="20"/>
                <w:lang w:eastAsia="lt-LT"/>
              </w:rPr>
              <w:t xml:space="preserve">, </w:t>
            </w:r>
            <w:r w:rsidRPr="003E03FA">
              <w:rPr>
                <w:rFonts w:ascii="Times New Roman" w:eastAsia="Times New Roman" w:hAnsi="Times New Roman"/>
                <w:sz w:val="20"/>
                <w:szCs w:val="20"/>
                <w:lang w:eastAsia="lt-LT"/>
              </w:rPr>
              <w:t>aiškiai į tikslą nukreipta</w:t>
            </w:r>
            <w:r>
              <w:rPr>
                <w:rFonts w:ascii="Times New Roman" w:eastAsia="Times New Roman" w:hAnsi="Times New Roman"/>
                <w:sz w:val="20"/>
                <w:szCs w:val="20"/>
                <w:lang w:eastAsia="lt-LT"/>
              </w:rPr>
              <w:t xml:space="preserve"> ir</w:t>
            </w:r>
            <w:r w:rsidRPr="003E03FA">
              <w:rPr>
                <w:rFonts w:ascii="Times New Roman" w:eastAsia="Times New Roman" w:hAnsi="Times New Roman"/>
                <w:sz w:val="20"/>
                <w:szCs w:val="20"/>
                <w:lang w:eastAsia="lt-LT"/>
              </w:rPr>
              <w:t xml:space="preserve"> subalansuota paskatų bei nuobaudų sistema</w:t>
            </w:r>
            <w:r>
              <w:rPr>
                <w:rFonts w:ascii="Times New Roman" w:eastAsia="Times New Roman" w:hAnsi="Times New Roman"/>
                <w:sz w:val="20"/>
                <w:szCs w:val="20"/>
                <w:lang w:eastAsia="lt-LT"/>
              </w:rPr>
              <w:t xml:space="preserve"> ir</w:t>
            </w:r>
            <w:r w:rsidRPr="003E03FA">
              <w:rPr>
                <w:rFonts w:ascii="Times New Roman" w:eastAsia="Times New Roman" w:hAnsi="Times New Roman"/>
                <w:sz w:val="20"/>
                <w:szCs w:val="20"/>
                <w:lang w:eastAsia="lt-LT"/>
              </w:rPr>
              <w:t xml:space="preserve"> </w:t>
            </w:r>
            <w:proofErr w:type="spellStart"/>
            <w:r w:rsidRPr="003E03FA">
              <w:rPr>
                <w:rFonts w:ascii="Times New Roman" w:eastAsia="Times New Roman" w:hAnsi="Times New Roman"/>
                <w:sz w:val="20"/>
                <w:szCs w:val="20"/>
                <w:lang w:eastAsia="lt-LT"/>
              </w:rPr>
              <w:t>platenio</w:t>
            </w:r>
            <w:proofErr w:type="spellEnd"/>
            <w:r w:rsidRPr="003E03FA">
              <w:rPr>
                <w:rFonts w:ascii="Times New Roman" w:eastAsia="Times New Roman" w:hAnsi="Times New Roman"/>
                <w:sz w:val="20"/>
                <w:szCs w:val="20"/>
                <w:lang w:eastAsia="lt-LT"/>
              </w:rPr>
              <w:t xml:space="preserve"> masto išorinių veiksnių </w:t>
            </w:r>
            <w:proofErr w:type="spellStart"/>
            <w:r w:rsidRPr="003E03FA">
              <w:rPr>
                <w:rFonts w:ascii="Times New Roman" w:eastAsia="Times New Roman" w:hAnsi="Times New Roman"/>
                <w:sz w:val="20"/>
                <w:szCs w:val="20"/>
                <w:lang w:eastAsia="lt-LT"/>
              </w:rPr>
              <w:t>stebėsena</w:t>
            </w:r>
            <w:proofErr w:type="spellEnd"/>
          </w:p>
        </w:tc>
      </w:tr>
      <w:tr w:rsidR="00B66665" w:rsidRPr="00650EE4" w14:paraId="68860658" w14:textId="77777777" w:rsidTr="009D1C15">
        <w:tc>
          <w:tcPr>
            <w:tcW w:w="1696" w:type="dxa"/>
            <w:vMerge/>
            <w:shd w:val="clear" w:color="auto" w:fill="auto"/>
            <w:vAlign w:val="center"/>
          </w:tcPr>
          <w:p w14:paraId="1B8C9476"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B282CEF"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w:t>
            </w:r>
            <w:r>
              <w:rPr>
                <w:rFonts w:ascii="Times New Roman" w:eastAsia="Times New Roman" w:hAnsi="Times New Roman"/>
                <w:b/>
                <w:bCs/>
                <w:sz w:val="20"/>
                <w:szCs w:val="20"/>
                <w:lang w:eastAsia="lt-LT"/>
              </w:rPr>
              <w:t>11</w:t>
            </w:r>
            <w:r w:rsidRPr="00650EE4">
              <w:rPr>
                <w:rFonts w:ascii="Times New Roman" w:eastAsia="Times New Roman" w:hAnsi="Times New Roman"/>
                <w:b/>
                <w:bCs/>
                <w:sz w:val="20"/>
                <w:szCs w:val="20"/>
                <w:lang w:eastAsia="lt-LT"/>
              </w:rPr>
              <w:t xml:space="preserve">. </w:t>
            </w:r>
            <w:proofErr w:type="spellStart"/>
            <w:r w:rsidRPr="00650EE4">
              <w:rPr>
                <w:rFonts w:ascii="Times New Roman" w:eastAsia="Times New Roman" w:hAnsi="Times New Roman"/>
                <w:b/>
                <w:bCs/>
                <w:sz w:val="20"/>
                <w:szCs w:val="20"/>
                <w:lang w:eastAsia="lt-LT"/>
              </w:rPr>
              <w:t>Kvartalinės</w:t>
            </w:r>
            <w:proofErr w:type="spellEnd"/>
            <w:r w:rsidRPr="00650EE4">
              <w:rPr>
                <w:rFonts w:ascii="Times New Roman" w:eastAsia="Times New Roman" w:hAnsi="Times New Roman"/>
                <w:b/>
                <w:bCs/>
                <w:sz w:val="20"/>
                <w:szCs w:val="20"/>
                <w:lang w:eastAsia="lt-LT"/>
              </w:rPr>
              <w:t xml:space="preserve"> renovacijos skatinimas</w:t>
            </w:r>
          </w:p>
          <w:p w14:paraId="4F50C442"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 xml:space="preserve">Pastatų grupavimas/agregavimas, derinant su infrastruktūros ir </w:t>
            </w:r>
            <w:proofErr w:type="spellStart"/>
            <w:r w:rsidRPr="00650EE4">
              <w:rPr>
                <w:rFonts w:ascii="Times New Roman" w:eastAsia="Times New Roman" w:hAnsi="Times New Roman"/>
                <w:sz w:val="20"/>
                <w:szCs w:val="20"/>
                <w:lang w:eastAsia="lt-LT"/>
              </w:rPr>
              <w:t>gerbūvio</w:t>
            </w:r>
            <w:proofErr w:type="spellEnd"/>
            <w:r w:rsidRPr="00650EE4">
              <w:rPr>
                <w:rFonts w:ascii="Times New Roman" w:eastAsia="Times New Roman" w:hAnsi="Times New Roman"/>
                <w:sz w:val="20"/>
                <w:szCs w:val="20"/>
                <w:lang w:eastAsia="lt-LT"/>
              </w:rPr>
              <w:t xml:space="preserve"> atnaujinimu</w:t>
            </w:r>
          </w:p>
        </w:tc>
      </w:tr>
      <w:tr w:rsidR="00B66665" w:rsidRPr="00650EE4" w14:paraId="2CC3344E" w14:textId="77777777" w:rsidTr="009D1C15">
        <w:tc>
          <w:tcPr>
            <w:tcW w:w="1696" w:type="dxa"/>
            <w:vMerge/>
            <w:shd w:val="clear" w:color="auto" w:fill="auto"/>
            <w:vAlign w:val="center"/>
          </w:tcPr>
          <w:p w14:paraId="78AE4D29"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51D30D03"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2</w:t>
            </w:r>
            <w:r w:rsidRPr="00650EE4">
              <w:rPr>
                <w:rFonts w:ascii="Times New Roman" w:eastAsia="Times New Roman" w:hAnsi="Times New Roman"/>
                <w:b/>
                <w:bCs/>
                <w:sz w:val="20"/>
                <w:szCs w:val="20"/>
                <w:lang w:eastAsia="lt-LT"/>
              </w:rPr>
              <w:t>. Dalinės renovacijos skatinimas</w:t>
            </w:r>
          </w:p>
          <w:p w14:paraId="28A71451"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Atskirų faktiškai atliktų renovacijos priemonių finansavimas individualių namų savininkams</w:t>
            </w:r>
          </w:p>
        </w:tc>
      </w:tr>
      <w:tr w:rsidR="00B66665" w:rsidRPr="00650EE4" w14:paraId="6ACD6860" w14:textId="77777777" w:rsidTr="009D1C15">
        <w:tc>
          <w:tcPr>
            <w:tcW w:w="1696" w:type="dxa"/>
            <w:vMerge/>
            <w:shd w:val="clear" w:color="auto" w:fill="auto"/>
            <w:vAlign w:val="center"/>
          </w:tcPr>
          <w:p w14:paraId="57BA55BF"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2278702F"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3</w:t>
            </w:r>
            <w:r w:rsidRPr="00650EE4">
              <w:rPr>
                <w:rFonts w:ascii="Times New Roman" w:eastAsia="Times New Roman" w:hAnsi="Times New Roman"/>
                <w:b/>
                <w:bCs/>
                <w:sz w:val="20"/>
                <w:szCs w:val="20"/>
                <w:lang w:eastAsia="lt-LT"/>
              </w:rPr>
              <w:t>. Renovacijos projektų agregavimas</w:t>
            </w:r>
          </w:p>
          <w:p w14:paraId="01746EDB" w14:textId="77777777" w:rsidR="00B66665" w:rsidRPr="00650EE4" w:rsidRDefault="00B66665" w:rsidP="009D1C15">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Projektų apjungimas siekiant masto ekonomijos įgyvendinime ir finansavime</w:t>
            </w:r>
          </w:p>
        </w:tc>
      </w:tr>
      <w:tr w:rsidR="00B66665" w:rsidRPr="00650EE4" w14:paraId="31DA2E70" w14:textId="77777777" w:rsidTr="009D1C15">
        <w:tc>
          <w:tcPr>
            <w:tcW w:w="1696" w:type="dxa"/>
            <w:vMerge/>
            <w:shd w:val="clear" w:color="auto" w:fill="auto"/>
            <w:vAlign w:val="center"/>
          </w:tcPr>
          <w:p w14:paraId="652A1A25"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1B39D8A2"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4</w:t>
            </w:r>
            <w:r w:rsidRPr="00650EE4">
              <w:rPr>
                <w:rFonts w:ascii="Times New Roman" w:eastAsia="Times New Roman" w:hAnsi="Times New Roman"/>
                <w:b/>
                <w:bCs/>
                <w:sz w:val="20"/>
                <w:szCs w:val="20"/>
                <w:lang w:eastAsia="lt-LT"/>
              </w:rPr>
              <w:t>. Tvarumo ir inovacijų užtikrinimas</w:t>
            </w:r>
          </w:p>
          <w:p w14:paraId="15387481" w14:textId="77777777" w:rsidR="00B66665" w:rsidRPr="00650EE4" w:rsidRDefault="00B66665" w:rsidP="009D1C15">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Tvarumo ir inovacijų skatinimas bei įtraukimas į renovacijos įgyvendinimą</w:t>
            </w:r>
          </w:p>
        </w:tc>
      </w:tr>
      <w:tr w:rsidR="00B66665" w:rsidRPr="00650EE4" w14:paraId="3341110F" w14:textId="77777777" w:rsidTr="009D1C15">
        <w:tc>
          <w:tcPr>
            <w:tcW w:w="1696" w:type="dxa"/>
            <w:vMerge/>
            <w:shd w:val="clear" w:color="auto" w:fill="auto"/>
            <w:vAlign w:val="center"/>
          </w:tcPr>
          <w:p w14:paraId="1A3453A9"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647A2D1E"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5</w:t>
            </w:r>
            <w:r w:rsidRPr="00650EE4">
              <w:rPr>
                <w:rFonts w:ascii="Times New Roman" w:eastAsia="Times New Roman" w:hAnsi="Times New Roman"/>
                <w:b/>
                <w:bCs/>
                <w:sz w:val="20"/>
                <w:szCs w:val="20"/>
                <w:lang w:eastAsia="lt-LT"/>
              </w:rPr>
              <w:t>. Minimalių reikalavimų valdymas</w:t>
            </w:r>
          </w:p>
          <w:p w14:paraId="3E21D6FA"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ENK reikalavimai, privalomi techniniai sprendiniai ir pan.</w:t>
            </w:r>
          </w:p>
        </w:tc>
      </w:tr>
      <w:tr w:rsidR="00B66665" w:rsidRPr="00650EE4" w14:paraId="7B12317A" w14:textId="77777777" w:rsidTr="009D1C15">
        <w:tc>
          <w:tcPr>
            <w:tcW w:w="1696" w:type="dxa"/>
            <w:shd w:val="clear" w:color="auto" w:fill="auto"/>
            <w:vAlign w:val="center"/>
          </w:tcPr>
          <w:p w14:paraId="623836ED" w14:textId="77777777" w:rsidR="00B66665" w:rsidRPr="00650EE4" w:rsidRDefault="00B66665" w:rsidP="009D1C15">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P3. Pakankamas finansavimas</w:t>
            </w:r>
          </w:p>
        </w:tc>
        <w:tc>
          <w:tcPr>
            <w:tcW w:w="8504" w:type="dxa"/>
            <w:shd w:val="clear" w:color="auto" w:fill="auto"/>
            <w:vAlign w:val="center"/>
          </w:tcPr>
          <w:p w14:paraId="21A01112"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6</w:t>
            </w:r>
            <w:r w:rsidRPr="00650EE4">
              <w:rPr>
                <w:rFonts w:ascii="Times New Roman" w:eastAsia="Times New Roman" w:hAnsi="Times New Roman"/>
                <w:b/>
                <w:bCs/>
                <w:sz w:val="20"/>
                <w:szCs w:val="20"/>
                <w:lang w:eastAsia="lt-LT"/>
              </w:rPr>
              <w:t>. Finansavimo užtikrinimas</w:t>
            </w:r>
          </w:p>
          <w:p w14:paraId="14BB9364"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Pakankamo finansavimo užtikrinimas</w:t>
            </w:r>
          </w:p>
        </w:tc>
      </w:tr>
      <w:tr w:rsidR="00B66665" w:rsidRPr="00650EE4" w14:paraId="29B14E3E" w14:textId="77777777" w:rsidTr="009D1C15">
        <w:tc>
          <w:tcPr>
            <w:tcW w:w="1696" w:type="dxa"/>
            <w:vMerge w:val="restart"/>
            <w:shd w:val="clear" w:color="auto" w:fill="auto"/>
            <w:vAlign w:val="center"/>
          </w:tcPr>
          <w:p w14:paraId="04010079" w14:textId="77777777" w:rsidR="00B66665" w:rsidRPr="00650EE4" w:rsidRDefault="00B66665" w:rsidP="009D1C15">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P4. Efektyvi komunikacija</w:t>
            </w:r>
          </w:p>
        </w:tc>
        <w:tc>
          <w:tcPr>
            <w:tcW w:w="8504" w:type="dxa"/>
            <w:shd w:val="clear" w:color="auto" w:fill="auto"/>
            <w:vAlign w:val="center"/>
          </w:tcPr>
          <w:p w14:paraId="357BCBB1"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7</w:t>
            </w:r>
            <w:r w:rsidRPr="00650EE4">
              <w:rPr>
                <w:rFonts w:ascii="Times New Roman" w:eastAsia="Times New Roman" w:hAnsi="Times New Roman"/>
                <w:b/>
                <w:bCs/>
                <w:sz w:val="20"/>
                <w:szCs w:val="20"/>
                <w:lang w:eastAsia="lt-LT"/>
              </w:rPr>
              <w:t>. Komunikacija apie renovacijos neišvengiamumą</w:t>
            </w:r>
          </w:p>
          <w:p w14:paraId="694225CE" w14:textId="49B72147" w:rsidR="00B66665" w:rsidRPr="00650EE4" w:rsidRDefault="00B66665" w:rsidP="00F51047">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 xml:space="preserve">Strateginė komunikacija apie renovacijos </w:t>
            </w:r>
            <w:r w:rsidR="00F51047">
              <w:rPr>
                <w:rFonts w:ascii="Times New Roman" w:eastAsia="Times New Roman" w:hAnsi="Times New Roman"/>
                <w:sz w:val="20"/>
                <w:szCs w:val="20"/>
                <w:lang w:eastAsia="lt-LT"/>
              </w:rPr>
              <w:t>rodiklius</w:t>
            </w:r>
            <w:r w:rsidRPr="00650EE4">
              <w:rPr>
                <w:rFonts w:ascii="Times New Roman" w:eastAsia="Times New Roman" w:hAnsi="Times New Roman"/>
                <w:sz w:val="20"/>
                <w:szCs w:val="20"/>
                <w:lang w:eastAsia="lt-LT"/>
              </w:rPr>
              <w:t xml:space="preserve"> ir įsipareigojimus</w:t>
            </w:r>
          </w:p>
        </w:tc>
      </w:tr>
      <w:tr w:rsidR="00B66665" w:rsidRPr="00650EE4" w14:paraId="58767C01" w14:textId="77777777" w:rsidTr="009D1C15">
        <w:tc>
          <w:tcPr>
            <w:tcW w:w="1696" w:type="dxa"/>
            <w:vMerge/>
            <w:shd w:val="clear" w:color="auto" w:fill="auto"/>
            <w:vAlign w:val="center"/>
          </w:tcPr>
          <w:p w14:paraId="12136469"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0CFFD95A"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8</w:t>
            </w:r>
            <w:r w:rsidRPr="00650EE4">
              <w:rPr>
                <w:rFonts w:ascii="Times New Roman" w:eastAsia="Times New Roman" w:hAnsi="Times New Roman"/>
                <w:b/>
                <w:bCs/>
                <w:sz w:val="20"/>
                <w:szCs w:val="20"/>
                <w:lang w:eastAsia="lt-LT"/>
              </w:rPr>
              <w:t>. Komunikacija apie renovacijos naudą ir priemones</w:t>
            </w:r>
          </w:p>
          <w:p w14:paraId="4E4216EE"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Komunikacija apie renovacijos teikiamas naudas, galimybes ir paramos priemones</w:t>
            </w:r>
          </w:p>
        </w:tc>
      </w:tr>
      <w:tr w:rsidR="00B66665" w:rsidRPr="00650EE4" w14:paraId="02DAFF92" w14:textId="77777777" w:rsidTr="009D1C15">
        <w:tc>
          <w:tcPr>
            <w:tcW w:w="1696" w:type="dxa"/>
            <w:vMerge w:val="restart"/>
            <w:shd w:val="clear" w:color="auto" w:fill="auto"/>
            <w:vAlign w:val="center"/>
          </w:tcPr>
          <w:p w14:paraId="54802082" w14:textId="77777777" w:rsidR="00B66665" w:rsidRPr="00650EE4" w:rsidRDefault="00B66665" w:rsidP="009D1C15">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P5. Patikima įgyvendinimo sistema</w:t>
            </w:r>
          </w:p>
        </w:tc>
        <w:tc>
          <w:tcPr>
            <w:tcW w:w="8504" w:type="dxa"/>
            <w:shd w:val="clear" w:color="auto" w:fill="auto"/>
          </w:tcPr>
          <w:p w14:paraId="526BF584"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9</w:t>
            </w:r>
            <w:r w:rsidRPr="00650EE4">
              <w:rPr>
                <w:rFonts w:ascii="Times New Roman" w:eastAsia="Times New Roman" w:hAnsi="Times New Roman"/>
                <w:b/>
                <w:bCs/>
                <w:sz w:val="20"/>
                <w:szCs w:val="20"/>
                <w:lang w:eastAsia="lt-LT"/>
              </w:rPr>
              <w:t>. Vieno langelio principo įgyvendinimas</w:t>
            </w:r>
          </w:p>
          <w:p w14:paraId="12B69E13" w14:textId="77777777" w:rsidR="00B66665" w:rsidRPr="00650EE4" w:rsidRDefault="00B66665" w:rsidP="009D1C15">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Vartotojų aptarnavimo centrų sukūrimas </w:t>
            </w:r>
          </w:p>
        </w:tc>
      </w:tr>
      <w:tr w:rsidR="00B66665" w:rsidRPr="00650EE4" w14:paraId="333FC021" w14:textId="77777777" w:rsidTr="009D1C15">
        <w:tc>
          <w:tcPr>
            <w:tcW w:w="1696" w:type="dxa"/>
            <w:vMerge/>
            <w:shd w:val="clear" w:color="auto" w:fill="auto"/>
            <w:vAlign w:val="center"/>
          </w:tcPr>
          <w:p w14:paraId="268B2E27"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tcPr>
          <w:p w14:paraId="447644CB" w14:textId="77777777" w:rsidR="00B66665" w:rsidRPr="00650EE4" w:rsidRDefault="00B66665" w:rsidP="009D1C15">
            <w:pPr>
              <w:spacing w:after="60" w:line="240" w:lineRule="auto"/>
              <w:rPr>
                <w:rFonts w:ascii="Times New Roman" w:eastAsia="Times New Roman" w:hAnsi="Times New Roman"/>
                <w:sz w:val="20"/>
                <w:szCs w:val="20"/>
                <w:lang w:eastAsia="lt-LT"/>
              </w:rPr>
            </w:pPr>
            <w:r>
              <w:rPr>
                <w:rFonts w:ascii="Times New Roman" w:eastAsia="Times New Roman" w:hAnsi="Times New Roman"/>
                <w:b/>
                <w:bCs/>
                <w:sz w:val="20"/>
                <w:szCs w:val="20"/>
                <w:lang w:eastAsia="lt-LT"/>
              </w:rPr>
              <w:t>P20</w:t>
            </w:r>
            <w:r w:rsidRPr="00650EE4">
              <w:rPr>
                <w:rFonts w:ascii="Times New Roman" w:eastAsia="Times New Roman" w:hAnsi="Times New Roman"/>
                <w:b/>
                <w:bCs/>
                <w:sz w:val="20"/>
                <w:szCs w:val="20"/>
                <w:lang w:eastAsia="lt-LT"/>
              </w:rPr>
              <w:t>. Kompetencijų centro įkūrimas</w:t>
            </w:r>
            <w:r w:rsidRPr="00650EE4">
              <w:rPr>
                <w:rFonts w:ascii="Times New Roman" w:eastAsia="Times New Roman" w:hAnsi="Times New Roman"/>
                <w:sz w:val="20"/>
                <w:szCs w:val="20"/>
                <w:lang w:eastAsia="lt-LT"/>
              </w:rPr>
              <w:t xml:space="preserve"> </w:t>
            </w:r>
          </w:p>
          <w:p w14:paraId="0839FA30"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Gerosios praktikos ir standartizuotų dokumentų/ procesų parengimas</w:t>
            </w:r>
          </w:p>
        </w:tc>
      </w:tr>
      <w:tr w:rsidR="00B66665" w:rsidRPr="00650EE4" w14:paraId="0B784420" w14:textId="77777777" w:rsidTr="009D1C15">
        <w:tc>
          <w:tcPr>
            <w:tcW w:w="1696" w:type="dxa"/>
            <w:vMerge/>
            <w:shd w:val="clear" w:color="auto" w:fill="auto"/>
            <w:vAlign w:val="center"/>
          </w:tcPr>
          <w:p w14:paraId="2FBA90C6" w14:textId="77777777" w:rsidR="00B66665" w:rsidRPr="00650EE4" w:rsidRDefault="00B66665" w:rsidP="009D1C15">
            <w:pPr>
              <w:spacing w:line="240" w:lineRule="auto"/>
              <w:rPr>
                <w:rFonts w:ascii="Times New Roman" w:eastAsia="Times New Roman" w:hAnsi="Times New Roman"/>
                <w:b/>
                <w:sz w:val="20"/>
                <w:szCs w:val="20"/>
                <w:lang w:eastAsia="lt-LT"/>
              </w:rPr>
            </w:pPr>
          </w:p>
        </w:tc>
        <w:tc>
          <w:tcPr>
            <w:tcW w:w="8504" w:type="dxa"/>
            <w:shd w:val="clear" w:color="auto" w:fill="auto"/>
          </w:tcPr>
          <w:p w14:paraId="2350CD27"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w:t>
            </w:r>
            <w:r>
              <w:rPr>
                <w:rFonts w:ascii="Times New Roman" w:eastAsia="Times New Roman" w:hAnsi="Times New Roman"/>
                <w:b/>
                <w:bCs/>
                <w:sz w:val="20"/>
                <w:szCs w:val="20"/>
                <w:lang w:eastAsia="lt-LT"/>
              </w:rPr>
              <w:t>21</w:t>
            </w:r>
            <w:r w:rsidRPr="00650EE4">
              <w:rPr>
                <w:rFonts w:ascii="Times New Roman" w:eastAsia="Times New Roman" w:hAnsi="Times New Roman"/>
                <w:b/>
                <w:bCs/>
                <w:sz w:val="20"/>
                <w:szCs w:val="20"/>
                <w:lang w:eastAsia="lt-LT"/>
              </w:rPr>
              <w:t>. Techninės priežiūros užtikrinimas</w:t>
            </w:r>
          </w:p>
          <w:p w14:paraId="6DDB271C" w14:textId="77777777" w:rsidR="00B66665" w:rsidRPr="00650EE4" w:rsidRDefault="00B66665" w:rsidP="009D1C15">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lastRenderedPageBreak/>
              <w:t>Techninės priežiūros reikalavimų patvirtinimas ir jų laikymosi užtikrinimas</w:t>
            </w:r>
          </w:p>
        </w:tc>
      </w:tr>
    </w:tbl>
    <w:bookmarkEnd w:id="204"/>
    <w:p w14:paraId="49D3B378" w14:textId="44B13DE3" w:rsidR="00AE1646" w:rsidRPr="00650EE4" w:rsidRDefault="00AE1646" w:rsidP="00AE1646">
      <w:pPr>
        <w:spacing w:line="240" w:lineRule="auto"/>
        <w:rPr>
          <w:rFonts w:ascii="Times New Roman" w:hAnsi="Times New Roman"/>
          <w:i/>
          <w:iCs/>
          <w:color w:val="000000" w:themeColor="text1"/>
          <w:sz w:val="20"/>
          <w:szCs w:val="20"/>
        </w:rPr>
      </w:pPr>
      <w:r w:rsidRPr="00650EE4">
        <w:rPr>
          <w:rFonts w:ascii="Times New Roman" w:hAnsi="Times New Roman"/>
          <w:i/>
          <w:iCs/>
          <w:color w:val="000000" w:themeColor="text1"/>
          <w:sz w:val="20"/>
          <w:szCs w:val="20"/>
        </w:rPr>
        <w:lastRenderedPageBreak/>
        <w:t xml:space="preserve">Šaltinis: Studijos </w:t>
      </w:r>
      <w:r w:rsidR="002616CA" w:rsidRPr="00874EAF">
        <w:rPr>
          <w:rFonts w:ascii="Times New Roman" w:hAnsi="Times New Roman"/>
          <w:i/>
          <w:iCs/>
          <w:color w:val="auto"/>
          <w:sz w:val="20"/>
          <w:szCs w:val="20"/>
        </w:rPr>
        <w:t>Lietuvos ilgalaikei renovacijos strategijai parengti</w:t>
      </w:r>
      <w:r w:rsidR="002616CA" w:rsidRPr="00650EE4">
        <w:rPr>
          <w:rFonts w:ascii="Times New Roman" w:hAnsi="Times New Roman"/>
          <w:i/>
          <w:iCs/>
          <w:color w:val="000000" w:themeColor="text1"/>
          <w:sz w:val="20"/>
          <w:szCs w:val="20"/>
        </w:rPr>
        <w:t xml:space="preserve"> </w:t>
      </w:r>
      <w:r w:rsidRPr="00650EE4">
        <w:rPr>
          <w:rFonts w:ascii="Times New Roman" w:hAnsi="Times New Roman"/>
          <w:i/>
          <w:iCs/>
          <w:color w:val="000000" w:themeColor="text1"/>
          <w:sz w:val="20"/>
          <w:szCs w:val="20"/>
        </w:rPr>
        <w:t>autoriai</w:t>
      </w:r>
    </w:p>
    <w:p w14:paraId="5998CD99" w14:textId="77777777" w:rsidR="00AE1646" w:rsidRPr="00650EE4" w:rsidRDefault="00AE1646" w:rsidP="00AE1646">
      <w:pPr>
        <w:rPr>
          <w:rFonts w:ascii="Times New Roman" w:hAnsi="Times New Roman"/>
          <w:color w:val="000000" w:themeColor="text1"/>
          <w:szCs w:val="22"/>
        </w:rPr>
      </w:pPr>
    </w:p>
    <w:p w14:paraId="1992AA88" w14:textId="12611BEE" w:rsidR="00D542AA" w:rsidRPr="00650EE4" w:rsidRDefault="00AE1646" w:rsidP="002C1626">
      <w:pPr>
        <w:rPr>
          <w:rFonts w:ascii="Times New Roman" w:hAnsi="Times New Roman"/>
          <w:color w:val="auto"/>
          <w:sz w:val="24"/>
          <w:szCs w:val="24"/>
        </w:rPr>
      </w:pPr>
      <w:r w:rsidRPr="00650EE4">
        <w:rPr>
          <w:rFonts w:ascii="Times New Roman" w:hAnsi="Times New Roman"/>
          <w:color w:val="000000" w:themeColor="text1"/>
          <w:szCs w:val="22"/>
        </w:rPr>
        <w:t>Toliau pateikiamas siūlomų renovacijos strategijos įgyvendinimo priemonių ir veiksmų, kuriais bus grindžiamas IRS strategijos įgyvendinimas, aprašymas.</w:t>
      </w:r>
    </w:p>
    <w:p w14:paraId="3279333B" w14:textId="77777777" w:rsidR="00D542AA" w:rsidRPr="00650EE4" w:rsidRDefault="00D542AA" w:rsidP="00AB1AD9">
      <w:pPr>
        <w:spacing w:after="120"/>
        <w:rPr>
          <w:rFonts w:ascii="Times New Roman" w:hAnsi="Times New Roman"/>
          <w:color w:val="auto"/>
          <w:sz w:val="24"/>
          <w:szCs w:val="24"/>
        </w:rPr>
      </w:pPr>
    </w:p>
    <w:p w14:paraId="37CD2520" w14:textId="45B72D1D" w:rsidR="00D95926" w:rsidRPr="00650EE4" w:rsidRDefault="0052739D" w:rsidP="006A60B7">
      <w:pPr>
        <w:pStyle w:val="Antrastes31"/>
        <w:numPr>
          <w:ilvl w:val="2"/>
          <w:numId w:val="4"/>
        </w:numPr>
        <w:spacing w:before="0"/>
        <w:ind w:left="720" w:hanging="720"/>
        <w:rPr>
          <w:rFonts w:ascii="Times New Roman" w:hAnsi="Times New Roman"/>
          <w:color w:val="auto"/>
          <w:sz w:val="24"/>
          <w:szCs w:val="24"/>
          <w:lang w:val="lt-LT"/>
        </w:rPr>
      </w:pPr>
      <w:bookmarkStart w:id="209" w:name="_Toc67925174"/>
      <w:r w:rsidRPr="00650EE4">
        <w:rPr>
          <w:rFonts w:ascii="Times New Roman" w:hAnsi="Times New Roman"/>
          <w:color w:val="auto"/>
          <w:sz w:val="24"/>
          <w:szCs w:val="24"/>
          <w:lang w:val="lt-LT"/>
        </w:rPr>
        <w:t>Integruotas planavimas</w:t>
      </w:r>
      <w:bookmarkEnd w:id="209"/>
    </w:p>
    <w:p w14:paraId="6D3D1FFE" w14:textId="179B4EFE" w:rsidR="00D31E1C" w:rsidRPr="00650EE4" w:rsidRDefault="00B81A0C" w:rsidP="00125EA0">
      <w:pPr>
        <w:spacing w:after="120"/>
        <w:jc w:val="both"/>
        <w:rPr>
          <w:rFonts w:ascii="Times New Roman" w:hAnsi="Times New Roman"/>
          <w:szCs w:val="22"/>
        </w:rPr>
      </w:pPr>
      <w:r>
        <w:rPr>
          <w:rFonts w:ascii="Times New Roman" w:hAnsi="Times New Roman"/>
          <w:szCs w:val="22"/>
        </w:rPr>
        <w:t>T</w:t>
      </w:r>
      <w:r w:rsidR="00D31E1C" w:rsidRPr="00650EE4">
        <w:rPr>
          <w:rFonts w:ascii="Times New Roman" w:hAnsi="Times New Roman"/>
          <w:szCs w:val="22"/>
        </w:rPr>
        <w:t>am, kad įgyvendinti IRS suplanuotą pastatų</w:t>
      </w:r>
      <w:r w:rsidR="00441344" w:rsidRPr="00650EE4">
        <w:rPr>
          <w:rFonts w:ascii="Times New Roman" w:hAnsi="Times New Roman"/>
          <w:szCs w:val="22"/>
        </w:rPr>
        <w:t xml:space="preserve"> fon</w:t>
      </w:r>
      <w:r w:rsidR="00D31E1C" w:rsidRPr="00650EE4">
        <w:rPr>
          <w:rFonts w:ascii="Times New Roman" w:hAnsi="Times New Roman"/>
          <w:szCs w:val="22"/>
        </w:rPr>
        <w:t xml:space="preserve">do transformaciją būtina </w:t>
      </w:r>
      <w:r w:rsidR="00441344" w:rsidRPr="00650EE4">
        <w:rPr>
          <w:rFonts w:ascii="Times New Roman" w:hAnsi="Times New Roman"/>
          <w:szCs w:val="22"/>
        </w:rPr>
        <w:t>atlikti</w:t>
      </w:r>
      <w:r w:rsidR="00D31E1C" w:rsidRPr="00650EE4">
        <w:rPr>
          <w:rFonts w:ascii="Times New Roman" w:hAnsi="Times New Roman"/>
          <w:szCs w:val="22"/>
        </w:rPr>
        <w:t xml:space="preserve"> baz</w:t>
      </w:r>
      <w:r w:rsidR="00441344" w:rsidRPr="00650EE4">
        <w:rPr>
          <w:rFonts w:ascii="Times New Roman" w:hAnsi="Times New Roman"/>
          <w:szCs w:val="22"/>
        </w:rPr>
        <w:t>inius, vadybinius planavimo etapo sprendimus</w:t>
      </w:r>
      <w:r w:rsidR="00D31E1C" w:rsidRPr="00650EE4">
        <w:rPr>
          <w:rFonts w:ascii="Times New Roman" w:hAnsi="Times New Roman"/>
          <w:szCs w:val="22"/>
        </w:rPr>
        <w:t>:</w:t>
      </w:r>
    </w:p>
    <w:p w14:paraId="4DD825F1" w14:textId="11848234" w:rsidR="00D31E1C" w:rsidRPr="00650EE4" w:rsidRDefault="00342BA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Pr>
          <w:rFonts w:ascii="Times New Roman" w:hAnsi="Times New Roman"/>
          <w:szCs w:val="22"/>
          <w:lang w:val="lt-LT"/>
        </w:rPr>
        <w:t>i</w:t>
      </w:r>
      <w:r w:rsidR="009019E3" w:rsidRPr="00650EE4">
        <w:rPr>
          <w:rFonts w:ascii="Times New Roman" w:hAnsi="Times New Roman"/>
          <w:szCs w:val="22"/>
          <w:lang w:val="lt-LT"/>
        </w:rPr>
        <w:t>ntegruoti IRS rodiklius į teisės aktų sistemą</w:t>
      </w:r>
      <w:r>
        <w:rPr>
          <w:rFonts w:ascii="Times New Roman" w:hAnsi="Times New Roman"/>
          <w:szCs w:val="22"/>
          <w:lang w:val="lt-LT"/>
        </w:rPr>
        <w:t>;</w:t>
      </w:r>
    </w:p>
    <w:p w14:paraId="7D23B212" w14:textId="72959629" w:rsidR="000E354F" w:rsidRPr="00650EE4" w:rsidRDefault="00342BA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Pr>
          <w:rFonts w:ascii="Times New Roman" w:hAnsi="Times New Roman"/>
          <w:szCs w:val="22"/>
          <w:lang w:val="lt-LT"/>
        </w:rPr>
        <w:t>s</w:t>
      </w:r>
      <w:r w:rsidR="000E354F" w:rsidRPr="00650EE4">
        <w:rPr>
          <w:rFonts w:ascii="Times New Roman" w:hAnsi="Times New Roman"/>
          <w:szCs w:val="22"/>
          <w:lang w:val="lt-LT"/>
        </w:rPr>
        <w:t xml:space="preserve">uformuoti </w:t>
      </w:r>
      <w:proofErr w:type="spellStart"/>
      <w:r w:rsidR="000E354F" w:rsidRPr="00650EE4">
        <w:rPr>
          <w:rFonts w:ascii="Times New Roman" w:hAnsi="Times New Roman"/>
          <w:szCs w:val="22"/>
          <w:lang w:val="lt-LT"/>
        </w:rPr>
        <w:t>tarpinstitucinį</w:t>
      </w:r>
      <w:proofErr w:type="spellEnd"/>
      <w:r w:rsidR="000E354F" w:rsidRPr="00650EE4">
        <w:rPr>
          <w:rFonts w:ascii="Times New Roman" w:hAnsi="Times New Roman"/>
          <w:szCs w:val="22"/>
          <w:lang w:val="lt-LT"/>
        </w:rPr>
        <w:t xml:space="preserve"> </w:t>
      </w:r>
      <w:r w:rsidR="00D94E4B" w:rsidRPr="00650EE4">
        <w:rPr>
          <w:rFonts w:ascii="Times New Roman" w:hAnsi="Times New Roman"/>
          <w:szCs w:val="22"/>
          <w:lang w:val="lt-LT"/>
        </w:rPr>
        <w:t>organizacinį struktūrinį vienetą, kuris atliktų IRS projekto valdytojo  funkcijas</w:t>
      </w:r>
      <w:r w:rsidR="002238FC" w:rsidRPr="00650EE4">
        <w:rPr>
          <w:rFonts w:ascii="Times New Roman" w:hAnsi="Times New Roman"/>
          <w:szCs w:val="22"/>
          <w:lang w:val="lt-LT"/>
        </w:rPr>
        <w:t>,</w:t>
      </w:r>
      <w:r w:rsidR="000E354F" w:rsidRPr="00650EE4">
        <w:rPr>
          <w:rFonts w:ascii="Times New Roman" w:hAnsi="Times New Roman"/>
          <w:szCs w:val="22"/>
          <w:lang w:val="lt-LT"/>
        </w:rPr>
        <w:t xml:space="preserve"> </w:t>
      </w:r>
      <w:r w:rsidR="00D94E4B" w:rsidRPr="00650EE4">
        <w:rPr>
          <w:rFonts w:ascii="Times New Roman" w:hAnsi="Times New Roman"/>
          <w:szCs w:val="22"/>
          <w:lang w:val="lt-LT"/>
        </w:rPr>
        <w:t>t.y. būtų atsakingas</w:t>
      </w:r>
      <w:r w:rsidR="000E354F" w:rsidRPr="00650EE4">
        <w:rPr>
          <w:rFonts w:ascii="Times New Roman" w:hAnsi="Times New Roman"/>
          <w:szCs w:val="22"/>
          <w:lang w:val="lt-LT"/>
        </w:rPr>
        <w:t xml:space="preserve"> už IRS įgyvendinimo plana</w:t>
      </w:r>
      <w:r>
        <w:rPr>
          <w:rFonts w:ascii="Times New Roman" w:hAnsi="Times New Roman"/>
          <w:szCs w:val="22"/>
          <w:lang w:val="lt-LT"/>
        </w:rPr>
        <w:t xml:space="preserve">vimą, koordinavimą ir </w:t>
      </w:r>
      <w:proofErr w:type="spellStart"/>
      <w:r>
        <w:rPr>
          <w:rFonts w:ascii="Times New Roman" w:hAnsi="Times New Roman"/>
          <w:szCs w:val="22"/>
          <w:lang w:val="lt-LT"/>
        </w:rPr>
        <w:t>stebėseną</w:t>
      </w:r>
      <w:proofErr w:type="spellEnd"/>
      <w:r>
        <w:rPr>
          <w:rFonts w:ascii="Times New Roman" w:hAnsi="Times New Roman"/>
          <w:szCs w:val="22"/>
          <w:lang w:val="lt-LT"/>
        </w:rPr>
        <w:t>;</w:t>
      </w:r>
    </w:p>
    <w:p w14:paraId="3B9129A6" w14:textId="19070B6B" w:rsidR="004706A3" w:rsidRPr="00650EE4" w:rsidRDefault="00342BA4" w:rsidP="00BD4925">
      <w:pPr>
        <w:pStyle w:val="ListParagraph"/>
        <w:numPr>
          <w:ilvl w:val="0"/>
          <w:numId w:val="45"/>
        </w:numPr>
        <w:spacing w:after="120" w:line="240" w:lineRule="auto"/>
        <w:ind w:left="714" w:hanging="357"/>
        <w:contextualSpacing w:val="0"/>
        <w:jc w:val="both"/>
        <w:rPr>
          <w:rFonts w:ascii="Times New Roman" w:hAnsi="Times New Roman"/>
          <w:szCs w:val="22"/>
          <w:lang w:val="lt-LT"/>
        </w:rPr>
      </w:pPr>
      <w:r>
        <w:rPr>
          <w:rFonts w:ascii="Times New Roman" w:hAnsi="Times New Roman"/>
          <w:szCs w:val="22"/>
          <w:lang w:val="lt-LT"/>
        </w:rPr>
        <w:t>p</w:t>
      </w:r>
      <w:r w:rsidR="004706A3" w:rsidRPr="00650EE4">
        <w:rPr>
          <w:rFonts w:ascii="Times New Roman" w:hAnsi="Times New Roman"/>
          <w:szCs w:val="22"/>
          <w:lang w:val="lt-LT"/>
        </w:rPr>
        <w:t>a</w:t>
      </w:r>
      <w:r>
        <w:rPr>
          <w:rFonts w:ascii="Times New Roman" w:hAnsi="Times New Roman"/>
          <w:szCs w:val="22"/>
          <w:lang w:val="lt-LT"/>
        </w:rPr>
        <w:t>rengti paramos priemonių paketą;</w:t>
      </w:r>
      <w:r w:rsidR="00D94E4B" w:rsidRPr="00650EE4">
        <w:rPr>
          <w:rFonts w:ascii="Times New Roman" w:hAnsi="Times New Roman"/>
          <w:szCs w:val="22"/>
          <w:lang w:val="lt-LT"/>
        </w:rPr>
        <w:t xml:space="preserve"> </w:t>
      </w:r>
    </w:p>
    <w:p w14:paraId="707B7D60" w14:textId="2383BD77" w:rsidR="00EF67D4" w:rsidRPr="00650EE4" w:rsidRDefault="00342BA4" w:rsidP="00BD4925">
      <w:pPr>
        <w:pStyle w:val="ListParagraph"/>
        <w:numPr>
          <w:ilvl w:val="0"/>
          <w:numId w:val="45"/>
        </w:numPr>
        <w:spacing w:after="120" w:line="240" w:lineRule="auto"/>
        <w:ind w:left="714" w:hanging="357"/>
        <w:contextualSpacing w:val="0"/>
        <w:jc w:val="both"/>
        <w:rPr>
          <w:rFonts w:ascii="Times New Roman" w:hAnsi="Times New Roman"/>
          <w:szCs w:val="22"/>
          <w:lang w:val="lt-LT"/>
        </w:rPr>
      </w:pPr>
      <w:r>
        <w:rPr>
          <w:rFonts w:ascii="Times New Roman" w:hAnsi="Times New Roman"/>
          <w:szCs w:val="22"/>
          <w:lang w:val="lt-LT"/>
        </w:rPr>
        <w:t>d</w:t>
      </w:r>
      <w:r w:rsidR="00787819" w:rsidRPr="00650EE4">
        <w:rPr>
          <w:rFonts w:ascii="Times New Roman" w:hAnsi="Times New Roman"/>
          <w:szCs w:val="22"/>
          <w:lang w:val="lt-LT"/>
        </w:rPr>
        <w:t>etalizuoti</w:t>
      </w:r>
      <w:r w:rsidR="004706A3" w:rsidRPr="00650EE4">
        <w:rPr>
          <w:rFonts w:ascii="Times New Roman" w:hAnsi="Times New Roman"/>
          <w:szCs w:val="22"/>
          <w:lang w:val="lt-LT"/>
        </w:rPr>
        <w:t xml:space="preserve"> IRS </w:t>
      </w:r>
      <w:r w:rsidR="00787819" w:rsidRPr="00650EE4">
        <w:rPr>
          <w:rFonts w:ascii="Times New Roman" w:hAnsi="Times New Roman"/>
          <w:szCs w:val="22"/>
          <w:lang w:val="lt-LT"/>
        </w:rPr>
        <w:t>rodiklius savivaldos lygmeniu ir deleguoti</w:t>
      </w:r>
      <w:r w:rsidR="004706A3" w:rsidRPr="00650EE4">
        <w:rPr>
          <w:rFonts w:ascii="Times New Roman" w:hAnsi="Times New Roman"/>
          <w:szCs w:val="22"/>
          <w:lang w:val="lt-LT"/>
        </w:rPr>
        <w:t xml:space="preserve"> </w:t>
      </w:r>
      <w:r w:rsidR="00787819" w:rsidRPr="00650EE4">
        <w:rPr>
          <w:rFonts w:ascii="Times New Roman" w:hAnsi="Times New Roman"/>
          <w:szCs w:val="22"/>
          <w:lang w:val="lt-LT"/>
        </w:rPr>
        <w:t xml:space="preserve">savivaldybėms </w:t>
      </w:r>
      <w:r w:rsidR="004706A3" w:rsidRPr="00650EE4">
        <w:rPr>
          <w:rFonts w:ascii="Times New Roman" w:hAnsi="Times New Roman"/>
          <w:szCs w:val="22"/>
          <w:lang w:val="lt-LT"/>
        </w:rPr>
        <w:t xml:space="preserve">atsakomybę už </w:t>
      </w:r>
      <w:r w:rsidR="00787819" w:rsidRPr="00650EE4">
        <w:rPr>
          <w:rFonts w:ascii="Times New Roman" w:hAnsi="Times New Roman"/>
          <w:szCs w:val="22"/>
          <w:lang w:val="lt-LT"/>
        </w:rPr>
        <w:t xml:space="preserve">jų </w:t>
      </w:r>
      <w:r w:rsidR="004706A3" w:rsidRPr="00650EE4">
        <w:rPr>
          <w:rFonts w:ascii="Times New Roman" w:hAnsi="Times New Roman"/>
          <w:szCs w:val="22"/>
          <w:lang w:val="lt-LT"/>
        </w:rPr>
        <w:t>įgyvendinimą</w:t>
      </w:r>
      <w:r w:rsidR="00787819" w:rsidRPr="00650EE4">
        <w:rPr>
          <w:rFonts w:ascii="Times New Roman" w:hAnsi="Times New Roman"/>
          <w:szCs w:val="22"/>
          <w:lang w:val="lt-LT"/>
        </w:rPr>
        <w:t>, užtikrinant reikiamą finansavimą</w:t>
      </w:r>
      <w:r>
        <w:rPr>
          <w:rFonts w:ascii="Times New Roman" w:hAnsi="Times New Roman"/>
          <w:szCs w:val="22"/>
          <w:lang w:val="lt-LT"/>
        </w:rPr>
        <w:t>;</w:t>
      </w:r>
    </w:p>
    <w:p w14:paraId="47A8ADB7" w14:textId="7448A4C0" w:rsidR="00977E19" w:rsidRPr="00650EE4" w:rsidRDefault="00342BA4" w:rsidP="00BD4925">
      <w:pPr>
        <w:pStyle w:val="ListParagraph"/>
        <w:numPr>
          <w:ilvl w:val="0"/>
          <w:numId w:val="45"/>
        </w:numPr>
        <w:contextualSpacing w:val="0"/>
        <w:jc w:val="both"/>
        <w:rPr>
          <w:rFonts w:ascii="Times New Roman" w:hAnsi="Times New Roman"/>
          <w:szCs w:val="22"/>
          <w:lang w:val="lt-LT"/>
        </w:rPr>
      </w:pPr>
      <w:r>
        <w:rPr>
          <w:rFonts w:ascii="Times New Roman" w:hAnsi="Times New Roman"/>
          <w:szCs w:val="22"/>
          <w:lang w:val="lt-LT"/>
        </w:rPr>
        <w:t>į</w:t>
      </w:r>
      <w:r w:rsidR="004706A3" w:rsidRPr="00650EE4">
        <w:rPr>
          <w:rFonts w:ascii="Times New Roman" w:hAnsi="Times New Roman"/>
          <w:szCs w:val="22"/>
          <w:lang w:val="lt-LT"/>
        </w:rPr>
        <w:t>diegti monitoringo</w:t>
      </w:r>
      <w:r w:rsidR="007C1221" w:rsidRPr="00650EE4">
        <w:rPr>
          <w:rFonts w:ascii="Times New Roman" w:hAnsi="Times New Roman"/>
          <w:szCs w:val="22"/>
          <w:lang w:val="lt-LT"/>
        </w:rPr>
        <w:t xml:space="preserve"> sistemą ir u</w:t>
      </w:r>
      <w:r w:rsidR="00977E19" w:rsidRPr="00650EE4">
        <w:rPr>
          <w:rFonts w:ascii="Times New Roman" w:hAnsi="Times New Roman"/>
          <w:szCs w:val="22"/>
          <w:lang w:val="lt-LT"/>
        </w:rPr>
        <w:t xml:space="preserve">žtikrinti periodinį </w:t>
      </w:r>
      <w:r w:rsidR="00787819" w:rsidRPr="00650EE4">
        <w:rPr>
          <w:rFonts w:ascii="Times New Roman" w:hAnsi="Times New Roman"/>
          <w:szCs w:val="22"/>
          <w:lang w:val="lt-LT"/>
        </w:rPr>
        <w:t xml:space="preserve">siektinų rodiklių atnaujinimą atsižvelgiant į įgyvendinimo </w:t>
      </w:r>
      <w:r w:rsidR="008B46BE" w:rsidRPr="00650EE4">
        <w:rPr>
          <w:rFonts w:ascii="Times New Roman" w:hAnsi="Times New Roman"/>
          <w:szCs w:val="22"/>
          <w:lang w:val="lt-LT"/>
        </w:rPr>
        <w:t>progresą</w:t>
      </w:r>
      <w:r w:rsidR="00787819" w:rsidRPr="00650EE4">
        <w:rPr>
          <w:rFonts w:ascii="Times New Roman" w:hAnsi="Times New Roman"/>
          <w:szCs w:val="22"/>
          <w:lang w:val="lt-LT"/>
        </w:rPr>
        <w:t>.</w:t>
      </w:r>
    </w:p>
    <w:p w14:paraId="087464CE" w14:textId="77777777" w:rsidR="00E723D0" w:rsidRDefault="00E723D0" w:rsidP="00BC7B57">
      <w:pPr>
        <w:spacing w:after="120"/>
        <w:jc w:val="both"/>
        <w:rPr>
          <w:rFonts w:ascii="Times New Roman" w:hAnsi="Times New Roman"/>
          <w:b/>
          <w:bCs/>
          <w:szCs w:val="24"/>
        </w:rPr>
      </w:pPr>
    </w:p>
    <w:p w14:paraId="0B165F21" w14:textId="0B69EB3C" w:rsidR="00CC6880" w:rsidRPr="00650EE4" w:rsidRDefault="00CC6880" w:rsidP="00BC7B57">
      <w:pPr>
        <w:spacing w:after="120"/>
        <w:jc w:val="both"/>
        <w:rPr>
          <w:rFonts w:ascii="Times New Roman" w:hAnsi="Times New Roman"/>
          <w:b/>
          <w:bCs/>
          <w:szCs w:val="24"/>
        </w:rPr>
      </w:pPr>
      <w:r w:rsidRPr="00650EE4">
        <w:rPr>
          <w:rFonts w:ascii="Times New Roman" w:hAnsi="Times New Roman"/>
          <w:b/>
          <w:bCs/>
          <w:szCs w:val="24"/>
        </w:rPr>
        <w:t xml:space="preserve">P1. Koordinuotas </w:t>
      </w:r>
      <w:proofErr w:type="spellStart"/>
      <w:r w:rsidRPr="00650EE4">
        <w:rPr>
          <w:rFonts w:ascii="Times New Roman" w:hAnsi="Times New Roman"/>
          <w:b/>
          <w:bCs/>
          <w:szCs w:val="24"/>
        </w:rPr>
        <w:t>tarpinstitucinis</w:t>
      </w:r>
      <w:proofErr w:type="spellEnd"/>
      <w:r w:rsidRPr="00650EE4">
        <w:rPr>
          <w:rFonts w:ascii="Times New Roman" w:hAnsi="Times New Roman"/>
          <w:b/>
          <w:bCs/>
          <w:szCs w:val="24"/>
        </w:rPr>
        <w:t xml:space="preserve"> planavimas</w:t>
      </w:r>
    </w:p>
    <w:p w14:paraId="744C3AD2" w14:textId="11478E37" w:rsidR="00CC6880" w:rsidRPr="00650EE4" w:rsidRDefault="00CC6880" w:rsidP="006A7879">
      <w:pPr>
        <w:pStyle w:val="BodyText"/>
        <w:jc w:val="both"/>
        <w:rPr>
          <w:rFonts w:ascii="Times New Roman" w:hAnsi="Times New Roman"/>
          <w:color w:val="000000" w:themeColor="text1"/>
          <w:szCs w:val="22"/>
          <w:lang w:val="lt-LT"/>
        </w:rPr>
      </w:pPr>
      <w:r w:rsidRPr="00650EE4">
        <w:rPr>
          <w:rFonts w:ascii="Times New Roman" w:hAnsi="Times New Roman"/>
          <w:szCs w:val="22"/>
          <w:lang w:val="lt-LT"/>
        </w:rPr>
        <w:t>Pastatų renovacijoje dalyvauja skirtingos suinteresuotos šalys, renovacija daro tiesioginę įtaką susijusiems sektoriams (pvz., energetikos infrastruktūros planavimui, urbanistiniam planavimui, regionų plėtros planavimui, socialinės gerovės užtikrinimui ir pan.), o IRS numatyti siektini rodikliai tiesiogiai priklauso nuo energetikos sektoriaus raidos scenarijų. Be to, š</w:t>
      </w:r>
      <w:r w:rsidRPr="00650EE4">
        <w:rPr>
          <w:rFonts w:ascii="Times New Roman" w:hAnsi="Times New Roman"/>
          <w:color w:val="000000" w:themeColor="text1"/>
          <w:szCs w:val="22"/>
          <w:lang w:val="lt-LT"/>
        </w:rPr>
        <w:t xml:space="preserve">iuo metu, su pastatų renovacija susijusios paramos priemonės yra planuojamos ir administruojamos skirtingų institucijų, skiriasi priemonių finansavimo šaltiniai (fondai). Atitinkamai, skiriasi priemonių atrankos ir finansavimo sąlygos, įgyvendinimo laikotarpiai, kas apsunkina tokių priemonių kompleksinio taikymo galimybes (pvz., remiant AEI priemonių diegimą nėra vertinamas pastatų energetinis efektyvumas arba vykdant </w:t>
      </w:r>
      <w:proofErr w:type="spellStart"/>
      <w:r w:rsidRPr="00650EE4">
        <w:rPr>
          <w:rFonts w:ascii="Times New Roman" w:hAnsi="Times New Roman"/>
          <w:color w:val="000000" w:themeColor="text1"/>
          <w:szCs w:val="22"/>
          <w:lang w:val="lt-LT"/>
        </w:rPr>
        <w:t>kvartalinę</w:t>
      </w:r>
      <w:proofErr w:type="spellEnd"/>
      <w:r w:rsidRPr="00650EE4">
        <w:rPr>
          <w:rFonts w:ascii="Times New Roman" w:hAnsi="Times New Roman"/>
          <w:color w:val="000000" w:themeColor="text1"/>
          <w:szCs w:val="22"/>
          <w:lang w:val="lt-LT"/>
        </w:rPr>
        <w:t xml:space="preserve"> renovaciją finansavimas pakankamas tik daliai veiklų). </w:t>
      </w:r>
    </w:p>
    <w:p w14:paraId="7AB17B82" w14:textId="77777777" w:rsidR="006A7879" w:rsidRPr="00650EE4" w:rsidRDefault="006A7879" w:rsidP="006A7879">
      <w:pPr>
        <w:pStyle w:val="BodyText"/>
        <w:jc w:val="both"/>
        <w:rPr>
          <w:rFonts w:ascii="Times New Roman" w:hAnsi="Times New Roman"/>
          <w:color w:val="000000" w:themeColor="text1"/>
          <w:szCs w:val="22"/>
          <w:lang w:val="lt-LT"/>
        </w:rPr>
      </w:pPr>
    </w:p>
    <w:p w14:paraId="2B796F38" w14:textId="2633D53F" w:rsidR="00CC6880" w:rsidRPr="00650EE4" w:rsidRDefault="00426C06" w:rsidP="006A7879">
      <w:pPr>
        <w:jc w:val="both"/>
        <w:rPr>
          <w:rFonts w:ascii="Times New Roman" w:hAnsi="Times New Roman"/>
          <w:color w:val="000000" w:themeColor="text1"/>
          <w:szCs w:val="22"/>
        </w:rPr>
      </w:pPr>
      <w:r>
        <w:rPr>
          <w:rFonts w:ascii="Times New Roman" w:hAnsi="Times New Roman"/>
          <w:szCs w:val="22"/>
        </w:rPr>
        <w:t>S</w:t>
      </w:r>
      <w:r w:rsidR="00CC6880" w:rsidRPr="00650EE4">
        <w:rPr>
          <w:rFonts w:ascii="Times New Roman" w:hAnsi="Times New Roman"/>
          <w:szCs w:val="22"/>
        </w:rPr>
        <w:t xml:space="preserve">iekiant koordinuoto ir sistemingo </w:t>
      </w:r>
      <w:r w:rsidR="00CC6880" w:rsidRPr="00650EE4">
        <w:rPr>
          <w:rFonts w:ascii="Times New Roman" w:hAnsi="Times New Roman"/>
          <w:color w:val="000000" w:themeColor="text1"/>
          <w:szCs w:val="22"/>
        </w:rPr>
        <w:t xml:space="preserve">planavimo bei veiksmų įgyvendinimo, būtų tikslinga suformuoti už ilgalaikės renovacijos strategijos įgyvendinimą atsakingą </w:t>
      </w:r>
      <w:r w:rsidR="00CC6880" w:rsidRPr="00650EE4">
        <w:rPr>
          <w:rFonts w:ascii="Times New Roman" w:hAnsi="Times New Roman"/>
          <w:szCs w:val="22"/>
        </w:rPr>
        <w:t>organizacinį struktūrinį vienetą</w:t>
      </w:r>
      <w:r w:rsidR="00CC6880" w:rsidRPr="00650EE4">
        <w:rPr>
          <w:rFonts w:ascii="Times New Roman" w:hAnsi="Times New Roman"/>
          <w:color w:val="000000" w:themeColor="text1"/>
          <w:szCs w:val="22"/>
        </w:rPr>
        <w:t xml:space="preserve"> (pvz. </w:t>
      </w:r>
      <w:proofErr w:type="spellStart"/>
      <w:r w:rsidR="00CC6880" w:rsidRPr="00650EE4">
        <w:rPr>
          <w:rFonts w:ascii="Times New Roman" w:hAnsi="Times New Roman"/>
          <w:color w:val="000000" w:themeColor="text1"/>
          <w:szCs w:val="22"/>
        </w:rPr>
        <w:t>tarpinstitucinę</w:t>
      </w:r>
      <w:proofErr w:type="spellEnd"/>
      <w:r w:rsidR="00CC6880" w:rsidRPr="00650EE4">
        <w:rPr>
          <w:rFonts w:ascii="Times New Roman" w:hAnsi="Times New Roman"/>
          <w:color w:val="000000" w:themeColor="text1"/>
          <w:szCs w:val="22"/>
        </w:rPr>
        <w:t xml:space="preserve"> darbo grupę (komitetą)), kurio nariai atstovautų visas pagrindines suinteresuotas šalis. Darbo grupė atliktų </w:t>
      </w:r>
      <w:r w:rsidR="00CC6880" w:rsidRPr="00650EE4">
        <w:rPr>
          <w:rFonts w:ascii="Times New Roman" w:hAnsi="Times New Roman"/>
          <w:szCs w:val="22"/>
        </w:rPr>
        <w:t>IRS projekto valdytojo</w:t>
      </w:r>
      <w:r w:rsidR="00CC6880" w:rsidRPr="00650EE4">
        <w:rPr>
          <w:rFonts w:ascii="Times New Roman" w:hAnsi="Times New Roman"/>
          <w:color w:val="000000" w:themeColor="text1"/>
          <w:szCs w:val="22"/>
        </w:rPr>
        <w:t xml:space="preserve"> funkcijas t.y., nustatytų įgaliojimų ribose, būtų atsakinga už IRS </w:t>
      </w:r>
      <w:r w:rsidR="00F51047">
        <w:rPr>
          <w:rFonts w:ascii="Times New Roman" w:hAnsi="Times New Roman"/>
          <w:color w:val="000000" w:themeColor="text1"/>
          <w:szCs w:val="22"/>
        </w:rPr>
        <w:t>rodiklių</w:t>
      </w:r>
      <w:r w:rsidR="00CC6880" w:rsidRPr="00650EE4">
        <w:rPr>
          <w:rFonts w:ascii="Times New Roman" w:hAnsi="Times New Roman"/>
          <w:color w:val="000000" w:themeColor="text1"/>
          <w:szCs w:val="22"/>
        </w:rPr>
        <w:t xml:space="preserve"> nustatymą, peržiūrą ir atnaujinimą, IRS suderinamumą su kitomis energinio efektyvumo ir AEI skatinimo politikos priemonėmis bei energetikos sektoriaus planavimu, pvz., planuojant </w:t>
      </w:r>
      <w:proofErr w:type="spellStart"/>
      <w:r w:rsidR="00CC6880" w:rsidRPr="00650EE4">
        <w:rPr>
          <w:rFonts w:ascii="Times New Roman" w:hAnsi="Times New Roman"/>
          <w:color w:val="000000" w:themeColor="text1"/>
          <w:szCs w:val="22"/>
        </w:rPr>
        <w:t>kvartalinę</w:t>
      </w:r>
      <w:proofErr w:type="spellEnd"/>
      <w:r w:rsidR="00CC6880" w:rsidRPr="00650EE4">
        <w:rPr>
          <w:rFonts w:ascii="Times New Roman" w:hAnsi="Times New Roman"/>
          <w:color w:val="000000" w:themeColor="text1"/>
          <w:szCs w:val="22"/>
        </w:rPr>
        <w:t xml:space="preserve"> renovaciją, kur renovacijos paramos priemonės papildomai turėtų būti suderintos ir su teritorijų tvarkymo ir plėtros priemonėmis.</w:t>
      </w:r>
    </w:p>
    <w:p w14:paraId="6CAC8498" w14:textId="77777777" w:rsidR="00CC6880" w:rsidRPr="00650EE4" w:rsidRDefault="00CC6880" w:rsidP="006A7879">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6880" w:rsidRPr="00650EE4" w14:paraId="7AA6E731" w14:textId="77777777" w:rsidTr="00492041">
        <w:trPr>
          <w:trHeight w:val="45"/>
        </w:trPr>
        <w:tc>
          <w:tcPr>
            <w:tcW w:w="3114" w:type="dxa"/>
          </w:tcPr>
          <w:p w14:paraId="31679F79"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Sprendžiama problema (barjerai)</w:t>
            </w:r>
          </w:p>
        </w:tc>
        <w:tc>
          <w:tcPr>
            <w:tcW w:w="7089" w:type="dxa"/>
          </w:tcPr>
          <w:p w14:paraId="66647599"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 xml:space="preserve">B1.  Nepakankamas </w:t>
            </w:r>
            <w:proofErr w:type="spellStart"/>
            <w:r w:rsidRPr="00650EE4">
              <w:rPr>
                <w:rFonts w:ascii="Times New Roman" w:hAnsi="Times New Roman"/>
                <w:szCs w:val="22"/>
                <w:lang w:eastAsia="lt-LT"/>
              </w:rPr>
              <w:t>tarpinstitucinis</w:t>
            </w:r>
            <w:proofErr w:type="spellEnd"/>
            <w:r w:rsidRPr="00650EE4">
              <w:rPr>
                <w:rFonts w:ascii="Times New Roman" w:hAnsi="Times New Roman"/>
                <w:szCs w:val="22"/>
                <w:lang w:eastAsia="lt-LT"/>
              </w:rPr>
              <w:t xml:space="preserve"> veiksmų koordinavimas </w:t>
            </w:r>
          </w:p>
          <w:p w14:paraId="6F5DC04B" w14:textId="2C66924D" w:rsidR="003407D7" w:rsidRPr="00650EE4" w:rsidRDefault="003407D7" w:rsidP="00492041">
            <w:pPr>
              <w:spacing w:after="60"/>
              <w:rPr>
                <w:rFonts w:ascii="Times New Roman" w:hAnsi="Times New Roman"/>
                <w:szCs w:val="22"/>
                <w:lang w:eastAsia="lt-LT"/>
              </w:rPr>
            </w:pPr>
            <w:r w:rsidRPr="00650EE4">
              <w:rPr>
                <w:rFonts w:ascii="Times New Roman" w:hAnsi="Times New Roman"/>
                <w:szCs w:val="22"/>
                <w:lang w:eastAsia="lt-LT"/>
              </w:rPr>
              <w:t>B19. Darbo jėgos statybų sektoriuje apribojimai</w:t>
            </w:r>
          </w:p>
        </w:tc>
      </w:tr>
      <w:tr w:rsidR="00CC6880" w:rsidRPr="00650EE4" w14:paraId="0441AE5B" w14:textId="77777777" w:rsidTr="00492041">
        <w:trPr>
          <w:trHeight w:val="45"/>
        </w:trPr>
        <w:tc>
          <w:tcPr>
            <w:tcW w:w="3114" w:type="dxa"/>
          </w:tcPr>
          <w:p w14:paraId="70003D02"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4315975" w14:textId="77777777" w:rsidR="00CC6880" w:rsidRPr="00650EE4" w:rsidRDefault="00CC6880" w:rsidP="00492041">
            <w:pPr>
              <w:spacing w:after="60"/>
              <w:rPr>
                <w:rFonts w:ascii="Times New Roman" w:hAnsi="Times New Roman"/>
                <w:szCs w:val="22"/>
                <w:lang w:eastAsia="lt-LT"/>
              </w:rPr>
            </w:pPr>
            <w:proofErr w:type="spellStart"/>
            <w:r w:rsidRPr="00650EE4">
              <w:rPr>
                <w:rFonts w:ascii="Times New Roman" w:hAnsi="Times New Roman"/>
                <w:szCs w:val="22"/>
                <w:lang w:eastAsia="lt-LT"/>
              </w:rPr>
              <w:t>Tarpinstitucinės</w:t>
            </w:r>
            <w:proofErr w:type="spellEnd"/>
            <w:r w:rsidRPr="00650EE4">
              <w:rPr>
                <w:rFonts w:ascii="Times New Roman" w:hAnsi="Times New Roman"/>
                <w:szCs w:val="22"/>
                <w:lang w:eastAsia="lt-LT"/>
              </w:rPr>
              <w:t xml:space="preserve"> IRS darbo grupės sudarymas</w:t>
            </w:r>
          </w:p>
        </w:tc>
      </w:tr>
      <w:tr w:rsidR="00CC6880" w:rsidRPr="00650EE4" w14:paraId="7474F7FC" w14:textId="77777777" w:rsidTr="00492041">
        <w:trPr>
          <w:trHeight w:val="102"/>
        </w:trPr>
        <w:tc>
          <w:tcPr>
            <w:tcW w:w="3114" w:type="dxa"/>
          </w:tcPr>
          <w:p w14:paraId="66CA8C28"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36FD618"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6880" w:rsidRPr="00650EE4" w14:paraId="2A363D2D" w14:textId="77777777" w:rsidTr="00492041">
        <w:trPr>
          <w:trHeight w:val="64"/>
        </w:trPr>
        <w:tc>
          <w:tcPr>
            <w:tcW w:w="3114" w:type="dxa"/>
          </w:tcPr>
          <w:p w14:paraId="465A7143"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6B7F4C7"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2934901A" w14:textId="77777777" w:rsidR="00CC6880" w:rsidRPr="00650EE4" w:rsidRDefault="00CC6880" w:rsidP="00337280">
      <w:pPr>
        <w:pStyle w:val="BodyText"/>
        <w:spacing w:after="120"/>
        <w:rPr>
          <w:rFonts w:ascii="Times New Roman" w:hAnsi="Times New Roman"/>
          <w:lang w:val="lt-LT"/>
        </w:rPr>
      </w:pPr>
    </w:p>
    <w:p w14:paraId="6955D009" w14:textId="797218F6" w:rsidR="00B062FD" w:rsidRPr="00650EE4" w:rsidRDefault="00B062FD" w:rsidP="00BC7B57">
      <w:pPr>
        <w:spacing w:after="120"/>
        <w:jc w:val="both"/>
        <w:rPr>
          <w:rFonts w:ascii="Times New Roman" w:hAnsi="Times New Roman"/>
          <w:b/>
          <w:bCs/>
          <w:szCs w:val="24"/>
        </w:rPr>
      </w:pPr>
      <w:r w:rsidRPr="00650EE4">
        <w:rPr>
          <w:rFonts w:ascii="Times New Roman" w:hAnsi="Times New Roman"/>
          <w:b/>
          <w:bCs/>
          <w:szCs w:val="24"/>
        </w:rPr>
        <w:t>P</w:t>
      </w:r>
      <w:r w:rsidR="00CE404E" w:rsidRPr="00650EE4">
        <w:rPr>
          <w:rFonts w:ascii="Times New Roman" w:hAnsi="Times New Roman"/>
          <w:b/>
          <w:bCs/>
          <w:szCs w:val="24"/>
        </w:rPr>
        <w:t>2</w:t>
      </w:r>
      <w:r w:rsidRPr="00650EE4">
        <w:rPr>
          <w:rFonts w:ascii="Times New Roman" w:hAnsi="Times New Roman"/>
          <w:b/>
          <w:bCs/>
          <w:szCs w:val="24"/>
        </w:rPr>
        <w:t>. Pastatų fondo inventorizacija ir duomenų bazės sukūrimas</w:t>
      </w:r>
    </w:p>
    <w:p w14:paraId="1C1ACA61" w14:textId="6B84DA88" w:rsidR="00B062FD" w:rsidRPr="00650EE4" w:rsidRDefault="00B062FD" w:rsidP="00EC14A0">
      <w:pPr>
        <w:jc w:val="both"/>
        <w:rPr>
          <w:rFonts w:ascii="Times New Roman" w:hAnsi="Times New Roman"/>
          <w:szCs w:val="22"/>
        </w:rPr>
      </w:pPr>
      <w:r w:rsidRPr="00650EE4">
        <w:rPr>
          <w:rFonts w:ascii="Times New Roman" w:hAnsi="Times New Roman"/>
          <w:szCs w:val="22"/>
        </w:rPr>
        <w:t xml:space="preserve">Šiuo metu nėra vientiso duomenų šaltinio, kuriame būtų kaupiama informacija apie pastatų charakteristikas, techninę būklę, energijos suvartojimą </w:t>
      </w:r>
      <w:r w:rsidR="001829DA" w:rsidRPr="00650EE4">
        <w:rPr>
          <w:rFonts w:ascii="Times New Roman" w:hAnsi="Times New Roman"/>
          <w:szCs w:val="22"/>
        </w:rPr>
        <w:t xml:space="preserve">ir pan. Duomenų nepakankamumas </w:t>
      </w:r>
      <w:r w:rsidRPr="00650EE4">
        <w:rPr>
          <w:rFonts w:ascii="Times New Roman" w:hAnsi="Times New Roman"/>
          <w:szCs w:val="22"/>
        </w:rPr>
        <w:t xml:space="preserve">apsunkina IRS </w:t>
      </w:r>
      <w:r w:rsidR="00F51047">
        <w:rPr>
          <w:rFonts w:ascii="Times New Roman" w:hAnsi="Times New Roman"/>
          <w:szCs w:val="22"/>
        </w:rPr>
        <w:t>rodiklių</w:t>
      </w:r>
      <w:r w:rsidRPr="00650EE4">
        <w:rPr>
          <w:rFonts w:ascii="Times New Roman" w:hAnsi="Times New Roman"/>
          <w:szCs w:val="22"/>
        </w:rPr>
        <w:t xml:space="preserve"> nustatymą ir jų įgyvendinimo </w:t>
      </w:r>
      <w:proofErr w:type="spellStart"/>
      <w:r w:rsidRPr="00650EE4">
        <w:rPr>
          <w:rFonts w:ascii="Times New Roman" w:hAnsi="Times New Roman"/>
          <w:szCs w:val="22"/>
        </w:rPr>
        <w:t>stebėseną</w:t>
      </w:r>
      <w:proofErr w:type="spellEnd"/>
      <w:r w:rsidR="00426C06">
        <w:rPr>
          <w:rFonts w:ascii="Times New Roman" w:hAnsi="Times New Roman"/>
          <w:szCs w:val="22"/>
        </w:rPr>
        <w:t>.</w:t>
      </w:r>
      <w:r w:rsidRPr="00650EE4">
        <w:rPr>
          <w:rFonts w:ascii="Times New Roman" w:hAnsi="Times New Roman"/>
          <w:szCs w:val="22"/>
        </w:rPr>
        <w:t xml:space="preserve"> </w:t>
      </w:r>
    </w:p>
    <w:p w14:paraId="3DED3896" w14:textId="77777777" w:rsidR="009B54EF" w:rsidRPr="00650EE4" w:rsidRDefault="00EA5B50" w:rsidP="00562E41">
      <w:pPr>
        <w:spacing w:before="120"/>
        <w:jc w:val="both"/>
        <w:rPr>
          <w:rFonts w:ascii="Times New Roman" w:hAnsi="Times New Roman"/>
          <w:szCs w:val="22"/>
        </w:rPr>
      </w:pPr>
      <w:r w:rsidRPr="00650EE4">
        <w:rPr>
          <w:rFonts w:ascii="Times New Roman" w:hAnsi="Times New Roman"/>
          <w:szCs w:val="22"/>
        </w:rPr>
        <w:t>R</w:t>
      </w:r>
      <w:r w:rsidR="00B062FD" w:rsidRPr="00650EE4">
        <w:rPr>
          <w:rFonts w:ascii="Times New Roman" w:hAnsi="Times New Roman"/>
          <w:szCs w:val="22"/>
        </w:rPr>
        <w:t xml:space="preserve">eikalavimą turėti tinkamus duomenis taip pat nustato ir Pakeitimo direktyva, kurios konstatuojamojoje dalyje teigiama, kad „reikalingi aukštos kokybės duomenys apie pastatų ūkį – dalis jų galėtų būti gaunami iš duomenų </w:t>
      </w:r>
      <w:r w:rsidR="00B062FD" w:rsidRPr="00650EE4">
        <w:rPr>
          <w:rFonts w:ascii="Times New Roman" w:hAnsi="Times New Roman"/>
          <w:szCs w:val="22"/>
        </w:rPr>
        <w:lastRenderedPageBreak/>
        <w:t xml:space="preserve">bazių, kurias energinio naudingumo sertifikavimo reikmėms šiuo metu kuria ir tvarko beveik visos valstybės narės“. </w:t>
      </w:r>
    </w:p>
    <w:p w14:paraId="654B381D" w14:textId="14AB1728" w:rsidR="00B062FD" w:rsidRPr="00650EE4" w:rsidRDefault="00977B82" w:rsidP="00562E41">
      <w:pPr>
        <w:spacing w:before="120"/>
        <w:jc w:val="both"/>
        <w:rPr>
          <w:rFonts w:ascii="Times New Roman" w:hAnsi="Times New Roman"/>
          <w:szCs w:val="22"/>
        </w:rPr>
      </w:pPr>
      <w:r w:rsidRPr="00650EE4">
        <w:rPr>
          <w:rFonts w:ascii="Times New Roman" w:hAnsi="Times New Roman"/>
          <w:color w:val="000000" w:themeColor="text1"/>
          <w:szCs w:val="22"/>
        </w:rPr>
        <w:t>Duomenų sukūrimas ir surinkimas turėtų būti vykdomas kompleksinėmis priemonėmis</w:t>
      </w:r>
      <w:r w:rsidR="00CE17DF"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numatant prievol</w:t>
      </w:r>
      <w:r w:rsidR="00CE17DF" w:rsidRPr="00650EE4">
        <w:rPr>
          <w:rFonts w:ascii="Times New Roman" w:hAnsi="Times New Roman"/>
          <w:color w:val="000000" w:themeColor="text1"/>
          <w:szCs w:val="22"/>
        </w:rPr>
        <w:t>ę</w:t>
      </w:r>
      <w:r w:rsidRPr="00650EE4">
        <w:rPr>
          <w:rFonts w:ascii="Times New Roman" w:hAnsi="Times New Roman"/>
          <w:color w:val="000000" w:themeColor="text1"/>
          <w:szCs w:val="22"/>
        </w:rPr>
        <w:t xml:space="preserve"> atlikti energijos vartojimo auditus</w:t>
      </w:r>
      <w:r w:rsidR="00CE17DF" w:rsidRPr="00650EE4">
        <w:rPr>
          <w:rFonts w:ascii="Times New Roman" w:hAnsi="Times New Roman"/>
          <w:color w:val="000000" w:themeColor="text1"/>
          <w:szCs w:val="22"/>
        </w:rPr>
        <w:t xml:space="preserve"> prieš ir po pastato renovacijos</w:t>
      </w:r>
      <w:r w:rsidRPr="00650EE4">
        <w:rPr>
          <w:rFonts w:ascii="Times New Roman" w:hAnsi="Times New Roman"/>
          <w:color w:val="000000" w:themeColor="text1"/>
          <w:szCs w:val="22"/>
        </w:rPr>
        <w:t>, sukuriant metodiką skaičiuotino energijos vartojimo pastatuose konversijai</w:t>
      </w:r>
      <w:r w:rsidR="00426C06">
        <w:rPr>
          <w:rFonts w:ascii="Times New Roman" w:hAnsi="Times New Roman"/>
          <w:color w:val="000000" w:themeColor="text1"/>
          <w:szCs w:val="22"/>
        </w:rPr>
        <w:t xml:space="preserve"> </w:t>
      </w:r>
      <w:r w:rsidRPr="00650EE4">
        <w:rPr>
          <w:rFonts w:ascii="Times New Roman" w:hAnsi="Times New Roman"/>
          <w:color w:val="000000" w:themeColor="text1"/>
          <w:szCs w:val="22"/>
        </w:rPr>
        <w:t>/</w:t>
      </w:r>
      <w:r w:rsidR="00426C06">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sulyginimui su atitinkamo laikotarpio faktiniais pirminės energijos duomenimis, įdiegiant </w:t>
      </w:r>
      <w:r w:rsidR="000F2CB4" w:rsidRPr="00650EE4">
        <w:rPr>
          <w:rFonts w:ascii="Times New Roman" w:hAnsi="Times New Roman"/>
          <w:color w:val="000000" w:themeColor="text1"/>
          <w:szCs w:val="22"/>
        </w:rPr>
        <w:t xml:space="preserve">pastatų pasų sistemą, parengiant pastatų fondo žemėlapius ir pan. </w:t>
      </w:r>
      <w:r w:rsidR="00B062FD" w:rsidRPr="00650EE4">
        <w:rPr>
          <w:rFonts w:ascii="Times New Roman" w:hAnsi="Times New Roman"/>
          <w:szCs w:val="22"/>
        </w:rPr>
        <w:t>(žr. geros praktikos pavyzdį žemiau).</w:t>
      </w:r>
      <w:r w:rsidR="00CE17DF" w:rsidRPr="00650EE4">
        <w:rPr>
          <w:rFonts w:ascii="Times New Roman" w:hAnsi="Times New Roman"/>
          <w:szCs w:val="22"/>
        </w:rPr>
        <w:t xml:space="preserve"> Siekiant užtikrinti tokios duomenų bazės ilgalaikį </w:t>
      </w:r>
      <w:r w:rsidR="00DE6E8F" w:rsidRPr="00650EE4">
        <w:rPr>
          <w:rFonts w:ascii="Times New Roman" w:hAnsi="Times New Roman"/>
          <w:szCs w:val="22"/>
        </w:rPr>
        <w:t>veikimą</w:t>
      </w:r>
      <w:r w:rsidR="00CE17DF" w:rsidRPr="00650EE4">
        <w:rPr>
          <w:rFonts w:ascii="Times New Roman" w:hAnsi="Times New Roman"/>
          <w:szCs w:val="22"/>
        </w:rPr>
        <w:t xml:space="preserve"> reikalinga sukurti aiškius duomenų standartizacijos, rinkimo, apdorojimo, naudojimo procesus, paskirti konkretų</w:t>
      </w:r>
      <w:r w:rsidR="00DE6E8F" w:rsidRPr="00650EE4">
        <w:rPr>
          <w:rFonts w:ascii="Times New Roman" w:hAnsi="Times New Roman"/>
          <w:szCs w:val="22"/>
        </w:rPr>
        <w:t xml:space="preserve"> ilgalaikį</w:t>
      </w:r>
      <w:r w:rsidR="00CE17DF" w:rsidRPr="00650EE4">
        <w:rPr>
          <w:rFonts w:ascii="Times New Roman" w:hAnsi="Times New Roman"/>
          <w:szCs w:val="22"/>
        </w:rPr>
        <w:t xml:space="preserve"> tokios duomenų bazės administratorių</w:t>
      </w:r>
      <w:r w:rsidR="00DE6E8F" w:rsidRPr="00650EE4">
        <w:rPr>
          <w:rFonts w:ascii="Times New Roman" w:hAnsi="Times New Roman"/>
          <w:szCs w:val="22"/>
        </w:rPr>
        <w:t xml:space="preserve"> ir finansavimo šaltinį, suteikti administratoriui reikalingas duomenų prieigos teises (pvz. įgaliojimus rinkti tam tikrus duomenis iš energijos tiekėjų). </w:t>
      </w:r>
    </w:p>
    <w:p w14:paraId="15E913A5" w14:textId="744BF7B1" w:rsidR="002D0232" w:rsidRPr="00650EE4" w:rsidRDefault="002D0232">
      <w:pPr>
        <w:spacing w:after="240"/>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B66665" w:rsidRPr="00650EE4" w14:paraId="32396B7D" w14:textId="77777777" w:rsidTr="009D1C15">
        <w:trPr>
          <w:trHeight w:val="236"/>
        </w:trPr>
        <w:tc>
          <w:tcPr>
            <w:tcW w:w="3114" w:type="dxa"/>
          </w:tcPr>
          <w:p w14:paraId="2549B0AD"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170B93FF"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B2. Nepatikima (asimetrinė) informacija</w:t>
            </w:r>
          </w:p>
        </w:tc>
      </w:tr>
      <w:tr w:rsidR="00B66665" w:rsidRPr="00650EE4" w14:paraId="587FC08A" w14:textId="77777777" w:rsidTr="009D1C15">
        <w:trPr>
          <w:trHeight w:val="340"/>
        </w:trPr>
        <w:tc>
          <w:tcPr>
            <w:tcW w:w="3114" w:type="dxa"/>
          </w:tcPr>
          <w:p w14:paraId="5FDD69AF"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4C2C3F28"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Su pagrindiniais duomenų šaltiniais integruotos IRS duomenų bazės suformavimas, duomenų apie energijos vartojimą sukūrimas</w:t>
            </w:r>
          </w:p>
        </w:tc>
      </w:tr>
      <w:tr w:rsidR="00B66665" w:rsidRPr="00650EE4" w14:paraId="21ECBA73" w14:textId="77777777" w:rsidTr="009D1C15">
        <w:trPr>
          <w:trHeight w:val="192"/>
        </w:trPr>
        <w:tc>
          <w:tcPr>
            <w:tcW w:w="3114" w:type="dxa"/>
          </w:tcPr>
          <w:p w14:paraId="380A5443"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F4F57EA"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Aukštas</w:t>
            </w:r>
          </w:p>
        </w:tc>
      </w:tr>
      <w:tr w:rsidR="00B66665" w:rsidRPr="00650EE4" w14:paraId="3FC2B912" w14:textId="77777777" w:rsidTr="009D1C15">
        <w:trPr>
          <w:trHeight w:val="168"/>
        </w:trPr>
        <w:tc>
          <w:tcPr>
            <w:tcW w:w="3114" w:type="dxa"/>
          </w:tcPr>
          <w:p w14:paraId="11B98CCC"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65B185F"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Trumpas-vidutinis laikotarpis</w:t>
            </w:r>
          </w:p>
        </w:tc>
      </w:tr>
      <w:tr w:rsidR="00B66665" w:rsidRPr="00650EE4" w14:paraId="1D360F62" w14:textId="77777777" w:rsidTr="009D1C15">
        <w:trPr>
          <w:trHeight w:val="130"/>
        </w:trPr>
        <w:tc>
          <w:tcPr>
            <w:tcW w:w="3114" w:type="dxa"/>
          </w:tcPr>
          <w:p w14:paraId="2C42C919"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Geros praktikos pavyzdžiai</w:t>
            </w:r>
          </w:p>
        </w:tc>
        <w:tc>
          <w:tcPr>
            <w:tcW w:w="7089" w:type="dxa"/>
          </w:tcPr>
          <w:p w14:paraId="19298A98" w14:textId="77777777" w:rsidR="00B66665" w:rsidRPr="00650EE4" w:rsidRDefault="0045783E" w:rsidP="009D1C15">
            <w:pPr>
              <w:spacing w:after="60"/>
              <w:rPr>
                <w:rStyle w:val="Hyperlink"/>
                <w:color w:val="0070C0"/>
              </w:rPr>
            </w:pPr>
            <w:hyperlink r:id="rId62" w:history="1">
              <w:r w:rsidR="00B66665" w:rsidRPr="00650EE4">
                <w:rPr>
                  <w:rStyle w:val="Hyperlink"/>
                  <w:rFonts w:ascii="Times New Roman" w:hAnsi="Times New Roman"/>
                  <w:color w:val="0070C0"/>
                  <w:szCs w:val="22"/>
                  <w:lang w:eastAsia="lt-LT"/>
                </w:rPr>
                <w:t xml:space="preserve">Vilniaus miesto </w:t>
              </w:r>
              <w:proofErr w:type="spellStart"/>
              <w:r w:rsidR="00B66665" w:rsidRPr="00650EE4">
                <w:rPr>
                  <w:rStyle w:val="Hyperlink"/>
                  <w:rFonts w:ascii="Times New Roman" w:hAnsi="Times New Roman"/>
                  <w:color w:val="0070C0"/>
                  <w:szCs w:val="22"/>
                  <w:lang w:eastAsia="lt-LT"/>
                </w:rPr>
                <w:t>kvartalinės</w:t>
              </w:r>
              <w:proofErr w:type="spellEnd"/>
              <w:r w:rsidR="00B66665" w:rsidRPr="00650EE4">
                <w:rPr>
                  <w:rStyle w:val="Hyperlink"/>
                  <w:rFonts w:ascii="Times New Roman" w:hAnsi="Times New Roman"/>
                  <w:color w:val="0070C0"/>
                  <w:szCs w:val="22"/>
                  <w:lang w:eastAsia="lt-LT"/>
                </w:rPr>
                <w:t xml:space="preserve"> renovacijos pastatų žemėlapis</w:t>
              </w:r>
            </w:hyperlink>
            <w:r w:rsidR="00B66665" w:rsidRPr="00650EE4">
              <w:rPr>
                <w:rStyle w:val="Hyperlink"/>
                <w:color w:val="0070C0"/>
              </w:rPr>
              <w:t xml:space="preserve">  </w:t>
            </w:r>
          </w:p>
          <w:p w14:paraId="69B699C5" w14:textId="77777777" w:rsidR="00B66665" w:rsidRPr="00650EE4" w:rsidRDefault="0045783E" w:rsidP="009D1C15">
            <w:pPr>
              <w:spacing w:after="60"/>
              <w:rPr>
                <w:rFonts w:ascii="Times New Roman" w:hAnsi="Times New Roman"/>
                <w:szCs w:val="22"/>
                <w:lang w:eastAsia="lt-LT"/>
              </w:rPr>
            </w:pPr>
            <w:hyperlink r:id="rId63" w:history="1">
              <w:r w:rsidR="00B66665" w:rsidRPr="00650EE4">
                <w:rPr>
                  <w:rStyle w:val="Hyperlink"/>
                  <w:rFonts w:ascii="Times New Roman" w:hAnsi="Times New Roman"/>
                  <w:color w:val="0070C0"/>
                  <w:szCs w:val="22"/>
                  <w:lang w:eastAsia="lt-LT"/>
                </w:rPr>
                <w:t>Pastatų fondo analizės įrankiai (</w:t>
              </w:r>
              <w:proofErr w:type="spellStart"/>
              <w:r w:rsidR="00B66665" w:rsidRPr="00650EE4">
                <w:rPr>
                  <w:rStyle w:val="Hyperlink"/>
                  <w:rFonts w:ascii="Times New Roman" w:hAnsi="Times New Roman"/>
                  <w:color w:val="0070C0"/>
                  <w:szCs w:val="22"/>
                  <w:lang w:eastAsia="lt-LT"/>
                </w:rPr>
                <w:t>EmBuild</w:t>
              </w:r>
              <w:proofErr w:type="spellEnd"/>
              <w:r w:rsidR="00B66665" w:rsidRPr="00650EE4">
                <w:rPr>
                  <w:rStyle w:val="Hyperlink"/>
                  <w:rFonts w:ascii="Times New Roman" w:hAnsi="Times New Roman"/>
                  <w:color w:val="0070C0"/>
                  <w:szCs w:val="22"/>
                  <w:lang w:eastAsia="lt-LT"/>
                </w:rPr>
                <w:t>)</w:t>
              </w:r>
            </w:hyperlink>
          </w:p>
        </w:tc>
      </w:tr>
    </w:tbl>
    <w:p w14:paraId="040A92C8" w14:textId="77777777" w:rsidR="00B062FD" w:rsidRPr="00650EE4" w:rsidRDefault="00B062FD" w:rsidP="00B062FD">
      <w:pPr>
        <w:spacing w:after="120"/>
        <w:rPr>
          <w:rFonts w:ascii="Times New Roman" w:hAnsi="Times New Roman"/>
          <w:color w:val="000000" w:themeColor="text1"/>
          <w:szCs w:val="22"/>
        </w:rPr>
      </w:pPr>
    </w:p>
    <w:p w14:paraId="0C30BBE3" w14:textId="0BD573EF" w:rsidR="00CC6880" w:rsidRPr="00650EE4" w:rsidRDefault="00CC6880" w:rsidP="00BC7B57">
      <w:pPr>
        <w:spacing w:after="120"/>
        <w:jc w:val="both"/>
        <w:rPr>
          <w:rFonts w:ascii="Times New Roman" w:hAnsi="Times New Roman"/>
          <w:b/>
          <w:bCs/>
          <w:szCs w:val="24"/>
        </w:rPr>
      </w:pPr>
      <w:r w:rsidRPr="00650EE4">
        <w:rPr>
          <w:rFonts w:ascii="Times New Roman" w:hAnsi="Times New Roman"/>
          <w:b/>
          <w:bCs/>
          <w:szCs w:val="24"/>
        </w:rPr>
        <w:t>P</w:t>
      </w:r>
      <w:r w:rsidR="00031A33" w:rsidRPr="00650EE4">
        <w:rPr>
          <w:rFonts w:ascii="Times New Roman" w:hAnsi="Times New Roman"/>
          <w:b/>
          <w:bCs/>
          <w:szCs w:val="24"/>
        </w:rPr>
        <w:t>3</w:t>
      </w:r>
      <w:r w:rsidRPr="00650EE4">
        <w:rPr>
          <w:rFonts w:ascii="Times New Roman" w:hAnsi="Times New Roman"/>
          <w:b/>
          <w:bCs/>
          <w:szCs w:val="24"/>
        </w:rPr>
        <w:t xml:space="preserve">. IRS </w:t>
      </w:r>
      <w:r w:rsidR="00F51047">
        <w:rPr>
          <w:rFonts w:ascii="Times New Roman" w:hAnsi="Times New Roman"/>
          <w:b/>
          <w:bCs/>
          <w:szCs w:val="24"/>
        </w:rPr>
        <w:t>rodiklių</w:t>
      </w:r>
      <w:r w:rsidRPr="00650EE4">
        <w:rPr>
          <w:rFonts w:ascii="Times New Roman" w:hAnsi="Times New Roman"/>
          <w:b/>
          <w:bCs/>
          <w:szCs w:val="24"/>
        </w:rPr>
        <w:t xml:space="preserve"> integracija į teisės aktų sistemą</w:t>
      </w:r>
    </w:p>
    <w:p w14:paraId="67B739B5" w14:textId="16CD3DE4" w:rsidR="005069B2" w:rsidRPr="00650EE4" w:rsidRDefault="005069B2" w:rsidP="005069B2">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IRS nustatyti siektini rodikliai turi būti tinkamai integruoti tiek į nacionalinio lygmens strateginius dokumentus (vertikali integracija aukštyn) tiek į institucijų atsakingų už IRS įgyvendinimą (vertikali integracija žemyn) ir susijusių sektorių (horizontali integracija) strateginius ir operatyvinius dokumentus. </w:t>
      </w:r>
    </w:p>
    <w:p w14:paraId="258C6C7E" w14:textId="77777777" w:rsidR="005069B2" w:rsidRPr="00650EE4" w:rsidRDefault="005069B2" w:rsidP="005069B2">
      <w:pPr>
        <w:spacing w:line="240" w:lineRule="auto"/>
        <w:jc w:val="both"/>
        <w:rPr>
          <w:rFonts w:ascii="Times New Roman" w:hAnsi="Times New Roman"/>
          <w:color w:val="000000" w:themeColor="text1"/>
          <w:szCs w:val="22"/>
        </w:rPr>
      </w:pPr>
    </w:p>
    <w:p w14:paraId="7487D50E" w14:textId="3ED4BCB3" w:rsidR="00C352AB" w:rsidRPr="00650EE4" w:rsidRDefault="00152ACB" w:rsidP="009F3915">
      <w:pPr>
        <w:pStyle w:val="BodyText"/>
        <w:jc w:val="both"/>
        <w:rPr>
          <w:rFonts w:ascii="Times New Roman" w:hAnsi="Times New Roman"/>
          <w:szCs w:val="22"/>
          <w:lang w:val="lt-LT"/>
        </w:rPr>
      </w:pPr>
      <w:r>
        <w:rPr>
          <w:rFonts w:ascii="Times New Roman" w:hAnsi="Times New Roman"/>
          <w:szCs w:val="22"/>
          <w:lang w:val="lt-LT"/>
        </w:rPr>
        <w:t xml:space="preserve">Tikslinga IRS rodiklius integruoti į Klimato kaitos strategiją ir kitus strateginio planavimo dokumentus. </w:t>
      </w:r>
      <w:r w:rsidR="005069B2" w:rsidRPr="00650EE4">
        <w:rPr>
          <w:rFonts w:ascii="Times New Roman" w:hAnsi="Times New Roman"/>
          <w:szCs w:val="22"/>
          <w:lang w:val="lt-LT"/>
        </w:rPr>
        <w:t>Remiantis ES direktyvomis, i</w:t>
      </w:r>
      <w:r w:rsidR="00CC6880" w:rsidRPr="00650EE4">
        <w:rPr>
          <w:rFonts w:ascii="Times New Roman" w:hAnsi="Times New Roman"/>
          <w:szCs w:val="22"/>
          <w:lang w:val="lt-LT"/>
        </w:rPr>
        <w:t>lgalaikė renovacijos strategija yra NECP dalis</w:t>
      </w:r>
      <w:r w:rsidR="005069B2" w:rsidRPr="00650EE4">
        <w:rPr>
          <w:rFonts w:ascii="Times New Roman" w:hAnsi="Times New Roman"/>
          <w:szCs w:val="22"/>
          <w:lang w:val="lt-LT"/>
        </w:rPr>
        <w:t>. NECP savo ruožtu yra pagrindinis dokumentas, deklaruojantis Lietuvos tikslus energinio efektyvumo ir AEI srityse. K</w:t>
      </w:r>
      <w:r w:rsidR="00CC6880" w:rsidRPr="00650EE4">
        <w:rPr>
          <w:rFonts w:ascii="Times New Roman" w:hAnsi="Times New Roman"/>
          <w:szCs w:val="22"/>
          <w:lang w:val="lt-LT"/>
        </w:rPr>
        <w:t>adangi NECP patvirtintas anksčiau</w:t>
      </w:r>
      <w:r w:rsidR="005069B2" w:rsidRPr="00650EE4">
        <w:rPr>
          <w:rFonts w:ascii="Times New Roman" w:hAnsi="Times New Roman"/>
          <w:szCs w:val="22"/>
          <w:lang w:val="lt-LT"/>
        </w:rPr>
        <w:t xml:space="preserve"> ir jo planuojamas laikotarpis yra trumpesnis (iki 2030 m.)</w:t>
      </w:r>
      <w:r w:rsidR="00CC6880" w:rsidRPr="00650EE4">
        <w:rPr>
          <w:rFonts w:ascii="Times New Roman" w:hAnsi="Times New Roman"/>
          <w:szCs w:val="22"/>
          <w:lang w:val="lt-LT"/>
        </w:rPr>
        <w:t xml:space="preserve">, jame neatsispindi ambicingesni IRS </w:t>
      </w:r>
      <w:r w:rsidR="00F51047">
        <w:rPr>
          <w:rFonts w:ascii="Times New Roman" w:hAnsi="Times New Roman"/>
          <w:szCs w:val="22"/>
          <w:lang w:val="lt-LT"/>
        </w:rPr>
        <w:t>rodikliai</w:t>
      </w:r>
      <w:r w:rsidR="00CC6880" w:rsidRPr="00650EE4">
        <w:rPr>
          <w:rFonts w:ascii="Times New Roman" w:hAnsi="Times New Roman"/>
          <w:szCs w:val="22"/>
          <w:lang w:val="lt-LT"/>
        </w:rPr>
        <w:t xml:space="preserve">. </w:t>
      </w:r>
      <w:r w:rsidR="005069B2" w:rsidRPr="00650EE4">
        <w:rPr>
          <w:rFonts w:ascii="Times New Roman" w:hAnsi="Times New Roman"/>
          <w:szCs w:val="22"/>
          <w:lang w:val="lt-LT"/>
        </w:rPr>
        <w:t>Nacionalin</w:t>
      </w:r>
      <w:r w:rsidR="00462E81">
        <w:rPr>
          <w:rFonts w:ascii="Times New Roman" w:hAnsi="Times New Roman"/>
          <w:szCs w:val="22"/>
          <w:lang w:val="lt-LT"/>
        </w:rPr>
        <w:t>ė</w:t>
      </w:r>
      <w:r w:rsidR="005069B2" w:rsidRPr="00650EE4">
        <w:rPr>
          <w:rFonts w:ascii="Times New Roman" w:hAnsi="Times New Roman"/>
          <w:szCs w:val="22"/>
          <w:lang w:val="lt-LT"/>
        </w:rPr>
        <w:t xml:space="preserve"> pažangos </w:t>
      </w:r>
      <w:r w:rsidR="00462E81">
        <w:rPr>
          <w:rFonts w:ascii="Times New Roman" w:hAnsi="Times New Roman"/>
          <w:szCs w:val="22"/>
          <w:lang w:val="lt-LT"/>
        </w:rPr>
        <w:t>programa</w:t>
      </w:r>
      <w:r w:rsidR="005069B2" w:rsidRPr="00650EE4">
        <w:rPr>
          <w:rFonts w:ascii="Times New Roman" w:hAnsi="Times New Roman"/>
          <w:szCs w:val="22"/>
          <w:lang w:val="lt-LT"/>
        </w:rPr>
        <w:t xml:space="preserve"> – pagrindinis valstybinis strateginis dokumentas</w:t>
      </w:r>
      <w:r w:rsidR="00DA440D" w:rsidRPr="00650EE4">
        <w:rPr>
          <w:rFonts w:ascii="Times New Roman" w:hAnsi="Times New Roman"/>
          <w:szCs w:val="22"/>
          <w:lang w:val="lt-LT"/>
        </w:rPr>
        <w:t>, integruojantis skirtingų sričių tikslus ir siektinus rodiklius.</w:t>
      </w:r>
    </w:p>
    <w:p w14:paraId="4CCA67B1" w14:textId="77777777" w:rsidR="00CC6880" w:rsidRPr="00650EE4" w:rsidRDefault="00CC6880" w:rsidP="009E5804">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6880" w:rsidRPr="00650EE4" w14:paraId="55EC5760" w14:textId="77777777" w:rsidTr="00492041">
        <w:trPr>
          <w:trHeight w:val="108"/>
        </w:trPr>
        <w:tc>
          <w:tcPr>
            <w:tcW w:w="3114" w:type="dxa"/>
          </w:tcPr>
          <w:p w14:paraId="0BF8D290"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33C9350" w14:textId="0CF23810"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 xml:space="preserve">B1.  Nepakankamas </w:t>
            </w:r>
            <w:proofErr w:type="spellStart"/>
            <w:r w:rsidRPr="00650EE4">
              <w:rPr>
                <w:rFonts w:ascii="Times New Roman" w:hAnsi="Times New Roman"/>
                <w:szCs w:val="22"/>
                <w:lang w:eastAsia="lt-LT"/>
              </w:rPr>
              <w:t>tarpinstitucinis</w:t>
            </w:r>
            <w:proofErr w:type="spellEnd"/>
            <w:r w:rsidRPr="00650EE4">
              <w:rPr>
                <w:rFonts w:ascii="Times New Roman" w:hAnsi="Times New Roman"/>
                <w:szCs w:val="22"/>
                <w:lang w:eastAsia="lt-LT"/>
              </w:rPr>
              <w:t xml:space="preserve"> veiksmų koordinavimas</w:t>
            </w:r>
          </w:p>
        </w:tc>
      </w:tr>
      <w:tr w:rsidR="00CC6880" w:rsidRPr="00650EE4" w14:paraId="4EE66E0D" w14:textId="77777777" w:rsidTr="00492041">
        <w:trPr>
          <w:trHeight w:val="71"/>
        </w:trPr>
        <w:tc>
          <w:tcPr>
            <w:tcW w:w="3114" w:type="dxa"/>
          </w:tcPr>
          <w:p w14:paraId="66E0EC9E"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DE25512"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 xml:space="preserve">Susijusių teisės aktų atnaujinimas </w:t>
            </w:r>
          </w:p>
        </w:tc>
      </w:tr>
      <w:tr w:rsidR="00CC6880" w:rsidRPr="00662A10" w14:paraId="36C2F878" w14:textId="77777777" w:rsidTr="00492041">
        <w:trPr>
          <w:trHeight w:val="61"/>
        </w:trPr>
        <w:tc>
          <w:tcPr>
            <w:tcW w:w="3114" w:type="dxa"/>
          </w:tcPr>
          <w:p w14:paraId="7918D2BE"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859C40D"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6880" w:rsidRPr="00650EE4" w14:paraId="12EAE898" w14:textId="77777777" w:rsidTr="00492041">
        <w:trPr>
          <w:trHeight w:val="61"/>
        </w:trPr>
        <w:tc>
          <w:tcPr>
            <w:tcW w:w="3114" w:type="dxa"/>
          </w:tcPr>
          <w:p w14:paraId="70C2F3F3"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215A1C0"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58E9B848" w14:textId="77777777" w:rsidR="00CC6880" w:rsidRPr="00650EE4" w:rsidRDefault="00CC6880" w:rsidP="00CC6880">
      <w:pPr>
        <w:spacing w:after="120"/>
        <w:rPr>
          <w:rFonts w:ascii="Times New Roman" w:hAnsi="Times New Roman"/>
          <w:color w:val="000000" w:themeColor="text1"/>
          <w:szCs w:val="22"/>
        </w:rPr>
      </w:pPr>
    </w:p>
    <w:p w14:paraId="451ED39F" w14:textId="5B414E3D" w:rsidR="00125EA0" w:rsidRPr="00650EE4" w:rsidRDefault="00125EA0" w:rsidP="00BC7B57">
      <w:pPr>
        <w:spacing w:after="120"/>
        <w:jc w:val="both"/>
        <w:rPr>
          <w:rFonts w:ascii="Times New Roman" w:hAnsi="Times New Roman"/>
          <w:b/>
          <w:bCs/>
          <w:szCs w:val="24"/>
        </w:rPr>
      </w:pPr>
      <w:r w:rsidRPr="00650EE4">
        <w:rPr>
          <w:rFonts w:ascii="Times New Roman" w:hAnsi="Times New Roman"/>
          <w:b/>
          <w:bCs/>
          <w:szCs w:val="24"/>
        </w:rPr>
        <w:t xml:space="preserve">P4. </w:t>
      </w:r>
      <w:r w:rsidR="00E81B83" w:rsidRPr="00650EE4">
        <w:rPr>
          <w:rFonts w:ascii="Times New Roman" w:hAnsi="Times New Roman"/>
          <w:b/>
          <w:bCs/>
          <w:szCs w:val="24"/>
        </w:rPr>
        <w:t>Svarbesnis</w:t>
      </w:r>
      <w:r w:rsidR="00BC7B57" w:rsidRPr="00650EE4">
        <w:rPr>
          <w:rFonts w:ascii="Times New Roman" w:hAnsi="Times New Roman"/>
          <w:b/>
          <w:bCs/>
          <w:szCs w:val="24"/>
        </w:rPr>
        <w:t xml:space="preserve"> savivaldos lygmens vaidmuo</w:t>
      </w:r>
    </w:p>
    <w:p w14:paraId="215533A6" w14:textId="2E5CF898" w:rsidR="00BC7B57" w:rsidRPr="00650EE4" w:rsidRDefault="00BC7B57" w:rsidP="00BC7B57">
      <w:pPr>
        <w:spacing w:before="60" w:after="120"/>
        <w:jc w:val="both"/>
        <w:rPr>
          <w:rFonts w:ascii="Times New Roman" w:hAnsi="Times New Roman"/>
          <w:szCs w:val="22"/>
        </w:rPr>
      </w:pPr>
      <w:r w:rsidRPr="00650EE4">
        <w:rPr>
          <w:rFonts w:ascii="Times New Roman" w:hAnsi="Times New Roman"/>
          <w:color w:val="000000" w:themeColor="text1"/>
          <w:szCs w:val="22"/>
        </w:rPr>
        <w:t xml:space="preserve">Skirtingi pastatų fondo segmentai turi skirtingus poreikius, reikalaujančius skirtingų renovacijos priemonių padedančių tą naudą realizuoti. </w:t>
      </w:r>
      <w:r w:rsidR="00426C06">
        <w:rPr>
          <w:rFonts w:ascii="Times New Roman" w:hAnsi="Times New Roman"/>
          <w:szCs w:val="22"/>
        </w:rPr>
        <w:t>T</w:t>
      </w:r>
      <w:r w:rsidRPr="00650EE4">
        <w:rPr>
          <w:rFonts w:ascii="Times New Roman" w:hAnsi="Times New Roman"/>
          <w:szCs w:val="22"/>
        </w:rPr>
        <w:t xml:space="preserve">am, kad tie poreikiai būtų </w:t>
      </w:r>
      <w:proofErr w:type="spellStart"/>
      <w:r w:rsidRPr="00650EE4">
        <w:rPr>
          <w:rFonts w:ascii="Times New Roman" w:hAnsi="Times New Roman"/>
          <w:szCs w:val="22"/>
        </w:rPr>
        <w:t>sistemiškai</w:t>
      </w:r>
      <w:proofErr w:type="spellEnd"/>
      <w:r w:rsidRPr="00650EE4">
        <w:rPr>
          <w:rFonts w:ascii="Times New Roman" w:hAnsi="Times New Roman"/>
          <w:szCs w:val="22"/>
        </w:rPr>
        <w:t xml:space="preserve"> išgirsti ir įgyvendinti, reikalingas aktyvesnis savivaldos lygmens įsitraukimas (t.y. arčiausiai vartotojo esantis, geriausiai vartotoją pažįstantis valdymo lygmuo). Be to, </w:t>
      </w:r>
      <w:r w:rsidRPr="00650EE4">
        <w:rPr>
          <w:rFonts w:ascii="Times New Roman" w:hAnsi="Times New Roman"/>
          <w:color w:val="000000" w:themeColor="text1"/>
          <w:szCs w:val="22"/>
        </w:rPr>
        <w:t xml:space="preserve">daugiabučių renovacijos programos patirtis </w:t>
      </w:r>
      <w:r w:rsidRPr="00650EE4">
        <w:rPr>
          <w:rFonts w:ascii="Times New Roman" w:hAnsi="Times New Roman"/>
          <w:szCs w:val="22"/>
        </w:rPr>
        <w:t>iliustruoja, kad būtent savivaldos gebėjimai ir motyvacija yra kritiniai renovacijos sėkmės faktoriai arba atvirkščiai - barjerai.</w:t>
      </w:r>
    </w:p>
    <w:p w14:paraId="35163662" w14:textId="28757717" w:rsidR="007F53A0" w:rsidRPr="00650EE4" w:rsidRDefault="007F53A0" w:rsidP="007F53A0">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Tam, kad įgalinti aktyvesnį savivaldos įsitraukimą, reikalingas savivaldos vaidmens ir atsakomybių modelio formalizavimas, pasirenkant įpareigojimo (pvz., numatant naujus įpareigojimus L</w:t>
      </w:r>
      <w:r w:rsidR="00426C06">
        <w:rPr>
          <w:rFonts w:ascii="Times New Roman" w:hAnsi="Times New Roman"/>
          <w:color w:val="000000" w:themeColor="text1"/>
          <w:szCs w:val="22"/>
        </w:rPr>
        <w:t xml:space="preserve">ietuvos </w:t>
      </w:r>
      <w:r w:rsidRPr="00650EE4">
        <w:rPr>
          <w:rFonts w:ascii="Times New Roman" w:hAnsi="Times New Roman"/>
          <w:color w:val="000000" w:themeColor="text1"/>
          <w:szCs w:val="22"/>
        </w:rPr>
        <w:t>R</w:t>
      </w:r>
      <w:r w:rsidR="00426C06">
        <w:rPr>
          <w:rFonts w:ascii="Times New Roman" w:hAnsi="Times New Roman"/>
          <w:color w:val="000000" w:themeColor="text1"/>
          <w:szCs w:val="22"/>
        </w:rPr>
        <w:t>espublikos</w:t>
      </w:r>
      <w:r w:rsidRPr="00650EE4">
        <w:rPr>
          <w:rFonts w:ascii="Times New Roman" w:hAnsi="Times New Roman"/>
          <w:color w:val="000000" w:themeColor="text1"/>
          <w:szCs w:val="22"/>
        </w:rPr>
        <w:t xml:space="preserve"> savivaldos įstatyme) arba susitarimo formatą (pvz., pasirašant susitarimus su kiekviena savivaldybe), bei nustatant su IRS vykdymu susijusius įpareigojimus pvz. surinkti duomenis apie savivaldybių pastatų fondą (žr. P2  priemonę), parengti savivaldybių IRS įgyvendinimo planus, įgyvendinti vieno langelio principą (žr. P18 priemonę) ir kt. </w:t>
      </w:r>
      <w:r w:rsidR="00747A06" w:rsidRPr="00650EE4">
        <w:rPr>
          <w:rFonts w:ascii="Times New Roman" w:hAnsi="Times New Roman"/>
          <w:color w:val="000000" w:themeColor="text1"/>
          <w:szCs w:val="22"/>
        </w:rPr>
        <w:t>Kartu su atsakomybėmis turėtų būti numatomas ir modelio finansavimo mechanizmas.</w:t>
      </w:r>
    </w:p>
    <w:p w14:paraId="58D0FB47" w14:textId="0FFC7AE5" w:rsidR="00E37ED8" w:rsidRPr="00650EE4" w:rsidRDefault="00E37ED8" w:rsidP="00E37ED8">
      <w:pPr>
        <w:pStyle w:val="BodyText"/>
        <w:jc w:val="both"/>
        <w:rPr>
          <w:rFonts w:ascii="Times New Roman" w:hAnsi="Times New Roman"/>
          <w:szCs w:val="22"/>
          <w:lang w:val="lt-LT"/>
        </w:rPr>
      </w:pPr>
      <w:r w:rsidRPr="00650EE4">
        <w:rPr>
          <w:rFonts w:ascii="Times New Roman" w:hAnsi="Times New Roman"/>
          <w:color w:val="000000" w:themeColor="text1"/>
          <w:szCs w:val="22"/>
          <w:lang w:val="lt-LT"/>
        </w:rPr>
        <w:lastRenderedPageBreak/>
        <w:t>Kaip pavyzdinis mechanizavimas galėtų būti naudojamas AEI tikslų nustatymo modelis</w:t>
      </w:r>
      <w:r w:rsidRPr="00650EE4">
        <w:rPr>
          <w:rFonts w:ascii="Times New Roman" w:hAnsi="Times New Roman"/>
          <w:color w:val="000000" w:themeColor="text1"/>
          <w:vertAlign w:val="superscript"/>
          <w:lang w:val="lt-LT"/>
        </w:rPr>
        <w:footnoteReference w:id="52"/>
      </w:r>
      <w:r w:rsidRPr="00650EE4">
        <w:rPr>
          <w:rFonts w:ascii="Times New Roman" w:hAnsi="Times New Roman"/>
          <w:color w:val="000000" w:themeColor="text1"/>
          <w:szCs w:val="22"/>
          <w:lang w:val="lt-LT"/>
        </w:rPr>
        <w:t>: L</w:t>
      </w:r>
      <w:r w:rsidR="00426C06">
        <w:rPr>
          <w:rFonts w:ascii="Times New Roman" w:hAnsi="Times New Roman"/>
          <w:color w:val="000000" w:themeColor="text1"/>
          <w:szCs w:val="22"/>
          <w:lang w:val="lt-LT"/>
        </w:rPr>
        <w:t xml:space="preserve">ietuvos </w:t>
      </w:r>
      <w:r w:rsidRPr="00650EE4">
        <w:rPr>
          <w:rFonts w:ascii="Times New Roman" w:hAnsi="Times New Roman"/>
          <w:color w:val="000000" w:themeColor="text1"/>
          <w:szCs w:val="22"/>
          <w:lang w:val="lt-LT"/>
        </w:rPr>
        <w:t>R</w:t>
      </w:r>
      <w:r w:rsidR="00426C06">
        <w:rPr>
          <w:rFonts w:ascii="Times New Roman" w:hAnsi="Times New Roman"/>
          <w:color w:val="000000" w:themeColor="text1"/>
          <w:szCs w:val="22"/>
          <w:lang w:val="lt-LT"/>
        </w:rPr>
        <w:t>espublikos</w:t>
      </w:r>
      <w:r w:rsidRPr="00650EE4">
        <w:rPr>
          <w:rFonts w:ascii="Times New Roman" w:hAnsi="Times New Roman"/>
          <w:color w:val="000000" w:themeColor="text1"/>
          <w:szCs w:val="22"/>
          <w:lang w:val="lt-LT"/>
        </w:rPr>
        <w:t xml:space="preserve"> atsinaujinančių išteklių energetikos įstatyme numatyta, kad L</w:t>
      </w:r>
      <w:r w:rsidR="00426C06">
        <w:rPr>
          <w:rFonts w:ascii="Times New Roman" w:hAnsi="Times New Roman"/>
          <w:color w:val="000000" w:themeColor="text1"/>
          <w:szCs w:val="22"/>
          <w:lang w:val="lt-LT"/>
        </w:rPr>
        <w:t xml:space="preserve">ietuvos </w:t>
      </w:r>
      <w:r w:rsidRPr="00650EE4">
        <w:rPr>
          <w:rFonts w:ascii="Times New Roman" w:hAnsi="Times New Roman"/>
          <w:color w:val="000000" w:themeColor="text1"/>
          <w:szCs w:val="22"/>
          <w:lang w:val="lt-LT"/>
        </w:rPr>
        <w:t>R</w:t>
      </w:r>
      <w:r w:rsidR="00426C06">
        <w:rPr>
          <w:rFonts w:ascii="Times New Roman" w:hAnsi="Times New Roman"/>
          <w:color w:val="000000" w:themeColor="text1"/>
          <w:szCs w:val="22"/>
          <w:lang w:val="lt-LT"/>
        </w:rPr>
        <w:t xml:space="preserve">espublikos </w:t>
      </w:r>
      <w:r w:rsidRPr="00650EE4">
        <w:rPr>
          <w:rFonts w:ascii="Times New Roman" w:hAnsi="Times New Roman"/>
          <w:color w:val="000000" w:themeColor="text1"/>
          <w:szCs w:val="22"/>
          <w:lang w:val="lt-LT"/>
        </w:rPr>
        <w:t>V</w:t>
      </w:r>
      <w:r w:rsidR="00426C06">
        <w:rPr>
          <w:rFonts w:ascii="Times New Roman" w:hAnsi="Times New Roman"/>
          <w:color w:val="000000" w:themeColor="text1"/>
          <w:szCs w:val="22"/>
          <w:lang w:val="lt-LT"/>
        </w:rPr>
        <w:t>yriausybė</w:t>
      </w:r>
      <w:r w:rsidRPr="00650EE4">
        <w:rPr>
          <w:rFonts w:ascii="Times New Roman" w:hAnsi="Times New Roman"/>
          <w:color w:val="000000" w:themeColor="text1"/>
          <w:szCs w:val="22"/>
          <w:lang w:val="lt-LT"/>
        </w:rPr>
        <w:t xml:space="preserve"> nustato savivaldybėms minimalius privalomus pasiekti atsinaujinančių išteklių energijos naudojimo planinius rodiklius ir derina savivaldybių AEI naudojimo plėtros veiksmų planų projektus. Atitinkamai turėtų būti suderinti ir</w:t>
      </w:r>
      <w:r w:rsidR="00426C06">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w:t>
      </w:r>
      <w:r w:rsidR="00426C06">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arba integruoti savivaldybių žemesnio lygio planavimo dokumentai: savivaldybių AEI</w:t>
      </w:r>
      <w:r w:rsidRPr="00650EE4">
        <w:rPr>
          <w:rFonts w:ascii="Times New Roman" w:hAnsi="Times New Roman"/>
          <w:szCs w:val="22"/>
          <w:lang w:val="lt-LT"/>
        </w:rPr>
        <w:t xml:space="preserve"> naudojimo plėtros veiksmų planai, savivaldybių šilumos ūkio specialieji planai ir kt.</w:t>
      </w:r>
    </w:p>
    <w:p w14:paraId="017DFFF0" w14:textId="77777777" w:rsidR="005E67FE" w:rsidRPr="00650EE4" w:rsidRDefault="005E67FE" w:rsidP="005E67FE">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125EA0" w:rsidRPr="00650EE4" w14:paraId="2A3EFC72" w14:textId="77777777" w:rsidTr="006A60B7">
        <w:trPr>
          <w:trHeight w:val="61"/>
        </w:trPr>
        <w:tc>
          <w:tcPr>
            <w:tcW w:w="3114" w:type="dxa"/>
          </w:tcPr>
          <w:p w14:paraId="6A280A14"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0EB38638" w14:textId="77777777" w:rsidR="00860E93" w:rsidRPr="00650EE4" w:rsidRDefault="00860E93" w:rsidP="00860E93">
            <w:pPr>
              <w:spacing w:after="60"/>
              <w:rPr>
                <w:rFonts w:ascii="Times New Roman" w:hAnsi="Times New Roman"/>
                <w:szCs w:val="22"/>
                <w:lang w:eastAsia="lt-LT"/>
              </w:rPr>
            </w:pPr>
            <w:r w:rsidRPr="00650EE4">
              <w:rPr>
                <w:rFonts w:ascii="Times New Roman" w:hAnsi="Times New Roman"/>
                <w:szCs w:val="22"/>
                <w:lang w:eastAsia="lt-LT"/>
              </w:rPr>
              <w:t>B2. Nepatikima (asimetrinė) informacija</w:t>
            </w:r>
          </w:p>
          <w:p w14:paraId="1D178466" w14:textId="627498C9" w:rsidR="00125EA0" w:rsidRPr="00650EE4" w:rsidRDefault="00860E93" w:rsidP="00E81B83">
            <w:pPr>
              <w:spacing w:after="60"/>
              <w:rPr>
                <w:rFonts w:ascii="Times New Roman" w:hAnsi="Times New Roman"/>
                <w:szCs w:val="22"/>
                <w:lang w:eastAsia="lt-LT"/>
              </w:rPr>
            </w:pPr>
            <w:r w:rsidRPr="00650EE4">
              <w:rPr>
                <w:rFonts w:ascii="Times New Roman" w:hAnsi="Times New Roman"/>
                <w:szCs w:val="22"/>
                <w:lang w:eastAsia="lt-LT"/>
              </w:rPr>
              <w:t>B3. Nepakankamas savivaldos įtraukimas</w:t>
            </w:r>
          </w:p>
        </w:tc>
      </w:tr>
      <w:tr w:rsidR="00125EA0" w:rsidRPr="00650EE4" w14:paraId="01CFFE80" w14:textId="77777777" w:rsidTr="006A60B7">
        <w:trPr>
          <w:trHeight w:val="146"/>
        </w:trPr>
        <w:tc>
          <w:tcPr>
            <w:tcW w:w="3114" w:type="dxa"/>
          </w:tcPr>
          <w:p w14:paraId="4D676E84"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4079446" w14:textId="7CE42C82" w:rsidR="00125EA0" w:rsidRPr="00650EE4" w:rsidRDefault="00125EA0" w:rsidP="00F51047">
            <w:pPr>
              <w:spacing w:after="60"/>
              <w:rPr>
                <w:rFonts w:ascii="Times New Roman" w:hAnsi="Times New Roman"/>
                <w:szCs w:val="22"/>
                <w:lang w:eastAsia="lt-LT"/>
              </w:rPr>
            </w:pPr>
            <w:r w:rsidRPr="00650EE4">
              <w:rPr>
                <w:rFonts w:ascii="Times New Roman" w:hAnsi="Times New Roman"/>
                <w:szCs w:val="22"/>
                <w:lang w:eastAsia="lt-LT"/>
              </w:rPr>
              <w:t xml:space="preserve">IRS </w:t>
            </w:r>
            <w:r w:rsidR="00F51047">
              <w:rPr>
                <w:rFonts w:ascii="Times New Roman" w:hAnsi="Times New Roman"/>
                <w:szCs w:val="22"/>
                <w:lang w:eastAsia="lt-LT"/>
              </w:rPr>
              <w:t>rodiklių</w:t>
            </w:r>
            <w:r w:rsidRPr="00650EE4">
              <w:rPr>
                <w:rFonts w:ascii="Times New Roman" w:hAnsi="Times New Roman"/>
                <w:szCs w:val="22"/>
                <w:lang w:eastAsia="lt-LT"/>
              </w:rPr>
              <w:t xml:space="preserve"> </w:t>
            </w:r>
            <w:r w:rsidR="00E81B83" w:rsidRPr="00650EE4">
              <w:rPr>
                <w:rFonts w:ascii="Times New Roman" w:hAnsi="Times New Roman"/>
                <w:szCs w:val="22"/>
                <w:lang w:eastAsia="lt-LT"/>
              </w:rPr>
              <w:t>integravimas į savivaldos planavimo dokumentus</w:t>
            </w:r>
          </w:p>
        </w:tc>
      </w:tr>
      <w:tr w:rsidR="00125EA0" w:rsidRPr="00650EE4" w14:paraId="37F27517" w14:textId="77777777" w:rsidTr="006A60B7">
        <w:trPr>
          <w:trHeight w:val="61"/>
        </w:trPr>
        <w:tc>
          <w:tcPr>
            <w:tcW w:w="3114" w:type="dxa"/>
          </w:tcPr>
          <w:p w14:paraId="23632967"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E38110A" w14:textId="77777777" w:rsidR="00125EA0" w:rsidRPr="00650EE4" w:rsidRDefault="00125EA0"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125EA0" w:rsidRPr="00650EE4" w14:paraId="6B8AB4FF" w14:textId="77777777" w:rsidTr="006A60B7">
        <w:trPr>
          <w:trHeight w:val="71"/>
        </w:trPr>
        <w:tc>
          <w:tcPr>
            <w:tcW w:w="3114" w:type="dxa"/>
          </w:tcPr>
          <w:p w14:paraId="6B82BFA1"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1FE803F" w14:textId="77777777" w:rsidR="00125EA0" w:rsidRPr="00650EE4" w:rsidRDefault="00125EA0" w:rsidP="006A60B7">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64034DAD" w14:textId="77777777" w:rsidR="00426C06" w:rsidRDefault="00426C06" w:rsidP="00083A7E">
      <w:pPr>
        <w:spacing w:after="120"/>
        <w:jc w:val="both"/>
        <w:rPr>
          <w:rFonts w:ascii="Times New Roman" w:hAnsi="Times New Roman"/>
          <w:b/>
          <w:bCs/>
          <w:szCs w:val="24"/>
        </w:rPr>
      </w:pPr>
    </w:p>
    <w:p w14:paraId="1CB87411" w14:textId="4095CD06" w:rsidR="006B7871" w:rsidRPr="00650EE4" w:rsidRDefault="006B7871" w:rsidP="00083A7E">
      <w:pPr>
        <w:spacing w:after="120"/>
        <w:jc w:val="both"/>
        <w:rPr>
          <w:rFonts w:ascii="Times New Roman" w:hAnsi="Times New Roman"/>
          <w:b/>
          <w:bCs/>
          <w:szCs w:val="24"/>
        </w:rPr>
      </w:pPr>
      <w:r w:rsidRPr="00650EE4">
        <w:rPr>
          <w:rFonts w:ascii="Times New Roman" w:hAnsi="Times New Roman"/>
          <w:b/>
          <w:bCs/>
          <w:szCs w:val="24"/>
        </w:rPr>
        <w:t>P</w:t>
      </w:r>
      <w:r w:rsidR="00F55910" w:rsidRPr="00650EE4">
        <w:rPr>
          <w:rFonts w:ascii="Times New Roman" w:hAnsi="Times New Roman"/>
          <w:b/>
          <w:bCs/>
          <w:szCs w:val="24"/>
        </w:rPr>
        <w:t>5</w:t>
      </w:r>
      <w:r w:rsidRPr="00650EE4">
        <w:rPr>
          <w:rFonts w:ascii="Times New Roman" w:hAnsi="Times New Roman"/>
          <w:b/>
          <w:bCs/>
          <w:szCs w:val="24"/>
        </w:rPr>
        <w:t xml:space="preserve">. </w:t>
      </w:r>
      <w:proofErr w:type="spellStart"/>
      <w:r w:rsidRPr="00650EE4">
        <w:rPr>
          <w:rFonts w:ascii="Times New Roman" w:hAnsi="Times New Roman"/>
          <w:b/>
          <w:bCs/>
          <w:szCs w:val="24"/>
        </w:rPr>
        <w:t>Stebėsenos</w:t>
      </w:r>
      <w:proofErr w:type="spellEnd"/>
      <w:r w:rsidRPr="00650EE4">
        <w:rPr>
          <w:rFonts w:ascii="Times New Roman" w:hAnsi="Times New Roman"/>
          <w:b/>
          <w:bCs/>
          <w:szCs w:val="24"/>
        </w:rPr>
        <w:t xml:space="preserve"> (monitoringo) sistem</w:t>
      </w:r>
      <w:r w:rsidR="00ED4A0D" w:rsidRPr="00650EE4">
        <w:rPr>
          <w:rFonts w:ascii="Times New Roman" w:hAnsi="Times New Roman"/>
          <w:b/>
          <w:bCs/>
          <w:szCs w:val="24"/>
        </w:rPr>
        <w:t>a</w:t>
      </w:r>
    </w:p>
    <w:p w14:paraId="615453FC" w14:textId="546CE683" w:rsidR="006B7871" w:rsidRPr="00650EE4" w:rsidRDefault="00205C40" w:rsidP="00C93E1F">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IRS yra ilgalaikio planavimo dokumentas, kuris </w:t>
      </w:r>
      <w:r w:rsidR="004F21B8" w:rsidRPr="00650EE4">
        <w:rPr>
          <w:rFonts w:ascii="Times New Roman" w:hAnsi="Times New Roman"/>
          <w:color w:val="000000" w:themeColor="text1"/>
          <w:szCs w:val="22"/>
        </w:rPr>
        <w:t>bus periodiškai atnaujinimas,</w:t>
      </w:r>
      <w:r w:rsidRPr="00650EE4">
        <w:rPr>
          <w:rFonts w:ascii="Times New Roman" w:hAnsi="Times New Roman"/>
          <w:color w:val="000000" w:themeColor="text1"/>
          <w:szCs w:val="22"/>
        </w:rPr>
        <w:t xml:space="preserve"> atsižvelgiant į pasiektus rezultatus</w:t>
      </w:r>
      <w:r w:rsidR="00D77B8B" w:rsidRPr="00650EE4">
        <w:rPr>
          <w:rFonts w:ascii="Times New Roman" w:hAnsi="Times New Roman"/>
          <w:color w:val="000000" w:themeColor="text1"/>
          <w:szCs w:val="22"/>
        </w:rPr>
        <w:t>, išmoktas pamokas, naujas</w:t>
      </w:r>
      <w:r w:rsidR="004F21B8" w:rsidRPr="00650EE4">
        <w:rPr>
          <w:rFonts w:ascii="Times New Roman" w:hAnsi="Times New Roman"/>
          <w:color w:val="000000" w:themeColor="text1"/>
          <w:szCs w:val="22"/>
        </w:rPr>
        <w:t xml:space="preserve"> statybų</w:t>
      </w:r>
      <w:r w:rsidR="00D77B8B" w:rsidRPr="00650EE4">
        <w:rPr>
          <w:rFonts w:ascii="Times New Roman" w:hAnsi="Times New Roman"/>
          <w:color w:val="000000" w:themeColor="text1"/>
          <w:szCs w:val="22"/>
        </w:rPr>
        <w:t xml:space="preserve"> technologijas ir sprendimus, ES masto iniciatyvas, kintančią šalies ekonominę, socialinę ir pan. situaciją ir kitus </w:t>
      </w:r>
      <w:r w:rsidR="004F21B8" w:rsidRPr="00650EE4">
        <w:rPr>
          <w:rFonts w:ascii="Times New Roman" w:hAnsi="Times New Roman"/>
          <w:color w:val="000000" w:themeColor="text1"/>
          <w:szCs w:val="22"/>
        </w:rPr>
        <w:t xml:space="preserve">vidinės ar išorinės aplinkos </w:t>
      </w:r>
      <w:r w:rsidR="00D77B8B" w:rsidRPr="00650EE4">
        <w:rPr>
          <w:rFonts w:ascii="Times New Roman" w:hAnsi="Times New Roman"/>
          <w:color w:val="000000" w:themeColor="text1"/>
          <w:szCs w:val="22"/>
        </w:rPr>
        <w:t xml:space="preserve">veiksnius. </w:t>
      </w:r>
      <w:r w:rsidR="004F21B8" w:rsidRPr="00650EE4">
        <w:rPr>
          <w:rFonts w:ascii="Times New Roman" w:hAnsi="Times New Roman"/>
          <w:color w:val="000000" w:themeColor="text1"/>
          <w:szCs w:val="22"/>
        </w:rPr>
        <w:t>Taip pat bus reikalingi duomenys IRS pažangos ataskaitoms. Atitinkamai,</w:t>
      </w:r>
      <w:r w:rsidR="007A52B6">
        <w:rPr>
          <w:rFonts w:ascii="Times New Roman" w:hAnsi="Times New Roman"/>
          <w:color w:val="000000" w:themeColor="text1"/>
          <w:szCs w:val="22"/>
        </w:rPr>
        <w:t xml:space="preserve"> be p</w:t>
      </w:r>
      <w:r w:rsidR="00EE0461" w:rsidRPr="00650EE4">
        <w:rPr>
          <w:rFonts w:ascii="Times New Roman" w:hAnsi="Times New Roman"/>
          <w:color w:val="000000" w:themeColor="text1"/>
          <w:szCs w:val="22"/>
        </w:rPr>
        <w:t xml:space="preserve">astatų fondo inventorizacijos ir duomenų bazės sukūrimo (P2 priemonė) atsiranda poreikis ir </w:t>
      </w:r>
      <w:r w:rsidR="004F21B8" w:rsidRPr="00650EE4">
        <w:rPr>
          <w:rFonts w:ascii="Times New Roman" w:hAnsi="Times New Roman"/>
          <w:color w:val="000000" w:themeColor="text1"/>
          <w:szCs w:val="22"/>
        </w:rPr>
        <w:t xml:space="preserve">tuos duomenis pritaikyti IRS </w:t>
      </w:r>
      <w:proofErr w:type="spellStart"/>
      <w:r w:rsidR="00B8506E" w:rsidRPr="00650EE4">
        <w:rPr>
          <w:rFonts w:ascii="Times New Roman" w:hAnsi="Times New Roman"/>
          <w:color w:val="000000" w:themeColor="text1"/>
          <w:szCs w:val="22"/>
        </w:rPr>
        <w:t>stebėsenai</w:t>
      </w:r>
      <w:proofErr w:type="spellEnd"/>
      <w:r w:rsidR="004F21B8" w:rsidRPr="00650EE4">
        <w:rPr>
          <w:rFonts w:ascii="Times New Roman" w:hAnsi="Times New Roman"/>
          <w:color w:val="000000" w:themeColor="text1"/>
          <w:szCs w:val="22"/>
        </w:rPr>
        <w:t xml:space="preserve"> (tiek metodiškai, tiek sukuriant tam reikalingus įrankius). </w:t>
      </w:r>
    </w:p>
    <w:p w14:paraId="162D8A5D" w14:textId="77777777" w:rsidR="006B7871" w:rsidRPr="00650EE4" w:rsidRDefault="006B7871" w:rsidP="00C93E1F">
      <w:pPr>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860E93" w:rsidRPr="00650EE4" w14:paraId="4BBC59ED" w14:textId="77777777" w:rsidTr="00492041">
        <w:trPr>
          <w:trHeight w:val="61"/>
        </w:trPr>
        <w:tc>
          <w:tcPr>
            <w:tcW w:w="3114" w:type="dxa"/>
          </w:tcPr>
          <w:p w14:paraId="054D302D"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7D3DED0F" w14:textId="125B5378" w:rsidR="00860E93" w:rsidRPr="00650EE4" w:rsidRDefault="00860E93" w:rsidP="00492041">
            <w:pPr>
              <w:spacing w:after="60"/>
              <w:rPr>
                <w:rFonts w:ascii="Times New Roman" w:hAnsi="Times New Roman"/>
                <w:szCs w:val="22"/>
                <w:lang w:eastAsia="lt-LT"/>
              </w:rPr>
            </w:pPr>
            <w:r w:rsidRPr="00650EE4">
              <w:rPr>
                <w:rFonts w:ascii="Times New Roman" w:hAnsi="Times New Roman"/>
                <w:szCs w:val="22"/>
                <w:lang w:eastAsia="lt-LT"/>
              </w:rPr>
              <w:t>B3. Nepakankamas savivaldos įtraukimas</w:t>
            </w:r>
          </w:p>
        </w:tc>
      </w:tr>
      <w:tr w:rsidR="00860E93" w:rsidRPr="00650EE4" w14:paraId="13D3C250" w14:textId="77777777" w:rsidTr="00492041">
        <w:trPr>
          <w:trHeight w:val="146"/>
        </w:trPr>
        <w:tc>
          <w:tcPr>
            <w:tcW w:w="3114" w:type="dxa"/>
          </w:tcPr>
          <w:p w14:paraId="13D2AE25"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46F7B24" w14:textId="232B46D1" w:rsidR="00860E93" w:rsidRPr="00650EE4" w:rsidRDefault="004F21B8" w:rsidP="004F21B8">
            <w:pPr>
              <w:spacing w:after="60"/>
              <w:rPr>
                <w:rFonts w:ascii="Times New Roman" w:hAnsi="Times New Roman"/>
                <w:szCs w:val="22"/>
                <w:lang w:eastAsia="lt-LT"/>
              </w:rPr>
            </w:pPr>
            <w:r w:rsidRPr="00650EE4">
              <w:rPr>
                <w:rFonts w:ascii="Times New Roman" w:hAnsi="Times New Roman"/>
                <w:szCs w:val="22"/>
                <w:lang w:eastAsia="lt-LT"/>
              </w:rPr>
              <w:t xml:space="preserve">IRS įgyvendinimo </w:t>
            </w:r>
            <w:proofErr w:type="spellStart"/>
            <w:r w:rsidRPr="00650EE4">
              <w:rPr>
                <w:rFonts w:ascii="Times New Roman" w:hAnsi="Times New Roman"/>
                <w:szCs w:val="22"/>
                <w:lang w:eastAsia="lt-LT"/>
              </w:rPr>
              <w:t>stebėsenos</w:t>
            </w:r>
            <w:proofErr w:type="spellEnd"/>
            <w:r w:rsidRPr="00650EE4">
              <w:rPr>
                <w:rFonts w:ascii="Times New Roman" w:hAnsi="Times New Roman"/>
                <w:szCs w:val="22"/>
                <w:lang w:eastAsia="lt-LT"/>
              </w:rPr>
              <w:t xml:space="preserve"> sistemos (metodikos ir </w:t>
            </w:r>
            <w:r w:rsidR="00B8506E" w:rsidRPr="00650EE4">
              <w:rPr>
                <w:rFonts w:ascii="Times New Roman" w:hAnsi="Times New Roman"/>
                <w:szCs w:val="22"/>
                <w:lang w:eastAsia="lt-LT"/>
              </w:rPr>
              <w:t>įrankių</w:t>
            </w:r>
            <w:r w:rsidRPr="00650EE4">
              <w:rPr>
                <w:rFonts w:ascii="Times New Roman" w:hAnsi="Times New Roman"/>
                <w:szCs w:val="22"/>
                <w:lang w:eastAsia="lt-LT"/>
              </w:rPr>
              <w:t>) sukūrimas</w:t>
            </w:r>
          </w:p>
        </w:tc>
      </w:tr>
      <w:tr w:rsidR="00860E93" w:rsidRPr="00650EE4" w14:paraId="6863232E" w14:textId="77777777" w:rsidTr="00492041">
        <w:trPr>
          <w:trHeight w:val="61"/>
        </w:trPr>
        <w:tc>
          <w:tcPr>
            <w:tcW w:w="3114" w:type="dxa"/>
          </w:tcPr>
          <w:p w14:paraId="3DD22D50"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3211D05" w14:textId="77777777" w:rsidR="00860E93" w:rsidRPr="00650EE4" w:rsidRDefault="00860E93"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860E93" w:rsidRPr="00650EE4" w14:paraId="5ABE5A4D" w14:textId="77777777" w:rsidTr="00492041">
        <w:trPr>
          <w:trHeight w:val="71"/>
        </w:trPr>
        <w:tc>
          <w:tcPr>
            <w:tcW w:w="3114" w:type="dxa"/>
          </w:tcPr>
          <w:p w14:paraId="3E4977CC"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385B004" w14:textId="77777777" w:rsidR="00860E93" w:rsidRPr="00650EE4" w:rsidRDefault="00860E93" w:rsidP="00492041">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515C69D1" w14:textId="620CA3EC" w:rsidR="006B7871" w:rsidRPr="00650EE4" w:rsidRDefault="006B7871" w:rsidP="00615AB3">
      <w:pPr>
        <w:rPr>
          <w:rFonts w:ascii="Times New Roman" w:hAnsi="Times New Roman"/>
          <w:color w:val="000000" w:themeColor="text1"/>
          <w:szCs w:val="22"/>
        </w:rPr>
      </w:pPr>
    </w:p>
    <w:p w14:paraId="1BD7368C" w14:textId="77777777" w:rsidR="007532F6" w:rsidRPr="00650EE4" w:rsidRDefault="007532F6" w:rsidP="00615AB3">
      <w:pPr>
        <w:rPr>
          <w:rFonts w:ascii="Times New Roman" w:hAnsi="Times New Roman"/>
          <w:color w:val="000000" w:themeColor="text1"/>
          <w:szCs w:val="22"/>
        </w:rPr>
      </w:pPr>
    </w:p>
    <w:p w14:paraId="5D473488" w14:textId="5C18C0E5" w:rsidR="0019233C" w:rsidRPr="00650EE4" w:rsidRDefault="008800F5" w:rsidP="00B82773">
      <w:pPr>
        <w:pStyle w:val="Antrastes31"/>
        <w:numPr>
          <w:ilvl w:val="2"/>
          <w:numId w:val="4"/>
        </w:numPr>
        <w:spacing w:before="0"/>
        <w:ind w:left="720" w:hanging="720"/>
        <w:rPr>
          <w:rFonts w:ascii="Times New Roman" w:hAnsi="Times New Roman"/>
          <w:color w:val="auto"/>
          <w:sz w:val="24"/>
          <w:szCs w:val="24"/>
          <w:lang w:val="lt-LT"/>
        </w:rPr>
      </w:pPr>
      <w:bookmarkStart w:id="210" w:name="_Toc67925175"/>
      <w:r w:rsidRPr="00650EE4">
        <w:rPr>
          <w:rFonts w:ascii="Times New Roman" w:hAnsi="Times New Roman"/>
          <w:color w:val="auto"/>
          <w:sz w:val="24"/>
          <w:szCs w:val="24"/>
          <w:lang w:val="lt-LT"/>
        </w:rPr>
        <w:t>Kompleksinis</w:t>
      </w:r>
      <w:r w:rsidR="00CE1D32" w:rsidRPr="00650EE4">
        <w:rPr>
          <w:rFonts w:ascii="Times New Roman" w:hAnsi="Times New Roman"/>
          <w:color w:val="auto"/>
          <w:sz w:val="24"/>
          <w:szCs w:val="24"/>
          <w:lang w:val="lt-LT"/>
        </w:rPr>
        <w:t xml:space="preserve"> priemonių paketas</w:t>
      </w:r>
      <w:bookmarkEnd w:id="210"/>
    </w:p>
    <w:p w14:paraId="6EAF39FE" w14:textId="1E8C9732" w:rsidR="00D542AA" w:rsidRDefault="0097720C" w:rsidP="0097720C">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Tinkamai atlikus planavimo etapą, turi būti suformuotas IRS </w:t>
      </w:r>
      <w:r w:rsidR="00F51047">
        <w:rPr>
          <w:rFonts w:ascii="Times New Roman" w:hAnsi="Times New Roman"/>
          <w:color w:val="000000" w:themeColor="text1"/>
          <w:szCs w:val="22"/>
        </w:rPr>
        <w:t>rodiklius</w:t>
      </w:r>
      <w:r w:rsidRPr="00650EE4">
        <w:rPr>
          <w:rFonts w:ascii="Times New Roman" w:hAnsi="Times New Roman"/>
          <w:color w:val="000000" w:themeColor="text1"/>
          <w:szCs w:val="22"/>
        </w:rPr>
        <w:t xml:space="preserve"> atitinkantis ir į vartotoją orientuotas paramos priemonių paketas, maksimizuojantis renovacijos naudas. </w:t>
      </w:r>
      <w:r w:rsidR="006B7C8D" w:rsidRPr="00650EE4">
        <w:rPr>
          <w:rFonts w:ascii="Times New Roman" w:hAnsi="Times New Roman"/>
          <w:color w:val="000000" w:themeColor="text1"/>
          <w:szCs w:val="22"/>
        </w:rPr>
        <w:t>Siekiant optimalaus energetinio efektyvumo pastatuose, t.y. maksimizuoti renovacijos naudas, turėtų būti kompleksiškai sprendžiami du uždaviniai. Pirma turi būti užtikrinamas renovacijos gylis, t.y. kadangi renovacij</w:t>
      </w:r>
      <w:r w:rsidR="00EA2BFB" w:rsidRPr="00650EE4">
        <w:rPr>
          <w:rFonts w:ascii="Times New Roman" w:hAnsi="Times New Roman"/>
          <w:color w:val="000000" w:themeColor="text1"/>
          <w:szCs w:val="22"/>
        </w:rPr>
        <w:t>a</w:t>
      </w:r>
      <w:r w:rsidR="006B7C8D" w:rsidRPr="00650EE4">
        <w:rPr>
          <w:rFonts w:ascii="Times New Roman" w:hAnsi="Times New Roman"/>
          <w:color w:val="000000" w:themeColor="text1"/>
          <w:szCs w:val="22"/>
        </w:rPr>
        <w:t xml:space="preserve"> – ilgalaikis procesas, turėtų būti siekiama, kad pasirinkus atlikti renovaciją, ja būtų pasiekti kiek įmanoma didesni energijos sutaupymai. Antra, užtikrinus renovacijos gylį turėtų būti didinami renovacijos tempai (apimtis) – renovuojamų pastatų skaičius.</w:t>
      </w:r>
      <w:r w:rsidR="00AE07A9" w:rsidRPr="00650EE4">
        <w:rPr>
          <w:rFonts w:ascii="Times New Roman" w:hAnsi="Times New Roman"/>
          <w:color w:val="000000" w:themeColor="text1"/>
          <w:szCs w:val="22"/>
        </w:rPr>
        <w:t xml:space="preserve"> </w:t>
      </w:r>
    </w:p>
    <w:p w14:paraId="025805C2" w14:textId="77777777" w:rsidR="00C41D89" w:rsidRDefault="00C41D89" w:rsidP="0097720C">
      <w:pPr>
        <w:jc w:val="both"/>
        <w:rPr>
          <w:rFonts w:ascii="Times New Roman" w:hAnsi="Times New Roman"/>
          <w:color w:val="000000" w:themeColor="text1"/>
          <w:szCs w:val="22"/>
        </w:rPr>
      </w:pPr>
    </w:p>
    <w:p w14:paraId="05E19815" w14:textId="640C0778" w:rsidR="00C41D89" w:rsidRPr="00650EE4" w:rsidRDefault="00C41D89" w:rsidP="0097720C">
      <w:pPr>
        <w:jc w:val="both"/>
        <w:rPr>
          <w:rFonts w:ascii="Times New Roman" w:hAnsi="Times New Roman"/>
          <w:color w:val="000000" w:themeColor="text1"/>
          <w:szCs w:val="22"/>
        </w:rPr>
      </w:pPr>
      <w:r w:rsidRPr="00E73A77">
        <w:rPr>
          <w:rFonts w:ascii="Times New Roman" w:hAnsi="Times New Roman"/>
          <w:color w:val="000000" w:themeColor="text1"/>
          <w:szCs w:val="22"/>
        </w:rPr>
        <w:t>Įgyvendinant kompleksinius energinio efektyvumo projektus, taip pat aktualu ir ypatingai svarbu pritaikyti pastatus ir jų aplinką neįgaliesiems ir senyvo amžiaus asmenims pagal universalaus dizaino principus, spręsti gaisrinės saugos, higienos ir kt. klausimus.</w:t>
      </w:r>
    </w:p>
    <w:p w14:paraId="32367264" w14:textId="77777777" w:rsidR="006B7C8D" w:rsidRPr="00650EE4" w:rsidRDefault="006B7C8D" w:rsidP="006B7C8D">
      <w:pPr>
        <w:pStyle w:val="Pagrindinispaprastastekstas"/>
        <w:rPr>
          <w:rFonts w:ascii="Times New Roman" w:hAnsi="Times New Roman"/>
          <w:szCs w:val="22"/>
        </w:rPr>
      </w:pPr>
    </w:p>
    <w:p w14:paraId="61319FE6" w14:textId="50BC0440" w:rsidR="006B7C8D" w:rsidRPr="00650EE4" w:rsidRDefault="006B7C8D" w:rsidP="00083A7E">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6</w:t>
      </w:r>
      <w:r w:rsidRPr="00650EE4">
        <w:rPr>
          <w:rFonts w:ascii="Times New Roman" w:hAnsi="Times New Roman"/>
          <w:b/>
          <w:bCs/>
          <w:szCs w:val="24"/>
        </w:rPr>
        <w:t>. Pilna energijos kaina</w:t>
      </w:r>
    </w:p>
    <w:p w14:paraId="7EE3DB7A" w14:textId="3E233DC4" w:rsidR="00776B22" w:rsidRPr="00650EE4" w:rsidRDefault="00776B22" w:rsidP="003C4808">
      <w:pPr>
        <w:jc w:val="both"/>
        <w:rPr>
          <w:rFonts w:ascii="Times New Roman" w:hAnsi="Times New Roman"/>
          <w:szCs w:val="22"/>
        </w:rPr>
      </w:pPr>
      <w:r w:rsidRPr="00650EE4">
        <w:rPr>
          <w:rFonts w:ascii="Times New Roman" w:hAnsi="Times New Roman"/>
          <w:szCs w:val="22"/>
        </w:rPr>
        <w:t xml:space="preserve">Pastatų savininkų motyvacija tiesiogiai siejasi su finansiniu renovacijos atsipirkimu, kuriam didžiausią įtaką daro trys faktoriai: energijos kaina, renovacijos investicijų kaina ir paskolos renovacijai </w:t>
      </w:r>
      <w:r w:rsidR="00083A7E" w:rsidRPr="00650EE4">
        <w:rPr>
          <w:rFonts w:ascii="Times New Roman" w:hAnsi="Times New Roman"/>
          <w:szCs w:val="22"/>
        </w:rPr>
        <w:t xml:space="preserve">aptarnavimo </w:t>
      </w:r>
      <w:r w:rsidRPr="00650EE4">
        <w:rPr>
          <w:rFonts w:ascii="Times New Roman" w:hAnsi="Times New Roman"/>
          <w:szCs w:val="22"/>
        </w:rPr>
        <w:t xml:space="preserve">kaina (palūkanos). </w:t>
      </w:r>
    </w:p>
    <w:p w14:paraId="0B0F7348" w14:textId="77777777" w:rsidR="003C4808" w:rsidRPr="00650EE4" w:rsidRDefault="003C4808" w:rsidP="003C4808">
      <w:pPr>
        <w:jc w:val="both"/>
        <w:rPr>
          <w:rFonts w:ascii="Times New Roman" w:hAnsi="Times New Roman"/>
          <w:szCs w:val="22"/>
        </w:rPr>
      </w:pPr>
    </w:p>
    <w:p w14:paraId="0667C0F9" w14:textId="3FB9A8F3" w:rsidR="00776B22" w:rsidRPr="00650EE4" w:rsidRDefault="00776B22" w:rsidP="00776B22">
      <w:pPr>
        <w:spacing w:after="120"/>
        <w:jc w:val="both"/>
        <w:rPr>
          <w:rFonts w:ascii="Times New Roman" w:hAnsi="Times New Roman"/>
          <w:szCs w:val="22"/>
        </w:rPr>
      </w:pPr>
      <w:r w:rsidRPr="00650EE4">
        <w:rPr>
          <w:rFonts w:ascii="Times New Roman" w:hAnsi="Times New Roman"/>
          <w:szCs w:val="22"/>
        </w:rPr>
        <w:t xml:space="preserve">Energijos kaina yra vienas reikšmingiausių kriterijų, tačiau šiuo metu Lietuvoje ji neatspindi pilnų kaštų ir yra tiesiogiai </w:t>
      </w:r>
      <w:r w:rsidR="00E00C6E">
        <w:rPr>
          <w:rFonts w:ascii="Times New Roman" w:hAnsi="Times New Roman"/>
          <w:szCs w:val="22"/>
        </w:rPr>
        <w:t>ir</w:t>
      </w:r>
      <w:r w:rsidR="00E00C6E" w:rsidRPr="00650EE4">
        <w:rPr>
          <w:rFonts w:ascii="Times New Roman" w:hAnsi="Times New Roman"/>
          <w:szCs w:val="22"/>
        </w:rPr>
        <w:t xml:space="preserve"> </w:t>
      </w:r>
      <w:r w:rsidRPr="00650EE4">
        <w:rPr>
          <w:rFonts w:ascii="Times New Roman" w:hAnsi="Times New Roman"/>
          <w:szCs w:val="22"/>
        </w:rPr>
        <w:t xml:space="preserve">netiesiogiai subsidijuojama: </w:t>
      </w:r>
    </w:p>
    <w:p w14:paraId="5562C86D" w14:textId="3A9DF0D5" w:rsidR="00776B22" w:rsidRPr="00650EE4" w:rsidRDefault="00342BA4" w:rsidP="00BD4925">
      <w:pPr>
        <w:pStyle w:val="ListParagraph"/>
        <w:numPr>
          <w:ilvl w:val="3"/>
          <w:numId w:val="47"/>
        </w:numPr>
        <w:spacing w:before="60" w:after="60"/>
        <w:ind w:left="457"/>
        <w:jc w:val="both"/>
        <w:rPr>
          <w:rFonts w:ascii="Times New Roman" w:hAnsi="Times New Roman"/>
          <w:color w:val="000000" w:themeColor="text1"/>
          <w:szCs w:val="22"/>
          <w:lang w:val="lt-LT"/>
        </w:rPr>
      </w:pPr>
      <w:r>
        <w:rPr>
          <w:rFonts w:ascii="Times New Roman" w:hAnsi="Times New Roman"/>
          <w:color w:val="000000" w:themeColor="text1"/>
          <w:szCs w:val="22"/>
          <w:lang w:val="lt-LT"/>
        </w:rPr>
        <w:t>š</w:t>
      </w:r>
      <w:r w:rsidR="00776B22" w:rsidRPr="00650EE4">
        <w:rPr>
          <w:rFonts w:ascii="Times New Roman" w:hAnsi="Times New Roman"/>
          <w:color w:val="000000" w:themeColor="text1"/>
          <w:szCs w:val="22"/>
          <w:lang w:val="lt-LT"/>
        </w:rPr>
        <w:t>ilumos energija</w:t>
      </w:r>
      <w:r>
        <w:rPr>
          <w:rFonts w:ascii="Times New Roman" w:hAnsi="Times New Roman"/>
          <w:color w:val="000000" w:themeColor="text1"/>
          <w:szCs w:val="22"/>
          <w:lang w:val="lt-LT"/>
        </w:rPr>
        <w:t>i taikoma PVM mokesčio lengvata;</w:t>
      </w:r>
    </w:p>
    <w:p w14:paraId="49AFF1BC" w14:textId="778F5E06" w:rsidR="00776B22" w:rsidRPr="00650EE4" w:rsidRDefault="00342BA4" w:rsidP="00BD4925">
      <w:pPr>
        <w:pStyle w:val="ListParagraph"/>
        <w:numPr>
          <w:ilvl w:val="3"/>
          <w:numId w:val="47"/>
        </w:numPr>
        <w:spacing w:before="60" w:after="60"/>
        <w:ind w:left="457"/>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776B22" w:rsidRPr="00650EE4">
        <w:rPr>
          <w:rFonts w:ascii="Times New Roman" w:hAnsi="Times New Roman"/>
          <w:color w:val="000000" w:themeColor="text1"/>
          <w:szCs w:val="22"/>
          <w:lang w:val="lt-LT"/>
        </w:rPr>
        <w:t xml:space="preserve">ujoms taikomas </w:t>
      </w:r>
      <w:r w:rsidR="00083A7E" w:rsidRPr="00650EE4">
        <w:rPr>
          <w:rFonts w:ascii="Times New Roman" w:hAnsi="Times New Roman"/>
          <w:color w:val="000000" w:themeColor="text1"/>
          <w:szCs w:val="22"/>
          <w:lang w:val="lt-LT"/>
        </w:rPr>
        <w:t>vienas mažiausių ES dujų akcizų</w:t>
      </w:r>
      <w:r>
        <w:rPr>
          <w:rFonts w:ascii="Times New Roman" w:hAnsi="Times New Roman"/>
          <w:color w:val="000000" w:themeColor="text1"/>
          <w:szCs w:val="22"/>
          <w:lang w:val="lt-LT"/>
        </w:rPr>
        <w:t>;</w:t>
      </w:r>
    </w:p>
    <w:p w14:paraId="7DD9A7F6" w14:textId="48884496" w:rsidR="00776B22" w:rsidRPr="00650EE4" w:rsidRDefault="00342BA4" w:rsidP="00BD4925">
      <w:pPr>
        <w:pStyle w:val="ListParagraph"/>
        <w:numPr>
          <w:ilvl w:val="3"/>
          <w:numId w:val="47"/>
        </w:numPr>
        <w:spacing w:before="60" w:after="60"/>
        <w:ind w:left="457"/>
        <w:jc w:val="both"/>
        <w:rPr>
          <w:rFonts w:ascii="Times New Roman" w:hAnsi="Times New Roman"/>
          <w:color w:val="000000" w:themeColor="text1"/>
          <w:szCs w:val="22"/>
          <w:lang w:val="lt-LT"/>
        </w:rPr>
      </w:pPr>
      <w:proofErr w:type="spellStart"/>
      <w:r>
        <w:rPr>
          <w:rFonts w:ascii="Times New Roman" w:hAnsi="Times New Roman"/>
          <w:color w:val="000000" w:themeColor="text1"/>
          <w:szCs w:val="22"/>
          <w:lang w:val="lt-LT"/>
        </w:rPr>
        <w:t>d</w:t>
      </w:r>
      <w:r w:rsidR="00776B22" w:rsidRPr="00650EE4">
        <w:rPr>
          <w:rFonts w:ascii="Times New Roman" w:hAnsi="Times New Roman"/>
          <w:color w:val="000000" w:themeColor="text1"/>
          <w:szCs w:val="22"/>
          <w:lang w:val="lt-LT"/>
        </w:rPr>
        <w:t>yzelinui</w:t>
      </w:r>
      <w:proofErr w:type="spellEnd"/>
      <w:r w:rsidR="00776B22" w:rsidRPr="00650EE4">
        <w:rPr>
          <w:rFonts w:ascii="Times New Roman" w:hAnsi="Times New Roman"/>
          <w:color w:val="000000" w:themeColor="text1"/>
          <w:szCs w:val="22"/>
          <w:lang w:val="lt-LT"/>
        </w:rPr>
        <w:t xml:space="preserve"> šildym</w:t>
      </w:r>
      <w:r>
        <w:rPr>
          <w:rFonts w:ascii="Times New Roman" w:hAnsi="Times New Roman"/>
          <w:color w:val="000000" w:themeColor="text1"/>
          <w:szCs w:val="22"/>
          <w:lang w:val="lt-LT"/>
        </w:rPr>
        <w:t>ui taikomas lengvatinis akcizas;</w:t>
      </w:r>
    </w:p>
    <w:p w14:paraId="220D9370" w14:textId="7D900272" w:rsidR="00776B22" w:rsidRPr="00650EE4" w:rsidRDefault="00342BA4" w:rsidP="00BD4925">
      <w:pPr>
        <w:pStyle w:val="ListParagraph"/>
        <w:numPr>
          <w:ilvl w:val="3"/>
          <w:numId w:val="47"/>
        </w:numPr>
        <w:spacing w:before="60" w:after="120"/>
        <w:ind w:left="457"/>
        <w:jc w:val="both"/>
        <w:rPr>
          <w:rFonts w:ascii="Times New Roman" w:hAnsi="Times New Roman"/>
          <w:color w:val="000000" w:themeColor="text1"/>
          <w:szCs w:val="22"/>
          <w:lang w:val="lt-LT"/>
        </w:rPr>
      </w:pPr>
      <w:r>
        <w:rPr>
          <w:rFonts w:ascii="Times New Roman" w:hAnsi="Times New Roman"/>
          <w:color w:val="000000" w:themeColor="text1"/>
          <w:szCs w:val="22"/>
          <w:lang w:val="lt-LT"/>
        </w:rPr>
        <w:t>i</w:t>
      </w:r>
      <w:r w:rsidR="00776B22" w:rsidRPr="00650EE4">
        <w:rPr>
          <w:rFonts w:ascii="Times New Roman" w:hAnsi="Times New Roman"/>
          <w:color w:val="000000" w:themeColor="text1"/>
          <w:szCs w:val="22"/>
          <w:lang w:val="lt-LT"/>
        </w:rPr>
        <w:t xml:space="preserve">š ES </w:t>
      </w:r>
      <w:r w:rsidR="00083A7E" w:rsidRPr="00650EE4">
        <w:rPr>
          <w:rFonts w:ascii="Times New Roman" w:hAnsi="Times New Roman"/>
          <w:color w:val="000000" w:themeColor="text1"/>
          <w:szCs w:val="22"/>
          <w:lang w:val="lt-LT"/>
        </w:rPr>
        <w:t>struktūrinių fondų atnaujintos</w:t>
      </w:r>
      <w:r w:rsidR="00776B22" w:rsidRPr="00650EE4">
        <w:rPr>
          <w:rFonts w:ascii="Times New Roman" w:hAnsi="Times New Roman"/>
          <w:color w:val="000000" w:themeColor="text1"/>
          <w:szCs w:val="22"/>
          <w:lang w:val="lt-LT"/>
        </w:rPr>
        <w:t xml:space="preserve"> energetikos infrastruktūros </w:t>
      </w:r>
      <w:r w:rsidR="00083A7E" w:rsidRPr="00650EE4">
        <w:rPr>
          <w:rFonts w:ascii="Times New Roman" w:hAnsi="Times New Roman"/>
          <w:color w:val="000000" w:themeColor="text1"/>
          <w:szCs w:val="22"/>
          <w:lang w:val="lt-LT"/>
        </w:rPr>
        <w:t>kaštai neįtraukiami</w:t>
      </w:r>
      <w:r w:rsidR="00776B22" w:rsidRPr="00650EE4">
        <w:rPr>
          <w:rFonts w:ascii="Times New Roman" w:hAnsi="Times New Roman"/>
          <w:color w:val="000000" w:themeColor="text1"/>
          <w:szCs w:val="22"/>
          <w:lang w:val="lt-LT"/>
        </w:rPr>
        <w:t xml:space="preserve"> į tarifus vartotojams.</w:t>
      </w:r>
    </w:p>
    <w:p w14:paraId="57FBF499" w14:textId="3C54FE29" w:rsidR="00776B22" w:rsidRPr="00650EE4" w:rsidRDefault="00083A7E" w:rsidP="00083A7E">
      <w:pPr>
        <w:jc w:val="both"/>
      </w:pPr>
      <w:r w:rsidRPr="00650EE4">
        <w:rPr>
          <w:rFonts w:ascii="Times New Roman" w:hAnsi="Times New Roman"/>
          <w:szCs w:val="22"/>
        </w:rPr>
        <w:lastRenderedPageBreak/>
        <w:t>Sumažintas energijos subsidijavimo lygis gerintų renovacijos projektų atsipirkimo rodiklius, didintų pastatų savininkų motyvaciją dalyvauti renovacijoje ir, tikėtina, reikšmingai sumažintų</w:t>
      </w:r>
      <w:r w:rsidR="00776B22" w:rsidRPr="00650EE4">
        <w:rPr>
          <w:rFonts w:ascii="Times New Roman" w:hAnsi="Times New Roman"/>
          <w:szCs w:val="22"/>
        </w:rPr>
        <w:t xml:space="preserve"> poreikį renovacijos priemonių subsidijavimui. Tai ypatingai aktualu </w:t>
      </w:r>
      <w:r w:rsidRPr="00650EE4">
        <w:rPr>
          <w:rFonts w:ascii="Times New Roman" w:hAnsi="Times New Roman"/>
          <w:szCs w:val="22"/>
        </w:rPr>
        <w:t xml:space="preserve">prognozuojant nuoseklų </w:t>
      </w:r>
      <w:r w:rsidR="00776B22" w:rsidRPr="00650EE4">
        <w:rPr>
          <w:rFonts w:ascii="Times New Roman" w:hAnsi="Times New Roman"/>
          <w:szCs w:val="22"/>
        </w:rPr>
        <w:t>renov</w:t>
      </w:r>
      <w:r w:rsidRPr="00650EE4">
        <w:rPr>
          <w:rFonts w:ascii="Times New Roman" w:hAnsi="Times New Roman"/>
          <w:szCs w:val="22"/>
        </w:rPr>
        <w:t>acijos darbų ir medžiagų kainų lygio kilimą</w:t>
      </w:r>
      <w:r w:rsidR="00776B22" w:rsidRPr="00650EE4">
        <w:rPr>
          <w:rFonts w:ascii="Times New Roman" w:hAnsi="Times New Roman"/>
          <w:szCs w:val="22"/>
        </w:rPr>
        <w:t>.</w:t>
      </w:r>
      <w:r w:rsidRPr="00650EE4">
        <w:rPr>
          <w:rFonts w:ascii="Times New Roman" w:hAnsi="Times New Roman"/>
          <w:szCs w:val="22"/>
        </w:rPr>
        <w:t xml:space="preserve"> </w:t>
      </w:r>
    </w:p>
    <w:p w14:paraId="6CD6064C" w14:textId="2404EE79" w:rsidR="00776B22" w:rsidRPr="00650EE4" w:rsidRDefault="00776B22" w:rsidP="00C02FB6">
      <w:pPr>
        <w:jc w:val="both"/>
        <w:rPr>
          <w:rFonts w:ascii="Times New Roman" w:hAnsi="Times New Roman"/>
          <w:szCs w:val="22"/>
        </w:rPr>
      </w:pPr>
    </w:p>
    <w:p w14:paraId="67138A41" w14:textId="216A3EBC" w:rsidR="00C02FB6" w:rsidRDefault="00C02FB6" w:rsidP="00E723D0">
      <w:pPr>
        <w:jc w:val="both"/>
        <w:rPr>
          <w:rFonts w:ascii="Times New Roman" w:hAnsi="Times New Roman"/>
          <w:szCs w:val="22"/>
        </w:rPr>
      </w:pPr>
      <w:r w:rsidRPr="00650EE4">
        <w:rPr>
          <w:rFonts w:ascii="Times New Roman" w:hAnsi="Times New Roman"/>
          <w:szCs w:val="22"/>
        </w:rPr>
        <w:t>Svarbu pažymėti, kad tokių priemonių įgyvendinimas didina išlaidas šildymui, kas savo ruožtu gali didinti energetinį skurdą, socialinę atskirtį bei socialinės paramos n</w:t>
      </w:r>
      <w:r w:rsidR="00C367FD">
        <w:rPr>
          <w:rFonts w:ascii="Times New Roman" w:hAnsi="Times New Roman"/>
          <w:szCs w:val="22"/>
        </w:rPr>
        <w:t>e</w:t>
      </w:r>
      <w:r w:rsidRPr="00650EE4">
        <w:rPr>
          <w:rFonts w:ascii="Times New Roman" w:hAnsi="Times New Roman"/>
          <w:szCs w:val="22"/>
        </w:rPr>
        <w:t>p</w:t>
      </w:r>
      <w:r w:rsidR="00C367FD">
        <w:rPr>
          <w:rFonts w:ascii="Times New Roman" w:hAnsi="Times New Roman"/>
          <w:szCs w:val="22"/>
        </w:rPr>
        <w:t>a</w:t>
      </w:r>
      <w:r w:rsidRPr="00650EE4">
        <w:rPr>
          <w:rFonts w:ascii="Times New Roman" w:hAnsi="Times New Roman"/>
          <w:szCs w:val="22"/>
        </w:rPr>
        <w:t>siturintiems gyventojams poreikį. Todėl iš anksto turi būti atliekamas priemonės tiesioginio ir netie</w:t>
      </w:r>
      <w:r w:rsidR="002C503C" w:rsidRPr="00650EE4">
        <w:rPr>
          <w:rFonts w:ascii="Times New Roman" w:hAnsi="Times New Roman"/>
          <w:szCs w:val="22"/>
        </w:rPr>
        <w:t>si</w:t>
      </w:r>
      <w:r w:rsidRPr="00650EE4">
        <w:rPr>
          <w:rFonts w:ascii="Times New Roman" w:hAnsi="Times New Roman"/>
          <w:szCs w:val="22"/>
        </w:rPr>
        <w:t>ogin</w:t>
      </w:r>
      <w:r w:rsidR="002C503C" w:rsidRPr="00650EE4">
        <w:rPr>
          <w:rFonts w:ascii="Times New Roman" w:hAnsi="Times New Roman"/>
          <w:szCs w:val="22"/>
        </w:rPr>
        <w:t>io</w:t>
      </w:r>
      <w:r w:rsidRPr="00650EE4">
        <w:rPr>
          <w:rFonts w:ascii="Times New Roman" w:hAnsi="Times New Roman"/>
          <w:szCs w:val="22"/>
        </w:rPr>
        <w:t xml:space="preserve"> poveikio vertinimas.</w:t>
      </w:r>
      <w:r w:rsidR="00E00C6E">
        <w:rPr>
          <w:rFonts w:ascii="Times New Roman" w:hAnsi="Times New Roman"/>
          <w:szCs w:val="22"/>
        </w:rPr>
        <w:t xml:space="preserve"> </w:t>
      </w:r>
      <w:r w:rsidR="00E00C6E" w:rsidRPr="00650EE4">
        <w:rPr>
          <w:rFonts w:ascii="Times New Roman" w:hAnsi="Times New Roman"/>
          <w:szCs w:val="22"/>
        </w:rPr>
        <w:t>Energijos nepritekliaus klausimas galėtų būti sprendžiamas per specifiškai į tikslinį segmentą orientuotus sprendimus (tikslinę paramą).</w:t>
      </w:r>
    </w:p>
    <w:p w14:paraId="18BACAAD" w14:textId="77777777" w:rsidR="00342BA4" w:rsidRPr="00E723D0" w:rsidRDefault="00342BA4" w:rsidP="00E723D0">
      <w:pPr>
        <w:jc w:val="both"/>
        <w:rPr>
          <w:rFonts w:ascii="Times New Roman" w:hAnsi="Times New Roman"/>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6B7C8D" w:rsidRPr="00650EE4" w14:paraId="74B9C7D5" w14:textId="77777777" w:rsidTr="006A60B7">
        <w:trPr>
          <w:trHeight w:val="187"/>
        </w:trPr>
        <w:tc>
          <w:tcPr>
            <w:tcW w:w="3114" w:type="dxa"/>
          </w:tcPr>
          <w:p w14:paraId="7C2F880E"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46837C1E"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B4. Nepatrauklus projektų atsiperkamumo laikotarpis</w:t>
            </w:r>
          </w:p>
          <w:p w14:paraId="78C9E742" w14:textId="79BA609E" w:rsidR="006B7C8D" w:rsidRPr="00650EE4" w:rsidRDefault="002C7B1E" w:rsidP="006A60B7">
            <w:pPr>
              <w:spacing w:after="60"/>
              <w:rPr>
                <w:rFonts w:ascii="Times New Roman" w:hAnsi="Times New Roman"/>
                <w:szCs w:val="22"/>
                <w:lang w:eastAsia="lt-LT"/>
              </w:rPr>
            </w:pPr>
            <w:r w:rsidRPr="00650EE4">
              <w:rPr>
                <w:rFonts w:ascii="Times New Roman" w:hAnsi="Times New Roman"/>
                <w:szCs w:val="22"/>
                <w:lang w:eastAsia="lt-LT"/>
              </w:rPr>
              <w:t>B5. Nepilna energijos kaina</w:t>
            </w:r>
          </w:p>
        </w:tc>
      </w:tr>
      <w:tr w:rsidR="006B7C8D" w:rsidRPr="00650EE4" w14:paraId="5DA6CD63" w14:textId="77777777" w:rsidTr="006A60B7">
        <w:trPr>
          <w:trHeight w:val="148"/>
        </w:trPr>
        <w:tc>
          <w:tcPr>
            <w:tcW w:w="3114" w:type="dxa"/>
          </w:tcPr>
          <w:p w14:paraId="16343622"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6C0D84A6"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Pilnų kaštų įtraukimas į energijos kainą</w:t>
            </w:r>
          </w:p>
        </w:tc>
      </w:tr>
      <w:tr w:rsidR="006B7C8D" w:rsidRPr="00650EE4" w14:paraId="06492EE1" w14:textId="77777777" w:rsidTr="006A60B7">
        <w:trPr>
          <w:trHeight w:val="125"/>
        </w:trPr>
        <w:tc>
          <w:tcPr>
            <w:tcW w:w="3114" w:type="dxa"/>
          </w:tcPr>
          <w:p w14:paraId="63223D2F"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3921555"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309E1A45" w14:textId="77777777" w:rsidTr="006A60B7">
        <w:trPr>
          <w:trHeight w:val="87"/>
        </w:trPr>
        <w:tc>
          <w:tcPr>
            <w:tcW w:w="3114" w:type="dxa"/>
          </w:tcPr>
          <w:p w14:paraId="40982EC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947553F" w14:textId="791EA063" w:rsidR="006B7C8D" w:rsidRPr="00650EE4" w:rsidRDefault="002C7B1E" w:rsidP="002C7B1E">
            <w:pPr>
              <w:spacing w:after="60"/>
              <w:rPr>
                <w:rFonts w:ascii="Times New Roman" w:hAnsi="Times New Roman"/>
                <w:szCs w:val="22"/>
                <w:lang w:eastAsia="lt-LT"/>
              </w:rPr>
            </w:pPr>
            <w:r w:rsidRPr="00650EE4">
              <w:rPr>
                <w:rFonts w:ascii="Times New Roman" w:hAnsi="Times New Roman"/>
                <w:szCs w:val="22"/>
                <w:lang w:eastAsia="lt-LT"/>
              </w:rPr>
              <w:t>Vidutinis-ilgas</w:t>
            </w:r>
            <w:r w:rsidR="006B7C8D" w:rsidRPr="00650EE4">
              <w:rPr>
                <w:rFonts w:ascii="Times New Roman" w:hAnsi="Times New Roman"/>
                <w:szCs w:val="22"/>
                <w:lang w:eastAsia="lt-LT"/>
              </w:rPr>
              <w:t xml:space="preserve"> laikotarpis</w:t>
            </w:r>
          </w:p>
        </w:tc>
      </w:tr>
    </w:tbl>
    <w:p w14:paraId="646DCA57" w14:textId="77777777" w:rsidR="00024F67" w:rsidRDefault="00024F67" w:rsidP="00FD1D6D">
      <w:pPr>
        <w:spacing w:after="120"/>
        <w:jc w:val="both"/>
        <w:rPr>
          <w:rFonts w:ascii="Times New Roman" w:hAnsi="Times New Roman"/>
          <w:b/>
          <w:bCs/>
          <w:szCs w:val="24"/>
        </w:rPr>
      </w:pPr>
    </w:p>
    <w:p w14:paraId="2BFCD364" w14:textId="5F73B94D" w:rsidR="006B7C8D" w:rsidRPr="00650EE4" w:rsidRDefault="006B7C8D" w:rsidP="00FD1D6D">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7</w:t>
      </w:r>
      <w:r w:rsidRPr="00650EE4">
        <w:rPr>
          <w:rFonts w:ascii="Times New Roman" w:hAnsi="Times New Roman"/>
          <w:b/>
          <w:bCs/>
          <w:szCs w:val="24"/>
        </w:rPr>
        <w:t>. Taršos mokesčiai</w:t>
      </w:r>
    </w:p>
    <w:p w14:paraId="279B710D" w14:textId="01E58C72" w:rsidR="00272910" w:rsidRPr="00650EE4" w:rsidRDefault="00272910" w:rsidP="00272910">
      <w:pPr>
        <w:pStyle w:val="BodyText"/>
        <w:jc w:val="both"/>
        <w:rPr>
          <w:rFonts w:ascii="Times New Roman" w:hAnsi="Times New Roman"/>
          <w:szCs w:val="22"/>
          <w:lang w:val="lt-LT"/>
        </w:rPr>
      </w:pPr>
      <w:r w:rsidRPr="00650EE4">
        <w:rPr>
          <w:rFonts w:ascii="Times New Roman" w:hAnsi="Times New Roman"/>
          <w:szCs w:val="22"/>
          <w:lang w:val="lt-LT"/>
        </w:rPr>
        <w:t xml:space="preserve">Papildoma priemonė didinanti renovacijos finansinį atsipirkimą – energetiškai neefektyvaus ir (arba) taršaus energijos vartojimo apmokestinimas, pvz., nustatant papildomą mokestį, jei energijos sunaudojimas pastato viename kvadratiniame metre viršija tam tikrą kilovatvalandžių skaičių (pvz., 150) ir (arba) CO2 emisijų skaičių. Tokiu būdu būtų atsižvelgiama ne tik į energinį efektyvumą, bet ir kuro šaltinį (siekiant </w:t>
      </w:r>
      <w:r w:rsidR="00B66665">
        <w:rPr>
          <w:rFonts w:ascii="Times New Roman" w:hAnsi="Times New Roman"/>
          <w:szCs w:val="22"/>
          <w:lang w:val="lt-LT"/>
        </w:rPr>
        <w:t>atsisakyti</w:t>
      </w:r>
      <w:r w:rsidRPr="00650EE4">
        <w:rPr>
          <w:rFonts w:ascii="Times New Roman" w:hAnsi="Times New Roman"/>
          <w:szCs w:val="22"/>
          <w:lang w:val="lt-LT"/>
        </w:rPr>
        <w:t xml:space="preserve"> iškastinio kuro naudojim</w:t>
      </w:r>
      <w:r w:rsidR="00B66665">
        <w:rPr>
          <w:rFonts w:ascii="Times New Roman" w:hAnsi="Times New Roman"/>
          <w:szCs w:val="22"/>
          <w:lang w:val="lt-LT"/>
        </w:rPr>
        <w:t>o</w:t>
      </w:r>
      <w:r w:rsidRPr="00650EE4">
        <w:rPr>
          <w:rFonts w:ascii="Times New Roman" w:hAnsi="Times New Roman"/>
          <w:szCs w:val="22"/>
          <w:lang w:val="lt-LT"/>
        </w:rPr>
        <w:t xml:space="preserve">). Kitos šio mokesčio įgyvendinimo alternatyvos galėtų apimti nekilnojamojo turto mokesčio diferencijavimą pagal energijos vartojimo ir (arba) CO2 emisijų rodiklius, papildomą </w:t>
      </w:r>
      <w:r w:rsidR="0067096F" w:rsidRPr="00650EE4">
        <w:rPr>
          <w:rFonts w:ascii="Times New Roman" w:hAnsi="Times New Roman"/>
          <w:szCs w:val="22"/>
          <w:lang w:val="lt-LT"/>
        </w:rPr>
        <w:t xml:space="preserve">mokestį netvarkomiems pastatams, </w:t>
      </w:r>
    </w:p>
    <w:p w14:paraId="114CD31F" w14:textId="77777777" w:rsidR="00272910" w:rsidRPr="00650EE4" w:rsidRDefault="00272910" w:rsidP="00272910">
      <w:pPr>
        <w:pStyle w:val="BodyText"/>
        <w:jc w:val="both"/>
        <w:rPr>
          <w:rFonts w:ascii="Times New Roman" w:hAnsi="Times New Roman"/>
          <w:szCs w:val="22"/>
          <w:lang w:val="lt-LT"/>
        </w:rPr>
      </w:pPr>
    </w:p>
    <w:p w14:paraId="4B4C061B" w14:textId="77777777" w:rsidR="00272910" w:rsidRPr="00650EE4" w:rsidRDefault="00272910" w:rsidP="00272910">
      <w:pPr>
        <w:pStyle w:val="BodyText"/>
        <w:jc w:val="both"/>
        <w:rPr>
          <w:rFonts w:ascii="Times New Roman" w:hAnsi="Times New Roman"/>
          <w:szCs w:val="22"/>
          <w:lang w:val="lt-LT"/>
        </w:rPr>
      </w:pPr>
      <w:r w:rsidRPr="00650EE4">
        <w:rPr>
          <w:rFonts w:ascii="Times New Roman" w:hAnsi="Times New Roman"/>
          <w:szCs w:val="22"/>
          <w:lang w:val="lt-LT"/>
        </w:rPr>
        <w:t>Šis mokestis taip pat galėtų reikšmingai sumažinti poreikį renovacijos priemonių subsidijavimui. Atsiradus poreikiui, socialiai pažeidžiami gyventojai turėtų būti remiami per finansines išmokas. Taip pat toks mokestis galėtų būti renkamas ne į valstybės biudžetą, bet virtualiai kaupiamas to paties pastato savininkams ir vėliau panaudojamas renovacijos priemonės įgyvendinti.</w:t>
      </w:r>
    </w:p>
    <w:p w14:paraId="3E931C57" w14:textId="77777777" w:rsidR="00272910" w:rsidRPr="00650EE4" w:rsidRDefault="00272910" w:rsidP="00272910">
      <w:pPr>
        <w:pStyle w:val="BodyText"/>
        <w:jc w:val="both"/>
        <w:rPr>
          <w:rFonts w:ascii="Times New Roman" w:hAnsi="Times New Roman"/>
          <w:szCs w:val="22"/>
          <w:lang w:val="lt-LT"/>
        </w:rPr>
      </w:pPr>
    </w:p>
    <w:p w14:paraId="7598A027" w14:textId="62C32581" w:rsidR="00A55CFB" w:rsidRPr="00650EE4" w:rsidRDefault="00272910" w:rsidP="00272910">
      <w:pPr>
        <w:pStyle w:val="BodyText"/>
        <w:jc w:val="both"/>
        <w:rPr>
          <w:rFonts w:ascii="Times New Roman" w:hAnsi="Times New Roman"/>
          <w:szCs w:val="22"/>
          <w:lang w:val="lt-LT"/>
        </w:rPr>
      </w:pPr>
      <w:r w:rsidRPr="00650EE4">
        <w:rPr>
          <w:rFonts w:ascii="Times New Roman" w:hAnsi="Times New Roman"/>
          <w:szCs w:val="22"/>
          <w:lang w:val="lt-LT"/>
        </w:rPr>
        <w:t>Svarbu paminėti, kad tokių mokesčių įgyvendinimui būtina sąlyga – patikimi duomenys apie visų pastatų faktinį energijos vartojimą ir ener</w:t>
      </w:r>
      <w:r w:rsidR="007A52B6">
        <w:rPr>
          <w:rFonts w:ascii="Times New Roman" w:hAnsi="Times New Roman"/>
          <w:szCs w:val="22"/>
          <w:lang w:val="lt-LT"/>
        </w:rPr>
        <w:t>gijos gamybos šaltinį (žr. P2. p</w:t>
      </w:r>
      <w:r w:rsidRPr="00650EE4">
        <w:rPr>
          <w:rFonts w:ascii="Times New Roman" w:hAnsi="Times New Roman"/>
          <w:szCs w:val="22"/>
          <w:lang w:val="lt-LT"/>
        </w:rPr>
        <w:t>astatų fondo inventorizacija ir duomenų bazės sukūrimas).</w:t>
      </w:r>
    </w:p>
    <w:p w14:paraId="270543FE" w14:textId="77777777" w:rsidR="002C503C" w:rsidRPr="00650EE4" w:rsidRDefault="002C503C" w:rsidP="00272910">
      <w:pPr>
        <w:pStyle w:val="BodyText"/>
        <w:jc w:val="both"/>
        <w:rPr>
          <w:rFonts w:ascii="Times New Roman" w:hAnsi="Times New Roman"/>
          <w:szCs w:val="22"/>
          <w:lang w:val="lt-LT"/>
        </w:rPr>
      </w:pPr>
    </w:p>
    <w:p w14:paraId="18FBFA56" w14:textId="00F9EA96" w:rsidR="002C503C" w:rsidRDefault="002C503C" w:rsidP="002C503C">
      <w:pPr>
        <w:jc w:val="both"/>
        <w:rPr>
          <w:rFonts w:ascii="Times New Roman" w:hAnsi="Times New Roman"/>
          <w:szCs w:val="22"/>
        </w:rPr>
      </w:pPr>
      <w:r w:rsidRPr="00650EE4">
        <w:rPr>
          <w:rFonts w:ascii="Times New Roman" w:hAnsi="Times New Roman"/>
          <w:szCs w:val="22"/>
        </w:rPr>
        <w:t>Taip pat svarbu pažymėti, kad tokių priemonių įgyvendinimas didina pastatų savininkų išlaidas, kas savo ruožtu gali didinti energetinį skurdą, socialinę atskirtį bei socialinės paramos n</w:t>
      </w:r>
      <w:r w:rsidR="00C367FD">
        <w:rPr>
          <w:rFonts w:ascii="Times New Roman" w:hAnsi="Times New Roman"/>
          <w:szCs w:val="22"/>
        </w:rPr>
        <w:t>e</w:t>
      </w:r>
      <w:r w:rsidRPr="00650EE4">
        <w:rPr>
          <w:rFonts w:ascii="Times New Roman" w:hAnsi="Times New Roman"/>
          <w:szCs w:val="22"/>
        </w:rPr>
        <w:t>p</w:t>
      </w:r>
      <w:r w:rsidR="00C367FD">
        <w:rPr>
          <w:rFonts w:ascii="Times New Roman" w:hAnsi="Times New Roman"/>
          <w:szCs w:val="22"/>
        </w:rPr>
        <w:t>a</w:t>
      </w:r>
      <w:r w:rsidRPr="00650EE4">
        <w:rPr>
          <w:rFonts w:ascii="Times New Roman" w:hAnsi="Times New Roman"/>
          <w:szCs w:val="22"/>
        </w:rPr>
        <w:t>siturintiems gyventojams poreikį. Todėl iš anksto turi būti atliekamas priemonės tiesioginio ir netiesioginio poveikio vertinimas.</w:t>
      </w:r>
    </w:p>
    <w:p w14:paraId="358DDED7" w14:textId="77777777" w:rsidR="00E00C6E" w:rsidRDefault="00E00C6E" w:rsidP="00E00C6E">
      <w:pPr>
        <w:pStyle w:val="BodyText"/>
        <w:jc w:val="both"/>
        <w:rPr>
          <w:rFonts w:ascii="Times New Roman" w:hAnsi="Times New Roman"/>
          <w:color w:val="000000" w:themeColor="text1"/>
          <w:szCs w:val="22"/>
          <w:lang w:val="lt-LT"/>
        </w:rPr>
      </w:pPr>
    </w:p>
    <w:p w14:paraId="3BA7F5CF" w14:textId="77777777" w:rsidR="00E00C6E" w:rsidRPr="00650EE4" w:rsidRDefault="00E00C6E" w:rsidP="00E00C6E">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Taršos mokesčio poveikio stiprinimui</w:t>
      </w:r>
      <w:r w:rsidRPr="00650EE4">
        <w:rPr>
          <w:rFonts w:ascii="Times New Roman" w:hAnsi="Times New Roman"/>
          <w:color w:val="000000" w:themeColor="text1"/>
          <w:szCs w:val="22"/>
          <w:lang w:val="lt-LT"/>
        </w:rPr>
        <w:t xml:space="preserve"> galėtų būti įgyvendintas reikalavimas viešai skelbti pastatų energinio naudingumo </w:t>
      </w:r>
      <w:r>
        <w:rPr>
          <w:rFonts w:ascii="Times New Roman" w:hAnsi="Times New Roman"/>
          <w:color w:val="000000" w:themeColor="text1"/>
          <w:szCs w:val="22"/>
          <w:lang w:val="lt-LT"/>
        </w:rPr>
        <w:t xml:space="preserve">ir tikėtino taršos mokesčio </w:t>
      </w:r>
      <w:r w:rsidRPr="00650EE4">
        <w:rPr>
          <w:rFonts w:ascii="Times New Roman" w:hAnsi="Times New Roman"/>
          <w:color w:val="000000" w:themeColor="text1"/>
          <w:szCs w:val="22"/>
          <w:lang w:val="lt-LT"/>
        </w:rPr>
        <w:t>duomenis turto nuomos ar pardavimo skelbimuose (</w:t>
      </w:r>
      <w:r>
        <w:rPr>
          <w:rFonts w:ascii="Times New Roman" w:hAnsi="Times New Roman"/>
          <w:color w:val="000000" w:themeColor="text1"/>
          <w:szCs w:val="22"/>
          <w:lang w:val="lt-LT"/>
        </w:rPr>
        <w:t xml:space="preserve">praktika realizuota automobilių rinkoje, skelbiant parduodamų automobilių taršos mokesčio dydžius). </w:t>
      </w:r>
    </w:p>
    <w:p w14:paraId="1787888A" w14:textId="77777777" w:rsidR="005415FA" w:rsidRPr="00650EE4" w:rsidRDefault="005415FA" w:rsidP="00E07F8C">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6B7C8D" w:rsidRPr="00650EE4" w14:paraId="3B11E418" w14:textId="77777777" w:rsidTr="006A60B7">
        <w:trPr>
          <w:trHeight w:val="463"/>
        </w:trPr>
        <w:tc>
          <w:tcPr>
            <w:tcW w:w="3114" w:type="dxa"/>
          </w:tcPr>
          <w:p w14:paraId="7C23C694"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03860D83"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B4. Nepatrauklus projektų atsiperkamumo laikotarpis</w:t>
            </w:r>
          </w:p>
          <w:p w14:paraId="2FBE8570" w14:textId="50081049" w:rsidR="006B7C8D" w:rsidRPr="00650EE4" w:rsidRDefault="002C7B1E" w:rsidP="006A60B7">
            <w:pPr>
              <w:spacing w:after="60"/>
              <w:rPr>
                <w:rFonts w:ascii="Times New Roman" w:hAnsi="Times New Roman"/>
                <w:szCs w:val="22"/>
                <w:lang w:eastAsia="lt-LT"/>
              </w:rPr>
            </w:pPr>
            <w:r w:rsidRPr="00650EE4">
              <w:rPr>
                <w:rFonts w:ascii="Times New Roman" w:hAnsi="Times New Roman"/>
                <w:szCs w:val="22"/>
                <w:lang w:eastAsia="lt-LT"/>
              </w:rPr>
              <w:t>B5. Nepilna energijos kaina</w:t>
            </w:r>
          </w:p>
        </w:tc>
      </w:tr>
      <w:tr w:rsidR="006B7C8D" w:rsidRPr="00650EE4" w14:paraId="68A4EB77" w14:textId="77777777" w:rsidTr="006A60B7">
        <w:trPr>
          <w:trHeight w:val="55"/>
        </w:trPr>
        <w:tc>
          <w:tcPr>
            <w:tcW w:w="3114" w:type="dxa"/>
          </w:tcPr>
          <w:p w14:paraId="38682E5B"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0FC73766"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Taršos mokesčiai</w:t>
            </w:r>
          </w:p>
        </w:tc>
      </w:tr>
      <w:tr w:rsidR="006B7C8D" w:rsidRPr="00650EE4" w14:paraId="14E1E09D" w14:textId="77777777" w:rsidTr="006A60B7">
        <w:trPr>
          <w:trHeight w:val="55"/>
        </w:trPr>
        <w:tc>
          <w:tcPr>
            <w:tcW w:w="3114" w:type="dxa"/>
          </w:tcPr>
          <w:p w14:paraId="19EA22E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649B642"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7EA8DBA8" w14:textId="77777777" w:rsidTr="006A60B7">
        <w:trPr>
          <w:trHeight w:val="80"/>
        </w:trPr>
        <w:tc>
          <w:tcPr>
            <w:tcW w:w="3114" w:type="dxa"/>
          </w:tcPr>
          <w:p w14:paraId="3872AA52"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1FCE9FA" w14:textId="43C57105" w:rsidR="006B7C8D" w:rsidRPr="00650EE4" w:rsidRDefault="002C7B1E" w:rsidP="006A60B7">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EFFB2F2" w14:textId="77777777" w:rsidR="006B7C8D" w:rsidRPr="00650EE4" w:rsidRDefault="006B7C8D" w:rsidP="002C7B1E">
      <w:pPr>
        <w:spacing w:after="120"/>
        <w:rPr>
          <w:rFonts w:ascii="Times New Roman" w:hAnsi="Times New Roman"/>
          <w:color w:val="000000" w:themeColor="text1"/>
          <w:szCs w:val="22"/>
          <w:highlight w:val="lightGray"/>
        </w:rPr>
      </w:pPr>
    </w:p>
    <w:p w14:paraId="2280AB95" w14:textId="082CB54D" w:rsidR="006B7C8D" w:rsidRPr="00650EE4" w:rsidRDefault="006B7C8D" w:rsidP="00103CEF">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8</w:t>
      </w:r>
      <w:r w:rsidRPr="00650EE4">
        <w:rPr>
          <w:rFonts w:ascii="Times New Roman" w:hAnsi="Times New Roman"/>
          <w:b/>
          <w:bCs/>
          <w:szCs w:val="24"/>
        </w:rPr>
        <w:t xml:space="preserve">. Esminės </w:t>
      </w:r>
      <w:r w:rsidR="00103CEF" w:rsidRPr="00650EE4">
        <w:rPr>
          <w:rFonts w:ascii="Times New Roman" w:hAnsi="Times New Roman"/>
          <w:b/>
          <w:bCs/>
          <w:szCs w:val="24"/>
        </w:rPr>
        <w:t xml:space="preserve">„gilios“ </w:t>
      </w:r>
      <w:r w:rsidRPr="00650EE4">
        <w:rPr>
          <w:rFonts w:ascii="Times New Roman" w:hAnsi="Times New Roman"/>
          <w:b/>
          <w:bCs/>
          <w:szCs w:val="24"/>
        </w:rPr>
        <w:t>renovacijos skatinimas</w:t>
      </w:r>
    </w:p>
    <w:p w14:paraId="377307A9" w14:textId="3CFFF66F" w:rsidR="007F439B" w:rsidRPr="00650EE4" w:rsidRDefault="00103CEF" w:rsidP="007F439B">
      <w:pPr>
        <w:spacing w:before="60" w:after="60"/>
        <w:jc w:val="both"/>
        <w:rPr>
          <w:rFonts w:ascii="Times New Roman" w:hAnsi="Times New Roman"/>
          <w:color w:val="000000" w:themeColor="text1"/>
          <w:szCs w:val="22"/>
        </w:rPr>
      </w:pPr>
      <w:r w:rsidRPr="00650EE4">
        <w:rPr>
          <w:rFonts w:ascii="Times New Roman" w:hAnsi="Times New Roman"/>
          <w:szCs w:val="22"/>
        </w:rPr>
        <w:t>P</w:t>
      </w:r>
      <w:r w:rsidR="007F439B" w:rsidRPr="00650EE4">
        <w:rPr>
          <w:rFonts w:ascii="Times New Roman" w:hAnsi="Times New Roman"/>
          <w:color w:val="000000" w:themeColor="text1"/>
          <w:szCs w:val="22"/>
        </w:rPr>
        <w:t xml:space="preserve">aramos priemonės turėtų būti susietos su renovavimo darbų kokybe, atsižvelgiant į tikslinį arba dėl renovacijos faktiškai pasiektą energijos sutaupymą. Paramos priemonės turėtų būti susietos su energiniu naudingumu, sertifikavimo arba kitų specifinių reikalavimų atitikties lygiu, energijos vartojimo auditu arba su pagerinimu, pasiektu atlikus renovaciją, o šis pagerinimas turėtų būti vertinamas taikant vieną ar daugiau toliau nurodytų kriterijų: </w:t>
      </w:r>
    </w:p>
    <w:p w14:paraId="52F9B1CA" w14:textId="305955D9"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 xml:space="preserve">renovacijai naudojamos įrangos arba medžiagų šilumines charakteristikas (kai naudojamą įrangą įrengia sertifikuotas arba kvalifikuotas montuotojas); </w:t>
      </w:r>
    </w:p>
    <w:p w14:paraId="50267297" w14:textId="77777777"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energijos sąnaudų mažėjimą; </w:t>
      </w:r>
    </w:p>
    <w:p w14:paraId="6E06ED62" w14:textId="77777777"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efektyvumo padidėjimą, palyginant prieš renovaciją ir po jos išduotus energinio naudingumo sertifikatus; </w:t>
      </w:r>
    </w:p>
    <w:p w14:paraId="2427B4F4" w14:textId="77777777" w:rsidR="005415FA"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energijos vartojimo audito rezultatus; </w:t>
      </w:r>
    </w:p>
    <w:p w14:paraId="43497A26" w14:textId="4719D7A7"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kito aktualaus, skaidraus ir proporcingo metodo, kuris parodo energinio naudingumo padidėjimą, rezultatus.</w:t>
      </w:r>
    </w:p>
    <w:p w14:paraId="04B8D3CD" w14:textId="77777777" w:rsidR="00E00C6E" w:rsidRPr="00E00C6E" w:rsidRDefault="00E00C6E" w:rsidP="00E00C6E">
      <w:pPr>
        <w:jc w:val="both"/>
        <w:rPr>
          <w:rFonts w:ascii="Times New Roman" w:hAnsi="Times New Roman"/>
          <w:color w:val="000000" w:themeColor="text1"/>
          <w:szCs w:val="22"/>
        </w:rPr>
      </w:pPr>
      <w:r w:rsidRPr="00E00C6E">
        <w:rPr>
          <w:rFonts w:ascii="Times New Roman" w:hAnsi="Times New Roman"/>
          <w:color w:val="000000" w:themeColor="text1"/>
          <w:szCs w:val="22"/>
        </w:rPr>
        <w:t>Įgyvendinant Direktyvų nuostatas</w:t>
      </w:r>
      <w:r w:rsidRPr="006E71D6">
        <w:rPr>
          <w:rStyle w:val="FootnoteReference"/>
          <w:rFonts w:ascii="Times New Roman" w:hAnsi="Times New Roman"/>
          <w:color w:val="000000" w:themeColor="text1"/>
          <w:szCs w:val="22"/>
        </w:rPr>
        <w:footnoteReference w:id="53"/>
      </w:r>
      <w:r w:rsidRPr="00E00C6E">
        <w:rPr>
          <w:rFonts w:ascii="Times New Roman" w:hAnsi="Times New Roman"/>
          <w:color w:val="000000" w:themeColor="text1"/>
          <w:szCs w:val="22"/>
        </w:rPr>
        <w:t xml:space="preserve"> ir siekiant sukurti motyvacijos „giliai renovacijai“ mechanizmą, valstybės paramos apimtys galėtų būti diferencijuojamos atsižvelgiant į  siektiną (pasiektą) energijos sutaupymą.</w:t>
      </w:r>
    </w:p>
    <w:p w14:paraId="62581516" w14:textId="77777777" w:rsidR="00E00C6E" w:rsidRPr="00650EE4" w:rsidRDefault="00E00C6E" w:rsidP="006F601F">
      <w:pPr>
        <w:jc w:val="both"/>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2473" w:rsidRPr="00650EE4" w14:paraId="75EB5E7B" w14:textId="77777777" w:rsidTr="006A60B7">
        <w:trPr>
          <w:trHeight w:val="143"/>
        </w:trPr>
        <w:tc>
          <w:tcPr>
            <w:tcW w:w="3114" w:type="dxa"/>
          </w:tcPr>
          <w:p w14:paraId="55870919" w14:textId="77777777" w:rsidR="000E2473" w:rsidRPr="00650EE4" w:rsidRDefault="000E2473" w:rsidP="005A369A">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3874DA66" w14:textId="3A8AA03D" w:rsidR="000E2473" w:rsidRPr="00650EE4" w:rsidRDefault="000E2473" w:rsidP="005A369A">
            <w:pPr>
              <w:spacing w:after="60"/>
              <w:rPr>
                <w:rFonts w:ascii="Times New Roman" w:hAnsi="Times New Roman"/>
                <w:szCs w:val="22"/>
                <w:lang w:eastAsia="lt-LT"/>
              </w:rPr>
            </w:pPr>
            <w:r w:rsidRPr="00650EE4">
              <w:rPr>
                <w:rFonts w:ascii="Times New Roman" w:hAnsi="Times New Roman"/>
                <w:szCs w:val="22"/>
                <w:lang w:eastAsia="lt-LT"/>
              </w:rPr>
              <w:t>B7. Neišnaudotas visa</w:t>
            </w:r>
            <w:r w:rsidR="00103CEF" w:rsidRPr="00650EE4">
              <w:rPr>
                <w:rFonts w:ascii="Times New Roman" w:hAnsi="Times New Roman"/>
                <w:szCs w:val="22"/>
                <w:lang w:eastAsia="lt-LT"/>
              </w:rPr>
              <w:t>s renovacijos naudų potencialas</w:t>
            </w:r>
          </w:p>
        </w:tc>
      </w:tr>
      <w:tr w:rsidR="006B7C8D" w:rsidRPr="00650EE4" w14:paraId="5905A5C4" w14:textId="77777777" w:rsidTr="006A60B7">
        <w:trPr>
          <w:trHeight w:val="47"/>
        </w:trPr>
        <w:tc>
          <w:tcPr>
            <w:tcW w:w="3114" w:type="dxa"/>
          </w:tcPr>
          <w:p w14:paraId="6194964F" w14:textId="77777777" w:rsidR="006B7C8D" w:rsidRPr="00650EE4" w:rsidRDefault="006B7C8D" w:rsidP="005A369A">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C5737D5" w14:textId="77777777" w:rsidR="006B7C8D" w:rsidRPr="00650EE4" w:rsidRDefault="006B7C8D" w:rsidP="005A369A">
            <w:pPr>
              <w:spacing w:after="60"/>
              <w:rPr>
                <w:rFonts w:ascii="Times New Roman" w:hAnsi="Times New Roman"/>
                <w:szCs w:val="22"/>
                <w:lang w:eastAsia="lt-LT"/>
              </w:rPr>
            </w:pPr>
            <w:r w:rsidRPr="00650EE4">
              <w:rPr>
                <w:rFonts w:ascii="Times New Roman" w:hAnsi="Times New Roman"/>
                <w:szCs w:val="22"/>
                <w:lang w:eastAsia="lt-LT"/>
              </w:rPr>
              <w:t>Finansavimo ir jo intensyvumo susiejimas su energijos taupymo tikslais</w:t>
            </w:r>
          </w:p>
        </w:tc>
      </w:tr>
      <w:tr w:rsidR="006B7C8D" w:rsidRPr="00650EE4" w14:paraId="1363251F" w14:textId="77777777" w:rsidTr="006A60B7">
        <w:trPr>
          <w:trHeight w:val="47"/>
        </w:trPr>
        <w:tc>
          <w:tcPr>
            <w:tcW w:w="3114" w:type="dxa"/>
          </w:tcPr>
          <w:p w14:paraId="48B543AB" w14:textId="77777777" w:rsidR="006B7C8D" w:rsidRPr="00650EE4" w:rsidRDefault="006B7C8D" w:rsidP="005A369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6CF1CD70" w14:textId="77777777" w:rsidR="006B7C8D" w:rsidRPr="00650EE4" w:rsidRDefault="006B7C8D" w:rsidP="005A369A">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3D51C115" w14:textId="77777777" w:rsidTr="006A60B7">
        <w:trPr>
          <w:trHeight w:val="54"/>
        </w:trPr>
        <w:tc>
          <w:tcPr>
            <w:tcW w:w="3114" w:type="dxa"/>
          </w:tcPr>
          <w:p w14:paraId="5D93CB3C" w14:textId="77777777" w:rsidR="006B7C8D" w:rsidRPr="00650EE4" w:rsidRDefault="006B7C8D" w:rsidP="005A369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9E8A6C0" w14:textId="1FD00451" w:rsidR="006B7C8D" w:rsidRPr="00650EE4" w:rsidRDefault="003B0AA3" w:rsidP="003B0AA3">
            <w:pPr>
              <w:spacing w:after="60"/>
              <w:rPr>
                <w:rFonts w:ascii="Times New Roman" w:hAnsi="Times New Roman"/>
                <w:szCs w:val="22"/>
                <w:lang w:eastAsia="lt-LT"/>
              </w:rPr>
            </w:pPr>
            <w:r w:rsidRPr="00650EE4">
              <w:rPr>
                <w:rFonts w:ascii="Times New Roman" w:hAnsi="Times New Roman"/>
                <w:szCs w:val="22"/>
                <w:lang w:eastAsia="lt-LT"/>
              </w:rPr>
              <w:t>Trumpas</w:t>
            </w:r>
            <w:r w:rsidR="006B7C8D" w:rsidRPr="00650EE4">
              <w:rPr>
                <w:rFonts w:ascii="Times New Roman" w:hAnsi="Times New Roman"/>
                <w:szCs w:val="22"/>
                <w:lang w:eastAsia="lt-LT"/>
              </w:rPr>
              <w:t xml:space="preserve"> laikotarpis</w:t>
            </w:r>
          </w:p>
        </w:tc>
      </w:tr>
    </w:tbl>
    <w:p w14:paraId="66BCC2F0" w14:textId="77777777" w:rsidR="00CA5A61" w:rsidRPr="00650EE4" w:rsidRDefault="00CA5A61" w:rsidP="00CA5A61">
      <w:pPr>
        <w:jc w:val="both"/>
        <w:rPr>
          <w:rFonts w:ascii="Times New Roman" w:hAnsi="Times New Roman"/>
          <w:color w:val="000000" w:themeColor="text1"/>
          <w:szCs w:val="22"/>
        </w:rPr>
      </w:pPr>
    </w:p>
    <w:p w14:paraId="4ED7E061" w14:textId="08E57B6D"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9</w:t>
      </w:r>
      <w:r w:rsidRPr="00650EE4">
        <w:rPr>
          <w:rFonts w:ascii="Times New Roman" w:hAnsi="Times New Roman"/>
          <w:b/>
          <w:bCs/>
          <w:szCs w:val="24"/>
        </w:rPr>
        <w:t>. Racionalios renovacijos skatinimas</w:t>
      </w:r>
    </w:p>
    <w:p w14:paraId="7E9AAB6E" w14:textId="62C6D3ED" w:rsidR="00E00C6E" w:rsidRPr="00E00C6E" w:rsidRDefault="00E00C6E" w:rsidP="00E00C6E">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ES direktyvų nuostatos</w:t>
      </w:r>
      <w:r w:rsidRPr="009A0B03">
        <w:rPr>
          <w:rStyle w:val="FootnoteReference"/>
          <w:rFonts w:ascii="Times New Roman" w:hAnsi="Times New Roman"/>
          <w:color w:val="000000" w:themeColor="text1"/>
          <w:szCs w:val="22"/>
          <w:lang w:val="lt-LT"/>
        </w:rPr>
        <w:footnoteReference w:id="54"/>
      </w:r>
      <w:r w:rsidRPr="00E00C6E">
        <w:rPr>
          <w:rFonts w:ascii="Times New Roman" w:hAnsi="Times New Roman"/>
          <w:color w:val="000000" w:themeColor="text1"/>
          <w:szCs w:val="22"/>
          <w:lang w:val="lt-LT"/>
        </w:rPr>
        <w:t xml:space="preserve"> numato, kad IRS turi skatinti ekonomiškai efektyvią renovaciją t.y. paramos priemonės turėtų būti formuojamos atsižvelgiant racionalų išteklių panaudojimą, siekiant IRS nustatytų </w:t>
      </w:r>
      <w:r w:rsidR="00F51047">
        <w:rPr>
          <w:rFonts w:ascii="Times New Roman" w:hAnsi="Times New Roman"/>
          <w:color w:val="000000" w:themeColor="text1"/>
          <w:szCs w:val="22"/>
          <w:lang w:val="lt-LT"/>
        </w:rPr>
        <w:t>rodiklių</w:t>
      </w:r>
      <w:r w:rsidRPr="00E00C6E">
        <w:rPr>
          <w:rFonts w:ascii="Times New Roman" w:hAnsi="Times New Roman"/>
          <w:color w:val="000000" w:themeColor="text1"/>
          <w:szCs w:val="22"/>
          <w:lang w:val="lt-LT"/>
        </w:rPr>
        <w:t xml:space="preserve">. </w:t>
      </w:r>
    </w:p>
    <w:p w14:paraId="0EAF8ECE" w14:textId="77777777" w:rsidR="00E00C6E" w:rsidRPr="00E00C6E" w:rsidRDefault="00E00C6E" w:rsidP="00E00C6E">
      <w:pPr>
        <w:pStyle w:val="BodyText"/>
        <w:jc w:val="both"/>
        <w:rPr>
          <w:rFonts w:ascii="Times New Roman" w:hAnsi="Times New Roman"/>
          <w:color w:val="000000" w:themeColor="text1"/>
          <w:szCs w:val="22"/>
          <w:lang w:val="lt-LT"/>
        </w:rPr>
      </w:pPr>
    </w:p>
    <w:p w14:paraId="00063833" w14:textId="70B62251" w:rsidR="00E00C6E" w:rsidRPr="00E00C6E" w:rsidRDefault="00E00C6E" w:rsidP="00E00C6E">
      <w:pPr>
        <w:pStyle w:val="BodyText"/>
        <w:jc w:val="both"/>
        <w:rPr>
          <w:rFonts w:ascii="Times New Roman" w:hAnsi="Times New Roman"/>
          <w:color w:val="000000" w:themeColor="text1"/>
          <w:szCs w:val="22"/>
          <w:lang w:val="lt-LT"/>
        </w:rPr>
      </w:pPr>
      <w:r w:rsidRPr="00E00C6E">
        <w:rPr>
          <w:rFonts w:ascii="Times New Roman" w:hAnsi="Times New Roman"/>
          <w:color w:val="000000" w:themeColor="text1"/>
          <w:szCs w:val="22"/>
          <w:lang w:val="lt-LT"/>
        </w:rPr>
        <w:t>Atitinkamai, racionalios (ekonomiškai efektyvios) renovacijos siekis turėtų atsi</w:t>
      </w:r>
      <w:r>
        <w:rPr>
          <w:rFonts w:ascii="Times New Roman" w:hAnsi="Times New Roman"/>
          <w:color w:val="000000" w:themeColor="text1"/>
          <w:szCs w:val="22"/>
          <w:lang w:val="lt-LT"/>
        </w:rPr>
        <w:t>s</w:t>
      </w:r>
      <w:r w:rsidRPr="00E00C6E">
        <w:rPr>
          <w:rFonts w:ascii="Times New Roman" w:hAnsi="Times New Roman"/>
          <w:color w:val="000000" w:themeColor="text1"/>
          <w:szCs w:val="22"/>
          <w:lang w:val="lt-LT"/>
        </w:rPr>
        <w:t xml:space="preserve">pindėti ir rengiamame paramos priemonių pakete, pvz. nustatant ekonomiškai efektyvios renovacijos standartus ir pagal juos ribojant investicijų finansavimo apimtis. Tokiu būdu nebūtų ribojamas pastato savininko pasirinkimas rinktis jo norimus renovacijos techninius sprendinius (pvz., prabangų pastato fasadą), tačiau tokių investicijų finansavimo intensyvumas būtų proporcingai mažesnis, nei ekonomiškai efektyvių investicijų atveju. </w:t>
      </w:r>
    </w:p>
    <w:p w14:paraId="09A6BB52" w14:textId="77777777" w:rsidR="00E00C6E" w:rsidRPr="00E00C6E" w:rsidRDefault="00E00C6E" w:rsidP="00E00C6E">
      <w:pPr>
        <w:pStyle w:val="BodyText"/>
        <w:jc w:val="both"/>
        <w:rPr>
          <w:rFonts w:ascii="Times New Roman" w:hAnsi="Times New Roman"/>
          <w:color w:val="000000" w:themeColor="text1"/>
          <w:szCs w:val="22"/>
          <w:lang w:val="lt-LT"/>
        </w:rPr>
      </w:pPr>
    </w:p>
    <w:p w14:paraId="5C6CF482" w14:textId="4D285AAF" w:rsidR="00E00C6E" w:rsidRPr="00E00C6E" w:rsidRDefault="00E00C6E" w:rsidP="00E00C6E">
      <w:pPr>
        <w:pStyle w:val="BodyText"/>
        <w:jc w:val="both"/>
        <w:rPr>
          <w:rFonts w:ascii="Times New Roman" w:hAnsi="Times New Roman"/>
          <w:color w:val="000000" w:themeColor="text1"/>
          <w:szCs w:val="22"/>
          <w:lang w:val="lt-LT"/>
        </w:rPr>
      </w:pPr>
      <w:r w:rsidRPr="00E00C6E">
        <w:rPr>
          <w:rFonts w:ascii="Times New Roman" w:hAnsi="Times New Roman"/>
          <w:color w:val="000000" w:themeColor="text1"/>
          <w:szCs w:val="22"/>
          <w:lang w:val="lt-LT"/>
        </w:rPr>
        <w:t>Analogiškas principas būtų taikomas ir pastato savininkui (-</w:t>
      </w:r>
      <w:proofErr w:type="spellStart"/>
      <w:r w:rsidRPr="00E00C6E">
        <w:rPr>
          <w:rFonts w:ascii="Times New Roman" w:hAnsi="Times New Roman"/>
          <w:color w:val="000000" w:themeColor="text1"/>
          <w:szCs w:val="22"/>
          <w:lang w:val="lt-LT"/>
        </w:rPr>
        <w:t>ams</w:t>
      </w:r>
      <w:proofErr w:type="spellEnd"/>
      <w:r w:rsidRPr="00E00C6E">
        <w:rPr>
          <w:rFonts w:ascii="Times New Roman" w:hAnsi="Times New Roman"/>
          <w:color w:val="000000" w:themeColor="text1"/>
          <w:szCs w:val="22"/>
          <w:lang w:val="lt-LT"/>
        </w:rPr>
        <w:t>) nusprendus neefektyvų pastatą ne renovuoti, o jį griauti ir statyti naują. Esamo pastato griovimas ir naujo</w:t>
      </w:r>
      <w:r w:rsidR="00F51047">
        <w:rPr>
          <w:rFonts w:ascii="Times New Roman" w:hAnsi="Times New Roman"/>
          <w:color w:val="000000" w:themeColor="text1"/>
          <w:szCs w:val="22"/>
          <w:lang w:val="lt-LT"/>
        </w:rPr>
        <w:t xml:space="preserve"> pastato pastatymas IRS siektinų rodiklių</w:t>
      </w:r>
      <w:r w:rsidRPr="00E00C6E">
        <w:rPr>
          <w:rFonts w:ascii="Times New Roman" w:hAnsi="Times New Roman"/>
          <w:color w:val="000000" w:themeColor="text1"/>
          <w:szCs w:val="22"/>
          <w:lang w:val="lt-LT"/>
        </w:rPr>
        <w:t xml:space="preserve"> kontekste yra lygiavertė alternatyva pastato renovacija</w:t>
      </w:r>
      <w:r>
        <w:rPr>
          <w:rFonts w:ascii="Times New Roman" w:hAnsi="Times New Roman"/>
          <w:color w:val="000000" w:themeColor="text1"/>
          <w:szCs w:val="22"/>
          <w:lang w:val="lt-LT"/>
        </w:rPr>
        <w:t>i</w:t>
      </w:r>
      <w:r w:rsidRPr="00E00C6E">
        <w:rPr>
          <w:rFonts w:ascii="Times New Roman" w:hAnsi="Times New Roman"/>
          <w:color w:val="000000" w:themeColor="text1"/>
          <w:szCs w:val="22"/>
          <w:lang w:val="lt-LT"/>
        </w:rPr>
        <w:t xml:space="preserve"> iki tos pačios energinio naudingumo klasės, tik su reikšmingai didesniu investicijų poreikiu. Su pastato griovimu ir naujo pastato pastatymu susijusių esminių papildomų naudų (pvz. būsto vertės padidėjimas) gavėjas yra pastato savininkas. Atitinkamai, iš IRS įgyvendinimo perspektyvos, D energinio naudingumo klasės pastato nugriovimas ir naujo A++ energinio naudingumo klasės pastato pastatymas turėtų būti finansuojamas ta pačia suma (absoliučiais skaičiais) kaip ir to pastato renovavimas iki A++ energinio naudingumo klasės. Papildomų investicijų poreikis turėtų būti finansuojam</w:t>
      </w:r>
      <w:r>
        <w:rPr>
          <w:rFonts w:ascii="Times New Roman" w:hAnsi="Times New Roman"/>
          <w:color w:val="000000" w:themeColor="text1"/>
          <w:szCs w:val="22"/>
          <w:lang w:val="lt-LT"/>
        </w:rPr>
        <w:t>a</w:t>
      </w:r>
      <w:r w:rsidRPr="00E00C6E">
        <w:rPr>
          <w:rFonts w:ascii="Times New Roman" w:hAnsi="Times New Roman"/>
          <w:color w:val="000000" w:themeColor="text1"/>
          <w:szCs w:val="22"/>
          <w:lang w:val="lt-LT"/>
        </w:rPr>
        <w:t xml:space="preserve">s pastato savininko lėšomis ar kitais sprendimais (pvz., pastato </w:t>
      </w:r>
      <w:proofErr w:type="spellStart"/>
      <w:r w:rsidRPr="00E00C6E">
        <w:rPr>
          <w:rFonts w:ascii="Times New Roman" w:hAnsi="Times New Roman"/>
          <w:color w:val="000000" w:themeColor="text1"/>
          <w:szCs w:val="22"/>
          <w:lang w:val="lt-LT"/>
        </w:rPr>
        <w:t>aukštingumo</w:t>
      </w:r>
      <w:proofErr w:type="spellEnd"/>
      <w:r w:rsidRPr="00E00C6E">
        <w:rPr>
          <w:rFonts w:ascii="Times New Roman" w:hAnsi="Times New Roman"/>
          <w:color w:val="000000" w:themeColor="text1"/>
          <w:szCs w:val="22"/>
          <w:lang w:val="lt-LT"/>
        </w:rPr>
        <w:t xml:space="preserve"> didinimu)</w:t>
      </w:r>
      <w:r>
        <w:rPr>
          <w:rFonts w:ascii="Times New Roman" w:hAnsi="Times New Roman"/>
          <w:color w:val="000000" w:themeColor="text1"/>
          <w:szCs w:val="22"/>
          <w:lang w:val="lt-LT"/>
        </w:rPr>
        <w:t>, arba kitomis valstybinėmis fi</w:t>
      </w:r>
      <w:r w:rsidRPr="00E00C6E">
        <w:rPr>
          <w:rFonts w:ascii="Times New Roman" w:hAnsi="Times New Roman"/>
          <w:color w:val="000000" w:themeColor="text1"/>
          <w:szCs w:val="22"/>
          <w:lang w:val="lt-LT"/>
        </w:rPr>
        <w:t>n</w:t>
      </w:r>
      <w:r>
        <w:rPr>
          <w:rFonts w:ascii="Times New Roman" w:hAnsi="Times New Roman"/>
          <w:color w:val="000000" w:themeColor="text1"/>
          <w:szCs w:val="22"/>
          <w:lang w:val="lt-LT"/>
        </w:rPr>
        <w:t>an</w:t>
      </w:r>
      <w:r w:rsidRPr="00E00C6E">
        <w:rPr>
          <w:rFonts w:ascii="Times New Roman" w:hAnsi="Times New Roman"/>
          <w:color w:val="000000" w:themeColor="text1"/>
          <w:szCs w:val="22"/>
          <w:lang w:val="lt-LT"/>
        </w:rPr>
        <w:t xml:space="preserve">savimo programomis (pvz., valstybės ar savivaldos lygmeniu nusprendus investuoti į urbanistinę darną). </w:t>
      </w:r>
    </w:p>
    <w:p w14:paraId="5AECFDCE" w14:textId="77777777" w:rsidR="00E00C6E" w:rsidRPr="00E00C6E" w:rsidRDefault="00E00C6E" w:rsidP="00E00C6E">
      <w:pPr>
        <w:pStyle w:val="BodyText"/>
        <w:jc w:val="both"/>
        <w:rPr>
          <w:rFonts w:ascii="Times New Roman" w:hAnsi="Times New Roman"/>
          <w:color w:val="000000" w:themeColor="text1"/>
          <w:szCs w:val="22"/>
          <w:lang w:val="lt-LT"/>
        </w:rPr>
      </w:pPr>
    </w:p>
    <w:p w14:paraId="273CB158" w14:textId="05AFE982" w:rsidR="00B414A4" w:rsidRPr="00650EE4" w:rsidRDefault="00E00C6E" w:rsidP="00E00C6E">
      <w:pPr>
        <w:pStyle w:val="BodyText"/>
        <w:jc w:val="both"/>
        <w:rPr>
          <w:rFonts w:ascii="Times New Roman" w:hAnsi="Times New Roman"/>
          <w:color w:val="000000" w:themeColor="text1"/>
          <w:szCs w:val="22"/>
          <w:lang w:val="lt-LT"/>
        </w:rPr>
      </w:pPr>
      <w:r w:rsidRPr="00E00C6E">
        <w:rPr>
          <w:rFonts w:ascii="Times New Roman" w:hAnsi="Times New Roman"/>
          <w:color w:val="000000" w:themeColor="text1"/>
          <w:szCs w:val="22"/>
          <w:lang w:val="lt-LT"/>
        </w:rPr>
        <w:t>Taip pat, formuojant paramos priemonių paketą, svarbu įvertinti, kad racional</w:t>
      </w:r>
      <w:r>
        <w:rPr>
          <w:rFonts w:ascii="Times New Roman" w:hAnsi="Times New Roman"/>
          <w:color w:val="000000" w:themeColor="text1"/>
          <w:szCs w:val="22"/>
          <w:lang w:val="lt-LT"/>
        </w:rPr>
        <w:t>i</w:t>
      </w:r>
      <w:r w:rsidRPr="00E00C6E">
        <w:rPr>
          <w:rFonts w:ascii="Times New Roman" w:hAnsi="Times New Roman"/>
          <w:color w:val="000000" w:themeColor="text1"/>
          <w:szCs w:val="22"/>
          <w:lang w:val="lt-LT"/>
        </w:rPr>
        <w:t xml:space="preserve">os renovacijos principas reikalauja atsižvelgti ir į priemonių taikymo eiliškumą, pvz. finansuojant energijos gamybos šaltinių įsigijimą (keitimą) turėtų būti finansuojama tik ta investicijų dalis kuri būtų reikalinga energetiškai efektyviam pastatui. Neįvertinus šios aplinkybės ir </w:t>
      </w:r>
      <w:proofErr w:type="spellStart"/>
      <w:r w:rsidRPr="00E00C6E">
        <w:rPr>
          <w:rFonts w:ascii="Times New Roman" w:hAnsi="Times New Roman"/>
          <w:color w:val="000000" w:themeColor="text1"/>
          <w:szCs w:val="22"/>
          <w:lang w:val="lt-LT"/>
        </w:rPr>
        <w:t>energiškai</w:t>
      </w:r>
      <w:proofErr w:type="spellEnd"/>
      <w:r w:rsidRPr="00E00C6E">
        <w:rPr>
          <w:rFonts w:ascii="Times New Roman" w:hAnsi="Times New Roman"/>
          <w:color w:val="000000" w:themeColor="text1"/>
          <w:szCs w:val="22"/>
          <w:lang w:val="lt-LT"/>
        </w:rPr>
        <w:t xml:space="preserve"> neefektyvaus pastato renovaciją pradėjus nuo energijos gamybos šaltinio keitimo (parinkto remiantis faktiniu gamybos pajėgumų poreikiu), tikėtina, kad vėliau, </w:t>
      </w:r>
      <w:r>
        <w:rPr>
          <w:rFonts w:ascii="Times New Roman" w:hAnsi="Times New Roman"/>
          <w:color w:val="000000" w:themeColor="text1"/>
          <w:szCs w:val="22"/>
          <w:lang w:val="lt-LT"/>
        </w:rPr>
        <w:t>investavus į</w:t>
      </w:r>
      <w:r w:rsidRPr="00E00C6E">
        <w:rPr>
          <w:rFonts w:ascii="Times New Roman" w:hAnsi="Times New Roman"/>
          <w:color w:val="000000" w:themeColor="text1"/>
          <w:szCs w:val="22"/>
          <w:lang w:val="lt-LT"/>
        </w:rPr>
        <w:t xml:space="preserve"> pastato sandarum</w:t>
      </w:r>
      <w:r w:rsidR="00DE1EA7">
        <w:rPr>
          <w:rFonts w:ascii="Times New Roman" w:hAnsi="Times New Roman"/>
          <w:color w:val="000000" w:themeColor="text1"/>
          <w:szCs w:val="22"/>
          <w:lang w:val="lt-LT"/>
        </w:rPr>
        <w:t>ą</w:t>
      </w:r>
      <w:r w:rsidRPr="00E00C6E">
        <w:rPr>
          <w:rFonts w:ascii="Times New Roman" w:hAnsi="Times New Roman"/>
          <w:color w:val="000000" w:themeColor="text1"/>
          <w:szCs w:val="22"/>
          <w:lang w:val="lt-LT"/>
        </w:rPr>
        <w:t>, instaliuoti gamybiniai pajėgumai taptų pertekliniais ir neefektyviais, o atliktos investicijos į gamybos šaltinio keitimą ekonomiškai neracionaliomis.</w:t>
      </w:r>
    </w:p>
    <w:p w14:paraId="736F363B" w14:textId="77777777" w:rsidR="008D442E" w:rsidRPr="00650EE4" w:rsidRDefault="008D442E" w:rsidP="00125068">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2473" w:rsidRPr="00650EE4" w14:paraId="79FA647A" w14:textId="77777777" w:rsidTr="00103CEF">
        <w:trPr>
          <w:trHeight w:val="198"/>
        </w:trPr>
        <w:tc>
          <w:tcPr>
            <w:tcW w:w="3114" w:type="dxa"/>
          </w:tcPr>
          <w:p w14:paraId="672B103E" w14:textId="77777777" w:rsidR="000E2473" w:rsidRPr="00650EE4" w:rsidRDefault="000E2473" w:rsidP="00103CEF">
            <w:pPr>
              <w:rPr>
                <w:rFonts w:ascii="Times New Roman" w:hAnsi="Times New Roman"/>
                <w:b/>
                <w:bCs/>
                <w:szCs w:val="22"/>
              </w:rPr>
            </w:pPr>
            <w:r w:rsidRPr="00650EE4">
              <w:rPr>
                <w:rFonts w:ascii="Times New Roman" w:hAnsi="Times New Roman"/>
                <w:b/>
                <w:bCs/>
                <w:szCs w:val="22"/>
              </w:rPr>
              <w:t>Sprendžiama problema</w:t>
            </w:r>
          </w:p>
        </w:tc>
        <w:tc>
          <w:tcPr>
            <w:tcW w:w="7089" w:type="dxa"/>
          </w:tcPr>
          <w:p w14:paraId="7A1B0777" w14:textId="46E0F9DE" w:rsidR="000E2473" w:rsidRPr="00650EE4" w:rsidRDefault="000E2473" w:rsidP="00103CEF">
            <w:pPr>
              <w:spacing w:after="60"/>
              <w:rPr>
                <w:rFonts w:ascii="Times New Roman" w:hAnsi="Times New Roman"/>
                <w:szCs w:val="22"/>
                <w:lang w:eastAsia="lt-LT"/>
              </w:rPr>
            </w:pPr>
            <w:r w:rsidRPr="00650EE4">
              <w:rPr>
                <w:rFonts w:ascii="Times New Roman" w:hAnsi="Times New Roman"/>
                <w:szCs w:val="22"/>
                <w:lang w:eastAsia="lt-LT"/>
              </w:rPr>
              <w:t>B7. Neišnaudotas visa</w:t>
            </w:r>
            <w:r w:rsidR="00103CEF" w:rsidRPr="00650EE4">
              <w:rPr>
                <w:rFonts w:ascii="Times New Roman" w:hAnsi="Times New Roman"/>
                <w:szCs w:val="22"/>
                <w:lang w:eastAsia="lt-LT"/>
              </w:rPr>
              <w:t>s renovacijos naudų potencialas</w:t>
            </w:r>
          </w:p>
        </w:tc>
      </w:tr>
      <w:tr w:rsidR="006B7C8D" w:rsidRPr="00650EE4" w14:paraId="23470A7B" w14:textId="77777777" w:rsidTr="006A60B7">
        <w:trPr>
          <w:trHeight w:val="463"/>
        </w:trPr>
        <w:tc>
          <w:tcPr>
            <w:tcW w:w="3114" w:type="dxa"/>
          </w:tcPr>
          <w:p w14:paraId="15ED8D1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54A6D11"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Finansavimo ir jo intensyvumo susiejimas su renovacijos priemonių racionaliu taikymu</w:t>
            </w:r>
          </w:p>
        </w:tc>
      </w:tr>
      <w:tr w:rsidR="006B7C8D" w:rsidRPr="00650EE4" w14:paraId="56B345DA" w14:textId="77777777" w:rsidTr="006A60B7">
        <w:trPr>
          <w:trHeight w:val="94"/>
        </w:trPr>
        <w:tc>
          <w:tcPr>
            <w:tcW w:w="3114" w:type="dxa"/>
          </w:tcPr>
          <w:p w14:paraId="7769DA56"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2EA0449"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1008A7AD" w14:textId="77777777" w:rsidTr="006A60B7">
        <w:trPr>
          <w:trHeight w:val="55"/>
        </w:trPr>
        <w:tc>
          <w:tcPr>
            <w:tcW w:w="3114" w:type="dxa"/>
          </w:tcPr>
          <w:p w14:paraId="368B9429"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3BFCC2D"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Vidutinis</w:t>
            </w:r>
          </w:p>
        </w:tc>
      </w:tr>
    </w:tbl>
    <w:p w14:paraId="37155CB5" w14:textId="0B33D178" w:rsidR="002D0232" w:rsidRPr="00650EE4" w:rsidRDefault="002D0232" w:rsidP="008D442E">
      <w:pPr>
        <w:spacing w:after="120"/>
        <w:rPr>
          <w:rFonts w:ascii="Times New Roman" w:hAnsi="Times New Roman"/>
          <w:color w:val="000000" w:themeColor="text1"/>
          <w:szCs w:val="22"/>
        </w:rPr>
      </w:pPr>
    </w:p>
    <w:p w14:paraId="531EDC60" w14:textId="77777777" w:rsidR="00B66665" w:rsidRPr="00C72F91" w:rsidRDefault="00B66665" w:rsidP="00B66665">
      <w:pPr>
        <w:spacing w:after="120"/>
        <w:jc w:val="both"/>
        <w:rPr>
          <w:rFonts w:ascii="Times New Roman" w:hAnsi="Times New Roman"/>
          <w:b/>
          <w:bCs/>
          <w:szCs w:val="24"/>
        </w:rPr>
      </w:pPr>
      <w:r w:rsidRPr="00C72F91">
        <w:rPr>
          <w:rFonts w:ascii="Times New Roman" w:hAnsi="Times New Roman"/>
          <w:b/>
          <w:bCs/>
          <w:szCs w:val="24"/>
        </w:rPr>
        <w:t>P10. Nulinių CO</w:t>
      </w:r>
      <w:r w:rsidRPr="00C72F91">
        <w:rPr>
          <w:rFonts w:ascii="Times New Roman" w:hAnsi="Times New Roman"/>
          <w:b/>
          <w:bCs/>
          <w:szCs w:val="24"/>
          <w:vertAlign w:val="subscript"/>
        </w:rPr>
        <w:t>2</w:t>
      </w:r>
      <w:r w:rsidRPr="00C72F91">
        <w:rPr>
          <w:rFonts w:ascii="Times New Roman" w:hAnsi="Times New Roman"/>
          <w:b/>
          <w:bCs/>
          <w:szCs w:val="24"/>
        </w:rPr>
        <w:t xml:space="preserve"> emisijų siekis</w:t>
      </w:r>
    </w:p>
    <w:p w14:paraId="61F93CA5" w14:textId="433A80F3" w:rsidR="00B66665" w:rsidRPr="006D52CB" w:rsidRDefault="00F51047" w:rsidP="00F51047">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Siekiamas rodiklis</w:t>
      </w:r>
      <w:r w:rsidR="00B66665" w:rsidRPr="00C72F91">
        <w:rPr>
          <w:rFonts w:ascii="Times New Roman" w:hAnsi="Times New Roman"/>
          <w:color w:val="000000" w:themeColor="text1"/>
          <w:szCs w:val="22"/>
          <w:lang w:val="lt-LT"/>
        </w:rPr>
        <w:t xml:space="preserve"> iki 2050 m. pasiekti nulines CO</w:t>
      </w:r>
      <w:r w:rsidR="00B66665" w:rsidRPr="001E6A74">
        <w:rPr>
          <w:rFonts w:ascii="Times New Roman" w:hAnsi="Times New Roman"/>
          <w:color w:val="000000" w:themeColor="text1"/>
          <w:szCs w:val="22"/>
          <w:vertAlign w:val="subscript"/>
          <w:lang w:val="lt-LT"/>
        </w:rPr>
        <w:t>2</w:t>
      </w:r>
      <w:r w:rsidR="00B66665" w:rsidRPr="00C72F91">
        <w:rPr>
          <w:rFonts w:ascii="Times New Roman" w:hAnsi="Times New Roman"/>
          <w:color w:val="000000" w:themeColor="text1"/>
          <w:szCs w:val="22"/>
          <w:lang w:val="lt-LT"/>
        </w:rPr>
        <w:t xml:space="preserve"> emisijas </w:t>
      </w:r>
      <w:r w:rsidR="00B66665">
        <w:rPr>
          <w:rFonts w:ascii="Times New Roman" w:hAnsi="Times New Roman"/>
          <w:color w:val="000000" w:themeColor="text1"/>
          <w:szCs w:val="22"/>
          <w:lang w:val="lt-LT"/>
        </w:rPr>
        <w:t>p</w:t>
      </w:r>
      <w:r w:rsidR="00B66665" w:rsidRPr="00C72F91">
        <w:rPr>
          <w:rFonts w:ascii="Times New Roman" w:hAnsi="Times New Roman"/>
          <w:color w:val="000000" w:themeColor="text1"/>
          <w:szCs w:val="22"/>
          <w:lang w:val="lt-LT"/>
        </w:rPr>
        <w:t>astatų</w:t>
      </w:r>
      <w:r w:rsidR="00B66665" w:rsidRPr="006D52CB">
        <w:rPr>
          <w:rFonts w:ascii="Times New Roman" w:hAnsi="Times New Roman"/>
          <w:color w:val="000000" w:themeColor="text1"/>
          <w:szCs w:val="22"/>
          <w:lang w:val="lt-LT"/>
        </w:rPr>
        <w:t xml:space="preserve"> fonde, </w:t>
      </w:r>
      <w:r>
        <w:rPr>
          <w:rFonts w:ascii="Times New Roman" w:hAnsi="Times New Roman"/>
          <w:color w:val="000000" w:themeColor="text1"/>
          <w:szCs w:val="22"/>
          <w:lang w:val="lt-LT"/>
        </w:rPr>
        <w:t xml:space="preserve">reikalauja trijų esminių sąlygų </w:t>
      </w:r>
      <w:r w:rsidR="00B66665" w:rsidRPr="006D52CB">
        <w:rPr>
          <w:rFonts w:ascii="Times New Roman" w:hAnsi="Times New Roman"/>
          <w:color w:val="000000" w:themeColor="text1"/>
          <w:szCs w:val="22"/>
          <w:lang w:val="lt-LT"/>
        </w:rPr>
        <w:t>išpildymo:</w:t>
      </w:r>
    </w:p>
    <w:p w14:paraId="319863C1" w14:textId="705A5B8B" w:rsidR="00B66665" w:rsidRPr="00C3756B"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Pr="00C3756B">
        <w:rPr>
          <w:rFonts w:ascii="Times New Roman" w:hAnsi="Times New Roman"/>
          <w:color w:val="000000" w:themeColor="text1"/>
          <w:szCs w:val="22"/>
          <w:lang w:val="lt-LT"/>
        </w:rPr>
        <w:t xml:space="preserve">lektros sektorius turi 100% transformuotis į nulinių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sidRPr="00C3756B">
        <w:rPr>
          <w:rFonts w:ascii="Times New Roman" w:hAnsi="Times New Roman"/>
          <w:color w:val="000000" w:themeColor="text1"/>
          <w:szCs w:val="22"/>
          <w:lang w:val="lt-LT"/>
        </w:rPr>
        <w:t>emisij</w:t>
      </w:r>
      <w:r>
        <w:rPr>
          <w:rFonts w:ascii="Times New Roman" w:hAnsi="Times New Roman"/>
          <w:color w:val="000000" w:themeColor="text1"/>
          <w:szCs w:val="22"/>
          <w:lang w:val="lt-LT"/>
        </w:rPr>
        <w:t>ų sektorių;</w:t>
      </w:r>
    </w:p>
    <w:p w14:paraId="3E37A679" w14:textId="1AE47B58" w:rsidR="00B66665" w:rsidRPr="00C3756B"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sidRPr="00C3756B">
        <w:rPr>
          <w:rFonts w:ascii="Times New Roman" w:hAnsi="Times New Roman"/>
          <w:color w:val="000000" w:themeColor="text1"/>
          <w:szCs w:val="22"/>
          <w:lang w:val="lt-LT"/>
        </w:rPr>
        <w:t xml:space="preserve">CŠT  sektorius turi 100% transformuotis į nulinių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emisijų sektorių;</w:t>
      </w:r>
    </w:p>
    <w:p w14:paraId="77FA551B" w14:textId="77F7ABEF" w:rsidR="00B66665" w:rsidRPr="001D07EA"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dabartiniame (2020 m.) p</w:t>
      </w:r>
      <w:r w:rsidRPr="00C3756B">
        <w:rPr>
          <w:rFonts w:ascii="Times New Roman" w:hAnsi="Times New Roman"/>
          <w:color w:val="000000" w:themeColor="text1"/>
          <w:szCs w:val="22"/>
          <w:lang w:val="lt-LT"/>
        </w:rPr>
        <w:t>astatų fonde neturi likti nei vieno prie CŠT neprijungto pastato s</w:t>
      </w:r>
      <w:r>
        <w:rPr>
          <w:rFonts w:ascii="Times New Roman" w:hAnsi="Times New Roman"/>
          <w:color w:val="000000" w:themeColor="text1"/>
          <w:szCs w:val="22"/>
          <w:lang w:val="lt-LT"/>
        </w:rPr>
        <w:t>u individualiu gamybos šaltiniu,</w:t>
      </w:r>
      <w:r w:rsidRPr="001D07EA">
        <w:rPr>
          <w:rFonts w:ascii="Times New Roman" w:hAnsi="Times New Roman"/>
          <w:color w:val="000000" w:themeColor="text1"/>
          <w:szCs w:val="22"/>
          <w:lang w:val="lt-LT"/>
        </w:rPr>
        <w:t xml:space="preserve"> naudojančiu iškastinį kurą.</w:t>
      </w:r>
    </w:p>
    <w:p w14:paraId="599FF540" w14:textId="4DBBB0FA" w:rsidR="00B66665" w:rsidRDefault="00B66665" w:rsidP="00B66665">
      <w:pPr>
        <w:spacing w:before="120" w:after="60"/>
        <w:jc w:val="both"/>
        <w:rPr>
          <w:rFonts w:ascii="Times New Roman" w:hAnsi="Times New Roman"/>
          <w:color w:val="000000" w:themeColor="text1"/>
          <w:szCs w:val="22"/>
        </w:rPr>
      </w:pPr>
      <w:r w:rsidRPr="006D52CB">
        <w:rPr>
          <w:rFonts w:ascii="Times New Roman" w:hAnsi="Times New Roman"/>
          <w:color w:val="000000" w:themeColor="text1"/>
          <w:szCs w:val="22"/>
        </w:rPr>
        <w:t xml:space="preserve">Akivaizdu, kad </w:t>
      </w:r>
      <w:r w:rsidR="00F51047">
        <w:rPr>
          <w:rFonts w:ascii="Times New Roman" w:hAnsi="Times New Roman"/>
          <w:color w:val="000000" w:themeColor="text1"/>
          <w:szCs w:val="22"/>
        </w:rPr>
        <w:t>siekiant šio</w:t>
      </w:r>
      <w:r>
        <w:rPr>
          <w:rFonts w:ascii="Times New Roman" w:hAnsi="Times New Roman"/>
          <w:color w:val="000000" w:themeColor="text1"/>
          <w:szCs w:val="22"/>
        </w:rPr>
        <w:t xml:space="preserve"> </w:t>
      </w:r>
      <w:r w:rsidR="00F51047">
        <w:rPr>
          <w:rFonts w:ascii="Times New Roman" w:hAnsi="Times New Roman"/>
          <w:color w:val="000000" w:themeColor="text1"/>
          <w:szCs w:val="22"/>
        </w:rPr>
        <w:t>rodiklio</w:t>
      </w:r>
      <w:r>
        <w:rPr>
          <w:rFonts w:ascii="Times New Roman" w:hAnsi="Times New Roman"/>
          <w:color w:val="000000" w:themeColor="text1"/>
          <w:szCs w:val="22"/>
        </w:rPr>
        <w:t xml:space="preserve"> reikalingos ne tik </w:t>
      </w:r>
      <w:r w:rsidRPr="006D52CB">
        <w:rPr>
          <w:rFonts w:ascii="Times New Roman" w:hAnsi="Times New Roman"/>
          <w:color w:val="000000" w:themeColor="text1"/>
          <w:szCs w:val="22"/>
        </w:rPr>
        <w:t xml:space="preserve">koordinuotos </w:t>
      </w:r>
      <w:proofErr w:type="spellStart"/>
      <w:r w:rsidRPr="006D52CB">
        <w:rPr>
          <w:rFonts w:ascii="Times New Roman" w:hAnsi="Times New Roman"/>
          <w:color w:val="000000" w:themeColor="text1"/>
          <w:szCs w:val="22"/>
        </w:rPr>
        <w:t>tarpinstitucinės</w:t>
      </w:r>
      <w:proofErr w:type="spellEnd"/>
      <w:r w:rsidRPr="006D52CB">
        <w:rPr>
          <w:rFonts w:ascii="Times New Roman" w:hAnsi="Times New Roman"/>
          <w:color w:val="000000" w:themeColor="text1"/>
          <w:szCs w:val="22"/>
        </w:rPr>
        <w:t xml:space="preserve"> pastangos</w:t>
      </w:r>
      <w:r>
        <w:rPr>
          <w:rFonts w:ascii="Times New Roman" w:hAnsi="Times New Roman"/>
          <w:color w:val="000000" w:themeColor="text1"/>
          <w:szCs w:val="22"/>
        </w:rPr>
        <w:t xml:space="preserve"> ir</w:t>
      </w:r>
      <w:r w:rsidRPr="006D52CB">
        <w:rPr>
          <w:rFonts w:ascii="Times New Roman" w:hAnsi="Times New Roman"/>
          <w:color w:val="000000" w:themeColor="text1"/>
          <w:szCs w:val="22"/>
        </w:rPr>
        <w:t xml:space="preserve"> aiškiai į tikslą nukreipta</w:t>
      </w:r>
      <w:r>
        <w:rPr>
          <w:rFonts w:ascii="Times New Roman" w:hAnsi="Times New Roman"/>
          <w:color w:val="000000" w:themeColor="text1"/>
          <w:szCs w:val="22"/>
        </w:rPr>
        <w:t xml:space="preserve"> ir </w:t>
      </w:r>
      <w:r w:rsidRPr="006D52CB">
        <w:rPr>
          <w:rFonts w:ascii="Times New Roman" w:hAnsi="Times New Roman"/>
          <w:color w:val="000000" w:themeColor="text1"/>
          <w:szCs w:val="22"/>
        </w:rPr>
        <w:t>subalansuota paskatų bei nuobaudų sistema</w:t>
      </w:r>
      <w:r>
        <w:rPr>
          <w:rFonts w:ascii="Times New Roman" w:hAnsi="Times New Roman"/>
          <w:color w:val="000000" w:themeColor="text1"/>
          <w:szCs w:val="22"/>
        </w:rPr>
        <w:t xml:space="preserve"> bet ir platesnio masto išorinių veiksnių </w:t>
      </w:r>
      <w:proofErr w:type="spellStart"/>
      <w:r>
        <w:rPr>
          <w:rFonts w:ascii="Times New Roman" w:hAnsi="Times New Roman"/>
          <w:color w:val="000000" w:themeColor="text1"/>
          <w:szCs w:val="22"/>
        </w:rPr>
        <w:t>stebėsena</w:t>
      </w:r>
      <w:proofErr w:type="spellEnd"/>
      <w:r>
        <w:rPr>
          <w:rFonts w:ascii="Times New Roman" w:hAnsi="Times New Roman"/>
          <w:color w:val="000000" w:themeColor="text1"/>
          <w:szCs w:val="22"/>
        </w:rPr>
        <w:t xml:space="preserve"> pvz.:</w:t>
      </w:r>
    </w:p>
    <w:p w14:paraId="68908F9C" w14:textId="77777777" w:rsidR="00B66665" w:rsidRPr="00376FED"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sidRPr="00376FED">
        <w:rPr>
          <w:rFonts w:ascii="Times New Roman" w:hAnsi="Times New Roman"/>
          <w:color w:val="000000" w:themeColor="text1"/>
          <w:szCs w:val="22"/>
          <w:lang w:val="lt-LT"/>
        </w:rPr>
        <w:t>AEI technologijų raida</w:t>
      </w:r>
      <w:r>
        <w:rPr>
          <w:rFonts w:ascii="Times New Roman" w:hAnsi="Times New Roman"/>
          <w:color w:val="000000" w:themeColor="text1"/>
          <w:szCs w:val="22"/>
          <w:lang w:val="lt-LT"/>
        </w:rPr>
        <w:t>. Š</w:t>
      </w:r>
      <w:r w:rsidRPr="00376FED">
        <w:rPr>
          <w:rFonts w:ascii="Times New Roman" w:hAnsi="Times New Roman"/>
          <w:color w:val="000000" w:themeColor="text1"/>
          <w:szCs w:val="22"/>
          <w:lang w:val="lt-LT"/>
        </w:rPr>
        <w:t xml:space="preserve">iuo metu reikšminga dalis AEI priemonių nėra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sidRPr="00376FED">
        <w:rPr>
          <w:rFonts w:ascii="Times New Roman" w:hAnsi="Times New Roman"/>
          <w:color w:val="000000" w:themeColor="text1"/>
          <w:szCs w:val="22"/>
          <w:lang w:val="lt-LT"/>
        </w:rPr>
        <w:t>neutralios</w:t>
      </w:r>
      <w:r>
        <w:rPr>
          <w:rFonts w:ascii="Times New Roman" w:hAnsi="Times New Roman"/>
          <w:color w:val="000000" w:themeColor="text1"/>
          <w:szCs w:val="22"/>
          <w:lang w:val="lt-LT"/>
        </w:rPr>
        <w:t xml:space="preserve">, todėl net visų pastatų gamybos šaltinius pakeitus į iškastinio kuro nenaudojančius,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emisijos nebūtų nulinės.</w:t>
      </w:r>
    </w:p>
    <w:p w14:paraId="0CE23B14" w14:textId="77777777" w:rsidR="00B66665"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Į</w:t>
      </w:r>
      <w:r w:rsidRPr="00376FED">
        <w:rPr>
          <w:rFonts w:ascii="Times New Roman" w:hAnsi="Times New Roman"/>
          <w:color w:val="000000" w:themeColor="text1"/>
          <w:szCs w:val="22"/>
          <w:lang w:val="lt-LT"/>
        </w:rPr>
        <w:t xml:space="preserve"> tvarumą nukreiptų politikos priemonių </w:t>
      </w:r>
      <w:r>
        <w:rPr>
          <w:rFonts w:ascii="Times New Roman" w:hAnsi="Times New Roman"/>
          <w:color w:val="000000" w:themeColor="text1"/>
          <w:szCs w:val="22"/>
          <w:lang w:val="lt-LT"/>
        </w:rPr>
        <w:t>raida. Pavyzdžiui,</w:t>
      </w:r>
      <w:r w:rsidRPr="00376FED">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 xml:space="preserve">pakitus </w:t>
      </w:r>
      <w:r w:rsidRPr="00376FED">
        <w:rPr>
          <w:rFonts w:ascii="Times New Roman" w:hAnsi="Times New Roman"/>
          <w:color w:val="000000" w:themeColor="text1"/>
          <w:szCs w:val="22"/>
          <w:lang w:val="lt-LT"/>
        </w:rPr>
        <w:t xml:space="preserve">biokuro kaip AEI gamybos šaltinio </w:t>
      </w:r>
      <w:r>
        <w:rPr>
          <w:rFonts w:ascii="Times New Roman" w:hAnsi="Times New Roman"/>
          <w:color w:val="000000" w:themeColor="text1"/>
          <w:szCs w:val="22"/>
          <w:lang w:val="lt-LT"/>
        </w:rPr>
        <w:t>statusui, reikšmingai dalis dabartinių AEI gamybos šaltinių pataptų ne AEI ir pan.</w:t>
      </w:r>
      <w:r w:rsidRPr="00376FED">
        <w:rPr>
          <w:rFonts w:ascii="Times New Roman" w:hAnsi="Times New Roman"/>
          <w:color w:val="000000" w:themeColor="text1"/>
          <w:szCs w:val="22"/>
          <w:lang w:val="lt-LT"/>
        </w:rPr>
        <w:t xml:space="preserve"> </w:t>
      </w:r>
    </w:p>
    <w:p w14:paraId="5E0114DA" w14:textId="77777777" w:rsidR="00B66665" w:rsidRPr="000A7D36" w:rsidRDefault="00B66665" w:rsidP="00B66665">
      <w:pPr>
        <w:spacing w:before="120" w:after="60"/>
        <w:ind w:left="96"/>
        <w:jc w:val="both"/>
        <w:rPr>
          <w:rFonts w:ascii="Times New Roman" w:hAnsi="Times New Roman"/>
          <w:color w:val="000000" w:themeColor="text1"/>
          <w:szCs w:val="22"/>
        </w:rPr>
      </w:pPr>
      <w:r>
        <w:rPr>
          <w:rFonts w:ascii="Times New Roman" w:hAnsi="Times New Roman"/>
          <w:color w:val="000000" w:themeColor="text1"/>
          <w:szCs w:val="22"/>
        </w:rPr>
        <w:t>Atitinkamai, siekiant nulinių CO</w:t>
      </w:r>
      <w:r w:rsidRPr="00D27CC0">
        <w:rPr>
          <w:rFonts w:ascii="Times New Roman" w:hAnsi="Times New Roman"/>
          <w:color w:val="000000" w:themeColor="text1"/>
          <w:szCs w:val="22"/>
          <w:vertAlign w:val="subscript"/>
        </w:rPr>
        <w:t>2</w:t>
      </w:r>
      <w:r>
        <w:rPr>
          <w:rFonts w:ascii="Times New Roman" w:hAnsi="Times New Roman"/>
          <w:color w:val="000000" w:themeColor="text1"/>
          <w:szCs w:val="22"/>
        </w:rPr>
        <w:t xml:space="preserve"> emisijų, svarbu periodiškai įvertinti ne tik taikomų priemonių efektyvumą, bet ir išorinės aplinkos pokyčius bei atitinkamai tikslinti IRS nuostatas. </w:t>
      </w:r>
    </w:p>
    <w:p w14:paraId="6A89DDF0" w14:textId="77777777" w:rsidR="00B66665" w:rsidRPr="00C3756B" w:rsidRDefault="00B66665" w:rsidP="00B66665">
      <w:pPr>
        <w:pStyle w:val="ListParagraph"/>
        <w:spacing w:before="60" w:after="60"/>
        <w:ind w:left="453"/>
        <w:contextualSpacing w:val="0"/>
        <w:jc w:val="both"/>
        <w:rPr>
          <w:rFonts w:ascii="Times New Roman" w:hAnsi="Times New Roman"/>
          <w:color w:val="000000" w:themeColor="text1"/>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B66665" w:rsidRPr="00650EE4" w14:paraId="46839959" w14:textId="77777777" w:rsidTr="009D1C15">
        <w:trPr>
          <w:trHeight w:val="240"/>
        </w:trPr>
        <w:tc>
          <w:tcPr>
            <w:tcW w:w="3114" w:type="dxa"/>
          </w:tcPr>
          <w:p w14:paraId="46142BDC"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0EE37170" w14:textId="77777777" w:rsidR="00B66665" w:rsidRPr="00650EE4" w:rsidRDefault="00B66665" w:rsidP="009D1C15">
            <w:pPr>
              <w:spacing w:after="60"/>
              <w:rPr>
                <w:rFonts w:ascii="Times New Roman" w:hAnsi="Times New Roman"/>
                <w:szCs w:val="22"/>
                <w:lang w:eastAsia="lt-LT"/>
              </w:rPr>
            </w:pPr>
            <w:r>
              <w:rPr>
                <w:rFonts w:ascii="Times New Roman" w:hAnsi="Times New Roman"/>
                <w:szCs w:val="22"/>
                <w:lang w:eastAsia="lt-LT"/>
              </w:rPr>
              <w:t>Kompleksinė vidinių ir išorinių veiksnių įtaka siekiant nulinių CO2 emisijų</w:t>
            </w:r>
          </w:p>
        </w:tc>
      </w:tr>
      <w:tr w:rsidR="00B66665" w:rsidRPr="00650EE4" w14:paraId="47E96538" w14:textId="77777777" w:rsidTr="009D1C15">
        <w:trPr>
          <w:trHeight w:val="55"/>
        </w:trPr>
        <w:tc>
          <w:tcPr>
            <w:tcW w:w="3114" w:type="dxa"/>
          </w:tcPr>
          <w:p w14:paraId="419EC5FF"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031E993D" w14:textId="77777777" w:rsidR="00B66665" w:rsidRPr="00650EE4" w:rsidRDefault="00B66665" w:rsidP="009D1C15">
            <w:pPr>
              <w:spacing w:after="60"/>
              <w:rPr>
                <w:rFonts w:ascii="Times New Roman" w:hAnsi="Times New Roman"/>
                <w:szCs w:val="22"/>
                <w:lang w:eastAsia="lt-LT"/>
              </w:rPr>
            </w:pPr>
            <w:r>
              <w:rPr>
                <w:rFonts w:ascii="Times New Roman" w:hAnsi="Times New Roman"/>
                <w:szCs w:val="22"/>
                <w:lang w:eastAsia="lt-LT"/>
              </w:rPr>
              <w:t xml:space="preserve">Periodinis taikomų priemonių efektyvumo vertinimas, išorinių veiksnių monitoringas ir </w:t>
            </w:r>
            <w:proofErr w:type="spellStart"/>
            <w:r>
              <w:rPr>
                <w:rFonts w:ascii="Times New Roman" w:hAnsi="Times New Roman"/>
                <w:szCs w:val="22"/>
                <w:lang w:eastAsia="lt-LT"/>
              </w:rPr>
              <w:t>svalaikis</w:t>
            </w:r>
            <w:proofErr w:type="spellEnd"/>
            <w:r>
              <w:rPr>
                <w:rFonts w:ascii="Times New Roman" w:hAnsi="Times New Roman"/>
                <w:szCs w:val="22"/>
                <w:lang w:eastAsia="lt-LT"/>
              </w:rPr>
              <w:t xml:space="preserve"> IRS atnaujinimas. </w:t>
            </w:r>
          </w:p>
        </w:tc>
      </w:tr>
      <w:tr w:rsidR="00B66665" w:rsidRPr="00650EE4" w14:paraId="05E42703" w14:textId="77777777" w:rsidTr="009D1C15">
        <w:trPr>
          <w:trHeight w:val="55"/>
        </w:trPr>
        <w:tc>
          <w:tcPr>
            <w:tcW w:w="3114" w:type="dxa"/>
          </w:tcPr>
          <w:p w14:paraId="5FDCE7B1"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8B153AF"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Aukštas</w:t>
            </w:r>
          </w:p>
        </w:tc>
      </w:tr>
      <w:tr w:rsidR="00B66665" w:rsidRPr="00650EE4" w14:paraId="086E0B28" w14:textId="77777777" w:rsidTr="009D1C15">
        <w:trPr>
          <w:trHeight w:val="55"/>
        </w:trPr>
        <w:tc>
          <w:tcPr>
            <w:tcW w:w="3114" w:type="dxa"/>
          </w:tcPr>
          <w:p w14:paraId="1CB947AD"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AFF8A6C"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00AEC0AC" w14:textId="77777777" w:rsidR="00B66665" w:rsidRPr="00AD5D88" w:rsidRDefault="00B66665" w:rsidP="00B66665">
      <w:pPr>
        <w:pStyle w:val="BodyText"/>
        <w:jc w:val="both"/>
        <w:rPr>
          <w:rFonts w:ascii="Times New Roman" w:hAnsi="Times New Roman"/>
          <w:color w:val="000000" w:themeColor="text1"/>
          <w:szCs w:val="22"/>
          <w:lang w:val="lt-LT"/>
        </w:rPr>
      </w:pPr>
    </w:p>
    <w:p w14:paraId="499262D2" w14:textId="4BE29E02"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1</w:t>
      </w:r>
      <w:r w:rsidR="00B66665">
        <w:rPr>
          <w:rFonts w:ascii="Times New Roman" w:hAnsi="Times New Roman"/>
          <w:b/>
          <w:bCs/>
          <w:szCs w:val="24"/>
        </w:rPr>
        <w:t>1</w:t>
      </w:r>
      <w:r w:rsidRPr="00650EE4">
        <w:rPr>
          <w:rFonts w:ascii="Times New Roman" w:hAnsi="Times New Roman"/>
          <w:b/>
          <w:bCs/>
          <w:szCs w:val="24"/>
        </w:rPr>
        <w:t xml:space="preserve">. </w:t>
      </w:r>
      <w:proofErr w:type="spellStart"/>
      <w:r w:rsidRPr="00650EE4">
        <w:rPr>
          <w:rFonts w:ascii="Times New Roman" w:hAnsi="Times New Roman"/>
          <w:b/>
          <w:bCs/>
          <w:szCs w:val="24"/>
        </w:rPr>
        <w:t>Kvartalinės</w:t>
      </w:r>
      <w:proofErr w:type="spellEnd"/>
      <w:r w:rsidRPr="00650EE4">
        <w:rPr>
          <w:rFonts w:ascii="Times New Roman" w:hAnsi="Times New Roman"/>
          <w:b/>
          <w:bCs/>
          <w:szCs w:val="24"/>
        </w:rPr>
        <w:t xml:space="preserve"> renovacijos įgyvendinimas</w:t>
      </w:r>
    </w:p>
    <w:p w14:paraId="4B205103" w14:textId="6F3A8F22" w:rsidR="00596B40" w:rsidRPr="00650EE4" w:rsidRDefault="00596B40" w:rsidP="00FD1D6D">
      <w:pPr>
        <w:jc w:val="both"/>
        <w:rPr>
          <w:rFonts w:ascii="Times New Roman" w:hAnsi="Times New Roman"/>
          <w:szCs w:val="22"/>
        </w:rPr>
      </w:pPr>
      <w:proofErr w:type="spellStart"/>
      <w:r w:rsidRPr="00650EE4">
        <w:rPr>
          <w:rFonts w:ascii="Times New Roman" w:hAnsi="Times New Roman"/>
          <w:szCs w:val="22"/>
        </w:rPr>
        <w:t>Kvartalinės</w:t>
      </w:r>
      <w:proofErr w:type="spellEnd"/>
      <w:r w:rsidRPr="00650EE4">
        <w:rPr>
          <w:rFonts w:ascii="Times New Roman" w:hAnsi="Times New Roman"/>
          <w:szCs w:val="22"/>
        </w:rPr>
        <w:t xml:space="preserve"> renovacijos metu atnaujinami ne tik visi gatvės ar rajono pastatai, bet ir inžinierinės sistemos, bendrosios erdvės. </w:t>
      </w:r>
      <w:proofErr w:type="spellStart"/>
      <w:r w:rsidRPr="00650EE4">
        <w:rPr>
          <w:rFonts w:ascii="Times New Roman" w:hAnsi="Times New Roman"/>
          <w:szCs w:val="22"/>
        </w:rPr>
        <w:t>Kvartalinės</w:t>
      </w:r>
      <w:proofErr w:type="spellEnd"/>
      <w:r w:rsidRPr="00650EE4">
        <w:rPr>
          <w:rFonts w:ascii="Times New Roman" w:hAnsi="Times New Roman"/>
          <w:szCs w:val="22"/>
        </w:rPr>
        <w:t xml:space="preserve"> renovacijos rezultatas – kompleksiškai atnaujintas kvartalas, taupantis energiją pastatuose ir kvartalo inžinerinėse sistemose. Papildomai prie pastatų renovacijos, atnaujinamas kvartalo apšvietimas, elektros ir vandentiekio bei kanalizacijos tinklai, CŠT tinklai, sutvarkoma </w:t>
      </w:r>
      <w:r w:rsidR="00AB630F">
        <w:rPr>
          <w:rFonts w:ascii="Times New Roman" w:hAnsi="Times New Roman"/>
          <w:szCs w:val="22"/>
        </w:rPr>
        <w:t>aplinka</w:t>
      </w:r>
      <w:r w:rsidRPr="00650EE4">
        <w:rPr>
          <w:rFonts w:ascii="Times New Roman" w:hAnsi="Times New Roman"/>
          <w:szCs w:val="22"/>
        </w:rPr>
        <w:t xml:space="preserve">. Tai </w:t>
      </w:r>
      <w:r w:rsidR="00AB630F">
        <w:rPr>
          <w:rFonts w:ascii="Times New Roman" w:hAnsi="Times New Roman"/>
          <w:szCs w:val="22"/>
        </w:rPr>
        <w:t>daro</w:t>
      </w:r>
      <w:r w:rsidR="00AB630F" w:rsidRPr="00650EE4">
        <w:rPr>
          <w:rFonts w:ascii="Times New Roman" w:hAnsi="Times New Roman"/>
          <w:szCs w:val="22"/>
        </w:rPr>
        <w:t xml:space="preserve"> </w:t>
      </w:r>
      <w:r w:rsidRPr="00650EE4">
        <w:rPr>
          <w:rFonts w:ascii="Times New Roman" w:hAnsi="Times New Roman"/>
          <w:szCs w:val="22"/>
        </w:rPr>
        <w:t>įtak</w:t>
      </w:r>
      <w:r w:rsidR="00AB630F">
        <w:rPr>
          <w:rFonts w:ascii="Times New Roman" w:hAnsi="Times New Roman"/>
          <w:szCs w:val="22"/>
        </w:rPr>
        <w:t>ą</w:t>
      </w:r>
      <w:r w:rsidRPr="00650EE4">
        <w:rPr>
          <w:rFonts w:ascii="Times New Roman" w:hAnsi="Times New Roman"/>
          <w:szCs w:val="22"/>
        </w:rPr>
        <w:t xml:space="preserve"> ne tik energetinėms sąnaudoms, bet ir kvartalo gyventojų gyvenimo kokybei. Atnaujinant visą kvartalą vienu metu galima pagerinti kvartalo funkcionalumą, pavyzdžiui, paruošti, elektros tinklų infrastruktūrą tam, kad parkavimo vietose būtų parengtos vietos ar įrengtos elektromobilių krovimo stotelės, taip paskatinant autotransporto elektrifikaciją. Taip pat kiemus pritaikyti taip, kad tilptų daugiau automobilių </w:t>
      </w:r>
      <w:r w:rsidR="00AB630F">
        <w:rPr>
          <w:rFonts w:ascii="Times New Roman" w:hAnsi="Times New Roman"/>
          <w:szCs w:val="22"/>
        </w:rPr>
        <w:t>ir</w:t>
      </w:r>
      <w:r w:rsidR="00AB630F" w:rsidRPr="00650EE4">
        <w:rPr>
          <w:rFonts w:ascii="Times New Roman" w:hAnsi="Times New Roman"/>
          <w:szCs w:val="22"/>
        </w:rPr>
        <w:t xml:space="preserve"> </w:t>
      </w:r>
      <w:r w:rsidRPr="00650EE4">
        <w:rPr>
          <w:rFonts w:ascii="Times New Roman" w:hAnsi="Times New Roman"/>
          <w:szCs w:val="22"/>
        </w:rPr>
        <w:t>žaliosios erdvės būtų labiau pritaikomos gyventojų poreikiams.</w:t>
      </w:r>
      <w:r w:rsidR="009163C8" w:rsidRPr="00650EE4">
        <w:rPr>
          <w:rFonts w:ascii="Times New Roman" w:hAnsi="Times New Roman"/>
          <w:szCs w:val="22"/>
        </w:rPr>
        <w:t xml:space="preserve"> S</w:t>
      </w:r>
      <w:r w:rsidRPr="00650EE4">
        <w:rPr>
          <w:rFonts w:ascii="Times New Roman" w:hAnsi="Times New Roman"/>
          <w:szCs w:val="22"/>
        </w:rPr>
        <w:t xml:space="preserve">varbus ir kvartalo estetinis vaizdas, kurį pasiekti įgyvendinant </w:t>
      </w:r>
      <w:proofErr w:type="spellStart"/>
      <w:r w:rsidRPr="00650EE4">
        <w:rPr>
          <w:rFonts w:ascii="Times New Roman" w:hAnsi="Times New Roman"/>
          <w:szCs w:val="22"/>
        </w:rPr>
        <w:t>kvartalinę</w:t>
      </w:r>
      <w:proofErr w:type="spellEnd"/>
      <w:r w:rsidRPr="00650EE4">
        <w:rPr>
          <w:rFonts w:ascii="Times New Roman" w:hAnsi="Times New Roman"/>
          <w:szCs w:val="22"/>
        </w:rPr>
        <w:t xml:space="preserve"> renovaciją yra lengviau, nes tiek projektavimas, tiek medžiagų užsakymas vyksta vienu metu. Pastatai gali būti dažomi viena spalva ar suderintų spalvų palete. Taip pat </w:t>
      </w:r>
      <w:r w:rsidR="00AB630F">
        <w:rPr>
          <w:rFonts w:ascii="Times New Roman" w:hAnsi="Times New Roman"/>
          <w:szCs w:val="22"/>
        </w:rPr>
        <w:t>aplinka</w:t>
      </w:r>
      <w:r w:rsidR="00AB630F" w:rsidRPr="00650EE4">
        <w:rPr>
          <w:rFonts w:ascii="Times New Roman" w:hAnsi="Times New Roman"/>
          <w:szCs w:val="22"/>
        </w:rPr>
        <w:t xml:space="preserve"> </w:t>
      </w:r>
      <w:r w:rsidRPr="00650EE4">
        <w:rPr>
          <w:rFonts w:ascii="Times New Roman" w:hAnsi="Times New Roman"/>
          <w:szCs w:val="22"/>
        </w:rPr>
        <w:t>gali būti tvarkoma vieningai, atsižvelgiant į tai, kaip gyventojams erdves</w:t>
      </w:r>
      <w:r w:rsidR="00EA2BFB" w:rsidRPr="00650EE4">
        <w:rPr>
          <w:rFonts w:ascii="Times New Roman" w:hAnsi="Times New Roman"/>
          <w:szCs w:val="22"/>
        </w:rPr>
        <w:t xml:space="preserve"> naudoti</w:t>
      </w:r>
      <w:r w:rsidRPr="00650EE4">
        <w:rPr>
          <w:rFonts w:ascii="Times New Roman" w:hAnsi="Times New Roman"/>
          <w:szCs w:val="22"/>
        </w:rPr>
        <w:t xml:space="preserve"> patogiausia. </w:t>
      </w:r>
    </w:p>
    <w:p w14:paraId="100A6581" w14:textId="77777777" w:rsidR="00125068" w:rsidRPr="00650EE4" w:rsidRDefault="00125068" w:rsidP="00125068">
      <w:pPr>
        <w:jc w:val="both"/>
        <w:rPr>
          <w:rFonts w:ascii="Times New Roman" w:hAnsi="Times New Roman"/>
          <w:szCs w:val="22"/>
        </w:rPr>
      </w:pPr>
    </w:p>
    <w:p w14:paraId="7D2881FE" w14:textId="77777777" w:rsidR="008F114A" w:rsidRDefault="00596B40" w:rsidP="00125068">
      <w:pPr>
        <w:jc w:val="both"/>
        <w:rPr>
          <w:rFonts w:ascii="Times New Roman" w:hAnsi="Times New Roman"/>
          <w:szCs w:val="22"/>
        </w:rPr>
      </w:pPr>
      <w:r w:rsidRPr="00650EE4">
        <w:rPr>
          <w:rFonts w:ascii="Times New Roman" w:hAnsi="Times New Roman"/>
          <w:szCs w:val="22"/>
        </w:rPr>
        <w:t xml:space="preserve">Išaugęs kvartalo funkcionalumas ir geresnis estetinis vaizdas didina kvartalo patrauklumą ir nekilnojamojo turto kainą. Atitinkamai, </w:t>
      </w:r>
      <w:proofErr w:type="spellStart"/>
      <w:r w:rsidRPr="00650EE4">
        <w:rPr>
          <w:rFonts w:ascii="Times New Roman" w:hAnsi="Times New Roman"/>
          <w:szCs w:val="22"/>
        </w:rPr>
        <w:t>kvartalinė</w:t>
      </w:r>
      <w:proofErr w:type="spellEnd"/>
      <w:r w:rsidRPr="00650EE4">
        <w:rPr>
          <w:rFonts w:ascii="Times New Roman" w:hAnsi="Times New Roman"/>
          <w:szCs w:val="22"/>
        </w:rPr>
        <w:t xml:space="preserve"> renovacija gali turėti didelį poveikį renovacijos paklausai iš savininkų pusės dėl išaugančios naudos: kvartalo infrastruktūros atnaujinimo, estetinio vaizdo, turto vertės augimo.</w:t>
      </w:r>
    </w:p>
    <w:p w14:paraId="7B1EFE30" w14:textId="77777777" w:rsidR="008F114A" w:rsidRDefault="008F114A" w:rsidP="00125068">
      <w:pPr>
        <w:jc w:val="both"/>
        <w:rPr>
          <w:rFonts w:ascii="Times New Roman" w:hAnsi="Times New Roman"/>
          <w:szCs w:val="22"/>
        </w:rPr>
      </w:pPr>
    </w:p>
    <w:p w14:paraId="31D0BD74" w14:textId="29C5708C" w:rsidR="00596B40" w:rsidRPr="00650EE4" w:rsidRDefault="008F114A" w:rsidP="00125068">
      <w:pPr>
        <w:jc w:val="both"/>
        <w:rPr>
          <w:rFonts w:ascii="Times New Roman" w:hAnsi="Times New Roman"/>
          <w:szCs w:val="22"/>
        </w:rPr>
      </w:pPr>
      <w:r w:rsidRPr="00E73A77">
        <w:rPr>
          <w:rFonts w:ascii="Times New Roman" w:hAnsi="Times New Roman"/>
          <w:szCs w:val="22"/>
        </w:rPr>
        <w:t>Taip pat, vykdant didelės apimties kompleksinį atnaujinimą efektyviau užtikrinti kitų platesnio masto transformacijos naudų realizavimą, pvz., renovacijos tvarumą (žr. P14),</w:t>
      </w:r>
      <w:r w:rsidR="00114DBA" w:rsidRPr="00E73A77">
        <w:rPr>
          <w:rFonts w:ascii="Times New Roman" w:hAnsi="Times New Roman"/>
          <w:szCs w:val="22"/>
        </w:rPr>
        <w:t xml:space="preserve"> pastatų ir aplinkos pritaikymą pagal universalaus dizaino principus, priešgaisrinės apsaugos reikalavimų užtikrinimą,</w:t>
      </w:r>
      <w:r w:rsidRPr="00E73A77">
        <w:rPr>
          <w:rFonts w:ascii="Times New Roman" w:hAnsi="Times New Roman"/>
          <w:szCs w:val="22"/>
        </w:rPr>
        <w:t xml:space="preserve"> biologinės įvairovės apsaugą</w:t>
      </w:r>
      <w:r w:rsidRPr="00E73A77">
        <w:rPr>
          <w:rStyle w:val="FootnoteReference"/>
          <w:rFonts w:ascii="Times New Roman" w:hAnsi="Times New Roman"/>
          <w:szCs w:val="22"/>
        </w:rPr>
        <w:footnoteReference w:id="55"/>
      </w:r>
      <w:r w:rsidR="00114DBA" w:rsidRPr="00E73A77">
        <w:rPr>
          <w:rFonts w:ascii="Times New Roman" w:hAnsi="Times New Roman"/>
          <w:szCs w:val="22"/>
        </w:rPr>
        <w:t xml:space="preserve"> ir pan</w:t>
      </w:r>
      <w:r w:rsidRPr="00E73A77">
        <w:rPr>
          <w:rFonts w:ascii="Times New Roman" w:hAnsi="Times New Roman"/>
          <w:szCs w:val="22"/>
        </w:rPr>
        <w:t>.</w:t>
      </w:r>
      <w:r w:rsidR="00596B40" w:rsidRPr="00650EE4">
        <w:rPr>
          <w:rFonts w:ascii="Times New Roman" w:hAnsi="Times New Roman"/>
          <w:szCs w:val="22"/>
        </w:rPr>
        <w:t xml:space="preserve"> </w:t>
      </w:r>
    </w:p>
    <w:p w14:paraId="22498193" w14:textId="77777777" w:rsidR="00125068" w:rsidRPr="00650EE4" w:rsidRDefault="00125068" w:rsidP="00125068">
      <w:pPr>
        <w:jc w:val="both"/>
        <w:rPr>
          <w:rFonts w:ascii="Times New Roman" w:hAnsi="Times New Roman"/>
          <w:szCs w:val="22"/>
        </w:rPr>
      </w:pPr>
    </w:p>
    <w:p w14:paraId="3000CB0E" w14:textId="40B93262" w:rsidR="00596B40" w:rsidRPr="00650EE4" w:rsidRDefault="009163C8" w:rsidP="00125068">
      <w:pPr>
        <w:jc w:val="both"/>
        <w:rPr>
          <w:rFonts w:ascii="Times New Roman" w:hAnsi="Times New Roman"/>
          <w:szCs w:val="22"/>
        </w:rPr>
      </w:pPr>
      <w:r w:rsidRPr="00650EE4">
        <w:rPr>
          <w:rFonts w:ascii="Times New Roman" w:hAnsi="Times New Roman"/>
          <w:szCs w:val="22"/>
        </w:rPr>
        <w:t xml:space="preserve">Be to, </w:t>
      </w:r>
      <w:proofErr w:type="spellStart"/>
      <w:r w:rsidRPr="00650EE4">
        <w:rPr>
          <w:rFonts w:ascii="Times New Roman" w:hAnsi="Times New Roman"/>
          <w:szCs w:val="22"/>
        </w:rPr>
        <w:t>kvartalinė</w:t>
      </w:r>
      <w:proofErr w:type="spellEnd"/>
      <w:r w:rsidRPr="00650EE4">
        <w:rPr>
          <w:rFonts w:ascii="Times New Roman" w:hAnsi="Times New Roman"/>
          <w:szCs w:val="22"/>
        </w:rPr>
        <w:t xml:space="preserve"> renovacija gali būti ir pasiūlą didinanti priemonė.</w:t>
      </w:r>
      <w:r w:rsidR="00596B40" w:rsidRPr="00650EE4">
        <w:rPr>
          <w:rFonts w:ascii="Times New Roman" w:hAnsi="Times New Roman"/>
          <w:szCs w:val="22"/>
        </w:rPr>
        <w:t xml:space="preserve"> Renovaciją įgyvendinant ne po vieną pastatą, o grupėmis, būtų galima pritraukti didžiąsias statybos įmones, </w:t>
      </w:r>
      <w:r w:rsidR="00AB630F">
        <w:rPr>
          <w:rFonts w:ascii="Times New Roman" w:hAnsi="Times New Roman"/>
          <w:szCs w:val="22"/>
        </w:rPr>
        <w:t>tai</w:t>
      </w:r>
      <w:r w:rsidR="00AB630F" w:rsidRPr="00650EE4">
        <w:rPr>
          <w:rFonts w:ascii="Times New Roman" w:hAnsi="Times New Roman"/>
          <w:szCs w:val="22"/>
        </w:rPr>
        <w:t xml:space="preserve"> </w:t>
      </w:r>
      <w:r w:rsidR="00596B40" w:rsidRPr="00650EE4">
        <w:rPr>
          <w:rFonts w:ascii="Times New Roman" w:hAnsi="Times New Roman"/>
          <w:szCs w:val="22"/>
        </w:rPr>
        <w:t>leistų sumažinti renovacijos kainą ir padidintų efektyvumą. Turint didelius renovacijos projektus, suplanuotus metų eigoje, kurtųsi specializuotos įmonės, kurios vykdo renovacijos darbus ir atitinkamai vystytų pajėgumus taip, kad renovacijos paslaugų pasiūla atitiktų paklausą.</w:t>
      </w:r>
    </w:p>
    <w:p w14:paraId="55709326" w14:textId="77777777" w:rsidR="00125068" w:rsidRPr="00650EE4" w:rsidRDefault="00125068" w:rsidP="00125068">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DA0859" w:rsidRPr="00650EE4" w14:paraId="7670684B" w14:textId="77777777" w:rsidTr="006A60B7">
        <w:trPr>
          <w:trHeight w:val="463"/>
        </w:trPr>
        <w:tc>
          <w:tcPr>
            <w:tcW w:w="3114" w:type="dxa"/>
          </w:tcPr>
          <w:p w14:paraId="6086EF54" w14:textId="77777777" w:rsidR="00DA0859" w:rsidRPr="00650EE4" w:rsidRDefault="00DA0859" w:rsidP="00DA0859">
            <w:pPr>
              <w:spacing w:after="60"/>
              <w:rPr>
                <w:rFonts w:ascii="Times New Roman" w:hAnsi="Times New Roman"/>
                <w:b/>
                <w:bCs/>
                <w:szCs w:val="22"/>
              </w:rPr>
            </w:pPr>
            <w:r w:rsidRPr="00650EE4">
              <w:rPr>
                <w:rFonts w:ascii="Times New Roman" w:hAnsi="Times New Roman"/>
                <w:b/>
                <w:bCs/>
                <w:szCs w:val="22"/>
              </w:rPr>
              <w:lastRenderedPageBreak/>
              <w:t>Sprendžiama problema</w:t>
            </w:r>
          </w:p>
        </w:tc>
        <w:tc>
          <w:tcPr>
            <w:tcW w:w="7089" w:type="dxa"/>
          </w:tcPr>
          <w:p w14:paraId="6434D16D" w14:textId="68CF344F" w:rsidR="00DA0859" w:rsidRDefault="00DA0859" w:rsidP="00DA0859">
            <w:pPr>
              <w:spacing w:after="60"/>
              <w:rPr>
                <w:rFonts w:ascii="Times New Roman" w:hAnsi="Times New Roman"/>
                <w:szCs w:val="22"/>
                <w:lang w:eastAsia="lt-LT"/>
              </w:rPr>
            </w:pPr>
            <w:r w:rsidRPr="00650EE4">
              <w:rPr>
                <w:rFonts w:ascii="Times New Roman" w:hAnsi="Times New Roman"/>
                <w:szCs w:val="22"/>
                <w:lang w:eastAsia="lt-LT"/>
              </w:rPr>
              <w:t>B7. Neišnaudotas visas renovacijos naudų potencialas</w:t>
            </w:r>
          </w:p>
          <w:p w14:paraId="789AB925" w14:textId="3005F45D" w:rsidR="00AB630F" w:rsidRPr="00650EE4" w:rsidRDefault="00AB630F" w:rsidP="00DA0859">
            <w:pPr>
              <w:spacing w:after="60"/>
              <w:rPr>
                <w:rFonts w:ascii="Times New Roman" w:hAnsi="Times New Roman"/>
                <w:szCs w:val="22"/>
                <w:lang w:eastAsia="lt-LT"/>
              </w:rPr>
            </w:pPr>
            <w:r>
              <w:rPr>
                <w:rFonts w:ascii="Times New Roman" w:hAnsi="Times New Roman"/>
                <w:szCs w:val="22"/>
                <w:lang w:eastAsia="lt-LT"/>
              </w:rPr>
              <w:t>B6. Brangstanti renovacija</w:t>
            </w:r>
          </w:p>
          <w:p w14:paraId="339857E3" w14:textId="2430AB7B" w:rsidR="00DA0859" w:rsidRPr="00650EE4" w:rsidRDefault="00DA0859" w:rsidP="00DA0859">
            <w:pPr>
              <w:spacing w:after="60"/>
              <w:rPr>
                <w:rFonts w:ascii="Times New Roman" w:hAnsi="Times New Roman"/>
                <w:szCs w:val="22"/>
                <w:lang w:eastAsia="lt-LT"/>
              </w:rPr>
            </w:pPr>
            <w:r w:rsidRPr="00650EE4">
              <w:rPr>
                <w:rFonts w:ascii="Times New Roman" w:hAnsi="Times New Roman"/>
                <w:szCs w:val="22"/>
                <w:lang w:eastAsia="lt-LT"/>
              </w:rPr>
              <w:t>B12. Finansinių institucijų nenoras skolint</w:t>
            </w:r>
            <w:r w:rsidR="009163C8" w:rsidRPr="00650EE4">
              <w:rPr>
                <w:rFonts w:ascii="Times New Roman" w:hAnsi="Times New Roman"/>
                <w:szCs w:val="22"/>
                <w:lang w:eastAsia="lt-LT"/>
              </w:rPr>
              <w:t>i (ribotos skolinimo galimybės)</w:t>
            </w:r>
          </w:p>
        </w:tc>
      </w:tr>
      <w:tr w:rsidR="006B7C8D" w:rsidRPr="00650EE4" w14:paraId="3BC64BF8" w14:textId="77777777" w:rsidTr="006A60B7">
        <w:trPr>
          <w:trHeight w:val="55"/>
        </w:trPr>
        <w:tc>
          <w:tcPr>
            <w:tcW w:w="3114" w:type="dxa"/>
          </w:tcPr>
          <w:p w14:paraId="515DF45D"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C747C03" w14:textId="77777777" w:rsidR="006B7C8D" w:rsidRPr="00650EE4" w:rsidRDefault="006B7C8D" w:rsidP="006A60B7">
            <w:pPr>
              <w:spacing w:after="60"/>
              <w:rPr>
                <w:rFonts w:ascii="Times New Roman" w:hAnsi="Times New Roman"/>
                <w:szCs w:val="22"/>
                <w:lang w:eastAsia="lt-LT"/>
              </w:rPr>
            </w:pPr>
            <w:proofErr w:type="spellStart"/>
            <w:r w:rsidRPr="00650EE4">
              <w:rPr>
                <w:rFonts w:ascii="Times New Roman" w:hAnsi="Times New Roman"/>
                <w:szCs w:val="22"/>
                <w:lang w:eastAsia="lt-LT"/>
              </w:rPr>
              <w:t>Kvartalinė</w:t>
            </w:r>
            <w:proofErr w:type="spellEnd"/>
            <w:r w:rsidRPr="00650EE4">
              <w:rPr>
                <w:rFonts w:ascii="Times New Roman" w:hAnsi="Times New Roman"/>
                <w:szCs w:val="22"/>
                <w:lang w:eastAsia="lt-LT"/>
              </w:rPr>
              <w:t xml:space="preserve"> renovacija</w:t>
            </w:r>
          </w:p>
        </w:tc>
      </w:tr>
      <w:tr w:rsidR="006B7C8D" w:rsidRPr="00650EE4" w14:paraId="301EB52C" w14:textId="77777777" w:rsidTr="006A60B7">
        <w:trPr>
          <w:trHeight w:val="55"/>
        </w:trPr>
        <w:tc>
          <w:tcPr>
            <w:tcW w:w="3114" w:type="dxa"/>
          </w:tcPr>
          <w:p w14:paraId="415D2A82"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E3486A8"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59133CC4" w14:textId="77777777" w:rsidTr="006A60B7">
        <w:trPr>
          <w:trHeight w:val="55"/>
        </w:trPr>
        <w:tc>
          <w:tcPr>
            <w:tcW w:w="3114" w:type="dxa"/>
          </w:tcPr>
          <w:p w14:paraId="2519202B"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FF3DA87"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4BAEC7B0" w14:textId="77777777" w:rsidR="009163C8" w:rsidRPr="00650EE4" w:rsidRDefault="009163C8" w:rsidP="006B7C8D">
      <w:pPr>
        <w:rPr>
          <w:rFonts w:ascii="Times New Roman" w:hAnsi="Times New Roman"/>
          <w:color w:val="000000" w:themeColor="text1"/>
          <w:szCs w:val="22"/>
        </w:rPr>
      </w:pPr>
    </w:p>
    <w:p w14:paraId="26C83715" w14:textId="79A01CB8"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P1</w:t>
      </w:r>
      <w:r w:rsidR="00B66665">
        <w:rPr>
          <w:rFonts w:ascii="Times New Roman" w:hAnsi="Times New Roman"/>
          <w:b/>
          <w:bCs/>
          <w:szCs w:val="24"/>
        </w:rPr>
        <w:t>2</w:t>
      </w:r>
      <w:r w:rsidRPr="00650EE4">
        <w:rPr>
          <w:rFonts w:ascii="Times New Roman" w:hAnsi="Times New Roman"/>
          <w:b/>
          <w:bCs/>
          <w:szCs w:val="24"/>
        </w:rPr>
        <w:t>. Dalinės renovacijos įgyvendinimas</w:t>
      </w:r>
    </w:p>
    <w:p w14:paraId="0345293B" w14:textId="1BCEC0A1" w:rsidR="00D62A63" w:rsidRDefault="00D62A63" w:rsidP="009E5C33">
      <w:pPr>
        <w:pStyle w:val="BodyText"/>
        <w:jc w:val="both"/>
        <w:rPr>
          <w:rFonts w:ascii="Times New Roman" w:hAnsi="Times New Roman"/>
          <w:szCs w:val="22"/>
          <w:lang w:val="lt-LT"/>
        </w:rPr>
      </w:pPr>
      <w:r w:rsidRPr="00650EE4">
        <w:rPr>
          <w:rFonts w:ascii="Times New Roman" w:hAnsi="Times New Roman"/>
          <w:szCs w:val="22"/>
          <w:lang w:val="lt-LT"/>
        </w:rPr>
        <w:t xml:space="preserve">Dalinė renovacija – pastato dalies </w:t>
      </w:r>
      <w:r w:rsidR="004611B0">
        <w:rPr>
          <w:rFonts w:ascii="Times New Roman" w:hAnsi="Times New Roman"/>
          <w:szCs w:val="22"/>
          <w:lang w:val="lt-LT"/>
        </w:rPr>
        <w:t xml:space="preserve">ar </w:t>
      </w:r>
      <w:r w:rsidRPr="00650EE4">
        <w:rPr>
          <w:rFonts w:ascii="Times New Roman" w:hAnsi="Times New Roman"/>
          <w:szCs w:val="22"/>
          <w:lang w:val="lt-LT"/>
        </w:rPr>
        <w:t xml:space="preserve">inžinerinių </w:t>
      </w:r>
      <w:r w:rsidR="004611B0">
        <w:rPr>
          <w:rFonts w:ascii="Times New Roman" w:hAnsi="Times New Roman"/>
          <w:szCs w:val="22"/>
          <w:lang w:val="lt-LT"/>
        </w:rPr>
        <w:t>sistemų</w:t>
      </w:r>
      <w:r w:rsidR="004611B0" w:rsidRPr="00650EE4">
        <w:rPr>
          <w:rFonts w:ascii="Times New Roman" w:hAnsi="Times New Roman"/>
          <w:szCs w:val="22"/>
          <w:lang w:val="lt-LT"/>
        </w:rPr>
        <w:t xml:space="preserve"> </w:t>
      </w:r>
      <w:r w:rsidRPr="00650EE4">
        <w:rPr>
          <w:rFonts w:ascii="Times New Roman" w:hAnsi="Times New Roman"/>
          <w:szCs w:val="22"/>
          <w:lang w:val="lt-LT"/>
        </w:rPr>
        <w:t>renovacija, kurių atsiperkamumas trumpiausias, pvz. langų keitimas, stogo apšiltinimas ir keitimas, daugiabučių galinių sienų apšiltinimas, šilumos sistemos atnaujinimas ir pan. Derinant su minimaliais pasiekiamo energinio naudingumo reikalavimais, šia priemone būtų siekiama didinti individualių namų savininkų suinteresuotumą atnaujinti savo būstus</w:t>
      </w:r>
      <w:r w:rsidR="004611B0">
        <w:rPr>
          <w:rFonts w:ascii="Times New Roman" w:hAnsi="Times New Roman"/>
          <w:szCs w:val="22"/>
          <w:lang w:val="lt-LT"/>
        </w:rPr>
        <w:t>.</w:t>
      </w:r>
    </w:p>
    <w:p w14:paraId="7E0069E5" w14:textId="77777777" w:rsidR="008F114A" w:rsidRDefault="008F114A" w:rsidP="009E5C33">
      <w:pPr>
        <w:pStyle w:val="BodyText"/>
        <w:jc w:val="both"/>
        <w:rPr>
          <w:rFonts w:ascii="Times New Roman" w:hAnsi="Times New Roman"/>
          <w:szCs w:val="22"/>
          <w:lang w:val="lt-LT"/>
        </w:rPr>
      </w:pPr>
    </w:p>
    <w:p w14:paraId="15B516B7" w14:textId="1529C1E7" w:rsidR="008F114A" w:rsidRPr="00650EE4" w:rsidRDefault="008F114A" w:rsidP="008F114A">
      <w:pPr>
        <w:pStyle w:val="BodyText"/>
        <w:jc w:val="both"/>
        <w:rPr>
          <w:rFonts w:ascii="Times New Roman" w:hAnsi="Times New Roman"/>
          <w:szCs w:val="22"/>
          <w:lang w:val="lt-LT"/>
        </w:rPr>
      </w:pPr>
      <w:r w:rsidRPr="008F114A">
        <w:rPr>
          <w:rFonts w:ascii="Times New Roman" w:hAnsi="Times New Roman"/>
          <w:szCs w:val="22"/>
          <w:lang w:val="lt-LT"/>
        </w:rPr>
        <w:t>Kituose pastatų fondo segmentuose (pvz. daugiabučių segmente) dalinė renovacija, taikoma tik tais atvejais, kai yra ekonomiškai efektyvi ir nesudaro papildomų barjerų konkretaus pastato „gilios“ renovacijos įgyvendinimui.</w:t>
      </w:r>
    </w:p>
    <w:p w14:paraId="0F0FC565" w14:textId="77777777" w:rsidR="00125068" w:rsidRPr="00650EE4" w:rsidRDefault="00125068" w:rsidP="00D62A63">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B66665" w:rsidRPr="00650EE4" w14:paraId="3EFC2535" w14:textId="77777777" w:rsidTr="009D1C15">
        <w:trPr>
          <w:trHeight w:val="144"/>
        </w:trPr>
        <w:tc>
          <w:tcPr>
            <w:tcW w:w="3114" w:type="dxa"/>
          </w:tcPr>
          <w:p w14:paraId="3D32980D"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8FFEF22"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B7. Neišnaudotas visas renovacijos naudų potencialas</w:t>
            </w:r>
          </w:p>
          <w:p w14:paraId="6D85BEF8" w14:textId="77777777" w:rsidR="00B66665" w:rsidRPr="00650EE4" w:rsidRDefault="00B66665" w:rsidP="009D1C15">
            <w:pPr>
              <w:spacing w:after="60"/>
              <w:rPr>
                <w:rFonts w:ascii="Times New Roman" w:hAnsi="Times New Roman"/>
                <w:szCs w:val="22"/>
                <w:highlight w:val="yellow"/>
                <w:lang w:eastAsia="lt-LT"/>
              </w:rPr>
            </w:pPr>
            <w:r w:rsidRPr="00650EE4">
              <w:rPr>
                <w:rFonts w:ascii="Times New Roman" w:hAnsi="Times New Roman"/>
                <w:szCs w:val="22"/>
                <w:lang w:eastAsia="lt-LT"/>
              </w:rPr>
              <w:t>B20. Nepakankama viešųjų pastatų valdytojų motyvacija</w:t>
            </w:r>
          </w:p>
        </w:tc>
      </w:tr>
      <w:tr w:rsidR="00B66665" w:rsidRPr="00650EE4" w14:paraId="7BA198F6" w14:textId="77777777" w:rsidTr="009D1C15">
        <w:trPr>
          <w:trHeight w:val="55"/>
        </w:trPr>
        <w:tc>
          <w:tcPr>
            <w:tcW w:w="3114" w:type="dxa"/>
          </w:tcPr>
          <w:p w14:paraId="6A2C387E"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3D803C99"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 xml:space="preserve">Dalinės renovacijos įgyvendinimas </w:t>
            </w:r>
          </w:p>
        </w:tc>
      </w:tr>
      <w:tr w:rsidR="00B66665" w:rsidRPr="00650EE4" w14:paraId="0194ABB8" w14:textId="77777777" w:rsidTr="009D1C15">
        <w:trPr>
          <w:trHeight w:val="55"/>
        </w:trPr>
        <w:tc>
          <w:tcPr>
            <w:tcW w:w="3114" w:type="dxa"/>
          </w:tcPr>
          <w:p w14:paraId="01761E57"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B76A495"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Aukštas</w:t>
            </w:r>
          </w:p>
        </w:tc>
      </w:tr>
      <w:tr w:rsidR="00B66665" w:rsidRPr="00650EE4" w14:paraId="60B642F0" w14:textId="77777777" w:rsidTr="009D1C15">
        <w:trPr>
          <w:trHeight w:val="55"/>
        </w:trPr>
        <w:tc>
          <w:tcPr>
            <w:tcW w:w="3114" w:type="dxa"/>
          </w:tcPr>
          <w:p w14:paraId="3F8C6AAD"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8E55338" w14:textId="77777777" w:rsidR="00B66665" w:rsidRPr="00650EE4" w:rsidRDefault="00B66665" w:rsidP="009D1C15">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r w:rsidR="00B66665" w:rsidRPr="00650EE4" w14:paraId="6F4BC0DA" w14:textId="77777777" w:rsidTr="009D1C15">
        <w:trPr>
          <w:trHeight w:val="123"/>
        </w:trPr>
        <w:tc>
          <w:tcPr>
            <w:tcW w:w="3114" w:type="dxa"/>
          </w:tcPr>
          <w:p w14:paraId="4B32E8D9" w14:textId="77777777" w:rsidR="00B66665" w:rsidRPr="00650EE4" w:rsidRDefault="00B66665" w:rsidP="009D1C15">
            <w:pPr>
              <w:spacing w:after="60"/>
              <w:rPr>
                <w:rFonts w:ascii="Times New Roman" w:hAnsi="Times New Roman"/>
                <w:b/>
                <w:bCs/>
                <w:szCs w:val="22"/>
              </w:rPr>
            </w:pPr>
            <w:r w:rsidRPr="00650EE4">
              <w:rPr>
                <w:rFonts w:ascii="Times New Roman" w:hAnsi="Times New Roman"/>
                <w:b/>
                <w:bCs/>
                <w:szCs w:val="22"/>
              </w:rPr>
              <w:t>Geroji praktika</w:t>
            </w:r>
          </w:p>
        </w:tc>
        <w:tc>
          <w:tcPr>
            <w:tcW w:w="7089" w:type="dxa"/>
          </w:tcPr>
          <w:p w14:paraId="7B1BA9BD" w14:textId="77777777" w:rsidR="00B66665" w:rsidRPr="00650EE4" w:rsidRDefault="0045783E" w:rsidP="009D1C15">
            <w:pPr>
              <w:spacing w:after="60"/>
              <w:rPr>
                <w:rFonts w:ascii="Times New Roman" w:hAnsi="Times New Roman"/>
                <w:szCs w:val="22"/>
                <w:lang w:eastAsia="lt-LT"/>
              </w:rPr>
            </w:pPr>
            <w:hyperlink r:id="rId64" w:history="1">
              <w:r w:rsidR="00B66665" w:rsidRPr="00650EE4">
                <w:rPr>
                  <w:rStyle w:val="Hyperlink"/>
                  <w:rFonts w:ascii="Times New Roman" w:hAnsi="Times New Roman"/>
                  <w:color w:val="0070C0"/>
                  <w:szCs w:val="22"/>
                  <w:lang w:eastAsia="lt-LT"/>
                </w:rPr>
                <w:t>Kompensacijos individualių namų renovacijai (APVA)</w:t>
              </w:r>
            </w:hyperlink>
            <w:r w:rsidR="00B66665" w:rsidRPr="00650EE4">
              <w:rPr>
                <w:rFonts w:ascii="Times New Roman" w:hAnsi="Times New Roman"/>
                <w:szCs w:val="22"/>
                <w:lang w:eastAsia="lt-LT"/>
              </w:rPr>
              <w:t xml:space="preserve"> </w:t>
            </w:r>
          </w:p>
        </w:tc>
      </w:tr>
    </w:tbl>
    <w:p w14:paraId="6780C98D" w14:textId="18D7073F" w:rsidR="009163C8" w:rsidRPr="00650EE4" w:rsidRDefault="009163C8" w:rsidP="006B7C8D">
      <w:pPr>
        <w:rPr>
          <w:rFonts w:ascii="Times New Roman" w:hAnsi="Times New Roman"/>
          <w:color w:val="000000" w:themeColor="text1"/>
          <w:szCs w:val="22"/>
          <w:highlight w:val="lightGray"/>
        </w:rPr>
      </w:pPr>
    </w:p>
    <w:p w14:paraId="6FA23AB9" w14:textId="4EED9538" w:rsidR="00CC0340" w:rsidRPr="00650EE4" w:rsidRDefault="00CC0340" w:rsidP="00B82773">
      <w:pPr>
        <w:spacing w:after="120"/>
        <w:jc w:val="both"/>
        <w:rPr>
          <w:rFonts w:ascii="Times New Roman" w:hAnsi="Times New Roman"/>
          <w:b/>
          <w:bCs/>
          <w:szCs w:val="24"/>
        </w:rPr>
      </w:pPr>
      <w:r w:rsidRPr="00650EE4">
        <w:rPr>
          <w:rFonts w:ascii="Times New Roman" w:hAnsi="Times New Roman"/>
          <w:b/>
          <w:bCs/>
          <w:szCs w:val="24"/>
        </w:rPr>
        <w:t>P1</w:t>
      </w:r>
      <w:r w:rsidR="00B66665">
        <w:rPr>
          <w:rFonts w:ascii="Times New Roman" w:hAnsi="Times New Roman"/>
          <w:b/>
          <w:bCs/>
          <w:szCs w:val="24"/>
        </w:rPr>
        <w:t>3</w:t>
      </w:r>
      <w:r w:rsidRPr="00650EE4">
        <w:rPr>
          <w:rFonts w:ascii="Times New Roman" w:hAnsi="Times New Roman"/>
          <w:b/>
          <w:bCs/>
          <w:szCs w:val="24"/>
        </w:rPr>
        <w:t xml:space="preserve">. </w:t>
      </w:r>
      <w:r w:rsidR="00030D17" w:rsidRPr="00650EE4">
        <w:rPr>
          <w:rFonts w:ascii="Times New Roman" w:hAnsi="Times New Roman"/>
          <w:b/>
          <w:bCs/>
          <w:szCs w:val="24"/>
        </w:rPr>
        <w:t>Renovacijos projektų agregavimas</w:t>
      </w:r>
    </w:p>
    <w:p w14:paraId="11A5B6E3" w14:textId="71F43DDB" w:rsidR="00E85EA7" w:rsidRPr="00650EE4" w:rsidRDefault="00E85EA7" w:rsidP="009E5C33">
      <w:pPr>
        <w:pStyle w:val="BodyText"/>
        <w:jc w:val="both"/>
        <w:rPr>
          <w:rFonts w:ascii="Times New Roman" w:hAnsi="Times New Roman"/>
          <w:szCs w:val="22"/>
          <w:lang w:val="lt-LT"/>
        </w:rPr>
      </w:pPr>
      <w:r w:rsidRPr="00650EE4">
        <w:rPr>
          <w:rFonts w:ascii="Times New Roman" w:hAnsi="Times New Roman"/>
          <w:szCs w:val="22"/>
          <w:lang w:val="lt-LT"/>
        </w:rPr>
        <w:t xml:space="preserve">Atskirų renovacijos projektų agregavimas (sujungimas) į vieną paketą sprendžia kelis uždavinius ir šalina renovacijos trukdžius. Pirma, projektų apjungimas susijęs su rinkos pasiūlos (statybos įmonių motyvacijos) formavimu. Didinant renovacijos paklausą (jungiant projektus) gali būti pritraukiamos didelės statybos įmonės, kurioms atskiri projektai nėra finansiškai patrauklūs. Antra, apjungus atskirus projektus (ypač toje pačioje geografinėje teritorijoje, pvz., vykdant </w:t>
      </w:r>
      <w:proofErr w:type="spellStart"/>
      <w:r w:rsidRPr="00650EE4">
        <w:rPr>
          <w:rFonts w:ascii="Times New Roman" w:hAnsi="Times New Roman"/>
          <w:szCs w:val="22"/>
          <w:lang w:val="lt-LT"/>
        </w:rPr>
        <w:t>kvartalinę</w:t>
      </w:r>
      <w:proofErr w:type="spellEnd"/>
      <w:r w:rsidRPr="00650EE4">
        <w:rPr>
          <w:rFonts w:ascii="Times New Roman" w:hAnsi="Times New Roman"/>
          <w:szCs w:val="22"/>
          <w:lang w:val="lt-LT"/>
        </w:rPr>
        <w:t xml:space="preserve"> renovaciją) išnaudojama masto ekonomija, mažinami veiklos kaštai, kas tikėtina gali mažinti </w:t>
      </w:r>
      <w:r w:rsidR="00B8506E" w:rsidRPr="00650EE4">
        <w:rPr>
          <w:rFonts w:ascii="Times New Roman" w:hAnsi="Times New Roman"/>
          <w:szCs w:val="22"/>
          <w:lang w:val="lt-LT"/>
        </w:rPr>
        <w:t>statybos</w:t>
      </w:r>
      <w:r w:rsidRPr="00650EE4">
        <w:rPr>
          <w:rFonts w:ascii="Times New Roman" w:hAnsi="Times New Roman"/>
          <w:szCs w:val="22"/>
          <w:lang w:val="lt-LT"/>
        </w:rPr>
        <w:t xml:space="preserve"> darbų kainą. Trečia, projektų apjungimas suteikia galimybes pritraukti didžiąsias finansų institucijas, galinčias pasiūlyti </w:t>
      </w:r>
      <w:r w:rsidR="00B8506E" w:rsidRPr="00650EE4">
        <w:rPr>
          <w:rFonts w:ascii="Times New Roman" w:hAnsi="Times New Roman"/>
          <w:szCs w:val="22"/>
          <w:lang w:val="lt-LT"/>
        </w:rPr>
        <w:t>geresnes</w:t>
      </w:r>
      <w:r w:rsidRPr="00650EE4">
        <w:rPr>
          <w:rFonts w:ascii="Times New Roman" w:hAnsi="Times New Roman"/>
          <w:szCs w:val="22"/>
          <w:lang w:val="lt-LT"/>
        </w:rPr>
        <w:t xml:space="preserve"> finansavimo sąlygas. </w:t>
      </w:r>
      <w:r w:rsidR="00B8506E" w:rsidRPr="00650EE4">
        <w:rPr>
          <w:rFonts w:ascii="Times New Roman" w:hAnsi="Times New Roman"/>
          <w:szCs w:val="22"/>
          <w:lang w:val="lt-LT"/>
        </w:rPr>
        <w:t>Ketvirta</w:t>
      </w:r>
      <w:r w:rsidRPr="00650EE4">
        <w:rPr>
          <w:rFonts w:ascii="Times New Roman" w:hAnsi="Times New Roman"/>
          <w:szCs w:val="22"/>
          <w:lang w:val="lt-LT"/>
        </w:rPr>
        <w:t xml:space="preserve">, projektų apjungimas gali paskatinti </w:t>
      </w:r>
      <w:proofErr w:type="spellStart"/>
      <w:r w:rsidRPr="00650EE4">
        <w:rPr>
          <w:rFonts w:ascii="Times New Roman" w:hAnsi="Times New Roman"/>
          <w:szCs w:val="22"/>
          <w:lang w:val="lt-LT"/>
        </w:rPr>
        <w:t>inovatyvių</w:t>
      </w:r>
      <w:proofErr w:type="spellEnd"/>
      <w:r w:rsidRPr="00650EE4">
        <w:rPr>
          <w:rFonts w:ascii="Times New Roman" w:hAnsi="Times New Roman"/>
          <w:szCs w:val="22"/>
          <w:lang w:val="lt-LT"/>
        </w:rPr>
        <w:t xml:space="preserve"> technologinių sprendimų paiešką.</w:t>
      </w:r>
    </w:p>
    <w:p w14:paraId="705A90AE" w14:textId="5D6D5985" w:rsidR="001E6FD4" w:rsidRPr="00650EE4" w:rsidRDefault="001E6FD4" w:rsidP="00D62A63">
      <w:pPr>
        <w:pStyle w:val="BodyText"/>
        <w:rPr>
          <w:rFonts w:ascii="Times New Roman" w:hAnsi="Times New Roman"/>
          <w:szCs w:val="22"/>
          <w:lang w:val="lt-LT"/>
        </w:rPr>
      </w:pPr>
    </w:p>
    <w:p w14:paraId="47103C53" w14:textId="65C0B0F6" w:rsidR="001E6FD4" w:rsidRPr="00650EE4" w:rsidRDefault="001E6FD4" w:rsidP="00D62A63">
      <w:pPr>
        <w:pStyle w:val="BodyText"/>
        <w:rPr>
          <w:rFonts w:ascii="Times New Roman" w:hAnsi="Times New Roman"/>
          <w:szCs w:val="22"/>
          <w:lang w:val="lt-LT"/>
        </w:rPr>
      </w:pPr>
      <w:r w:rsidRPr="00650EE4">
        <w:rPr>
          <w:rFonts w:ascii="Times New Roman" w:hAnsi="Times New Roman"/>
          <w:color w:val="000000" w:themeColor="text1"/>
          <w:szCs w:val="22"/>
          <w:lang w:val="lt-LT"/>
        </w:rPr>
        <w:t xml:space="preserve">Projektų apjungimui turėtų pasitarnauti ir </w:t>
      </w:r>
      <w:proofErr w:type="spellStart"/>
      <w:r w:rsidRPr="00650EE4">
        <w:rPr>
          <w:rFonts w:ascii="Times New Roman" w:hAnsi="Times New Roman"/>
          <w:color w:val="000000" w:themeColor="text1"/>
          <w:szCs w:val="22"/>
          <w:lang w:val="lt-LT"/>
        </w:rPr>
        <w:t>kvartalinės</w:t>
      </w:r>
      <w:proofErr w:type="spellEnd"/>
      <w:r w:rsidRPr="00650EE4">
        <w:rPr>
          <w:rFonts w:ascii="Times New Roman" w:hAnsi="Times New Roman"/>
          <w:color w:val="000000" w:themeColor="text1"/>
          <w:szCs w:val="22"/>
          <w:lang w:val="lt-LT"/>
        </w:rPr>
        <w:t xml:space="preserve"> renovacijos (P10 priemon</w:t>
      </w:r>
      <w:r w:rsidR="00F93635" w:rsidRPr="00650EE4">
        <w:rPr>
          <w:rFonts w:ascii="Times New Roman" w:hAnsi="Times New Roman"/>
          <w:color w:val="000000" w:themeColor="text1"/>
          <w:szCs w:val="22"/>
          <w:lang w:val="lt-LT"/>
        </w:rPr>
        <w:t>ė</w:t>
      </w:r>
      <w:r w:rsidRPr="00650EE4">
        <w:rPr>
          <w:rFonts w:ascii="Times New Roman" w:hAnsi="Times New Roman"/>
          <w:color w:val="000000" w:themeColor="text1"/>
          <w:szCs w:val="22"/>
          <w:lang w:val="lt-LT"/>
        </w:rPr>
        <w:t xml:space="preserve">) </w:t>
      </w:r>
      <w:r w:rsidR="009E5C33">
        <w:rPr>
          <w:rFonts w:ascii="Times New Roman" w:hAnsi="Times New Roman"/>
          <w:color w:val="000000" w:themeColor="text1"/>
          <w:szCs w:val="22"/>
          <w:lang w:val="lt-LT"/>
        </w:rPr>
        <w:t>ir</w:t>
      </w:r>
      <w:r w:rsidR="009E5C33"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vieno langelio principo įgyvendinimas (P1</w:t>
      </w:r>
      <w:r w:rsidR="00CE73EE" w:rsidRPr="00650EE4">
        <w:rPr>
          <w:rFonts w:ascii="Times New Roman" w:hAnsi="Times New Roman"/>
          <w:color w:val="000000" w:themeColor="text1"/>
          <w:szCs w:val="22"/>
          <w:lang w:val="lt-LT"/>
        </w:rPr>
        <w:t>8</w:t>
      </w:r>
      <w:r w:rsidRPr="00650EE4">
        <w:rPr>
          <w:rFonts w:ascii="Times New Roman" w:hAnsi="Times New Roman"/>
          <w:color w:val="000000" w:themeColor="text1"/>
          <w:szCs w:val="22"/>
          <w:lang w:val="lt-LT"/>
        </w:rPr>
        <w:t xml:space="preserve"> priemon</w:t>
      </w:r>
      <w:r w:rsidR="004C2AAE" w:rsidRPr="00650EE4">
        <w:rPr>
          <w:rFonts w:ascii="Times New Roman" w:hAnsi="Times New Roman"/>
          <w:color w:val="000000" w:themeColor="text1"/>
          <w:szCs w:val="22"/>
          <w:lang w:val="lt-LT"/>
        </w:rPr>
        <w:t>ė</w:t>
      </w:r>
      <w:r w:rsidRPr="00650EE4">
        <w:rPr>
          <w:rFonts w:ascii="Times New Roman" w:hAnsi="Times New Roman"/>
          <w:color w:val="000000" w:themeColor="text1"/>
          <w:szCs w:val="22"/>
          <w:lang w:val="lt-LT"/>
        </w:rPr>
        <w:t>).</w:t>
      </w:r>
    </w:p>
    <w:p w14:paraId="0950A817" w14:textId="77777777" w:rsidR="00125068" w:rsidRPr="00650EE4" w:rsidRDefault="00125068" w:rsidP="00D62A63">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0340" w:rsidRPr="00650EE4" w14:paraId="1749E679" w14:textId="77777777" w:rsidTr="00492041">
        <w:trPr>
          <w:trHeight w:val="144"/>
        </w:trPr>
        <w:tc>
          <w:tcPr>
            <w:tcW w:w="3114" w:type="dxa"/>
          </w:tcPr>
          <w:p w14:paraId="26C55FD2"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23D81B46" w14:textId="77777777" w:rsidR="00EC398C" w:rsidRPr="00650EE4" w:rsidRDefault="00EC398C" w:rsidP="00EC398C">
            <w:pPr>
              <w:spacing w:after="60"/>
              <w:rPr>
                <w:rFonts w:ascii="Times New Roman" w:hAnsi="Times New Roman"/>
                <w:szCs w:val="22"/>
                <w:lang w:eastAsia="lt-LT"/>
              </w:rPr>
            </w:pPr>
            <w:r w:rsidRPr="00650EE4">
              <w:rPr>
                <w:rFonts w:ascii="Times New Roman" w:hAnsi="Times New Roman"/>
                <w:szCs w:val="22"/>
                <w:lang w:eastAsia="lt-LT"/>
              </w:rPr>
              <w:t>B6. Brangstanti renovacija</w:t>
            </w:r>
          </w:p>
          <w:p w14:paraId="349B169C" w14:textId="77777777" w:rsidR="00EC398C" w:rsidRPr="00650EE4" w:rsidRDefault="00EC398C" w:rsidP="00EC398C">
            <w:pPr>
              <w:spacing w:after="60"/>
              <w:rPr>
                <w:rFonts w:ascii="Times New Roman" w:hAnsi="Times New Roman"/>
                <w:szCs w:val="22"/>
                <w:lang w:eastAsia="lt-LT"/>
              </w:rPr>
            </w:pPr>
            <w:r w:rsidRPr="00650EE4">
              <w:rPr>
                <w:rFonts w:ascii="Times New Roman" w:hAnsi="Times New Roman"/>
                <w:szCs w:val="22"/>
                <w:lang w:eastAsia="lt-LT"/>
              </w:rPr>
              <w:t>B7. Neišnaudotas visas renovacijos naudų potencialas</w:t>
            </w:r>
          </w:p>
          <w:p w14:paraId="7CF9D413" w14:textId="3CBF31C5" w:rsidR="00CC0340" w:rsidRPr="00650EE4" w:rsidRDefault="00EC398C" w:rsidP="00EC398C">
            <w:pPr>
              <w:spacing w:after="60"/>
              <w:rPr>
                <w:rFonts w:ascii="Times New Roman" w:hAnsi="Times New Roman"/>
                <w:szCs w:val="22"/>
                <w:highlight w:val="yellow"/>
                <w:lang w:eastAsia="lt-LT"/>
              </w:rPr>
            </w:pPr>
            <w:r w:rsidRPr="00650EE4">
              <w:rPr>
                <w:rFonts w:ascii="Times New Roman" w:hAnsi="Times New Roman"/>
                <w:szCs w:val="22"/>
                <w:lang w:eastAsia="lt-LT"/>
              </w:rPr>
              <w:t>B12. Finansinių institucijų nenoras skolinti (ribotos skolinimo galimybės)</w:t>
            </w:r>
          </w:p>
        </w:tc>
      </w:tr>
      <w:tr w:rsidR="00CC0340" w:rsidRPr="00650EE4" w14:paraId="1CDFCE7A" w14:textId="77777777" w:rsidTr="00492041">
        <w:trPr>
          <w:trHeight w:val="55"/>
        </w:trPr>
        <w:tc>
          <w:tcPr>
            <w:tcW w:w="3114" w:type="dxa"/>
          </w:tcPr>
          <w:p w14:paraId="091B7652"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7D96CA67" w14:textId="77777777" w:rsidR="00CC0340" w:rsidRPr="00650EE4" w:rsidRDefault="00CC0340" w:rsidP="00492041">
            <w:pPr>
              <w:spacing w:after="60"/>
              <w:rPr>
                <w:rFonts w:ascii="Times New Roman" w:hAnsi="Times New Roman"/>
                <w:szCs w:val="22"/>
                <w:lang w:eastAsia="lt-LT"/>
              </w:rPr>
            </w:pPr>
            <w:r w:rsidRPr="00650EE4">
              <w:rPr>
                <w:rFonts w:ascii="Times New Roman" w:hAnsi="Times New Roman"/>
                <w:szCs w:val="22"/>
                <w:lang w:eastAsia="lt-LT"/>
              </w:rPr>
              <w:t xml:space="preserve">Dalinės renovacijos įgyvendinimas </w:t>
            </w:r>
          </w:p>
        </w:tc>
      </w:tr>
      <w:tr w:rsidR="00CC0340" w:rsidRPr="00650EE4" w14:paraId="601ECD14" w14:textId="77777777" w:rsidTr="00492041">
        <w:trPr>
          <w:trHeight w:val="55"/>
        </w:trPr>
        <w:tc>
          <w:tcPr>
            <w:tcW w:w="3114" w:type="dxa"/>
          </w:tcPr>
          <w:p w14:paraId="5100D7F1"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869062E" w14:textId="77777777" w:rsidR="00CC0340" w:rsidRPr="00650EE4" w:rsidRDefault="00CC0340"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0340" w:rsidRPr="00650EE4" w14:paraId="0A996D32" w14:textId="77777777" w:rsidTr="00492041">
        <w:trPr>
          <w:trHeight w:val="55"/>
        </w:trPr>
        <w:tc>
          <w:tcPr>
            <w:tcW w:w="3114" w:type="dxa"/>
          </w:tcPr>
          <w:p w14:paraId="18AE6537"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56DA680" w14:textId="77777777" w:rsidR="00CC0340" w:rsidRPr="00650EE4" w:rsidRDefault="00CC0340" w:rsidP="00492041">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1B0DD59F" w14:textId="7CC8F605" w:rsidR="00CC0340" w:rsidRPr="00650EE4" w:rsidRDefault="00CC0340" w:rsidP="00452CD0">
      <w:pPr>
        <w:spacing w:after="120"/>
        <w:rPr>
          <w:rFonts w:ascii="Times New Roman" w:hAnsi="Times New Roman"/>
          <w:color w:val="000000" w:themeColor="text1"/>
          <w:szCs w:val="22"/>
          <w:highlight w:val="lightGray"/>
        </w:rPr>
      </w:pPr>
    </w:p>
    <w:p w14:paraId="52C11B7C" w14:textId="57392A26"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4</w:t>
      </w:r>
      <w:r w:rsidRPr="00650EE4">
        <w:rPr>
          <w:rFonts w:ascii="Times New Roman" w:hAnsi="Times New Roman"/>
          <w:b/>
          <w:bCs/>
          <w:szCs w:val="24"/>
        </w:rPr>
        <w:t>. Tvarumo ir inovacijų užtikrinimas</w:t>
      </w:r>
    </w:p>
    <w:p w14:paraId="77C3D314" w14:textId="77777777" w:rsidR="007E0569" w:rsidRPr="00650EE4" w:rsidRDefault="007E0569" w:rsidP="00EC3158">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Europos žaliasis kursas numato, kad tvarumo aspektas turi būti įtrauktas į visas ES politikos sritis, įskaitant pastatų statybą ir renovaciją. Pavyzdžiui, Europos komisija yra įsipareigojusi peržiūrėti Statybos produktų reglamentą</w:t>
      </w:r>
      <w:r w:rsidRPr="00650EE4">
        <w:rPr>
          <w:rStyle w:val="FootnoteReference"/>
          <w:rFonts w:ascii="Times New Roman" w:hAnsi="Times New Roman"/>
          <w:color w:val="000000" w:themeColor="text1"/>
          <w:szCs w:val="22"/>
        </w:rPr>
        <w:footnoteReference w:id="56"/>
      </w:r>
      <w:r w:rsidRPr="00650EE4">
        <w:rPr>
          <w:rFonts w:ascii="Times New Roman" w:hAnsi="Times New Roman"/>
          <w:color w:val="000000" w:themeColor="text1"/>
          <w:szCs w:val="22"/>
        </w:rPr>
        <w:t xml:space="preserve">, kuris turėtų užtikrinti, kad naujų ir renovuotų pastatų projektavimas visuose etapuose atitiktų žiedinės ekonomikos </w:t>
      </w:r>
      <w:r w:rsidRPr="00650EE4">
        <w:rPr>
          <w:rFonts w:ascii="Times New Roman" w:hAnsi="Times New Roman"/>
          <w:color w:val="000000" w:themeColor="text1"/>
          <w:szCs w:val="22"/>
        </w:rPr>
        <w:lastRenderedPageBreak/>
        <w:t xml:space="preserve">poreikius ir paskatintų didesnį pastatų ūkio </w:t>
      </w:r>
      <w:proofErr w:type="spellStart"/>
      <w:r w:rsidRPr="00650EE4">
        <w:rPr>
          <w:rFonts w:ascii="Times New Roman" w:hAnsi="Times New Roman"/>
          <w:color w:val="000000" w:themeColor="text1"/>
          <w:szCs w:val="22"/>
        </w:rPr>
        <w:t>skaitmeninimą</w:t>
      </w:r>
      <w:proofErr w:type="spellEnd"/>
      <w:r w:rsidRPr="00650EE4">
        <w:rPr>
          <w:rFonts w:ascii="Times New Roman" w:hAnsi="Times New Roman"/>
          <w:color w:val="000000" w:themeColor="text1"/>
          <w:szCs w:val="22"/>
        </w:rPr>
        <w:t xml:space="preserve"> ir jų atsparumo klimato kaitai didinimą. Taip pat pati renovacija turi būti atliekama efektyviai naudojant energiją ir išteklius.</w:t>
      </w:r>
    </w:p>
    <w:p w14:paraId="2E8594B6" w14:textId="77777777" w:rsidR="007E0569" w:rsidRPr="00650EE4" w:rsidRDefault="007E0569" w:rsidP="007E0569">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Atitinkamai įgyvendinant renovacijos strategiją turėtų būti siekiama:</w:t>
      </w:r>
    </w:p>
    <w:p w14:paraId="55A6DA11" w14:textId="2C51AA5B" w:rsidR="007E0569" w:rsidRPr="00650EE4" w:rsidRDefault="007E0569" w:rsidP="00BD4925">
      <w:pPr>
        <w:pStyle w:val="ListParagraph"/>
        <w:numPr>
          <w:ilvl w:val="0"/>
          <w:numId w:val="51"/>
        </w:numPr>
        <w:spacing w:before="6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numatyti minimalius reikalavimus renovacijos procesui ir naudojamoms medžiagoms</w:t>
      </w:r>
      <w:r w:rsidR="009E5C33">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p>
    <w:p w14:paraId="7D0890BE" w14:textId="77777777" w:rsidR="007E0569" w:rsidRPr="00650EE4" w:rsidRDefault="007E0569" w:rsidP="00BD4925">
      <w:pPr>
        <w:pStyle w:val="ListParagraph"/>
        <w:numPr>
          <w:ilvl w:val="0"/>
          <w:numId w:val="51"/>
        </w:numPr>
        <w:spacing w:before="6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skatinti naujų produktų ir proceso inovacijų naudojimą, pavyzdžiui skiriant papildomą finansavimą.</w:t>
      </w:r>
    </w:p>
    <w:p w14:paraId="45920682" w14:textId="559B1027" w:rsidR="006F6B56" w:rsidRPr="00650EE4" w:rsidRDefault="006F6B56" w:rsidP="00EC3158">
      <w:pPr>
        <w:spacing w:before="120" w:after="60"/>
        <w:jc w:val="both"/>
        <w:rPr>
          <w:rFonts w:ascii="Times New Roman" w:hAnsi="Times New Roman"/>
          <w:color w:val="000000" w:themeColor="text1"/>
          <w:szCs w:val="22"/>
        </w:rPr>
      </w:pPr>
      <w:r w:rsidRPr="00650EE4">
        <w:rPr>
          <w:rFonts w:ascii="Times New Roman" w:hAnsi="Times New Roman"/>
          <w:color w:val="000000" w:themeColor="text1"/>
          <w:szCs w:val="22"/>
        </w:rPr>
        <w:t>Kitas svarbus renovacijos elementas – naujų inovacijų atsiradimas, ypatingai – statybos industrializacija, „statyba fabrike“. Tai – išankstinė sienų ir stogo konstrukcijų  gamyba, kuri sumažina statybos darbus pastato vietoje iki kelių dienų. Tokia gamyba taip pat padidina kokybę bei sumažina atliekų apimtis.</w:t>
      </w:r>
    </w:p>
    <w:p w14:paraId="2D0D777E" w14:textId="73A0134C" w:rsidR="006F6B56" w:rsidRPr="00650EE4" w:rsidRDefault="006F6B56" w:rsidP="006F6B56">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 xml:space="preserve">Šioje srityje svarbu pasinaudoti gerąja ES ir kitų šalių vykdomų projektų praktika. ES vysto šią sritį finansuodama pilotinius projektus, kurių pavyzdžiu galės naudotis ES šalys narės. Tokių projektų pavyzdžiai: </w:t>
      </w:r>
      <w:r w:rsidR="00C81905">
        <w:rPr>
          <w:rFonts w:ascii="Times New Roman" w:hAnsi="Times New Roman"/>
          <w:color w:val="000000" w:themeColor="text1"/>
          <w:szCs w:val="22"/>
        </w:rPr>
        <w:t>„</w:t>
      </w:r>
      <w:r w:rsidRPr="00650EE4">
        <w:rPr>
          <w:rFonts w:ascii="Times New Roman" w:hAnsi="Times New Roman"/>
          <w:color w:val="000000" w:themeColor="text1"/>
          <w:szCs w:val="22"/>
        </w:rPr>
        <w:t>DRIVE0</w:t>
      </w:r>
      <w:r w:rsidR="00C81905">
        <w:rPr>
          <w:rFonts w:ascii="Times New Roman" w:hAnsi="Times New Roman"/>
          <w:color w:val="000000" w:themeColor="text1"/>
          <w:szCs w:val="22"/>
        </w:rPr>
        <w:t>“</w:t>
      </w:r>
      <w:r w:rsidRPr="00650EE4">
        <w:rPr>
          <w:rFonts w:ascii="Times New Roman" w:hAnsi="Times New Roman"/>
          <w:color w:val="000000" w:themeColor="text1"/>
          <w:szCs w:val="22"/>
        </w:rPr>
        <w:t xml:space="preserve"> ir </w:t>
      </w:r>
      <w:r w:rsidR="00C81905">
        <w:rPr>
          <w:rFonts w:ascii="Times New Roman" w:hAnsi="Times New Roman"/>
          <w:color w:val="000000" w:themeColor="text1"/>
          <w:szCs w:val="22"/>
        </w:rPr>
        <w:t>„</w:t>
      </w:r>
      <w:r w:rsidRPr="00650EE4">
        <w:rPr>
          <w:rFonts w:ascii="Times New Roman" w:hAnsi="Times New Roman"/>
          <w:color w:val="000000" w:themeColor="text1"/>
          <w:szCs w:val="22"/>
        </w:rPr>
        <w:t>MORE-CONNECT</w:t>
      </w:r>
      <w:r w:rsidR="00C81905">
        <w:rPr>
          <w:rFonts w:ascii="Times New Roman" w:hAnsi="Times New Roman"/>
          <w:color w:val="000000" w:themeColor="text1"/>
          <w:szCs w:val="22"/>
        </w:rPr>
        <w:t>“</w:t>
      </w:r>
      <w:r w:rsidRPr="00650EE4">
        <w:rPr>
          <w:rFonts w:ascii="Times New Roman" w:hAnsi="Times New Roman"/>
          <w:color w:val="000000" w:themeColor="text1"/>
          <w:szCs w:val="22"/>
        </w:rPr>
        <w:t>, kurių metu iš anksto pagamintomis konstrukcijomis jau renovuoti daugiabučiai pastatai Estijoje ir Latvijoje.</w:t>
      </w:r>
    </w:p>
    <w:p w14:paraId="619B62EE" w14:textId="429330F6" w:rsidR="006F6B56" w:rsidRPr="00650EE4" w:rsidRDefault="006F6B56" w:rsidP="006F6B56">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Svarbu pastebėti, kad tvarumo ir inovacijų sprendimų įgyvendinimas nuo tikslo deklaravimo iki praktinio įgyvendinimo užtrunka ilgai, todėl svarbu reikalingus žingsnius pradėti kuo anksčiau.</w:t>
      </w:r>
    </w:p>
    <w:p w14:paraId="2C6A2AF1" w14:textId="77777777" w:rsidR="006F6B56" w:rsidRPr="00650EE4" w:rsidRDefault="006F6B56" w:rsidP="006F6B56">
      <w:pPr>
        <w:spacing w:before="60" w:after="60"/>
        <w:jc w:val="both"/>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3A7CA651" w14:textId="77777777" w:rsidTr="009D1C15">
        <w:trPr>
          <w:trHeight w:val="52"/>
        </w:trPr>
        <w:tc>
          <w:tcPr>
            <w:tcW w:w="3114" w:type="dxa"/>
          </w:tcPr>
          <w:p w14:paraId="6EF1E341"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0A81545"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B6. Brangstanti renovacija</w:t>
            </w:r>
          </w:p>
          <w:p w14:paraId="5B44DE0B"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B8. Neužtikrintas transformacijos tvarumas</w:t>
            </w:r>
          </w:p>
          <w:p w14:paraId="7C072E00"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B19. Darbo jėgos statybų sektoriuje apribojimai</w:t>
            </w:r>
          </w:p>
        </w:tc>
      </w:tr>
      <w:tr w:rsidR="00CB5533" w:rsidRPr="00650EE4" w14:paraId="38E56985" w14:textId="77777777" w:rsidTr="009D1C15">
        <w:trPr>
          <w:trHeight w:val="142"/>
        </w:trPr>
        <w:tc>
          <w:tcPr>
            <w:tcW w:w="3114" w:type="dxa"/>
          </w:tcPr>
          <w:p w14:paraId="5B05560E"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76C32EC0"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Tvarumo aspekto įtraukimas į planuojamas priemones, inovacijų skatinimas</w:t>
            </w:r>
          </w:p>
        </w:tc>
      </w:tr>
      <w:tr w:rsidR="00CB5533" w:rsidRPr="00650EE4" w14:paraId="188C9F61" w14:textId="77777777" w:rsidTr="009D1C15">
        <w:trPr>
          <w:trHeight w:val="55"/>
        </w:trPr>
        <w:tc>
          <w:tcPr>
            <w:tcW w:w="3114" w:type="dxa"/>
          </w:tcPr>
          <w:p w14:paraId="540DF133"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5EB2238"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Vidutinis</w:t>
            </w:r>
          </w:p>
        </w:tc>
      </w:tr>
      <w:tr w:rsidR="00CB5533" w:rsidRPr="00650EE4" w14:paraId="072BFFFD" w14:textId="77777777" w:rsidTr="009D1C15">
        <w:trPr>
          <w:trHeight w:val="160"/>
        </w:trPr>
        <w:tc>
          <w:tcPr>
            <w:tcW w:w="3114" w:type="dxa"/>
          </w:tcPr>
          <w:p w14:paraId="65CB0854"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90B7248"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r w:rsidR="00CB5533" w:rsidRPr="00650EE4" w14:paraId="796723A9" w14:textId="77777777" w:rsidTr="009D1C15">
        <w:trPr>
          <w:trHeight w:val="160"/>
        </w:trPr>
        <w:tc>
          <w:tcPr>
            <w:tcW w:w="3114" w:type="dxa"/>
          </w:tcPr>
          <w:p w14:paraId="3E08397E"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Geroji praktika</w:t>
            </w:r>
          </w:p>
        </w:tc>
        <w:tc>
          <w:tcPr>
            <w:tcW w:w="7089" w:type="dxa"/>
          </w:tcPr>
          <w:p w14:paraId="5C927389" w14:textId="77777777" w:rsidR="00CB5533" w:rsidRPr="00650EE4" w:rsidRDefault="0045783E" w:rsidP="009D1C15">
            <w:pPr>
              <w:spacing w:after="60"/>
              <w:rPr>
                <w:rFonts w:ascii="Times New Roman" w:hAnsi="Times New Roman"/>
                <w:szCs w:val="22"/>
                <w:lang w:eastAsia="lt-LT"/>
              </w:rPr>
            </w:pPr>
            <w:hyperlink r:id="rId65" w:history="1">
              <w:r w:rsidR="00CB5533" w:rsidRPr="00650EE4">
                <w:rPr>
                  <w:rStyle w:val="Hyperlink"/>
                  <w:rFonts w:ascii="Times New Roman" w:hAnsi="Times New Roman"/>
                  <w:color w:val="0070C0"/>
                  <w:szCs w:val="22"/>
                  <w:lang w:eastAsia="lt-LT"/>
                </w:rPr>
                <w:t>DRIVE0 projektas</w:t>
              </w:r>
            </w:hyperlink>
          </w:p>
        </w:tc>
      </w:tr>
    </w:tbl>
    <w:p w14:paraId="3F52F08F" w14:textId="77777777" w:rsidR="006B7C8D" w:rsidRPr="00650EE4" w:rsidRDefault="006B7C8D" w:rsidP="006B7C8D">
      <w:pPr>
        <w:rPr>
          <w:rFonts w:ascii="Times New Roman" w:hAnsi="Times New Roman"/>
          <w:color w:val="000000" w:themeColor="text1"/>
          <w:szCs w:val="22"/>
          <w:highlight w:val="lightGray"/>
        </w:rPr>
      </w:pPr>
    </w:p>
    <w:p w14:paraId="6BE37F21" w14:textId="3B0B4E93"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5</w:t>
      </w:r>
      <w:r w:rsidRPr="00650EE4">
        <w:rPr>
          <w:rFonts w:ascii="Times New Roman" w:hAnsi="Times New Roman"/>
          <w:b/>
          <w:bCs/>
          <w:szCs w:val="24"/>
        </w:rPr>
        <w:t>. Minimalių reikalavimų</w:t>
      </w:r>
      <w:r w:rsidR="00A95172" w:rsidRPr="00650EE4">
        <w:rPr>
          <w:rFonts w:ascii="Times New Roman" w:hAnsi="Times New Roman"/>
          <w:b/>
          <w:bCs/>
          <w:szCs w:val="24"/>
        </w:rPr>
        <w:t xml:space="preserve"> valdymas</w:t>
      </w:r>
    </w:p>
    <w:p w14:paraId="1608105F" w14:textId="38C77977" w:rsidR="00C5520D" w:rsidRPr="00650EE4" w:rsidRDefault="00654C9E" w:rsidP="0067096F">
      <w:pPr>
        <w:pStyle w:val="BodyText"/>
        <w:jc w:val="both"/>
        <w:rPr>
          <w:rFonts w:ascii="Times New Roman" w:hAnsi="Times New Roman"/>
          <w:szCs w:val="22"/>
          <w:lang w:val="lt-LT"/>
        </w:rPr>
      </w:pPr>
      <w:r w:rsidRPr="00650EE4">
        <w:rPr>
          <w:rFonts w:ascii="Times New Roman" w:hAnsi="Times New Roman"/>
          <w:szCs w:val="22"/>
          <w:lang w:val="lt-LT"/>
        </w:rPr>
        <w:t xml:space="preserve">Siekiant </w:t>
      </w:r>
      <w:r w:rsidR="00A95172" w:rsidRPr="00650EE4">
        <w:rPr>
          <w:rFonts w:ascii="Times New Roman" w:hAnsi="Times New Roman"/>
          <w:szCs w:val="22"/>
          <w:lang w:val="lt-LT"/>
        </w:rPr>
        <w:t xml:space="preserve">renovacijos naudų maksimizavimo turėtų būti nustatyti ir </w:t>
      </w:r>
      <w:proofErr w:type="spellStart"/>
      <w:r w:rsidR="00A95172" w:rsidRPr="00650EE4">
        <w:rPr>
          <w:rFonts w:ascii="Times New Roman" w:hAnsi="Times New Roman"/>
          <w:szCs w:val="22"/>
          <w:lang w:val="lt-LT"/>
        </w:rPr>
        <w:t>proaktyviai</w:t>
      </w:r>
      <w:proofErr w:type="spellEnd"/>
      <w:r w:rsidR="00A95172" w:rsidRPr="00650EE4">
        <w:rPr>
          <w:rFonts w:ascii="Times New Roman" w:hAnsi="Times New Roman"/>
          <w:szCs w:val="22"/>
          <w:lang w:val="lt-LT"/>
        </w:rPr>
        <w:t xml:space="preserve"> valdomi minimalūs reikalavimai </w:t>
      </w:r>
      <w:r w:rsidR="00C5520D" w:rsidRPr="00650EE4">
        <w:rPr>
          <w:rFonts w:ascii="Times New Roman" w:hAnsi="Times New Roman"/>
          <w:szCs w:val="22"/>
          <w:lang w:val="lt-LT"/>
        </w:rPr>
        <w:t xml:space="preserve">pastatų rekonstrukcijai kiekviename tipiniame rekonstrukcijos inicijavimo momente (žr. detaliau </w:t>
      </w:r>
      <w:r w:rsidR="00C81905">
        <w:rPr>
          <w:rFonts w:ascii="Times New Roman" w:hAnsi="Times New Roman"/>
          <w:szCs w:val="22"/>
        </w:rPr>
        <w:t>2</w:t>
      </w:r>
      <w:r w:rsidR="00C5520D" w:rsidRPr="00650EE4">
        <w:rPr>
          <w:rFonts w:ascii="Times New Roman" w:hAnsi="Times New Roman"/>
          <w:szCs w:val="22"/>
          <w:lang w:val="lt-LT"/>
        </w:rPr>
        <w:t>.9 skyrių), pvz.:</w:t>
      </w:r>
    </w:p>
    <w:p w14:paraId="3278508B" w14:textId="77777777" w:rsidR="00C5520D" w:rsidRPr="00650EE4" w:rsidRDefault="00C5520D" w:rsidP="00BD4925">
      <w:pPr>
        <w:pStyle w:val="ListParagraph"/>
        <w:numPr>
          <w:ilvl w:val="0"/>
          <w:numId w:val="51"/>
        </w:numPr>
        <w:spacing w:before="60" w:after="60"/>
        <w:ind w:left="714" w:hanging="357"/>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nuolat keliama minimalių energinio naudingumo reikalavimų kartelė valstybės lėšomis dalinai  finansuojamiems renovacijos projektams;</w:t>
      </w:r>
    </w:p>
    <w:p w14:paraId="4CB6AAB4" w14:textId="1749032C" w:rsidR="00C5520D" w:rsidRPr="00650EE4" w:rsidRDefault="00C5520D" w:rsidP="00BD4925">
      <w:pPr>
        <w:pStyle w:val="ListParagraph"/>
        <w:numPr>
          <w:ilvl w:val="0"/>
          <w:numId w:val="51"/>
        </w:numPr>
        <w:spacing w:before="6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nustatomas privalomų renovacijos darbų ir techninių sprendinių sąrašas siekiant valstybės finansavimo pvz.: būsto (aplinkos) pritaikymas neįgaliesiems, elektromobilių krovimo stotelių įrengimas, vėdinimo su </w:t>
      </w:r>
      <w:proofErr w:type="spellStart"/>
      <w:r w:rsidR="00024F67">
        <w:rPr>
          <w:rFonts w:ascii="Times New Roman" w:hAnsi="Times New Roman"/>
          <w:color w:val="000000" w:themeColor="text1"/>
          <w:szCs w:val="22"/>
          <w:lang w:val="lt-LT"/>
        </w:rPr>
        <w:t>šilumogrąža</w:t>
      </w:r>
      <w:proofErr w:type="spellEnd"/>
      <w:r w:rsidR="00024F67">
        <w:rPr>
          <w:rFonts w:ascii="Times New Roman" w:hAnsi="Times New Roman"/>
          <w:color w:val="000000" w:themeColor="text1"/>
          <w:szCs w:val="22"/>
          <w:lang w:val="lt-LT"/>
        </w:rPr>
        <w:t xml:space="preserve"> užtikrinimas ir </w:t>
      </w:r>
      <w:proofErr w:type="spellStart"/>
      <w:r w:rsidR="00024F67">
        <w:rPr>
          <w:rFonts w:ascii="Times New Roman" w:hAnsi="Times New Roman"/>
          <w:color w:val="000000" w:themeColor="text1"/>
          <w:szCs w:val="22"/>
          <w:lang w:val="lt-LT"/>
        </w:rPr>
        <w:t>pan</w:t>
      </w:r>
      <w:proofErr w:type="spellEnd"/>
      <w:r w:rsidR="00024F67">
        <w:rPr>
          <w:rFonts w:ascii="Times New Roman" w:hAnsi="Times New Roman"/>
          <w:color w:val="000000" w:themeColor="text1"/>
          <w:szCs w:val="22"/>
          <w:lang w:val="lt-LT"/>
        </w:rPr>
        <w:t>;</w:t>
      </w:r>
    </w:p>
    <w:p w14:paraId="705B6AEB" w14:textId="192FE4F2" w:rsidR="00C5520D" w:rsidRPr="00650EE4" w:rsidRDefault="00C5520D" w:rsidP="00BD4925">
      <w:pPr>
        <w:pStyle w:val="ListParagraph"/>
        <w:numPr>
          <w:ilvl w:val="0"/>
          <w:numId w:val="51"/>
        </w:numPr>
        <w:spacing w:before="60" w:after="60"/>
        <w:ind w:left="714" w:hanging="357"/>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nustatomi reikalavimai pasirinktiems komercinių pastatų sandorių tipams pvz. minimalūs energinio naudingumo reik</w:t>
      </w:r>
      <w:r w:rsidR="00024F67">
        <w:rPr>
          <w:rFonts w:ascii="Times New Roman" w:hAnsi="Times New Roman"/>
          <w:color w:val="000000" w:themeColor="text1"/>
          <w:szCs w:val="22"/>
          <w:lang w:val="lt-LT"/>
        </w:rPr>
        <w:t>alavimai nuomojamiems pastatams;</w:t>
      </w:r>
      <w:r w:rsidRPr="00650EE4">
        <w:rPr>
          <w:rFonts w:ascii="Times New Roman" w:hAnsi="Times New Roman"/>
          <w:color w:val="000000" w:themeColor="text1"/>
          <w:szCs w:val="22"/>
          <w:lang w:val="lt-LT"/>
        </w:rPr>
        <w:t xml:space="preserve"> </w:t>
      </w:r>
    </w:p>
    <w:p w14:paraId="1B4E4745" w14:textId="0072ADE7" w:rsidR="00C5520D" w:rsidRPr="00650EE4" w:rsidRDefault="00C5520D" w:rsidP="00BD4925">
      <w:pPr>
        <w:pStyle w:val="ListParagraph"/>
        <w:numPr>
          <w:ilvl w:val="0"/>
          <w:numId w:val="51"/>
        </w:numPr>
        <w:jc w:val="both"/>
        <w:rPr>
          <w:rFonts w:ascii="Times New Roman" w:hAnsi="Times New Roman"/>
          <w:szCs w:val="22"/>
          <w:lang w:val="lt-LT"/>
        </w:rPr>
      </w:pPr>
      <w:r w:rsidRPr="00650EE4">
        <w:rPr>
          <w:rFonts w:ascii="Times New Roman" w:hAnsi="Times New Roman"/>
          <w:color w:val="000000" w:themeColor="text1"/>
          <w:szCs w:val="22"/>
          <w:lang w:val="lt-LT"/>
        </w:rPr>
        <w:t>keliama minimalių energinio naudingumo reikalavimų kartelė pastatų rekonstrukcijos atveju ir pan.</w:t>
      </w:r>
    </w:p>
    <w:p w14:paraId="15971314" w14:textId="77777777" w:rsidR="00C5520D" w:rsidRPr="00650EE4" w:rsidRDefault="00C5520D" w:rsidP="00C5520D">
      <w:pPr>
        <w:jc w:val="both"/>
        <w:rPr>
          <w:rFonts w:ascii="Times New Roman" w:hAnsi="Times New Roman"/>
          <w:szCs w:val="22"/>
        </w:rPr>
      </w:pPr>
    </w:p>
    <w:p w14:paraId="7038B37D" w14:textId="578BA724" w:rsidR="00654C9E" w:rsidRPr="00650EE4" w:rsidRDefault="00654C9E" w:rsidP="00C5520D">
      <w:pPr>
        <w:jc w:val="both"/>
        <w:rPr>
          <w:rFonts w:ascii="Times New Roman" w:hAnsi="Times New Roman"/>
          <w:szCs w:val="22"/>
        </w:rPr>
      </w:pPr>
      <w:r w:rsidRPr="00650EE4">
        <w:rPr>
          <w:rFonts w:ascii="Times New Roman" w:hAnsi="Times New Roman"/>
          <w:szCs w:val="22"/>
        </w:rPr>
        <w:t xml:space="preserve">Svarbu </w:t>
      </w:r>
      <w:r w:rsidR="00C067C9" w:rsidRPr="00650EE4">
        <w:rPr>
          <w:rFonts w:ascii="Times New Roman" w:hAnsi="Times New Roman"/>
          <w:szCs w:val="22"/>
        </w:rPr>
        <w:t>užt</w:t>
      </w:r>
      <w:r w:rsidR="00C5520D" w:rsidRPr="00650EE4">
        <w:rPr>
          <w:rFonts w:ascii="Times New Roman" w:hAnsi="Times New Roman"/>
          <w:szCs w:val="22"/>
        </w:rPr>
        <w:t>i</w:t>
      </w:r>
      <w:r w:rsidR="00C067C9" w:rsidRPr="00650EE4">
        <w:rPr>
          <w:rFonts w:ascii="Times New Roman" w:hAnsi="Times New Roman"/>
          <w:szCs w:val="22"/>
        </w:rPr>
        <w:t>krinti</w:t>
      </w:r>
      <w:r w:rsidRPr="00650EE4">
        <w:rPr>
          <w:rFonts w:ascii="Times New Roman" w:hAnsi="Times New Roman"/>
          <w:szCs w:val="22"/>
        </w:rPr>
        <w:t xml:space="preserve">, kad </w:t>
      </w:r>
      <w:r w:rsidR="00C5520D" w:rsidRPr="00650EE4">
        <w:rPr>
          <w:rFonts w:ascii="Times New Roman" w:hAnsi="Times New Roman"/>
          <w:szCs w:val="22"/>
        </w:rPr>
        <w:t>minimalių reikalavimų valdymas būtų planingas ir prog</w:t>
      </w:r>
      <w:r w:rsidR="00AC2E87" w:rsidRPr="00650EE4">
        <w:rPr>
          <w:rFonts w:ascii="Times New Roman" w:hAnsi="Times New Roman"/>
          <w:szCs w:val="22"/>
        </w:rPr>
        <w:t>nozuo</w:t>
      </w:r>
      <w:r w:rsidR="00C5520D" w:rsidRPr="00650EE4">
        <w:rPr>
          <w:rFonts w:ascii="Times New Roman" w:hAnsi="Times New Roman"/>
          <w:szCs w:val="22"/>
        </w:rPr>
        <w:t>j</w:t>
      </w:r>
      <w:r w:rsidR="00AC2E87" w:rsidRPr="00650EE4">
        <w:rPr>
          <w:rFonts w:ascii="Times New Roman" w:hAnsi="Times New Roman"/>
          <w:szCs w:val="22"/>
        </w:rPr>
        <w:t>a</w:t>
      </w:r>
      <w:r w:rsidR="00C5520D" w:rsidRPr="00650EE4">
        <w:rPr>
          <w:rFonts w:ascii="Times New Roman" w:hAnsi="Times New Roman"/>
          <w:szCs w:val="22"/>
        </w:rPr>
        <w:t xml:space="preserve">mas t.y. </w:t>
      </w:r>
      <w:r w:rsidRPr="00650EE4">
        <w:rPr>
          <w:rFonts w:ascii="Times New Roman" w:hAnsi="Times New Roman"/>
          <w:szCs w:val="22"/>
        </w:rPr>
        <w:t xml:space="preserve">reikalavimai nustatomi ir skelbiami iš anksto, numatant pereinamąjį laikotarpį, taip sudarant sąlygas </w:t>
      </w:r>
      <w:r w:rsidR="00C5520D" w:rsidRPr="00650EE4">
        <w:rPr>
          <w:rFonts w:ascii="Times New Roman" w:hAnsi="Times New Roman"/>
          <w:szCs w:val="22"/>
        </w:rPr>
        <w:t xml:space="preserve">pastatų savininkams </w:t>
      </w:r>
      <w:r w:rsidRPr="00650EE4">
        <w:rPr>
          <w:rFonts w:ascii="Times New Roman" w:hAnsi="Times New Roman"/>
          <w:szCs w:val="22"/>
        </w:rPr>
        <w:t xml:space="preserve">prisitaikyti prie reikalavimų savanoriškai (pasinaudojant paramos priemonėmis). </w:t>
      </w:r>
    </w:p>
    <w:p w14:paraId="318A0A76" w14:textId="77777777" w:rsidR="00B212EA" w:rsidRPr="00650EE4" w:rsidRDefault="00B212EA" w:rsidP="00B212EA">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6B7C8D" w:rsidRPr="00650EE4" w14:paraId="60908970" w14:textId="77777777" w:rsidTr="006A60B7">
        <w:trPr>
          <w:trHeight w:val="463"/>
        </w:trPr>
        <w:tc>
          <w:tcPr>
            <w:tcW w:w="3114" w:type="dxa"/>
          </w:tcPr>
          <w:p w14:paraId="375BCFD8"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8416A1C" w14:textId="536784AE" w:rsidR="00DA4CD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B7. Neišnaudotas visa</w:t>
            </w:r>
            <w:r w:rsidR="00452CD0" w:rsidRPr="00650EE4">
              <w:rPr>
                <w:rFonts w:ascii="Times New Roman" w:hAnsi="Times New Roman"/>
                <w:szCs w:val="22"/>
                <w:lang w:eastAsia="lt-LT"/>
              </w:rPr>
              <w:t>s renovacijos naudų potencialas</w:t>
            </w:r>
          </w:p>
        </w:tc>
      </w:tr>
      <w:tr w:rsidR="006B7C8D" w:rsidRPr="00650EE4" w14:paraId="0F3C3D4B" w14:textId="77777777" w:rsidTr="006A60B7">
        <w:trPr>
          <w:trHeight w:val="463"/>
        </w:trPr>
        <w:tc>
          <w:tcPr>
            <w:tcW w:w="3114" w:type="dxa"/>
          </w:tcPr>
          <w:p w14:paraId="23F582A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CA208E7" w14:textId="2ACFC198" w:rsidR="006B7C8D" w:rsidRPr="00650EE4" w:rsidRDefault="006B7C8D" w:rsidP="00C067C9">
            <w:pPr>
              <w:spacing w:after="60"/>
              <w:rPr>
                <w:rFonts w:ascii="Times New Roman" w:hAnsi="Times New Roman"/>
                <w:szCs w:val="22"/>
                <w:lang w:eastAsia="lt-LT"/>
              </w:rPr>
            </w:pPr>
            <w:r w:rsidRPr="00650EE4">
              <w:rPr>
                <w:rFonts w:ascii="Times New Roman" w:hAnsi="Times New Roman"/>
                <w:szCs w:val="22"/>
                <w:lang w:eastAsia="lt-LT"/>
              </w:rPr>
              <w:t xml:space="preserve">Minimalių reikalavimų </w:t>
            </w:r>
            <w:r w:rsidR="00C067C9" w:rsidRPr="00650EE4">
              <w:rPr>
                <w:rFonts w:ascii="Times New Roman" w:hAnsi="Times New Roman"/>
                <w:szCs w:val="22"/>
                <w:lang w:eastAsia="lt-LT"/>
              </w:rPr>
              <w:t>valdymas</w:t>
            </w:r>
          </w:p>
        </w:tc>
      </w:tr>
      <w:tr w:rsidR="006B7C8D" w:rsidRPr="00650EE4" w14:paraId="64F08D1D" w14:textId="77777777" w:rsidTr="006A60B7">
        <w:trPr>
          <w:trHeight w:val="55"/>
        </w:trPr>
        <w:tc>
          <w:tcPr>
            <w:tcW w:w="3114" w:type="dxa"/>
          </w:tcPr>
          <w:p w14:paraId="150822A4"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425B07C"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6506BB4A" w14:textId="77777777" w:rsidTr="006A60B7">
        <w:trPr>
          <w:trHeight w:val="160"/>
        </w:trPr>
        <w:tc>
          <w:tcPr>
            <w:tcW w:w="3114" w:type="dxa"/>
          </w:tcPr>
          <w:p w14:paraId="7B628C5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EAEDAA6"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Trumpas-vidutinis laikotarpis</w:t>
            </w:r>
          </w:p>
        </w:tc>
      </w:tr>
    </w:tbl>
    <w:p w14:paraId="5F712056" w14:textId="77777777" w:rsidR="00D01D60" w:rsidRPr="00650EE4" w:rsidRDefault="00D01D60" w:rsidP="007B46E4">
      <w:pPr>
        <w:spacing w:after="120"/>
        <w:rPr>
          <w:rFonts w:ascii="Times New Roman" w:eastAsia="Times New Roman" w:hAnsi="Times New Roman"/>
          <w:b/>
          <w:bCs/>
          <w:color w:val="auto"/>
          <w:kern w:val="32"/>
          <w:sz w:val="24"/>
          <w:szCs w:val="24"/>
        </w:rPr>
      </w:pPr>
    </w:p>
    <w:p w14:paraId="3DFD959C" w14:textId="6C58AE6C" w:rsidR="0019233C" w:rsidRPr="00650EE4" w:rsidRDefault="00D01D60" w:rsidP="0019233C">
      <w:pPr>
        <w:pStyle w:val="Antrastes31"/>
        <w:numPr>
          <w:ilvl w:val="2"/>
          <w:numId w:val="4"/>
        </w:numPr>
        <w:spacing w:before="120"/>
        <w:ind w:left="720" w:hanging="720"/>
        <w:rPr>
          <w:rFonts w:ascii="Times New Roman" w:hAnsi="Times New Roman"/>
          <w:color w:val="auto"/>
          <w:sz w:val="24"/>
          <w:szCs w:val="24"/>
          <w:lang w:val="lt-LT"/>
        </w:rPr>
      </w:pPr>
      <w:bookmarkStart w:id="211" w:name="_Toc67925176"/>
      <w:r w:rsidRPr="00650EE4">
        <w:rPr>
          <w:rFonts w:ascii="Times New Roman" w:hAnsi="Times New Roman"/>
          <w:color w:val="auto"/>
          <w:sz w:val="24"/>
          <w:szCs w:val="24"/>
          <w:lang w:val="lt-LT"/>
        </w:rPr>
        <w:t>Pakankamas finansavimas</w:t>
      </w:r>
      <w:bookmarkEnd w:id="211"/>
    </w:p>
    <w:p w14:paraId="162C0BA8" w14:textId="77777777" w:rsidR="00C81905" w:rsidRPr="00C81905" w:rsidRDefault="00C81905" w:rsidP="00C81905">
      <w:pPr>
        <w:jc w:val="both"/>
        <w:rPr>
          <w:rFonts w:ascii="Times New Roman" w:hAnsi="Times New Roman"/>
          <w:szCs w:val="22"/>
        </w:rPr>
      </w:pPr>
      <w:r w:rsidRPr="00C81905">
        <w:rPr>
          <w:rFonts w:ascii="Times New Roman" w:hAnsi="Times New Roman"/>
          <w:szCs w:val="22"/>
        </w:rPr>
        <w:lastRenderedPageBreak/>
        <w:t xml:space="preserve">Siekiamas renovacijos proveržis pareikalaus reikšmingai didesnių investicijų. Dėl žemų energijos kainų ir, atitinkamai, ilgo investicijų atsipirkimo laikotarpio, numatoma, kad ne visos investicijos bus finansuojamos vien pastatų savininkų lėšomis t.y. renovacijai įgyvendinti bus reikalinga paskata valstybės lėšomis (subsidijomis). </w:t>
      </w:r>
    </w:p>
    <w:p w14:paraId="32C7EABF" w14:textId="77777777" w:rsidR="00C81905" w:rsidRPr="00C81905" w:rsidRDefault="00C81905" w:rsidP="00C81905">
      <w:pPr>
        <w:jc w:val="both"/>
        <w:rPr>
          <w:rFonts w:ascii="Times New Roman" w:hAnsi="Times New Roman"/>
          <w:szCs w:val="22"/>
        </w:rPr>
      </w:pPr>
    </w:p>
    <w:p w14:paraId="3A857C80" w14:textId="77777777" w:rsidR="00C81905" w:rsidRPr="00C81905" w:rsidRDefault="00C81905" w:rsidP="00C81905">
      <w:pPr>
        <w:jc w:val="both"/>
        <w:rPr>
          <w:rFonts w:ascii="Times New Roman" w:hAnsi="Times New Roman"/>
          <w:szCs w:val="22"/>
        </w:rPr>
      </w:pPr>
      <w:r w:rsidRPr="00C81905">
        <w:rPr>
          <w:rFonts w:ascii="Times New Roman" w:hAnsi="Times New Roman"/>
          <w:szCs w:val="22"/>
        </w:rPr>
        <w:t>Be to, net ir esant tinkamoms finansinėms paskatoms ir kitoms paramos priemonėms, pastatų savininkams bus reikalingos reikšmingos investicijos, kurių trūkumas gali tapti atsisakymo vykdyti renovaciją priežastimi. Atitinkamai, turi egzistuoti patrauklūs finansavimo sprendimai savininko įnašo (investicijos) finansavimui.</w:t>
      </w:r>
    </w:p>
    <w:p w14:paraId="2E060F8C" w14:textId="77777777" w:rsidR="00C81905" w:rsidRPr="00C81905" w:rsidRDefault="00C81905" w:rsidP="00C81905">
      <w:pPr>
        <w:jc w:val="both"/>
        <w:rPr>
          <w:rFonts w:ascii="Times New Roman" w:hAnsi="Times New Roman"/>
          <w:szCs w:val="22"/>
        </w:rPr>
      </w:pPr>
    </w:p>
    <w:p w14:paraId="3F323297" w14:textId="398F278E" w:rsidR="000942E4" w:rsidRDefault="00C81905" w:rsidP="00C81905">
      <w:pPr>
        <w:jc w:val="both"/>
        <w:rPr>
          <w:rFonts w:ascii="Times New Roman" w:hAnsi="Times New Roman"/>
          <w:szCs w:val="22"/>
        </w:rPr>
      </w:pPr>
      <w:r w:rsidRPr="00C81905">
        <w:rPr>
          <w:rFonts w:ascii="Times New Roman" w:hAnsi="Times New Roman"/>
          <w:szCs w:val="22"/>
        </w:rPr>
        <w:t>Neužtikrinus lėšų šaltinių valstybės finansuojamai daliai ir finansavimo sprendimų pastatų savininko investicijos daliai, o kitoms sąlygoms (pvz., energijos kainoms) nesikeičiant, finansavimo trūkumas gali tapti kritiniu barjeru renovacijos įgyvendinimui.</w:t>
      </w:r>
    </w:p>
    <w:p w14:paraId="43ED472E" w14:textId="77777777" w:rsidR="00C81905" w:rsidRPr="00650EE4" w:rsidRDefault="00C81905" w:rsidP="00C81905">
      <w:pPr>
        <w:jc w:val="both"/>
        <w:rPr>
          <w:rFonts w:ascii="Times New Roman" w:hAnsi="Times New Roman"/>
          <w:szCs w:val="22"/>
        </w:rPr>
      </w:pPr>
    </w:p>
    <w:p w14:paraId="03CB909E" w14:textId="0AEBB3B5" w:rsidR="000942E4" w:rsidRPr="00650EE4" w:rsidRDefault="000942E4"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6</w:t>
      </w:r>
      <w:r w:rsidRPr="00650EE4">
        <w:rPr>
          <w:rFonts w:ascii="Times New Roman" w:hAnsi="Times New Roman"/>
          <w:b/>
          <w:bCs/>
          <w:szCs w:val="24"/>
        </w:rPr>
        <w:t>. Finansavimo užtikrinimas</w:t>
      </w:r>
    </w:p>
    <w:p w14:paraId="2BDA1BAD" w14:textId="2FA8E198" w:rsidR="00024F67" w:rsidRPr="00024F67" w:rsidRDefault="00024F67" w:rsidP="00024F67">
      <w:pPr>
        <w:spacing w:after="120"/>
        <w:jc w:val="both"/>
        <w:rPr>
          <w:rFonts w:ascii="Times New Roman" w:hAnsi="Times New Roman"/>
          <w:szCs w:val="22"/>
        </w:rPr>
      </w:pPr>
      <w:r w:rsidRPr="00024F67">
        <w:rPr>
          <w:rFonts w:ascii="Times New Roman" w:eastAsia="Times New Roman" w:hAnsi="Times New Roman"/>
          <w:szCs w:val="22"/>
          <w:lang w:eastAsia="lt-LT"/>
        </w:rPr>
        <w:t xml:space="preserve">Preliminariais skaičiavimais, siekiant nustatytų IRS tarpinių </w:t>
      </w:r>
      <w:r w:rsidR="00805B88">
        <w:rPr>
          <w:rFonts w:ascii="Times New Roman" w:eastAsia="Times New Roman" w:hAnsi="Times New Roman"/>
          <w:szCs w:val="22"/>
          <w:lang w:eastAsia="lt-LT"/>
        </w:rPr>
        <w:t>rodiklių</w:t>
      </w:r>
      <w:r w:rsidRPr="00024F67">
        <w:rPr>
          <w:rFonts w:ascii="Times New Roman" w:eastAsia="Times New Roman" w:hAnsi="Times New Roman"/>
          <w:szCs w:val="22"/>
          <w:lang w:eastAsia="lt-LT"/>
        </w:rPr>
        <w:t xml:space="preserve">, iki 2030 m. į pastatų fondo atnaujinimą reikės investuoti vidutiniškai 1,1 mlrd. </w:t>
      </w:r>
      <w:proofErr w:type="spellStart"/>
      <w:r w:rsidRPr="00024F67">
        <w:rPr>
          <w:rFonts w:ascii="Times New Roman" w:eastAsia="Times New Roman" w:hAnsi="Times New Roman"/>
          <w:szCs w:val="22"/>
          <w:lang w:eastAsia="lt-LT"/>
        </w:rPr>
        <w:t>Eur</w:t>
      </w:r>
      <w:proofErr w:type="spellEnd"/>
      <w:r w:rsidRPr="00024F67">
        <w:rPr>
          <w:rFonts w:ascii="Times New Roman" w:eastAsia="Times New Roman" w:hAnsi="Times New Roman"/>
          <w:szCs w:val="22"/>
          <w:lang w:eastAsia="lt-LT"/>
        </w:rPr>
        <w:t xml:space="preserve"> per metus, vėlesniais laikotarpiais investicijų poreikis augs iki 3,1 mlrd. </w:t>
      </w:r>
      <w:proofErr w:type="spellStart"/>
      <w:r w:rsidRPr="00024F67">
        <w:rPr>
          <w:rFonts w:ascii="Times New Roman" w:eastAsia="Times New Roman" w:hAnsi="Times New Roman"/>
          <w:szCs w:val="22"/>
          <w:lang w:eastAsia="lt-LT"/>
        </w:rPr>
        <w:t>Eur</w:t>
      </w:r>
      <w:proofErr w:type="spellEnd"/>
      <w:r w:rsidRPr="00024F67">
        <w:rPr>
          <w:rFonts w:ascii="Times New Roman" w:eastAsia="Times New Roman" w:hAnsi="Times New Roman"/>
          <w:szCs w:val="22"/>
          <w:lang w:eastAsia="lt-LT"/>
        </w:rPr>
        <w:t xml:space="preserve"> per metus, proporcingai augant ir subsidijų bei pastatų savininkų investicijų finansavimo poreikiui. </w:t>
      </w:r>
      <w:r w:rsidRPr="00024F67">
        <w:rPr>
          <w:rFonts w:ascii="Times New Roman" w:hAnsi="Times New Roman"/>
          <w:szCs w:val="22"/>
        </w:rPr>
        <w:t xml:space="preserve">Atitinkamai, finansavimo užtikrinimas turi spręsti šiuos pagrindinius klausimus: </w:t>
      </w:r>
    </w:p>
    <w:p w14:paraId="5F3B77A9" w14:textId="3CFAD874" w:rsidR="00C81905" w:rsidRDefault="00024F67" w:rsidP="00BD4925">
      <w:pPr>
        <w:numPr>
          <w:ilvl w:val="0"/>
          <w:numId w:val="45"/>
        </w:numPr>
        <w:spacing w:after="60" w:line="240" w:lineRule="auto"/>
        <w:ind w:left="714" w:hanging="357"/>
        <w:jc w:val="both"/>
        <w:rPr>
          <w:rFonts w:ascii="Times New Roman" w:hAnsi="Times New Roman"/>
          <w:szCs w:val="22"/>
        </w:rPr>
      </w:pPr>
      <w:r>
        <w:rPr>
          <w:rFonts w:ascii="Times New Roman" w:hAnsi="Times New Roman"/>
          <w:b/>
          <w:color w:val="000000" w:themeColor="text1"/>
          <w:szCs w:val="22"/>
        </w:rPr>
        <w:t>L</w:t>
      </w:r>
      <w:r w:rsidR="00C81905" w:rsidRPr="00EF000F">
        <w:rPr>
          <w:rFonts w:ascii="Times New Roman" w:hAnsi="Times New Roman"/>
          <w:b/>
          <w:color w:val="000000" w:themeColor="text1"/>
          <w:szCs w:val="22"/>
        </w:rPr>
        <w:t>ėšų valstybės finansuojamai daliai (s</w:t>
      </w:r>
      <w:r w:rsidR="00C81905" w:rsidRPr="00EF000F">
        <w:rPr>
          <w:rFonts w:ascii="Times New Roman" w:hAnsi="Times New Roman"/>
          <w:b/>
          <w:bCs/>
          <w:szCs w:val="22"/>
        </w:rPr>
        <w:t>ubsidijoms) užtikrinimas</w:t>
      </w:r>
      <w:r w:rsidR="00C81905" w:rsidRPr="00EF000F">
        <w:rPr>
          <w:rFonts w:ascii="Times New Roman" w:hAnsi="Times New Roman"/>
          <w:b/>
          <w:szCs w:val="22"/>
        </w:rPr>
        <w:t>.</w:t>
      </w:r>
      <w:r w:rsidR="00C81905" w:rsidRPr="00D12CB4">
        <w:rPr>
          <w:rFonts w:ascii="Times New Roman" w:hAnsi="Times New Roman"/>
          <w:color w:val="000000" w:themeColor="text1"/>
          <w:szCs w:val="22"/>
        </w:rPr>
        <w:t xml:space="preserve"> </w:t>
      </w:r>
      <w:r w:rsidR="00C81905" w:rsidRPr="00650EE4">
        <w:rPr>
          <w:rFonts w:ascii="Times New Roman" w:hAnsi="Times New Roman"/>
          <w:color w:val="000000" w:themeColor="text1"/>
          <w:szCs w:val="22"/>
        </w:rPr>
        <w:t xml:space="preserve">Dabartiniai šaltiniai iki 2030 m. taps nepakankami, todėl jau dabar turi būti pradėta naujų šaltinių paieška, </w:t>
      </w:r>
      <w:r w:rsidR="00C81905" w:rsidRPr="00650EE4">
        <w:rPr>
          <w:rFonts w:ascii="Times New Roman" w:eastAsia="Times New Roman" w:hAnsi="Times New Roman"/>
          <w:szCs w:val="22"/>
          <w:lang w:eastAsia="lt-LT"/>
        </w:rPr>
        <w:t>visų pirma siekiant pasinaudoti Europos sąjungos fondais (pvz.,</w:t>
      </w:r>
      <w:r w:rsidR="00C81905">
        <w:rPr>
          <w:rFonts w:ascii="Times New Roman" w:eastAsia="Times New Roman" w:hAnsi="Times New Roman"/>
          <w:szCs w:val="22"/>
          <w:lang w:eastAsia="lt-LT"/>
        </w:rPr>
        <w:t xml:space="preserve"> </w:t>
      </w:r>
      <w:r w:rsidR="00C81905" w:rsidRPr="00650EE4">
        <w:rPr>
          <w:rFonts w:ascii="Times New Roman" w:eastAsia="Times New Roman" w:hAnsi="Times New Roman"/>
          <w:szCs w:val="22"/>
          <w:lang w:eastAsia="lt-LT"/>
        </w:rPr>
        <w:t>įtraukinat renovaciją į 2021-2027 laikotarpio programas) ir planuojamomis iniciatyvomis (pvz., Europos žaliojo kurso investicijų planu).</w:t>
      </w:r>
    </w:p>
    <w:p w14:paraId="076A7580" w14:textId="77777777" w:rsidR="00C81905" w:rsidRDefault="00C81905" w:rsidP="00BD4925">
      <w:pPr>
        <w:numPr>
          <w:ilvl w:val="0"/>
          <w:numId w:val="45"/>
        </w:numPr>
        <w:spacing w:line="240" w:lineRule="auto"/>
        <w:ind w:left="714" w:hanging="357"/>
        <w:jc w:val="both"/>
        <w:rPr>
          <w:rFonts w:ascii="Times New Roman" w:hAnsi="Times New Roman"/>
          <w:szCs w:val="22"/>
        </w:rPr>
      </w:pPr>
      <w:r>
        <w:rPr>
          <w:rFonts w:ascii="Times New Roman" w:eastAsia="Times New Roman" w:hAnsi="Times New Roman"/>
          <w:b/>
          <w:szCs w:val="22"/>
          <w:lang w:eastAsia="lt-LT"/>
        </w:rPr>
        <w:t>Pastatų savininkų</w:t>
      </w:r>
      <w:r w:rsidRPr="00852A79">
        <w:rPr>
          <w:rFonts w:ascii="Times New Roman" w:eastAsia="Times New Roman" w:hAnsi="Times New Roman"/>
          <w:b/>
          <w:szCs w:val="22"/>
          <w:lang w:eastAsia="lt-LT"/>
        </w:rPr>
        <w:t xml:space="preserve"> investicijų f</w:t>
      </w:r>
      <w:r w:rsidRPr="00852A79">
        <w:rPr>
          <w:rFonts w:ascii="Times New Roman" w:hAnsi="Times New Roman"/>
          <w:b/>
          <w:bCs/>
          <w:szCs w:val="22"/>
        </w:rPr>
        <w:t xml:space="preserve">inansavimo </w:t>
      </w:r>
      <w:r>
        <w:rPr>
          <w:rFonts w:ascii="Times New Roman" w:hAnsi="Times New Roman"/>
          <w:b/>
          <w:bCs/>
          <w:szCs w:val="22"/>
        </w:rPr>
        <w:t>sprendimų parengimas</w:t>
      </w:r>
      <w:r>
        <w:rPr>
          <w:rFonts w:ascii="Times New Roman" w:hAnsi="Times New Roman"/>
          <w:szCs w:val="22"/>
        </w:rPr>
        <w:t xml:space="preserve">. Prognozuojamas reikšmingas  savininko investicijų finansavimo poreikio augimas, tikėtina negalės būti patenkintas egzistuojančiais finansavimo sprendimais. </w:t>
      </w:r>
      <w:r>
        <w:rPr>
          <w:rFonts w:ascii="Times New Roman" w:hAnsi="Times New Roman"/>
          <w:color w:val="000000" w:themeColor="text1"/>
          <w:szCs w:val="22"/>
        </w:rPr>
        <w:t>Atitinkamai</w:t>
      </w:r>
      <w:r w:rsidRPr="00D12CB4">
        <w:rPr>
          <w:rFonts w:ascii="Times New Roman" w:hAnsi="Times New Roman"/>
          <w:color w:val="000000" w:themeColor="text1"/>
          <w:szCs w:val="22"/>
        </w:rPr>
        <w:t>, didelę svarbą finansavimo užtikrinimui įgyja gebėjimas sukurti ir pasiūlyti rinkai finansinius instrumentus, turinčius didelį sverto efektą</w:t>
      </w:r>
      <w:r w:rsidRPr="00852A79">
        <w:rPr>
          <w:rFonts w:ascii="Times New Roman" w:hAnsi="Times New Roman"/>
          <w:color w:val="000000" w:themeColor="text1"/>
          <w:szCs w:val="22"/>
          <w:vertAlign w:val="superscript"/>
        </w:rPr>
        <w:footnoteReference w:id="57"/>
      </w:r>
      <w:r w:rsidRPr="00852A79">
        <w:rPr>
          <w:rFonts w:ascii="Times New Roman" w:hAnsi="Times New Roman"/>
          <w:color w:val="000000" w:themeColor="text1"/>
          <w:szCs w:val="22"/>
          <w:vertAlign w:val="superscript"/>
        </w:rPr>
        <w:t xml:space="preserve"> </w:t>
      </w:r>
      <w:r w:rsidRPr="00D12CB4">
        <w:rPr>
          <w:rFonts w:ascii="Times New Roman" w:hAnsi="Times New Roman"/>
          <w:color w:val="000000" w:themeColor="text1"/>
          <w:szCs w:val="22"/>
        </w:rPr>
        <w:t>ir įtraukiančius privačias, pensijų fondų, tarptautinių finansinių institucijų lėšas</w:t>
      </w:r>
      <w:r>
        <w:rPr>
          <w:rFonts w:ascii="Times New Roman" w:hAnsi="Times New Roman"/>
          <w:color w:val="000000" w:themeColor="text1"/>
          <w:szCs w:val="22"/>
        </w:rPr>
        <w:t xml:space="preserve">. </w:t>
      </w:r>
    </w:p>
    <w:p w14:paraId="1A2A6095" w14:textId="77777777" w:rsidR="00C81905" w:rsidRPr="0098442F" w:rsidRDefault="00C81905" w:rsidP="00C81905">
      <w:pPr>
        <w:spacing w:line="240" w:lineRule="auto"/>
        <w:ind w:left="357"/>
        <w:jc w:val="both"/>
        <w:rPr>
          <w:rFonts w:ascii="Times New Roman" w:hAnsi="Times New Roman"/>
          <w:szCs w:val="22"/>
        </w:rPr>
      </w:pPr>
    </w:p>
    <w:p w14:paraId="66C7E6A1" w14:textId="2397F2E9" w:rsidR="00C81905" w:rsidRDefault="00C81905" w:rsidP="00C81905">
      <w:pPr>
        <w:jc w:val="both"/>
        <w:rPr>
          <w:rFonts w:ascii="Times New Roman" w:eastAsia="Times New Roman" w:hAnsi="Times New Roman"/>
          <w:szCs w:val="22"/>
          <w:lang w:eastAsia="lt-LT"/>
        </w:rPr>
      </w:pPr>
      <w:r w:rsidRPr="0096505E">
        <w:rPr>
          <w:rFonts w:ascii="Times New Roman" w:eastAsia="Times New Roman" w:hAnsi="Times New Roman"/>
          <w:szCs w:val="22"/>
          <w:lang w:eastAsia="lt-LT"/>
        </w:rPr>
        <w:t xml:space="preserve">Pažymėtina, kad šiuo metu Lietuvoje taikomas daugiabučių renovacijos finansavimo modelis (subsidijos, lengvatinės paskolos ir palūkanų fiksavimas) yra pripažintas gerąja praktika Europoje ir galėtų būti perkeliamas į kitas </w:t>
      </w:r>
      <w:r>
        <w:rPr>
          <w:rFonts w:ascii="Times New Roman" w:eastAsia="Times New Roman" w:hAnsi="Times New Roman"/>
          <w:szCs w:val="22"/>
          <w:lang w:eastAsia="lt-LT"/>
        </w:rPr>
        <w:t>p</w:t>
      </w:r>
      <w:r w:rsidRPr="0096505E">
        <w:rPr>
          <w:rFonts w:ascii="Times New Roman" w:eastAsia="Times New Roman" w:hAnsi="Times New Roman"/>
          <w:szCs w:val="22"/>
          <w:lang w:eastAsia="lt-LT"/>
        </w:rPr>
        <w:t xml:space="preserve">astatų fondo dalis. </w:t>
      </w:r>
      <w:r>
        <w:rPr>
          <w:rFonts w:ascii="Times New Roman" w:eastAsia="Times New Roman" w:hAnsi="Times New Roman"/>
          <w:szCs w:val="22"/>
          <w:lang w:eastAsia="lt-LT"/>
        </w:rPr>
        <w:t>Tačiau, vertinant finansavimo poreikio augimo apimtis, turėtų būti svarstomi ir papildomi</w:t>
      </w:r>
      <w:r w:rsidRPr="0096505E">
        <w:rPr>
          <w:rFonts w:ascii="Times New Roman" w:eastAsia="Times New Roman" w:hAnsi="Times New Roman"/>
          <w:szCs w:val="22"/>
          <w:lang w:eastAsia="lt-LT"/>
        </w:rPr>
        <w:t xml:space="preserve"> mechanizmai, pagrįsti privataus sektoriaus įsitraukimu, pvz., Energijos taupymo paslaugų teikėjo (</w:t>
      </w:r>
      <w:r>
        <w:rPr>
          <w:rFonts w:ascii="Times New Roman" w:eastAsia="Times New Roman" w:hAnsi="Times New Roman"/>
          <w:szCs w:val="22"/>
          <w:lang w:eastAsia="lt-LT"/>
        </w:rPr>
        <w:t>toliau – ESCO</w:t>
      </w:r>
      <w:r w:rsidRPr="0096505E">
        <w:rPr>
          <w:rFonts w:ascii="Times New Roman" w:eastAsia="Times New Roman" w:hAnsi="Times New Roman"/>
          <w:szCs w:val="22"/>
          <w:lang w:eastAsia="lt-LT"/>
        </w:rPr>
        <w:t>)</w:t>
      </w:r>
      <w:r>
        <w:rPr>
          <w:rFonts w:ascii="Times New Roman" w:eastAsia="Times New Roman" w:hAnsi="Times New Roman"/>
          <w:szCs w:val="22"/>
          <w:lang w:eastAsia="lt-LT"/>
        </w:rPr>
        <w:t xml:space="preserve"> </w:t>
      </w:r>
      <w:r w:rsidRPr="0096505E">
        <w:rPr>
          <w:rFonts w:ascii="Times New Roman" w:eastAsia="Times New Roman" w:hAnsi="Times New Roman"/>
          <w:szCs w:val="22"/>
          <w:lang w:eastAsia="lt-LT"/>
        </w:rPr>
        <w:t>modelis</w:t>
      </w:r>
      <w:r>
        <w:rPr>
          <w:rFonts w:ascii="Times New Roman" w:eastAsia="Times New Roman" w:hAnsi="Times New Roman"/>
          <w:szCs w:val="22"/>
          <w:lang w:eastAsia="lt-LT"/>
        </w:rPr>
        <w:t>, kurio diegimą ir</w:t>
      </w:r>
      <w:r w:rsidRPr="00642DB0">
        <w:rPr>
          <w:rFonts w:ascii="Times New Roman" w:eastAsia="Times New Roman" w:hAnsi="Times New Roman"/>
          <w:szCs w:val="22"/>
          <w:lang w:eastAsia="lt-LT"/>
        </w:rPr>
        <w:t xml:space="preserve"> vystymą skatina ir ES direktyvos</w:t>
      </w:r>
      <w:r>
        <w:rPr>
          <w:rStyle w:val="FootnoteReference"/>
          <w:rFonts w:ascii="Times New Roman" w:eastAsia="Times New Roman" w:hAnsi="Times New Roman"/>
          <w:szCs w:val="22"/>
          <w:lang w:eastAsia="lt-LT"/>
        </w:rPr>
        <w:footnoteReference w:id="58"/>
      </w:r>
      <w:r w:rsidRPr="00642DB0">
        <w:rPr>
          <w:rFonts w:ascii="Times New Roman" w:eastAsia="Times New Roman" w:hAnsi="Times New Roman"/>
          <w:szCs w:val="22"/>
          <w:lang w:eastAsia="lt-LT"/>
        </w:rPr>
        <w:t xml:space="preserve">. </w:t>
      </w:r>
    </w:p>
    <w:p w14:paraId="1DE798AA" w14:textId="77777777" w:rsidR="00C81905" w:rsidRDefault="00C81905" w:rsidP="00C81905">
      <w:pPr>
        <w:jc w:val="both"/>
        <w:rPr>
          <w:rFonts w:ascii="Times New Roman" w:eastAsia="Times New Roman" w:hAnsi="Times New Roman"/>
          <w:szCs w:val="22"/>
          <w:lang w:eastAsia="lt-LT"/>
        </w:rPr>
      </w:pPr>
    </w:p>
    <w:p w14:paraId="58D873FE" w14:textId="3E245844" w:rsidR="00C81905" w:rsidRDefault="00C81905" w:rsidP="00C81905">
      <w:pPr>
        <w:jc w:val="both"/>
        <w:rPr>
          <w:rFonts w:ascii="Times New Roman" w:hAnsi="Times New Roman"/>
          <w:szCs w:val="22"/>
        </w:rPr>
      </w:pPr>
      <w:r>
        <w:rPr>
          <w:rFonts w:ascii="Times New Roman" w:eastAsia="Times New Roman" w:hAnsi="Times New Roman"/>
          <w:szCs w:val="22"/>
          <w:lang w:eastAsia="lt-LT"/>
        </w:rPr>
        <w:t>2019 m atlikto EK Jungtinių tyrimų centro vertinimu</w:t>
      </w:r>
      <w:r w:rsidRPr="00642DB0">
        <w:rPr>
          <w:rFonts w:ascii="Times New Roman" w:eastAsia="Times New Roman" w:hAnsi="Times New Roman"/>
          <w:szCs w:val="22"/>
          <w:vertAlign w:val="superscript"/>
          <w:lang w:eastAsia="lt-LT"/>
        </w:rPr>
        <w:footnoteReference w:id="59"/>
      </w:r>
      <w:r>
        <w:rPr>
          <w:rFonts w:ascii="Times New Roman" w:eastAsia="Times New Roman" w:hAnsi="Times New Roman"/>
          <w:szCs w:val="22"/>
          <w:lang w:eastAsia="lt-LT"/>
        </w:rPr>
        <w:t xml:space="preserve">, </w:t>
      </w:r>
      <w:r w:rsidRPr="00642DB0">
        <w:rPr>
          <w:rFonts w:ascii="Times New Roman" w:eastAsia="Times New Roman" w:hAnsi="Times New Roman"/>
          <w:szCs w:val="22"/>
          <w:lang w:eastAsia="lt-LT"/>
        </w:rPr>
        <w:t xml:space="preserve">Lietuvoje ESCO rinka </w:t>
      </w:r>
      <w:r>
        <w:rPr>
          <w:rFonts w:ascii="Times New Roman" w:eastAsia="Times New Roman" w:hAnsi="Times New Roman"/>
          <w:szCs w:val="22"/>
          <w:lang w:eastAsia="lt-LT"/>
        </w:rPr>
        <w:t>yra viena prasčiausiai išsivysčiusių</w:t>
      </w:r>
      <w:r w:rsidRPr="00642DB0">
        <w:rPr>
          <w:rFonts w:ascii="Times New Roman" w:eastAsia="Times New Roman" w:hAnsi="Times New Roman"/>
          <w:szCs w:val="22"/>
          <w:lang w:eastAsia="lt-LT"/>
        </w:rPr>
        <w:t xml:space="preserve"> tarp </w:t>
      </w:r>
      <w:r>
        <w:rPr>
          <w:rFonts w:ascii="Times New Roman" w:eastAsia="Times New Roman" w:hAnsi="Times New Roman"/>
          <w:szCs w:val="22"/>
          <w:lang w:eastAsia="lt-LT"/>
        </w:rPr>
        <w:t xml:space="preserve">visų </w:t>
      </w:r>
      <w:r w:rsidRPr="00642DB0">
        <w:rPr>
          <w:rFonts w:ascii="Times New Roman" w:eastAsia="Times New Roman" w:hAnsi="Times New Roman"/>
          <w:szCs w:val="22"/>
          <w:lang w:eastAsia="lt-LT"/>
        </w:rPr>
        <w:t>ES valstybių narių</w:t>
      </w:r>
      <w:r>
        <w:rPr>
          <w:rFonts w:ascii="Times New Roman" w:eastAsia="Times New Roman" w:hAnsi="Times New Roman"/>
          <w:szCs w:val="22"/>
          <w:lang w:eastAsia="lt-LT"/>
        </w:rPr>
        <w:t xml:space="preserve">, neturinti </w:t>
      </w:r>
      <w:r w:rsidRPr="00642DB0">
        <w:rPr>
          <w:rFonts w:ascii="Times New Roman" w:hAnsi="Times New Roman"/>
          <w:szCs w:val="22"/>
        </w:rPr>
        <w:t>ne tik oficialaus ESCO įmonių sąrašo, tačiau ir aiškių bendrų kriterijų pagal kuriuos įmonės galėtų būti priskirtos ESCO</w:t>
      </w:r>
      <w:r>
        <w:rPr>
          <w:rFonts w:ascii="Times New Roman" w:hAnsi="Times New Roman"/>
          <w:szCs w:val="22"/>
        </w:rPr>
        <w:t xml:space="preserve"> tipui. Dauguma įmonių, kurias </w:t>
      </w:r>
      <w:r w:rsidRPr="00642DB0">
        <w:rPr>
          <w:rFonts w:ascii="Times New Roman" w:hAnsi="Times New Roman"/>
          <w:szCs w:val="22"/>
        </w:rPr>
        <w:t>domina energijos taupymo paslaugų teikima</w:t>
      </w:r>
      <w:r>
        <w:rPr>
          <w:rFonts w:ascii="Times New Roman" w:hAnsi="Times New Roman"/>
          <w:szCs w:val="22"/>
        </w:rPr>
        <w:t>s yra finansiškai nepajėgios, nėra ESCO projektų sėkmės istorijų“</w:t>
      </w:r>
      <w:r w:rsidRPr="00642DB0">
        <w:rPr>
          <w:rFonts w:ascii="Times New Roman" w:hAnsi="Times New Roman"/>
          <w:szCs w:val="22"/>
        </w:rPr>
        <w:t xml:space="preserve">, komerciniai bankai nėra </w:t>
      </w:r>
      <w:r>
        <w:rPr>
          <w:rFonts w:ascii="Times New Roman" w:hAnsi="Times New Roman"/>
          <w:szCs w:val="22"/>
        </w:rPr>
        <w:t>pasiruošę finansuoti projektų</w:t>
      </w:r>
      <w:r w:rsidRPr="00642DB0">
        <w:rPr>
          <w:rFonts w:ascii="Times New Roman" w:hAnsi="Times New Roman"/>
          <w:szCs w:val="22"/>
        </w:rPr>
        <w:t xml:space="preserve"> </w:t>
      </w:r>
      <w:r>
        <w:rPr>
          <w:rFonts w:ascii="Times New Roman" w:hAnsi="Times New Roman"/>
          <w:szCs w:val="22"/>
        </w:rPr>
        <w:t>esamomis sąlygomis</w:t>
      </w:r>
      <w:r w:rsidRPr="00642DB0">
        <w:rPr>
          <w:rFonts w:ascii="Times New Roman" w:hAnsi="Times New Roman"/>
          <w:szCs w:val="22"/>
        </w:rPr>
        <w:t>, nėra iki galo sutvarkyta teisinė bazė</w:t>
      </w:r>
      <w:r>
        <w:rPr>
          <w:rFonts w:ascii="Times New Roman" w:hAnsi="Times New Roman"/>
          <w:szCs w:val="22"/>
        </w:rPr>
        <w:t xml:space="preserve"> ir pan. Be to, paskutiniu laikotarpiu </w:t>
      </w:r>
      <w:r w:rsidRPr="00642DB0">
        <w:rPr>
          <w:rFonts w:ascii="Times New Roman" w:hAnsi="Times New Roman"/>
          <w:szCs w:val="22"/>
        </w:rPr>
        <w:t xml:space="preserve">mažėjančios vidutinės šilumos kainos, </w:t>
      </w:r>
      <w:r>
        <w:rPr>
          <w:rFonts w:ascii="Times New Roman" w:hAnsi="Times New Roman"/>
          <w:szCs w:val="22"/>
        </w:rPr>
        <w:t xml:space="preserve">ilgina projektų atsipirkimo laikotarpius ir finansinį gyvybingumą. </w:t>
      </w:r>
      <w:r w:rsidRPr="00642DB0">
        <w:rPr>
          <w:rFonts w:ascii="Times New Roman" w:hAnsi="Times New Roman"/>
          <w:szCs w:val="22"/>
        </w:rPr>
        <w:t xml:space="preserve"> </w:t>
      </w:r>
    </w:p>
    <w:p w14:paraId="02E6C6FF" w14:textId="77777777" w:rsidR="00C81905" w:rsidRDefault="00C81905" w:rsidP="00C81905">
      <w:pPr>
        <w:jc w:val="both"/>
        <w:rPr>
          <w:rFonts w:ascii="Times New Roman" w:hAnsi="Times New Roman"/>
          <w:szCs w:val="22"/>
        </w:rPr>
      </w:pPr>
    </w:p>
    <w:p w14:paraId="6A6CD171" w14:textId="77777777" w:rsidR="00C81905" w:rsidRPr="00510101" w:rsidRDefault="00C81905" w:rsidP="00C81905">
      <w:pPr>
        <w:jc w:val="both"/>
        <w:rPr>
          <w:rFonts w:ascii="Times New Roman" w:eastAsia="Times New Roman" w:hAnsi="Times New Roman"/>
          <w:szCs w:val="22"/>
          <w:lang w:eastAsia="lt-LT"/>
        </w:rPr>
      </w:pPr>
      <w:r>
        <w:rPr>
          <w:rFonts w:ascii="Times New Roman" w:hAnsi="Times New Roman"/>
          <w:szCs w:val="22"/>
        </w:rPr>
        <w:t xml:space="preserve">2020 m. kovo mėn. </w:t>
      </w:r>
      <w:r w:rsidRPr="00510101">
        <w:rPr>
          <w:rFonts w:ascii="Times New Roman" w:eastAsia="Times New Roman" w:hAnsi="Times New Roman"/>
          <w:szCs w:val="22"/>
          <w:lang w:eastAsia="lt-LT"/>
        </w:rPr>
        <w:t>reikšmingai pagerintos VIPA teikiamos finansavimo sąlygos</w:t>
      </w:r>
      <w:r>
        <w:rPr>
          <w:rFonts w:ascii="Times New Roman" w:eastAsia="Times New Roman" w:hAnsi="Times New Roman"/>
          <w:szCs w:val="22"/>
          <w:lang w:eastAsia="lt-LT"/>
        </w:rPr>
        <w:t xml:space="preserve"> valstybei nuosavybės teise priklausančių</w:t>
      </w:r>
      <w:r w:rsidRPr="00510101">
        <w:rPr>
          <w:rFonts w:ascii="Times New Roman" w:eastAsia="Times New Roman" w:hAnsi="Times New Roman"/>
          <w:szCs w:val="22"/>
          <w:lang w:eastAsia="lt-LT"/>
        </w:rPr>
        <w:t xml:space="preserve"> pastatų </w:t>
      </w:r>
      <w:r>
        <w:rPr>
          <w:rFonts w:ascii="Times New Roman" w:eastAsia="Times New Roman" w:hAnsi="Times New Roman"/>
          <w:szCs w:val="22"/>
          <w:lang w:eastAsia="lt-LT"/>
        </w:rPr>
        <w:t>renovacijos projektams. P</w:t>
      </w:r>
      <w:r w:rsidRPr="00510101">
        <w:rPr>
          <w:rFonts w:ascii="Times New Roman" w:eastAsia="Times New Roman" w:hAnsi="Times New Roman"/>
          <w:szCs w:val="22"/>
          <w:lang w:eastAsia="lt-LT"/>
        </w:rPr>
        <w:t>rojektams, taikantiems ETPT modelį, finansavimas skiriamas teikiant grąžinamąją subsidiją net iki 80% ir</w:t>
      </w:r>
      <w:r>
        <w:rPr>
          <w:rFonts w:ascii="Times New Roman" w:eastAsia="Times New Roman" w:hAnsi="Times New Roman"/>
          <w:szCs w:val="22"/>
          <w:lang w:eastAsia="lt-LT"/>
        </w:rPr>
        <w:t xml:space="preserve"> paskolą – iki 20% investicijų.</w:t>
      </w:r>
    </w:p>
    <w:p w14:paraId="6BABCDB8" w14:textId="77777777" w:rsidR="00C81905" w:rsidRPr="0096505E" w:rsidRDefault="00C81905" w:rsidP="00C81905">
      <w:pPr>
        <w:jc w:val="both"/>
        <w:rPr>
          <w:rFonts w:ascii="Times New Roman" w:eastAsia="Times New Roman" w:hAnsi="Times New Roman"/>
          <w:szCs w:val="22"/>
          <w:lang w:eastAsia="lt-LT"/>
        </w:rPr>
      </w:pPr>
    </w:p>
    <w:p w14:paraId="13E3EF5A" w14:textId="77777777" w:rsidR="002712E2" w:rsidRPr="002712E2" w:rsidRDefault="002712E2" w:rsidP="002712E2">
      <w:pPr>
        <w:spacing w:after="120"/>
        <w:jc w:val="both"/>
        <w:rPr>
          <w:rFonts w:ascii="Times New Roman" w:eastAsia="Times New Roman" w:hAnsi="Times New Roman"/>
          <w:szCs w:val="22"/>
          <w:lang w:eastAsia="lt-LT"/>
        </w:rPr>
      </w:pPr>
      <w:r w:rsidRPr="002712E2">
        <w:rPr>
          <w:rFonts w:ascii="Times New Roman" w:eastAsia="Times New Roman" w:hAnsi="Times New Roman"/>
          <w:szCs w:val="22"/>
          <w:lang w:eastAsia="lt-LT"/>
        </w:rPr>
        <w:t>Svarbu pažymėti, kad tiek finansavimo poreikis, tiek konkretūs finansavimo sprendimai turi būti tarpusavyje  derinami ir planuojami kartu su kitomis renovacijos priemonėmis, pvz.:</w:t>
      </w:r>
    </w:p>
    <w:p w14:paraId="4CF5B27E" w14:textId="135AFD86" w:rsidR="00C81905" w:rsidRPr="00843CA9"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sidRPr="00843CA9">
        <w:rPr>
          <w:rFonts w:ascii="Times New Roman" w:eastAsia="Times New Roman" w:hAnsi="Times New Roman"/>
          <w:szCs w:val="22"/>
          <w:lang w:val="lt-LT" w:eastAsia="lt-LT"/>
        </w:rPr>
        <w:t xml:space="preserve">pilna energijos kaina ir taršos mokesčiai trumpintų investicijų atsipirkimo laikotarpį (didintų renovacijos finansinį patrauklumą), dėl to mažėtų viešų lėšų (subsidijų) poreikis. Trumpesnis investicijų atsipirkimo </w:t>
      </w:r>
      <w:r w:rsidRPr="00843CA9">
        <w:rPr>
          <w:rFonts w:ascii="Times New Roman" w:eastAsia="Times New Roman" w:hAnsi="Times New Roman"/>
          <w:szCs w:val="22"/>
          <w:lang w:val="lt-LT" w:eastAsia="lt-LT"/>
        </w:rPr>
        <w:lastRenderedPageBreak/>
        <w:t>laikotarpis taip pat didintų finansavimo sprendimų pasirinkimo galimybes (pvz. ESCO modelis taptų ekonomiškai gyvybingesniu)</w:t>
      </w:r>
      <w:r>
        <w:rPr>
          <w:rFonts w:ascii="Times New Roman" w:eastAsia="Times New Roman" w:hAnsi="Times New Roman"/>
          <w:szCs w:val="22"/>
          <w:lang w:val="lt-LT" w:eastAsia="lt-LT"/>
        </w:rPr>
        <w:t>;</w:t>
      </w:r>
    </w:p>
    <w:p w14:paraId="16C0D751" w14:textId="24BCC8D6" w:rsidR="00FD55F4" w:rsidRPr="00C81905"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Pr>
          <w:rFonts w:ascii="Times New Roman" w:eastAsia="Times New Roman" w:hAnsi="Times New Roman"/>
          <w:szCs w:val="22"/>
          <w:lang w:val="lt-LT" w:eastAsia="lt-LT"/>
        </w:rPr>
        <w:t>p</w:t>
      </w:r>
      <w:r w:rsidRPr="00843CA9">
        <w:rPr>
          <w:rFonts w:ascii="Times New Roman" w:eastAsia="Times New Roman" w:hAnsi="Times New Roman"/>
          <w:szCs w:val="22"/>
          <w:lang w:val="lt-LT" w:eastAsia="lt-LT"/>
        </w:rPr>
        <w:t>rojektų agregavimas leistų išnaudoti masto ekonomijos efektą (mažintų investicijų poreikį), dėl to mažėtų tiek viešų lėšų (subsidijų), tiek savininkų investicijų f</w:t>
      </w:r>
      <w:r w:rsidRPr="00843CA9">
        <w:rPr>
          <w:rFonts w:ascii="Times New Roman" w:hAnsi="Times New Roman"/>
          <w:bCs/>
          <w:szCs w:val="22"/>
          <w:lang w:val="lt-LT"/>
        </w:rPr>
        <w:t>inansavimo</w:t>
      </w:r>
      <w:r w:rsidRPr="00843CA9">
        <w:rPr>
          <w:rFonts w:ascii="Times New Roman" w:eastAsia="Times New Roman" w:hAnsi="Times New Roman"/>
          <w:szCs w:val="22"/>
          <w:lang w:val="lt-LT" w:eastAsia="lt-LT"/>
        </w:rPr>
        <w:t xml:space="preserve"> poreikis. </w:t>
      </w:r>
    </w:p>
    <w:p w14:paraId="0A9BBA58" w14:textId="77777777" w:rsidR="00C81905" w:rsidRPr="00650EE4" w:rsidRDefault="00C81905" w:rsidP="000A4099">
      <w:pPr>
        <w:jc w:val="both"/>
        <w:rPr>
          <w:rFonts w:ascii="Times New Roman" w:eastAsia="Times New Roman" w:hAnsi="Times New Roman"/>
          <w:szCs w:val="22"/>
          <w:lang w:eastAsia="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942E4" w:rsidRPr="00650EE4" w14:paraId="5332A2EF" w14:textId="77777777" w:rsidTr="006A60B7">
        <w:trPr>
          <w:trHeight w:val="463"/>
        </w:trPr>
        <w:tc>
          <w:tcPr>
            <w:tcW w:w="3114" w:type="dxa"/>
          </w:tcPr>
          <w:p w14:paraId="19D1ABAB"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3557D738" w14:textId="77777777" w:rsidR="0092257F" w:rsidRPr="00650EE4" w:rsidRDefault="0092257F" w:rsidP="0092257F">
            <w:pPr>
              <w:spacing w:after="60"/>
              <w:rPr>
                <w:rFonts w:ascii="Times New Roman" w:hAnsi="Times New Roman"/>
                <w:szCs w:val="22"/>
                <w:lang w:eastAsia="lt-LT"/>
              </w:rPr>
            </w:pPr>
            <w:r w:rsidRPr="00650EE4">
              <w:rPr>
                <w:rFonts w:ascii="Times New Roman" w:hAnsi="Times New Roman"/>
                <w:szCs w:val="22"/>
                <w:lang w:eastAsia="lt-LT"/>
              </w:rPr>
              <w:t>B10. Pastatų savininkų negalėjimas skolintis (ribotos skolinimosi galimybės)</w:t>
            </w:r>
          </w:p>
          <w:p w14:paraId="217CFE40" w14:textId="075E4980" w:rsidR="000942E4" w:rsidRPr="00650EE4" w:rsidRDefault="0092257F" w:rsidP="0092257F">
            <w:pPr>
              <w:spacing w:after="60"/>
              <w:rPr>
                <w:rFonts w:ascii="Times New Roman" w:hAnsi="Times New Roman"/>
                <w:szCs w:val="22"/>
                <w:lang w:eastAsia="lt-LT"/>
              </w:rPr>
            </w:pPr>
            <w:r w:rsidRPr="00650EE4">
              <w:rPr>
                <w:rFonts w:ascii="Times New Roman" w:hAnsi="Times New Roman"/>
                <w:szCs w:val="22"/>
                <w:lang w:eastAsia="lt-LT"/>
              </w:rPr>
              <w:t>B11.</w:t>
            </w:r>
            <w:r w:rsidR="00B11251" w:rsidRPr="00650EE4">
              <w:rPr>
                <w:rFonts w:ascii="Times New Roman" w:hAnsi="Times New Roman"/>
                <w:szCs w:val="22"/>
                <w:lang w:eastAsia="lt-LT"/>
              </w:rPr>
              <w:t xml:space="preserve"> Išaugęs viešų finansų poreikis</w:t>
            </w:r>
          </w:p>
        </w:tc>
      </w:tr>
      <w:tr w:rsidR="000942E4" w:rsidRPr="00650EE4" w14:paraId="19F98082" w14:textId="77777777" w:rsidTr="006A60B7">
        <w:trPr>
          <w:trHeight w:val="55"/>
        </w:trPr>
        <w:tc>
          <w:tcPr>
            <w:tcW w:w="3114" w:type="dxa"/>
          </w:tcPr>
          <w:p w14:paraId="58A181D1"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46FE0458" w14:textId="77777777" w:rsidR="000942E4" w:rsidRPr="00650EE4" w:rsidRDefault="000942E4" w:rsidP="006A60B7">
            <w:pPr>
              <w:spacing w:after="60"/>
              <w:rPr>
                <w:rFonts w:ascii="Times New Roman" w:hAnsi="Times New Roman"/>
                <w:szCs w:val="22"/>
                <w:lang w:eastAsia="lt-LT"/>
              </w:rPr>
            </w:pPr>
            <w:r w:rsidRPr="00650EE4">
              <w:rPr>
                <w:rFonts w:ascii="Times New Roman" w:hAnsi="Times New Roman"/>
                <w:szCs w:val="22"/>
                <w:lang w:eastAsia="lt-LT"/>
              </w:rPr>
              <w:t>Finansavimo priemonių įgyvendinimas</w:t>
            </w:r>
          </w:p>
        </w:tc>
      </w:tr>
      <w:tr w:rsidR="000942E4" w:rsidRPr="00650EE4" w14:paraId="1EAEAFF2" w14:textId="77777777" w:rsidTr="006A60B7">
        <w:trPr>
          <w:trHeight w:val="55"/>
        </w:trPr>
        <w:tc>
          <w:tcPr>
            <w:tcW w:w="3114" w:type="dxa"/>
          </w:tcPr>
          <w:p w14:paraId="13C3BB38"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6F20B77" w14:textId="77777777" w:rsidR="000942E4" w:rsidRPr="00650EE4" w:rsidRDefault="000942E4"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0942E4" w:rsidRPr="00650EE4" w14:paraId="0ADE8706" w14:textId="77777777" w:rsidTr="006A60B7">
        <w:trPr>
          <w:trHeight w:val="55"/>
        </w:trPr>
        <w:tc>
          <w:tcPr>
            <w:tcW w:w="3114" w:type="dxa"/>
          </w:tcPr>
          <w:p w14:paraId="2EA096FB"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61CCDA45" w14:textId="77777777" w:rsidR="000942E4" w:rsidRPr="00650EE4" w:rsidRDefault="000942E4" w:rsidP="006A60B7">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5E54561C" w14:textId="0C09FA0F" w:rsidR="008800F5" w:rsidRPr="00650EE4" w:rsidRDefault="008800F5" w:rsidP="00A86EA1">
      <w:pPr>
        <w:rPr>
          <w:rFonts w:ascii="Times New Roman" w:hAnsi="Times New Roman"/>
          <w:color w:val="000000" w:themeColor="text1"/>
          <w:szCs w:val="22"/>
          <w:highlight w:val="lightGray"/>
        </w:rPr>
      </w:pPr>
    </w:p>
    <w:p w14:paraId="162873C5" w14:textId="1B19F390" w:rsidR="00780473" w:rsidRPr="00650EE4" w:rsidRDefault="008800F5" w:rsidP="00780473">
      <w:pPr>
        <w:pStyle w:val="Antrastes31"/>
        <w:numPr>
          <w:ilvl w:val="2"/>
          <w:numId w:val="4"/>
        </w:numPr>
        <w:spacing w:before="120"/>
        <w:ind w:left="720" w:hanging="720"/>
        <w:rPr>
          <w:rFonts w:ascii="Times New Roman" w:hAnsi="Times New Roman"/>
          <w:color w:val="auto"/>
          <w:sz w:val="24"/>
          <w:szCs w:val="24"/>
          <w:lang w:val="lt-LT"/>
        </w:rPr>
      </w:pPr>
      <w:bookmarkStart w:id="212" w:name="_Toc67925177"/>
      <w:r w:rsidRPr="00650EE4">
        <w:rPr>
          <w:rFonts w:ascii="Times New Roman" w:hAnsi="Times New Roman"/>
          <w:color w:val="auto"/>
          <w:sz w:val="24"/>
          <w:szCs w:val="24"/>
          <w:lang w:val="lt-LT"/>
        </w:rPr>
        <w:t>Efektyvi k</w:t>
      </w:r>
      <w:r w:rsidR="00780473" w:rsidRPr="00650EE4">
        <w:rPr>
          <w:rFonts w:ascii="Times New Roman" w:hAnsi="Times New Roman"/>
          <w:color w:val="auto"/>
          <w:sz w:val="24"/>
          <w:szCs w:val="24"/>
          <w:lang w:val="lt-LT"/>
        </w:rPr>
        <w:t>omunikacija</w:t>
      </w:r>
      <w:bookmarkEnd w:id="212"/>
    </w:p>
    <w:p w14:paraId="73D0E805" w14:textId="77777777" w:rsidR="00C81905" w:rsidRPr="00650EE4" w:rsidRDefault="00C81905" w:rsidP="00C81905">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Komunikacija – vienas esminių renovacijos įgyvendinimo elementų. Net ir įgyvendinus aukščiau aprašytas priemones, pastatų savininkai </w:t>
      </w:r>
      <w:r>
        <w:rPr>
          <w:rFonts w:ascii="Times New Roman" w:hAnsi="Times New Roman"/>
          <w:color w:val="000000" w:themeColor="text1"/>
          <w:szCs w:val="22"/>
        </w:rPr>
        <w:t xml:space="preserve">tikėtina </w:t>
      </w:r>
      <w:r w:rsidRPr="00650EE4">
        <w:rPr>
          <w:rFonts w:ascii="Times New Roman" w:hAnsi="Times New Roman"/>
          <w:color w:val="000000" w:themeColor="text1"/>
          <w:szCs w:val="22"/>
        </w:rPr>
        <w:t xml:space="preserve">nepriims sprendimo renovuoti </w:t>
      </w:r>
      <w:r>
        <w:rPr>
          <w:rFonts w:ascii="Times New Roman" w:hAnsi="Times New Roman"/>
          <w:color w:val="000000" w:themeColor="text1"/>
          <w:szCs w:val="22"/>
        </w:rPr>
        <w:t>būstą, jei neturės informacijos apie renovacijos naudas ir</w:t>
      </w:r>
      <w:r w:rsidRPr="00650EE4">
        <w:rPr>
          <w:rFonts w:ascii="Times New Roman" w:hAnsi="Times New Roman"/>
          <w:color w:val="000000" w:themeColor="text1"/>
          <w:szCs w:val="22"/>
        </w:rPr>
        <w:t xml:space="preserve"> egzistuojančias paramos priemones. Tam, kad pastatų savininkai, kaip naudos gavėjai, būtų informuoti, turi būti vykdoma aiški, sklandi, koordinuota ir savalaikė komunikacija.</w:t>
      </w:r>
    </w:p>
    <w:p w14:paraId="306201F3" w14:textId="77777777" w:rsidR="00C81905" w:rsidRPr="00650EE4" w:rsidRDefault="00C81905" w:rsidP="00C81905">
      <w:pPr>
        <w:jc w:val="both"/>
        <w:rPr>
          <w:rFonts w:ascii="Times New Roman" w:hAnsi="Times New Roman"/>
          <w:color w:val="000000" w:themeColor="text1"/>
          <w:szCs w:val="22"/>
        </w:rPr>
      </w:pPr>
    </w:p>
    <w:p w14:paraId="3AF1A3F7" w14:textId="4E7F5004" w:rsidR="00C81905" w:rsidRDefault="00C81905" w:rsidP="00C81905">
      <w:pPr>
        <w:jc w:val="both"/>
        <w:rPr>
          <w:rFonts w:ascii="Times New Roman" w:hAnsi="Times New Roman"/>
          <w:color w:val="000000" w:themeColor="text1"/>
          <w:szCs w:val="22"/>
        </w:rPr>
      </w:pPr>
      <w:r>
        <w:rPr>
          <w:rFonts w:ascii="Times New Roman" w:hAnsi="Times New Roman"/>
          <w:color w:val="000000" w:themeColor="text1"/>
          <w:szCs w:val="22"/>
        </w:rPr>
        <w:t xml:space="preserve">Komunikacijos svarba išauga ir dėl </w:t>
      </w:r>
      <w:r w:rsidRPr="00650EE4">
        <w:rPr>
          <w:rFonts w:ascii="Times New Roman" w:hAnsi="Times New Roman"/>
          <w:color w:val="000000" w:themeColor="text1"/>
          <w:szCs w:val="22"/>
        </w:rPr>
        <w:t xml:space="preserve">IRS </w:t>
      </w:r>
      <w:r>
        <w:rPr>
          <w:rFonts w:ascii="Times New Roman" w:hAnsi="Times New Roman"/>
          <w:color w:val="000000" w:themeColor="text1"/>
          <w:szCs w:val="22"/>
        </w:rPr>
        <w:t xml:space="preserve">suplanuoto renovacijos proveržio (reikšmingo renovacijos projektų apimčių augimo) apimančio visą pastatų fondą. Rezultate, komunikacijos prasme, tikslinė auditorija išsiplečia </w:t>
      </w:r>
      <w:r w:rsidRPr="00650EE4">
        <w:rPr>
          <w:rFonts w:ascii="Times New Roman" w:hAnsi="Times New Roman"/>
          <w:color w:val="000000" w:themeColor="text1"/>
          <w:szCs w:val="22"/>
        </w:rPr>
        <w:t xml:space="preserve">nuo kelių konkrečių </w:t>
      </w:r>
      <w:r>
        <w:rPr>
          <w:rFonts w:ascii="Times New Roman" w:hAnsi="Times New Roman"/>
          <w:color w:val="000000" w:themeColor="text1"/>
          <w:szCs w:val="22"/>
        </w:rPr>
        <w:t>segmentų</w:t>
      </w:r>
      <w:r w:rsidRPr="00650EE4">
        <w:rPr>
          <w:rFonts w:ascii="Times New Roman" w:hAnsi="Times New Roman"/>
          <w:color w:val="000000" w:themeColor="text1"/>
          <w:szCs w:val="22"/>
        </w:rPr>
        <w:t xml:space="preserve"> (daugiabučių gyventojų ir viešųjų pastatų valdytojų) </w:t>
      </w:r>
      <w:r>
        <w:rPr>
          <w:rFonts w:ascii="Times New Roman" w:hAnsi="Times New Roman"/>
          <w:color w:val="000000" w:themeColor="text1"/>
          <w:szCs w:val="22"/>
        </w:rPr>
        <w:t>iki iš esmės visų būsto savininkų</w:t>
      </w:r>
      <w:r w:rsidRPr="00FD0455">
        <w:rPr>
          <w:rFonts w:ascii="Times New Roman" w:hAnsi="Times New Roman"/>
          <w:color w:val="000000" w:themeColor="text1"/>
          <w:szCs w:val="22"/>
        </w:rPr>
        <w:t xml:space="preserve"> </w:t>
      </w:r>
      <w:r>
        <w:rPr>
          <w:rFonts w:ascii="Times New Roman" w:hAnsi="Times New Roman"/>
          <w:color w:val="000000" w:themeColor="text1"/>
          <w:szCs w:val="22"/>
        </w:rPr>
        <w:t xml:space="preserve">Lietuvoje. </w:t>
      </w:r>
    </w:p>
    <w:p w14:paraId="632C08A7" w14:textId="77777777" w:rsidR="00C81905" w:rsidRDefault="00C81905" w:rsidP="00C81905">
      <w:pPr>
        <w:jc w:val="both"/>
        <w:rPr>
          <w:rFonts w:ascii="Times New Roman" w:hAnsi="Times New Roman"/>
          <w:color w:val="000000" w:themeColor="text1"/>
          <w:szCs w:val="22"/>
        </w:rPr>
      </w:pPr>
    </w:p>
    <w:p w14:paraId="2B54EB46" w14:textId="41E82BA3" w:rsidR="00C81905" w:rsidRDefault="00C81905" w:rsidP="00C81905">
      <w:pPr>
        <w:spacing w:after="120"/>
        <w:jc w:val="both"/>
        <w:rPr>
          <w:rFonts w:ascii="Times New Roman" w:hAnsi="Times New Roman"/>
          <w:color w:val="000000" w:themeColor="text1"/>
          <w:szCs w:val="22"/>
        </w:rPr>
      </w:pPr>
      <w:r>
        <w:rPr>
          <w:rFonts w:ascii="Times New Roman" w:hAnsi="Times New Roman"/>
          <w:color w:val="000000" w:themeColor="text1"/>
          <w:szCs w:val="22"/>
        </w:rPr>
        <w:t xml:space="preserve">Komunikacijos barjerų analizėje (žr. </w:t>
      </w:r>
      <w:r>
        <w:rPr>
          <w:rFonts w:ascii="Times New Roman" w:hAnsi="Times New Roman"/>
          <w:color w:val="000000" w:themeColor="text1"/>
          <w:szCs w:val="22"/>
          <w:lang w:val="en-GB"/>
        </w:rPr>
        <w:t>4</w:t>
      </w:r>
      <w:r>
        <w:rPr>
          <w:rFonts w:ascii="Times New Roman" w:hAnsi="Times New Roman"/>
          <w:color w:val="000000" w:themeColor="text1"/>
          <w:szCs w:val="22"/>
        </w:rPr>
        <w:t>.1.4 skyrių) identifikuoti du esminiai komunikacijos barjerai:</w:t>
      </w:r>
    </w:p>
    <w:p w14:paraId="60850BCD" w14:textId="24A70FF2" w:rsidR="00C81905"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Pr>
          <w:rFonts w:ascii="Times New Roman" w:eastAsia="Times New Roman" w:hAnsi="Times New Roman"/>
          <w:szCs w:val="22"/>
          <w:lang w:val="lt-LT" w:eastAsia="lt-LT"/>
        </w:rPr>
        <w:t>n</w:t>
      </w:r>
      <w:r w:rsidRPr="00FD0455">
        <w:rPr>
          <w:rFonts w:ascii="Times New Roman" w:eastAsia="Times New Roman" w:hAnsi="Times New Roman"/>
          <w:szCs w:val="22"/>
          <w:lang w:val="lt-LT" w:eastAsia="lt-LT"/>
        </w:rPr>
        <w:t xml:space="preserve">epakankama </w:t>
      </w:r>
      <w:r>
        <w:rPr>
          <w:rFonts w:ascii="Times New Roman" w:eastAsia="Times New Roman" w:hAnsi="Times New Roman"/>
          <w:szCs w:val="22"/>
          <w:lang w:val="lt-LT" w:eastAsia="lt-LT"/>
        </w:rPr>
        <w:t>komunikacija</w:t>
      </w:r>
      <w:r w:rsidRPr="00FD0455">
        <w:rPr>
          <w:rFonts w:ascii="Times New Roman" w:eastAsia="Times New Roman" w:hAnsi="Times New Roman"/>
          <w:szCs w:val="22"/>
          <w:lang w:val="lt-LT" w:eastAsia="lt-LT"/>
        </w:rPr>
        <w:t xml:space="preserve"> apie renovacijos neišvengiamumą</w:t>
      </w:r>
      <w:r>
        <w:rPr>
          <w:rFonts w:ascii="Times New Roman" w:eastAsia="Times New Roman" w:hAnsi="Times New Roman"/>
          <w:szCs w:val="22"/>
          <w:lang w:val="lt-LT" w:eastAsia="lt-LT"/>
        </w:rPr>
        <w:t xml:space="preserve">; </w:t>
      </w:r>
    </w:p>
    <w:p w14:paraId="3BBAFDEB" w14:textId="381B7C4C" w:rsidR="00780473" w:rsidRPr="00C81905"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Pr>
          <w:rFonts w:ascii="Times New Roman" w:eastAsia="Times New Roman" w:hAnsi="Times New Roman"/>
          <w:szCs w:val="22"/>
          <w:lang w:val="lt-LT" w:eastAsia="lt-LT"/>
        </w:rPr>
        <w:t>n</w:t>
      </w:r>
      <w:r w:rsidRPr="00C81905">
        <w:rPr>
          <w:rFonts w:ascii="Times New Roman" w:eastAsia="Times New Roman" w:hAnsi="Times New Roman"/>
          <w:szCs w:val="22"/>
          <w:lang w:val="lt-LT" w:eastAsia="lt-LT"/>
        </w:rPr>
        <w:t xml:space="preserve">epakankama </w:t>
      </w:r>
      <w:r>
        <w:rPr>
          <w:rFonts w:ascii="Times New Roman" w:eastAsia="Times New Roman" w:hAnsi="Times New Roman"/>
          <w:szCs w:val="22"/>
          <w:lang w:val="lt-LT" w:eastAsia="lt-LT"/>
        </w:rPr>
        <w:t>komunika</w:t>
      </w:r>
      <w:r w:rsidRPr="00C81905">
        <w:rPr>
          <w:rFonts w:ascii="Times New Roman" w:eastAsia="Times New Roman" w:hAnsi="Times New Roman"/>
          <w:szCs w:val="22"/>
          <w:lang w:val="lt-LT" w:eastAsia="lt-LT"/>
        </w:rPr>
        <w:t>cija apie renovacijos teikiamas naudas</w:t>
      </w:r>
      <w:r>
        <w:rPr>
          <w:rFonts w:ascii="Times New Roman" w:eastAsia="Times New Roman" w:hAnsi="Times New Roman"/>
          <w:szCs w:val="22"/>
          <w:lang w:val="lt-LT" w:eastAsia="lt-LT"/>
        </w:rPr>
        <w:t>.</w:t>
      </w:r>
    </w:p>
    <w:p w14:paraId="40C5801E" w14:textId="77777777" w:rsidR="00C81905" w:rsidRPr="00650EE4" w:rsidRDefault="00C81905" w:rsidP="00780473">
      <w:pPr>
        <w:rPr>
          <w:rFonts w:ascii="Times New Roman" w:hAnsi="Times New Roman"/>
          <w:color w:val="000000" w:themeColor="text1"/>
          <w:szCs w:val="22"/>
        </w:rPr>
      </w:pPr>
    </w:p>
    <w:p w14:paraId="0FABE8D4" w14:textId="36DED6AD" w:rsidR="00780473" w:rsidRPr="00650EE4" w:rsidRDefault="00780473"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7</w:t>
      </w:r>
      <w:r w:rsidRPr="00650EE4">
        <w:rPr>
          <w:rFonts w:ascii="Times New Roman" w:hAnsi="Times New Roman"/>
          <w:b/>
          <w:bCs/>
          <w:szCs w:val="24"/>
        </w:rPr>
        <w:t xml:space="preserve">. Komunikacija apie renovacijos </w:t>
      </w:r>
      <w:r w:rsidR="00805B88">
        <w:rPr>
          <w:rFonts w:ascii="Times New Roman" w:hAnsi="Times New Roman"/>
          <w:b/>
          <w:bCs/>
          <w:szCs w:val="24"/>
        </w:rPr>
        <w:t>rodiklius</w:t>
      </w:r>
      <w:r w:rsidRPr="00650EE4">
        <w:rPr>
          <w:rFonts w:ascii="Times New Roman" w:hAnsi="Times New Roman"/>
          <w:b/>
          <w:bCs/>
          <w:szCs w:val="24"/>
        </w:rPr>
        <w:t xml:space="preserve"> ir neišvengiamumą</w:t>
      </w:r>
    </w:p>
    <w:p w14:paraId="66C67300" w14:textId="77777777" w:rsidR="00AC0C3F" w:rsidRPr="00650EE4" w:rsidRDefault="00AC0C3F" w:rsidP="00AC0C3F">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Ž</w:t>
      </w:r>
      <w:r w:rsidRPr="00650EE4">
        <w:rPr>
          <w:rFonts w:ascii="Times New Roman" w:hAnsi="Times New Roman"/>
          <w:color w:val="000000" w:themeColor="text1"/>
          <w:szCs w:val="22"/>
          <w:lang w:val="lt-LT"/>
        </w:rPr>
        <w:t xml:space="preserve">emo energinio </w:t>
      </w:r>
      <w:r>
        <w:rPr>
          <w:rFonts w:ascii="Times New Roman" w:hAnsi="Times New Roman"/>
          <w:color w:val="000000" w:themeColor="text1"/>
          <w:szCs w:val="22"/>
          <w:lang w:val="lt-LT"/>
        </w:rPr>
        <w:t xml:space="preserve">efektyvumo pastatų fondo daliai, </w:t>
      </w:r>
      <w:r w:rsidRPr="00650EE4">
        <w:rPr>
          <w:rFonts w:ascii="Times New Roman" w:hAnsi="Times New Roman"/>
          <w:color w:val="000000" w:themeColor="text1"/>
          <w:szCs w:val="22"/>
          <w:lang w:val="lt-LT"/>
        </w:rPr>
        <w:t>ilgalaikėje perspektyvoje</w:t>
      </w:r>
      <w:r>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 xml:space="preserve">iš esmės </w:t>
      </w:r>
      <w:r w:rsidRPr="00650EE4">
        <w:rPr>
          <w:rFonts w:ascii="Times New Roman" w:hAnsi="Times New Roman"/>
          <w:color w:val="000000" w:themeColor="text1"/>
          <w:szCs w:val="22"/>
          <w:lang w:val="lt-LT"/>
        </w:rPr>
        <w:t>nėra pasirinkimo dalyvauti renovacijoje ar ne. Esminiai neišvengiamumą sąlygojantys veiksniai:</w:t>
      </w:r>
    </w:p>
    <w:p w14:paraId="6636C09B" w14:textId="75A17F97" w:rsidR="00AC0C3F" w:rsidRPr="00650EE4" w:rsidRDefault="00024F67"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AC0C3F" w:rsidRPr="00650EE4">
        <w:rPr>
          <w:rFonts w:ascii="Times New Roman" w:hAnsi="Times New Roman"/>
          <w:color w:val="000000" w:themeColor="text1"/>
          <w:szCs w:val="22"/>
          <w:lang w:val="lt-LT"/>
        </w:rPr>
        <w:t>rasta didžiosios dalies pastatų techninė būklė (iki 2050 m. dalį pastatų bet kokiu atveju teks renovuoti, klausimas tik ar pasinaudojant val</w:t>
      </w:r>
      <w:r w:rsidR="003240E9">
        <w:rPr>
          <w:rFonts w:ascii="Times New Roman" w:hAnsi="Times New Roman"/>
          <w:color w:val="000000" w:themeColor="text1"/>
          <w:szCs w:val="22"/>
          <w:lang w:val="lt-LT"/>
        </w:rPr>
        <w:t>stybės teikiamomis priemonėmis ar ne);</w:t>
      </w:r>
    </w:p>
    <w:p w14:paraId="5D87F2F1" w14:textId="4FD6575C" w:rsidR="00AC0C3F" w:rsidRPr="00650EE4" w:rsidRDefault="00AC0C3F" w:rsidP="00BD4925">
      <w:pPr>
        <w:pStyle w:val="BodyText"/>
        <w:numPr>
          <w:ilvl w:val="0"/>
          <w:numId w:val="60"/>
        </w:numPr>
        <w:spacing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Lietuva, kaip ES šalis </w:t>
      </w:r>
      <w:r w:rsidR="003240E9">
        <w:rPr>
          <w:rFonts w:ascii="Times New Roman" w:hAnsi="Times New Roman"/>
          <w:color w:val="000000" w:themeColor="text1"/>
          <w:szCs w:val="22"/>
          <w:lang w:val="lt-LT"/>
        </w:rPr>
        <w:t>turi</w:t>
      </w:r>
      <w:r w:rsidRPr="00650EE4">
        <w:rPr>
          <w:rFonts w:ascii="Times New Roman" w:hAnsi="Times New Roman"/>
          <w:color w:val="000000" w:themeColor="text1"/>
          <w:szCs w:val="22"/>
          <w:lang w:val="lt-LT"/>
        </w:rPr>
        <w:t xml:space="preserve"> vykdyti ES strateginių dokumentų (Reglamentų, Žaliojo kurso ir pan.) nuostatas. ES įpareigoji</w:t>
      </w:r>
      <w:r w:rsidR="003240E9">
        <w:rPr>
          <w:rFonts w:ascii="Times New Roman" w:hAnsi="Times New Roman"/>
          <w:color w:val="000000" w:themeColor="text1"/>
          <w:szCs w:val="22"/>
          <w:lang w:val="lt-LT"/>
        </w:rPr>
        <w:t>mų vykdymas yra buvimo ES dalis;</w:t>
      </w:r>
      <w:r w:rsidRPr="00650EE4">
        <w:rPr>
          <w:rFonts w:ascii="Times New Roman" w:hAnsi="Times New Roman"/>
          <w:color w:val="000000" w:themeColor="text1"/>
          <w:szCs w:val="22"/>
          <w:lang w:val="lt-LT"/>
        </w:rPr>
        <w:t xml:space="preserve"> </w:t>
      </w:r>
    </w:p>
    <w:p w14:paraId="437FF253" w14:textId="421058C2" w:rsidR="00AC0C3F" w:rsidRPr="00650EE4" w:rsidRDefault="003240E9" w:rsidP="00BD4925">
      <w:pPr>
        <w:pStyle w:val="BodyText"/>
        <w:numPr>
          <w:ilvl w:val="0"/>
          <w:numId w:val="60"/>
        </w:numPr>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AC0C3F" w:rsidRPr="00650EE4">
        <w:rPr>
          <w:rFonts w:ascii="Times New Roman" w:hAnsi="Times New Roman"/>
          <w:color w:val="000000" w:themeColor="text1"/>
          <w:szCs w:val="22"/>
          <w:lang w:val="lt-LT"/>
        </w:rPr>
        <w:t xml:space="preserve">titinkamai, šalia skatinamųjų priemonių motyvuojančių dalyvauti renovacijoje neišvengiamai atsiras ir drausminančios priemonės (taršos mokesčiai, ribojimai </w:t>
      </w:r>
      <w:r>
        <w:rPr>
          <w:rFonts w:ascii="Times New Roman" w:hAnsi="Times New Roman"/>
          <w:color w:val="000000" w:themeColor="text1"/>
          <w:szCs w:val="22"/>
          <w:lang w:val="lt-LT"/>
        </w:rPr>
        <w:t>nuomoti / parduoti</w:t>
      </w:r>
      <w:r w:rsidRPr="00650EE4">
        <w:rPr>
          <w:rFonts w:ascii="Times New Roman" w:hAnsi="Times New Roman"/>
          <w:color w:val="000000" w:themeColor="text1"/>
          <w:szCs w:val="22"/>
          <w:lang w:val="lt-LT"/>
        </w:rPr>
        <w:t xml:space="preserve"> </w:t>
      </w:r>
      <w:r w:rsidR="00AC0C3F" w:rsidRPr="00650EE4">
        <w:rPr>
          <w:rFonts w:ascii="Times New Roman" w:hAnsi="Times New Roman"/>
          <w:color w:val="000000" w:themeColor="text1"/>
          <w:szCs w:val="22"/>
          <w:lang w:val="lt-LT"/>
        </w:rPr>
        <w:t xml:space="preserve">neefektyvius pastatus ir pan.) skirtos valdyti neatsakingą ir neracionalią pastatų savininkų elgseną. </w:t>
      </w:r>
    </w:p>
    <w:p w14:paraId="1E802DC6" w14:textId="77777777" w:rsidR="00AC0C3F" w:rsidRPr="00650EE4" w:rsidRDefault="00AC0C3F" w:rsidP="00AC0C3F">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Pr="00650EE4">
        <w:rPr>
          <w:rFonts w:ascii="Times New Roman" w:hAnsi="Times New Roman"/>
          <w:color w:val="000000" w:themeColor="text1"/>
          <w:szCs w:val="22"/>
          <w:lang w:val="lt-LT"/>
        </w:rPr>
        <w:t>omunikacija apie renovacijos neišvengiamumą turėtų būti orientuota į du segmentus:</w:t>
      </w:r>
    </w:p>
    <w:p w14:paraId="3668D3AE" w14:textId="48909B76" w:rsidR="00AC0C3F" w:rsidRPr="00650EE4"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AC0C3F" w:rsidRPr="00650EE4">
        <w:rPr>
          <w:rFonts w:ascii="Times New Roman" w:hAnsi="Times New Roman"/>
          <w:color w:val="000000" w:themeColor="text1"/>
          <w:szCs w:val="22"/>
          <w:lang w:val="lt-LT"/>
        </w:rPr>
        <w:t>astatų savininkus (motyvuojant juos dalyvauti)</w:t>
      </w:r>
      <w:r>
        <w:rPr>
          <w:rFonts w:ascii="Times New Roman" w:hAnsi="Times New Roman"/>
          <w:color w:val="000000" w:themeColor="text1"/>
          <w:szCs w:val="22"/>
          <w:lang w:val="lt-LT"/>
        </w:rPr>
        <w:t>;</w:t>
      </w:r>
    </w:p>
    <w:p w14:paraId="6E8D9060" w14:textId="6EA8E0FF" w:rsidR="00AC0C3F" w:rsidRPr="00650EE4"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AC0C3F" w:rsidRPr="00650EE4">
        <w:rPr>
          <w:rFonts w:ascii="Times New Roman" w:hAnsi="Times New Roman"/>
          <w:color w:val="000000" w:themeColor="text1"/>
          <w:szCs w:val="22"/>
          <w:lang w:val="lt-LT"/>
        </w:rPr>
        <w:t xml:space="preserve">tatybos, projektavimo, finansavimo ir kitų renovacijoje dalyvaujančių suinteresuotų šalių atstovus (suteikiant užtikrinimą, kad valstybės politika šiuo klausimu yra aiški, įpareigojanti ir ilgalaikė). </w:t>
      </w:r>
    </w:p>
    <w:p w14:paraId="72E7729C" w14:textId="7DBA586A" w:rsidR="00AD487D" w:rsidRPr="00AC0C3F" w:rsidRDefault="00AC0C3F" w:rsidP="00AC0C3F">
      <w:pPr>
        <w:pStyle w:val="BodyText"/>
        <w:spacing w:before="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Tokiu būdu būtų </w:t>
      </w:r>
      <w:r>
        <w:rPr>
          <w:rFonts w:ascii="Times New Roman" w:hAnsi="Times New Roman"/>
          <w:color w:val="000000" w:themeColor="text1"/>
          <w:szCs w:val="22"/>
          <w:lang w:val="lt-LT"/>
        </w:rPr>
        <w:t xml:space="preserve">skleidžiama žinia, </w:t>
      </w:r>
      <w:r w:rsidRPr="00650EE4">
        <w:rPr>
          <w:rFonts w:ascii="Times New Roman" w:hAnsi="Times New Roman"/>
          <w:color w:val="000000" w:themeColor="text1"/>
          <w:szCs w:val="22"/>
          <w:lang w:val="lt-LT"/>
        </w:rPr>
        <w:t xml:space="preserve">kad valstybė yra įsipareigojusi </w:t>
      </w:r>
      <w:r>
        <w:rPr>
          <w:rFonts w:ascii="Times New Roman" w:hAnsi="Times New Roman"/>
          <w:color w:val="000000" w:themeColor="text1"/>
          <w:szCs w:val="22"/>
          <w:lang w:val="lt-LT"/>
        </w:rPr>
        <w:t xml:space="preserve">siekti IRS numatytų </w:t>
      </w:r>
      <w:r w:rsidR="00805B88">
        <w:rPr>
          <w:rFonts w:ascii="Times New Roman" w:hAnsi="Times New Roman"/>
          <w:color w:val="000000" w:themeColor="text1"/>
          <w:szCs w:val="22"/>
          <w:lang w:val="lt-LT"/>
        </w:rPr>
        <w:t>rodiklių</w:t>
      </w:r>
      <w:r>
        <w:rPr>
          <w:rFonts w:ascii="Times New Roman" w:hAnsi="Times New Roman"/>
          <w:color w:val="000000" w:themeColor="text1"/>
          <w:szCs w:val="22"/>
          <w:lang w:val="lt-LT"/>
        </w:rPr>
        <w:t>, numato suteikti tam</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reikalingą paramą, tačiau, tuo pat metu numato ir drausminančias priemones už nustatytos krypties nesilaikymą.</w:t>
      </w:r>
    </w:p>
    <w:p w14:paraId="3E9EA255" w14:textId="77777777" w:rsidR="00AC0C3F" w:rsidRPr="00650EE4" w:rsidRDefault="00AC0C3F" w:rsidP="00AD487D">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780473" w:rsidRPr="00650EE4" w14:paraId="700DA7AC" w14:textId="77777777" w:rsidTr="00492041">
        <w:trPr>
          <w:trHeight w:val="244"/>
        </w:trPr>
        <w:tc>
          <w:tcPr>
            <w:tcW w:w="3114" w:type="dxa"/>
          </w:tcPr>
          <w:p w14:paraId="0D64212E"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6A2A33AF" w14:textId="1554EEC5" w:rsidR="00780473" w:rsidRPr="00650EE4" w:rsidRDefault="00790E7D" w:rsidP="00790E7D">
            <w:pPr>
              <w:spacing w:after="60"/>
              <w:rPr>
                <w:rFonts w:ascii="Times New Roman" w:hAnsi="Times New Roman"/>
                <w:szCs w:val="22"/>
                <w:lang w:eastAsia="lt-LT"/>
              </w:rPr>
            </w:pPr>
            <w:r w:rsidRPr="00650EE4">
              <w:rPr>
                <w:rFonts w:ascii="Times New Roman" w:hAnsi="Times New Roman"/>
                <w:szCs w:val="22"/>
                <w:lang w:eastAsia="lt-LT"/>
              </w:rPr>
              <w:t xml:space="preserve">B14. Nepakankama informacija </w:t>
            </w:r>
            <w:r w:rsidR="003240E9">
              <w:rPr>
                <w:rFonts w:ascii="Times New Roman" w:hAnsi="Times New Roman"/>
                <w:szCs w:val="22"/>
                <w:lang w:eastAsia="lt-LT"/>
              </w:rPr>
              <w:t>apie renovacijos neišvengiamumą</w:t>
            </w:r>
          </w:p>
        </w:tc>
      </w:tr>
      <w:tr w:rsidR="00780473" w:rsidRPr="00650EE4" w14:paraId="2C38636F" w14:textId="77777777" w:rsidTr="00492041">
        <w:trPr>
          <w:trHeight w:val="67"/>
        </w:trPr>
        <w:tc>
          <w:tcPr>
            <w:tcW w:w="3114" w:type="dxa"/>
          </w:tcPr>
          <w:p w14:paraId="56E66F4A"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614842D2" w14:textId="77777777" w:rsidR="00780473" w:rsidRPr="00650EE4" w:rsidRDefault="00780473" w:rsidP="00492041">
            <w:pPr>
              <w:spacing w:after="60"/>
              <w:rPr>
                <w:rFonts w:ascii="Times New Roman" w:hAnsi="Times New Roman"/>
                <w:szCs w:val="22"/>
                <w:lang w:eastAsia="lt-LT"/>
              </w:rPr>
            </w:pPr>
            <w:r w:rsidRPr="00650EE4">
              <w:rPr>
                <w:rFonts w:ascii="Times New Roman" w:hAnsi="Times New Roman"/>
                <w:szCs w:val="22"/>
                <w:lang w:eastAsia="lt-LT"/>
              </w:rPr>
              <w:t>IRS komunikacijos strategijos parengimas</w:t>
            </w:r>
          </w:p>
        </w:tc>
      </w:tr>
      <w:tr w:rsidR="00780473" w:rsidRPr="00650EE4" w14:paraId="7BA8EF4D" w14:textId="77777777" w:rsidTr="00492041">
        <w:trPr>
          <w:trHeight w:val="45"/>
        </w:trPr>
        <w:tc>
          <w:tcPr>
            <w:tcW w:w="3114" w:type="dxa"/>
          </w:tcPr>
          <w:p w14:paraId="0A4B5772"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76653C9" w14:textId="77777777" w:rsidR="00780473" w:rsidRPr="00650EE4" w:rsidRDefault="00780473"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780473" w:rsidRPr="00650EE4" w14:paraId="1A8D7740" w14:textId="77777777" w:rsidTr="00492041">
        <w:trPr>
          <w:trHeight w:val="45"/>
        </w:trPr>
        <w:tc>
          <w:tcPr>
            <w:tcW w:w="3114" w:type="dxa"/>
          </w:tcPr>
          <w:p w14:paraId="1AF16066"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90BF39C" w14:textId="77777777" w:rsidR="00780473" w:rsidRPr="00650EE4" w:rsidRDefault="00780473" w:rsidP="00492041">
            <w:pPr>
              <w:spacing w:after="60"/>
              <w:rPr>
                <w:rFonts w:ascii="Times New Roman" w:hAnsi="Times New Roman"/>
                <w:szCs w:val="22"/>
                <w:lang w:eastAsia="lt-LT"/>
              </w:rPr>
            </w:pPr>
            <w:r w:rsidRPr="00650EE4">
              <w:rPr>
                <w:rFonts w:ascii="Times New Roman" w:hAnsi="Times New Roman"/>
                <w:szCs w:val="22"/>
                <w:lang w:eastAsia="lt-LT"/>
              </w:rPr>
              <w:t>Trumpas-ilgas laikotarpis</w:t>
            </w:r>
          </w:p>
        </w:tc>
      </w:tr>
    </w:tbl>
    <w:p w14:paraId="5C106A3E" w14:textId="77777777" w:rsidR="00B82773" w:rsidRPr="00650EE4" w:rsidRDefault="00B82773" w:rsidP="00780473">
      <w:pPr>
        <w:rPr>
          <w:rFonts w:ascii="Times New Roman" w:hAnsi="Times New Roman"/>
          <w:color w:val="000000" w:themeColor="text1"/>
          <w:szCs w:val="22"/>
        </w:rPr>
      </w:pPr>
    </w:p>
    <w:p w14:paraId="4BF2C469" w14:textId="77777777" w:rsidR="00FD1D6D" w:rsidRPr="00650EE4" w:rsidRDefault="00FD1D6D" w:rsidP="00780473">
      <w:pPr>
        <w:rPr>
          <w:rFonts w:ascii="Times New Roman" w:hAnsi="Times New Roman"/>
          <w:color w:val="000000" w:themeColor="text1"/>
          <w:szCs w:val="22"/>
        </w:rPr>
      </w:pPr>
    </w:p>
    <w:p w14:paraId="539B48B5" w14:textId="0C77AFE1" w:rsidR="00780473" w:rsidRPr="00650EE4" w:rsidRDefault="00780473"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8</w:t>
      </w:r>
      <w:r w:rsidRPr="00650EE4">
        <w:rPr>
          <w:rFonts w:ascii="Times New Roman" w:hAnsi="Times New Roman"/>
          <w:b/>
          <w:bCs/>
          <w:szCs w:val="24"/>
        </w:rPr>
        <w:t>. Komunikacija apie renovacijos naudas priemones</w:t>
      </w:r>
    </w:p>
    <w:p w14:paraId="6542F972" w14:textId="77777777" w:rsidR="003240E9" w:rsidRPr="00650EE4" w:rsidRDefault="003240E9" w:rsidP="003240E9">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Savininko investicija yra finansinė, tuo tarpu renovacijos teikiamos naudos yra daugialypės (ne tik energijos </w:t>
      </w:r>
      <w:r>
        <w:rPr>
          <w:rFonts w:ascii="Times New Roman" w:hAnsi="Times New Roman"/>
          <w:color w:val="000000" w:themeColor="text1"/>
          <w:szCs w:val="22"/>
          <w:lang w:val="lt-LT"/>
        </w:rPr>
        <w:t>išlaidų sutaupymas</w:t>
      </w:r>
      <w:r w:rsidRPr="00650EE4">
        <w:rPr>
          <w:rFonts w:ascii="Times New Roman" w:hAnsi="Times New Roman"/>
          <w:color w:val="000000" w:themeColor="text1"/>
          <w:szCs w:val="22"/>
          <w:lang w:val="lt-LT"/>
        </w:rPr>
        <w:t>, bet ir būsto vertės padidėjimas, geresnė socialinė aplinka, pagerėjusi sveikata, pastato saugumas ir pan.). Atitinkamai, tam, kad pastato savininkas tikėtų renovacijos nauda, jis turi būti informuotas apie visą renovacijos galimybių ir naudų spektrą. Tai ypač aktualu tuomet, kai dėl nepilnų kaštų įtraukimo</w:t>
      </w:r>
      <w:r>
        <w:rPr>
          <w:rFonts w:ascii="Times New Roman" w:hAnsi="Times New Roman"/>
          <w:color w:val="000000" w:themeColor="text1"/>
          <w:szCs w:val="22"/>
          <w:lang w:val="lt-LT"/>
        </w:rPr>
        <w:t xml:space="preserve"> energijos kaina yra žema</w:t>
      </w:r>
      <w:r w:rsidRPr="00650EE4">
        <w:rPr>
          <w:rFonts w:ascii="Times New Roman" w:hAnsi="Times New Roman"/>
          <w:color w:val="000000" w:themeColor="text1"/>
          <w:szCs w:val="22"/>
          <w:lang w:val="lt-LT"/>
        </w:rPr>
        <w:t xml:space="preserve"> ir rezultate fi</w:t>
      </w:r>
      <w:r>
        <w:rPr>
          <w:rFonts w:ascii="Times New Roman" w:hAnsi="Times New Roman"/>
          <w:color w:val="000000" w:themeColor="text1"/>
          <w:szCs w:val="22"/>
          <w:lang w:val="lt-LT"/>
        </w:rPr>
        <w:t>nansinės renovacijos naudos nekuria</w:t>
      </w:r>
      <w:r w:rsidRPr="00650EE4">
        <w:rPr>
          <w:rFonts w:ascii="Times New Roman" w:hAnsi="Times New Roman"/>
          <w:color w:val="000000" w:themeColor="text1"/>
          <w:szCs w:val="22"/>
          <w:lang w:val="lt-LT"/>
        </w:rPr>
        <w:t xml:space="preserve"> pakankam</w:t>
      </w:r>
      <w:r>
        <w:rPr>
          <w:rFonts w:ascii="Times New Roman" w:hAnsi="Times New Roman"/>
          <w:color w:val="000000" w:themeColor="text1"/>
          <w:szCs w:val="22"/>
          <w:lang w:val="lt-LT"/>
        </w:rPr>
        <w:t xml:space="preserve">os motyvacijos </w:t>
      </w:r>
      <w:r w:rsidRPr="00650EE4">
        <w:rPr>
          <w:rFonts w:ascii="Times New Roman" w:hAnsi="Times New Roman"/>
          <w:color w:val="000000" w:themeColor="text1"/>
          <w:szCs w:val="22"/>
          <w:lang w:val="lt-LT"/>
        </w:rPr>
        <w:t xml:space="preserve">dalyvauti renovacijoje. </w:t>
      </w:r>
    </w:p>
    <w:p w14:paraId="55688093" w14:textId="77777777" w:rsidR="003240E9" w:rsidRDefault="003240E9" w:rsidP="003240E9">
      <w:pPr>
        <w:rPr>
          <w:rFonts w:ascii="Times New Roman" w:hAnsi="Times New Roman"/>
          <w:color w:val="000000" w:themeColor="text1"/>
          <w:szCs w:val="22"/>
        </w:rPr>
      </w:pPr>
    </w:p>
    <w:p w14:paraId="25197267" w14:textId="77777777" w:rsidR="003240E9" w:rsidRDefault="003240E9" w:rsidP="003240E9">
      <w:pPr>
        <w:spacing w:after="120"/>
        <w:jc w:val="both"/>
        <w:rPr>
          <w:rFonts w:ascii="Times New Roman" w:hAnsi="Times New Roman"/>
          <w:color w:val="000000" w:themeColor="text1"/>
          <w:szCs w:val="22"/>
        </w:rPr>
      </w:pPr>
      <w:r>
        <w:rPr>
          <w:rFonts w:ascii="Times New Roman" w:hAnsi="Times New Roman"/>
          <w:color w:val="000000" w:themeColor="text1"/>
          <w:szCs w:val="22"/>
        </w:rPr>
        <w:t>Mūsų vertinimu, komunikacija galėtų būti organizuojama dviem lygiais:</w:t>
      </w:r>
    </w:p>
    <w:p w14:paraId="021E4935" w14:textId="0075AC2F" w:rsidR="003240E9"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 xml:space="preserve">nacionaliniu lygmeniu ir tam skirtais komunikacijos kanalais pateikiama informacija aktuali visai tikslinei auditorijai (pvz. „sėkmės istorijos“, renovacijos naudos ir pan.); </w:t>
      </w:r>
    </w:p>
    <w:p w14:paraId="2E6943D8" w14:textId="0058154A" w:rsidR="00AD487D" w:rsidRPr="003240E9"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3240E9">
        <w:rPr>
          <w:rFonts w:ascii="Times New Roman" w:hAnsi="Times New Roman"/>
          <w:color w:val="000000" w:themeColor="text1"/>
          <w:szCs w:val="22"/>
          <w:lang w:val="lt-LT"/>
        </w:rPr>
        <w:t>avivaldos lygmeniu ir tam skirtais komunika</w:t>
      </w:r>
      <w:r>
        <w:rPr>
          <w:rFonts w:ascii="Times New Roman" w:hAnsi="Times New Roman"/>
          <w:color w:val="000000" w:themeColor="text1"/>
          <w:szCs w:val="22"/>
          <w:lang w:val="lt-LT"/>
        </w:rPr>
        <w:t>cijos kanalais pateikiama infor</w:t>
      </w:r>
      <w:r w:rsidRPr="003240E9">
        <w:rPr>
          <w:rFonts w:ascii="Times New Roman" w:hAnsi="Times New Roman"/>
          <w:color w:val="000000" w:themeColor="text1"/>
          <w:szCs w:val="22"/>
          <w:lang w:val="lt-LT"/>
        </w:rPr>
        <w:t>m</w:t>
      </w:r>
      <w:r>
        <w:rPr>
          <w:rFonts w:ascii="Times New Roman" w:hAnsi="Times New Roman"/>
          <w:color w:val="000000" w:themeColor="text1"/>
          <w:szCs w:val="22"/>
          <w:lang w:val="lt-LT"/>
        </w:rPr>
        <w:t>a</w:t>
      </w:r>
      <w:r w:rsidRPr="003240E9">
        <w:rPr>
          <w:rFonts w:ascii="Times New Roman" w:hAnsi="Times New Roman"/>
          <w:color w:val="000000" w:themeColor="text1"/>
          <w:szCs w:val="22"/>
          <w:lang w:val="lt-LT"/>
        </w:rPr>
        <w:t>cija aktuali tikslinei tos savivaldybės auditorijai, atsižvelgiant į pastatų fondo specifiką, namų ūkių poreikius ir galimybes ir pan.</w:t>
      </w:r>
    </w:p>
    <w:p w14:paraId="2C1964F6" w14:textId="77777777" w:rsidR="003240E9" w:rsidRPr="00650EE4" w:rsidRDefault="003240E9" w:rsidP="00AD487D">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780473" w:rsidRPr="00650EE4" w14:paraId="7065534F" w14:textId="77777777" w:rsidTr="00492041">
        <w:trPr>
          <w:trHeight w:val="45"/>
        </w:trPr>
        <w:tc>
          <w:tcPr>
            <w:tcW w:w="3114" w:type="dxa"/>
          </w:tcPr>
          <w:p w14:paraId="22EA20BA"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2660F35F" w14:textId="3B3DA114" w:rsidR="00780473" w:rsidRPr="00650EE4" w:rsidRDefault="00D22997" w:rsidP="005A369A">
            <w:pPr>
              <w:spacing w:after="60"/>
              <w:rPr>
                <w:rFonts w:ascii="Times New Roman" w:hAnsi="Times New Roman"/>
                <w:szCs w:val="22"/>
                <w:lang w:eastAsia="lt-LT"/>
              </w:rPr>
            </w:pPr>
            <w:r w:rsidRPr="00650EE4">
              <w:rPr>
                <w:rFonts w:ascii="Times New Roman" w:hAnsi="Times New Roman"/>
                <w:szCs w:val="22"/>
                <w:lang w:eastAsia="lt-LT"/>
              </w:rPr>
              <w:t>B13. Nepakankama informacija apie renovacijos teikiamas naudas</w:t>
            </w:r>
          </w:p>
        </w:tc>
      </w:tr>
      <w:tr w:rsidR="00780473" w:rsidRPr="00650EE4" w14:paraId="28526344" w14:textId="77777777" w:rsidTr="00492041">
        <w:trPr>
          <w:trHeight w:val="92"/>
        </w:trPr>
        <w:tc>
          <w:tcPr>
            <w:tcW w:w="3114" w:type="dxa"/>
          </w:tcPr>
          <w:p w14:paraId="7A39E8B2"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AA0DD31" w14:textId="77777777" w:rsidR="00780473" w:rsidRPr="00650EE4" w:rsidRDefault="00780473" w:rsidP="005A369A">
            <w:pPr>
              <w:spacing w:after="60"/>
              <w:rPr>
                <w:rFonts w:ascii="Times New Roman" w:hAnsi="Times New Roman"/>
                <w:szCs w:val="22"/>
                <w:lang w:eastAsia="lt-LT"/>
              </w:rPr>
            </w:pPr>
            <w:r w:rsidRPr="00650EE4">
              <w:rPr>
                <w:rFonts w:ascii="Times New Roman" w:hAnsi="Times New Roman"/>
                <w:szCs w:val="22"/>
                <w:lang w:eastAsia="lt-LT"/>
              </w:rPr>
              <w:t>IRS komunikacijos strategijos parengimas</w:t>
            </w:r>
          </w:p>
        </w:tc>
      </w:tr>
      <w:tr w:rsidR="00780473" w:rsidRPr="00650EE4" w14:paraId="4FC4019D" w14:textId="77777777" w:rsidTr="00492041">
        <w:trPr>
          <w:trHeight w:val="54"/>
        </w:trPr>
        <w:tc>
          <w:tcPr>
            <w:tcW w:w="3114" w:type="dxa"/>
          </w:tcPr>
          <w:p w14:paraId="7BB6DF99"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1ACDDC1" w14:textId="77777777" w:rsidR="00780473" w:rsidRPr="00650EE4" w:rsidRDefault="00780473" w:rsidP="005A369A">
            <w:pPr>
              <w:spacing w:after="60"/>
              <w:rPr>
                <w:rFonts w:ascii="Times New Roman" w:hAnsi="Times New Roman"/>
                <w:szCs w:val="22"/>
                <w:lang w:eastAsia="lt-LT"/>
              </w:rPr>
            </w:pPr>
            <w:r w:rsidRPr="00650EE4">
              <w:rPr>
                <w:rFonts w:ascii="Times New Roman" w:hAnsi="Times New Roman"/>
                <w:szCs w:val="22"/>
                <w:lang w:eastAsia="lt-LT"/>
              </w:rPr>
              <w:t>Aukštas</w:t>
            </w:r>
          </w:p>
        </w:tc>
      </w:tr>
      <w:tr w:rsidR="00780473" w:rsidRPr="00650EE4" w14:paraId="08BC6247" w14:textId="77777777" w:rsidTr="00492041">
        <w:trPr>
          <w:trHeight w:val="45"/>
        </w:trPr>
        <w:tc>
          <w:tcPr>
            <w:tcW w:w="3114" w:type="dxa"/>
          </w:tcPr>
          <w:p w14:paraId="2D7ECF55"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4E4CDE9" w14:textId="77777777" w:rsidR="00780473" w:rsidRPr="00650EE4" w:rsidRDefault="00780473" w:rsidP="005A369A">
            <w:pPr>
              <w:spacing w:after="60"/>
              <w:rPr>
                <w:rFonts w:ascii="Times New Roman" w:hAnsi="Times New Roman"/>
                <w:szCs w:val="22"/>
                <w:lang w:eastAsia="lt-LT"/>
              </w:rPr>
            </w:pPr>
            <w:r w:rsidRPr="00650EE4">
              <w:rPr>
                <w:rFonts w:ascii="Times New Roman" w:hAnsi="Times New Roman"/>
                <w:szCs w:val="22"/>
                <w:lang w:eastAsia="lt-LT"/>
              </w:rPr>
              <w:t>Trumpas-ilgas laikotarpis</w:t>
            </w:r>
          </w:p>
        </w:tc>
      </w:tr>
    </w:tbl>
    <w:p w14:paraId="32E0F656" w14:textId="77777777" w:rsidR="00780473" w:rsidRPr="00650EE4" w:rsidRDefault="00780473" w:rsidP="00780473">
      <w:pPr>
        <w:pStyle w:val="Pagrindinispaprastastekstas"/>
        <w:rPr>
          <w:rFonts w:ascii="Times New Roman" w:eastAsiaTheme="minorHAnsi" w:hAnsi="Times New Roman"/>
          <w:szCs w:val="22"/>
        </w:rPr>
      </w:pPr>
    </w:p>
    <w:p w14:paraId="74441729" w14:textId="49E3FA72" w:rsidR="002E6614" w:rsidRPr="00650EE4" w:rsidRDefault="0092744F" w:rsidP="002E6614">
      <w:pPr>
        <w:pStyle w:val="Antrastes31"/>
        <w:numPr>
          <w:ilvl w:val="2"/>
          <w:numId w:val="4"/>
        </w:numPr>
        <w:spacing w:before="120"/>
        <w:ind w:left="720" w:hanging="720"/>
        <w:rPr>
          <w:rFonts w:ascii="Times New Roman" w:hAnsi="Times New Roman"/>
          <w:color w:val="auto"/>
          <w:sz w:val="24"/>
          <w:szCs w:val="24"/>
          <w:lang w:val="lt-LT"/>
        </w:rPr>
      </w:pPr>
      <w:bookmarkStart w:id="213" w:name="_Toc67925178"/>
      <w:r w:rsidRPr="00650EE4">
        <w:rPr>
          <w:rFonts w:ascii="Times New Roman" w:hAnsi="Times New Roman"/>
          <w:color w:val="auto"/>
          <w:sz w:val="24"/>
          <w:szCs w:val="24"/>
          <w:lang w:val="lt-LT"/>
        </w:rPr>
        <w:t>Patikima įgyvendinimo sistema</w:t>
      </w:r>
      <w:bookmarkEnd w:id="213"/>
    </w:p>
    <w:p w14:paraId="7E399299" w14:textId="30A747CC" w:rsidR="0092744F" w:rsidRPr="00650EE4" w:rsidRDefault="0092744F" w:rsidP="008D442E">
      <w:pPr>
        <w:jc w:val="both"/>
        <w:rPr>
          <w:rFonts w:ascii="Times New Roman" w:hAnsi="Times New Roman"/>
          <w:color w:val="000000" w:themeColor="text1"/>
          <w:szCs w:val="22"/>
          <w:highlight w:val="lightGray"/>
        </w:rPr>
      </w:pPr>
      <w:r w:rsidRPr="00650EE4">
        <w:rPr>
          <w:rFonts w:ascii="Times New Roman" w:hAnsi="Times New Roman"/>
          <w:color w:val="000000" w:themeColor="text1"/>
          <w:szCs w:val="22"/>
        </w:rPr>
        <w:t xml:space="preserve">Siekiant pritraukti pastatų savininkus, užtikrinti renovacijos </w:t>
      </w:r>
      <w:r w:rsidR="00805B88">
        <w:rPr>
          <w:rFonts w:ascii="Times New Roman" w:hAnsi="Times New Roman"/>
          <w:color w:val="000000" w:themeColor="text1"/>
          <w:szCs w:val="22"/>
        </w:rPr>
        <w:t>rodiklių</w:t>
      </w:r>
      <w:r w:rsidRPr="00650EE4">
        <w:rPr>
          <w:rFonts w:ascii="Times New Roman" w:hAnsi="Times New Roman"/>
          <w:color w:val="000000" w:themeColor="text1"/>
          <w:szCs w:val="22"/>
        </w:rPr>
        <w:t xml:space="preserve"> pasiekimą, būtina patikima renovacijos įgyvendinimo sistema, užtikrinanti sklandų procesą. Net ir tikėdamas renovacijos nauda ir turėdamas patrauklias finansavimo galimybes, pastato savininkas gali nedalyvauti renovacijoje, jei matys administracinius barjerus planavimo ir (arba) įgyvendinimo etape, pvz., procesas reikalaus reikšmingų laiko investicijų arba kompetencijų, kurių jis neturi, nebus tikėjimo egzistuojančia sistema ir jos rezultatu. Tam, kad būtų užtikrintas sklandus procesas ir atsižvelgta į pastatų savininkų poreikius, reikia priartėti prie pastatų savininkų: tiek fiziškai, tiek atliepiant jų poreikius.</w:t>
      </w:r>
    </w:p>
    <w:p w14:paraId="01B9FA30" w14:textId="77777777" w:rsidR="0092744F" w:rsidRPr="00650EE4" w:rsidRDefault="0092744F" w:rsidP="008D442E">
      <w:pPr>
        <w:jc w:val="both"/>
        <w:rPr>
          <w:rFonts w:ascii="Times New Roman" w:hAnsi="Times New Roman"/>
          <w:color w:val="000000" w:themeColor="text1"/>
          <w:szCs w:val="22"/>
          <w:highlight w:val="lightGray"/>
        </w:rPr>
      </w:pPr>
    </w:p>
    <w:p w14:paraId="56BFA7A0" w14:textId="18E2146B" w:rsidR="0092744F" w:rsidRPr="00650EE4" w:rsidRDefault="0092744F" w:rsidP="008D442E">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9</w:t>
      </w:r>
      <w:r w:rsidRPr="00650EE4">
        <w:rPr>
          <w:rFonts w:ascii="Times New Roman" w:hAnsi="Times New Roman"/>
          <w:b/>
          <w:bCs/>
          <w:szCs w:val="24"/>
        </w:rPr>
        <w:t>. Vieno langelio principo įgyvendinimas</w:t>
      </w:r>
    </w:p>
    <w:p w14:paraId="51252659" w14:textId="4724B347" w:rsidR="009572F6" w:rsidRPr="00650EE4" w:rsidRDefault="009572F6" w:rsidP="008D442E">
      <w:pPr>
        <w:jc w:val="both"/>
        <w:rPr>
          <w:rFonts w:ascii="Times New Roman" w:hAnsi="Times New Roman"/>
          <w:szCs w:val="22"/>
          <w:lang w:eastAsia="lt-LT"/>
        </w:rPr>
      </w:pPr>
      <w:r w:rsidRPr="00650EE4">
        <w:rPr>
          <w:rFonts w:ascii="Times New Roman" w:hAnsi="Times New Roman"/>
          <w:color w:val="000000" w:themeColor="text1"/>
          <w:szCs w:val="22"/>
        </w:rPr>
        <w:t xml:space="preserve">Informacijos apie IRS naudas, priemones nepakankamumas ir fragmentiškumas (skirtingi, nekoordinuoti šaltiniai) yra vienas iš renovacijos įgyvendinimo barjerų. </w:t>
      </w:r>
      <w:r w:rsidRPr="00650EE4">
        <w:rPr>
          <w:rFonts w:ascii="Times New Roman" w:hAnsi="Times New Roman"/>
          <w:szCs w:val="22"/>
          <w:lang w:eastAsia="lt-LT"/>
        </w:rPr>
        <w:t xml:space="preserve">PEND ir Rekomendacijos atitinkamai ragina valstybes „taikyti prieinamas ir skaidrias patariamąsias priemones, kaip antai, vieno langelio sistemas vartotojams ir konsultavimo energetikos klausimais paslaugas“. </w:t>
      </w:r>
    </w:p>
    <w:p w14:paraId="48F73B8C" w14:textId="77777777" w:rsidR="008E2EA8" w:rsidRPr="00650EE4" w:rsidRDefault="008E2EA8" w:rsidP="008D442E">
      <w:pPr>
        <w:jc w:val="both"/>
        <w:rPr>
          <w:rFonts w:ascii="Times New Roman" w:hAnsi="Times New Roman"/>
          <w:szCs w:val="22"/>
          <w:lang w:eastAsia="lt-LT"/>
        </w:rPr>
      </w:pPr>
    </w:p>
    <w:p w14:paraId="193CF8DB" w14:textId="4FB4589A" w:rsidR="009572F6" w:rsidRPr="00650EE4" w:rsidRDefault="009572F6" w:rsidP="008D442E">
      <w:pPr>
        <w:jc w:val="both"/>
        <w:rPr>
          <w:rFonts w:ascii="Times New Roman" w:hAnsi="Times New Roman"/>
          <w:szCs w:val="22"/>
          <w:lang w:eastAsia="lt-LT"/>
        </w:rPr>
      </w:pPr>
      <w:r w:rsidRPr="00650EE4">
        <w:rPr>
          <w:rFonts w:ascii="Times New Roman" w:hAnsi="Times New Roman"/>
          <w:szCs w:val="22"/>
          <w:lang w:eastAsia="lt-LT"/>
        </w:rPr>
        <w:t>Vienas langelis turėtų užtikrinti, kad pastato savininkas vienoje vietoje sužinotų apie renovacijos naudas ir visas galimas priemones bei, nusprendęs ją įgyvendinti, galėtų visus dokumentus (tiek techninius, tiek finansinius) sutvarkyti vienoje vietoje.</w:t>
      </w:r>
    </w:p>
    <w:p w14:paraId="54B7F79E" w14:textId="77777777" w:rsidR="008E2EA8" w:rsidRPr="00650EE4" w:rsidRDefault="008E2EA8" w:rsidP="008D442E">
      <w:pPr>
        <w:jc w:val="both"/>
        <w:rPr>
          <w:rFonts w:ascii="Times New Roman" w:hAnsi="Times New Roman"/>
          <w:szCs w:val="22"/>
          <w:lang w:eastAsia="lt-LT"/>
        </w:rPr>
      </w:pPr>
    </w:p>
    <w:p w14:paraId="532398D6" w14:textId="24B65ED4" w:rsidR="009572F6" w:rsidRPr="00650EE4" w:rsidRDefault="009572F6" w:rsidP="008D442E">
      <w:pPr>
        <w:jc w:val="both"/>
        <w:rPr>
          <w:rFonts w:ascii="Times New Roman" w:hAnsi="Times New Roman"/>
          <w:szCs w:val="22"/>
          <w:lang w:eastAsia="lt-LT"/>
        </w:rPr>
      </w:pPr>
      <w:r w:rsidRPr="00650EE4">
        <w:rPr>
          <w:rFonts w:ascii="Times New Roman" w:hAnsi="Times New Roman"/>
          <w:szCs w:val="22"/>
          <w:lang w:eastAsia="lt-LT"/>
        </w:rPr>
        <w:t xml:space="preserve">Geriausias prielaidas įgyvendinti vieno langelio funkcijas turi savivaldybės – jos turi </w:t>
      </w:r>
      <w:proofErr w:type="spellStart"/>
      <w:r w:rsidRPr="00650EE4">
        <w:rPr>
          <w:rFonts w:ascii="Times New Roman" w:hAnsi="Times New Roman"/>
          <w:szCs w:val="22"/>
          <w:lang w:eastAsia="lt-LT"/>
        </w:rPr>
        <w:t>patikimiausius</w:t>
      </w:r>
      <w:proofErr w:type="spellEnd"/>
      <w:r w:rsidRPr="00650EE4">
        <w:rPr>
          <w:rFonts w:ascii="Times New Roman" w:hAnsi="Times New Roman"/>
          <w:szCs w:val="22"/>
          <w:lang w:eastAsia="lt-LT"/>
        </w:rPr>
        <w:t xml:space="preserve"> duomenis apie jų teritorijoje esančius pastatus, o pastatų savininkai nuolat palaiko ryšį su savivaldybe kitais klausimais. Taip pat, savivaldybės turi geriausias galimybes koordinuoti </w:t>
      </w:r>
      <w:proofErr w:type="spellStart"/>
      <w:r w:rsidRPr="00650EE4">
        <w:rPr>
          <w:rFonts w:ascii="Times New Roman" w:hAnsi="Times New Roman"/>
          <w:szCs w:val="22"/>
          <w:lang w:eastAsia="lt-LT"/>
        </w:rPr>
        <w:t>kvartalinės</w:t>
      </w:r>
      <w:proofErr w:type="spellEnd"/>
      <w:r w:rsidRPr="00650EE4">
        <w:rPr>
          <w:rFonts w:ascii="Times New Roman" w:hAnsi="Times New Roman"/>
          <w:szCs w:val="22"/>
          <w:lang w:eastAsia="lt-LT"/>
        </w:rPr>
        <w:t xml:space="preserve"> renovacijos įgyvendinimą (P</w:t>
      </w:r>
      <w:r w:rsidR="007D76A3" w:rsidRPr="00650EE4">
        <w:rPr>
          <w:rFonts w:ascii="Times New Roman" w:hAnsi="Times New Roman"/>
          <w:szCs w:val="22"/>
          <w:lang w:eastAsia="lt-LT"/>
        </w:rPr>
        <w:t>10</w:t>
      </w:r>
      <w:r w:rsidRPr="00650EE4">
        <w:rPr>
          <w:rFonts w:ascii="Times New Roman" w:hAnsi="Times New Roman"/>
          <w:szCs w:val="22"/>
          <w:lang w:eastAsia="lt-LT"/>
        </w:rPr>
        <w:t xml:space="preserve"> priemonė). Atitinkami turėtų būti svarstoma savivaldybės apimtyje įkurti atskirą subjektą, kuris būtų atsakingas už pastatų savininkų aptarnavimą renovacijos klausimais, gaunant metodinę ir konsultacinę pagalbą iš kompetencijų centro (P1</w:t>
      </w:r>
      <w:r w:rsidR="00166049" w:rsidRPr="00650EE4">
        <w:rPr>
          <w:rFonts w:ascii="Times New Roman" w:hAnsi="Times New Roman"/>
          <w:szCs w:val="22"/>
          <w:lang w:eastAsia="lt-LT"/>
        </w:rPr>
        <w:t>9</w:t>
      </w:r>
      <w:r w:rsidRPr="00650EE4">
        <w:rPr>
          <w:rFonts w:ascii="Times New Roman" w:hAnsi="Times New Roman"/>
          <w:szCs w:val="22"/>
          <w:lang w:eastAsia="lt-LT"/>
        </w:rPr>
        <w:t xml:space="preserve"> priemonė). </w:t>
      </w:r>
    </w:p>
    <w:p w14:paraId="024ACEAC" w14:textId="77777777" w:rsidR="008E2EA8" w:rsidRPr="00650EE4" w:rsidRDefault="008E2EA8" w:rsidP="008D442E">
      <w:pPr>
        <w:jc w:val="both"/>
        <w:rPr>
          <w:rFonts w:ascii="Times New Roman" w:hAnsi="Times New Roman"/>
          <w:szCs w:val="22"/>
          <w:lang w:eastAsia="lt-LT"/>
        </w:rPr>
      </w:pPr>
    </w:p>
    <w:p w14:paraId="48B27A2F" w14:textId="65FE8E39" w:rsidR="009572F6" w:rsidRPr="00650EE4" w:rsidRDefault="009572F6" w:rsidP="007B46E4">
      <w:pPr>
        <w:jc w:val="both"/>
        <w:rPr>
          <w:rFonts w:ascii="Times New Roman" w:hAnsi="Times New Roman"/>
          <w:szCs w:val="22"/>
          <w:lang w:eastAsia="lt-LT"/>
        </w:rPr>
      </w:pPr>
      <w:r w:rsidRPr="00650EE4">
        <w:rPr>
          <w:rFonts w:ascii="Times New Roman" w:hAnsi="Times New Roman"/>
          <w:szCs w:val="22"/>
          <w:lang w:eastAsia="lt-LT"/>
        </w:rPr>
        <w:t xml:space="preserve">Svarbu pastebėti, kad skirtingų pastatų grupių savininkų interesai skiriasi (pvz., individualių namų, daugiabučių pastatų, pramonės pastatų ir kitų negyvenamųjų pastatų). Atitinkamai galėtų būti išskaidytas ir jų aptarnavimas. Kitaip tariant, svarbu, kad pastato savininkas galėtų </w:t>
      </w:r>
      <w:r w:rsidR="00BB1115">
        <w:rPr>
          <w:rFonts w:ascii="Times New Roman" w:hAnsi="Times New Roman"/>
          <w:szCs w:val="22"/>
          <w:lang w:eastAsia="lt-LT"/>
        </w:rPr>
        <w:t>gauti visas paslaugas</w:t>
      </w:r>
      <w:r w:rsidRPr="00650EE4">
        <w:rPr>
          <w:rFonts w:ascii="Times New Roman" w:hAnsi="Times New Roman"/>
          <w:szCs w:val="22"/>
          <w:lang w:eastAsia="lt-LT"/>
        </w:rPr>
        <w:t xml:space="preserve"> vienoje vietoje, tačiau skirtingiems savininkams gali būti sukurti skirtingi langeliai.</w:t>
      </w:r>
    </w:p>
    <w:p w14:paraId="5AA589EB" w14:textId="77777777" w:rsidR="008E2EA8" w:rsidRPr="00650EE4" w:rsidRDefault="008E2EA8" w:rsidP="008E2EA8">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78C2ACB7" w14:textId="77777777" w:rsidTr="009D1C15">
        <w:trPr>
          <w:trHeight w:val="172"/>
        </w:trPr>
        <w:tc>
          <w:tcPr>
            <w:tcW w:w="3114" w:type="dxa"/>
          </w:tcPr>
          <w:p w14:paraId="1BD7521D"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lastRenderedPageBreak/>
              <w:t>Sprendžiama problema</w:t>
            </w:r>
          </w:p>
        </w:tc>
        <w:tc>
          <w:tcPr>
            <w:tcW w:w="7089" w:type="dxa"/>
          </w:tcPr>
          <w:p w14:paraId="2E75D03E" w14:textId="77777777" w:rsidR="00CB5533" w:rsidRPr="00650EE4" w:rsidRDefault="00CB5533" w:rsidP="009D1C15">
            <w:pPr>
              <w:spacing w:after="60"/>
              <w:rPr>
                <w:rFonts w:ascii="Times New Roman" w:hAnsi="Times New Roman"/>
                <w:szCs w:val="22"/>
                <w:highlight w:val="yellow"/>
                <w:lang w:eastAsia="lt-LT"/>
              </w:rPr>
            </w:pPr>
            <w:r w:rsidRPr="00650EE4">
              <w:rPr>
                <w:rFonts w:ascii="Times New Roman" w:hAnsi="Times New Roman"/>
                <w:szCs w:val="22"/>
                <w:lang w:eastAsia="lt-LT"/>
              </w:rPr>
              <w:t>B13. Nepakankama informacija apie renovacijos teikiamas naudas</w:t>
            </w:r>
          </w:p>
        </w:tc>
      </w:tr>
      <w:tr w:rsidR="00CB5533" w:rsidRPr="00650EE4" w14:paraId="032274BD" w14:textId="77777777" w:rsidTr="009D1C15">
        <w:trPr>
          <w:trHeight w:val="220"/>
        </w:trPr>
        <w:tc>
          <w:tcPr>
            <w:tcW w:w="3114" w:type="dxa"/>
          </w:tcPr>
          <w:p w14:paraId="5F68F2A6"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831A20B"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Vieno langelio principo įgyvendinimas</w:t>
            </w:r>
          </w:p>
        </w:tc>
      </w:tr>
      <w:tr w:rsidR="00CB5533" w:rsidRPr="00650EE4" w14:paraId="6F6EBC93" w14:textId="77777777" w:rsidTr="009D1C15">
        <w:trPr>
          <w:trHeight w:val="268"/>
        </w:trPr>
        <w:tc>
          <w:tcPr>
            <w:tcW w:w="3114" w:type="dxa"/>
          </w:tcPr>
          <w:p w14:paraId="5BE529FC"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18892A7"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Aukštas</w:t>
            </w:r>
          </w:p>
        </w:tc>
      </w:tr>
      <w:tr w:rsidR="00CB5533" w:rsidRPr="00650EE4" w14:paraId="27AF200F" w14:textId="77777777" w:rsidTr="009D1C15">
        <w:trPr>
          <w:trHeight w:val="173"/>
        </w:trPr>
        <w:tc>
          <w:tcPr>
            <w:tcW w:w="3114" w:type="dxa"/>
          </w:tcPr>
          <w:p w14:paraId="06453E2E"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96F236F"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r w:rsidR="00CB5533" w:rsidRPr="00650EE4" w14:paraId="53FC72F8" w14:textId="77777777" w:rsidTr="009D1C15">
        <w:trPr>
          <w:trHeight w:val="143"/>
        </w:trPr>
        <w:tc>
          <w:tcPr>
            <w:tcW w:w="3114" w:type="dxa"/>
          </w:tcPr>
          <w:p w14:paraId="046DA4E9"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Gera praktika</w:t>
            </w:r>
          </w:p>
        </w:tc>
        <w:tc>
          <w:tcPr>
            <w:tcW w:w="7089" w:type="dxa"/>
          </w:tcPr>
          <w:p w14:paraId="7D5C40BA" w14:textId="77777777" w:rsidR="00CB5533" w:rsidRPr="00650EE4" w:rsidRDefault="0045783E" w:rsidP="009D1C15">
            <w:pPr>
              <w:spacing w:after="60"/>
              <w:rPr>
                <w:rFonts w:ascii="Times New Roman" w:hAnsi="Times New Roman"/>
                <w:color w:val="0070C0"/>
                <w:szCs w:val="22"/>
                <w:lang w:eastAsia="lt-LT"/>
              </w:rPr>
            </w:pPr>
            <w:hyperlink r:id="rId66" w:history="1">
              <w:r w:rsidR="00CB5533" w:rsidRPr="00650EE4">
                <w:rPr>
                  <w:rStyle w:val="Hyperlink"/>
                  <w:rFonts w:ascii="Times New Roman" w:hAnsi="Times New Roman"/>
                  <w:color w:val="0070C0"/>
                  <w:szCs w:val="22"/>
                  <w:lang w:eastAsia="lt-LT"/>
                </w:rPr>
                <w:t>Įgyvendintų „vieno langelio“ principų apžvalga (2018)</w:t>
              </w:r>
            </w:hyperlink>
          </w:p>
          <w:p w14:paraId="572C27B7" w14:textId="77777777" w:rsidR="00CB5533" w:rsidRPr="00650EE4" w:rsidRDefault="0045783E" w:rsidP="009D1C15">
            <w:pPr>
              <w:spacing w:after="60"/>
              <w:rPr>
                <w:rFonts w:ascii="Times New Roman" w:hAnsi="Times New Roman"/>
                <w:szCs w:val="22"/>
                <w:lang w:eastAsia="lt-LT"/>
              </w:rPr>
            </w:pPr>
            <w:hyperlink r:id="rId67" w:history="1">
              <w:r w:rsidR="00CB5533" w:rsidRPr="00650EE4">
                <w:rPr>
                  <w:rStyle w:val="Hyperlink"/>
                  <w:rFonts w:ascii="Times New Roman" w:hAnsi="Times New Roman"/>
                  <w:color w:val="0070C0"/>
                  <w:szCs w:val="22"/>
                  <w:lang w:eastAsia="lt-LT"/>
                </w:rPr>
                <w:t>Vieno langelio principo įgyvendinimo renovacijoje vadovas (2017)</w:t>
              </w:r>
            </w:hyperlink>
            <w:r w:rsidR="00CB5533" w:rsidRPr="00650EE4">
              <w:rPr>
                <w:rFonts w:ascii="Times New Roman" w:hAnsi="Times New Roman"/>
                <w:color w:val="0070C0"/>
                <w:szCs w:val="22"/>
                <w:lang w:eastAsia="lt-LT"/>
              </w:rPr>
              <w:t xml:space="preserve"> </w:t>
            </w:r>
          </w:p>
        </w:tc>
      </w:tr>
    </w:tbl>
    <w:p w14:paraId="0E356E6B" w14:textId="77777777" w:rsidR="0092744F" w:rsidRPr="00650EE4" w:rsidRDefault="0092744F" w:rsidP="008D442E">
      <w:pPr>
        <w:spacing w:after="120"/>
        <w:rPr>
          <w:rFonts w:ascii="Times New Roman" w:hAnsi="Times New Roman"/>
          <w:color w:val="000000" w:themeColor="text1"/>
          <w:szCs w:val="22"/>
          <w:highlight w:val="lightGray"/>
        </w:rPr>
      </w:pPr>
    </w:p>
    <w:p w14:paraId="32D9C4B5" w14:textId="46EE29DA" w:rsidR="0092744F" w:rsidRPr="00650EE4" w:rsidRDefault="0092744F" w:rsidP="00B82773">
      <w:pPr>
        <w:spacing w:after="120"/>
        <w:jc w:val="both"/>
        <w:rPr>
          <w:rFonts w:ascii="Times New Roman" w:hAnsi="Times New Roman"/>
          <w:b/>
          <w:bCs/>
          <w:szCs w:val="24"/>
        </w:rPr>
      </w:pPr>
      <w:r w:rsidRPr="00650EE4">
        <w:rPr>
          <w:rFonts w:ascii="Times New Roman" w:hAnsi="Times New Roman"/>
          <w:b/>
          <w:bCs/>
          <w:szCs w:val="24"/>
        </w:rPr>
        <w:t>P</w:t>
      </w:r>
      <w:r w:rsidR="00CB5533">
        <w:rPr>
          <w:rFonts w:ascii="Times New Roman" w:hAnsi="Times New Roman"/>
          <w:b/>
          <w:bCs/>
          <w:szCs w:val="24"/>
        </w:rPr>
        <w:t>20</w:t>
      </w:r>
      <w:r w:rsidRPr="00650EE4">
        <w:rPr>
          <w:rFonts w:ascii="Times New Roman" w:hAnsi="Times New Roman"/>
          <w:b/>
          <w:bCs/>
          <w:szCs w:val="24"/>
        </w:rPr>
        <w:t>. Kompetencijų centro įkūrimas</w:t>
      </w:r>
    </w:p>
    <w:p w14:paraId="42EC6FC8" w14:textId="5F13EE62" w:rsidR="009572F6" w:rsidRPr="00650EE4" w:rsidRDefault="009572F6" w:rsidP="009572F6">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Siekiant renovacijos proveržio svarbu užtikrinti renovacijos proceso sklandumą. Kartu su vieno langelio principo įgyvendinim</w:t>
      </w:r>
      <w:r w:rsidR="00416E8E" w:rsidRPr="00650EE4">
        <w:rPr>
          <w:rFonts w:ascii="Times New Roman" w:hAnsi="Times New Roman"/>
          <w:color w:val="000000" w:themeColor="text1"/>
          <w:szCs w:val="22"/>
        </w:rPr>
        <w:t>u,</w:t>
      </w:r>
      <w:r w:rsidRPr="00650EE4">
        <w:rPr>
          <w:rFonts w:ascii="Times New Roman" w:hAnsi="Times New Roman"/>
          <w:color w:val="000000" w:themeColor="text1"/>
          <w:szCs w:val="22"/>
        </w:rPr>
        <w:t xml:space="preserve"> prie to reikšmingai prisidėtų kompetencijų centralizavimas vienoje vietoje – kompetencijų centre.</w:t>
      </w:r>
    </w:p>
    <w:p w14:paraId="03892A25" w14:textId="77777777" w:rsidR="009572F6" w:rsidRPr="00650EE4" w:rsidRDefault="009572F6" w:rsidP="009572F6">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Kompetencijų centras būtų atsakingas už:</w:t>
      </w:r>
    </w:p>
    <w:p w14:paraId="402282CA" w14:textId="71A2FBF8" w:rsidR="009572F6" w:rsidRPr="00650EE4" w:rsidRDefault="00BB1115" w:rsidP="00BD4925">
      <w:pPr>
        <w:pStyle w:val="ListParagraph"/>
        <w:numPr>
          <w:ilvl w:val="0"/>
          <w:numId w:val="48"/>
        </w:numPr>
        <w:spacing w:before="6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9572F6" w:rsidRPr="00650EE4">
        <w:rPr>
          <w:rFonts w:ascii="Times New Roman" w:hAnsi="Times New Roman"/>
          <w:color w:val="000000" w:themeColor="text1"/>
          <w:szCs w:val="22"/>
          <w:lang w:val="lt-LT"/>
        </w:rPr>
        <w:t>tandartizuotų dokumentų</w:t>
      </w:r>
      <w:r>
        <w:rPr>
          <w:rFonts w:ascii="Times New Roman" w:hAnsi="Times New Roman"/>
          <w:color w:val="000000" w:themeColor="text1"/>
          <w:szCs w:val="22"/>
          <w:lang w:val="lt-LT"/>
        </w:rPr>
        <w:t xml:space="preserve"> </w:t>
      </w:r>
      <w:r w:rsidR="009572F6" w:rsidRPr="00650EE4">
        <w:rPr>
          <w:rFonts w:ascii="Times New Roman" w:hAnsi="Times New Roman"/>
          <w:color w:val="000000" w:themeColor="text1"/>
          <w:szCs w:val="22"/>
          <w:lang w:val="lt-LT"/>
        </w:rPr>
        <w:t>/</w:t>
      </w:r>
      <w:r>
        <w:rPr>
          <w:rFonts w:ascii="Times New Roman" w:hAnsi="Times New Roman"/>
          <w:color w:val="000000" w:themeColor="text1"/>
          <w:szCs w:val="22"/>
          <w:lang w:val="lt-LT"/>
        </w:rPr>
        <w:t xml:space="preserve"> </w:t>
      </w:r>
      <w:r w:rsidR="009572F6" w:rsidRPr="00650EE4">
        <w:rPr>
          <w:rFonts w:ascii="Times New Roman" w:hAnsi="Times New Roman"/>
          <w:color w:val="000000" w:themeColor="text1"/>
          <w:szCs w:val="22"/>
          <w:lang w:val="lt-LT"/>
        </w:rPr>
        <w:t>procedūrų rengimą;</w:t>
      </w:r>
    </w:p>
    <w:p w14:paraId="070065D0" w14:textId="14A93C14" w:rsidR="009572F6" w:rsidRPr="00650EE4" w:rsidRDefault="00BB1115" w:rsidP="00BD4925">
      <w:pPr>
        <w:pStyle w:val="ListParagraph"/>
        <w:numPr>
          <w:ilvl w:val="0"/>
          <w:numId w:val="48"/>
        </w:numPr>
        <w:spacing w:before="6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t</w:t>
      </w:r>
      <w:r w:rsidR="009572F6" w:rsidRPr="00650EE4">
        <w:rPr>
          <w:rFonts w:ascii="Times New Roman" w:hAnsi="Times New Roman"/>
          <w:color w:val="000000" w:themeColor="text1"/>
          <w:szCs w:val="22"/>
          <w:lang w:val="lt-LT"/>
        </w:rPr>
        <w:t>aisyklių, techninių reikalavimų rengimą;</w:t>
      </w:r>
    </w:p>
    <w:p w14:paraId="354E9BA7" w14:textId="3B727CCB" w:rsidR="009572F6" w:rsidRPr="00650EE4" w:rsidRDefault="00BB1115" w:rsidP="00BD4925">
      <w:pPr>
        <w:pStyle w:val="ListParagraph"/>
        <w:numPr>
          <w:ilvl w:val="0"/>
          <w:numId w:val="48"/>
        </w:numPr>
        <w:spacing w:before="6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9572F6" w:rsidRPr="00650EE4">
        <w:rPr>
          <w:rFonts w:ascii="Times New Roman" w:hAnsi="Times New Roman"/>
          <w:color w:val="000000" w:themeColor="text1"/>
          <w:szCs w:val="22"/>
          <w:lang w:val="lt-LT"/>
        </w:rPr>
        <w:t>agalbą savivaldybėms;</w:t>
      </w:r>
    </w:p>
    <w:p w14:paraId="23B62D43" w14:textId="2B200EE2" w:rsidR="009572F6" w:rsidRPr="00650EE4" w:rsidRDefault="0025362F" w:rsidP="00BD4925">
      <w:pPr>
        <w:pStyle w:val="ListParagraph"/>
        <w:numPr>
          <w:ilvl w:val="0"/>
          <w:numId w:val="48"/>
        </w:numPr>
        <w:spacing w:before="60" w:after="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konsultaciją</w:t>
      </w:r>
      <w:r w:rsidR="009572F6" w:rsidRPr="00650EE4">
        <w:rPr>
          <w:rFonts w:ascii="Times New Roman" w:hAnsi="Times New Roman"/>
          <w:color w:val="000000" w:themeColor="text1"/>
          <w:szCs w:val="22"/>
          <w:lang w:val="lt-LT"/>
        </w:rPr>
        <w:t>.</w:t>
      </w:r>
    </w:p>
    <w:p w14:paraId="5F070561" w14:textId="6CA1C630" w:rsidR="009572F6" w:rsidRPr="00650EE4" w:rsidRDefault="009572F6" w:rsidP="009572F6">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Daugiabučių modernizavimo programos apimtyje panašų vaidmenį atlieka BETA, teikianti konsultacijas ir pagalbą būsto savininkams modernizuojant daugiabučius pastatus, publikuojanti konsultacinę medžiagą. Jos pagrindu arba pavyzdžiu galėtų būti kuriamas ir visas renovacijos strategijos dalis apimantis kompetencijų centras.</w:t>
      </w:r>
    </w:p>
    <w:p w14:paraId="153D0CC3" w14:textId="77777777" w:rsidR="0058683B" w:rsidRPr="00650EE4" w:rsidRDefault="0058683B" w:rsidP="009572F6">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7BF1DBFC" w14:textId="77777777" w:rsidTr="009D1C15">
        <w:trPr>
          <w:trHeight w:val="172"/>
        </w:trPr>
        <w:tc>
          <w:tcPr>
            <w:tcW w:w="3114" w:type="dxa"/>
          </w:tcPr>
          <w:p w14:paraId="7BEBAEC5"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1B9CBD1F"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B15. Nepakankami savivaldybių vadybiniai pajėgumai</w:t>
            </w:r>
          </w:p>
          <w:p w14:paraId="671003FC"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B16. Pirkimų proceso barjerai</w:t>
            </w:r>
          </w:p>
          <w:p w14:paraId="6C75BD73"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B17. Nekokybiški investicijų planai</w:t>
            </w:r>
          </w:p>
        </w:tc>
      </w:tr>
      <w:tr w:rsidR="00CB5533" w:rsidRPr="00650EE4" w14:paraId="1E2F7DEF" w14:textId="77777777" w:rsidTr="009D1C15">
        <w:trPr>
          <w:trHeight w:val="220"/>
        </w:trPr>
        <w:tc>
          <w:tcPr>
            <w:tcW w:w="3114" w:type="dxa"/>
          </w:tcPr>
          <w:p w14:paraId="08915274"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4A14E204"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Kompetencijų centro įkūrimas</w:t>
            </w:r>
          </w:p>
        </w:tc>
      </w:tr>
      <w:tr w:rsidR="00CB5533" w:rsidRPr="00650EE4" w14:paraId="68325C7F" w14:textId="77777777" w:rsidTr="009D1C15">
        <w:trPr>
          <w:trHeight w:val="268"/>
        </w:trPr>
        <w:tc>
          <w:tcPr>
            <w:tcW w:w="3114" w:type="dxa"/>
          </w:tcPr>
          <w:p w14:paraId="1EFF026F"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80D102D"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Aukštas</w:t>
            </w:r>
          </w:p>
        </w:tc>
      </w:tr>
      <w:tr w:rsidR="00CB5533" w:rsidRPr="00650EE4" w14:paraId="5D9DE4FB" w14:textId="77777777" w:rsidTr="009D1C15">
        <w:trPr>
          <w:trHeight w:val="173"/>
        </w:trPr>
        <w:tc>
          <w:tcPr>
            <w:tcW w:w="3114" w:type="dxa"/>
          </w:tcPr>
          <w:p w14:paraId="6F135F48"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53B439E"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r w:rsidR="00CB5533" w:rsidRPr="00650EE4" w14:paraId="30FD6D0B" w14:textId="77777777" w:rsidTr="009D1C15">
        <w:trPr>
          <w:trHeight w:val="418"/>
        </w:trPr>
        <w:tc>
          <w:tcPr>
            <w:tcW w:w="3114" w:type="dxa"/>
          </w:tcPr>
          <w:p w14:paraId="0D665032"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Gera praktika</w:t>
            </w:r>
          </w:p>
        </w:tc>
        <w:tc>
          <w:tcPr>
            <w:tcW w:w="7089" w:type="dxa"/>
          </w:tcPr>
          <w:p w14:paraId="291F4DEE" w14:textId="77777777" w:rsidR="00CB5533" w:rsidRPr="00650EE4" w:rsidRDefault="0045783E" w:rsidP="009D1C15">
            <w:pPr>
              <w:spacing w:after="60"/>
              <w:rPr>
                <w:rFonts w:ascii="Times New Roman" w:hAnsi="Times New Roman"/>
                <w:szCs w:val="22"/>
                <w:lang w:eastAsia="lt-LT"/>
              </w:rPr>
            </w:pPr>
            <w:hyperlink r:id="rId68" w:history="1">
              <w:r w:rsidR="00CB5533" w:rsidRPr="00650EE4">
                <w:rPr>
                  <w:rStyle w:val="Hyperlink"/>
                  <w:rFonts w:ascii="Times New Roman" w:hAnsi="Times New Roman"/>
                  <w:color w:val="0070C0"/>
                  <w:szCs w:val="22"/>
                  <w:lang w:eastAsia="lt-LT"/>
                </w:rPr>
                <w:t>Informacinis leidinys „Modernizuojamų daugiabučių techninė priežiūra ir statybų kokybės užtikrinimas“ (BETA)</w:t>
              </w:r>
            </w:hyperlink>
          </w:p>
        </w:tc>
      </w:tr>
    </w:tbl>
    <w:p w14:paraId="6527BDFA" w14:textId="77777777" w:rsidR="0092744F" w:rsidRPr="00650EE4" w:rsidRDefault="0092744F" w:rsidP="008D442E">
      <w:pPr>
        <w:spacing w:after="120"/>
        <w:rPr>
          <w:rFonts w:ascii="Times New Roman" w:hAnsi="Times New Roman"/>
          <w:color w:val="000000" w:themeColor="text1"/>
          <w:szCs w:val="22"/>
        </w:rPr>
      </w:pPr>
    </w:p>
    <w:p w14:paraId="40B0123C" w14:textId="7621050E" w:rsidR="0092744F" w:rsidRPr="00650EE4" w:rsidRDefault="0092744F" w:rsidP="00B82773">
      <w:pPr>
        <w:spacing w:after="120"/>
        <w:jc w:val="both"/>
        <w:rPr>
          <w:rFonts w:ascii="Times New Roman" w:hAnsi="Times New Roman"/>
          <w:b/>
          <w:bCs/>
          <w:szCs w:val="24"/>
        </w:rPr>
      </w:pPr>
      <w:r w:rsidRPr="00650EE4">
        <w:rPr>
          <w:rFonts w:ascii="Times New Roman" w:hAnsi="Times New Roman"/>
          <w:b/>
          <w:bCs/>
          <w:szCs w:val="24"/>
        </w:rPr>
        <w:t>P</w:t>
      </w:r>
      <w:r w:rsidR="004E5D90" w:rsidRPr="00650EE4">
        <w:rPr>
          <w:rFonts w:ascii="Times New Roman" w:hAnsi="Times New Roman"/>
          <w:b/>
          <w:bCs/>
          <w:szCs w:val="24"/>
        </w:rPr>
        <w:t>2</w:t>
      </w:r>
      <w:r w:rsidR="00CB5533">
        <w:rPr>
          <w:rFonts w:ascii="Times New Roman" w:hAnsi="Times New Roman"/>
          <w:b/>
          <w:bCs/>
          <w:szCs w:val="24"/>
        </w:rPr>
        <w:t>1</w:t>
      </w:r>
      <w:r w:rsidRPr="00650EE4">
        <w:rPr>
          <w:rFonts w:ascii="Times New Roman" w:hAnsi="Times New Roman"/>
          <w:b/>
          <w:bCs/>
          <w:szCs w:val="24"/>
        </w:rPr>
        <w:t xml:space="preserve">. </w:t>
      </w:r>
      <w:r w:rsidR="006918C6" w:rsidRPr="00650EE4">
        <w:rPr>
          <w:rFonts w:ascii="Times New Roman" w:hAnsi="Times New Roman"/>
          <w:b/>
          <w:bCs/>
          <w:szCs w:val="24"/>
        </w:rPr>
        <w:t>Kokybės kontrolės</w:t>
      </w:r>
      <w:r w:rsidRPr="00650EE4">
        <w:rPr>
          <w:rFonts w:ascii="Times New Roman" w:hAnsi="Times New Roman"/>
          <w:b/>
          <w:bCs/>
          <w:szCs w:val="24"/>
        </w:rPr>
        <w:t xml:space="preserve"> užtikrinimas</w:t>
      </w:r>
    </w:p>
    <w:p w14:paraId="4256196E" w14:textId="29C57852" w:rsidR="005A0A11" w:rsidRPr="00650EE4" w:rsidRDefault="005A0A11" w:rsidP="0052232A">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Netinkama renovacijos projektų planavimo ir įgyvendinimo </w:t>
      </w:r>
      <w:r w:rsidR="00E07724" w:rsidRPr="00650EE4">
        <w:rPr>
          <w:rFonts w:ascii="Times New Roman" w:hAnsi="Times New Roman"/>
          <w:color w:val="000000" w:themeColor="text1"/>
          <w:szCs w:val="22"/>
        </w:rPr>
        <w:t xml:space="preserve">kokybės kontrolė (techninė </w:t>
      </w:r>
      <w:r w:rsidR="00C367FD" w:rsidRPr="00650EE4">
        <w:rPr>
          <w:rFonts w:ascii="Times New Roman" w:hAnsi="Times New Roman"/>
          <w:color w:val="000000" w:themeColor="text1"/>
          <w:szCs w:val="22"/>
        </w:rPr>
        <w:t>priežiūra</w:t>
      </w:r>
      <w:r w:rsidR="00E07724"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vienas iš renovacijos trikdžių, didinančių pastatų savininkų nepasitikėjimą visu renovacijos procesu bei lemiantis renovacijos vėlavimus.</w:t>
      </w:r>
    </w:p>
    <w:p w14:paraId="0AACC524" w14:textId="77777777" w:rsidR="0052232A" w:rsidRPr="00650EE4" w:rsidRDefault="0052232A" w:rsidP="0052232A">
      <w:pPr>
        <w:jc w:val="both"/>
        <w:rPr>
          <w:rFonts w:ascii="Times New Roman" w:hAnsi="Times New Roman"/>
          <w:color w:val="000000" w:themeColor="text1"/>
          <w:szCs w:val="22"/>
        </w:rPr>
      </w:pPr>
    </w:p>
    <w:p w14:paraId="7C1A6062" w14:textId="07E7C361" w:rsidR="005A0A11" w:rsidRPr="00650EE4" w:rsidRDefault="005A0A11" w:rsidP="0052232A">
      <w:pPr>
        <w:jc w:val="both"/>
        <w:rPr>
          <w:rFonts w:ascii="Times New Roman" w:hAnsi="Times New Roman"/>
          <w:color w:val="000000" w:themeColor="text1"/>
          <w:szCs w:val="22"/>
        </w:rPr>
      </w:pPr>
      <w:r w:rsidRPr="00650EE4">
        <w:rPr>
          <w:rFonts w:ascii="Times New Roman" w:hAnsi="Times New Roman"/>
          <w:color w:val="000000" w:themeColor="text1"/>
          <w:szCs w:val="22"/>
        </w:rPr>
        <w:t>Šiuo metu už renovacijos investicinių planų rengimą ir jų įgyvendinimo darbų kontrolę atsakingas projekto administratorius, kurių darbą prižiūri BETA. Tačiau</w:t>
      </w:r>
      <w:r w:rsidR="00BB1115">
        <w:rPr>
          <w:rFonts w:ascii="Times New Roman" w:hAnsi="Times New Roman"/>
          <w:color w:val="000000" w:themeColor="text1"/>
          <w:szCs w:val="22"/>
        </w:rPr>
        <w:t xml:space="preserve">, </w:t>
      </w:r>
      <w:r w:rsidR="00BB1115" w:rsidRPr="00BB1115">
        <w:rPr>
          <w:rFonts w:ascii="Times New Roman" w:hAnsi="Times New Roman"/>
          <w:color w:val="000000" w:themeColor="text1"/>
          <w:szCs w:val="22"/>
        </w:rPr>
        <w:t>valstybinio audito ataskaitos duomenimis, dažni atvejai, kai</w:t>
      </w:r>
      <w:r w:rsidR="00BB1115">
        <w:rPr>
          <w:rFonts w:ascii="Times New Roman" w:hAnsi="Times New Roman"/>
          <w:color w:val="000000" w:themeColor="text1"/>
          <w:szCs w:val="22"/>
        </w:rPr>
        <w:t xml:space="preserve"> a</w:t>
      </w:r>
      <w:r w:rsidRPr="00650EE4">
        <w:rPr>
          <w:rFonts w:ascii="Times New Roman" w:hAnsi="Times New Roman"/>
          <w:color w:val="000000" w:themeColor="text1"/>
          <w:szCs w:val="22"/>
        </w:rPr>
        <w:t>dministratoriai tinkamai neatlieka statytojo (užsakovo) pareigų</w:t>
      </w:r>
      <w:r w:rsidRPr="00650EE4">
        <w:rPr>
          <w:rStyle w:val="FootnoteReference"/>
          <w:rFonts w:ascii="Times New Roman" w:hAnsi="Times New Roman"/>
          <w:color w:val="000000" w:themeColor="text1"/>
          <w:szCs w:val="22"/>
        </w:rPr>
        <w:footnoteReference w:id="60"/>
      </w:r>
      <w:r w:rsidRPr="00650EE4">
        <w:rPr>
          <w:rFonts w:ascii="Times New Roman" w:hAnsi="Times New Roman"/>
          <w:color w:val="000000" w:themeColor="text1"/>
          <w:szCs w:val="22"/>
        </w:rPr>
        <w:t>.</w:t>
      </w:r>
    </w:p>
    <w:p w14:paraId="449739E6" w14:textId="77777777" w:rsidR="0052232A" w:rsidRPr="00650EE4" w:rsidRDefault="0052232A" w:rsidP="0052232A">
      <w:pPr>
        <w:jc w:val="both"/>
        <w:rPr>
          <w:rFonts w:ascii="Times New Roman" w:hAnsi="Times New Roman"/>
          <w:color w:val="000000" w:themeColor="text1"/>
          <w:szCs w:val="22"/>
        </w:rPr>
      </w:pPr>
    </w:p>
    <w:p w14:paraId="39FA49C7" w14:textId="24084D76" w:rsidR="005A0A11" w:rsidRDefault="005A0A11" w:rsidP="00BB1115">
      <w:pPr>
        <w:jc w:val="both"/>
        <w:rPr>
          <w:rFonts w:ascii="Times New Roman" w:hAnsi="Times New Roman"/>
          <w:color w:val="000000" w:themeColor="text1"/>
          <w:szCs w:val="22"/>
        </w:rPr>
      </w:pPr>
      <w:r w:rsidRPr="00650EE4">
        <w:rPr>
          <w:rFonts w:ascii="Times New Roman" w:hAnsi="Times New Roman"/>
          <w:color w:val="000000" w:themeColor="text1"/>
          <w:szCs w:val="22"/>
        </w:rPr>
        <w:t>Atitinkamai, siekiant, kad daugiabučių namų modernizavimo investicijų planai būtų parengiami kokybiškai, o darbai būtų vykdomi be trūkumų ir laikantis investicijų plano, turėtų būti numatytos priemonės, didinančios projektų administratorių kompetenciją, vykdant pavestas funkcijas arba numatant papildomas išorines kontrolės priemones: techninio prižiūrėtojų skyrimą, pat</w:t>
      </w:r>
      <w:r w:rsidR="00BB1115">
        <w:rPr>
          <w:rFonts w:ascii="Times New Roman" w:hAnsi="Times New Roman"/>
          <w:color w:val="000000" w:themeColor="text1"/>
          <w:szCs w:val="22"/>
        </w:rPr>
        <w:t xml:space="preserve">ikrinimus statybvietėse ir pan. </w:t>
      </w:r>
      <w:r w:rsidRPr="00650EE4">
        <w:rPr>
          <w:rFonts w:ascii="Times New Roman" w:hAnsi="Times New Roman"/>
          <w:color w:val="000000" w:themeColor="text1"/>
          <w:szCs w:val="22"/>
        </w:rPr>
        <w:t>Prie šios priemonės įgyvendinimo turėtų prisidėti Kompetencijų centro įkūrimas (P1</w:t>
      </w:r>
      <w:r w:rsidR="00416E8E" w:rsidRPr="00650EE4">
        <w:rPr>
          <w:rFonts w:ascii="Times New Roman" w:hAnsi="Times New Roman"/>
          <w:color w:val="000000" w:themeColor="text1"/>
          <w:szCs w:val="22"/>
        </w:rPr>
        <w:t>9</w:t>
      </w:r>
      <w:r w:rsidRPr="00650EE4">
        <w:rPr>
          <w:rFonts w:ascii="Times New Roman" w:hAnsi="Times New Roman"/>
          <w:color w:val="000000" w:themeColor="text1"/>
          <w:szCs w:val="22"/>
        </w:rPr>
        <w:t xml:space="preserve"> priemonė), kuris tiek teiktų konsultacinę pagalbą, tiek rengtų tipinius dokumentus ir jų pildymo nurodymus.</w:t>
      </w:r>
    </w:p>
    <w:p w14:paraId="36E9AAF3" w14:textId="77777777" w:rsidR="00CB5533" w:rsidRPr="00650EE4" w:rsidRDefault="00CB5533" w:rsidP="00BB1115">
      <w:pPr>
        <w:jc w:val="both"/>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5FFEBD5B" w14:textId="77777777" w:rsidTr="009D1C15">
        <w:trPr>
          <w:trHeight w:val="55"/>
        </w:trPr>
        <w:tc>
          <w:tcPr>
            <w:tcW w:w="3114" w:type="dxa"/>
          </w:tcPr>
          <w:p w14:paraId="37CD0CE8"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074DF4C"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B17. Nekokybiški investicijų planai</w:t>
            </w:r>
          </w:p>
          <w:p w14:paraId="2EA7373C"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B18. Nepakankama renovacijos įgyvendinimo kokybės kontrolė</w:t>
            </w:r>
          </w:p>
        </w:tc>
      </w:tr>
      <w:tr w:rsidR="00CB5533" w:rsidRPr="00650EE4" w14:paraId="6266B732" w14:textId="77777777" w:rsidTr="009D1C15">
        <w:trPr>
          <w:trHeight w:val="55"/>
        </w:trPr>
        <w:tc>
          <w:tcPr>
            <w:tcW w:w="3114" w:type="dxa"/>
          </w:tcPr>
          <w:p w14:paraId="4AB32D9D"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lastRenderedPageBreak/>
              <w:t>Siūloma priemonė</w:t>
            </w:r>
          </w:p>
        </w:tc>
        <w:tc>
          <w:tcPr>
            <w:tcW w:w="7089" w:type="dxa"/>
          </w:tcPr>
          <w:p w14:paraId="56E9CCE8"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 xml:space="preserve">Techninės priežiūros atsakomybės koncentravimas </w:t>
            </w:r>
          </w:p>
        </w:tc>
      </w:tr>
      <w:tr w:rsidR="00CB5533" w:rsidRPr="00650EE4" w14:paraId="5E83DE4C" w14:textId="77777777" w:rsidTr="009D1C15">
        <w:trPr>
          <w:trHeight w:val="55"/>
        </w:trPr>
        <w:tc>
          <w:tcPr>
            <w:tcW w:w="3114" w:type="dxa"/>
          </w:tcPr>
          <w:p w14:paraId="198EEDFB"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1B4C707B"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Aukštas</w:t>
            </w:r>
          </w:p>
        </w:tc>
      </w:tr>
      <w:tr w:rsidR="00CB5533" w:rsidRPr="00650EE4" w14:paraId="65061F3F" w14:textId="77777777" w:rsidTr="009D1C15">
        <w:trPr>
          <w:trHeight w:val="122"/>
        </w:trPr>
        <w:tc>
          <w:tcPr>
            <w:tcW w:w="3114" w:type="dxa"/>
          </w:tcPr>
          <w:p w14:paraId="03F3EB9F" w14:textId="77777777" w:rsidR="00CB5533" w:rsidRPr="00650EE4" w:rsidRDefault="00CB5533" w:rsidP="009D1C15">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FA2D65A" w14:textId="77777777" w:rsidR="00CB5533" w:rsidRPr="00650EE4" w:rsidRDefault="00CB5533" w:rsidP="009D1C15">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3F89290A" w14:textId="77777777" w:rsidR="008D442E" w:rsidRPr="00650EE4" w:rsidRDefault="008D442E" w:rsidP="0052232A">
      <w:pPr>
        <w:pStyle w:val="BodyText"/>
        <w:rPr>
          <w:lang w:val="lt-LT"/>
        </w:rPr>
      </w:pPr>
    </w:p>
    <w:p w14:paraId="1E784969" w14:textId="1C7E1BA4" w:rsidR="002129F2" w:rsidRPr="00650EE4" w:rsidRDefault="00DD1817" w:rsidP="001D07DB">
      <w:pPr>
        <w:pStyle w:val="Antrastes2"/>
        <w:numPr>
          <w:ilvl w:val="1"/>
          <w:numId w:val="4"/>
        </w:numPr>
        <w:pBdr>
          <w:bottom w:val="single" w:sz="4" w:space="1" w:color="auto"/>
        </w:pBdr>
        <w:spacing w:before="240"/>
        <w:ind w:left="576" w:hanging="576"/>
        <w:jc w:val="both"/>
        <w:rPr>
          <w:rFonts w:ascii="Times New Roman" w:hAnsi="Times New Roman"/>
          <w:color w:val="auto"/>
          <w:sz w:val="24"/>
          <w:szCs w:val="24"/>
          <w:lang w:val="lt-LT"/>
        </w:rPr>
      </w:pPr>
      <w:bookmarkStart w:id="214" w:name="_Toc67925179"/>
      <w:r w:rsidRPr="00650EE4">
        <w:rPr>
          <w:rFonts w:ascii="Times New Roman" w:hAnsi="Times New Roman"/>
          <w:color w:val="auto"/>
          <w:sz w:val="24"/>
          <w:szCs w:val="24"/>
          <w:lang w:val="lt-LT"/>
        </w:rPr>
        <w:t>S</w:t>
      </w:r>
      <w:r w:rsidR="002129F2" w:rsidRPr="00650EE4">
        <w:rPr>
          <w:rFonts w:ascii="Times New Roman" w:hAnsi="Times New Roman"/>
          <w:color w:val="auto"/>
          <w:sz w:val="24"/>
          <w:szCs w:val="24"/>
          <w:lang w:val="lt-LT"/>
        </w:rPr>
        <w:t xml:space="preserve">trategijos įgyvendinimo </w:t>
      </w:r>
      <w:r w:rsidR="00250EA6">
        <w:rPr>
          <w:rFonts w:ascii="Times New Roman" w:hAnsi="Times New Roman"/>
          <w:color w:val="auto"/>
          <w:sz w:val="24"/>
          <w:szCs w:val="24"/>
          <w:lang w:val="lt-LT"/>
        </w:rPr>
        <w:t>prioritetinės kryptys</w:t>
      </w:r>
      <w:bookmarkEnd w:id="214"/>
    </w:p>
    <w:p w14:paraId="758CD416" w14:textId="4CE6D983" w:rsidR="00D113B8" w:rsidRPr="00650EE4" w:rsidRDefault="00D113B8" w:rsidP="00AE63B2">
      <w:pPr>
        <w:jc w:val="both"/>
        <w:rPr>
          <w:rFonts w:ascii="Times New Roman" w:hAnsi="Times New Roman"/>
          <w:color w:val="auto"/>
          <w:szCs w:val="22"/>
        </w:rPr>
      </w:pPr>
      <w:r w:rsidRPr="00650EE4">
        <w:rPr>
          <w:rFonts w:ascii="Times New Roman" w:hAnsi="Times New Roman"/>
          <w:color w:val="auto"/>
          <w:szCs w:val="22"/>
        </w:rPr>
        <w:t>IRS</w:t>
      </w:r>
      <w:r w:rsidR="00825D28" w:rsidRPr="00650EE4">
        <w:rPr>
          <w:rFonts w:ascii="Times New Roman" w:hAnsi="Times New Roman"/>
          <w:color w:val="auto"/>
          <w:szCs w:val="22"/>
        </w:rPr>
        <w:t xml:space="preserve"> apima ilgą (30 metų) laikotarpį, per kurį bus ne kartą peržiūrėta ir, pagal poreikį, patikslinta</w:t>
      </w:r>
      <w:r w:rsidRPr="00650EE4">
        <w:rPr>
          <w:rFonts w:ascii="Times New Roman" w:hAnsi="Times New Roman"/>
          <w:color w:val="auto"/>
          <w:szCs w:val="22"/>
        </w:rPr>
        <w:t xml:space="preserve"> (žr. </w:t>
      </w:r>
      <w:r w:rsidR="00BB1115">
        <w:rPr>
          <w:rFonts w:ascii="Times New Roman" w:hAnsi="Times New Roman"/>
          <w:color w:val="auto"/>
          <w:szCs w:val="22"/>
        </w:rPr>
        <w:t>6</w:t>
      </w:r>
      <w:r w:rsidRPr="00650EE4">
        <w:rPr>
          <w:rFonts w:ascii="Times New Roman" w:hAnsi="Times New Roman"/>
          <w:color w:val="auto"/>
          <w:szCs w:val="22"/>
        </w:rPr>
        <w:t>.4 skyrių)</w:t>
      </w:r>
      <w:r w:rsidR="00825D28" w:rsidRPr="00650EE4">
        <w:rPr>
          <w:rFonts w:ascii="Times New Roman" w:hAnsi="Times New Roman"/>
          <w:color w:val="auto"/>
          <w:szCs w:val="22"/>
        </w:rPr>
        <w:t xml:space="preserve">. </w:t>
      </w:r>
      <w:r w:rsidRPr="00650EE4">
        <w:rPr>
          <w:rFonts w:ascii="Times New Roman" w:hAnsi="Times New Roman"/>
          <w:color w:val="auto"/>
          <w:szCs w:val="22"/>
        </w:rPr>
        <w:t xml:space="preserve">Siekiant </w:t>
      </w:r>
      <w:proofErr w:type="spellStart"/>
      <w:r w:rsidRPr="00650EE4">
        <w:rPr>
          <w:rFonts w:ascii="Times New Roman" w:hAnsi="Times New Roman"/>
          <w:color w:val="auto"/>
          <w:szCs w:val="22"/>
        </w:rPr>
        <w:t>sistemiško</w:t>
      </w:r>
      <w:proofErr w:type="spellEnd"/>
      <w:r w:rsidRPr="00650EE4">
        <w:rPr>
          <w:rFonts w:ascii="Times New Roman" w:hAnsi="Times New Roman"/>
          <w:color w:val="auto"/>
          <w:szCs w:val="22"/>
        </w:rPr>
        <w:t xml:space="preserve">, nuoseklaus ir tvaraus IRS įgyvendinimo svarbu identifikuoti prioritetinius </w:t>
      </w:r>
      <w:r w:rsidR="00BB1115">
        <w:rPr>
          <w:rFonts w:ascii="Times New Roman" w:hAnsi="Times New Roman"/>
          <w:color w:val="auto"/>
          <w:szCs w:val="22"/>
        </w:rPr>
        <w:t>p</w:t>
      </w:r>
      <w:r w:rsidRPr="00650EE4">
        <w:rPr>
          <w:rFonts w:ascii="Times New Roman" w:hAnsi="Times New Roman"/>
          <w:color w:val="auto"/>
          <w:szCs w:val="22"/>
        </w:rPr>
        <w:t>astatų fondo segmentus, tinkamai suplanuoti jų transformacijai būtinas priemones bei jų įgyvendinimui reikalingus resursus.</w:t>
      </w:r>
    </w:p>
    <w:p w14:paraId="093DF06E" w14:textId="77777777" w:rsidR="001D68B4" w:rsidRPr="00650EE4" w:rsidRDefault="001D68B4" w:rsidP="00AE63B2">
      <w:pPr>
        <w:jc w:val="both"/>
        <w:rPr>
          <w:rFonts w:ascii="Times New Roman" w:hAnsi="Times New Roman"/>
          <w:color w:val="000000" w:themeColor="text1"/>
          <w:szCs w:val="22"/>
        </w:rPr>
      </w:pPr>
    </w:p>
    <w:p w14:paraId="372D3CA8" w14:textId="0DA44749" w:rsidR="001A399E" w:rsidRPr="00650EE4" w:rsidRDefault="001A399E"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T</w:t>
      </w:r>
      <w:r w:rsidR="000E4F63" w:rsidRPr="00650EE4">
        <w:rPr>
          <w:rFonts w:ascii="Times New Roman" w:hAnsi="Times New Roman"/>
          <w:color w:val="000000" w:themeColor="text1"/>
          <w:szCs w:val="22"/>
        </w:rPr>
        <w:t>ie</w:t>
      </w:r>
      <w:r w:rsidRPr="00650EE4">
        <w:rPr>
          <w:rFonts w:ascii="Times New Roman" w:hAnsi="Times New Roman"/>
          <w:color w:val="000000" w:themeColor="text1"/>
          <w:szCs w:val="22"/>
        </w:rPr>
        <w:t xml:space="preserve">k </w:t>
      </w:r>
      <w:r w:rsidR="00FD2E79" w:rsidRPr="00650EE4">
        <w:rPr>
          <w:rFonts w:ascii="Times New Roman" w:hAnsi="Times New Roman"/>
          <w:color w:val="000000" w:themeColor="text1"/>
          <w:szCs w:val="22"/>
        </w:rPr>
        <w:t xml:space="preserve">IRS </w:t>
      </w:r>
      <w:r w:rsidR="00805B88">
        <w:rPr>
          <w:rFonts w:ascii="Times New Roman" w:hAnsi="Times New Roman"/>
          <w:color w:val="000000" w:themeColor="text1"/>
          <w:szCs w:val="22"/>
        </w:rPr>
        <w:t>rodikliai</w:t>
      </w:r>
      <w:r w:rsidRPr="00650EE4">
        <w:rPr>
          <w:rFonts w:ascii="Times New Roman" w:hAnsi="Times New Roman"/>
          <w:color w:val="000000" w:themeColor="text1"/>
          <w:szCs w:val="22"/>
        </w:rPr>
        <w:t>, tiek</w:t>
      </w:r>
      <w:r w:rsidR="00D113B8" w:rsidRPr="00650EE4">
        <w:rPr>
          <w:rFonts w:ascii="Times New Roman" w:hAnsi="Times New Roman"/>
          <w:color w:val="000000" w:themeColor="text1"/>
          <w:szCs w:val="22"/>
        </w:rPr>
        <w:t xml:space="preserve"> jiems pasiekti </w:t>
      </w:r>
      <w:r w:rsidRPr="00650EE4">
        <w:rPr>
          <w:rFonts w:ascii="Times New Roman" w:hAnsi="Times New Roman"/>
          <w:color w:val="000000" w:themeColor="text1"/>
          <w:szCs w:val="22"/>
        </w:rPr>
        <w:t xml:space="preserve">naudojamos </w:t>
      </w:r>
      <w:r w:rsidR="00D113B8" w:rsidRPr="00650EE4">
        <w:rPr>
          <w:rFonts w:ascii="Times New Roman" w:hAnsi="Times New Roman"/>
          <w:color w:val="000000" w:themeColor="text1"/>
          <w:szCs w:val="22"/>
        </w:rPr>
        <w:t xml:space="preserve">renovacijos priemonės </w:t>
      </w:r>
      <w:r w:rsidR="00F94721" w:rsidRPr="00650EE4">
        <w:rPr>
          <w:rFonts w:ascii="Times New Roman" w:hAnsi="Times New Roman"/>
          <w:color w:val="000000" w:themeColor="text1"/>
          <w:szCs w:val="22"/>
        </w:rPr>
        <w:t xml:space="preserve">gali būti </w:t>
      </w:r>
      <w:r w:rsidRPr="00650EE4">
        <w:rPr>
          <w:rFonts w:ascii="Times New Roman" w:hAnsi="Times New Roman"/>
          <w:color w:val="000000" w:themeColor="text1"/>
          <w:szCs w:val="22"/>
        </w:rPr>
        <w:t xml:space="preserve">skirstomos į </w:t>
      </w:r>
      <w:r w:rsidR="00D113B8" w:rsidRPr="00650EE4">
        <w:rPr>
          <w:rFonts w:ascii="Times New Roman" w:hAnsi="Times New Roman"/>
          <w:color w:val="000000" w:themeColor="text1"/>
          <w:szCs w:val="22"/>
        </w:rPr>
        <w:t xml:space="preserve"> dvi pagrindines grupes: </w:t>
      </w:r>
    </w:p>
    <w:p w14:paraId="4E79329C" w14:textId="4F335CB7" w:rsidR="001A399E" w:rsidRPr="00650EE4" w:rsidRDefault="00BB1115" w:rsidP="00BD4925">
      <w:pPr>
        <w:pStyle w:val="ListParagraph"/>
        <w:numPr>
          <w:ilvl w:val="0"/>
          <w:numId w:val="72"/>
        </w:numPr>
        <w:spacing w:before="12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001A399E" w:rsidRPr="00650EE4">
        <w:rPr>
          <w:rFonts w:ascii="Times New Roman" w:hAnsi="Times New Roman"/>
          <w:color w:val="000000" w:themeColor="text1"/>
          <w:szCs w:val="22"/>
          <w:lang w:val="lt-LT"/>
        </w:rPr>
        <w:t>nerginio</w:t>
      </w:r>
      <w:r w:rsidR="00D113B8" w:rsidRPr="00650EE4">
        <w:rPr>
          <w:rFonts w:ascii="Times New Roman" w:hAnsi="Times New Roman"/>
          <w:color w:val="000000" w:themeColor="text1"/>
          <w:szCs w:val="22"/>
          <w:lang w:val="lt-LT"/>
        </w:rPr>
        <w:t xml:space="preserve"> ef</w:t>
      </w:r>
      <w:r w:rsidR="001A399E" w:rsidRPr="00650EE4">
        <w:rPr>
          <w:rFonts w:ascii="Times New Roman" w:hAnsi="Times New Roman"/>
          <w:color w:val="000000" w:themeColor="text1"/>
          <w:szCs w:val="22"/>
          <w:lang w:val="lt-LT"/>
        </w:rPr>
        <w:t>ektyvumo didinimas;</w:t>
      </w:r>
    </w:p>
    <w:p w14:paraId="430F1078" w14:textId="6B10359F" w:rsidR="00D113B8" w:rsidRPr="00650EE4" w:rsidRDefault="001A399E" w:rsidP="00BD4925">
      <w:pPr>
        <w:pStyle w:val="ListParagraph"/>
        <w:numPr>
          <w:ilvl w:val="0"/>
          <w:numId w:val="72"/>
        </w:numPr>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AEI panaudojimo didinimas (iškastinio kuro mažinimas). </w:t>
      </w:r>
    </w:p>
    <w:p w14:paraId="7A69C1F9" w14:textId="77777777" w:rsidR="00D113B8" w:rsidRPr="00650EE4" w:rsidRDefault="00D113B8" w:rsidP="00FD2E79">
      <w:pPr>
        <w:spacing w:line="240" w:lineRule="auto"/>
        <w:jc w:val="both"/>
        <w:rPr>
          <w:rFonts w:ascii="Times New Roman" w:hAnsi="Times New Roman"/>
          <w:color w:val="000000" w:themeColor="text1"/>
          <w:szCs w:val="22"/>
        </w:rPr>
      </w:pPr>
    </w:p>
    <w:p w14:paraId="03F56853" w14:textId="77777777" w:rsidR="00E723D0" w:rsidRDefault="001A399E"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Siekiant identifikuoti prioritetines pastatų grupes</w:t>
      </w:r>
      <w:r w:rsidR="000C7BFA"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a</w:t>
      </w:r>
      <w:r w:rsidR="00FD2E79" w:rsidRPr="00650EE4">
        <w:rPr>
          <w:rFonts w:ascii="Times New Roman" w:hAnsi="Times New Roman"/>
          <w:color w:val="000000" w:themeColor="text1"/>
          <w:szCs w:val="22"/>
        </w:rPr>
        <w:t>titinkamai gali būti</w:t>
      </w:r>
      <w:r w:rsidRPr="00650EE4">
        <w:rPr>
          <w:rFonts w:ascii="Times New Roman" w:hAnsi="Times New Roman"/>
          <w:color w:val="000000" w:themeColor="text1"/>
          <w:szCs w:val="22"/>
        </w:rPr>
        <w:t xml:space="preserve"> suskirstytas ir pastatų fondas. Paveiksle žemiau pateikiamas </w:t>
      </w:r>
      <w:r w:rsidR="00BB1115">
        <w:rPr>
          <w:rFonts w:ascii="Times New Roman" w:hAnsi="Times New Roman"/>
          <w:color w:val="000000" w:themeColor="text1"/>
          <w:szCs w:val="22"/>
        </w:rPr>
        <w:t>p</w:t>
      </w:r>
      <w:r w:rsidR="00FD2E79" w:rsidRPr="00650EE4">
        <w:rPr>
          <w:rFonts w:ascii="Times New Roman" w:hAnsi="Times New Roman"/>
          <w:color w:val="000000" w:themeColor="text1"/>
          <w:szCs w:val="22"/>
        </w:rPr>
        <w:t>astatų fondo pirminės energijos vartojimas pagal energinį efektyvumą (nuo blogiausio iki geriausio)</w:t>
      </w:r>
      <w:r w:rsidR="00B93B01" w:rsidRPr="00650EE4">
        <w:rPr>
          <w:rFonts w:ascii="Times New Roman" w:hAnsi="Times New Roman"/>
          <w:color w:val="000000" w:themeColor="text1"/>
          <w:szCs w:val="22"/>
        </w:rPr>
        <w:t xml:space="preserve"> ir šiluminės energijos šaltinį</w:t>
      </w:r>
      <w:r w:rsidR="000C7BFA" w:rsidRPr="00650EE4">
        <w:rPr>
          <w:rFonts w:ascii="Times New Roman" w:hAnsi="Times New Roman"/>
          <w:color w:val="000000" w:themeColor="text1"/>
          <w:szCs w:val="22"/>
        </w:rPr>
        <w:t xml:space="preserve"> (nuo didžiausių iki mažiausių</w:t>
      </w:r>
      <w:r w:rsidR="00FD2E79" w:rsidRPr="00650EE4">
        <w:rPr>
          <w:rFonts w:ascii="Times New Roman" w:hAnsi="Times New Roman"/>
          <w:color w:val="000000" w:themeColor="text1"/>
          <w:szCs w:val="22"/>
        </w:rPr>
        <w:t xml:space="preserve"> CO</w:t>
      </w:r>
      <w:r w:rsidR="00FD2E79" w:rsidRPr="00650EE4">
        <w:rPr>
          <w:rFonts w:ascii="Times New Roman" w:hAnsi="Times New Roman"/>
          <w:color w:val="000000" w:themeColor="text1"/>
          <w:szCs w:val="22"/>
          <w:vertAlign w:val="subscript"/>
        </w:rPr>
        <w:t>2</w:t>
      </w:r>
      <w:r w:rsidR="00FD2E79" w:rsidRPr="00650EE4">
        <w:rPr>
          <w:rFonts w:ascii="Times New Roman" w:hAnsi="Times New Roman"/>
          <w:color w:val="000000" w:themeColor="text1"/>
          <w:szCs w:val="22"/>
        </w:rPr>
        <w:t xml:space="preserve"> emisijų</w:t>
      </w:r>
      <w:r w:rsidR="000C7BFA" w:rsidRPr="00650EE4">
        <w:rPr>
          <w:rFonts w:ascii="Times New Roman" w:hAnsi="Times New Roman"/>
          <w:color w:val="000000" w:themeColor="text1"/>
          <w:szCs w:val="22"/>
        </w:rPr>
        <w:t xml:space="preserve"> v</w:t>
      </w:r>
      <w:r w:rsidR="00512894" w:rsidRPr="00650EE4">
        <w:rPr>
          <w:rFonts w:ascii="Times New Roman" w:hAnsi="Times New Roman"/>
          <w:color w:val="000000" w:themeColor="text1"/>
          <w:szCs w:val="22"/>
        </w:rPr>
        <w:t>ienam pagamintos energijos vnt.).</w:t>
      </w:r>
    </w:p>
    <w:p w14:paraId="3BCF8F70" w14:textId="265D7F0B" w:rsidR="00E723D0" w:rsidRDefault="00825D28" w:rsidP="00C63DF3">
      <w:pPr>
        <w:spacing w:line="240" w:lineRule="auto"/>
        <w:jc w:val="both"/>
        <w:rPr>
          <w:rFonts w:ascii="Times New Roman" w:eastAsiaTheme="minorHAnsi" w:hAnsi="Times New Roman"/>
          <w:bCs/>
          <w:i/>
          <w:color w:val="000000" w:themeColor="text1"/>
          <w:sz w:val="20"/>
          <w:szCs w:val="20"/>
        </w:rPr>
      </w:pPr>
      <w:r w:rsidRPr="00650EE4">
        <w:rPr>
          <w:rFonts w:ascii="Times New Roman" w:hAnsi="Times New Roman"/>
          <w:color w:val="000000" w:themeColor="text1"/>
          <w:szCs w:val="22"/>
        </w:rPr>
        <w:tab/>
      </w:r>
    </w:p>
    <w:p w14:paraId="340A8E6D" w14:textId="5AFFD456" w:rsidR="00512894" w:rsidRPr="00650EE4" w:rsidRDefault="00512894" w:rsidP="00512894">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15" w:name="_Toc67925277"/>
      <w:r w:rsidR="007744C1">
        <w:t>29</w:t>
      </w:r>
      <w:r w:rsidRPr="00650EE4">
        <w:rPr>
          <w:noProof w:val="0"/>
        </w:rPr>
        <w:fldChar w:fldCharType="end"/>
      </w:r>
      <w:r w:rsidRPr="00650EE4">
        <w:rPr>
          <w:noProof w:val="0"/>
        </w:rPr>
        <w:t xml:space="preserve"> paveikslas. Pirminės energijos vartojimas pagal energinį efektyvumą ir šilumos gamybos šaltinį (</w:t>
      </w:r>
      <w:proofErr w:type="spellStart"/>
      <w:r w:rsidRPr="00650EE4">
        <w:rPr>
          <w:noProof w:val="0"/>
        </w:rPr>
        <w:t>GWh</w:t>
      </w:r>
      <w:proofErr w:type="spellEnd"/>
      <w:r w:rsidRPr="00650EE4">
        <w:rPr>
          <w:noProof w:val="0"/>
        </w:rPr>
        <w:t>/metus)</w:t>
      </w:r>
      <w:bookmarkEnd w:id="215"/>
    </w:p>
    <w:p w14:paraId="4A19DCA3" w14:textId="6159C053" w:rsidR="007B103B" w:rsidRPr="00650EE4" w:rsidRDefault="000E4F63" w:rsidP="00FD2E79">
      <w:pPr>
        <w:spacing w:line="240" w:lineRule="auto"/>
        <w:jc w:val="both"/>
        <w:rPr>
          <w:rFonts w:ascii="Times New Roman" w:hAnsi="Times New Roman"/>
          <w:color w:val="000000" w:themeColor="text1"/>
          <w:szCs w:val="22"/>
        </w:rPr>
      </w:pPr>
      <w:r w:rsidRPr="00650EE4">
        <w:rPr>
          <w:noProof/>
          <w:lang w:eastAsia="lt-LT"/>
        </w:rPr>
        <w:drawing>
          <wp:inline distT="0" distB="0" distL="0" distR="0" wp14:anchorId="4B340FB0" wp14:editId="4D0C3EC2">
            <wp:extent cx="5314950" cy="398621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7868" cy="3988401"/>
                    </a:xfrm>
                    <a:prstGeom prst="rect">
                      <a:avLst/>
                    </a:prstGeom>
                  </pic:spPr>
                </pic:pic>
              </a:graphicData>
            </a:graphic>
          </wp:inline>
        </w:drawing>
      </w:r>
    </w:p>
    <w:p w14:paraId="5A80AF76" w14:textId="3CA9A87B" w:rsidR="000E4F63" w:rsidRPr="00650EE4" w:rsidRDefault="000E4F63" w:rsidP="000E4F63">
      <w:pPr>
        <w:pStyle w:val="TESlentelspavadinimas"/>
        <w:rPr>
          <w:noProof w:val="0"/>
        </w:rPr>
      </w:pPr>
      <w:r w:rsidRPr="00650EE4">
        <w:rPr>
          <w:noProof w:val="0"/>
        </w:rPr>
        <w:t xml:space="preserve">Šaltinis: </w:t>
      </w:r>
      <w:r w:rsidR="000236DB" w:rsidRPr="00650EE4">
        <w:rPr>
          <w:noProof w:val="0"/>
        </w:rPr>
        <w:t>S</w:t>
      </w:r>
      <w:r w:rsidRPr="00650EE4">
        <w:rPr>
          <w:noProof w:val="0"/>
        </w:rPr>
        <w:t xml:space="preserve">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685F22F5" w14:textId="2685527B" w:rsidR="007B103B" w:rsidRPr="00650EE4" w:rsidRDefault="000E4F63"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paveiksle aukš</w:t>
      </w:r>
      <w:r w:rsidR="005B5CA8" w:rsidRPr="00650EE4">
        <w:rPr>
          <w:rFonts w:ascii="Times New Roman" w:hAnsi="Times New Roman"/>
          <w:color w:val="000000" w:themeColor="text1"/>
          <w:szCs w:val="22"/>
        </w:rPr>
        <w:t>č</w:t>
      </w:r>
      <w:r w:rsidRPr="00650EE4">
        <w:rPr>
          <w:rFonts w:ascii="Times New Roman" w:hAnsi="Times New Roman"/>
          <w:color w:val="000000" w:themeColor="text1"/>
          <w:szCs w:val="22"/>
        </w:rPr>
        <w:t>iau pateiktus duo</w:t>
      </w:r>
      <w:r w:rsidR="005B5CA8" w:rsidRPr="00650EE4">
        <w:rPr>
          <w:rFonts w:ascii="Times New Roman" w:hAnsi="Times New Roman"/>
          <w:color w:val="000000" w:themeColor="text1"/>
          <w:szCs w:val="22"/>
        </w:rPr>
        <w:t>menis</w:t>
      </w:r>
      <w:r w:rsidR="00F70092" w:rsidRPr="00650EE4">
        <w:rPr>
          <w:rFonts w:ascii="Times New Roman" w:hAnsi="Times New Roman"/>
          <w:color w:val="000000" w:themeColor="text1"/>
          <w:szCs w:val="22"/>
        </w:rPr>
        <w:t>,</w:t>
      </w:r>
      <w:r w:rsidR="005B5CA8" w:rsidRPr="00650EE4">
        <w:rPr>
          <w:rFonts w:ascii="Times New Roman" w:hAnsi="Times New Roman"/>
          <w:color w:val="000000" w:themeColor="text1"/>
          <w:szCs w:val="22"/>
        </w:rPr>
        <w:t xml:space="preserve"> galima identifikuoti prioritetines pastatų fondo grupes.</w:t>
      </w:r>
    </w:p>
    <w:p w14:paraId="0BF84525" w14:textId="77777777" w:rsidR="008D442E" w:rsidRPr="00650EE4" w:rsidRDefault="008D442E" w:rsidP="00FD2E79">
      <w:pPr>
        <w:spacing w:line="240" w:lineRule="auto"/>
        <w:jc w:val="both"/>
        <w:rPr>
          <w:rFonts w:ascii="Times New Roman" w:hAnsi="Times New Roman"/>
          <w:color w:val="000000" w:themeColor="text1"/>
          <w:szCs w:val="22"/>
        </w:rPr>
      </w:pPr>
    </w:p>
    <w:p w14:paraId="7F080F2E" w14:textId="0B736983" w:rsidR="005B5CA8" w:rsidRPr="00650EE4" w:rsidRDefault="005B5CA8"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Aukštas prioritetas:</w:t>
      </w:r>
    </w:p>
    <w:p w14:paraId="70A390A9" w14:textId="08911F02" w:rsidR="005B5CA8"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ž</w:t>
      </w:r>
      <w:r w:rsidR="000E4F63" w:rsidRPr="00650EE4">
        <w:rPr>
          <w:rFonts w:ascii="Times New Roman" w:hAnsi="Times New Roman"/>
          <w:color w:val="000000" w:themeColor="text1"/>
          <w:szCs w:val="22"/>
          <w:lang w:val="lt-LT"/>
        </w:rPr>
        <w:t xml:space="preserve">emo energinio efektyvumo (ENK ≤D) pastatai naudojantys iškastinį kurą </w:t>
      </w:r>
      <w:r w:rsidR="009A1141" w:rsidRPr="00650EE4">
        <w:rPr>
          <w:rFonts w:ascii="Times New Roman" w:hAnsi="Times New Roman"/>
          <w:color w:val="000000" w:themeColor="text1"/>
          <w:szCs w:val="22"/>
          <w:lang w:val="lt-LT"/>
        </w:rPr>
        <w:t xml:space="preserve">(9,9 </w:t>
      </w:r>
      <w:proofErr w:type="spellStart"/>
      <w:r w:rsidR="009A1141" w:rsidRPr="00650EE4">
        <w:rPr>
          <w:rFonts w:ascii="Times New Roman" w:hAnsi="Times New Roman"/>
          <w:color w:val="000000" w:themeColor="text1"/>
          <w:szCs w:val="22"/>
          <w:lang w:val="lt-LT"/>
        </w:rPr>
        <w:t>TWh</w:t>
      </w:r>
      <w:proofErr w:type="spellEnd"/>
      <w:r w:rsidR="009A1141" w:rsidRPr="00650EE4">
        <w:rPr>
          <w:rFonts w:ascii="Times New Roman" w:hAnsi="Times New Roman"/>
          <w:color w:val="000000" w:themeColor="text1"/>
          <w:szCs w:val="22"/>
          <w:lang w:val="lt-LT"/>
        </w:rPr>
        <w:t>), kuriems taikytinos tiek EE tiek AEI priemonės</w:t>
      </w:r>
      <w:r>
        <w:rPr>
          <w:rFonts w:ascii="Times New Roman" w:hAnsi="Times New Roman"/>
          <w:color w:val="000000" w:themeColor="text1"/>
          <w:szCs w:val="22"/>
          <w:lang w:val="lt-LT"/>
        </w:rPr>
        <w:t>;</w:t>
      </w:r>
    </w:p>
    <w:p w14:paraId="64D3DAA7" w14:textId="425F3E85" w:rsidR="000E4F63" w:rsidRPr="00650EE4" w:rsidRDefault="00BB1115" w:rsidP="00BD4925">
      <w:pPr>
        <w:pStyle w:val="ListParagraph"/>
        <w:numPr>
          <w:ilvl w:val="0"/>
          <w:numId w:val="72"/>
        </w:numPr>
        <w:spacing w:before="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ž</w:t>
      </w:r>
      <w:r w:rsidR="000E4F63" w:rsidRPr="00650EE4">
        <w:rPr>
          <w:rFonts w:ascii="Times New Roman" w:hAnsi="Times New Roman"/>
          <w:color w:val="000000" w:themeColor="text1"/>
          <w:szCs w:val="22"/>
          <w:lang w:val="lt-LT"/>
        </w:rPr>
        <w:t>emo energinio efektyvumo pastatai</w:t>
      </w:r>
      <w:r w:rsidR="00D60348" w:rsidRPr="00650EE4">
        <w:rPr>
          <w:rFonts w:ascii="Times New Roman" w:hAnsi="Times New Roman"/>
          <w:color w:val="000000" w:themeColor="text1"/>
          <w:szCs w:val="22"/>
          <w:lang w:val="lt-LT"/>
        </w:rPr>
        <w:t>, ne</w:t>
      </w:r>
      <w:r w:rsidR="005B5CA8" w:rsidRPr="00650EE4">
        <w:rPr>
          <w:rFonts w:ascii="Times New Roman" w:hAnsi="Times New Roman"/>
          <w:color w:val="000000" w:themeColor="text1"/>
          <w:szCs w:val="22"/>
          <w:lang w:val="lt-LT"/>
        </w:rPr>
        <w:t>naudojantys iškastinio kuro</w:t>
      </w:r>
      <w:r w:rsidR="00160B4C" w:rsidRPr="00650EE4">
        <w:rPr>
          <w:rStyle w:val="FootnoteReference"/>
          <w:rFonts w:ascii="Times New Roman" w:hAnsi="Times New Roman"/>
          <w:color w:val="000000" w:themeColor="text1"/>
          <w:szCs w:val="22"/>
          <w:lang w:val="lt-LT"/>
        </w:rPr>
        <w:footnoteReference w:id="61"/>
      </w:r>
      <w:r w:rsidR="000E4F63" w:rsidRPr="00650EE4">
        <w:rPr>
          <w:rFonts w:ascii="Times New Roman" w:hAnsi="Times New Roman"/>
          <w:color w:val="000000" w:themeColor="text1"/>
          <w:szCs w:val="22"/>
          <w:lang w:val="lt-LT"/>
        </w:rPr>
        <w:t xml:space="preserve"> (21,7 </w:t>
      </w:r>
      <w:proofErr w:type="spellStart"/>
      <w:r w:rsidR="000E4F63" w:rsidRPr="00650EE4">
        <w:rPr>
          <w:rFonts w:ascii="Times New Roman" w:hAnsi="Times New Roman"/>
          <w:color w:val="000000" w:themeColor="text1"/>
          <w:szCs w:val="22"/>
          <w:lang w:val="lt-LT"/>
        </w:rPr>
        <w:t>TWh</w:t>
      </w:r>
      <w:proofErr w:type="spellEnd"/>
      <w:r w:rsidR="000E4F63" w:rsidRPr="00650EE4">
        <w:rPr>
          <w:rFonts w:ascii="Times New Roman" w:hAnsi="Times New Roman"/>
          <w:color w:val="000000" w:themeColor="text1"/>
          <w:szCs w:val="22"/>
          <w:lang w:val="lt-LT"/>
        </w:rPr>
        <w:t>), kuriems taikytinos EE priemonės</w:t>
      </w:r>
      <w:r w:rsidR="009A1141" w:rsidRPr="00650EE4">
        <w:rPr>
          <w:rFonts w:ascii="Times New Roman" w:hAnsi="Times New Roman"/>
          <w:color w:val="000000" w:themeColor="text1"/>
          <w:szCs w:val="22"/>
          <w:lang w:val="lt-LT"/>
        </w:rPr>
        <w:t>.</w:t>
      </w:r>
    </w:p>
    <w:p w14:paraId="4E814E1E" w14:textId="77777777" w:rsidR="008D442E" w:rsidRPr="00650EE4" w:rsidRDefault="008D442E" w:rsidP="008D442E">
      <w:pPr>
        <w:pStyle w:val="ListParagraph"/>
        <w:ind w:left="714"/>
        <w:contextualSpacing w:val="0"/>
        <w:jc w:val="both"/>
        <w:rPr>
          <w:rFonts w:ascii="Times New Roman" w:hAnsi="Times New Roman"/>
          <w:color w:val="000000" w:themeColor="text1"/>
          <w:szCs w:val="22"/>
          <w:lang w:val="lt-LT"/>
        </w:rPr>
      </w:pPr>
    </w:p>
    <w:p w14:paraId="57653251" w14:textId="77777777" w:rsidR="006D2878" w:rsidRPr="00650EE4" w:rsidRDefault="006D2878" w:rsidP="008D442E">
      <w:pPr>
        <w:spacing w:afterLines="60" w:after="144"/>
        <w:jc w:val="both"/>
        <w:rPr>
          <w:rFonts w:ascii="Times New Roman" w:hAnsi="Times New Roman"/>
          <w:color w:val="000000" w:themeColor="text1"/>
          <w:szCs w:val="22"/>
        </w:rPr>
      </w:pPr>
      <w:r w:rsidRPr="00650EE4">
        <w:rPr>
          <w:rFonts w:ascii="Times New Roman" w:hAnsi="Times New Roman"/>
          <w:color w:val="000000" w:themeColor="text1"/>
          <w:szCs w:val="22"/>
        </w:rPr>
        <w:t>Vidutinis prioritetas:</w:t>
      </w:r>
    </w:p>
    <w:p w14:paraId="676248A1" w14:textId="02D8DA94" w:rsidR="001B70AE"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00013C34" w:rsidRPr="00650EE4">
        <w:rPr>
          <w:rFonts w:ascii="Times New Roman" w:hAnsi="Times New Roman"/>
          <w:color w:val="000000" w:themeColor="text1"/>
          <w:szCs w:val="22"/>
          <w:lang w:val="lt-LT"/>
        </w:rPr>
        <w:t xml:space="preserve">idutinio energinio efektyvumo (ENK C) pastatai naudojantys iškastinį kurą </w:t>
      </w:r>
      <w:r w:rsidR="005B5CA8" w:rsidRPr="00650EE4">
        <w:rPr>
          <w:rFonts w:ascii="Times New Roman" w:hAnsi="Times New Roman"/>
          <w:color w:val="000000" w:themeColor="text1"/>
          <w:szCs w:val="22"/>
          <w:lang w:val="lt-LT"/>
        </w:rPr>
        <w:t xml:space="preserve">(1,5 </w:t>
      </w:r>
      <w:proofErr w:type="spellStart"/>
      <w:r w:rsidR="005B5CA8" w:rsidRPr="00650EE4">
        <w:rPr>
          <w:rFonts w:ascii="Times New Roman" w:hAnsi="Times New Roman"/>
          <w:color w:val="000000" w:themeColor="text1"/>
          <w:szCs w:val="22"/>
          <w:lang w:val="lt-LT"/>
        </w:rPr>
        <w:t>TWh</w:t>
      </w:r>
      <w:proofErr w:type="spellEnd"/>
      <w:r w:rsidR="005B5CA8" w:rsidRPr="00650EE4">
        <w:rPr>
          <w:rFonts w:ascii="Times New Roman" w:hAnsi="Times New Roman"/>
          <w:color w:val="000000" w:themeColor="text1"/>
          <w:szCs w:val="22"/>
          <w:lang w:val="lt-LT"/>
        </w:rPr>
        <w:t>), kuriems taikytinos tiek EE tiek</w:t>
      </w:r>
      <w:r w:rsidR="00013C34" w:rsidRPr="00650EE4">
        <w:rPr>
          <w:rFonts w:ascii="Times New Roman" w:hAnsi="Times New Roman"/>
          <w:color w:val="000000" w:themeColor="text1"/>
          <w:szCs w:val="22"/>
          <w:lang w:val="lt-LT"/>
        </w:rPr>
        <w:t xml:space="preserve"> AEI priemonės</w:t>
      </w:r>
      <w:r>
        <w:rPr>
          <w:rFonts w:ascii="Times New Roman" w:hAnsi="Times New Roman"/>
          <w:color w:val="000000" w:themeColor="text1"/>
          <w:szCs w:val="22"/>
          <w:lang w:val="lt-LT"/>
        </w:rPr>
        <w:t>;</w:t>
      </w:r>
      <w:r w:rsidR="00013C34" w:rsidRPr="00650EE4">
        <w:rPr>
          <w:rFonts w:ascii="Times New Roman" w:hAnsi="Times New Roman"/>
          <w:color w:val="000000" w:themeColor="text1"/>
          <w:szCs w:val="22"/>
          <w:lang w:val="lt-LT"/>
        </w:rPr>
        <w:t xml:space="preserve"> </w:t>
      </w:r>
    </w:p>
    <w:p w14:paraId="21454BD6" w14:textId="544606E1" w:rsidR="00013C34"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00013C34" w:rsidRPr="00650EE4">
        <w:rPr>
          <w:rFonts w:ascii="Times New Roman" w:hAnsi="Times New Roman"/>
          <w:color w:val="000000" w:themeColor="text1"/>
          <w:szCs w:val="22"/>
          <w:lang w:val="lt-LT"/>
        </w:rPr>
        <w:t xml:space="preserve">idutinio energinio efektyvumo pastatai (3,9 </w:t>
      </w:r>
      <w:proofErr w:type="spellStart"/>
      <w:r w:rsidR="00013C34" w:rsidRPr="00650EE4">
        <w:rPr>
          <w:rFonts w:ascii="Times New Roman" w:hAnsi="Times New Roman"/>
          <w:color w:val="000000" w:themeColor="text1"/>
          <w:szCs w:val="22"/>
          <w:lang w:val="lt-LT"/>
        </w:rPr>
        <w:t>TWh</w:t>
      </w:r>
      <w:proofErr w:type="spellEnd"/>
      <w:r w:rsidR="00013C34" w:rsidRPr="00650EE4">
        <w:rPr>
          <w:rFonts w:ascii="Times New Roman" w:hAnsi="Times New Roman"/>
          <w:color w:val="000000" w:themeColor="text1"/>
          <w:szCs w:val="22"/>
          <w:lang w:val="lt-LT"/>
        </w:rPr>
        <w:t xml:space="preserve">), </w:t>
      </w:r>
      <w:r w:rsidR="00D60348" w:rsidRPr="00650EE4">
        <w:rPr>
          <w:rFonts w:ascii="Times New Roman" w:hAnsi="Times New Roman"/>
          <w:color w:val="000000" w:themeColor="text1"/>
          <w:szCs w:val="22"/>
          <w:lang w:val="lt-LT"/>
        </w:rPr>
        <w:t xml:space="preserve">nenaudojantys iškastinio kuro </w:t>
      </w:r>
      <w:r w:rsidR="00013C34" w:rsidRPr="00650EE4">
        <w:rPr>
          <w:rFonts w:ascii="Times New Roman" w:hAnsi="Times New Roman"/>
          <w:color w:val="000000" w:themeColor="text1"/>
          <w:szCs w:val="22"/>
          <w:lang w:val="lt-LT"/>
        </w:rPr>
        <w:t>kuriems taikytinos EE priemonės</w:t>
      </w:r>
      <w:r w:rsidR="005B5CA8" w:rsidRPr="00650EE4">
        <w:rPr>
          <w:rFonts w:ascii="Times New Roman" w:hAnsi="Times New Roman"/>
          <w:color w:val="000000" w:themeColor="text1"/>
          <w:szCs w:val="22"/>
          <w:lang w:val="lt-LT"/>
        </w:rPr>
        <w:t>.</w:t>
      </w:r>
    </w:p>
    <w:p w14:paraId="75C85E63" w14:textId="273380EA" w:rsidR="00073C56" w:rsidRPr="00650EE4" w:rsidRDefault="00073C56" w:rsidP="00073C56">
      <w:pPr>
        <w:spacing w:before="120" w:afterLines="60" w:after="144"/>
        <w:jc w:val="both"/>
        <w:rPr>
          <w:rFonts w:ascii="Times New Roman" w:hAnsi="Times New Roman"/>
          <w:color w:val="000000" w:themeColor="text1"/>
          <w:szCs w:val="22"/>
        </w:rPr>
      </w:pPr>
      <w:r w:rsidRPr="00650EE4">
        <w:rPr>
          <w:rFonts w:ascii="Times New Roman" w:hAnsi="Times New Roman"/>
          <w:color w:val="000000" w:themeColor="text1"/>
          <w:szCs w:val="22"/>
        </w:rPr>
        <w:t>Žemas prioritetas:</w:t>
      </w:r>
    </w:p>
    <w:p w14:paraId="57D818E4" w14:textId="1D82B88A" w:rsidR="005B5CA8"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073C56" w:rsidRPr="00650EE4">
        <w:rPr>
          <w:rFonts w:ascii="Times New Roman" w:hAnsi="Times New Roman"/>
          <w:color w:val="000000" w:themeColor="text1"/>
          <w:szCs w:val="22"/>
          <w:lang w:val="lt-LT"/>
        </w:rPr>
        <w:t xml:space="preserve">ukšto energinio efektyvumo (ENK ≥ B) pastatai naudojantys iškastinį kurą (1 </w:t>
      </w:r>
      <w:proofErr w:type="spellStart"/>
      <w:r w:rsidR="00073C56" w:rsidRPr="00650EE4">
        <w:rPr>
          <w:rFonts w:ascii="Times New Roman" w:hAnsi="Times New Roman"/>
          <w:color w:val="000000" w:themeColor="text1"/>
          <w:szCs w:val="22"/>
          <w:lang w:val="lt-LT"/>
        </w:rPr>
        <w:t>TWh</w:t>
      </w:r>
      <w:proofErr w:type="spellEnd"/>
      <w:r w:rsidR="00073C56" w:rsidRPr="00650EE4">
        <w:rPr>
          <w:rFonts w:ascii="Times New Roman" w:hAnsi="Times New Roman"/>
          <w:color w:val="000000" w:themeColor="text1"/>
          <w:szCs w:val="22"/>
          <w:lang w:val="lt-LT"/>
        </w:rPr>
        <w:t>), kuriems taikytinos AEI priemonės</w:t>
      </w:r>
      <w:r w:rsidR="00F94721" w:rsidRPr="00650EE4">
        <w:rPr>
          <w:rFonts w:ascii="Times New Roman" w:hAnsi="Times New Roman"/>
          <w:color w:val="000000" w:themeColor="text1"/>
          <w:szCs w:val="22"/>
          <w:lang w:val="lt-LT"/>
        </w:rPr>
        <w:t>.</w:t>
      </w:r>
    </w:p>
    <w:p w14:paraId="6B79D1AF" w14:textId="77777777" w:rsidR="00073C56" w:rsidRPr="00650EE4" w:rsidRDefault="00073C56" w:rsidP="00073C56">
      <w:pPr>
        <w:jc w:val="both"/>
        <w:rPr>
          <w:rFonts w:ascii="Times New Roman" w:hAnsi="Times New Roman"/>
          <w:color w:val="000000" w:themeColor="text1"/>
          <w:szCs w:val="22"/>
        </w:rPr>
      </w:pPr>
    </w:p>
    <w:p w14:paraId="36111A74" w14:textId="2E6F4410" w:rsidR="00BB1115" w:rsidRDefault="00250EA6" w:rsidP="00BB1115">
      <w:pPr>
        <w:jc w:val="both"/>
        <w:rPr>
          <w:rFonts w:ascii="Times New Roman" w:hAnsi="Times New Roman"/>
          <w:color w:val="000000" w:themeColor="text1"/>
          <w:szCs w:val="22"/>
        </w:rPr>
      </w:pPr>
      <w:r>
        <w:rPr>
          <w:rFonts w:ascii="Times New Roman" w:hAnsi="Times New Roman"/>
          <w:color w:val="000000" w:themeColor="text1"/>
          <w:szCs w:val="22"/>
        </w:rPr>
        <w:t>Aukščiau identifikuotos</w:t>
      </w:r>
      <w:r w:rsidR="00BB1115">
        <w:rPr>
          <w:rFonts w:ascii="Times New Roman" w:hAnsi="Times New Roman"/>
          <w:color w:val="000000" w:themeColor="text1"/>
          <w:szCs w:val="22"/>
        </w:rPr>
        <w:t xml:space="preserve"> </w:t>
      </w:r>
      <w:r>
        <w:rPr>
          <w:rFonts w:ascii="Times New Roman" w:hAnsi="Times New Roman"/>
          <w:color w:val="000000" w:themeColor="text1"/>
          <w:szCs w:val="22"/>
        </w:rPr>
        <w:t>prioritetinės kryptys</w:t>
      </w:r>
      <w:r w:rsidR="00BB1115">
        <w:rPr>
          <w:rFonts w:ascii="Times New Roman" w:hAnsi="Times New Roman"/>
          <w:color w:val="000000" w:themeColor="text1"/>
          <w:szCs w:val="22"/>
        </w:rPr>
        <w:t xml:space="preserve"> turėtų atspindėti rengiamame priemonių pakete, numatant į prioritetinius pastatų fondo segmentus orientuotas paramos priemones, pvz., </w:t>
      </w:r>
      <w:proofErr w:type="spellStart"/>
      <w:r w:rsidR="00BB1115">
        <w:rPr>
          <w:rFonts w:ascii="Times New Roman" w:hAnsi="Times New Roman"/>
          <w:color w:val="000000" w:themeColor="text1"/>
          <w:szCs w:val="22"/>
        </w:rPr>
        <w:t>k</w:t>
      </w:r>
      <w:r w:rsidR="00BB1115" w:rsidRPr="0065297E">
        <w:rPr>
          <w:rFonts w:ascii="Times New Roman" w:hAnsi="Times New Roman"/>
          <w:color w:val="000000" w:themeColor="text1"/>
          <w:szCs w:val="22"/>
        </w:rPr>
        <w:t>vartalinė</w:t>
      </w:r>
      <w:proofErr w:type="spellEnd"/>
      <w:r w:rsidR="00BB1115" w:rsidRPr="0065297E">
        <w:rPr>
          <w:rFonts w:ascii="Times New Roman" w:hAnsi="Times New Roman"/>
          <w:color w:val="000000" w:themeColor="text1"/>
          <w:szCs w:val="22"/>
        </w:rPr>
        <w:t xml:space="preserve"> renovacija žemo energinio efektyvumo dau</w:t>
      </w:r>
      <w:r w:rsidR="00BB1115">
        <w:rPr>
          <w:rFonts w:ascii="Times New Roman" w:hAnsi="Times New Roman"/>
          <w:color w:val="000000" w:themeColor="text1"/>
          <w:szCs w:val="22"/>
        </w:rPr>
        <w:t>giabučiams, AEI priemonės</w:t>
      </w:r>
      <w:r w:rsidR="00BB1115" w:rsidRPr="006E71D6">
        <w:rPr>
          <w:rFonts w:ascii="Times New Roman" w:hAnsi="Times New Roman"/>
          <w:color w:val="000000" w:themeColor="text1"/>
          <w:szCs w:val="22"/>
        </w:rPr>
        <w:t xml:space="preserve"> iškastinį kurą naudojantiems individualiems gamybos šaltiniams </w:t>
      </w:r>
      <w:r w:rsidR="00BB1115">
        <w:rPr>
          <w:rFonts w:ascii="Times New Roman" w:hAnsi="Times New Roman"/>
          <w:color w:val="000000" w:themeColor="text1"/>
          <w:szCs w:val="22"/>
        </w:rPr>
        <w:t>pakeisti ir pan.</w:t>
      </w:r>
    </w:p>
    <w:p w14:paraId="493092C8" w14:textId="77777777" w:rsidR="00BB1115" w:rsidRDefault="00BB1115" w:rsidP="00BB1115">
      <w:pPr>
        <w:jc w:val="both"/>
        <w:rPr>
          <w:rFonts w:ascii="Times New Roman" w:hAnsi="Times New Roman"/>
          <w:color w:val="000000" w:themeColor="text1"/>
          <w:szCs w:val="22"/>
        </w:rPr>
      </w:pPr>
    </w:p>
    <w:p w14:paraId="677BD6CC" w14:textId="407E0A98" w:rsidR="00BB1115" w:rsidRDefault="00BB1115" w:rsidP="00BB1115">
      <w:pPr>
        <w:jc w:val="both"/>
        <w:rPr>
          <w:rFonts w:ascii="Times New Roman" w:hAnsi="Times New Roman"/>
          <w:color w:val="000000" w:themeColor="text1"/>
          <w:szCs w:val="22"/>
        </w:rPr>
      </w:pPr>
      <w:r>
        <w:rPr>
          <w:rFonts w:ascii="Times New Roman" w:hAnsi="Times New Roman"/>
          <w:color w:val="000000" w:themeColor="text1"/>
          <w:szCs w:val="22"/>
        </w:rPr>
        <w:t xml:space="preserve">Konkrečių </w:t>
      </w:r>
      <w:r w:rsidRPr="006E71D6">
        <w:rPr>
          <w:rFonts w:ascii="Times New Roman" w:hAnsi="Times New Roman"/>
          <w:color w:val="000000" w:themeColor="text1"/>
          <w:szCs w:val="22"/>
        </w:rPr>
        <w:t>AEI priemonių įgyvendinimas gali būtų vykdomas pasirenkant įvairius AEI šaltinius, pvz. diegiant šilumos siurblius ir</w:t>
      </w:r>
      <w:r>
        <w:rPr>
          <w:rFonts w:ascii="Times New Roman" w:hAnsi="Times New Roman"/>
          <w:color w:val="000000" w:themeColor="text1"/>
          <w:szCs w:val="22"/>
        </w:rPr>
        <w:t xml:space="preserve"> </w:t>
      </w:r>
      <w:r w:rsidRPr="006E71D6">
        <w:rPr>
          <w:rFonts w:ascii="Times New Roman" w:hAnsi="Times New Roman"/>
          <w:color w:val="000000" w:themeColor="text1"/>
          <w:szCs w:val="22"/>
        </w:rPr>
        <w:t>/</w:t>
      </w:r>
      <w:r>
        <w:rPr>
          <w:rFonts w:ascii="Times New Roman" w:hAnsi="Times New Roman"/>
          <w:color w:val="000000" w:themeColor="text1"/>
          <w:szCs w:val="22"/>
        </w:rPr>
        <w:t xml:space="preserve"> </w:t>
      </w:r>
      <w:r w:rsidRPr="006E71D6">
        <w:rPr>
          <w:rFonts w:ascii="Times New Roman" w:hAnsi="Times New Roman"/>
          <w:color w:val="000000" w:themeColor="text1"/>
          <w:szCs w:val="22"/>
        </w:rPr>
        <w:t>arba fotovoltinių saulės kolektorius, gaminant elektrą iš vėjo ar hidroelektrinių, biokuro, gaminant šilumą iš vandenį šildančių saulės kolektorių, prisijungiant prie CŠT tinklų, perkant ir vartojant energiją iš nutolusių saulės, vėjo ir hidroelektrinių.</w:t>
      </w:r>
    </w:p>
    <w:p w14:paraId="14EC4FA4" w14:textId="77777777" w:rsidR="00BB1115" w:rsidRPr="006E71D6" w:rsidRDefault="00BB1115" w:rsidP="00BB1115">
      <w:pPr>
        <w:jc w:val="both"/>
        <w:rPr>
          <w:rFonts w:ascii="Times New Roman" w:hAnsi="Times New Roman"/>
          <w:color w:val="000000" w:themeColor="text1"/>
          <w:szCs w:val="22"/>
        </w:rPr>
      </w:pPr>
    </w:p>
    <w:p w14:paraId="48B7FFE6" w14:textId="77777777" w:rsidR="00BB1115" w:rsidRDefault="00BB1115" w:rsidP="00BB1115">
      <w:pPr>
        <w:jc w:val="both"/>
        <w:rPr>
          <w:rFonts w:ascii="Times New Roman" w:hAnsi="Times New Roman"/>
          <w:color w:val="000000" w:themeColor="text1"/>
          <w:szCs w:val="22"/>
        </w:rPr>
      </w:pPr>
      <w:r>
        <w:rPr>
          <w:rFonts w:ascii="Times New Roman" w:hAnsi="Times New Roman"/>
          <w:color w:val="000000" w:themeColor="text1"/>
          <w:szCs w:val="22"/>
        </w:rPr>
        <w:t xml:space="preserve">Vertinama, kad </w:t>
      </w:r>
      <w:r w:rsidRPr="006E71D6">
        <w:rPr>
          <w:rFonts w:ascii="Times New Roman" w:hAnsi="Times New Roman"/>
          <w:color w:val="000000" w:themeColor="text1"/>
          <w:szCs w:val="22"/>
        </w:rPr>
        <w:t xml:space="preserve">CŠT ir elektros sektoriai IRS įgyvendinimo </w:t>
      </w:r>
      <w:r>
        <w:rPr>
          <w:rFonts w:ascii="Times New Roman" w:hAnsi="Times New Roman"/>
          <w:color w:val="000000" w:themeColor="text1"/>
          <w:szCs w:val="22"/>
        </w:rPr>
        <w:t>eigoje kryptingai transformuosis</w:t>
      </w:r>
      <w:r w:rsidRPr="006E71D6">
        <w:rPr>
          <w:rFonts w:ascii="Times New Roman" w:hAnsi="Times New Roman"/>
          <w:color w:val="000000" w:themeColor="text1"/>
          <w:szCs w:val="22"/>
        </w:rPr>
        <w:t xml:space="preserve"> iškastinio kuro </w:t>
      </w:r>
      <w:r>
        <w:rPr>
          <w:rFonts w:ascii="Times New Roman" w:hAnsi="Times New Roman"/>
          <w:color w:val="000000" w:themeColor="text1"/>
          <w:szCs w:val="22"/>
        </w:rPr>
        <w:t>atsisakymo kryptimi</w:t>
      </w:r>
      <w:r w:rsidRPr="006E71D6">
        <w:rPr>
          <w:rFonts w:ascii="Times New Roman" w:hAnsi="Times New Roman"/>
          <w:color w:val="000000" w:themeColor="text1"/>
          <w:szCs w:val="22"/>
        </w:rPr>
        <w:t xml:space="preserve">, todėl jų keitimas </w:t>
      </w:r>
      <w:r>
        <w:rPr>
          <w:rFonts w:ascii="Times New Roman" w:hAnsi="Times New Roman"/>
          <w:color w:val="000000" w:themeColor="text1"/>
          <w:szCs w:val="22"/>
        </w:rPr>
        <w:t xml:space="preserve">alternatyviomis AEI priemonėmis nebūtų ekonomiškai racionalus ir </w:t>
      </w:r>
      <w:r w:rsidRPr="006E71D6">
        <w:rPr>
          <w:rFonts w:ascii="Times New Roman" w:hAnsi="Times New Roman"/>
          <w:color w:val="000000" w:themeColor="text1"/>
          <w:szCs w:val="22"/>
        </w:rPr>
        <w:t>skatinamas.</w:t>
      </w:r>
      <w:r>
        <w:rPr>
          <w:rFonts w:ascii="Times New Roman" w:hAnsi="Times New Roman"/>
          <w:color w:val="000000" w:themeColor="text1"/>
          <w:szCs w:val="22"/>
        </w:rPr>
        <w:t xml:space="preserve"> Ši nuostata turėtų būti periodiškai pakartotinai įvertinama (atnaujinant IRS), atsižvelgiant į faktinius numatytos sektorių transformacijos rezultatus.</w:t>
      </w:r>
    </w:p>
    <w:p w14:paraId="55E0F2AB" w14:textId="77777777" w:rsidR="00BB1115" w:rsidRPr="006E71D6" w:rsidRDefault="00BB1115" w:rsidP="00BB1115">
      <w:pPr>
        <w:jc w:val="both"/>
        <w:rPr>
          <w:rFonts w:ascii="Times New Roman" w:hAnsi="Times New Roman"/>
          <w:color w:val="000000" w:themeColor="text1"/>
          <w:szCs w:val="22"/>
        </w:rPr>
      </w:pPr>
    </w:p>
    <w:p w14:paraId="31CA7B57" w14:textId="2453B453" w:rsidR="00BB1115" w:rsidRPr="00650EE4" w:rsidRDefault="00250EA6" w:rsidP="00BB1115">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Aukščiau aprašytos</w:t>
      </w:r>
      <w:r w:rsidR="00BB1115" w:rsidRPr="00650EE4">
        <w:rPr>
          <w:rFonts w:ascii="Times New Roman" w:hAnsi="Times New Roman"/>
          <w:color w:val="000000" w:themeColor="text1"/>
          <w:szCs w:val="22"/>
        </w:rPr>
        <w:t xml:space="preserve"> IRS </w:t>
      </w:r>
      <w:r>
        <w:rPr>
          <w:rFonts w:ascii="Times New Roman" w:hAnsi="Times New Roman"/>
          <w:color w:val="000000" w:themeColor="text1"/>
          <w:szCs w:val="22"/>
        </w:rPr>
        <w:t>prioritetinės kryptys</w:t>
      </w:r>
      <w:r w:rsidR="00BB1115" w:rsidRPr="00650EE4">
        <w:rPr>
          <w:rFonts w:ascii="Times New Roman" w:hAnsi="Times New Roman"/>
          <w:color w:val="000000" w:themeColor="text1"/>
          <w:szCs w:val="22"/>
        </w:rPr>
        <w:t xml:space="preserve"> atitinka PEND ir kitų ES strateginių dokumentų nuostatas, numatančias, kad:</w:t>
      </w:r>
    </w:p>
    <w:p w14:paraId="3FEA7DB1" w14:textId="7D20814A" w:rsidR="00BB1115" w:rsidRPr="00650EE4" w:rsidRDefault="00C63DF3" w:rsidP="00BD4925">
      <w:pPr>
        <w:pStyle w:val="ListParagraph"/>
        <w:numPr>
          <w:ilvl w:val="0"/>
          <w:numId w:val="72"/>
        </w:numPr>
        <w:spacing w:before="120"/>
        <w:ind w:left="714" w:hanging="357"/>
        <w:contextualSpacing w:val="0"/>
        <w:jc w:val="both"/>
        <w:rPr>
          <w:rFonts w:ascii="Times New Roman" w:hAnsi="Times New Roman"/>
          <w:color w:val="auto"/>
          <w:szCs w:val="22"/>
          <w:lang w:val="lt-LT"/>
        </w:rPr>
      </w:pPr>
      <w:r>
        <w:rPr>
          <w:rFonts w:ascii="Times New Roman" w:hAnsi="Times New Roman"/>
          <w:color w:val="auto"/>
          <w:szCs w:val="22"/>
          <w:lang w:val="lt-LT"/>
        </w:rPr>
        <w:t>r</w:t>
      </w:r>
      <w:r w:rsidR="00BB1115" w:rsidRPr="00650EE4">
        <w:rPr>
          <w:rFonts w:ascii="Times New Roman" w:hAnsi="Times New Roman"/>
          <w:color w:val="auto"/>
          <w:szCs w:val="22"/>
          <w:lang w:val="lt-LT"/>
        </w:rPr>
        <w:t>enovuojant pastatų ūkį pirmenybė teikiama „energijos vartojimo efektyvumui, taikant principą „svarbiausia – energijos vartojimo efektyvumas“ ir apsva</w:t>
      </w:r>
      <w:r w:rsidR="00C22825">
        <w:rPr>
          <w:rFonts w:ascii="Times New Roman" w:hAnsi="Times New Roman"/>
          <w:color w:val="auto"/>
          <w:szCs w:val="22"/>
          <w:lang w:val="lt-LT"/>
        </w:rPr>
        <w:t>rstant AEI naudojimo galimybes“;</w:t>
      </w:r>
    </w:p>
    <w:p w14:paraId="21E4B4E9" w14:textId="785287A5" w:rsidR="00BB1115" w:rsidRDefault="00C22825" w:rsidP="00BD4925">
      <w:pPr>
        <w:pStyle w:val="ListParagraph"/>
        <w:numPr>
          <w:ilvl w:val="0"/>
          <w:numId w:val="72"/>
        </w:numPr>
        <w:spacing w:before="120"/>
        <w:ind w:left="714" w:hanging="357"/>
        <w:contextualSpacing w:val="0"/>
        <w:jc w:val="both"/>
        <w:rPr>
          <w:rFonts w:ascii="Times New Roman" w:hAnsi="Times New Roman"/>
          <w:color w:val="auto"/>
          <w:szCs w:val="22"/>
          <w:lang w:val="lt-LT"/>
        </w:rPr>
      </w:pPr>
      <w:r>
        <w:rPr>
          <w:rFonts w:ascii="Times New Roman" w:hAnsi="Times New Roman"/>
          <w:color w:val="auto"/>
          <w:szCs w:val="22"/>
          <w:lang w:val="lt-LT"/>
        </w:rPr>
        <w:t>d</w:t>
      </w:r>
      <w:r w:rsidR="00BB1115" w:rsidRPr="00650EE4">
        <w:rPr>
          <w:rFonts w:ascii="Times New Roman" w:hAnsi="Times New Roman"/>
          <w:color w:val="auto"/>
          <w:szCs w:val="22"/>
          <w:lang w:val="lt-LT"/>
        </w:rPr>
        <w:t>idelis dėmesys turi būti skiriamas prasčiausio energinio n</w:t>
      </w:r>
      <w:r w:rsidR="00C63DF3">
        <w:rPr>
          <w:rFonts w:ascii="Times New Roman" w:hAnsi="Times New Roman"/>
          <w:color w:val="auto"/>
          <w:szCs w:val="22"/>
          <w:lang w:val="lt-LT"/>
        </w:rPr>
        <w:t>audingumo pastatams;</w:t>
      </w:r>
    </w:p>
    <w:p w14:paraId="4A7B5401" w14:textId="1279BC11" w:rsidR="00C63DF3" w:rsidRPr="00C63DF3" w:rsidRDefault="00C63DF3" w:rsidP="00BD4925">
      <w:pPr>
        <w:pStyle w:val="ListParagraph"/>
        <w:numPr>
          <w:ilvl w:val="0"/>
          <w:numId w:val="72"/>
        </w:numPr>
        <w:spacing w:before="120"/>
        <w:ind w:left="714" w:hanging="357"/>
        <w:contextualSpacing w:val="0"/>
        <w:jc w:val="both"/>
        <w:rPr>
          <w:rFonts w:ascii="Times New Roman" w:hAnsi="Times New Roman"/>
          <w:color w:val="auto"/>
          <w:szCs w:val="22"/>
          <w:lang w:val="lt-LT"/>
        </w:rPr>
      </w:pPr>
      <w:r>
        <w:rPr>
          <w:rFonts w:ascii="Times New Roman" w:hAnsi="Times New Roman"/>
          <w:color w:val="auto"/>
          <w:szCs w:val="22"/>
          <w:lang w:val="lt-LT"/>
        </w:rPr>
        <w:t>e</w:t>
      </w:r>
      <w:r w:rsidRPr="00650EE4">
        <w:rPr>
          <w:rFonts w:ascii="Times New Roman" w:hAnsi="Times New Roman"/>
          <w:color w:val="auto"/>
          <w:szCs w:val="22"/>
          <w:lang w:val="lt-LT"/>
        </w:rPr>
        <w:t>nergijos vartojimo efektyvumui didinti renovuojant pastatus skirtos finansinės priemonės turėtų būti siejamos su tiksliniu arba pasiektu energijos sutaupymu.</w:t>
      </w:r>
    </w:p>
    <w:p w14:paraId="4AF39CE4" w14:textId="5DFD1EAB" w:rsidR="00180659" w:rsidRPr="00BB1115" w:rsidRDefault="00BB1115" w:rsidP="00BB1115">
      <w:pPr>
        <w:spacing w:before="120"/>
        <w:jc w:val="both"/>
        <w:rPr>
          <w:rFonts w:ascii="Times New Roman" w:hAnsi="Times New Roman"/>
          <w:color w:val="auto"/>
          <w:szCs w:val="22"/>
        </w:rPr>
      </w:pPr>
      <w:r w:rsidRPr="00650EE4">
        <w:rPr>
          <w:rFonts w:ascii="Times New Roman" w:hAnsi="Times New Roman"/>
          <w:color w:val="auto"/>
          <w:szCs w:val="22"/>
        </w:rPr>
        <w:t>Energijos vartojimo efektyvumui didinti renovuojant pastatus skirtos finansinės priemonės turėtų būti siejamos su tiksliniu arba pasiektu energijos sutaupymu.</w:t>
      </w:r>
    </w:p>
    <w:p w14:paraId="28DBDBD3" w14:textId="158D0267" w:rsidR="00B66166" w:rsidRPr="00650EE4" w:rsidRDefault="00B66166" w:rsidP="00AE63B2">
      <w:pPr>
        <w:jc w:val="both"/>
        <w:rPr>
          <w:rFonts w:ascii="Times New Roman" w:hAnsi="Times New Roman"/>
          <w:color w:val="000000" w:themeColor="text1"/>
          <w:szCs w:val="22"/>
        </w:rPr>
      </w:pPr>
    </w:p>
    <w:p w14:paraId="21FB6DA2" w14:textId="77777777" w:rsidR="00D113B8" w:rsidRPr="00650EE4" w:rsidRDefault="00D113B8" w:rsidP="00AE63B2">
      <w:pPr>
        <w:jc w:val="both"/>
        <w:rPr>
          <w:rFonts w:ascii="Times New Roman" w:hAnsi="Times New Roman"/>
          <w:color w:val="000000" w:themeColor="text1"/>
          <w:szCs w:val="22"/>
        </w:rPr>
      </w:pPr>
    </w:p>
    <w:p w14:paraId="3D33DDBC" w14:textId="4D030746" w:rsidR="002129F2" w:rsidRPr="00650EE4" w:rsidRDefault="00AF43CF" w:rsidP="00E52557">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216" w:name="_Toc67925180"/>
      <w:r w:rsidRPr="00650EE4">
        <w:rPr>
          <w:rFonts w:ascii="Times New Roman" w:hAnsi="Times New Roman"/>
          <w:color w:val="auto"/>
          <w:sz w:val="24"/>
          <w:szCs w:val="24"/>
          <w:lang w:val="lt-LT"/>
        </w:rPr>
        <w:t>Strategijos į</w:t>
      </w:r>
      <w:r w:rsidR="002129F2" w:rsidRPr="00650EE4">
        <w:rPr>
          <w:rFonts w:ascii="Times New Roman" w:hAnsi="Times New Roman"/>
          <w:color w:val="auto"/>
          <w:sz w:val="24"/>
          <w:szCs w:val="24"/>
          <w:lang w:val="lt-LT"/>
        </w:rPr>
        <w:t xml:space="preserve">gyvendinimo </w:t>
      </w:r>
      <w:r w:rsidRPr="00650EE4">
        <w:rPr>
          <w:rFonts w:ascii="Times New Roman" w:hAnsi="Times New Roman"/>
          <w:color w:val="auto"/>
          <w:sz w:val="24"/>
          <w:szCs w:val="24"/>
          <w:lang w:val="lt-LT"/>
        </w:rPr>
        <w:t>etapai</w:t>
      </w:r>
      <w:bookmarkEnd w:id="216"/>
    </w:p>
    <w:p w14:paraId="7F55E034" w14:textId="20D8751B" w:rsidR="00F94721" w:rsidRPr="00650EE4" w:rsidRDefault="00F94721" w:rsidP="00F94721">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IRS </w:t>
      </w:r>
      <w:r w:rsidR="003F660B" w:rsidRPr="00650EE4">
        <w:rPr>
          <w:rFonts w:ascii="Times New Roman" w:hAnsi="Times New Roman"/>
          <w:color w:val="000000" w:themeColor="text1"/>
          <w:szCs w:val="22"/>
        </w:rPr>
        <w:t xml:space="preserve">įgyvendinimo laikotarpis nuo 2021 iki 2050 m. </w:t>
      </w:r>
      <w:r w:rsidR="00E52557" w:rsidRPr="00650EE4">
        <w:rPr>
          <w:rFonts w:ascii="Times New Roman" w:hAnsi="Times New Roman"/>
          <w:color w:val="000000" w:themeColor="text1"/>
          <w:szCs w:val="22"/>
        </w:rPr>
        <w:t>skiriamas į 2 pagrindinius etapus:</w:t>
      </w:r>
    </w:p>
    <w:p w14:paraId="2B113DBD" w14:textId="7C71DFE0" w:rsidR="00E52557" w:rsidRPr="00650EE4" w:rsidRDefault="00E52557" w:rsidP="00BD4925">
      <w:pPr>
        <w:pStyle w:val="ListParagraph"/>
        <w:numPr>
          <w:ilvl w:val="0"/>
          <w:numId w:val="73"/>
        </w:numPr>
        <w:spacing w:before="120" w:after="60" w:line="240" w:lineRule="auto"/>
        <w:ind w:left="714" w:hanging="357"/>
        <w:contextualSpacing w:val="0"/>
        <w:jc w:val="both"/>
        <w:rPr>
          <w:rFonts w:ascii="Times New Roman" w:hAnsi="Times New Roman"/>
          <w:lang w:val="lt-LT"/>
        </w:rPr>
      </w:pPr>
      <w:r w:rsidRPr="00650EE4">
        <w:rPr>
          <w:rFonts w:ascii="Times New Roman" w:hAnsi="Times New Roman"/>
          <w:lang w:val="lt-LT"/>
        </w:rPr>
        <w:t>I. Pasirengimo etapas (2021-2022</w:t>
      </w:r>
      <w:r w:rsidR="00962852" w:rsidRPr="00650EE4">
        <w:rPr>
          <w:rFonts w:ascii="Times New Roman" w:hAnsi="Times New Roman"/>
          <w:lang w:val="lt-LT"/>
        </w:rPr>
        <w:t xml:space="preserve"> m.</w:t>
      </w:r>
      <w:r w:rsidRPr="00650EE4">
        <w:rPr>
          <w:rFonts w:ascii="Times New Roman" w:hAnsi="Times New Roman"/>
          <w:lang w:val="lt-LT"/>
        </w:rPr>
        <w:t>).</w:t>
      </w:r>
    </w:p>
    <w:p w14:paraId="15FA5BB5" w14:textId="2FAA4CAF" w:rsidR="00E52557" w:rsidRPr="00650EE4" w:rsidRDefault="00E52557" w:rsidP="00BD4925">
      <w:pPr>
        <w:pStyle w:val="ListParagraph"/>
        <w:numPr>
          <w:ilvl w:val="0"/>
          <w:numId w:val="73"/>
        </w:numPr>
        <w:spacing w:before="120" w:line="240" w:lineRule="auto"/>
        <w:ind w:left="714" w:hanging="357"/>
        <w:contextualSpacing w:val="0"/>
        <w:jc w:val="both"/>
        <w:rPr>
          <w:rFonts w:ascii="Times New Roman" w:hAnsi="Times New Roman"/>
          <w:lang w:val="lt-LT"/>
        </w:rPr>
      </w:pPr>
      <w:r w:rsidRPr="00650EE4">
        <w:rPr>
          <w:rFonts w:ascii="Times New Roman" w:hAnsi="Times New Roman"/>
          <w:lang w:val="lt-LT"/>
        </w:rPr>
        <w:t xml:space="preserve">II. Įgyvendinimo </w:t>
      </w:r>
      <w:r w:rsidR="00C367FD" w:rsidRPr="00650EE4">
        <w:rPr>
          <w:rFonts w:ascii="Times New Roman" w:hAnsi="Times New Roman"/>
          <w:lang w:val="lt-LT"/>
        </w:rPr>
        <w:t>etapas</w:t>
      </w:r>
      <w:r w:rsidRPr="00650EE4">
        <w:rPr>
          <w:rFonts w:ascii="Times New Roman" w:hAnsi="Times New Roman"/>
          <w:lang w:val="lt-LT"/>
        </w:rPr>
        <w:t xml:space="preserve"> (2023- 2050</w:t>
      </w:r>
      <w:r w:rsidR="00962852" w:rsidRPr="00650EE4">
        <w:rPr>
          <w:rFonts w:ascii="Times New Roman" w:hAnsi="Times New Roman"/>
          <w:lang w:val="lt-LT"/>
        </w:rPr>
        <w:t xml:space="preserve"> m.</w:t>
      </w:r>
      <w:r w:rsidRPr="00650EE4">
        <w:rPr>
          <w:rFonts w:ascii="Times New Roman" w:hAnsi="Times New Roman"/>
          <w:lang w:val="lt-LT"/>
        </w:rPr>
        <w:t>).</w:t>
      </w:r>
    </w:p>
    <w:p w14:paraId="1C871F7B" w14:textId="77777777" w:rsidR="00F94721" w:rsidRPr="00650EE4" w:rsidRDefault="00F94721" w:rsidP="003F67A4">
      <w:pPr>
        <w:pStyle w:val="TESlentelspavadinimas"/>
        <w:rPr>
          <w:noProof w:val="0"/>
        </w:rPr>
      </w:pPr>
    </w:p>
    <w:p w14:paraId="06CF7D71" w14:textId="1EF1F45F" w:rsidR="00F94721" w:rsidRPr="00650EE4" w:rsidRDefault="00E52557" w:rsidP="00E52557">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Įgyv</w:t>
      </w:r>
      <w:r w:rsidR="007B00C1" w:rsidRPr="00650EE4">
        <w:rPr>
          <w:rFonts w:ascii="Times New Roman" w:hAnsi="Times New Roman"/>
          <w:color w:val="000000" w:themeColor="text1"/>
          <w:szCs w:val="22"/>
        </w:rPr>
        <w:t>e</w:t>
      </w:r>
      <w:r w:rsidRPr="00650EE4">
        <w:rPr>
          <w:rFonts w:ascii="Times New Roman" w:hAnsi="Times New Roman"/>
          <w:color w:val="000000" w:themeColor="text1"/>
          <w:szCs w:val="22"/>
        </w:rPr>
        <w:t>ndinimo eta</w:t>
      </w:r>
      <w:r w:rsidR="00EE23E2" w:rsidRPr="00650EE4">
        <w:rPr>
          <w:rFonts w:ascii="Times New Roman" w:hAnsi="Times New Roman"/>
          <w:color w:val="000000" w:themeColor="text1"/>
          <w:szCs w:val="22"/>
        </w:rPr>
        <w:t>p</w:t>
      </w:r>
      <w:r w:rsidRPr="00650EE4">
        <w:rPr>
          <w:rFonts w:ascii="Times New Roman" w:hAnsi="Times New Roman"/>
          <w:color w:val="000000" w:themeColor="text1"/>
          <w:szCs w:val="22"/>
        </w:rPr>
        <w:t>e planuojama, kad IRS bus 2 kartus</w:t>
      </w:r>
      <w:r w:rsidR="005D379F" w:rsidRPr="00650EE4">
        <w:rPr>
          <w:rFonts w:ascii="Times New Roman" w:hAnsi="Times New Roman"/>
          <w:color w:val="000000" w:themeColor="text1"/>
          <w:szCs w:val="22"/>
        </w:rPr>
        <w:t xml:space="preserve"> atnaujinta iš esmės </w:t>
      </w:r>
      <w:r w:rsidRPr="00650EE4">
        <w:rPr>
          <w:rFonts w:ascii="Times New Roman" w:hAnsi="Times New Roman"/>
          <w:color w:val="000000" w:themeColor="text1"/>
          <w:szCs w:val="22"/>
        </w:rPr>
        <w:t>(</w:t>
      </w:r>
      <w:r w:rsidR="005D379F" w:rsidRPr="00650EE4">
        <w:rPr>
          <w:rFonts w:ascii="Times New Roman" w:hAnsi="Times New Roman"/>
          <w:color w:val="000000" w:themeColor="text1"/>
          <w:szCs w:val="22"/>
        </w:rPr>
        <w:t>r</w:t>
      </w:r>
      <w:r w:rsidRPr="00650EE4">
        <w:rPr>
          <w:rFonts w:ascii="Times New Roman" w:hAnsi="Times New Roman"/>
          <w:color w:val="000000" w:themeColor="text1"/>
          <w:szCs w:val="22"/>
        </w:rPr>
        <w:t>engiant NECP 2040 ir NECP 2050)</w:t>
      </w:r>
      <w:r w:rsidR="005D379F" w:rsidRPr="00650EE4">
        <w:rPr>
          <w:rFonts w:ascii="Times New Roman" w:hAnsi="Times New Roman"/>
          <w:color w:val="000000" w:themeColor="text1"/>
          <w:szCs w:val="22"/>
        </w:rPr>
        <w:t xml:space="preserve"> ir 3 kartus patikslinta (tikslinant NECP 2030, NECP 2040 ir NECP 2050</w:t>
      </w:r>
      <w:r w:rsidR="003D24EA" w:rsidRPr="00650EE4">
        <w:rPr>
          <w:rFonts w:ascii="Times New Roman" w:hAnsi="Times New Roman"/>
          <w:color w:val="000000" w:themeColor="text1"/>
          <w:szCs w:val="22"/>
        </w:rPr>
        <w:t>,</w:t>
      </w:r>
      <w:r w:rsidR="005D379F" w:rsidRPr="00650EE4">
        <w:rPr>
          <w:rFonts w:ascii="Times New Roman" w:hAnsi="Times New Roman"/>
          <w:color w:val="000000" w:themeColor="text1"/>
          <w:szCs w:val="22"/>
        </w:rPr>
        <w:t xml:space="preserve"> jų įgyvendinimo laikotarpio viduryje).</w:t>
      </w:r>
    </w:p>
    <w:p w14:paraId="37B28154" w14:textId="1ADD5DFC" w:rsidR="006C2F66" w:rsidRDefault="006C2F66">
      <w:pPr>
        <w:spacing w:after="240"/>
        <w:rPr>
          <w:rFonts w:ascii="Times New Roman" w:eastAsiaTheme="minorHAnsi" w:hAnsi="Times New Roman"/>
          <w:bCs/>
          <w:i/>
          <w:color w:val="000000" w:themeColor="text1"/>
          <w:sz w:val="20"/>
          <w:szCs w:val="20"/>
        </w:rPr>
      </w:pPr>
      <w:r>
        <w:br w:type="page"/>
      </w:r>
    </w:p>
    <w:p w14:paraId="29C6368A" w14:textId="47120F2F" w:rsidR="003F67A4" w:rsidRPr="00650EE4" w:rsidRDefault="003F67A4" w:rsidP="003F67A4">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217" w:name="_Toc67925278"/>
      <w:r w:rsidR="007744C1">
        <w:t>30</w:t>
      </w:r>
      <w:r w:rsidRPr="00650EE4">
        <w:rPr>
          <w:noProof w:val="0"/>
        </w:rPr>
        <w:fldChar w:fldCharType="end"/>
      </w:r>
      <w:r w:rsidRPr="00650EE4">
        <w:rPr>
          <w:noProof w:val="0"/>
        </w:rPr>
        <w:t xml:space="preserve"> paveikslas. IRS įgyvendinimo etapai</w:t>
      </w:r>
      <w:bookmarkEnd w:id="217"/>
    </w:p>
    <w:p w14:paraId="10DE36CD" w14:textId="04092C6A" w:rsidR="008800F5" w:rsidRPr="00650EE4" w:rsidRDefault="00B234D5" w:rsidP="002129F2">
      <w:pPr>
        <w:pStyle w:val="BodyText"/>
        <w:rPr>
          <w:rFonts w:ascii="Times New Roman" w:hAnsi="Times New Roman"/>
          <w:color w:val="000000" w:themeColor="text1"/>
          <w:szCs w:val="22"/>
          <w:lang w:val="lt-LT"/>
        </w:rPr>
      </w:pPr>
      <w:r w:rsidRPr="00650EE4">
        <w:rPr>
          <w:noProof/>
          <w:lang w:val="lt-LT" w:eastAsia="lt-LT"/>
        </w:rPr>
        <w:drawing>
          <wp:inline distT="0" distB="0" distL="0" distR="0" wp14:anchorId="6EF97FA0" wp14:editId="42271B25">
            <wp:extent cx="6479540" cy="3752850"/>
            <wp:effectExtent l="19050" t="19050" r="2032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752850"/>
                    </a:xfrm>
                    <a:prstGeom prst="rect">
                      <a:avLst/>
                    </a:prstGeom>
                    <a:ln w="19050">
                      <a:solidFill>
                        <a:schemeClr val="bg1">
                          <a:lumMod val="75000"/>
                        </a:schemeClr>
                      </a:solidFill>
                    </a:ln>
                  </pic:spPr>
                </pic:pic>
              </a:graphicData>
            </a:graphic>
          </wp:inline>
        </w:drawing>
      </w:r>
    </w:p>
    <w:p w14:paraId="521123CA" w14:textId="55BB4738" w:rsidR="00373C31" w:rsidRPr="00650EE4" w:rsidRDefault="00373C31" w:rsidP="00373C31">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2616CA" w:rsidRPr="00874EAF">
        <w:rPr>
          <w:rFonts w:ascii="Times New Roman" w:hAnsi="Times New Roman"/>
          <w:i/>
          <w:iCs/>
          <w:color w:val="auto"/>
          <w:sz w:val="20"/>
          <w:szCs w:val="20"/>
        </w:rPr>
        <w:t>Lietuvos ilgalaikei renovacijos strategijai parengti</w:t>
      </w:r>
      <w:r w:rsidR="002616CA"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561853F3" w14:textId="77777777" w:rsidR="00C22825" w:rsidRDefault="00C22825" w:rsidP="00F37EB4">
      <w:pPr>
        <w:pStyle w:val="BodyText"/>
        <w:rPr>
          <w:rFonts w:ascii="Times New Roman" w:hAnsi="Times New Roman"/>
          <w:color w:val="000000" w:themeColor="text1"/>
          <w:szCs w:val="22"/>
          <w:lang w:val="lt-LT"/>
        </w:rPr>
      </w:pPr>
    </w:p>
    <w:p w14:paraId="05E195FD" w14:textId="3F04FA45" w:rsidR="00F37EB4" w:rsidRPr="00650EE4" w:rsidRDefault="00CF002B" w:rsidP="00F37EB4">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Žemiau </w:t>
      </w:r>
      <w:r w:rsidR="00F37EB4" w:rsidRPr="00650EE4">
        <w:rPr>
          <w:rFonts w:ascii="Times New Roman" w:hAnsi="Times New Roman"/>
          <w:color w:val="000000" w:themeColor="text1"/>
          <w:szCs w:val="22"/>
          <w:lang w:val="lt-LT"/>
        </w:rPr>
        <w:t xml:space="preserve">pateikiamas </w:t>
      </w:r>
      <w:r w:rsidRPr="00650EE4">
        <w:rPr>
          <w:rFonts w:ascii="Times New Roman" w:hAnsi="Times New Roman"/>
          <w:color w:val="000000" w:themeColor="text1"/>
          <w:szCs w:val="22"/>
          <w:lang w:val="lt-LT"/>
        </w:rPr>
        <w:t>pagrindinių IRS įgyvendinimo</w:t>
      </w:r>
      <w:r w:rsidR="00F37EB4" w:rsidRPr="00650EE4">
        <w:rPr>
          <w:rFonts w:ascii="Times New Roman" w:hAnsi="Times New Roman"/>
          <w:color w:val="000000" w:themeColor="text1"/>
          <w:szCs w:val="22"/>
          <w:lang w:val="lt-LT"/>
        </w:rPr>
        <w:t xml:space="preserve"> etapų aprašymas</w:t>
      </w:r>
      <w:r w:rsidRPr="00650EE4">
        <w:rPr>
          <w:rFonts w:ascii="Times New Roman" w:hAnsi="Times New Roman"/>
          <w:color w:val="000000" w:themeColor="text1"/>
          <w:szCs w:val="22"/>
          <w:lang w:val="lt-LT"/>
        </w:rPr>
        <w:t>.</w:t>
      </w:r>
    </w:p>
    <w:p w14:paraId="3A43B7CB" w14:textId="77777777" w:rsidR="00F37EB4" w:rsidRPr="00650EE4" w:rsidRDefault="00F37EB4" w:rsidP="00F37EB4">
      <w:pPr>
        <w:pStyle w:val="BodyText"/>
        <w:rPr>
          <w:rFonts w:ascii="Times New Roman" w:hAnsi="Times New Roman"/>
          <w:color w:val="000000" w:themeColor="text1"/>
          <w:szCs w:val="22"/>
          <w:lang w:val="lt-LT"/>
        </w:rPr>
      </w:pPr>
    </w:p>
    <w:p w14:paraId="52EEB904" w14:textId="3F25C1B1" w:rsidR="00F37EB4" w:rsidRPr="00650EE4" w:rsidRDefault="001D1719" w:rsidP="005878F6">
      <w:pPr>
        <w:pStyle w:val="BodyText"/>
        <w:numPr>
          <w:ilvl w:val="0"/>
          <w:numId w:val="76"/>
        </w:numPr>
        <w:spacing w:after="120"/>
        <w:ind w:left="0" w:firstLine="0"/>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w:t>
      </w:r>
      <w:r w:rsidR="00F37EB4" w:rsidRPr="00650EE4">
        <w:rPr>
          <w:rFonts w:ascii="Times New Roman" w:hAnsi="Times New Roman"/>
          <w:b/>
          <w:bCs/>
          <w:color w:val="000000" w:themeColor="text1"/>
          <w:szCs w:val="22"/>
          <w:lang w:val="lt-LT"/>
        </w:rPr>
        <w:t>arbo grupės sukūrimas</w:t>
      </w:r>
      <w:r w:rsidR="00CF002B" w:rsidRPr="00650EE4">
        <w:rPr>
          <w:rFonts w:ascii="Times New Roman" w:hAnsi="Times New Roman"/>
          <w:b/>
          <w:bCs/>
          <w:color w:val="000000" w:themeColor="text1"/>
          <w:szCs w:val="22"/>
          <w:lang w:val="lt-LT"/>
        </w:rPr>
        <w:t xml:space="preserve"> (priemonė P1)</w:t>
      </w:r>
    </w:p>
    <w:p w14:paraId="24BE956C" w14:textId="3AEE4599" w:rsidR="003C17E7" w:rsidRPr="00650EE4" w:rsidRDefault="003C17E7" w:rsidP="005878F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Už IRS įgyvendinimą atsakingo organizacinio struktūrinio vieneto, pvz., </w:t>
      </w:r>
      <w:proofErr w:type="spellStart"/>
      <w:r w:rsidRPr="00650EE4">
        <w:rPr>
          <w:rFonts w:ascii="Times New Roman" w:hAnsi="Times New Roman"/>
          <w:color w:val="000000" w:themeColor="text1"/>
          <w:szCs w:val="22"/>
          <w:lang w:val="lt-LT"/>
        </w:rPr>
        <w:t>tarpinstitucinės</w:t>
      </w:r>
      <w:proofErr w:type="spellEnd"/>
      <w:r w:rsidRPr="00650EE4">
        <w:rPr>
          <w:rFonts w:ascii="Times New Roman" w:hAnsi="Times New Roman"/>
          <w:color w:val="000000" w:themeColor="text1"/>
          <w:szCs w:val="22"/>
          <w:lang w:val="lt-LT"/>
        </w:rPr>
        <w:t xml:space="preserve"> darbo grupės (komiteto) (toliau – Projekto valdytojas), įkūrimas yra pirmas žingsnis siekiant įgyvendinti IRS pagal gerąją praktiką atitinkančius projektinio valdymo principus.</w:t>
      </w:r>
    </w:p>
    <w:p w14:paraId="7B666F87" w14:textId="77777777" w:rsidR="003C17E7" w:rsidRPr="00650EE4" w:rsidRDefault="003C17E7" w:rsidP="005878F6">
      <w:pPr>
        <w:pStyle w:val="BodyText"/>
        <w:jc w:val="both"/>
        <w:rPr>
          <w:rFonts w:ascii="Times New Roman" w:hAnsi="Times New Roman"/>
          <w:color w:val="000000" w:themeColor="text1"/>
          <w:szCs w:val="22"/>
          <w:lang w:val="lt-LT"/>
        </w:rPr>
      </w:pPr>
    </w:p>
    <w:p w14:paraId="10A7D5A7" w14:textId="6C2B60C3" w:rsidR="00F7712A" w:rsidRPr="00650EE4" w:rsidRDefault="00850AE9" w:rsidP="005878F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Projekto valdytojas </w:t>
      </w:r>
      <w:r w:rsidR="00C939BF" w:rsidRPr="00650EE4">
        <w:rPr>
          <w:rFonts w:ascii="Times New Roman" w:hAnsi="Times New Roman"/>
          <w:color w:val="000000" w:themeColor="text1"/>
          <w:szCs w:val="22"/>
          <w:lang w:val="lt-LT"/>
        </w:rPr>
        <w:t xml:space="preserve">įgyvendintų IRS </w:t>
      </w:r>
      <w:r w:rsidR="0037038B">
        <w:rPr>
          <w:rFonts w:ascii="Times New Roman" w:hAnsi="Times New Roman"/>
          <w:color w:val="000000" w:themeColor="text1"/>
          <w:szCs w:val="22"/>
          <w:lang w:val="lt-LT"/>
        </w:rPr>
        <w:t>p</w:t>
      </w:r>
      <w:r w:rsidR="00C939BF" w:rsidRPr="00650EE4">
        <w:rPr>
          <w:rFonts w:ascii="Times New Roman" w:hAnsi="Times New Roman"/>
          <w:color w:val="000000" w:themeColor="text1"/>
          <w:szCs w:val="22"/>
          <w:lang w:val="lt-LT"/>
        </w:rPr>
        <w:t>rojekto valdytojo funkcijas t.y., nustatytų įgaliojimų ribose, būtų atsakinga</w:t>
      </w:r>
      <w:r w:rsidR="0037038B">
        <w:rPr>
          <w:rFonts w:ascii="Times New Roman" w:hAnsi="Times New Roman"/>
          <w:color w:val="000000" w:themeColor="text1"/>
          <w:szCs w:val="22"/>
          <w:lang w:val="lt-LT"/>
        </w:rPr>
        <w:t>s</w:t>
      </w:r>
      <w:r w:rsidR="00C939BF" w:rsidRPr="00650EE4">
        <w:rPr>
          <w:rFonts w:ascii="Times New Roman" w:hAnsi="Times New Roman"/>
          <w:color w:val="000000" w:themeColor="text1"/>
          <w:szCs w:val="22"/>
          <w:lang w:val="lt-LT"/>
        </w:rPr>
        <w:t xml:space="preserve"> už IRS </w:t>
      </w:r>
      <w:r w:rsidR="00805B88">
        <w:rPr>
          <w:rFonts w:ascii="Times New Roman" w:hAnsi="Times New Roman"/>
          <w:color w:val="000000" w:themeColor="text1"/>
          <w:szCs w:val="22"/>
          <w:lang w:val="lt-LT"/>
        </w:rPr>
        <w:t>rodiklių</w:t>
      </w:r>
      <w:r w:rsidR="00C939BF" w:rsidRPr="00650EE4">
        <w:rPr>
          <w:rFonts w:ascii="Times New Roman" w:hAnsi="Times New Roman"/>
          <w:color w:val="000000" w:themeColor="text1"/>
          <w:szCs w:val="22"/>
          <w:lang w:val="lt-LT"/>
        </w:rPr>
        <w:t xml:space="preserve"> nustatymą, peržiūrą ir atnaujinimą, IRS suderinamumą su kitomis energinio efektyvumo ir AEI skatinimo politikos priemonėmis, energetikos sektoriaus planavimu ir pan. Darbo grupės sudėtis turėtų būti suformuota atsižvelgiant tiek į gerąją projektinio valdymo praktiką, tiek į pagrindinių suinteresuotų šalių (pvz.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aplinkos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energetikos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finansų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vidaus reikalų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socialinės apsaugos ir darbo ministerija, Lietuvos savivaldybių asociacija, kt.) poreikius ir vaidmenį IRS įgyvendinimo procese.</w:t>
      </w:r>
    </w:p>
    <w:p w14:paraId="32B8D8C9" w14:textId="77777777" w:rsidR="00762F57" w:rsidRPr="00650EE4" w:rsidRDefault="00762F57" w:rsidP="005878F6">
      <w:pPr>
        <w:pStyle w:val="BodyText"/>
        <w:spacing w:after="120"/>
        <w:rPr>
          <w:rFonts w:ascii="Times New Roman" w:hAnsi="Times New Roman"/>
          <w:color w:val="000000" w:themeColor="text1"/>
          <w:szCs w:val="22"/>
          <w:lang w:val="lt-LT"/>
        </w:rPr>
      </w:pPr>
    </w:p>
    <w:p w14:paraId="01B24721" w14:textId="6D861030" w:rsidR="00762F57" w:rsidRPr="00650EE4" w:rsidRDefault="00762F57" w:rsidP="005878F6">
      <w:pPr>
        <w:pStyle w:val="BodyText"/>
        <w:numPr>
          <w:ilvl w:val="0"/>
          <w:numId w:val="76"/>
        </w:numPr>
        <w:spacing w:after="120"/>
        <w:ind w:left="0" w:firstLine="0"/>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IRS integracija į teisės aktų sistemą</w:t>
      </w:r>
      <w:r w:rsidR="00CF002B" w:rsidRPr="00650EE4">
        <w:rPr>
          <w:rFonts w:ascii="Times New Roman" w:hAnsi="Times New Roman"/>
          <w:b/>
          <w:bCs/>
          <w:color w:val="000000" w:themeColor="text1"/>
          <w:szCs w:val="22"/>
          <w:lang w:val="lt-LT"/>
        </w:rPr>
        <w:t xml:space="preserve"> (</w:t>
      </w:r>
      <w:r w:rsidR="00BC4B45" w:rsidRPr="00650EE4">
        <w:rPr>
          <w:rFonts w:ascii="Times New Roman" w:hAnsi="Times New Roman"/>
          <w:b/>
          <w:bCs/>
          <w:color w:val="000000" w:themeColor="text1"/>
          <w:szCs w:val="22"/>
          <w:lang w:val="lt-LT"/>
        </w:rPr>
        <w:t>priemonė P3)</w:t>
      </w:r>
    </w:p>
    <w:p w14:paraId="78FD72D6" w14:textId="2C14CB1C" w:rsidR="00762F57" w:rsidRPr="00650EE4" w:rsidRDefault="00FC0536" w:rsidP="003F6F32">
      <w:pPr>
        <w:pStyle w:val="BodyText"/>
        <w:jc w:val="both"/>
        <w:rPr>
          <w:rFonts w:ascii="Times New Roman" w:hAnsi="Times New Roman"/>
          <w:color w:val="000000" w:themeColor="text1"/>
          <w:szCs w:val="24"/>
          <w:lang w:val="lt-LT"/>
        </w:rPr>
      </w:pPr>
      <w:r w:rsidRPr="00650EE4">
        <w:rPr>
          <w:rFonts w:ascii="Times New Roman" w:hAnsi="Times New Roman"/>
          <w:color w:val="000000" w:themeColor="text1"/>
          <w:szCs w:val="24"/>
          <w:lang w:val="lt-LT"/>
        </w:rPr>
        <w:t>IRS įgyvendinimo  procesas yra itin fragmentuotas, su daug susijusių šalių, turinčių skirtingus interesus, veikiančių vadovaujantis skirtingais teisės aktais, savo indėlį į IRS įgyvendinimą finansuojančių skirtingais finansavimo šaltiniais ir pan. Atitinkamai, tam, kad IRS įgyvendinimui nekiltų su teisėkūra susijusių kliūčių, Projekto valdytojas turėtų inicijuoti IRS integraciją į teisės aktų sistemą, kurią sudarytų</w:t>
      </w:r>
      <w:r w:rsidR="00EC387A" w:rsidRPr="00650EE4">
        <w:rPr>
          <w:rFonts w:ascii="Times New Roman" w:hAnsi="Times New Roman"/>
          <w:color w:val="000000" w:themeColor="text1"/>
          <w:szCs w:val="22"/>
          <w:lang w:val="lt-LT"/>
        </w:rPr>
        <w:t>:</w:t>
      </w:r>
    </w:p>
    <w:p w14:paraId="48C7212E" w14:textId="4CC1E40C" w:rsidR="00B96594" w:rsidRPr="00650EE4" w:rsidRDefault="007B485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b/>
          <w:bCs/>
          <w:color w:val="000000" w:themeColor="text1"/>
          <w:szCs w:val="22"/>
          <w:lang w:val="lt-LT"/>
        </w:rPr>
        <w:t>Vertikali integracija „aukštyn“</w:t>
      </w:r>
      <w:r w:rsidR="00EC387A" w:rsidRPr="00650EE4">
        <w:rPr>
          <w:rFonts w:ascii="Times New Roman" w:hAnsi="Times New Roman"/>
          <w:b/>
          <w:bCs/>
          <w:color w:val="000000" w:themeColor="text1"/>
          <w:szCs w:val="22"/>
          <w:lang w:val="lt-LT"/>
        </w:rPr>
        <w:t xml:space="preserve"> – </w:t>
      </w:r>
      <w:r w:rsidR="00FD25C8" w:rsidRPr="00650EE4">
        <w:rPr>
          <w:rFonts w:ascii="Times New Roman" w:hAnsi="Times New Roman"/>
          <w:szCs w:val="22"/>
          <w:lang w:val="lt-LT"/>
        </w:rPr>
        <w:t>integracija į aukštesnio lygmens strateginius</w:t>
      </w:r>
      <w:r w:rsidR="005C0212" w:rsidRPr="00650EE4">
        <w:rPr>
          <w:rFonts w:ascii="Times New Roman" w:hAnsi="Times New Roman"/>
          <w:szCs w:val="22"/>
          <w:lang w:val="lt-LT"/>
        </w:rPr>
        <w:t xml:space="preserve"> dokumentus</w:t>
      </w:r>
      <w:r w:rsidR="00EC387A" w:rsidRPr="00650EE4">
        <w:rPr>
          <w:rFonts w:ascii="Times New Roman" w:hAnsi="Times New Roman"/>
          <w:szCs w:val="22"/>
          <w:lang w:val="lt-LT"/>
        </w:rPr>
        <w:t xml:space="preserve"> (</w:t>
      </w:r>
      <w:r w:rsidR="005C0212" w:rsidRPr="00650EE4">
        <w:rPr>
          <w:rFonts w:ascii="Times New Roman" w:hAnsi="Times New Roman"/>
          <w:szCs w:val="22"/>
          <w:lang w:val="lt-LT"/>
        </w:rPr>
        <w:t>pvz.</w:t>
      </w:r>
      <w:r w:rsidR="00EC387A" w:rsidRPr="00650EE4">
        <w:rPr>
          <w:rFonts w:ascii="Times New Roman" w:hAnsi="Times New Roman"/>
          <w:szCs w:val="22"/>
          <w:lang w:val="lt-LT"/>
        </w:rPr>
        <w:t>,</w:t>
      </w:r>
      <w:r w:rsidR="005C0212" w:rsidRPr="00650EE4">
        <w:rPr>
          <w:rFonts w:ascii="Times New Roman" w:hAnsi="Times New Roman"/>
          <w:szCs w:val="22"/>
          <w:lang w:val="lt-LT"/>
        </w:rPr>
        <w:t xml:space="preserve"> NECP ir Nacionalinę</w:t>
      </w:r>
      <w:r w:rsidR="00FD25C8" w:rsidRPr="00650EE4">
        <w:rPr>
          <w:rFonts w:ascii="Times New Roman" w:hAnsi="Times New Roman"/>
          <w:szCs w:val="22"/>
          <w:lang w:val="lt-LT"/>
        </w:rPr>
        <w:t xml:space="preserve"> pažangos progr</w:t>
      </w:r>
      <w:r w:rsidR="005C0212" w:rsidRPr="00650EE4">
        <w:rPr>
          <w:rFonts w:ascii="Times New Roman" w:hAnsi="Times New Roman"/>
          <w:szCs w:val="22"/>
          <w:lang w:val="lt-LT"/>
        </w:rPr>
        <w:t>amą</w:t>
      </w:r>
      <w:r w:rsidR="00EC387A" w:rsidRPr="00650EE4">
        <w:rPr>
          <w:rFonts w:ascii="Times New Roman" w:hAnsi="Times New Roman"/>
          <w:szCs w:val="22"/>
          <w:lang w:val="lt-LT"/>
        </w:rPr>
        <w:t>)</w:t>
      </w:r>
      <w:r w:rsidR="00FD25C8" w:rsidRPr="00650EE4">
        <w:rPr>
          <w:rFonts w:ascii="Times New Roman" w:hAnsi="Times New Roman"/>
          <w:szCs w:val="22"/>
          <w:lang w:val="lt-LT"/>
        </w:rPr>
        <w:t>.</w:t>
      </w:r>
    </w:p>
    <w:p w14:paraId="30827DC4" w14:textId="51F78AAC" w:rsidR="00EC387A" w:rsidRPr="00650EE4" w:rsidRDefault="00EC387A"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b/>
          <w:bCs/>
          <w:color w:val="000000" w:themeColor="text1"/>
          <w:szCs w:val="22"/>
          <w:lang w:val="lt-LT"/>
        </w:rPr>
        <w:t xml:space="preserve">Horizontali integracija – </w:t>
      </w:r>
      <w:r w:rsidRPr="00650EE4">
        <w:rPr>
          <w:rFonts w:ascii="Times New Roman" w:hAnsi="Times New Roman"/>
          <w:color w:val="000000" w:themeColor="text1"/>
          <w:szCs w:val="22"/>
          <w:lang w:val="lt-LT"/>
        </w:rPr>
        <w:t xml:space="preserve">susijusių  sektorių strateginių teisės aktų atnaujinimas, integruojant IRS nustatytus </w:t>
      </w:r>
      <w:r w:rsidR="00805B88">
        <w:rPr>
          <w:rFonts w:ascii="Times New Roman" w:hAnsi="Times New Roman"/>
          <w:color w:val="000000" w:themeColor="text1"/>
          <w:szCs w:val="22"/>
          <w:lang w:val="lt-LT"/>
        </w:rPr>
        <w:t>rodiklius</w:t>
      </w:r>
      <w:r w:rsidRPr="00650EE4">
        <w:rPr>
          <w:rFonts w:ascii="Times New Roman" w:hAnsi="Times New Roman"/>
          <w:color w:val="000000" w:themeColor="text1"/>
          <w:szCs w:val="22"/>
          <w:lang w:val="lt-LT"/>
        </w:rPr>
        <w:t xml:space="preserve"> ir</w:t>
      </w:r>
      <w:r w:rsidR="0037038B">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w:t>
      </w:r>
      <w:r w:rsidR="0037038B">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arba jų įgyvendinimo poveikį (pvz., energetikos sektoriaus strategijos turėtų būti suderintos su IRS planuojamu energijos vartojimo mažėjimu). </w:t>
      </w:r>
    </w:p>
    <w:p w14:paraId="104E2F7F" w14:textId="1E5A8EAF" w:rsidR="002A7C44" w:rsidRPr="00650EE4" w:rsidRDefault="007B485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b/>
          <w:bCs/>
          <w:color w:val="000000" w:themeColor="text1"/>
          <w:szCs w:val="22"/>
          <w:lang w:val="lt-LT"/>
        </w:rPr>
        <w:t>V</w:t>
      </w:r>
      <w:r w:rsidR="00A42464" w:rsidRPr="00650EE4">
        <w:rPr>
          <w:rFonts w:ascii="Times New Roman" w:hAnsi="Times New Roman"/>
          <w:b/>
          <w:bCs/>
          <w:color w:val="000000" w:themeColor="text1"/>
          <w:szCs w:val="22"/>
          <w:lang w:val="lt-LT"/>
        </w:rPr>
        <w:t>ertikal</w:t>
      </w:r>
      <w:r w:rsidRPr="00650EE4">
        <w:rPr>
          <w:rFonts w:ascii="Times New Roman" w:hAnsi="Times New Roman"/>
          <w:b/>
          <w:bCs/>
          <w:color w:val="000000" w:themeColor="text1"/>
          <w:szCs w:val="22"/>
          <w:lang w:val="lt-LT"/>
        </w:rPr>
        <w:t>i integracija „žemyn“</w:t>
      </w:r>
      <w:r w:rsidR="002A7C44" w:rsidRPr="00650EE4">
        <w:rPr>
          <w:rFonts w:ascii="Times New Roman" w:hAnsi="Times New Roman"/>
          <w:b/>
          <w:bCs/>
          <w:color w:val="000000" w:themeColor="text1"/>
          <w:szCs w:val="22"/>
          <w:lang w:val="lt-LT"/>
        </w:rPr>
        <w:t xml:space="preserve"> </w:t>
      </w:r>
      <w:r w:rsidR="002A7C44" w:rsidRPr="00650EE4">
        <w:rPr>
          <w:rFonts w:ascii="Times New Roman" w:hAnsi="Times New Roman"/>
          <w:bCs/>
          <w:color w:val="000000" w:themeColor="text1"/>
          <w:szCs w:val="22"/>
          <w:lang w:val="lt-LT"/>
        </w:rPr>
        <w:t>– integracija į žemesnio lygmens teisės aktus, pvz.:</w:t>
      </w:r>
    </w:p>
    <w:p w14:paraId="540B326C" w14:textId="47439666" w:rsidR="00762F57" w:rsidRPr="00650EE4" w:rsidRDefault="005C0212" w:rsidP="00BD4925">
      <w:pPr>
        <w:pStyle w:val="ListParagraph"/>
        <w:numPr>
          <w:ilvl w:val="0"/>
          <w:numId w:val="62"/>
        </w:numPr>
        <w:spacing w:before="60" w:after="60"/>
        <w:ind w:left="993" w:hanging="284"/>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lastRenderedPageBreak/>
        <w:t>savivaldos</w:t>
      </w:r>
      <w:r w:rsidR="00762F57" w:rsidRPr="00650EE4">
        <w:rPr>
          <w:rFonts w:ascii="Times New Roman" w:hAnsi="Times New Roman"/>
          <w:b/>
          <w:color w:val="000000" w:themeColor="text1"/>
          <w:szCs w:val="22"/>
          <w:lang w:val="lt-LT"/>
        </w:rPr>
        <w:t xml:space="preserve"> vaidmens ir atsakomybių </w:t>
      </w:r>
      <w:r w:rsidRPr="00650EE4">
        <w:rPr>
          <w:rFonts w:ascii="Times New Roman" w:hAnsi="Times New Roman"/>
          <w:b/>
          <w:color w:val="000000" w:themeColor="text1"/>
          <w:szCs w:val="22"/>
          <w:lang w:val="lt-LT"/>
        </w:rPr>
        <w:t>modelio formalizavimas</w:t>
      </w:r>
      <w:r w:rsidR="00762F57" w:rsidRPr="00650EE4">
        <w:rPr>
          <w:rFonts w:ascii="Times New Roman" w:hAnsi="Times New Roman"/>
          <w:color w:val="000000" w:themeColor="text1"/>
          <w:szCs w:val="22"/>
          <w:lang w:val="lt-LT"/>
        </w:rPr>
        <w:t>, pasirenkant įpareigojimo (pvz., numatant naujus įpareigojimus L</w:t>
      </w:r>
      <w:r w:rsidR="0037038B">
        <w:rPr>
          <w:rFonts w:ascii="Times New Roman" w:hAnsi="Times New Roman"/>
          <w:color w:val="000000" w:themeColor="text1"/>
          <w:szCs w:val="22"/>
          <w:lang w:val="lt-LT"/>
        </w:rPr>
        <w:t xml:space="preserve">ietuvos </w:t>
      </w:r>
      <w:r w:rsidR="00762F57"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762F57" w:rsidRPr="00650EE4">
        <w:rPr>
          <w:rFonts w:ascii="Times New Roman" w:hAnsi="Times New Roman"/>
          <w:color w:val="000000" w:themeColor="text1"/>
          <w:szCs w:val="22"/>
          <w:lang w:val="lt-LT"/>
        </w:rPr>
        <w:t xml:space="preserve"> savivaldos įstatyme) arba susitarimo formatą (pvz., pasirašant susitar</w:t>
      </w:r>
      <w:r w:rsidR="00C96A4D" w:rsidRPr="00650EE4">
        <w:rPr>
          <w:rFonts w:ascii="Times New Roman" w:hAnsi="Times New Roman"/>
          <w:color w:val="000000" w:themeColor="text1"/>
          <w:szCs w:val="22"/>
          <w:lang w:val="lt-LT"/>
        </w:rPr>
        <w:t xml:space="preserve">imus su kiekviena savivaldybe), bei nustatant su IRS vykdymu susijusius įpareigojimus pvz. </w:t>
      </w:r>
      <w:r w:rsidR="00762F57" w:rsidRPr="00650EE4">
        <w:rPr>
          <w:rFonts w:ascii="Times New Roman" w:hAnsi="Times New Roman"/>
          <w:color w:val="000000" w:themeColor="text1"/>
          <w:szCs w:val="22"/>
          <w:lang w:val="lt-LT"/>
        </w:rPr>
        <w:t xml:space="preserve">surinkti duomenis apie savivaldybių pastatų fondą (žr. </w:t>
      </w:r>
      <w:r w:rsidR="003174F3" w:rsidRPr="00650EE4">
        <w:rPr>
          <w:rFonts w:ascii="Times New Roman" w:hAnsi="Times New Roman"/>
          <w:color w:val="000000" w:themeColor="text1"/>
          <w:szCs w:val="22"/>
          <w:lang w:val="lt-LT"/>
        </w:rPr>
        <w:t>9</w:t>
      </w:r>
      <w:r w:rsidR="00762F57" w:rsidRPr="00650EE4">
        <w:rPr>
          <w:rFonts w:ascii="Times New Roman" w:hAnsi="Times New Roman"/>
          <w:color w:val="000000" w:themeColor="text1"/>
          <w:szCs w:val="22"/>
          <w:lang w:val="lt-LT"/>
        </w:rPr>
        <w:t xml:space="preserve"> etapą), </w:t>
      </w:r>
      <w:r w:rsidR="00C96A4D" w:rsidRPr="00650EE4">
        <w:rPr>
          <w:rFonts w:ascii="Times New Roman" w:hAnsi="Times New Roman"/>
          <w:color w:val="000000" w:themeColor="text1"/>
          <w:szCs w:val="22"/>
          <w:lang w:val="lt-LT"/>
        </w:rPr>
        <w:t>pa</w:t>
      </w:r>
      <w:r w:rsidR="00762F57" w:rsidRPr="00650EE4">
        <w:rPr>
          <w:rFonts w:ascii="Times New Roman" w:hAnsi="Times New Roman"/>
          <w:color w:val="000000" w:themeColor="text1"/>
          <w:szCs w:val="22"/>
          <w:lang w:val="lt-LT"/>
        </w:rPr>
        <w:t xml:space="preserve">rengti savivaldybių IRS įgyvendinimo planus (žr. </w:t>
      </w:r>
      <w:r w:rsidR="003174F3" w:rsidRPr="00650EE4">
        <w:rPr>
          <w:rFonts w:ascii="Times New Roman" w:hAnsi="Times New Roman"/>
          <w:color w:val="000000" w:themeColor="text1"/>
          <w:szCs w:val="22"/>
          <w:lang w:val="lt-LT"/>
        </w:rPr>
        <w:t>10 </w:t>
      </w:r>
      <w:r w:rsidR="00762F57" w:rsidRPr="00650EE4">
        <w:rPr>
          <w:rFonts w:ascii="Times New Roman" w:hAnsi="Times New Roman"/>
          <w:color w:val="000000" w:themeColor="text1"/>
          <w:szCs w:val="22"/>
          <w:lang w:val="lt-LT"/>
        </w:rPr>
        <w:t>etapą</w:t>
      </w:r>
      <w:r w:rsidR="00C96A4D" w:rsidRPr="00650EE4">
        <w:rPr>
          <w:rFonts w:ascii="Times New Roman" w:hAnsi="Times New Roman"/>
          <w:color w:val="000000" w:themeColor="text1"/>
          <w:szCs w:val="22"/>
          <w:lang w:val="lt-LT"/>
        </w:rPr>
        <w:t>),</w:t>
      </w:r>
      <w:r w:rsidR="00762F57" w:rsidRPr="00650EE4">
        <w:rPr>
          <w:rFonts w:ascii="Times New Roman" w:hAnsi="Times New Roman"/>
          <w:color w:val="000000" w:themeColor="text1"/>
          <w:szCs w:val="22"/>
          <w:lang w:val="lt-LT"/>
        </w:rPr>
        <w:t xml:space="preserve"> įgyvendinti vieno langelio principą (žr. 1</w:t>
      </w:r>
      <w:r w:rsidR="003174F3" w:rsidRPr="00650EE4">
        <w:rPr>
          <w:rFonts w:ascii="Times New Roman" w:hAnsi="Times New Roman"/>
          <w:color w:val="000000" w:themeColor="text1"/>
          <w:szCs w:val="22"/>
          <w:lang w:val="lt-LT"/>
        </w:rPr>
        <w:t>1</w:t>
      </w:r>
      <w:r w:rsidR="00762F57" w:rsidRPr="00650EE4">
        <w:rPr>
          <w:rFonts w:ascii="Times New Roman" w:hAnsi="Times New Roman"/>
          <w:color w:val="000000" w:themeColor="text1"/>
          <w:szCs w:val="22"/>
          <w:lang w:val="lt-LT"/>
        </w:rPr>
        <w:t xml:space="preserve"> etapą)</w:t>
      </w:r>
      <w:r w:rsidR="00C96A4D" w:rsidRPr="00650EE4">
        <w:rPr>
          <w:rFonts w:ascii="Times New Roman" w:hAnsi="Times New Roman"/>
          <w:color w:val="000000" w:themeColor="text1"/>
          <w:szCs w:val="22"/>
          <w:lang w:val="lt-LT"/>
        </w:rPr>
        <w:t xml:space="preserve"> ir pan</w:t>
      </w:r>
      <w:r w:rsidR="00762F57" w:rsidRPr="00650EE4">
        <w:rPr>
          <w:rFonts w:ascii="Times New Roman" w:hAnsi="Times New Roman"/>
          <w:color w:val="000000" w:themeColor="text1"/>
          <w:szCs w:val="22"/>
          <w:lang w:val="lt-LT"/>
        </w:rPr>
        <w:t xml:space="preserve">. </w:t>
      </w:r>
    </w:p>
    <w:p w14:paraId="68B26B9E" w14:textId="48B8DA86" w:rsidR="002A7C44" w:rsidRPr="00650EE4" w:rsidRDefault="00F36960" w:rsidP="00BD4925">
      <w:pPr>
        <w:pStyle w:val="ListParagraph"/>
        <w:numPr>
          <w:ilvl w:val="0"/>
          <w:numId w:val="62"/>
        </w:numPr>
        <w:spacing w:before="60" w:after="60"/>
        <w:ind w:left="993" w:hanging="284"/>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griežtesnių minimal</w:t>
      </w:r>
      <w:r w:rsidR="00DC723F" w:rsidRPr="00650EE4">
        <w:rPr>
          <w:rFonts w:ascii="Times New Roman" w:hAnsi="Times New Roman"/>
          <w:b/>
          <w:color w:val="000000" w:themeColor="text1"/>
          <w:szCs w:val="22"/>
          <w:lang w:val="lt-LT"/>
        </w:rPr>
        <w:t>ių</w:t>
      </w:r>
      <w:r w:rsidRPr="00650EE4">
        <w:rPr>
          <w:rFonts w:ascii="Times New Roman" w:hAnsi="Times New Roman"/>
          <w:b/>
          <w:color w:val="000000" w:themeColor="text1"/>
          <w:szCs w:val="22"/>
          <w:lang w:val="lt-LT"/>
        </w:rPr>
        <w:t xml:space="preserve"> reikalavimai renovuojamų pastatų siekiamai energinio naudingumo klasei (energijos vartojimui) įteisinimas</w:t>
      </w:r>
      <w:r w:rsidR="007B46E4" w:rsidRPr="00650EE4">
        <w:rPr>
          <w:rFonts w:ascii="Times New Roman" w:hAnsi="Times New Roman"/>
          <w:color w:val="000000" w:themeColor="text1"/>
          <w:szCs w:val="22"/>
          <w:lang w:val="lt-LT"/>
        </w:rPr>
        <w:t xml:space="preserve">, </w:t>
      </w:r>
      <w:r w:rsidR="002A7C44" w:rsidRPr="00650EE4">
        <w:rPr>
          <w:rFonts w:ascii="Times New Roman" w:hAnsi="Times New Roman"/>
          <w:color w:val="000000" w:themeColor="text1"/>
          <w:szCs w:val="22"/>
          <w:lang w:val="lt-LT"/>
        </w:rPr>
        <w:t xml:space="preserve">siekiant, kad pagal esamas renovacijos programas iki C energinio naudingumo klasės renovuotų pastatų nereikėtų renovuoti dar kartą. </w:t>
      </w:r>
    </w:p>
    <w:p w14:paraId="18FCA1A2" w14:textId="77777777" w:rsidR="0082501E" w:rsidRPr="00650EE4" w:rsidRDefault="0082501E" w:rsidP="00F37EB4">
      <w:pPr>
        <w:pStyle w:val="BodyText"/>
        <w:rPr>
          <w:rFonts w:ascii="Times New Roman" w:hAnsi="Times New Roman"/>
          <w:color w:val="000000" w:themeColor="text1"/>
          <w:szCs w:val="22"/>
          <w:lang w:val="lt-LT"/>
        </w:rPr>
      </w:pPr>
    </w:p>
    <w:p w14:paraId="10C86997" w14:textId="1D111414" w:rsidR="00F37EB4" w:rsidRPr="00650EE4" w:rsidRDefault="00F37EB4" w:rsidP="005878F6">
      <w:pPr>
        <w:pStyle w:val="BodyText"/>
        <w:numPr>
          <w:ilvl w:val="0"/>
          <w:numId w:val="76"/>
        </w:numPr>
        <w:spacing w:after="120"/>
        <w:ind w:left="284" w:hanging="284"/>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IRS įgyvendinimo plano parengimas</w:t>
      </w:r>
      <w:r w:rsidR="00EC3158" w:rsidRPr="00650EE4">
        <w:rPr>
          <w:rFonts w:ascii="Times New Roman" w:hAnsi="Times New Roman"/>
          <w:b/>
          <w:bCs/>
          <w:color w:val="000000" w:themeColor="text1"/>
          <w:szCs w:val="22"/>
          <w:lang w:val="lt-LT"/>
        </w:rPr>
        <w:t xml:space="preserve"> </w:t>
      </w:r>
    </w:p>
    <w:p w14:paraId="24F1F1D2" w14:textId="51123E0F" w:rsidR="00C250FE" w:rsidRPr="00650EE4" w:rsidRDefault="00C250FE" w:rsidP="004F31B7">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Vadovaujantis </w:t>
      </w:r>
      <w:r w:rsidR="0084525F" w:rsidRPr="00650EE4">
        <w:rPr>
          <w:rFonts w:ascii="Times New Roman" w:hAnsi="Times New Roman"/>
          <w:color w:val="000000" w:themeColor="text1"/>
          <w:szCs w:val="22"/>
          <w:lang w:val="lt-LT"/>
        </w:rPr>
        <w:t>strateginio planavimo praktika ir reikalavimai</w:t>
      </w:r>
      <w:r w:rsidRPr="00650EE4">
        <w:rPr>
          <w:rFonts w:ascii="Times New Roman" w:hAnsi="Times New Roman"/>
          <w:color w:val="000000" w:themeColor="text1"/>
          <w:szCs w:val="22"/>
          <w:lang w:val="lt-LT"/>
        </w:rPr>
        <w:t>s</w:t>
      </w:r>
      <w:r w:rsidR="0084525F" w:rsidRPr="00650EE4">
        <w:rPr>
          <w:rFonts w:ascii="Times New Roman" w:hAnsi="Times New Roman"/>
          <w:color w:val="000000" w:themeColor="text1"/>
          <w:szCs w:val="22"/>
          <w:lang w:val="lt-LT"/>
        </w:rPr>
        <w:t>, i</w:t>
      </w:r>
      <w:r w:rsidR="00AD1328" w:rsidRPr="00650EE4">
        <w:rPr>
          <w:rFonts w:ascii="Times New Roman" w:hAnsi="Times New Roman"/>
          <w:color w:val="000000" w:themeColor="text1"/>
          <w:szCs w:val="22"/>
          <w:lang w:val="lt-LT"/>
        </w:rPr>
        <w:t>lgalaikia</w:t>
      </w:r>
      <w:r w:rsidR="00706A0F" w:rsidRPr="00650EE4">
        <w:rPr>
          <w:rFonts w:ascii="Times New Roman" w:hAnsi="Times New Roman"/>
          <w:color w:val="000000" w:themeColor="text1"/>
          <w:szCs w:val="22"/>
          <w:lang w:val="lt-LT"/>
        </w:rPr>
        <w:t>i</w:t>
      </w:r>
      <w:r w:rsidR="002D104C" w:rsidRPr="00650EE4">
        <w:rPr>
          <w:rFonts w:ascii="Times New Roman" w:hAnsi="Times New Roman"/>
          <w:color w:val="000000" w:themeColor="text1"/>
          <w:szCs w:val="22"/>
          <w:lang w:val="lt-LT"/>
        </w:rPr>
        <w:t xml:space="preserve"> IRS </w:t>
      </w:r>
      <w:r w:rsidR="00805B88">
        <w:rPr>
          <w:rFonts w:ascii="Times New Roman" w:hAnsi="Times New Roman"/>
          <w:color w:val="000000" w:themeColor="text1"/>
          <w:szCs w:val="22"/>
          <w:lang w:val="lt-LT"/>
        </w:rPr>
        <w:t>rodikliai</w:t>
      </w:r>
      <w:r w:rsidR="00AD1328" w:rsidRPr="00650EE4">
        <w:rPr>
          <w:rFonts w:ascii="Times New Roman" w:hAnsi="Times New Roman"/>
          <w:color w:val="000000" w:themeColor="text1"/>
          <w:szCs w:val="22"/>
          <w:lang w:val="lt-LT"/>
        </w:rPr>
        <w:t xml:space="preserve"> ir prioritetai </w:t>
      </w:r>
      <w:r w:rsidR="000B7529" w:rsidRPr="00650EE4">
        <w:rPr>
          <w:rFonts w:ascii="Times New Roman" w:hAnsi="Times New Roman"/>
          <w:color w:val="000000" w:themeColor="text1"/>
          <w:szCs w:val="22"/>
          <w:lang w:val="lt-LT"/>
        </w:rPr>
        <w:t>detalizuojami</w:t>
      </w:r>
      <w:r w:rsidR="00AD1328" w:rsidRPr="00650EE4">
        <w:rPr>
          <w:rFonts w:ascii="Times New Roman" w:hAnsi="Times New Roman"/>
          <w:color w:val="000000" w:themeColor="text1"/>
          <w:szCs w:val="22"/>
          <w:lang w:val="lt-LT"/>
        </w:rPr>
        <w:t xml:space="preserve"> </w:t>
      </w:r>
      <w:r w:rsidR="000C0E81" w:rsidRPr="00650EE4">
        <w:rPr>
          <w:rFonts w:ascii="Times New Roman" w:hAnsi="Times New Roman"/>
          <w:color w:val="000000" w:themeColor="text1"/>
          <w:szCs w:val="22"/>
          <w:lang w:val="lt-LT"/>
        </w:rPr>
        <w:t>trumpos-</w:t>
      </w:r>
      <w:r w:rsidR="002D104C" w:rsidRPr="00650EE4">
        <w:rPr>
          <w:rFonts w:ascii="Times New Roman" w:hAnsi="Times New Roman"/>
          <w:color w:val="000000" w:themeColor="text1"/>
          <w:szCs w:val="22"/>
          <w:lang w:val="lt-LT"/>
        </w:rPr>
        <w:t>vidutinės trukmės planavimo dokumente</w:t>
      </w:r>
      <w:r w:rsidR="000B7529" w:rsidRPr="00650EE4">
        <w:rPr>
          <w:rFonts w:ascii="Times New Roman" w:hAnsi="Times New Roman"/>
          <w:color w:val="000000" w:themeColor="text1"/>
          <w:szCs w:val="22"/>
          <w:lang w:val="lt-LT"/>
        </w:rPr>
        <w:t xml:space="preserve"> (pvz., IRS įgyvendinimo plane arba </w:t>
      </w:r>
      <w:proofErr w:type="spellStart"/>
      <w:r w:rsidR="000B7529" w:rsidRPr="00650EE4">
        <w:rPr>
          <w:rFonts w:ascii="Times New Roman" w:hAnsi="Times New Roman"/>
          <w:color w:val="000000" w:themeColor="text1"/>
          <w:szCs w:val="22"/>
          <w:lang w:val="lt-LT"/>
        </w:rPr>
        <w:t>tarpinstituciniame</w:t>
      </w:r>
      <w:proofErr w:type="spellEnd"/>
      <w:r w:rsidR="000B7529" w:rsidRPr="00650EE4">
        <w:rPr>
          <w:rFonts w:ascii="Times New Roman" w:hAnsi="Times New Roman"/>
          <w:color w:val="000000" w:themeColor="text1"/>
          <w:szCs w:val="22"/>
          <w:lang w:val="lt-LT"/>
        </w:rPr>
        <w:t xml:space="preserve"> IRS įgyvendinimo veiklos plane)</w:t>
      </w:r>
      <w:r w:rsidR="004762C3" w:rsidRPr="00650EE4">
        <w:rPr>
          <w:rFonts w:ascii="Times New Roman" w:hAnsi="Times New Roman"/>
          <w:color w:val="000000" w:themeColor="text1"/>
          <w:szCs w:val="22"/>
          <w:lang w:val="lt-LT"/>
        </w:rPr>
        <w:t>,</w:t>
      </w:r>
      <w:r w:rsidR="000C0E81" w:rsidRPr="00650EE4">
        <w:rPr>
          <w:rFonts w:ascii="Times New Roman" w:hAnsi="Times New Roman"/>
          <w:color w:val="000000" w:themeColor="text1"/>
          <w:szCs w:val="22"/>
          <w:lang w:val="lt-LT"/>
        </w:rPr>
        <w:t xml:space="preserve"> apimančiame visas suinteresuotas institucijas</w:t>
      </w:r>
      <w:r w:rsidR="000B7529" w:rsidRPr="00650EE4">
        <w:rPr>
          <w:rFonts w:ascii="Times New Roman" w:hAnsi="Times New Roman"/>
          <w:color w:val="000000" w:themeColor="text1"/>
          <w:szCs w:val="22"/>
          <w:lang w:val="lt-LT"/>
        </w:rPr>
        <w:t xml:space="preserve"> ir nustatančiame</w:t>
      </w:r>
      <w:r w:rsidR="000C0E81" w:rsidRPr="00650EE4">
        <w:rPr>
          <w:rFonts w:ascii="Times New Roman" w:hAnsi="Times New Roman"/>
          <w:color w:val="000000" w:themeColor="text1"/>
          <w:szCs w:val="22"/>
          <w:lang w:val="lt-LT"/>
        </w:rPr>
        <w:t xml:space="preserve"> </w:t>
      </w:r>
      <w:r w:rsidR="00EC3158" w:rsidRPr="00650EE4">
        <w:rPr>
          <w:rFonts w:ascii="Times New Roman" w:hAnsi="Times New Roman"/>
          <w:color w:val="000000" w:themeColor="text1"/>
          <w:szCs w:val="22"/>
          <w:lang w:val="lt-LT"/>
        </w:rPr>
        <w:t>2021-</w:t>
      </w:r>
      <w:r w:rsidR="000B7529" w:rsidRPr="00650EE4">
        <w:rPr>
          <w:rFonts w:ascii="Times New Roman" w:hAnsi="Times New Roman"/>
          <w:color w:val="000000" w:themeColor="text1"/>
          <w:szCs w:val="22"/>
          <w:lang w:val="lt-LT"/>
        </w:rPr>
        <w:t>2030 m</w:t>
      </w:r>
      <w:r w:rsidR="00EC3158" w:rsidRPr="00650EE4">
        <w:rPr>
          <w:rFonts w:ascii="Times New Roman" w:hAnsi="Times New Roman"/>
          <w:color w:val="000000" w:themeColor="text1"/>
          <w:szCs w:val="22"/>
          <w:lang w:val="lt-LT"/>
        </w:rPr>
        <w:t>. laikotarpio</w:t>
      </w:r>
      <w:r w:rsidR="000B7529" w:rsidRPr="00650EE4">
        <w:rPr>
          <w:rFonts w:ascii="Times New Roman" w:hAnsi="Times New Roman"/>
          <w:color w:val="000000" w:themeColor="text1"/>
          <w:szCs w:val="22"/>
          <w:vertAlign w:val="superscript"/>
          <w:lang w:val="lt-LT"/>
        </w:rPr>
        <w:footnoteReference w:id="62"/>
      </w:r>
      <w:r w:rsidR="000B7529" w:rsidRPr="00650EE4">
        <w:rPr>
          <w:rFonts w:ascii="Times New Roman" w:hAnsi="Times New Roman"/>
          <w:color w:val="000000" w:themeColor="text1"/>
          <w:szCs w:val="22"/>
          <w:lang w:val="lt-LT"/>
        </w:rPr>
        <w:t xml:space="preserve"> </w:t>
      </w:r>
      <w:r w:rsidR="000C0E81" w:rsidRPr="00650EE4">
        <w:rPr>
          <w:rFonts w:ascii="Times New Roman" w:hAnsi="Times New Roman"/>
          <w:color w:val="000000" w:themeColor="text1"/>
          <w:szCs w:val="22"/>
          <w:lang w:val="lt-LT"/>
        </w:rPr>
        <w:t xml:space="preserve">IRS </w:t>
      </w:r>
      <w:r w:rsidR="00805B88">
        <w:rPr>
          <w:rFonts w:ascii="Times New Roman" w:hAnsi="Times New Roman"/>
          <w:color w:val="000000" w:themeColor="text1"/>
          <w:szCs w:val="22"/>
          <w:lang w:val="lt-LT"/>
        </w:rPr>
        <w:t>rodiklius</w:t>
      </w:r>
      <w:r w:rsidR="000B7529" w:rsidRPr="00650EE4">
        <w:rPr>
          <w:rFonts w:ascii="Times New Roman" w:hAnsi="Times New Roman"/>
          <w:color w:val="000000" w:themeColor="text1"/>
          <w:szCs w:val="22"/>
          <w:lang w:val="lt-LT"/>
        </w:rPr>
        <w:t xml:space="preserve">,  uždavinius, </w:t>
      </w:r>
      <w:r w:rsidR="000C0E81" w:rsidRPr="00650EE4">
        <w:rPr>
          <w:rFonts w:ascii="Times New Roman" w:hAnsi="Times New Roman"/>
          <w:color w:val="000000" w:themeColor="text1"/>
          <w:szCs w:val="22"/>
          <w:lang w:val="lt-LT"/>
        </w:rPr>
        <w:t>priemones (žr. 4 etapą)</w:t>
      </w:r>
      <w:r w:rsidR="000B7529" w:rsidRPr="00650EE4">
        <w:rPr>
          <w:rFonts w:ascii="Times New Roman" w:hAnsi="Times New Roman"/>
          <w:color w:val="000000" w:themeColor="text1"/>
          <w:szCs w:val="22"/>
          <w:lang w:val="lt-LT"/>
        </w:rPr>
        <w:t xml:space="preserve"> ir</w:t>
      </w:r>
      <w:r w:rsidR="000C0E81" w:rsidRPr="00650EE4">
        <w:rPr>
          <w:rFonts w:ascii="Times New Roman" w:hAnsi="Times New Roman"/>
          <w:color w:val="000000" w:themeColor="text1"/>
          <w:szCs w:val="22"/>
          <w:lang w:val="lt-LT"/>
        </w:rPr>
        <w:t xml:space="preserve"> asignavimus jiems įgyvendinti</w:t>
      </w:r>
      <w:r w:rsidR="00BB09EC" w:rsidRPr="00650EE4">
        <w:rPr>
          <w:rFonts w:ascii="Times New Roman" w:hAnsi="Times New Roman"/>
          <w:color w:val="000000" w:themeColor="text1"/>
          <w:szCs w:val="22"/>
          <w:lang w:val="lt-LT"/>
        </w:rPr>
        <w:t xml:space="preserve">. </w:t>
      </w:r>
    </w:p>
    <w:p w14:paraId="658B3A24" w14:textId="77777777" w:rsidR="004F31B7" w:rsidRPr="00650EE4" w:rsidRDefault="004F31B7" w:rsidP="004F31B7">
      <w:pPr>
        <w:pStyle w:val="BodyText"/>
        <w:spacing w:after="120"/>
        <w:jc w:val="both"/>
        <w:rPr>
          <w:rFonts w:ascii="Times New Roman" w:hAnsi="Times New Roman"/>
          <w:color w:val="000000" w:themeColor="text1"/>
          <w:szCs w:val="22"/>
          <w:lang w:val="lt-LT"/>
        </w:rPr>
      </w:pPr>
    </w:p>
    <w:p w14:paraId="60AB118C" w14:textId="3FE27746" w:rsidR="00FA6917" w:rsidRPr="00650EE4" w:rsidRDefault="00FA6917"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 xml:space="preserve">Priemonių paketo </w:t>
      </w:r>
      <w:r w:rsidR="00762F57" w:rsidRPr="00650EE4">
        <w:rPr>
          <w:rFonts w:ascii="Times New Roman" w:hAnsi="Times New Roman"/>
          <w:b/>
          <w:bCs/>
          <w:color w:val="000000" w:themeColor="text1"/>
          <w:szCs w:val="22"/>
          <w:lang w:val="lt-LT"/>
        </w:rPr>
        <w:t>suformavimas</w:t>
      </w:r>
      <w:r w:rsidR="00EF0A54" w:rsidRPr="00650EE4">
        <w:rPr>
          <w:rFonts w:ascii="Times New Roman" w:hAnsi="Times New Roman"/>
          <w:b/>
          <w:bCs/>
          <w:color w:val="000000" w:themeColor="text1"/>
          <w:szCs w:val="22"/>
          <w:lang w:val="lt-LT"/>
        </w:rPr>
        <w:t xml:space="preserve"> (</w:t>
      </w:r>
      <w:r w:rsidR="00A3300E" w:rsidRPr="00650EE4">
        <w:rPr>
          <w:rFonts w:ascii="Times New Roman" w:hAnsi="Times New Roman"/>
          <w:b/>
          <w:bCs/>
          <w:color w:val="000000" w:themeColor="text1"/>
          <w:szCs w:val="22"/>
          <w:lang w:val="lt-LT"/>
        </w:rPr>
        <w:t>p</w:t>
      </w:r>
      <w:r w:rsidR="00EF0A54" w:rsidRPr="00650EE4">
        <w:rPr>
          <w:rFonts w:ascii="Times New Roman" w:hAnsi="Times New Roman"/>
          <w:b/>
          <w:bCs/>
          <w:color w:val="000000" w:themeColor="text1"/>
          <w:szCs w:val="22"/>
          <w:lang w:val="lt-LT"/>
        </w:rPr>
        <w:t>riemonės P6-P1</w:t>
      </w:r>
      <w:r w:rsidR="00CB5533">
        <w:rPr>
          <w:rFonts w:ascii="Times New Roman" w:hAnsi="Times New Roman"/>
          <w:b/>
          <w:bCs/>
          <w:color w:val="000000" w:themeColor="text1"/>
          <w:szCs w:val="22"/>
          <w:lang w:val="lt-LT"/>
        </w:rPr>
        <w:t>5</w:t>
      </w:r>
      <w:r w:rsidR="00EF0A54" w:rsidRPr="00650EE4">
        <w:rPr>
          <w:rFonts w:ascii="Times New Roman" w:hAnsi="Times New Roman"/>
          <w:b/>
          <w:bCs/>
          <w:color w:val="000000" w:themeColor="text1"/>
          <w:szCs w:val="22"/>
          <w:lang w:val="lt-LT"/>
        </w:rPr>
        <w:t>)</w:t>
      </w:r>
    </w:p>
    <w:p w14:paraId="6019DB6B" w14:textId="1257C474" w:rsidR="00FA6917" w:rsidRPr="00650EE4" w:rsidRDefault="00C250FE"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Paramos priemonių paketas</w:t>
      </w:r>
      <w:r w:rsidR="00FA6917" w:rsidRPr="00650EE4">
        <w:rPr>
          <w:rFonts w:ascii="Times New Roman" w:hAnsi="Times New Roman"/>
          <w:color w:val="000000" w:themeColor="text1"/>
          <w:szCs w:val="22"/>
          <w:lang w:val="lt-LT"/>
        </w:rPr>
        <w:t xml:space="preserve">, kuris atitiktų </w:t>
      </w:r>
      <w:r w:rsidR="00805B88">
        <w:rPr>
          <w:rFonts w:ascii="Times New Roman" w:hAnsi="Times New Roman"/>
          <w:color w:val="000000" w:themeColor="text1"/>
          <w:szCs w:val="22"/>
          <w:lang w:val="lt-LT"/>
        </w:rPr>
        <w:t>siekiamus</w:t>
      </w:r>
      <w:r w:rsidR="00FA6917" w:rsidRPr="00650EE4">
        <w:rPr>
          <w:rFonts w:ascii="Times New Roman" w:hAnsi="Times New Roman"/>
          <w:color w:val="000000" w:themeColor="text1"/>
          <w:szCs w:val="22"/>
          <w:lang w:val="lt-LT"/>
        </w:rPr>
        <w:t xml:space="preserve"> IRS </w:t>
      </w:r>
      <w:r w:rsidR="00805B88">
        <w:rPr>
          <w:rFonts w:ascii="Times New Roman" w:hAnsi="Times New Roman"/>
          <w:color w:val="000000" w:themeColor="text1"/>
          <w:szCs w:val="22"/>
          <w:lang w:val="lt-LT"/>
        </w:rPr>
        <w:t>rodiklius</w:t>
      </w:r>
      <w:r w:rsidR="00FA6917" w:rsidRPr="00650EE4">
        <w:rPr>
          <w:rFonts w:ascii="Times New Roman" w:hAnsi="Times New Roman"/>
          <w:color w:val="000000" w:themeColor="text1"/>
          <w:szCs w:val="22"/>
          <w:lang w:val="lt-LT"/>
        </w:rPr>
        <w:t>. Paramos priemonių paketas turėtų</w:t>
      </w:r>
      <w:r w:rsidR="00F36DBF" w:rsidRPr="00650EE4">
        <w:rPr>
          <w:rFonts w:ascii="Times New Roman" w:hAnsi="Times New Roman"/>
          <w:color w:val="000000" w:themeColor="text1"/>
          <w:szCs w:val="22"/>
          <w:lang w:val="lt-LT"/>
        </w:rPr>
        <w:t xml:space="preserve"> užtikrinti</w:t>
      </w:r>
      <w:r w:rsidR="00FA6917" w:rsidRPr="00650EE4">
        <w:rPr>
          <w:rFonts w:ascii="Times New Roman" w:hAnsi="Times New Roman"/>
          <w:color w:val="000000" w:themeColor="text1"/>
          <w:szCs w:val="22"/>
          <w:lang w:val="lt-LT"/>
        </w:rPr>
        <w:t>:</w:t>
      </w:r>
    </w:p>
    <w:p w14:paraId="5B03790D" w14:textId="402A392C" w:rsidR="00FA6917" w:rsidRPr="00650EE4" w:rsidRDefault="00250EA6"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tinkamą IRS prioritetinių krypčių</w:t>
      </w:r>
      <w:r w:rsidR="00FA6917" w:rsidRPr="00650EE4">
        <w:rPr>
          <w:rFonts w:ascii="Times New Roman" w:hAnsi="Times New Roman"/>
          <w:color w:val="000000" w:themeColor="text1"/>
          <w:szCs w:val="22"/>
          <w:lang w:val="lt-LT"/>
        </w:rPr>
        <w:t xml:space="preserve"> įgyvendinimą (plačiau žr. </w:t>
      </w:r>
      <w:r w:rsidR="0037038B">
        <w:rPr>
          <w:rFonts w:ascii="Times New Roman" w:hAnsi="Times New Roman"/>
          <w:color w:val="000000" w:themeColor="text1"/>
          <w:szCs w:val="22"/>
        </w:rPr>
        <w:t>6</w:t>
      </w:r>
      <w:r w:rsidR="00FA6917"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3</w:t>
      </w:r>
      <w:r w:rsidR="00FA6917" w:rsidRPr="00650EE4">
        <w:rPr>
          <w:rFonts w:ascii="Times New Roman" w:hAnsi="Times New Roman"/>
          <w:color w:val="000000" w:themeColor="text1"/>
          <w:szCs w:val="22"/>
          <w:lang w:val="lt-LT"/>
        </w:rPr>
        <w:t>. skyrių);</w:t>
      </w:r>
    </w:p>
    <w:p w14:paraId="2F47D81E" w14:textId="751C5C16" w:rsidR="00FA6917" w:rsidRPr="00650EE4" w:rsidRDefault="00FA6917"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subalansuotų kompleksinių motyvacijos priemonių (tiek skatinimo, tiek nuobaudų) taikymą ir renovacijos tempų ir naudų maksimizavimą (plačiau žr. </w:t>
      </w:r>
      <w:r w:rsidR="0037038B">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 skyrių);</w:t>
      </w:r>
    </w:p>
    <w:p w14:paraId="723ABC0E" w14:textId="5C05B618" w:rsidR="00FA6917" w:rsidRPr="00650EE4" w:rsidRDefault="00FA6917" w:rsidP="00BD4925">
      <w:pPr>
        <w:pStyle w:val="BodyText"/>
        <w:numPr>
          <w:ilvl w:val="0"/>
          <w:numId w:val="70"/>
        </w:numPr>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finansavimo šaltinių ir mechanizmų pakankamumą ir prieinamumą (plačiau žr. </w:t>
      </w:r>
      <w:r w:rsidR="0037038B">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2.3</w:t>
      </w:r>
      <w:r w:rsidRPr="00650EE4">
        <w:rPr>
          <w:rFonts w:ascii="Times New Roman" w:hAnsi="Times New Roman"/>
          <w:color w:val="000000" w:themeColor="text1"/>
          <w:szCs w:val="22"/>
          <w:lang w:val="lt-LT"/>
        </w:rPr>
        <w:t>. skyrių)</w:t>
      </w:r>
      <w:r w:rsidR="00D452C1" w:rsidRPr="00650EE4">
        <w:rPr>
          <w:rFonts w:ascii="Times New Roman" w:hAnsi="Times New Roman"/>
          <w:color w:val="000000" w:themeColor="text1"/>
          <w:szCs w:val="22"/>
          <w:lang w:val="lt-LT"/>
        </w:rPr>
        <w:t>;</w:t>
      </w:r>
    </w:p>
    <w:p w14:paraId="3DAC172C" w14:textId="7A0EB933" w:rsidR="00D452C1" w:rsidRPr="00650EE4" w:rsidRDefault="00D452C1" w:rsidP="00BD4925">
      <w:pPr>
        <w:pStyle w:val="BodyText"/>
        <w:numPr>
          <w:ilvl w:val="0"/>
          <w:numId w:val="70"/>
        </w:numPr>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minimalių energinio naudingumo (energijos vartojimo) reikalavimų po renovacijos nustatymą;</w:t>
      </w:r>
    </w:p>
    <w:p w14:paraId="7C36D098" w14:textId="347534E0" w:rsidR="00FA6917" w:rsidRPr="00650EE4" w:rsidRDefault="00FA6917"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Turėtų būti siekiama, kad naujo paramos priemonių paketo įgyvendinimas prasidėtų ir pilnai pakeistų esamas priemones nuo 2023 metų.</w:t>
      </w:r>
      <w:r w:rsidR="000B7529" w:rsidRPr="00650EE4">
        <w:rPr>
          <w:rFonts w:ascii="Times New Roman" w:hAnsi="Times New Roman"/>
          <w:color w:val="000000" w:themeColor="text1"/>
          <w:szCs w:val="22"/>
          <w:lang w:val="lt-LT"/>
        </w:rPr>
        <w:t xml:space="preserve"> </w:t>
      </w:r>
    </w:p>
    <w:p w14:paraId="774D8FD6" w14:textId="77777777" w:rsidR="00F42C3D" w:rsidRPr="00650EE4" w:rsidRDefault="00F42C3D" w:rsidP="00C250FE">
      <w:pPr>
        <w:pStyle w:val="BodyText"/>
        <w:spacing w:after="120"/>
        <w:jc w:val="both"/>
        <w:rPr>
          <w:rFonts w:ascii="Times New Roman" w:hAnsi="Times New Roman"/>
          <w:color w:val="000000" w:themeColor="text1"/>
          <w:szCs w:val="22"/>
          <w:lang w:val="lt-LT"/>
        </w:rPr>
      </w:pPr>
    </w:p>
    <w:p w14:paraId="71996616" w14:textId="0A4EF376" w:rsidR="00FA6917" w:rsidRPr="00650EE4" w:rsidRDefault="002C66D5"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Įgyvendinimo sistemos suformavimas</w:t>
      </w:r>
      <w:r w:rsidR="00103908" w:rsidRPr="00650EE4">
        <w:rPr>
          <w:rFonts w:ascii="Times New Roman" w:hAnsi="Times New Roman"/>
          <w:b/>
          <w:bCs/>
          <w:color w:val="000000" w:themeColor="text1"/>
          <w:szCs w:val="22"/>
          <w:lang w:val="lt-LT"/>
        </w:rPr>
        <w:t xml:space="preserve"> (priemonės P19-P2</w:t>
      </w:r>
      <w:r w:rsidR="00CB5533">
        <w:rPr>
          <w:rFonts w:ascii="Times New Roman" w:hAnsi="Times New Roman"/>
          <w:b/>
          <w:bCs/>
          <w:color w:val="000000" w:themeColor="text1"/>
          <w:szCs w:val="22"/>
          <w:lang w:val="lt-LT"/>
        </w:rPr>
        <w:t>1</w:t>
      </w:r>
      <w:r w:rsidR="00103908" w:rsidRPr="00650EE4">
        <w:rPr>
          <w:rFonts w:ascii="Times New Roman" w:hAnsi="Times New Roman"/>
          <w:b/>
          <w:bCs/>
          <w:color w:val="000000" w:themeColor="text1"/>
          <w:szCs w:val="22"/>
          <w:lang w:val="lt-LT"/>
        </w:rPr>
        <w:t>)</w:t>
      </w:r>
    </w:p>
    <w:p w14:paraId="3C72D20A" w14:textId="16241148" w:rsidR="00065739" w:rsidRPr="00650EE4" w:rsidRDefault="00D079B6"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Siekiant užtikrinti sklandų renovacijos įgyvendinimo procesą ir sudaryti sąlygas pasiekti kokybišką renovacijos rezultatą, </w:t>
      </w:r>
      <w:r w:rsidR="00065739" w:rsidRPr="00650EE4">
        <w:rPr>
          <w:rFonts w:ascii="Times New Roman" w:hAnsi="Times New Roman"/>
          <w:color w:val="000000" w:themeColor="text1"/>
          <w:szCs w:val="22"/>
          <w:lang w:val="lt-LT"/>
        </w:rPr>
        <w:t xml:space="preserve">Projekto valdytojas turėtų </w:t>
      </w:r>
      <w:r w:rsidR="00DF5228" w:rsidRPr="00650EE4">
        <w:rPr>
          <w:rFonts w:ascii="Times New Roman" w:hAnsi="Times New Roman"/>
          <w:color w:val="000000" w:themeColor="text1"/>
          <w:szCs w:val="22"/>
          <w:lang w:val="lt-LT"/>
        </w:rPr>
        <w:t xml:space="preserve">suformuoti </w:t>
      </w:r>
      <w:r w:rsidR="004025D6" w:rsidRPr="00650EE4">
        <w:rPr>
          <w:rFonts w:ascii="Times New Roman" w:hAnsi="Times New Roman"/>
          <w:color w:val="000000" w:themeColor="text1"/>
          <w:szCs w:val="22"/>
          <w:lang w:val="lt-LT"/>
        </w:rPr>
        <w:t>IRS įgyvendinimo sistem</w:t>
      </w:r>
      <w:r w:rsidR="00DF5228" w:rsidRPr="00650EE4">
        <w:rPr>
          <w:rFonts w:ascii="Times New Roman" w:hAnsi="Times New Roman"/>
          <w:color w:val="000000" w:themeColor="text1"/>
          <w:szCs w:val="22"/>
          <w:lang w:val="lt-LT"/>
        </w:rPr>
        <w:t>ą</w:t>
      </w:r>
      <w:r w:rsidR="004025D6" w:rsidRPr="00650EE4">
        <w:rPr>
          <w:rFonts w:ascii="Times New Roman" w:hAnsi="Times New Roman"/>
          <w:color w:val="000000" w:themeColor="text1"/>
          <w:szCs w:val="22"/>
          <w:lang w:val="lt-LT"/>
        </w:rPr>
        <w:t>. Pagrindini</w:t>
      </w:r>
      <w:r w:rsidR="00E209EF" w:rsidRPr="00650EE4">
        <w:rPr>
          <w:rFonts w:ascii="Times New Roman" w:hAnsi="Times New Roman"/>
          <w:color w:val="000000" w:themeColor="text1"/>
          <w:szCs w:val="22"/>
          <w:lang w:val="lt-LT"/>
        </w:rPr>
        <w:t>us</w:t>
      </w:r>
      <w:r w:rsidR="004025D6" w:rsidRPr="00650EE4">
        <w:rPr>
          <w:rFonts w:ascii="Times New Roman" w:hAnsi="Times New Roman"/>
          <w:color w:val="000000" w:themeColor="text1"/>
          <w:szCs w:val="22"/>
          <w:lang w:val="lt-LT"/>
        </w:rPr>
        <w:t xml:space="preserve"> sistemos element</w:t>
      </w:r>
      <w:r w:rsidR="00E209EF" w:rsidRPr="00650EE4">
        <w:rPr>
          <w:rFonts w:ascii="Times New Roman" w:hAnsi="Times New Roman"/>
          <w:color w:val="000000" w:themeColor="text1"/>
          <w:szCs w:val="22"/>
          <w:lang w:val="lt-LT"/>
        </w:rPr>
        <w:t>us</w:t>
      </w:r>
      <w:r w:rsidR="004025D6" w:rsidRPr="00650EE4">
        <w:rPr>
          <w:rFonts w:ascii="Times New Roman" w:hAnsi="Times New Roman"/>
          <w:color w:val="000000" w:themeColor="text1"/>
          <w:szCs w:val="22"/>
          <w:lang w:val="lt-LT"/>
        </w:rPr>
        <w:t xml:space="preserve"> turėtų </w:t>
      </w:r>
      <w:r w:rsidR="00E209EF" w:rsidRPr="00650EE4">
        <w:rPr>
          <w:rFonts w:ascii="Times New Roman" w:hAnsi="Times New Roman"/>
          <w:color w:val="000000" w:themeColor="text1"/>
          <w:szCs w:val="22"/>
          <w:lang w:val="lt-LT"/>
        </w:rPr>
        <w:t>sudaryti</w:t>
      </w:r>
      <w:r w:rsidR="004025D6" w:rsidRPr="00650EE4">
        <w:rPr>
          <w:rFonts w:ascii="Times New Roman" w:hAnsi="Times New Roman"/>
          <w:color w:val="000000" w:themeColor="text1"/>
          <w:szCs w:val="22"/>
          <w:lang w:val="lt-LT"/>
        </w:rPr>
        <w:t>:</w:t>
      </w:r>
    </w:p>
    <w:p w14:paraId="5E4A94BC" w14:textId="6227AB88" w:rsidR="004025D6"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k</w:t>
      </w:r>
      <w:r w:rsidR="004025D6" w:rsidRPr="00650EE4">
        <w:rPr>
          <w:rFonts w:ascii="Times New Roman" w:hAnsi="Times New Roman"/>
          <w:b/>
          <w:bCs/>
          <w:color w:val="000000" w:themeColor="text1"/>
          <w:szCs w:val="22"/>
          <w:lang w:val="lt-LT"/>
        </w:rPr>
        <w:t>ompetencijų centras</w:t>
      </w:r>
      <w:r w:rsidR="004025D6" w:rsidRPr="00650EE4">
        <w:rPr>
          <w:rFonts w:ascii="Times New Roman" w:hAnsi="Times New Roman"/>
          <w:color w:val="000000" w:themeColor="text1"/>
          <w:szCs w:val="22"/>
          <w:lang w:val="lt-LT"/>
        </w:rPr>
        <w:t xml:space="preserve">, teikiantis techninę ir metodinę pagalbą savivaldybėms, įgyvendinančioms „vieno langelio“ principą (žr. 11 etapą); </w:t>
      </w:r>
    </w:p>
    <w:p w14:paraId="4144C702" w14:textId="26EC6111" w:rsidR="004025D6"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k</w:t>
      </w:r>
      <w:r w:rsidR="004025D6" w:rsidRPr="00650EE4">
        <w:rPr>
          <w:rFonts w:ascii="Times New Roman" w:hAnsi="Times New Roman"/>
          <w:b/>
          <w:bCs/>
          <w:color w:val="000000" w:themeColor="text1"/>
          <w:szCs w:val="22"/>
          <w:lang w:val="lt-LT"/>
        </w:rPr>
        <w:t>okybės kontrolės mechanizmas</w:t>
      </w:r>
      <w:r w:rsidR="004025D6" w:rsidRPr="00650EE4">
        <w:rPr>
          <w:rFonts w:ascii="Times New Roman" w:hAnsi="Times New Roman"/>
          <w:color w:val="000000" w:themeColor="text1"/>
          <w:szCs w:val="22"/>
          <w:lang w:val="lt-LT"/>
        </w:rPr>
        <w:t>, apimantis visus renovacijos įgyvendinimo etapus, pradedant investicijų ir energijos sutaupymų planavimu (pvz., investicinių planų rengimu) ir baigiant renovacijos darbų kokybės užtikrinimu (pvz., techninę prižiūrą ir/arba darbų kokybės draudimą)</w:t>
      </w:r>
      <w:r w:rsidR="000430ED" w:rsidRPr="00650EE4">
        <w:rPr>
          <w:rFonts w:ascii="Times New Roman" w:hAnsi="Times New Roman"/>
          <w:color w:val="000000" w:themeColor="text1"/>
          <w:szCs w:val="22"/>
          <w:lang w:val="lt-LT"/>
        </w:rPr>
        <w:t>;</w:t>
      </w:r>
    </w:p>
    <w:p w14:paraId="06936595" w14:textId="555488CA" w:rsidR="004025D6" w:rsidRPr="00650EE4" w:rsidRDefault="0037038B" w:rsidP="00BD4925">
      <w:pPr>
        <w:pStyle w:val="BodyText"/>
        <w:numPr>
          <w:ilvl w:val="0"/>
          <w:numId w:val="70"/>
        </w:numPr>
        <w:spacing w:before="120" w:after="120"/>
        <w:jc w:val="both"/>
        <w:rPr>
          <w:rFonts w:ascii="Times New Roman" w:hAnsi="Times New Roman"/>
          <w:color w:val="000000" w:themeColor="text1"/>
          <w:szCs w:val="22"/>
          <w:lang w:val="lt-LT"/>
        </w:rPr>
      </w:pPr>
      <w:proofErr w:type="spellStart"/>
      <w:r>
        <w:rPr>
          <w:rFonts w:ascii="Times New Roman" w:hAnsi="Times New Roman"/>
          <w:b/>
          <w:bCs/>
          <w:color w:val="000000" w:themeColor="text1"/>
          <w:szCs w:val="22"/>
          <w:lang w:val="lt-LT"/>
        </w:rPr>
        <w:t>s</w:t>
      </w:r>
      <w:r w:rsidR="004025D6" w:rsidRPr="00650EE4">
        <w:rPr>
          <w:rFonts w:ascii="Times New Roman" w:hAnsi="Times New Roman"/>
          <w:b/>
          <w:bCs/>
          <w:color w:val="000000" w:themeColor="text1"/>
          <w:szCs w:val="22"/>
          <w:lang w:val="lt-LT"/>
        </w:rPr>
        <w:t>tebėsenos</w:t>
      </w:r>
      <w:proofErr w:type="spellEnd"/>
      <w:r w:rsidR="004025D6" w:rsidRPr="00650EE4">
        <w:rPr>
          <w:rFonts w:ascii="Times New Roman" w:hAnsi="Times New Roman"/>
          <w:b/>
          <w:bCs/>
          <w:color w:val="000000" w:themeColor="text1"/>
          <w:szCs w:val="22"/>
          <w:lang w:val="lt-LT"/>
        </w:rPr>
        <w:t xml:space="preserve"> sistema</w:t>
      </w:r>
      <w:r w:rsidR="001C50D0" w:rsidRPr="00650EE4">
        <w:rPr>
          <w:rFonts w:ascii="Times New Roman" w:hAnsi="Times New Roman"/>
          <w:color w:val="000000" w:themeColor="text1"/>
          <w:szCs w:val="22"/>
          <w:lang w:val="lt-LT"/>
        </w:rPr>
        <w:t xml:space="preserve">, renkanti informaciją apie renovacijos rezultatus ir užtikrinanti IRS rodiklių </w:t>
      </w:r>
      <w:proofErr w:type="spellStart"/>
      <w:r w:rsidR="001C50D0" w:rsidRPr="00650EE4">
        <w:rPr>
          <w:rFonts w:ascii="Times New Roman" w:hAnsi="Times New Roman"/>
          <w:color w:val="000000" w:themeColor="text1"/>
          <w:szCs w:val="22"/>
          <w:lang w:val="lt-LT"/>
        </w:rPr>
        <w:t>stebėseną</w:t>
      </w:r>
      <w:proofErr w:type="spellEnd"/>
      <w:r w:rsidR="001C50D0" w:rsidRPr="00650EE4">
        <w:rPr>
          <w:rFonts w:ascii="Times New Roman" w:hAnsi="Times New Roman"/>
          <w:color w:val="000000" w:themeColor="text1"/>
          <w:szCs w:val="22"/>
          <w:lang w:val="lt-LT"/>
        </w:rPr>
        <w:t>.</w:t>
      </w:r>
      <w:r w:rsidR="000369B1" w:rsidRPr="00650EE4">
        <w:rPr>
          <w:rFonts w:ascii="Times New Roman" w:hAnsi="Times New Roman"/>
          <w:color w:val="000000" w:themeColor="text1"/>
          <w:szCs w:val="22"/>
          <w:lang w:val="lt-LT"/>
        </w:rPr>
        <w:t xml:space="preserve"> </w:t>
      </w:r>
      <w:proofErr w:type="spellStart"/>
      <w:r w:rsidR="000369B1" w:rsidRPr="00650EE4">
        <w:rPr>
          <w:rFonts w:ascii="Times New Roman" w:hAnsi="Times New Roman"/>
          <w:color w:val="000000" w:themeColor="text1"/>
          <w:szCs w:val="22"/>
          <w:lang w:val="lt-LT"/>
        </w:rPr>
        <w:t>Stebėsenos</w:t>
      </w:r>
      <w:proofErr w:type="spellEnd"/>
      <w:r w:rsidR="000369B1" w:rsidRPr="00650EE4">
        <w:rPr>
          <w:rFonts w:ascii="Times New Roman" w:hAnsi="Times New Roman"/>
          <w:color w:val="000000" w:themeColor="text1"/>
          <w:szCs w:val="22"/>
          <w:lang w:val="lt-LT"/>
        </w:rPr>
        <w:t xml:space="preserve"> sistemos pagrindą turėtų sudaryti parengta pastatų fondo duomenų bazė (žr. 7 etapą). Sistema turėtų būti integruota su NECP rodiklių </w:t>
      </w:r>
      <w:proofErr w:type="spellStart"/>
      <w:r w:rsidR="000369B1" w:rsidRPr="00650EE4">
        <w:rPr>
          <w:rFonts w:ascii="Times New Roman" w:hAnsi="Times New Roman"/>
          <w:color w:val="000000" w:themeColor="text1"/>
          <w:szCs w:val="22"/>
          <w:lang w:val="lt-LT"/>
        </w:rPr>
        <w:t>stebėsenos</w:t>
      </w:r>
      <w:proofErr w:type="spellEnd"/>
      <w:r w:rsidR="000369B1" w:rsidRPr="00650EE4">
        <w:rPr>
          <w:rFonts w:ascii="Times New Roman" w:hAnsi="Times New Roman"/>
          <w:color w:val="000000" w:themeColor="text1"/>
          <w:szCs w:val="22"/>
          <w:lang w:val="lt-LT"/>
        </w:rPr>
        <w:t xml:space="preserve"> sistema.</w:t>
      </w:r>
    </w:p>
    <w:p w14:paraId="7752266E" w14:textId="7AD80E8A" w:rsidR="00065739" w:rsidRPr="00650EE4" w:rsidRDefault="00D869CF"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Turėtų būti paskirta už šių elementų įgyvendinimą atsakinga institucija (-</w:t>
      </w:r>
      <w:proofErr w:type="spellStart"/>
      <w:r w:rsidRPr="00650EE4">
        <w:rPr>
          <w:rFonts w:ascii="Times New Roman" w:hAnsi="Times New Roman"/>
          <w:color w:val="000000" w:themeColor="text1"/>
          <w:szCs w:val="22"/>
          <w:lang w:val="lt-LT"/>
        </w:rPr>
        <w:t>os</w:t>
      </w:r>
      <w:proofErr w:type="spellEnd"/>
      <w:r w:rsidRPr="00650EE4">
        <w:rPr>
          <w:rFonts w:ascii="Times New Roman" w:hAnsi="Times New Roman"/>
          <w:color w:val="000000" w:themeColor="text1"/>
          <w:szCs w:val="22"/>
          <w:lang w:val="lt-LT"/>
        </w:rPr>
        <w:t>)</w:t>
      </w:r>
      <w:r w:rsidR="00EF4C15" w:rsidRPr="00650EE4">
        <w:rPr>
          <w:rFonts w:ascii="Times New Roman" w:hAnsi="Times New Roman"/>
          <w:color w:val="000000" w:themeColor="text1"/>
          <w:szCs w:val="22"/>
          <w:lang w:val="lt-LT"/>
        </w:rPr>
        <w:t>, užtikrinant tinkamą finansavimą.</w:t>
      </w:r>
    </w:p>
    <w:p w14:paraId="132460F0" w14:textId="75A787F6" w:rsidR="00FA6917" w:rsidRPr="00650EE4" w:rsidRDefault="00FA6917" w:rsidP="00C250FE">
      <w:pPr>
        <w:pStyle w:val="BodyText"/>
        <w:spacing w:after="120"/>
        <w:jc w:val="both"/>
        <w:rPr>
          <w:rFonts w:ascii="Times New Roman" w:hAnsi="Times New Roman"/>
          <w:color w:val="000000" w:themeColor="text1"/>
          <w:szCs w:val="22"/>
          <w:lang w:val="lt-LT"/>
        </w:rPr>
      </w:pPr>
    </w:p>
    <w:p w14:paraId="55C5C4CC" w14:textId="270A9B85" w:rsidR="00F25C7B" w:rsidRPr="00650EE4" w:rsidRDefault="006C19A6"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K</w:t>
      </w:r>
      <w:r w:rsidR="00F25C7B" w:rsidRPr="00650EE4">
        <w:rPr>
          <w:rFonts w:ascii="Times New Roman" w:hAnsi="Times New Roman"/>
          <w:b/>
          <w:bCs/>
          <w:color w:val="000000" w:themeColor="text1"/>
          <w:szCs w:val="22"/>
          <w:lang w:val="lt-LT"/>
        </w:rPr>
        <w:t>omunikacijos plano parengimas</w:t>
      </w:r>
      <w:r w:rsidR="007322DA" w:rsidRPr="00650EE4">
        <w:rPr>
          <w:rFonts w:ascii="Times New Roman" w:hAnsi="Times New Roman"/>
          <w:b/>
          <w:bCs/>
          <w:color w:val="000000" w:themeColor="text1"/>
          <w:szCs w:val="22"/>
          <w:lang w:val="lt-LT"/>
        </w:rPr>
        <w:t xml:space="preserve"> (</w:t>
      </w:r>
      <w:r w:rsidR="000B1DD4" w:rsidRPr="00650EE4">
        <w:rPr>
          <w:rFonts w:ascii="Times New Roman" w:hAnsi="Times New Roman"/>
          <w:b/>
          <w:bCs/>
          <w:color w:val="000000" w:themeColor="text1"/>
          <w:szCs w:val="22"/>
          <w:lang w:val="lt-LT"/>
        </w:rPr>
        <w:t>p</w:t>
      </w:r>
      <w:r w:rsidR="007322DA" w:rsidRPr="00650EE4">
        <w:rPr>
          <w:rFonts w:ascii="Times New Roman" w:hAnsi="Times New Roman"/>
          <w:b/>
          <w:bCs/>
          <w:color w:val="000000" w:themeColor="text1"/>
          <w:szCs w:val="22"/>
          <w:lang w:val="lt-LT"/>
        </w:rPr>
        <w:t>riemonės P16-P1</w:t>
      </w:r>
      <w:r w:rsidR="00CB5533">
        <w:rPr>
          <w:rFonts w:ascii="Times New Roman" w:hAnsi="Times New Roman"/>
          <w:b/>
          <w:bCs/>
          <w:color w:val="000000" w:themeColor="text1"/>
          <w:szCs w:val="22"/>
          <w:lang w:val="lt-LT"/>
        </w:rPr>
        <w:t>8</w:t>
      </w:r>
      <w:r w:rsidR="007322DA" w:rsidRPr="00650EE4">
        <w:rPr>
          <w:rFonts w:ascii="Times New Roman" w:hAnsi="Times New Roman"/>
          <w:b/>
          <w:bCs/>
          <w:color w:val="000000" w:themeColor="text1"/>
          <w:szCs w:val="22"/>
          <w:lang w:val="lt-LT"/>
        </w:rPr>
        <w:t>)</w:t>
      </w:r>
    </w:p>
    <w:p w14:paraId="04971F24" w14:textId="5DD80105" w:rsidR="00F25C7B" w:rsidRPr="00650EE4" w:rsidRDefault="00AC0284"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Projekto valdytojas turėtų </w:t>
      </w:r>
      <w:r w:rsidR="00F25C7B" w:rsidRPr="00650EE4">
        <w:rPr>
          <w:rFonts w:ascii="Times New Roman" w:hAnsi="Times New Roman"/>
          <w:color w:val="000000" w:themeColor="text1"/>
          <w:szCs w:val="22"/>
          <w:lang w:val="lt-LT"/>
        </w:rPr>
        <w:t>parengti IRS komunikacijos strategiją</w:t>
      </w:r>
      <w:r w:rsidR="00266222" w:rsidRPr="00650EE4">
        <w:rPr>
          <w:rFonts w:ascii="Times New Roman" w:hAnsi="Times New Roman"/>
          <w:color w:val="000000" w:themeColor="text1"/>
          <w:szCs w:val="22"/>
          <w:lang w:val="lt-LT"/>
        </w:rPr>
        <w:t xml:space="preserve">, apimančią komunikaciją tiek apie ilgalaikius renovacijos </w:t>
      </w:r>
      <w:r w:rsidR="00805B88">
        <w:rPr>
          <w:rFonts w:ascii="Times New Roman" w:hAnsi="Times New Roman"/>
          <w:color w:val="000000" w:themeColor="text1"/>
          <w:szCs w:val="22"/>
          <w:lang w:val="lt-LT"/>
        </w:rPr>
        <w:t>rodiklius</w:t>
      </w:r>
      <w:r w:rsidR="00266222" w:rsidRPr="00650EE4">
        <w:rPr>
          <w:rFonts w:ascii="Times New Roman" w:hAnsi="Times New Roman"/>
          <w:color w:val="000000" w:themeColor="text1"/>
          <w:szCs w:val="22"/>
          <w:lang w:val="lt-LT"/>
        </w:rPr>
        <w:t xml:space="preserve">, tiek apie konkrečias renovacijos priemones. Turėtų būti paskirtas už komunikacijos įgyvendinimą </w:t>
      </w:r>
      <w:r w:rsidR="001F5414" w:rsidRPr="00650EE4">
        <w:rPr>
          <w:rFonts w:ascii="Times New Roman" w:hAnsi="Times New Roman"/>
          <w:color w:val="000000" w:themeColor="text1"/>
          <w:szCs w:val="22"/>
          <w:lang w:val="lt-LT"/>
        </w:rPr>
        <w:t>atsakingą institucij</w:t>
      </w:r>
      <w:r w:rsidR="00266222" w:rsidRPr="00650EE4">
        <w:rPr>
          <w:rFonts w:ascii="Times New Roman" w:hAnsi="Times New Roman"/>
          <w:color w:val="000000" w:themeColor="text1"/>
          <w:szCs w:val="22"/>
          <w:lang w:val="lt-LT"/>
        </w:rPr>
        <w:t>a</w:t>
      </w:r>
      <w:r w:rsidR="00F25C7B" w:rsidRPr="00650EE4">
        <w:rPr>
          <w:rFonts w:ascii="Times New Roman" w:hAnsi="Times New Roman"/>
          <w:color w:val="000000" w:themeColor="text1"/>
          <w:szCs w:val="22"/>
          <w:lang w:val="lt-LT"/>
        </w:rPr>
        <w:t xml:space="preserve">. Komunikacijos principai plačiau aprašomi </w:t>
      </w:r>
      <w:r w:rsidR="0037038B">
        <w:rPr>
          <w:rFonts w:ascii="Times New Roman" w:hAnsi="Times New Roman"/>
          <w:color w:val="000000" w:themeColor="text1"/>
          <w:szCs w:val="22"/>
          <w:lang w:val="lt-LT"/>
        </w:rPr>
        <w:t>6</w:t>
      </w:r>
      <w:r w:rsidR="00F25C7B" w:rsidRPr="00650EE4">
        <w:rPr>
          <w:rFonts w:ascii="Times New Roman" w:hAnsi="Times New Roman"/>
          <w:color w:val="000000" w:themeColor="text1"/>
          <w:szCs w:val="22"/>
          <w:lang w:val="lt-LT"/>
        </w:rPr>
        <w:t>.</w:t>
      </w:r>
      <w:r w:rsidR="00AF2C73" w:rsidRPr="00650EE4">
        <w:rPr>
          <w:rFonts w:ascii="Times New Roman" w:hAnsi="Times New Roman"/>
          <w:color w:val="000000" w:themeColor="text1"/>
          <w:szCs w:val="22"/>
          <w:lang w:val="lt-LT"/>
        </w:rPr>
        <w:t>2.4.</w:t>
      </w:r>
      <w:r w:rsidR="00F25C7B" w:rsidRPr="00650EE4">
        <w:rPr>
          <w:rFonts w:ascii="Times New Roman" w:hAnsi="Times New Roman"/>
          <w:color w:val="000000" w:themeColor="text1"/>
          <w:szCs w:val="22"/>
          <w:lang w:val="lt-LT"/>
        </w:rPr>
        <w:t xml:space="preserve"> skyriuje.</w:t>
      </w:r>
    </w:p>
    <w:p w14:paraId="461137EF" w14:textId="77777777" w:rsidR="00FA6917" w:rsidRPr="00650EE4" w:rsidRDefault="00FA6917" w:rsidP="00C250FE">
      <w:pPr>
        <w:pStyle w:val="BodyText"/>
        <w:spacing w:after="120"/>
        <w:jc w:val="both"/>
        <w:rPr>
          <w:rFonts w:ascii="Times New Roman" w:hAnsi="Times New Roman"/>
          <w:color w:val="000000" w:themeColor="text1"/>
          <w:szCs w:val="22"/>
          <w:lang w:val="lt-LT"/>
        </w:rPr>
      </w:pPr>
    </w:p>
    <w:p w14:paraId="5AB3777D" w14:textId="37EAA4E7" w:rsidR="00F37EB4" w:rsidRPr="00650EE4" w:rsidRDefault="00FF12BD"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Duomenų bazės parengimas</w:t>
      </w:r>
      <w:r w:rsidR="00F37EB4" w:rsidRPr="00650EE4">
        <w:rPr>
          <w:rFonts w:ascii="Times New Roman" w:hAnsi="Times New Roman"/>
          <w:b/>
          <w:bCs/>
          <w:color w:val="000000" w:themeColor="text1"/>
          <w:szCs w:val="22"/>
          <w:lang w:val="lt-LT"/>
        </w:rPr>
        <w:t xml:space="preserve"> </w:t>
      </w:r>
      <w:r w:rsidR="0088159D" w:rsidRPr="00650EE4">
        <w:rPr>
          <w:rFonts w:ascii="Times New Roman" w:hAnsi="Times New Roman"/>
          <w:b/>
          <w:bCs/>
          <w:color w:val="000000" w:themeColor="text1"/>
          <w:szCs w:val="22"/>
          <w:lang w:val="lt-LT"/>
        </w:rPr>
        <w:t>(priemonė P</w:t>
      </w:r>
      <w:r w:rsidR="00F31E4C" w:rsidRPr="00650EE4">
        <w:rPr>
          <w:rFonts w:ascii="Times New Roman" w:hAnsi="Times New Roman"/>
          <w:b/>
          <w:bCs/>
          <w:color w:val="000000" w:themeColor="text1"/>
          <w:szCs w:val="22"/>
          <w:lang w:val="lt-LT"/>
        </w:rPr>
        <w:t>2)</w:t>
      </w:r>
    </w:p>
    <w:p w14:paraId="3740FA44" w14:textId="4159B948" w:rsidR="00CD7F87" w:rsidRPr="00650EE4" w:rsidRDefault="00CD7F87"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 xml:space="preserve">Siekiant </w:t>
      </w:r>
      <w:r w:rsidR="005D32E4" w:rsidRPr="00650EE4">
        <w:rPr>
          <w:rFonts w:ascii="Times New Roman" w:hAnsi="Times New Roman"/>
          <w:color w:val="000000" w:themeColor="text1"/>
          <w:szCs w:val="22"/>
          <w:lang w:val="lt-LT"/>
        </w:rPr>
        <w:t>spręsti duomenų nepakankamumo problemą</w:t>
      </w:r>
      <w:r w:rsidRPr="00650EE4">
        <w:rPr>
          <w:rFonts w:ascii="Times New Roman" w:hAnsi="Times New Roman"/>
          <w:color w:val="000000" w:themeColor="text1"/>
          <w:szCs w:val="22"/>
          <w:lang w:val="lt-LT"/>
        </w:rPr>
        <w:t>,</w:t>
      </w:r>
      <w:r w:rsidR="002C7701" w:rsidRPr="00650EE4">
        <w:rPr>
          <w:rFonts w:ascii="Times New Roman" w:hAnsi="Times New Roman"/>
          <w:color w:val="000000" w:themeColor="text1"/>
          <w:szCs w:val="22"/>
          <w:lang w:val="lt-LT"/>
        </w:rPr>
        <w:t xml:space="preserve"> turėtų būti </w:t>
      </w:r>
      <w:r w:rsidR="00067AEE" w:rsidRPr="00650EE4">
        <w:rPr>
          <w:rFonts w:ascii="Times New Roman" w:hAnsi="Times New Roman"/>
          <w:color w:val="000000" w:themeColor="text1"/>
          <w:szCs w:val="22"/>
          <w:lang w:val="lt-LT"/>
        </w:rPr>
        <w:t>suformuota pastatų fondo duomenų bazė.</w:t>
      </w:r>
      <w:r w:rsidRPr="00650EE4">
        <w:rPr>
          <w:rFonts w:ascii="Times New Roman" w:hAnsi="Times New Roman"/>
          <w:color w:val="000000" w:themeColor="text1"/>
          <w:szCs w:val="22"/>
          <w:lang w:val="lt-LT"/>
        </w:rPr>
        <w:t xml:space="preserve"> Duomenų bazės formavimo principai plačiau aprašomi </w:t>
      </w:r>
      <w:r w:rsidR="0037038B">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.3.1. skyriuje</w:t>
      </w:r>
      <w:r w:rsidR="000B2BA9" w:rsidRPr="00650EE4">
        <w:rPr>
          <w:rFonts w:ascii="Times New Roman" w:hAnsi="Times New Roman"/>
          <w:color w:val="000000" w:themeColor="text1"/>
          <w:szCs w:val="22"/>
          <w:lang w:val="lt-LT"/>
        </w:rPr>
        <w:t>. Duomenų bazės turėtų būti formuojama šiais etapais:</w:t>
      </w:r>
    </w:p>
    <w:p w14:paraId="7A3B85A8" w14:textId="5C192CEB" w:rsidR="00F37EB4" w:rsidRPr="00650EE4" w:rsidRDefault="00C63DF3"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nustatomi</w:t>
      </w:r>
      <w:r w:rsidR="00F37EB4" w:rsidRPr="00650EE4">
        <w:rPr>
          <w:rFonts w:ascii="Times New Roman" w:hAnsi="Times New Roman"/>
          <w:color w:val="000000" w:themeColor="text1"/>
          <w:szCs w:val="22"/>
          <w:lang w:val="lt-LT"/>
        </w:rPr>
        <w:t xml:space="preserve"> reikalavimai duomenų surinkimui savivaldybėse: duomenų struktūra, duomenų surinkimo metodika, pateikimo formatas (būdas) ir terminai</w:t>
      </w:r>
      <w:r w:rsidR="0076375D" w:rsidRPr="00650EE4">
        <w:rPr>
          <w:rFonts w:ascii="Times New Roman" w:hAnsi="Times New Roman"/>
          <w:color w:val="000000" w:themeColor="text1"/>
          <w:szCs w:val="22"/>
          <w:lang w:val="lt-LT"/>
        </w:rPr>
        <w:t>;</w:t>
      </w:r>
    </w:p>
    <w:p w14:paraId="73DBC19D" w14:textId="21618E38" w:rsidR="00FF12BD" w:rsidRPr="00650EE4" w:rsidRDefault="0076375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w:t>
      </w:r>
      <w:r w:rsidR="00FF12BD" w:rsidRPr="00650EE4">
        <w:rPr>
          <w:rFonts w:ascii="Times New Roman" w:hAnsi="Times New Roman"/>
          <w:color w:val="000000" w:themeColor="text1"/>
          <w:szCs w:val="22"/>
          <w:lang w:val="lt-LT"/>
        </w:rPr>
        <w:t xml:space="preserve">ygiagrečiai renkant duomenis savivaldybėse (žr. </w:t>
      </w:r>
      <w:r w:rsidRPr="00650EE4">
        <w:rPr>
          <w:rFonts w:ascii="Times New Roman" w:hAnsi="Times New Roman"/>
          <w:color w:val="000000" w:themeColor="text1"/>
          <w:szCs w:val="22"/>
          <w:lang w:val="lt-LT"/>
        </w:rPr>
        <w:t>9</w:t>
      </w:r>
      <w:r w:rsidR="00FF12BD" w:rsidRPr="00650EE4">
        <w:rPr>
          <w:rFonts w:ascii="Times New Roman" w:hAnsi="Times New Roman"/>
          <w:color w:val="000000" w:themeColor="text1"/>
          <w:szCs w:val="22"/>
          <w:lang w:val="lt-LT"/>
        </w:rPr>
        <w:t xml:space="preserve"> etapą) </w:t>
      </w:r>
      <w:r w:rsidR="00C63DF3">
        <w:rPr>
          <w:rFonts w:ascii="Times New Roman" w:hAnsi="Times New Roman"/>
          <w:color w:val="000000" w:themeColor="text1"/>
          <w:szCs w:val="22"/>
          <w:lang w:val="lt-LT"/>
        </w:rPr>
        <w:t>parengiama</w:t>
      </w:r>
      <w:r w:rsidR="00FF12BD" w:rsidRPr="00650EE4">
        <w:rPr>
          <w:rFonts w:ascii="Times New Roman" w:hAnsi="Times New Roman"/>
          <w:color w:val="000000" w:themeColor="text1"/>
          <w:szCs w:val="22"/>
          <w:lang w:val="lt-LT"/>
        </w:rPr>
        <w:t xml:space="preserve"> metodika duomenų apdorojimui ir palyginimui su išoriniais šaltiniais, pvz., pastatų fondo energijos vartojimo duomenys turi būti palyginami su Energijos ir kuro balanso duomenimis (faktiniu vartojimu), kadangi šiuo šaltiniu remi</w:t>
      </w:r>
      <w:r w:rsidR="00C63DF3">
        <w:rPr>
          <w:rFonts w:ascii="Times New Roman" w:hAnsi="Times New Roman"/>
          <w:color w:val="000000" w:themeColor="text1"/>
          <w:szCs w:val="22"/>
          <w:lang w:val="lt-LT"/>
        </w:rPr>
        <w:t xml:space="preserve">asi NECP įgyvendinimo </w:t>
      </w:r>
      <w:proofErr w:type="spellStart"/>
      <w:r w:rsidR="00C63DF3">
        <w:rPr>
          <w:rFonts w:ascii="Times New Roman" w:hAnsi="Times New Roman"/>
          <w:color w:val="000000" w:themeColor="text1"/>
          <w:szCs w:val="22"/>
          <w:lang w:val="lt-LT"/>
        </w:rPr>
        <w:t>stebėsena</w:t>
      </w:r>
      <w:proofErr w:type="spellEnd"/>
      <w:r w:rsidR="00C63DF3">
        <w:rPr>
          <w:rFonts w:ascii="Times New Roman" w:hAnsi="Times New Roman"/>
          <w:color w:val="000000" w:themeColor="text1"/>
          <w:szCs w:val="22"/>
          <w:lang w:val="lt-LT"/>
        </w:rPr>
        <w:t>;</w:t>
      </w:r>
    </w:p>
    <w:p w14:paraId="0EED1910" w14:textId="0CBA6F44" w:rsidR="00D1128B" w:rsidRPr="00650EE4" w:rsidRDefault="007D7822"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w:t>
      </w:r>
      <w:r w:rsidR="00FF12BD" w:rsidRPr="00650EE4">
        <w:rPr>
          <w:rFonts w:ascii="Times New Roman" w:hAnsi="Times New Roman"/>
          <w:color w:val="000000" w:themeColor="text1"/>
          <w:szCs w:val="22"/>
          <w:lang w:val="lt-LT"/>
        </w:rPr>
        <w:t xml:space="preserve">abaigus duomenų rinkimą savivaldybėse, </w:t>
      </w:r>
      <w:r w:rsidRPr="00650EE4">
        <w:rPr>
          <w:rFonts w:ascii="Times New Roman" w:hAnsi="Times New Roman"/>
          <w:color w:val="000000" w:themeColor="text1"/>
          <w:szCs w:val="22"/>
          <w:lang w:val="lt-LT"/>
        </w:rPr>
        <w:t>konsoliduojami</w:t>
      </w:r>
      <w:r w:rsidR="00FF12BD" w:rsidRPr="00650EE4">
        <w:rPr>
          <w:rFonts w:ascii="Times New Roman" w:hAnsi="Times New Roman"/>
          <w:color w:val="000000" w:themeColor="text1"/>
          <w:szCs w:val="22"/>
          <w:lang w:val="lt-LT"/>
        </w:rPr>
        <w:t xml:space="preserve"> savivaldybių pateikti duomenys, užpildant duomenų bazę ir (pagal poreikį) atnaujinant IRS rodiklius (žr. </w:t>
      </w:r>
      <w:r w:rsidRPr="00650EE4">
        <w:rPr>
          <w:rFonts w:ascii="Times New Roman" w:hAnsi="Times New Roman"/>
          <w:color w:val="000000" w:themeColor="text1"/>
          <w:szCs w:val="22"/>
          <w:lang w:val="lt-LT"/>
        </w:rPr>
        <w:t>13</w:t>
      </w:r>
      <w:r w:rsidR="00C63DF3">
        <w:rPr>
          <w:rFonts w:ascii="Times New Roman" w:hAnsi="Times New Roman"/>
          <w:color w:val="000000" w:themeColor="text1"/>
          <w:szCs w:val="22"/>
          <w:lang w:val="lt-LT"/>
        </w:rPr>
        <w:t xml:space="preserve"> etapą);</w:t>
      </w:r>
    </w:p>
    <w:p w14:paraId="190D3EB1" w14:textId="3C0F130B" w:rsidR="00B97F95" w:rsidRPr="00650EE4" w:rsidRDefault="00C63DF3"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nustatomas</w:t>
      </w:r>
      <w:r w:rsidR="00B97F95" w:rsidRPr="00650EE4">
        <w:rPr>
          <w:rFonts w:ascii="Times New Roman" w:hAnsi="Times New Roman"/>
          <w:color w:val="000000" w:themeColor="text1"/>
          <w:szCs w:val="22"/>
          <w:lang w:val="lt-LT"/>
        </w:rPr>
        <w:t xml:space="preserve"> duomenų apie atliktą renovaciją rinkimo procesas, kurio metu būtų papildomi esami pastatų fondo duomenys. Tai sudarytų pagrindą tinkamam </w:t>
      </w:r>
      <w:proofErr w:type="spellStart"/>
      <w:r w:rsidR="00B97F95" w:rsidRPr="00650EE4">
        <w:rPr>
          <w:rFonts w:ascii="Times New Roman" w:hAnsi="Times New Roman"/>
          <w:color w:val="000000" w:themeColor="text1"/>
          <w:szCs w:val="22"/>
          <w:lang w:val="lt-LT"/>
        </w:rPr>
        <w:t>stebėsenos</w:t>
      </w:r>
      <w:proofErr w:type="spellEnd"/>
      <w:r w:rsidR="00B97F95" w:rsidRPr="00650EE4">
        <w:rPr>
          <w:rFonts w:ascii="Times New Roman" w:hAnsi="Times New Roman"/>
          <w:color w:val="000000" w:themeColor="text1"/>
          <w:szCs w:val="22"/>
          <w:lang w:val="lt-LT"/>
        </w:rPr>
        <w:t xml:space="preserve"> sistemos funkcionavimui (žr. 5 etapą).</w:t>
      </w:r>
    </w:p>
    <w:p w14:paraId="674B3AC6" w14:textId="77777777" w:rsidR="00C63DF3" w:rsidRDefault="00C63DF3" w:rsidP="0037038B">
      <w:pPr>
        <w:pStyle w:val="BodyText"/>
        <w:jc w:val="both"/>
        <w:rPr>
          <w:rFonts w:ascii="Times New Roman" w:hAnsi="Times New Roman"/>
          <w:color w:val="000000" w:themeColor="text1"/>
          <w:szCs w:val="22"/>
          <w:lang w:val="lt-LT"/>
        </w:rPr>
      </w:pPr>
    </w:p>
    <w:p w14:paraId="3D8C874C" w14:textId="3625B0BE" w:rsidR="00067AEE" w:rsidRPr="00650EE4" w:rsidRDefault="000A5494"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Svarbu, kad būtų paskirtas </w:t>
      </w:r>
      <w:r w:rsidR="00067AEE" w:rsidRPr="00650EE4">
        <w:rPr>
          <w:rFonts w:ascii="Times New Roman" w:hAnsi="Times New Roman"/>
          <w:szCs w:val="22"/>
          <w:lang w:val="lt-LT"/>
        </w:rPr>
        <w:t>ilgalaikį tokios duomenų bazės administratori</w:t>
      </w:r>
      <w:r w:rsidRPr="00650EE4">
        <w:rPr>
          <w:rFonts w:ascii="Times New Roman" w:hAnsi="Times New Roman"/>
          <w:szCs w:val="22"/>
          <w:lang w:val="lt-LT"/>
        </w:rPr>
        <w:t>us ir užtikrintas jos</w:t>
      </w:r>
      <w:r w:rsidR="00067AEE" w:rsidRPr="00650EE4">
        <w:rPr>
          <w:rFonts w:ascii="Times New Roman" w:hAnsi="Times New Roman"/>
          <w:szCs w:val="22"/>
          <w:lang w:val="lt-LT"/>
        </w:rPr>
        <w:t xml:space="preserve"> finansavimo šaltin</w:t>
      </w:r>
      <w:r w:rsidRPr="00650EE4">
        <w:rPr>
          <w:rFonts w:ascii="Times New Roman" w:hAnsi="Times New Roman"/>
          <w:szCs w:val="22"/>
          <w:lang w:val="lt-LT"/>
        </w:rPr>
        <w:t xml:space="preserve">is </w:t>
      </w:r>
      <w:r w:rsidR="00C63DF3">
        <w:rPr>
          <w:rFonts w:ascii="Times New Roman" w:hAnsi="Times New Roman"/>
          <w:szCs w:val="22"/>
          <w:lang w:val="lt-LT"/>
        </w:rPr>
        <w:t>ir</w:t>
      </w:r>
      <w:r w:rsidR="00067AEE" w:rsidRPr="00650EE4">
        <w:rPr>
          <w:rFonts w:ascii="Times New Roman" w:hAnsi="Times New Roman"/>
          <w:szCs w:val="22"/>
          <w:lang w:val="lt-LT"/>
        </w:rPr>
        <w:t xml:space="preserve"> administratoriui </w:t>
      </w:r>
      <w:r w:rsidRPr="00650EE4">
        <w:rPr>
          <w:rFonts w:ascii="Times New Roman" w:hAnsi="Times New Roman"/>
          <w:szCs w:val="22"/>
          <w:lang w:val="lt-LT"/>
        </w:rPr>
        <w:t xml:space="preserve">suteiktos </w:t>
      </w:r>
      <w:r w:rsidR="00067AEE" w:rsidRPr="00650EE4">
        <w:rPr>
          <w:rFonts w:ascii="Times New Roman" w:hAnsi="Times New Roman"/>
          <w:szCs w:val="22"/>
          <w:lang w:val="lt-LT"/>
        </w:rPr>
        <w:t xml:space="preserve">reikalingas duomenų prieigos teises </w:t>
      </w:r>
      <w:r w:rsidRPr="00650EE4">
        <w:rPr>
          <w:rFonts w:ascii="Times New Roman" w:hAnsi="Times New Roman"/>
          <w:szCs w:val="22"/>
          <w:lang w:val="lt-LT"/>
        </w:rPr>
        <w:t xml:space="preserve">ir įgaliojimai </w:t>
      </w:r>
      <w:r w:rsidR="00067AEE" w:rsidRPr="00650EE4">
        <w:rPr>
          <w:rFonts w:ascii="Times New Roman" w:hAnsi="Times New Roman"/>
          <w:szCs w:val="22"/>
          <w:lang w:val="lt-LT"/>
        </w:rPr>
        <w:t>(pvz.</w:t>
      </w:r>
      <w:r w:rsidRPr="00650EE4">
        <w:rPr>
          <w:rFonts w:ascii="Times New Roman" w:hAnsi="Times New Roman"/>
          <w:szCs w:val="22"/>
          <w:lang w:val="lt-LT"/>
        </w:rPr>
        <w:t>,</w:t>
      </w:r>
      <w:r w:rsidR="00067AEE" w:rsidRPr="00650EE4">
        <w:rPr>
          <w:rFonts w:ascii="Times New Roman" w:hAnsi="Times New Roman"/>
          <w:szCs w:val="22"/>
          <w:lang w:val="lt-LT"/>
        </w:rPr>
        <w:t xml:space="preserve"> įgaliojimus rinkti tam tikrus duomenis iš energijos tiekėjų).</w:t>
      </w:r>
    </w:p>
    <w:p w14:paraId="7CD7C288" w14:textId="247985EA" w:rsidR="00FF12BD" w:rsidRPr="00650EE4" w:rsidRDefault="00FF12BD" w:rsidP="00F37EB4">
      <w:pPr>
        <w:pStyle w:val="BodyText"/>
        <w:rPr>
          <w:rFonts w:ascii="Times New Roman" w:hAnsi="Times New Roman"/>
          <w:color w:val="000000" w:themeColor="text1"/>
          <w:szCs w:val="22"/>
          <w:lang w:val="lt-LT"/>
        </w:rPr>
      </w:pPr>
    </w:p>
    <w:p w14:paraId="6DC03712" w14:textId="0F98F0E0" w:rsidR="00131E0E" w:rsidRPr="00650EE4" w:rsidRDefault="00131E0E" w:rsidP="005878F6">
      <w:pPr>
        <w:pStyle w:val="BodyText"/>
        <w:numPr>
          <w:ilvl w:val="0"/>
          <w:numId w:val="76"/>
        </w:numPr>
        <w:spacing w:after="120"/>
        <w:ind w:left="284" w:hanging="284"/>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Esamų programų įgyvendinimas</w:t>
      </w:r>
    </w:p>
    <w:p w14:paraId="651319FA" w14:textId="151429B2" w:rsidR="00131E0E" w:rsidRPr="00650EE4" w:rsidRDefault="002D104C"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Pasirengimo etapo metu </w:t>
      </w:r>
      <w:r w:rsidR="00D50C06" w:rsidRPr="00650EE4">
        <w:rPr>
          <w:rFonts w:ascii="Times New Roman" w:hAnsi="Times New Roman"/>
          <w:color w:val="000000" w:themeColor="text1"/>
          <w:szCs w:val="22"/>
          <w:lang w:val="lt-LT"/>
        </w:rPr>
        <w:t xml:space="preserve">turi būti užtikrinamas esamų paramos programų vykdymas. Suformavus </w:t>
      </w:r>
      <w:r w:rsidR="00C367FD" w:rsidRPr="00650EE4">
        <w:rPr>
          <w:rFonts w:ascii="Times New Roman" w:hAnsi="Times New Roman"/>
          <w:color w:val="000000" w:themeColor="text1"/>
          <w:szCs w:val="22"/>
          <w:lang w:val="lt-LT"/>
        </w:rPr>
        <w:t>naujų</w:t>
      </w:r>
      <w:r w:rsidR="00D50C06" w:rsidRPr="00650EE4">
        <w:rPr>
          <w:rFonts w:ascii="Times New Roman" w:hAnsi="Times New Roman"/>
          <w:color w:val="000000" w:themeColor="text1"/>
          <w:szCs w:val="22"/>
          <w:lang w:val="lt-LT"/>
        </w:rPr>
        <w:t xml:space="preserve"> paramos priemonių paketą (žr. 4 etapą) pradedamas IRS įgyvendinimo etapas ir naujų paramos priemonių įgyvendinimas (žr. 12 etapą).</w:t>
      </w:r>
    </w:p>
    <w:p w14:paraId="466F227A" w14:textId="77777777" w:rsidR="00F37EB4" w:rsidRPr="00650EE4" w:rsidRDefault="00F37EB4" w:rsidP="00F37EB4">
      <w:pPr>
        <w:pStyle w:val="BodyText"/>
        <w:rPr>
          <w:rFonts w:ascii="Times New Roman" w:hAnsi="Times New Roman"/>
          <w:color w:val="000000" w:themeColor="text1"/>
          <w:szCs w:val="22"/>
          <w:lang w:val="lt-LT"/>
        </w:rPr>
      </w:pPr>
    </w:p>
    <w:p w14:paraId="308A78CA" w14:textId="31FAFF0A" w:rsidR="00F37EB4" w:rsidRPr="00650EE4" w:rsidRDefault="00FF41CA" w:rsidP="005878F6">
      <w:pPr>
        <w:pStyle w:val="BodyText"/>
        <w:numPr>
          <w:ilvl w:val="0"/>
          <w:numId w:val="76"/>
        </w:numPr>
        <w:spacing w:after="120"/>
        <w:ind w:left="284" w:hanging="284"/>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Pastatų fondo inventorizacija</w:t>
      </w:r>
      <w:r w:rsidR="00833834" w:rsidRPr="00650EE4">
        <w:rPr>
          <w:rFonts w:ascii="Times New Roman" w:hAnsi="Times New Roman"/>
          <w:b/>
          <w:bCs/>
          <w:color w:val="000000" w:themeColor="text1"/>
          <w:szCs w:val="22"/>
          <w:lang w:val="lt-LT"/>
        </w:rPr>
        <w:t xml:space="preserve"> (Priemonė P2)</w:t>
      </w:r>
    </w:p>
    <w:p w14:paraId="3D70B0FC" w14:textId="64634E03" w:rsidR="00F37EB4" w:rsidRPr="00650EE4" w:rsidRDefault="00F37EB4"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Remdamosi parengtais duomenų surinkimo nurodymais ir reikalaujama duomenų struktūra</w:t>
      </w:r>
      <w:r w:rsidR="00C257C6" w:rsidRPr="00650EE4">
        <w:rPr>
          <w:rFonts w:ascii="Times New Roman" w:hAnsi="Times New Roman"/>
          <w:color w:val="000000" w:themeColor="text1"/>
          <w:szCs w:val="22"/>
          <w:lang w:val="lt-LT"/>
        </w:rPr>
        <w:t xml:space="preserve"> (žr. 7 etapą)</w:t>
      </w:r>
      <w:r w:rsidRPr="00650EE4">
        <w:rPr>
          <w:rFonts w:ascii="Times New Roman" w:hAnsi="Times New Roman"/>
          <w:color w:val="000000" w:themeColor="text1"/>
          <w:szCs w:val="22"/>
          <w:lang w:val="lt-LT"/>
        </w:rPr>
        <w:t>, savivaldybės tur</w:t>
      </w:r>
      <w:r w:rsidR="006C44C3" w:rsidRPr="00650EE4">
        <w:rPr>
          <w:rFonts w:ascii="Times New Roman" w:hAnsi="Times New Roman"/>
          <w:color w:val="000000" w:themeColor="text1"/>
          <w:szCs w:val="22"/>
          <w:lang w:val="lt-LT"/>
        </w:rPr>
        <w:t>ėtų</w:t>
      </w:r>
      <w:r w:rsidRPr="00650EE4">
        <w:rPr>
          <w:rFonts w:ascii="Times New Roman" w:hAnsi="Times New Roman"/>
          <w:color w:val="000000" w:themeColor="text1"/>
          <w:szCs w:val="22"/>
          <w:lang w:val="lt-LT"/>
        </w:rPr>
        <w:t xml:space="preserve"> surinkti </w:t>
      </w:r>
      <w:r w:rsidR="006C44C3" w:rsidRPr="00650EE4">
        <w:rPr>
          <w:rFonts w:ascii="Times New Roman" w:hAnsi="Times New Roman"/>
          <w:color w:val="000000" w:themeColor="text1"/>
          <w:szCs w:val="22"/>
          <w:lang w:val="lt-LT"/>
        </w:rPr>
        <w:t xml:space="preserve">faktinę </w:t>
      </w:r>
      <w:r w:rsidRPr="00650EE4">
        <w:rPr>
          <w:rFonts w:ascii="Times New Roman" w:hAnsi="Times New Roman"/>
          <w:color w:val="000000" w:themeColor="text1"/>
          <w:szCs w:val="22"/>
          <w:lang w:val="lt-LT"/>
        </w:rPr>
        <w:t>informaciją apie esamą pastatų fondą</w:t>
      </w:r>
      <w:r w:rsidR="00B77060" w:rsidRPr="00650EE4">
        <w:rPr>
          <w:rFonts w:ascii="Times New Roman" w:hAnsi="Times New Roman"/>
          <w:color w:val="000000" w:themeColor="text1"/>
          <w:szCs w:val="22"/>
          <w:lang w:val="lt-LT"/>
        </w:rPr>
        <w:t>: naudojamų (šildomų) pastatų skaičių ir plot</w:t>
      </w:r>
      <w:r w:rsidR="006C44C3" w:rsidRPr="00650EE4">
        <w:rPr>
          <w:rFonts w:ascii="Times New Roman" w:hAnsi="Times New Roman"/>
          <w:color w:val="000000" w:themeColor="text1"/>
          <w:szCs w:val="22"/>
          <w:lang w:val="lt-LT"/>
        </w:rPr>
        <w:t>ą</w:t>
      </w:r>
      <w:r w:rsidR="00B7706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r w:rsidR="00B77060" w:rsidRPr="00650EE4">
        <w:rPr>
          <w:rFonts w:ascii="Times New Roman" w:hAnsi="Times New Roman"/>
          <w:color w:val="000000" w:themeColor="text1"/>
          <w:szCs w:val="22"/>
          <w:lang w:val="lt-LT"/>
        </w:rPr>
        <w:t xml:space="preserve">jų </w:t>
      </w:r>
      <w:r w:rsidRPr="00650EE4">
        <w:rPr>
          <w:rFonts w:ascii="Times New Roman" w:hAnsi="Times New Roman"/>
          <w:color w:val="000000" w:themeColor="text1"/>
          <w:szCs w:val="22"/>
          <w:lang w:val="lt-LT"/>
        </w:rPr>
        <w:t>energijos gamybos šaltinius ir energijos vartojimą. Surinkta informacija turėtų būti teikiama į centralizuotą duomenų bazę</w:t>
      </w:r>
      <w:r w:rsidR="002619A4" w:rsidRPr="00650EE4">
        <w:rPr>
          <w:rFonts w:ascii="Times New Roman" w:hAnsi="Times New Roman"/>
          <w:color w:val="000000" w:themeColor="text1"/>
          <w:szCs w:val="22"/>
          <w:lang w:val="lt-LT"/>
        </w:rPr>
        <w:t>, taip pat naudojama IRS įgyvendinimo planų savivaldybėse (žr. 10 etapą) rengimu</w:t>
      </w:r>
      <w:r w:rsidR="00791C03" w:rsidRPr="00650EE4">
        <w:rPr>
          <w:rFonts w:ascii="Times New Roman" w:hAnsi="Times New Roman"/>
          <w:color w:val="000000" w:themeColor="text1"/>
          <w:szCs w:val="22"/>
          <w:lang w:val="lt-LT"/>
        </w:rPr>
        <w:t>i.</w:t>
      </w:r>
    </w:p>
    <w:p w14:paraId="2D0A73F8" w14:textId="77777777" w:rsidR="00F25C7B" w:rsidRPr="00650EE4" w:rsidRDefault="00F25C7B" w:rsidP="005E71F4">
      <w:pPr>
        <w:rPr>
          <w:rFonts w:ascii="Times New Roman" w:hAnsi="Times New Roman"/>
          <w:b/>
          <w:bCs/>
          <w:color w:val="000000" w:themeColor="text1"/>
          <w:szCs w:val="22"/>
        </w:rPr>
      </w:pPr>
    </w:p>
    <w:p w14:paraId="13A3402D" w14:textId="36D1B22C" w:rsidR="00F37EB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F37EB4" w:rsidRPr="00650EE4">
        <w:rPr>
          <w:rFonts w:ascii="Times New Roman" w:hAnsi="Times New Roman"/>
          <w:b/>
          <w:bCs/>
          <w:color w:val="000000" w:themeColor="text1"/>
          <w:szCs w:val="22"/>
          <w:lang w:val="lt-LT"/>
        </w:rPr>
        <w:t>IRS įgyvendinimo planų parengimas</w:t>
      </w:r>
    </w:p>
    <w:p w14:paraId="055B9E3C" w14:textId="5CCAF7B0" w:rsidR="00F37EB4" w:rsidRPr="00650EE4" w:rsidRDefault="00F37EB4" w:rsidP="00F37EB4">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Remdamosi </w:t>
      </w:r>
      <w:r w:rsidR="006948CD" w:rsidRPr="00650EE4">
        <w:rPr>
          <w:rFonts w:ascii="Times New Roman" w:hAnsi="Times New Roman"/>
          <w:color w:val="000000" w:themeColor="text1"/>
          <w:szCs w:val="22"/>
          <w:lang w:val="lt-LT"/>
        </w:rPr>
        <w:t xml:space="preserve">IRS nustatytais </w:t>
      </w:r>
      <w:r w:rsidR="00805B88">
        <w:rPr>
          <w:rFonts w:ascii="Times New Roman" w:hAnsi="Times New Roman"/>
          <w:color w:val="000000" w:themeColor="text1"/>
          <w:szCs w:val="22"/>
          <w:lang w:val="lt-LT"/>
        </w:rPr>
        <w:t>rodikliais</w:t>
      </w:r>
      <w:r w:rsidR="006948CD" w:rsidRPr="00650EE4">
        <w:rPr>
          <w:rFonts w:ascii="Times New Roman" w:hAnsi="Times New Roman"/>
          <w:color w:val="000000" w:themeColor="text1"/>
          <w:szCs w:val="22"/>
          <w:lang w:val="lt-LT"/>
        </w:rPr>
        <w:t xml:space="preserve"> ir </w:t>
      </w:r>
      <w:r w:rsidRPr="00650EE4">
        <w:rPr>
          <w:rFonts w:ascii="Times New Roman" w:hAnsi="Times New Roman"/>
          <w:color w:val="000000" w:themeColor="text1"/>
          <w:szCs w:val="22"/>
          <w:lang w:val="lt-LT"/>
        </w:rPr>
        <w:t xml:space="preserve">surinkta </w:t>
      </w:r>
      <w:r w:rsidR="006948CD" w:rsidRPr="00650EE4">
        <w:rPr>
          <w:rFonts w:ascii="Times New Roman" w:hAnsi="Times New Roman"/>
          <w:color w:val="000000" w:themeColor="text1"/>
          <w:szCs w:val="22"/>
          <w:lang w:val="lt-LT"/>
        </w:rPr>
        <w:t xml:space="preserve">faktine </w:t>
      </w:r>
      <w:r w:rsidRPr="00650EE4">
        <w:rPr>
          <w:rFonts w:ascii="Times New Roman" w:hAnsi="Times New Roman"/>
          <w:color w:val="000000" w:themeColor="text1"/>
          <w:szCs w:val="22"/>
          <w:lang w:val="lt-LT"/>
        </w:rPr>
        <w:t>informacija apie savivaldyb</w:t>
      </w:r>
      <w:r w:rsidR="006948CD" w:rsidRPr="00650EE4">
        <w:rPr>
          <w:rFonts w:ascii="Times New Roman" w:hAnsi="Times New Roman"/>
          <w:color w:val="000000" w:themeColor="text1"/>
          <w:szCs w:val="22"/>
          <w:lang w:val="lt-LT"/>
        </w:rPr>
        <w:t>ių</w:t>
      </w:r>
      <w:r w:rsidRPr="00650EE4">
        <w:rPr>
          <w:rFonts w:ascii="Times New Roman" w:hAnsi="Times New Roman"/>
          <w:color w:val="000000" w:themeColor="text1"/>
          <w:szCs w:val="22"/>
          <w:lang w:val="lt-LT"/>
        </w:rPr>
        <w:t xml:space="preserve"> pastatų fondą</w:t>
      </w:r>
      <w:r w:rsidR="0003114B" w:rsidRPr="00650EE4">
        <w:rPr>
          <w:rFonts w:ascii="Times New Roman" w:hAnsi="Times New Roman"/>
          <w:color w:val="000000" w:themeColor="text1"/>
          <w:szCs w:val="22"/>
          <w:lang w:val="lt-LT"/>
        </w:rPr>
        <w:t xml:space="preserve"> (žr. 9 etapą)</w:t>
      </w:r>
      <w:r w:rsidR="006948CD"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savivaldybės turi </w:t>
      </w:r>
      <w:r w:rsidR="00E34F2A" w:rsidRPr="00650EE4">
        <w:rPr>
          <w:rFonts w:ascii="Times New Roman" w:hAnsi="Times New Roman"/>
          <w:color w:val="000000" w:themeColor="text1"/>
          <w:szCs w:val="22"/>
          <w:lang w:val="lt-LT"/>
        </w:rPr>
        <w:t>parenti</w:t>
      </w:r>
      <w:r w:rsidRPr="00650EE4">
        <w:rPr>
          <w:rFonts w:ascii="Times New Roman" w:hAnsi="Times New Roman"/>
          <w:color w:val="000000" w:themeColor="text1"/>
          <w:szCs w:val="22"/>
          <w:lang w:val="lt-LT"/>
        </w:rPr>
        <w:t xml:space="preserve"> savivaldybių </w:t>
      </w:r>
      <w:r w:rsidR="00E34F2A" w:rsidRPr="00650EE4">
        <w:rPr>
          <w:rFonts w:ascii="Times New Roman" w:hAnsi="Times New Roman"/>
          <w:color w:val="000000" w:themeColor="text1"/>
          <w:szCs w:val="22"/>
          <w:lang w:val="lt-LT"/>
        </w:rPr>
        <w:t>IRS įgyvendinimo</w:t>
      </w:r>
      <w:r w:rsidRPr="00650EE4">
        <w:rPr>
          <w:rFonts w:ascii="Times New Roman" w:hAnsi="Times New Roman"/>
          <w:color w:val="000000" w:themeColor="text1"/>
          <w:szCs w:val="22"/>
          <w:lang w:val="lt-LT"/>
        </w:rPr>
        <w:t xml:space="preserve"> planus, kurie apimtų:</w:t>
      </w:r>
    </w:p>
    <w:p w14:paraId="26D20D62" w14:textId="1C939810" w:rsidR="00F37EB4"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p</w:t>
      </w:r>
      <w:r w:rsidR="00F37EB4" w:rsidRPr="00650EE4">
        <w:rPr>
          <w:rFonts w:ascii="Times New Roman" w:hAnsi="Times New Roman"/>
          <w:b/>
          <w:bCs/>
          <w:color w:val="000000" w:themeColor="text1"/>
          <w:szCs w:val="22"/>
          <w:lang w:val="lt-LT"/>
        </w:rPr>
        <w:t>lanuojamus rodiklius</w:t>
      </w:r>
      <w:r w:rsidR="00F37EB4" w:rsidRPr="00650EE4">
        <w:rPr>
          <w:rFonts w:ascii="Times New Roman" w:hAnsi="Times New Roman"/>
          <w:color w:val="000000" w:themeColor="text1"/>
          <w:szCs w:val="22"/>
          <w:lang w:val="lt-LT"/>
        </w:rPr>
        <w:t xml:space="preserve">. Nurodomas faktinis savivaldybių pastatų fondo energijos vartojimas ir nustatomi IRS </w:t>
      </w:r>
      <w:r w:rsidR="00E34F2A" w:rsidRPr="00650EE4">
        <w:rPr>
          <w:rFonts w:ascii="Times New Roman" w:hAnsi="Times New Roman"/>
          <w:color w:val="000000" w:themeColor="text1"/>
          <w:szCs w:val="22"/>
          <w:lang w:val="lt-LT"/>
        </w:rPr>
        <w:t>rodikliai</w:t>
      </w:r>
      <w:r w:rsidR="00F37EB4" w:rsidRPr="00650EE4">
        <w:rPr>
          <w:rFonts w:ascii="Times New Roman" w:hAnsi="Times New Roman"/>
          <w:color w:val="000000" w:themeColor="text1"/>
          <w:szCs w:val="22"/>
          <w:lang w:val="lt-LT"/>
        </w:rPr>
        <w:t xml:space="preserve"> (renovuojamų pastatų skaičius</w:t>
      </w:r>
      <w:r w:rsidR="00E34F2A" w:rsidRPr="00650EE4">
        <w:rPr>
          <w:rFonts w:ascii="Times New Roman" w:hAnsi="Times New Roman"/>
          <w:color w:val="000000" w:themeColor="text1"/>
          <w:szCs w:val="22"/>
          <w:lang w:val="lt-LT"/>
        </w:rPr>
        <w:t xml:space="preserve">, energijos vartojimo mažėjimas, </w:t>
      </w:r>
      <w:r>
        <w:rPr>
          <w:rFonts w:ascii="Times New Roman" w:hAnsi="Times New Roman"/>
          <w:color w:val="000000" w:themeColor="text1"/>
          <w:szCs w:val="22"/>
          <w:lang w:val="lt-LT"/>
        </w:rPr>
        <w:t>ir kt.);</w:t>
      </w:r>
      <w:r w:rsidR="00F37EB4" w:rsidRPr="00650EE4">
        <w:rPr>
          <w:rFonts w:ascii="Times New Roman" w:hAnsi="Times New Roman"/>
          <w:color w:val="000000" w:themeColor="text1"/>
          <w:szCs w:val="22"/>
          <w:lang w:val="lt-LT"/>
        </w:rPr>
        <w:t xml:space="preserve"> </w:t>
      </w:r>
    </w:p>
    <w:p w14:paraId="4AE2E744" w14:textId="4872BA43" w:rsidR="00F37EB4"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i</w:t>
      </w:r>
      <w:r w:rsidR="00F37EB4" w:rsidRPr="00650EE4">
        <w:rPr>
          <w:rFonts w:ascii="Times New Roman" w:hAnsi="Times New Roman"/>
          <w:b/>
          <w:bCs/>
          <w:color w:val="000000" w:themeColor="text1"/>
          <w:szCs w:val="22"/>
          <w:lang w:val="lt-LT"/>
        </w:rPr>
        <w:t>ntegraciją su kitais planavimo dokumentais</w:t>
      </w:r>
      <w:r w:rsidR="00F37EB4" w:rsidRPr="00650EE4">
        <w:rPr>
          <w:rFonts w:ascii="Times New Roman" w:hAnsi="Times New Roman"/>
          <w:color w:val="000000" w:themeColor="text1"/>
          <w:szCs w:val="22"/>
          <w:lang w:val="lt-LT"/>
        </w:rPr>
        <w:t>. Planai turėtų būti suderinti (arba apjungti) su kitais savivaldybių planavimo dokumentais, įskaitant, bet neapsiribojant: AEI energijos naudojimo plėtros veiksmų planais, šilumos ūkio specialiaisiais planais, teritorijų planavimo dokumentais ir kt.</w:t>
      </w:r>
    </w:p>
    <w:p w14:paraId="09B52000" w14:textId="04994518" w:rsidR="005E71F4" w:rsidRPr="00650EE4" w:rsidRDefault="005E71F4" w:rsidP="005E71F4">
      <w:pPr>
        <w:pStyle w:val="BodyText"/>
        <w:rPr>
          <w:rFonts w:ascii="Times New Roman" w:hAnsi="Times New Roman"/>
          <w:color w:val="000000" w:themeColor="text1"/>
          <w:szCs w:val="22"/>
          <w:lang w:val="lt-LT"/>
        </w:rPr>
      </w:pPr>
    </w:p>
    <w:p w14:paraId="299E59CB" w14:textId="72FE3BC1" w:rsidR="005E71F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FF12BD" w:rsidRPr="00650EE4">
        <w:rPr>
          <w:rFonts w:ascii="Times New Roman" w:hAnsi="Times New Roman"/>
          <w:b/>
          <w:bCs/>
          <w:color w:val="000000" w:themeColor="text1"/>
          <w:szCs w:val="22"/>
          <w:lang w:val="lt-LT"/>
        </w:rPr>
        <w:t>Įgyvendinimo sistemos adaptavimas</w:t>
      </w:r>
      <w:r w:rsidR="0051469C" w:rsidRPr="00650EE4">
        <w:rPr>
          <w:rFonts w:ascii="Times New Roman" w:hAnsi="Times New Roman"/>
          <w:b/>
          <w:bCs/>
          <w:color w:val="000000" w:themeColor="text1"/>
          <w:szCs w:val="22"/>
          <w:lang w:val="lt-LT"/>
        </w:rPr>
        <w:t xml:space="preserve"> (priemonė P</w:t>
      </w:r>
      <w:r w:rsidR="00CB5533">
        <w:rPr>
          <w:rFonts w:ascii="Times New Roman" w:hAnsi="Times New Roman"/>
          <w:b/>
          <w:bCs/>
          <w:color w:val="000000" w:themeColor="text1"/>
          <w:szCs w:val="22"/>
          <w:lang w:val="lt-LT"/>
        </w:rPr>
        <w:t>5</w:t>
      </w:r>
      <w:r w:rsidR="0051469C" w:rsidRPr="00650EE4">
        <w:rPr>
          <w:rFonts w:ascii="Times New Roman" w:hAnsi="Times New Roman"/>
          <w:b/>
          <w:bCs/>
          <w:color w:val="000000" w:themeColor="text1"/>
          <w:szCs w:val="22"/>
          <w:lang w:val="lt-LT"/>
        </w:rPr>
        <w:t>)</w:t>
      </w:r>
    </w:p>
    <w:p w14:paraId="5FBDF9B5" w14:textId="092AB490" w:rsidR="005E71F4" w:rsidRPr="00650EE4" w:rsidRDefault="00CB02C1"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Savivaldybės turėtų adaptuoti </w:t>
      </w:r>
      <w:r w:rsidR="002D3AAD" w:rsidRPr="00650EE4">
        <w:rPr>
          <w:rFonts w:ascii="Times New Roman" w:hAnsi="Times New Roman"/>
          <w:color w:val="000000" w:themeColor="text1"/>
          <w:szCs w:val="22"/>
          <w:lang w:val="lt-LT"/>
        </w:rPr>
        <w:t xml:space="preserve">paramos priemones (žr. </w:t>
      </w:r>
      <w:r w:rsidR="00840231" w:rsidRPr="00650EE4">
        <w:rPr>
          <w:rFonts w:ascii="Times New Roman" w:hAnsi="Times New Roman"/>
          <w:color w:val="000000" w:themeColor="text1"/>
          <w:szCs w:val="22"/>
          <w:lang w:val="lt-LT"/>
        </w:rPr>
        <w:t>4</w:t>
      </w:r>
      <w:r w:rsidR="002D3AAD" w:rsidRPr="00650EE4">
        <w:rPr>
          <w:rFonts w:ascii="Times New Roman" w:hAnsi="Times New Roman"/>
          <w:color w:val="000000" w:themeColor="text1"/>
          <w:szCs w:val="22"/>
          <w:lang w:val="lt-LT"/>
        </w:rPr>
        <w:t xml:space="preserve"> etapą) ir </w:t>
      </w:r>
      <w:r w:rsidRPr="00650EE4">
        <w:rPr>
          <w:rFonts w:ascii="Times New Roman" w:hAnsi="Times New Roman"/>
          <w:color w:val="000000" w:themeColor="text1"/>
          <w:szCs w:val="22"/>
          <w:lang w:val="lt-LT"/>
        </w:rPr>
        <w:t>nacionalinę IRS įgyvendinimo sistemą</w:t>
      </w:r>
      <w:r w:rsidR="002D3AAD" w:rsidRPr="00650EE4">
        <w:rPr>
          <w:rFonts w:ascii="Times New Roman" w:hAnsi="Times New Roman"/>
          <w:color w:val="000000" w:themeColor="text1"/>
          <w:szCs w:val="22"/>
          <w:lang w:val="lt-LT"/>
        </w:rPr>
        <w:t xml:space="preserve"> (žr. 5 etapą)</w:t>
      </w:r>
      <w:r w:rsidRPr="00650EE4">
        <w:rPr>
          <w:rFonts w:ascii="Times New Roman" w:hAnsi="Times New Roman"/>
          <w:color w:val="000000" w:themeColor="text1"/>
          <w:szCs w:val="22"/>
          <w:lang w:val="lt-LT"/>
        </w:rPr>
        <w:t xml:space="preserve"> vietos savivaldos lygmeniu, užtikrinant „vieno langelio“ principo įgyvendinimą. Turėtų būti parengtas </w:t>
      </w:r>
      <w:r w:rsidR="005E71F4" w:rsidRPr="00650EE4">
        <w:rPr>
          <w:rFonts w:ascii="Times New Roman" w:hAnsi="Times New Roman"/>
          <w:color w:val="000000" w:themeColor="text1"/>
          <w:szCs w:val="22"/>
          <w:lang w:val="lt-LT"/>
        </w:rPr>
        <w:t>mechanizm</w:t>
      </w:r>
      <w:r w:rsidRPr="00650EE4">
        <w:rPr>
          <w:rFonts w:ascii="Times New Roman" w:hAnsi="Times New Roman"/>
          <w:color w:val="000000" w:themeColor="text1"/>
          <w:szCs w:val="22"/>
          <w:lang w:val="lt-LT"/>
        </w:rPr>
        <w:t>as</w:t>
      </w:r>
      <w:r w:rsidR="005E71F4"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užtikrinantis</w:t>
      </w:r>
      <w:r w:rsidR="005E71F4" w:rsidRPr="00650EE4">
        <w:rPr>
          <w:rFonts w:ascii="Times New Roman" w:hAnsi="Times New Roman"/>
          <w:color w:val="000000" w:themeColor="text1"/>
          <w:szCs w:val="22"/>
          <w:lang w:val="lt-LT"/>
        </w:rPr>
        <w:t xml:space="preserve">, kad pastato savininkas galėtų </w:t>
      </w:r>
      <w:r w:rsidR="005E71F4" w:rsidRPr="00650EE4">
        <w:rPr>
          <w:rFonts w:ascii="Times New Roman" w:hAnsi="Times New Roman"/>
          <w:szCs w:val="22"/>
          <w:lang w:val="lt-LT" w:eastAsia="lt-LT"/>
        </w:rPr>
        <w:t>vienoje vietoje:</w:t>
      </w:r>
    </w:p>
    <w:p w14:paraId="16218FF0" w14:textId="5EAEC469" w:rsidR="005E71F4" w:rsidRPr="00650EE4" w:rsidRDefault="005E71F4"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sužinoti </w:t>
      </w:r>
      <w:r w:rsidR="00CB02C1" w:rsidRPr="00650EE4">
        <w:rPr>
          <w:rFonts w:ascii="Times New Roman" w:hAnsi="Times New Roman"/>
          <w:color w:val="000000" w:themeColor="text1"/>
          <w:szCs w:val="22"/>
          <w:lang w:val="lt-LT"/>
        </w:rPr>
        <w:t xml:space="preserve">visą informaciją </w:t>
      </w:r>
      <w:r w:rsidRPr="00650EE4">
        <w:rPr>
          <w:rFonts w:ascii="Times New Roman" w:hAnsi="Times New Roman"/>
          <w:color w:val="000000" w:themeColor="text1"/>
          <w:szCs w:val="22"/>
          <w:lang w:val="lt-LT"/>
        </w:rPr>
        <w:t xml:space="preserve">apie renovacijos naudas ir visas prieinamas paramos priemones; </w:t>
      </w:r>
    </w:p>
    <w:p w14:paraId="209BB558" w14:textId="77777777" w:rsidR="005E71F4" w:rsidRPr="00650EE4" w:rsidRDefault="005E71F4" w:rsidP="00BD4925">
      <w:pPr>
        <w:pStyle w:val="BodyText"/>
        <w:numPr>
          <w:ilvl w:val="0"/>
          <w:numId w:val="70"/>
        </w:numPr>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nusprendęs renovaciją įgyvendinti, galėtų sutvarkyti visus dokumentus (tiek techninius, tiek finansinius).</w:t>
      </w:r>
    </w:p>
    <w:p w14:paraId="42D83EF7" w14:textId="77777777" w:rsidR="00C63DF3" w:rsidRPr="00650EE4" w:rsidRDefault="00C63DF3" w:rsidP="00F37EB4">
      <w:pPr>
        <w:pStyle w:val="BodyText"/>
        <w:rPr>
          <w:rFonts w:ascii="Times New Roman" w:hAnsi="Times New Roman"/>
          <w:color w:val="000000" w:themeColor="text1"/>
          <w:szCs w:val="22"/>
          <w:lang w:val="lt-LT"/>
        </w:rPr>
      </w:pPr>
    </w:p>
    <w:p w14:paraId="29406662" w14:textId="7F191662" w:rsidR="005E71F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5E71F4" w:rsidRPr="00650EE4">
        <w:rPr>
          <w:rFonts w:ascii="Times New Roman" w:hAnsi="Times New Roman"/>
          <w:b/>
          <w:bCs/>
          <w:color w:val="000000" w:themeColor="text1"/>
          <w:szCs w:val="22"/>
          <w:lang w:val="lt-LT"/>
        </w:rPr>
        <w:t xml:space="preserve">Naujo </w:t>
      </w:r>
      <w:r w:rsidR="006D4B4E" w:rsidRPr="00650EE4">
        <w:rPr>
          <w:rFonts w:ascii="Times New Roman" w:hAnsi="Times New Roman"/>
          <w:b/>
          <w:bCs/>
          <w:color w:val="000000" w:themeColor="text1"/>
          <w:szCs w:val="22"/>
          <w:lang w:val="lt-LT"/>
        </w:rPr>
        <w:t>programų</w:t>
      </w:r>
      <w:r w:rsidR="005E71F4" w:rsidRPr="00650EE4">
        <w:rPr>
          <w:rFonts w:ascii="Times New Roman" w:hAnsi="Times New Roman"/>
          <w:b/>
          <w:bCs/>
          <w:color w:val="000000" w:themeColor="text1"/>
          <w:szCs w:val="22"/>
          <w:lang w:val="lt-LT"/>
        </w:rPr>
        <w:t xml:space="preserve"> </w:t>
      </w:r>
      <w:r w:rsidR="00736F13" w:rsidRPr="00650EE4">
        <w:rPr>
          <w:rFonts w:ascii="Times New Roman" w:hAnsi="Times New Roman"/>
          <w:b/>
          <w:bCs/>
          <w:color w:val="000000" w:themeColor="text1"/>
          <w:szCs w:val="22"/>
          <w:lang w:val="lt-LT"/>
        </w:rPr>
        <w:t xml:space="preserve">paketo </w:t>
      </w:r>
      <w:r w:rsidR="005E71F4" w:rsidRPr="00650EE4">
        <w:rPr>
          <w:rFonts w:ascii="Times New Roman" w:hAnsi="Times New Roman"/>
          <w:b/>
          <w:bCs/>
          <w:color w:val="000000" w:themeColor="text1"/>
          <w:szCs w:val="22"/>
          <w:lang w:val="lt-LT"/>
        </w:rPr>
        <w:t>įgyvendinimas</w:t>
      </w:r>
    </w:p>
    <w:p w14:paraId="04C35009" w14:textId="77777777" w:rsidR="003904B2" w:rsidRPr="00650EE4" w:rsidRDefault="003904B2" w:rsidP="005E71F4">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Suformavus naujų paramos priemonių paketą (žr. 4 etapą) pradedamas IRS įgyvendinimo etapas ir naujų paramos priemonių įgyvendinimas. </w:t>
      </w:r>
    </w:p>
    <w:p w14:paraId="76455524" w14:textId="77777777" w:rsidR="005E71F4" w:rsidRPr="00650EE4" w:rsidRDefault="005E71F4" w:rsidP="00F37EB4">
      <w:pPr>
        <w:pStyle w:val="BodyText"/>
        <w:rPr>
          <w:rFonts w:ascii="Times New Roman" w:hAnsi="Times New Roman"/>
          <w:color w:val="000000" w:themeColor="text1"/>
          <w:szCs w:val="22"/>
          <w:lang w:val="lt-LT"/>
        </w:rPr>
      </w:pPr>
    </w:p>
    <w:p w14:paraId="2792BFF1" w14:textId="007CB1A1" w:rsidR="00F37EB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lastRenderedPageBreak/>
        <w:t xml:space="preserve"> </w:t>
      </w:r>
      <w:r w:rsidR="00BB11FB" w:rsidRPr="00650EE4">
        <w:rPr>
          <w:rFonts w:ascii="Times New Roman" w:hAnsi="Times New Roman"/>
          <w:b/>
          <w:bCs/>
          <w:color w:val="000000" w:themeColor="text1"/>
          <w:szCs w:val="22"/>
          <w:lang w:val="lt-LT"/>
        </w:rPr>
        <w:t xml:space="preserve">NECP ir </w:t>
      </w:r>
      <w:r w:rsidR="00F37EB4" w:rsidRPr="00650EE4">
        <w:rPr>
          <w:rFonts w:ascii="Times New Roman" w:hAnsi="Times New Roman"/>
          <w:b/>
          <w:bCs/>
          <w:color w:val="000000" w:themeColor="text1"/>
          <w:szCs w:val="22"/>
          <w:lang w:val="lt-LT"/>
        </w:rPr>
        <w:t>IRS atnaujinimas</w:t>
      </w:r>
    </w:p>
    <w:p w14:paraId="211CCBD7" w14:textId="565D8947" w:rsidR="00753120" w:rsidRPr="00650EE4" w:rsidRDefault="00F37EB4"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Įgyvendinant ES </w:t>
      </w:r>
      <w:r w:rsidR="00F9425C" w:rsidRPr="00650EE4">
        <w:rPr>
          <w:rFonts w:ascii="Times New Roman" w:hAnsi="Times New Roman"/>
          <w:color w:val="000000" w:themeColor="text1"/>
          <w:szCs w:val="22"/>
          <w:lang w:val="lt-LT"/>
        </w:rPr>
        <w:t xml:space="preserve">direktyvų </w:t>
      </w:r>
      <w:r w:rsidRPr="00650EE4">
        <w:rPr>
          <w:rFonts w:ascii="Times New Roman" w:hAnsi="Times New Roman"/>
          <w:color w:val="000000" w:themeColor="text1"/>
          <w:szCs w:val="22"/>
          <w:lang w:val="lt-LT"/>
        </w:rPr>
        <w:t xml:space="preserve">reikalavimus, IRS </w:t>
      </w:r>
      <w:r w:rsidR="00F9425C" w:rsidRPr="00650EE4">
        <w:rPr>
          <w:rFonts w:ascii="Times New Roman" w:hAnsi="Times New Roman"/>
          <w:color w:val="000000" w:themeColor="text1"/>
          <w:szCs w:val="22"/>
          <w:lang w:val="lt-LT"/>
        </w:rPr>
        <w:t xml:space="preserve">yra integruota NECP dalis. Atsižvelgiant į NECP taikomus reikalavimus, IRS </w:t>
      </w:r>
      <w:r w:rsidRPr="00650EE4">
        <w:rPr>
          <w:rFonts w:ascii="Times New Roman" w:hAnsi="Times New Roman"/>
          <w:color w:val="000000" w:themeColor="text1"/>
          <w:szCs w:val="22"/>
          <w:lang w:val="lt-LT"/>
        </w:rPr>
        <w:t>turi būti atnaujinta ir pateikta Europos Komisijai kartu su atnaujintu NECP iki 2024 m. birželio mėnesio. IRS atnaujinimo metu turėtų būti</w:t>
      </w:r>
      <w:r w:rsidR="0075312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p>
    <w:p w14:paraId="2FEF419B" w14:textId="718CF7EC" w:rsidR="00CB5533" w:rsidRPr="00650EE4" w:rsidRDefault="00CB5533" w:rsidP="00CB5533">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patikslinti IRS siekiami rodikliai (remiantis funkcionuoj</w:t>
      </w:r>
      <w:r>
        <w:rPr>
          <w:rFonts w:ascii="Times New Roman" w:hAnsi="Times New Roman"/>
          <w:color w:val="000000" w:themeColor="text1"/>
          <w:szCs w:val="22"/>
          <w:lang w:val="lt-LT"/>
        </w:rPr>
        <w:t>ančia duomenų baze (žr. 4 etapą</w:t>
      </w:r>
      <w:r w:rsidRPr="00650EE4">
        <w:rPr>
          <w:rFonts w:ascii="Times New Roman" w:hAnsi="Times New Roman"/>
          <w:color w:val="000000" w:themeColor="text1"/>
          <w:szCs w:val="22"/>
          <w:lang w:val="lt-LT"/>
        </w:rPr>
        <w:t>);</w:t>
      </w:r>
    </w:p>
    <w:p w14:paraId="08B491C2" w14:textId="77777777" w:rsidR="00CB5533" w:rsidRPr="00650EE4" w:rsidRDefault="00CB5533" w:rsidP="00CB5533">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patikslinti įgyvendinamų IRS priemonių aprašymai (remiantis nauju paramo</w:t>
      </w:r>
      <w:r>
        <w:rPr>
          <w:rFonts w:ascii="Times New Roman" w:hAnsi="Times New Roman"/>
          <w:color w:val="000000" w:themeColor="text1"/>
          <w:szCs w:val="22"/>
          <w:lang w:val="lt-LT"/>
        </w:rPr>
        <w:t>s priemonių paketu (žr. 8 etapą</w:t>
      </w:r>
      <w:r w:rsidRPr="00650EE4">
        <w:rPr>
          <w:rFonts w:ascii="Times New Roman" w:hAnsi="Times New Roman"/>
          <w:color w:val="000000" w:themeColor="text1"/>
          <w:szCs w:val="22"/>
          <w:lang w:val="lt-LT"/>
        </w:rPr>
        <w:t>).</w:t>
      </w:r>
    </w:p>
    <w:p w14:paraId="7DBCFD6E" w14:textId="565367C9" w:rsidR="00565DCF" w:rsidRPr="00650EE4" w:rsidRDefault="00565DCF" w:rsidP="00F37EB4">
      <w:pPr>
        <w:pStyle w:val="BodyText"/>
        <w:rPr>
          <w:rFonts w:ascii="Times New Roman" w:hAnsi="Times New Roman"/>
          <w:color w:val="000000" w:themeColor="text1"/>
          <w:szCs w:val="22"/>
          <w:lang w:val="lt-LT"/>
        </w:rPr>
      </w:pPr>
    </w:p>
    <w:p w14:paraId="479ED491" w14:textId="4AB722E9" w:rsidR="00565DCF"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565DCF" w:rsidRPr="00650EE4">
        <w:rPr>
          <w:rFonts w:ascii="Times New Roman" w:hAnsi="Times New Roman"/>
          <w:b/>
          <w:bCs/>
          <w:color w:val="000000" w:themeColor="text1"/>
          <w:szCs w:val="22"/>
          <w:lang w:val="lt-LT"/>
        </w:rPr>
        <w:t>NECP 2040 parengimas ir IRS atnaujinimas</w:t>
      </w:r>
    </w:p>
    <w:p w14:paraId="6B5B1068" w14:textId="3B51A8C2" w:rsidR="00CA64E1" w:rsidRPr="00650EE4" w:rsidRDefault="00CA64E1"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Įgyvendinant ES direktyvų reikalavimus, IRS yra integruota NECP dalis. Atsižvelgiant į NECP taikomus reikalavimus, naujo laikotarpio (2031-2040 m.) NECP turėti būti parengtas ir pateiktas Europos Komisijai iki 2029 m. </w:t>
      </w:r>
      <w:r w:rsidR="00DE4A28" w:rsidRPr="00650EE4">
        <w:rPr>
          <w:rFonts w:ascii="Times New Roman" w:hAnsi="Times New Roman"/>
          <w:color w:val="000000" w:themeColor="text1"/>
          <w:szCs w:val="22"/>
          <w:lang w:val="lt-LT"/>
        </w:rPr>
        <w:t>sausio 1 d.</w:t>
      </w:r>
      <w:r w:rsidR="008F754F" w:rsidRPr="00650EE4">
        <w:rPr>
          <w:rFonts w:ascii="Times New Roman" w:hAnsi="Times New Roman"/>
          <w:color w:val="000000" w:themeColor="text1"/>
          <w:szCs w:val="22"/>
          <w:lang w:val="lt-LT"/>
        </w:rPr>
        <w:t xml:space="preserve"> </w:t>
      </w:r>
      <w:r w:rsidR="004801A6" w:rsidRPr="00650EE4">
        <w:rPr>
          <w:rFonts w:ascii="Times New Roman" w:hAnsi="Times New Roman"/>
          <w:color w:val="000000" w:themeColor="text1"/>
          <w:szCs w:val="22"/>
          <w:lang w:val="lt-LT"/>
        </w:rPr>
        <w:t xml:space="preserve">Atitinkamai </w:t>
      </w:r>
      <w:r w:rsidR="008F754F" w:rsidRPr="00650EE4">
        <w:rPr>
          <w:rFonts w:ascii="Times New Roman" w:hAnsi="Times New Roman"/>
          <w:color w:val="000000" w:themeColor="text1"/>
          <w:szCs w:val="22"/>
          <w:lang w:val="lt-LT"/>
        </w:rPr>
        <w:t>IRS atn</w:t>
      </w:r>
      <w:r w:rsidR="00B85DDF" w:rsidRPr="00650EE4">
        <w:rPr>
          <w:rFonts w:ascii="Times New Roman" w:hAnsi="Times New Roman"/>
          <w:color w:val="000000" w:themeColor="text1"/>
          <w:szCs w:val="22"/>
          <w:lang w:val="lt-LT"/>
        </w:rPr>
        <w:t>a</w:t>
      </w:r>
      <w:r w:rsidR="008F754F" w:rsidRPr="00650EE4">
        <w:rPr>
          <w:rFonts w:ascii="Times New Roman" w:hAnsi="Times New Roman"/>
          <w:color w:val="000000" w:themeColor="text1"/>
          <w:szCs w:val="22"/>
          <w:lang w:val="lt-LT"/>
        </w:rPr>
        <w:t>ujinimo metu turėtų būti:</w:t>
      </w:r>
    </w:p>
    <w:p w14:paraId="778B30F0" w14:textId="48100288" w:rsidR="00B85DDF" w:rsidRPr="00650EE4" w:rsidRDefault="00B85DDF"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patikslinti IRS siekiami rodikliai, atsižvelgiant į </w:t>
      </w:r>
      <w:r w:rsidR="00C367FD" w:rsidRPr="00650EE4">
        <w:rPr>
          <w:rFonts w:ascii="Times New Roman" w:hAnsi="Times New Roman"/>
          <w:color w:val="000000" w:themeColor="text1"/>
          <w:szCs w:val="22"/>
          <w:lang w:val="lt-LT"/>
        </w:rPr>
        <w:t>naujo</w:t>
      </w:r>
      <w:r w:rsidR="002C5585" w:rsidRPr="00650EE4">
        <w:rPr>
          <w:rFonts w:ascii="Times New Roman" w:hAnsi="Times New Roman"/>
          <w:color w:val="000000" w:themeColor="text1"/>
          <w:szCs w:val="22"/>
          <w:lang w:val="lt-LT"/>
        </w:rPr>
        <w:t xml:space="preserve"> laikotarpio </w:t>
      </w:r>
      <w:r w:rsidRPr="00650EE4">
        <w:rPr>
          <w:rFonts w:ascii="Times New Roman" w:hAnsi="Times New Roman"/>
          <w:color w:val="000000" w:themeColor="text1"/>
          <w:szCs w:val="22"/>
          <w:lang w:val="lt-LT"/>
        </w:rPr>
        <w:t>NECP planuojamus energijos vartoj</w:t>
      </w:r>
      <w:r w:rsidR="00C42D6E" w:rsidRPr="00650EE4">
        <w:rPr>
          <w:rFonts w:ascii="Times New Roman" w:hAnsi="Times New Roman"/>
          <w:color w:val="000000" w:themeColor="text1"/>
          <w:szCs w:val="22"/>
          <w:lang w:val="lt-LT"/>
        </w:rPr>
        <w:t>i</w:t>
      </w:r>
      <w:r w:rsidRPr="00650EE4">
        <w:rPr>
          <w:rFonts w:ascii="Times New Roman" w:hAnsi="Times New Roman"/>
          <w:color w:val="000000" w:themeColor="text1"/>
          <w:szCs w:val="22"/>
          <w:lang w:val="lt-LT"/>
        </w:rPr>
        <w:t>mo ir</w:t>
      </w:r>
      <w:r w:rsidR="00C42D6E"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w:t>
      </w:r>
      <w:r w:rsidR="00C42D6E" w:rsidRPr="00650EE4">
        <w:rPr>
          <w:rFonts w:ascii="Times New Roman" w:hAnsi="Times New Roman"/>
          <w:color w:val="000000" w:themeColor="text1"/>
          <w:szCs w:val="22"/>
          <w:lang w:val="lt-LT"/>
        </w:rPr>
        <w:t xml:space="preserve">mažinimo </w:t>
      </w:r>
      <w:r w:rsidRPr="00650EE4">
        <w:rPr>
          <w:rFonts w:ascii="Times New Roman" w:hAnsi="Times New Roman"/>
          <w:color w:val="000000" w:themeColor="text1"/>
          <w:szCs w:val="22"/>
          <w:lang w:val="lt-LT"/>
        </w:rPr>
        <w:t>tikslus, remiantis faktine IRS įgyvendinimo informacija</w:t>
      </w:r>
      <w:r w:rsidR="003418DB">
        <w:rPr>
          <w:rFonts w:ascii="Times New Roman" w:hAnsi="Times New Roman"/>
          <w:color w:val="000000" w:themeColor="text1"/>
          <w:szCs w:val="22"/>
          <w:lang w:val="lt-LT"/>
        </w:rPr>
        <w:t>;</w:t>
      </w:r>
    </w:p>
    <w:p w14:paraId="35689E55" w14:textId="515C03A6" w:rsidR="008F754F" w:rsidRPr="00650EE4" w:rsidRDefault="008C23C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suformuotas naujas paramos priemonių paketas</w:t>
      </w:r>
      <w:r w:rsidR="00762B3F" w:rsidRPr="00650EE4">
        <w:rPr>
          <w:rFonts w:ascii="Times New Roman" w:hAnsi="Times New Roman"/>
          <w:color w:val="000000" w:themeColor="text1"/>
          <w:szCs w:val="22"/>
          <w:lang w:val="lt-LT"/>
        </w:rPr>
        <w:t>.</w:t>
      </w:r>
    </w:p>
    <w:p w14:paraId="677DB89C" w14:textId="77777777" w:rsidR="00CA64E1" w:rsidRPr="00650EE4" w:rsidRDefault="00CA64E1" w:rsidP="00F37EB4">
      <w:pPr>
        <w:pStyle w:val="BodyText"/>
        <w:rPr>
          <w:rFonts w:ascii="Times New Roman" w:hAnsi="Times New Roman"/>
          <w:color w:val="000000" w:themeColor="text1"/>
          <w:szCs w:val="22"/>
          <w:lang w:val="lt-LT"/>
        </w:rPr>
      </w:pPr>
    </w:p>
    <w:p w14:paraId="1C96B999" w14:textId="6EC3320A" w:rsidR="00565DCF"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565DCF" w:rsidRPr="00650EE4">
        <w:rPr>
          <w:rFonts w:ascii="Times New Roman" w:hAnsi="Times New Roman"/>
          <w:b/>
          <w:bCs/>
          <w:color w:val="000000" w:themeColor="text1"/>
          <w:szCs w:val="22"/>
          <w:lang w:val="lt-LT"/>
        </w:rPr>
        <w:t>Naujų programų įgyvendinimas</w:t>
      </w:r>
    </w:p>
    <w:p w14:paraId="645B90B4" w14:textId="7E976185" w:rsidR="004801A6" w:rsidRDefault="008244FC" w:rsidP="00CB553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Suformavus naujų paramos priemonių paketą (žr. 14 etapą) tęsiamas IRS įgyvendinimo etapas ir naujų paramos priemonių įgyvendinimas. </w:t>
      </w:r>
    </w:p>
    <w:p w14:paraId="11DFB9F5" w14:textId="77777777" w:rsidR="00F94252" w:rsidRDefault="00F94252" w:rsidP="00CB5533">
      <w:pPr>
        <w:pStyle w:val="BodyText"/>
        <w:jc w:val="both"/>
        <w:rPr>
          <w:rFonts w:ascii="Times New Roman" w:hAnsi="Times New Roman"/>
          <w:color w:val="000000" w:themeColor="text1"/>
          <w:szCs w:val="22"/>
          <w:lang w:val="lt-LT"/>
        </w:rPr>
      </w:pPr>
    </w:p>
    <w:p w14:paraId="5D9EB92F" w14:textId="77777777" w:rsidR="00CB5533" w:rsidRPr="000B76EF" w:rsidRDefault="00CB5533" w:rsidP="00CB5533">
      <w:pPr>
        <w:pStyle w:val="BodyText"/>
        <w:spacing w:after="120"/>
        <w:rPr>
          <w:rFonts w:ascii="Times New Roman" w:hAnsi="Times New Roman"/>
          <w:bCs/>
          <w:color w:val="000000" w:themeColor="text1"/>
          <w:szCs w:val="22"/>
          <w:lang w:val="lt-LT"/>
        </w:rPr>
      </w:pPr>
      <w:r>
        <w:rPr>
          <w:rFonts w:ascii="Times New Roman" w:hAnsi="Times New Roman"/>
          <w:color w:val="000000" w:themeColor="text1"/>
          <w:szCs w:val="22"/>
          <w:lang w:val="lt-LT"/>
        </w:rPr>
        <w:t xml:space="preserve">Analogiškai 14-15 etapams įgyvendinami ir  16-17 etapai </w:t>
      </w:r>
      <w:r w:rsidRPr="000B76EF">
        <w:rPr>
          <w:rFonts w:ascii="Times New Roman" w:hAnsi="Times New Roman"/>
          <w:color w:val="000000" w:themeColor="text1"/>
          <w:szCs w:val="22"/>
          <w:lang w:val="lt-LT"/>
        </w:rPr>
        <w:t>„</w:t>
      </w:r>
      <w:r w:rsidRPr="000B76EF">
        <w:rPr>
          <w:rFonts w:ascii="Times New Roman" w:hAnsi="Times New Roman"/>
          <w:bCs/>
          <w:color w:val="000000" w:themeColor="text1"/>
          <w:szCs w:val="22"/>
          <w:lang w:val="lt-LT"/>
        </w:rPr>
        <w:t xml:space="preserve">NECP 2050 parengimas ir IRS atnaujinimas“ bei „Naujų programų įgyvendinimas“. </w:t>
      </w:r>
    </w:p>
    <w:p w14:paraId="10851C63" w14:textId="77777777" w:rsidR="00CB5533" w:rsidRPr="00650EE4" w:rsidRDefault="00CB5533" w:rsidP="00CB5533">
      <w:pPr>
        <w:pStyle w:val="BodyText"/>
        <w:jc w:val="both"/>
        <w:rPr>
          <w:rFonts w:ascii="Times New Roman" w:hAnsi="Times New Roman"/>
          <w:color w:val="000000" w:themeColor="text1"/>
          <w:szCs w:val="22"/>
          <w:lang w:val="lt-LT"/>
        </w:rPr>
      </w:pPr>
    </w:p>
    <w:p w14:paraId="45147BFC" w14:textId="77777777" w:rsidR="00565DCF" w:rsidRPr="00650EE4" w:rsidRDefault="00565DCF" w:rsidP="00F37EB4">
      <w:pPr>
        <w:pStyle w:val="BodyText"/>
        <w:rPr>
          <w:rFonts w:ascii="Times New Roman" w:hAnsi="Times New Roman"/>
          <w:color w:val="000000" w:themeColor="text1"/>
          <w:szCs w:val="22"/>
          <w:lang w:val="lt-LT"/>
        </w:rPr>
      </w:pPr>
    </w:p>
    <w:p w14:paraId="65345A14" w14:textId="77777777" w:rsidR="00F37EB4" w:rsidRPr="00650EE4" w:rsidRDefault="00F37EB4" w:rsidP="00F37EB4">
      <w:pPr>
        <w:pStyle w:val="BodyText"/>
        <w:rPr>
          <w:rFonts w:ascii="Times New Roman" w:hAnsi="Times New Roman"/>
          <w:color w:val="000000" w:themeColor="text1"/>
          <w:szCs w:val="22"/>
          <w:lang w:val="lt-LT"/>
        </w:rPr>
      </w:pPr>
    </w:p>
    <w:p w14:paraId="45CAD327" w14:textId="77777777" w:rsidR="00C63DF3" w:rsidRDefault="00C63DF3">
      <w:pPr>
        <w:spacing w:after="240"/>
        <w:rPr>
          <w:rFonts w:ascii="Times New Roman" w:hAnsi="Times New Roman"/>
          <w:color w:val="auto"/>
          <w:sz w:val="24"/>
          <w:szCs w:val="24"/>
        </w:rPr>
      </w:pPr>
      <w:r>
        <w:rPr>
          <w:rFonts w:ascii="Times New Roman" w:hAnsi="Times New Roman"/>
          <w:color w:val="auto"/>
          <w:sz w:val="24"/>
          <w:szCs w:val="24"/>
        </w:rPr>
        <w:br w:type="page"/>
      </w:r>
    </w:p>
    <w:p w14:paraId="68F5C03F" w14:textId="44640AF0" w:rsidR="00AD76A7" w:rsidRPr="00650EE4" w:rsidRDefault="00C22B0B" w:rsidP="00AD76A7">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218" w:name="_Toc67925181"/>
      <w:r>
        <w:rPr>
          <w:rFonts w:ascii="Times New Roman" w:hAnsi="Times New Roman"/>
          <w:color w:val="002060"/>
          <w:sz w:val="24"/>
          <w:szCs w:val="24"/>
        </w:rPr>
        <w:lastRenderedPageBreak/>
        <w:t>1</w:t>
      </w:r>
      <w:r w:rsidR="00AD76A7" w:rsidRPr="00650EE4">
        <w:rPr>
          <w:rFonts w:ascii="Times New Roman" w:hAnsi="Times New Roman"/>
          <w:color w:val="002060"/>
          <w:sz w:val="24"/>
          <w:szCs w:val="24"/>
        </w:rPr>
        <w:t xml:space="preserve"> priedas. Kitų negyvenamųjų pastatų renovacijos tempai</w:t>
      </w:r>
      <w:bookmarkEnd w:id="218"/>
    </w:p>
    <w:p w14:paraId="346DD795" w14:textId="7CD426F4" w:rsidR="00D36D86" w:rsidRPr="00650EE4" w:rsidRDefault="00BA09B0" w:rsidP="006E13C0">
      <w:pPr>
        <w:rPr>
          <w:rFonts w:ascii="Times New Roman" w:hAnsi="Times New Roman"/>
          <w:szCs w:val="22"/>
        </w:rPr>
      </w:pPr>
      <w:r w:rsidRPr="00650EE4">
        <w:rPr>
          <w:rFonts w:ascii="Times New Roman" w:hAnsi="Times New Roman"/>
          <w:szCs w:val="22"/>
        </w:rPr>
        <w:t>Lentelėse žemiau pateikiami suminiai duomenys api</w:t>
      </w:r>
      <w:r w:rsidR="00C367FD">
        <w:rPr>
          <w:rFonts w:ascii="Times New Roman" w:hAnsi="Times New Roman"/>
          <w:szCs w:val="22"/>
        </w:rPr>
        <w:t>e</w:t>
      </w:r>
      <w:r w:rsidRPr="00650EE4">
        <w:rPr>
          <w:rFonts w:ascii="Times New Roman" w:hAnsi="Times New Roman"/>
          <w:szCs w:val="22"/>
        </w:rPr>
        <w:t xml:space="preserve"> planuojamus Kitų negyvenamųjų pastatų renovacijos tempus.</w:t>
      </w:r>
    </w:p>
    <w:p w14:paraId="0422E78F" w14:textId="77777777" w:rsidR="00BA09B0" w:rsidRPr="00650EE4" w:rsidRDefault="00BA09B0" w:rsidP="006E13C0">
      <w:pPr>
        <w:rPr>
          <w:rFonts w:ascii="Times New Roman" w:hAnsi="Times New Roman"/>
          <w:szCs w:val="22"/>
        </w:rPr>
      </w:pPr>
    </w:p>
    <w:p w14:paraId="5AE240CA" w14:textId="3088C85A" w:rsidR="00D36D86" w:rsidRPr="00650EE4" w:rsidRDefault="0087085E" w:rsidP="0087085E">
      <w:pPr>
        <w:pStyle w:val="TESlentelspavadinimas"/>
        <w:rPr>
          <w:noProof w:val="0"/>
        </w:rPr>
      </w:pPr>
      <w:r w:rsidRPr="00650EE4">
        <w:rPr>
          <w:noProof w:val="0"/>
        </w:rPr>
        <w:t>Kitų negyvenamųjų pastatų renovacijos tempai per metus</w:t>
      </w:r>
    </w:p>
    <w:tbl>
      <w:tblPr>
        <w:tblW w:w="5000" w:type="pct"/>
        <w:tblLook w:val="04A0" w:firstRow="1" w:lastRow="0" w:firstColumn="1" w:lastColumn="0" w:noHBand="0" w:noVBand="1"/>
      </w:tblPr>
      <w:tblGrid>
        <w:gridCol w:w="2290"/>
        <w:gridCol w:w="1626"/>
        <w:gridCol w:w="1626"/>
        <w:gridCol w:w="1626"/>
        <w:gridCol w:w="1626"/>
        <w:gridCol w:w="1626"/>
      </w:tblGrid>
      <w:tr w:rsidR="00D36D86" w:rsidRPr="00650EE4" w14:paraId="44DE18F4" w14:textId="77777777" w:rsidTr="006231D8">
        <w:trPr>
          <w:trHeight w:val="69"/>
        </w:trPr>
        <w:tc>
          <w:tcPr>
            <w:tcW w:w="2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507A8" w14:textId="77777777" w:rsidR="00D36D86" w:rsidRPr="00650EE4" w:rsidRDefault="00D36D86" w:rsidP="00D36D86">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etalonas</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CE379F8" w14:textId="77777777" w:rsidR="00D36D86" w:rsidRPr="00650EE4" w:rsidRDefault="00D36D86" w:rsidP="00D36D86">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7DCAF2EF"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DD6C4D7"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34A5C6C"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6C87FDD"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D36D86" w:rsidRPr="00650EE4" w14:paraId="39C0B043" w14:textId="77777777" w:rsidTr="006231D8">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1770100D" w14:textId="512F7C09"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41247A2B" w14:textId="77777777"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1591" w:type="dxa"/>
            <w:tcBorders>
              <w:top w:val="nil"/>
              <w:left w:val="nil"/>
              <w:bottom w:val="single" w:sz="4" w:space="0" w:color="auto"/>
              <w:right w:val="single" w:sz="4" w:space="0" w:color="auto"/>
            </w:tcBorders>
            <w:shd w:val="clear" w:color="000000" w:fill="FFFFFF"/>
            <w:vAlign w:val="center"/>
            <w:hideMark/>
          </w:tcPr>
          <w:p w14:paraId="2F6FAD59" w14:textId="7F27864E"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518</w:t>
            </w:r>
          </w:p>
        </w:tc>
        <w:tc>
          <w:tcPr>
            <w:tcW w:w="1591" w:type="dxa"/>
            <w:tcBorders>
              <w:top w:val="nil"/>
              <w:left w:val="nil"/>
              <w:bottom w:val="single" w:sz="4" w:space="0" w:color="auto"/>
              <w:right w:val="single" w:sz="4" w:space="0" w:color="auto"/>
            </w:tcBorders>
            <w:shd w:val="clear" w:color="000000" w:fill="FFFFFF"/>
            <w:vAlign w:val="center"/>
            <w:hideMark/>
          </w:tcPr>
          <w:p w14:paraId="6A59EE1F" w14:textId="1B0A5307"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719</w:t>
            </w:r>
          </w:p>
        </w:tc>
        <w:tc>
          <w:tcPr>
            <w:tcW w:w="1591" w:type="dxa"/>
            <w:tcBorders>
              <w:top w:val="nil"/>
              <w:left w:val="nil"/>
              <w:bottom w:val="single" w:sz="4" w:space="0" w:color="auto"/>
              <w:right w:val="single" w:sz="4" w:space="0" w:color="auto"/>
            </w:tcBorders>
            <w:shd w:val="clear" w:color="000000" w:fill="FFFFFF"/>
            <w:vAlign w:val="center"/>
            <w:hideMark/>
          </w:tcPr>
          <w:p w14:paraId="1710FD58" w14:textId="42FC84D2"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1.147</w:t>
            </w:r>
          </w:p>
        </w:tc>
        <w:tc>
          <w:tcPr>
            <w:tcW w:w="1591" w:type="dxa"/>
            <w:tcBorders>
              <w:top w:val="nil"/>
              <w:left w:val="nil"/>
              <w:bottom w:val="single" w:sz="4" w:space="0" w:color="auto"/>
              <w:right w:val="single" w:sz="4" w:space="0" w:color="auto"/>
            </w:tcBorders>
            <w:shd w:val="clear" w:color="000000" w:fill="FFFFFF"/>
            <w:vAlign w:val="center"/>
            <w:hideMark/>
          </w:tcPr>
          <w:p w14:paraId="01D3E9E5" w14:textId="11F7DBAE"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1.373</w:t>
            </w:r>
          </w:p>
        </w:tc>
      </w:tr>
      <w:tr w:rsidR="00D36D86" w:rsidRPr="00650EE4" w14:paraId="402C5EBA" w14:textId="77777777" w:rsidTr="006231D8">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3036CB6A" w14:textId="5C18A169"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41268084" w14:textId="72AB2902"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591" w:type="dxa"/>
            <w:tcBorders>
              <w:top w:val="nil"/>
              <w:left w:val="nil"/>
              <w:bottom w:val="single" w:sz="4" w:space="0" w:color="auto"/>
              <w:right w:val="single" w:sz="4" w:space="0" w:color="auto"/>
            </w:tcBorders>
            <w:shd w:val="clear" w:color="000000" w:fill="FFFFFF"/>
            <w:vAlign w:val="center"/>
            <w:hideMark/>
          </w:tcPr>
          <w:p w14:paraId="7D1D2E14" w14:textId="6DBD9286"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413</w:t>
            </w:r>
          </w:p>
        </w:tc>
        <w:tc>
          <w:tcPr>
            <w:tcW w:w="1591" w:type="dxa"/>
            <w:tcBorders>
              <w:top w:val="nil"/>
              <w:left w:val="nil"/>
              <w:bottom w:val="single" w:sz="4" w:space="0" w:color="auto"/>
              <w:right w:val="single" w:sz="4" w:space="0" w:color="auto"/>
            </w:tcBorders>
            <w:shd w:val="clear" w:color="000000" w:fill="FFFFFF"/>
            <w:vAlign w:val="center"/>
            <w:hideMark/>
          </w:tcPr>
          <w:p w14:paraId="637DA535" w14:textId="67714806"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573</w:t>
            </w:r>
          </w:p>
        </w:tc>
        <w:tc>
          <w:tcPr>
            <w:tcW w:w="1591" w:type="dxa"/>
            <w:tcBorders>
              <w:top w:val="nil"/>
              <w:left w:val="nil"/>
              <w:bottom w:val="single" w:sz="4" w:space="0" w:color="auto"/>
              <w:right w:val="single" w:sz="4" w:space="0" w:color="auto"/>
            </w:tcBorders>
            <w:shd w:val="clear" w:color="000000" w:fill="FFFFFF"/>
            <w:vAlign w:val="center"/>
            <w:hideMark/>
          </w:tcPr>
          <w:p w14:paraId="6637CA7A" w14:textId="1088413C"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914</w:t>
            </w:r>
          </w:p>
        </w:tc>
        <w:tc>
          <w:tcPr>
            <w:tcW w:w="1591" w:type="dxa"/>
            <w:tcBorders>
              <w:top w:val="nil"/>
              <w:left w:val="nil"/>
              <w:bottom w:val="single" w:sz="4" w:space="0" w:color="auto"/>
              <w:right w:val="single" w:sz="4" w:space="0" w:color="auto"/>
            </w:tcBorders>
            <w:shd w:val="clear" w:color="000000" w:fill="FFFFFF"/>
            <w:vAlign w:val="center"/>
            <w:hideMark/>
          </w:tcPr>
          <w:p w14:paraId="055F9D90" w14:textId="3DB7D3C6"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1.094</w:t>
            </w:r>
          </w:p>
        </w:tc>
      </w:tr>
    </w:tbl>
    <w:p w14:paraId="083A7CFB" w14:textId="77777777" w:rsidR="00D36D86" w:rsidRPr="00650EE4" w:rsidRDefault="00D36D86" w:rsidP="006E13C0">
      <w:pPr>
        <w:rPr>
          <w:rFonts w:ascii="Times New Roman" w:hAnsi="Times New Roman"/>
          <w:szCs w:val="22"/>
        </w:rPr>
      </w:pPr>
    </w:p>
    <w:p w14:paraId="1E25F5A7" w14:textId="2AE54CB6" w:rsidR="00D36D86" w:rsidRPr="00650EE4" w:rsidRDefault="0087085E" w:rsidP="0087085E">
      <w:pPr>
        <w:pStyle w:val="TESlentelspavadinimas"/>
        <w:rPr>
          <w:noProof w:val="0"/>
        </w:rPr>
      </w:pPr>
      <w:r w:rsidRPr="00650EE4">
        <w:rPr>
          <w:noProof w:val="0"/>
        </w:rPr>
        <w:t>Kitų negyvenamųjų pastatų renovacijos tempai iš viso per laikotarpį</w:t>
      </w:r>
    </w:p>
    <w:tbl>
      <w:tblPr>
        <w:tblW w:w="5000" w:type="pct"/>
        <w:tblLook w:val="04A0" w:firstRow="1" w:lastRow="0" w:firstColumn="1" w:lastColumn="0" w:noHBand="0" w:noVBand="1"/>
      </w:tblPr>
      <w:tblGrid>
        <w:gridCol w:w="2290"/>
        <w:gridCol w:w="1626"/>
        <w:gridCol w:w="1626"/>
        <w:gridCol w:w="1626"/>
        <w:gridCol w:w="1626"/>
        <w:gridCol w:w="1626"/>
      </w:tblGrid>
      <w:tr w:rsidR="00C90C56" w:rsidRPr="00650EE4" w14:paraId="4E0E9A6C" w14:textId="77777777" w:rsidTr="00BD2F3C">
        <w:trPr>
          <w:trHeight w:val="69"/>
        </w:trPr>
        <w:tc>
          <w:tcPr>
            <w:tcW w:w="2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1C0BE" w14:textId="77777777" w:rsidR="00C90C56" w:rsidRPr="00650EE4" w:rsidRDefault="00C90C56"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etalonas</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A6C1568" w14:textId="77777777" w:rsidR="00C90C56" w:rsidRPr="00650EE4" w:rsidRDefault="00C90C56"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4F7E358F"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7D995AD"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14FE8D0"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1A33AAB"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C90C56" w:rsidRPr="00650EE4" w14:paraId="3623F0E5" w14:textId="77777777" w:rsidTr="00BD2F3C">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2146F515"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3A34E3EC"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1591" w:type="dxa"/>
            <w:tcBorders>
              <w:top w:val="nil"/>
              <w:left w:val="nil"/>
              <w:bottom w:val="single" w:sz="4" w:space="0" w:color="auto"/>
              <w:right w:val="single" w:sz="4" w:space="0" w:color="auto"/>
            </w:tcBorders>
            <w:shd w:val="clear" w:color="000000" w:fill="FFFFFF"/>
            <w:vAlign w:val="center"/>
            <w:hideMark/>
          </w:tcPr>
          <w:p w14:paraId="1A189E8B" w14:textId="2C43392E"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1.554</w:t>
            </w:r>
          </w:p>
        </w:tc>
        <w:tc>
          <w:tcPr>
            <w:tcW w:w="1591" w:type="dxa"/>
            <w:tcBorders>
              <w:top w:val="nil"/>
              <w:left w:val="nil"/>
              <w:bottom w:val="single" w:sz="4" w:space="0" w:color="auto"/>
              <w:right w:val="single" w:sz="4" w:space="0" w:color="auto"/>
            </w:tcBorders>
            <w:shd w:val="clear" w:color="000000" w:fill="FFFFFF"/>
            <w:vAlign w:val="bottom"/>
          </w:tcPr>
          <w:p w14:paraId="3D86EAC0" w14:textId="365E26B0"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5.035</w:t>
            </w:r>
          </w:p>
        </w:tc>
        <w:tc>
          <w:tcPr>
            <w:tcW w:w="1591" w:type="dxa"/>
            <w:tcBorders>
              <w:top w:val="nil"/>
              <w:left w:val="nil"/>
              <w:bottom w:val="single" w:sz="4" w:space="0" w:color="auto"/>
              <w:right w:val="single" w:sz="4" w:space="0" w:color="auto"/>
            </w:tcBorders>
            <w:shd w:val="clear" w:color="000000" w:fill="FFFFFF"/>
            <w:vAlign w:val="bottom"/>
          </w:tcPr>
          <w:p w14:paraId="7BE8A0B0" w14:textId="55D1BADD"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11.467</w:t>
            </w:r>
          </w:p>
        </w:tc>
        <w:tc>
          <w:tcPr>
            <w:tcW w:w="1591" w:type="dxa"/>
            <w:tcBorders>
              <w:top w:val="nil"/>
              <w:left w:val="nil"/>
              <w:bottom w:val="single" w:sz="4" w:space="0" w:color="auto"/>
              <w:right w:val="single" w:sz="4" w:space="0" w:color="auto"/>
            </w:tcBorders>
            <w:shd w:val="clear" w:color="000000" w:fill="FFFFFF"/>
            <w:vAlign w:val="bottom"/>
          </w:tcPr>
          <w:p w14:paraId="26697115" w14:textId="4AD407D5"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13.730</w:t>
            </w:r>
          </w:p>
        </w:tc>
      </w:tr>
      <w:tr w:rsidR="00C90C56" w:rsidRPr="00650EE4" w14:paraId="7835A78B" w14:textId="77777777" w:rsidTr="00BD2F3C">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1BDD58DC"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15A6B755"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591" w:type="dxa"/>
            <w:tcBorders>
              <w:top w:val="nil"/>
              <w:left w:val="nil"/>
              <w:bottom w:val="single" w:sz="4" w:space="0" w:color="auto"/>
              <w:right w:val="single" w:sz="4" w:space="0" w:color="auto"/>
            </w:tcBorders>
            <w:shd w:val="clear" w:color="000000" w:fill="FFFFFF"/>
            <w:vAlign w:val="center"/>
            <w:hideMark/>
          </w:tcPr>
          <w:p w14:paraId="37D3EF54" w14:textId="53DA1272"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1.239</w:t>
            </w:r>
          </w:p>
        </w:tc>
        <w:tc>
          <w:tcPr>
            <w:tcW w:w="1591" w:type="dxa"/>
            <w:tcBorders>
              <w:top w:val="nil"/>
              <w:left w:val="nil"/>
              <w:bottom w:val="single" w:sz="4" w:space="0" w:color="auto"/>
              <w:right w:val="single" w:sz="4" w:space="0" w:color="auto"/>
            </w:tcBorders>
            <w:shd w:val="clear" w:color="000000" w:fill="FFFFFF"/>
            <w:vAlign w:val="bottom"/>
          </w:tcPr>
          <w:p w14:paraId="58912CE0" w14:textId="22AE40D8"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4.013</w:t>
            </w:r>
          </w:p>
        </w:tc>
        <w:tc>
          <w:tcPr>
            <w:tcW w:w="1591" w:type="dxa"/>
            <w:tcBorders>
              <w:top w:val="nil"/>
              <w:left w:val="nil"/>
              <w:bottom w:val="single" w:sz="4" w:space="0" w:color="auto"/>
              <w:right w:val="single" w:sz="4" w:space="0" w:color="auto"/>
            </w:tcBorders>
            <w:shd w:val="clear" w:color="000000" w:fill="FFFFFF"/>
            <w:vAlign w:val="bottom"/>
          </w:tcPr>
          <w:p w14:paraId="54737287" w14:textId="4F2014CE"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9.139</w:t>
            </w:r>
          </w:p>
        </w:tc>
        <w:tc>
          <w:tcPr>
            <w:tcW w:w="1591" w:type="dxa"/>
            <w:tcBorders>
              <w:top w:val="nil"/>
              <w:left w:val="nil"/>
              <w:bottom w:val="single" w:sz="4" w:space="0" w:color="auto"/>
              <w:right w:val="single" w:sz="4" w:space="0" w:color="auto"/>
            </w:tcBorders>
            <w:shd w:val="clear" w:color="000000" w:fill="FFFFFF"/>
            <w:vAlign w:val="bottom"/>
          </w:tcPr>
          <w:p w14:paraId="6BFD871F" w14:textId="3212CD1B"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10.942</w:t>
            </w:r>
          </w:p>
        </w:tc>
      </w:tr>
    </w:tbl>
    <w:p w14:paraId="03E1A7A6" w14:textId="02E94095" w:rsidR="00C90C56" w:rsidRPr="00650EE4" w:rsidRDefault="00C90C56" w:rsidP="006E13C0">
      <w:pPr>
        <w:rPr>
          <w:rFonts w:ascii="Times New Roman" w:hAnsi="Times New Roman"/>
          <w:szCs w:val="22"/>
        </w:rPr>
      </w:pPr>
    </w:p>
    <w:p w14:paraId="0134C67A" w14:textId="77777777" w:rsidR="0032440E" w:rsidRPr="00650EE4" w:rsidRDefault="0032440E" w:rsidP="006E13C0">
      <w:pPr>
        <w:rPr>
          <w:rFonts w:ascii="Times New Roman" w:hAnsi="Times New Roman"/>
          <w:szCs w:val="22"/>
        </w:rPr>
      </w:pPr>
    </w:p>
    <w:p w14:paraId="08D7842D" w14:textId="6C72555C" w:rsidR="000E110E" w:rsidRPr="00650EE4" w:rsidRDefault="003A518B" w:rsidP="00B239F0">
      <w:pPr>
        <w:jc w:val="both"/>
        <w:rPr>
          <w:rFonts w:ascii="Times New Roman" w:hAnsi="Times New Roman"/>
          <w:szCs w:val="22"/>
        </w:rPr>
      </w:pPr>
      <w:r w:rsidRPr="00650EE4">
        <w:rPr>
          <w:rFonts w:ascii="Times New Roman" w:hAnsi="Times New Roman"/>
          <w:szCs w:val="22"/>
        </w:rPr>
        <w:t xml:space="preserve">Lentelėse žemiau pateikiama informacija apie </w:t>
      </w:r>
      <w:r w:rsidR="00824C75" w:rsidRPr="00650EE4">
        <w:rPr>
          <w:rFonts w:ascii="Times New Roman" w:hAnsi="Times New Roman"/>
          <w:szCs w:val="22"/>
        </w:rPr>
        <w:t xml:space="preserve">galimą </w:t>
      </w:r>
      <w:r w:rsidR="00B239F0">
        <w:rPr>
          <w:rFonts w:ascii="Times New Roman" w:hAnsi="Times New Roman"/>
          <w:szCs w:val="22"/>
        </w:rPr>
        <w:t>k</w:t>
      </w:r>
      <w:r w:rsidRPr="00650EE4">
        <w:rPr>
          <w:rFonts w:ascii="Times New Roman" w:hAnsi="Times New Roman"/>
          <w:szCs w:val="22"/>
        </w:rPr>
        <w:t xml:space="preserve">itos negyvenamosios paskirties pastatų etalono renovacijos tempų </w:t>
      </w:r>
      <w:proofErr w:type="spellStart"/>
      <w:r w:rsidRPr="00650EE4">
        <w:rPr>
          <w:rFonts w:ascii="Times New Roman" w:hAnsi="Times New Roman"/>
          <w:szCs w:val="22"/>
        </w:rPr>
        <w:t>detalizaciją</w:t>
      </w:r>
      <w:proofErr w:type="spellEnd"/>
      <w:r w:rsidRPr="00650EE4">
        <w:rPr>
          <w:rFonts w:ascii="Times New Roman" w:hAnsi="Times New Roman"/>
          <w:szCs w:val="22"/>
        </w:rPr>
        <w:t xml:space="preserve"> pagal </w:t>
      </w:r>
      <w:r w:rsidR="00824C75" w:rsidRPr="00650EE4">
        <w:rPr>
          <w:rFonts w:ascii="Times New Roman" w:hAnsi="Times New Roman"/>
          <w:szCs w:val="22"/>
        </w:rPr>
        <w:t xml:space="preserve">pastatų </w:t>
      </w:r>
      <w:r w:rsidRPr="00650EE4">
        <w:rPr>
          <w:rFonts w:ascii="Times New Roman" w:hAnsi="Times New Roman"/>
          <w:szCs w:val="22"/>
        </w:rPr>
        <w:t>paskirtį ir nuosavybės tipą.</w:t>
      </w:r>
      <w:r w:rsidR="00807EF4" w:rsidRPr="00650EE4">
        <w:rPr>
          <w:rFonts w:ascii="Times New Roman" w:hAnsi="Times New Roman"/>
          <w:szCs w:val="22"/>
        </w:rPr>
        <w:t xml:space="preserve"> </w:t>
      </w:r>
      <w:r w:rsidR="00824C75" w:rsidRPr="00650EE4">
        <w:rPr>
          <w:rFonts w:ascii="Times New Roman" w:hAnsi="Times New Roman"/>
          <w:szCs w:val="22"/>
        </w:rPr>
        <w:t>Konkretūs planuojami rodikliai pagal paskirtis gali skirtis kol išlaikomi suminiai planuojami rodikliai.</w:t>
      </w:r>
    </w:p>
    <w:p w14:paraId="023C9E79" w14:textId="77777777" w:rsidR="003A518B" w:rsidRPr="00650EE4" w:rsidRDefault="003A518B" w:rsidP="006E13C0">
      <w:pPr>
        <w:rPr>
          <w:rFonts w:ascii="Times New Roman" w:hAnsi="Times New Roman"/>
          <w:szCs w:val="22"/>
        </w:rPr>
      </w:pPr>
    </w:p>
    <w:p w14:paraId="6EE1CF57" w14:textId="6D0AFF9B" w:rsidR="003A518B" w:rsidRPr="00650EE4" w:rsidRDefault="003A518B" w:rsidP="003A518B">
      <w:pPr>
        <w:pStyle w:val="TESlentelspavadinimas"/>
        <w:rPr>
          <w:noProof w:val="0"/>
        </w:rPr>
      </w:pPr>
      <w:r w:rsidRPr="00650EE4">
        <w:rPr>
          <w:noProof w:val="0"/>
        </w:rPr>
        <w:t>Kitų negyvenamųjų pastatų renovuojamų pastatų skaičius vidutiniškai per metus</w:t>
      </w:r>
    </w:p>
    <w:tbl>
      <w:tblPr>
        <w:tblW w:w="5000" w:type="pct"/>
        <w:tblLook w:val="04A0" w:firstRow="1" w:lastRow="0" w:firstColumn="1" w:lastColumn="0" w:noHBand="0" w:noVBand="1"/>
      </w:tblPr>
      <w:tblGrid>
        <w:gridCol w:w="2079"/>
        <w:gridCol w:w="1683"/>
        <w:gridCol w:w="1444"/>
        <w:gridCol w:w="1303"/>
        <w:gridCol w:w="1303"/>
        <w:gridCol w:w="1303"/>
        <w:gridCol w:w="1305"/>
      </w:tblGrid>
      <w:tr w:rsidR="00AD537A" w:rsidRPr="00650EE4" w14:paraId="0FDE9EF2" w14:textId="77777777" w:rsidTr="006231D8">
        <w:trPr>
          <w:trHeight w:val="60"/>
        </w:trPr>
        <w:tc>
          <w:tcPr>
            <w:tcW w:w="9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A0550" w14:textId="571BFBF9" w:rsidR="003A518B" w:rsidRPr="00650EE4" w:rsidRDefault="003A518B" w:rsidP="00AD537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808" w:type="pct"/>
            <w:tcBorders>
              <w:top w:val="single" w:sz="4" w:space="0" w:color="auto"/>
              <w:left w:val="nil"/>
              <w:bottom w:val="single" w:sz="4" w:space="0" w:color="auto"/>
              <w:right w:val="single" w:sz="4" w:space="0" w:color="auto"/>
            </w:tcBorders>
            <w:shd w:val="clear" w:color="000000" w:fill="FFFFFF"/>
            <w:noWrap/>
            <w:vAlign w:val="bottom"/>
            <w:hideMark/>
          </w:tcPr>
          <w:p w14:paraId="581A8968"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693" w:type="pct"/>
            <w:tcBorders>
              <w:top w:val="single" w:sz="4" w:space="0" w:color="auto"/>
              <w:left w:val="nil"/>
              <w:bottom w:val="single" w:sz="4" w:space="0" w:color="auto"/>
              <w:right w:val="single" w:sz="4" w:space="0" w:color="auto"/>
            </w:tcBorders>
            <w:shd w:val="clear" w:color="000000" w:fill="FFFFFF"/>
            <w:noWrap/>
            <w:vAlign w:val="bottom"/>
            <w:hideMark/>
          </w:tcPr>
          <w:p w14:paraId="0D162F3B"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271E92BF"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5AF07896"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564EEC1B"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626" w:type="pct"/>
            <w:tcBorders>
              <w:top w:val="single" w:sz="4" w:space="0" w:color="auto"/>
              <w:left w:val="nil"/>
              <w:bottom w:val="single" w:sz="4" w:space="0" w:color="auto"/>
              <w:right w:val="single" w:sz="4" w:space="0" w:color="auto"/>
            </w:tcBorders>
            <w:shd w:val="clear" w:color="000000" w:fill="FFFFFF"/>
            <w:noWrap/>
            <w:vAlign w:val="bottom"/>
            <w:hideMark/>
          </w:tcPr>
          <w:p w14:paraId="2CC4AAF1"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AD537A" w:rsidRPr="00650EE4" w14:paraId="53D5B50D"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6A8450A6"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808" w:type="pct"/>
            <w:tcBorders>
              <w:top w:val="nil"/>
              <w:left w:val="nil"/>
              <w:bottom w:val="single" w:sz="4" w:space="0" w:color="auto"/>
              <w:right w:val="single" w:sz="4" w:space="0" w:color="auto"/>
            </w:tcBorders>
            <w:shd w:val="clear" w:color="000000" w:fill="FFFFFF"/>
            <w:noWrap/>
            <w:vAlign w:val="bottom"/>
            <w:hideMark/>
          </w:tcPr>
          <w:p w14:paraId="7116ECF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178E62F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4C77EC2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625" w:type="pct"/>
            <w:tcBorders>
              <w:top w:val="nil"/>
              <w:left w:val="nil"/>
              <w:bottom w:val="single" w:sz="4" w:space="0" w:color="auto"/>
              <w:right w:val="single" w:sz="4" w:space="0" w:color="auto"/>
            </w:tcBorders>
            <w:shd w:val="clear" w:color="000000" w:fill="FFFFFF"/>
            <w:noWrap/>
            <w:vAlign w:val="bottom"/>
            <w:hideMark/>
          </w:tcPr>
          <w:p w14:paraId="2FABA47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w:t>
            </w:r>
          </w:p>
        </w:tc>
        <w:tc>
          <w:tcPr>
            <w:tcW w:w="625" w:type="pct"/>
            <w:tcBorders>
              <w:top w:val="nil"/>
              <w:left w:val="nil"/>
              <w:bottom w:val="single" w:sz="4" w:space="0" w:color="auto"/>
              <w:right w:val="single" w:sz="4" w:space="0" w:color="auto"/>
            </w:tcBorders>
            <w:shd w:val="clear" w:color="000000" w:fill="FFFFFF"/>
            <w:noWrap/>
            <w:vAlign w:val="bottom"/>
            <w:hideMark/>
          </w:tcPr>
          <w:p w14:paraId="66D1D66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626" w:type="pct"/>
            <w:tcBorders>
              <w:top w:val="nil"/>
              <w:left w:val="nil"/>
              <w:bottom w:val="single" w:sz="4" w:space="0" w:color="auto"/>
              <w:right w:val="single" w:sz="4" w:space="0" w:color="auto"/>
            </w:tcBorders>
            <w:shd w:val="clear" w:color="000000" w:fill="FFFFFF"/>
            <w:noWrap/>
            <w:vAlign w:val="bottom"/>
            <w:hideMark/>
          </w:tcPr>
          <w:p w14:paraId="1B1A1CF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76</w:t>
            </w:r>
          </w:p>
        </w:tc>
      </w:tr>
      <w:tr w:rsidR="00AD537A" w:rsidRPr="00650EE4" w14:paraId="68276D4B" w14:textId="77777777" w:rsidTr="006231D8">
        <w:trPr>
          <w:trHeight w:val="101"/>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88F8997"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808" w:type="pct"/>
            <w:tcBorders>
              <w:top w:val="nil"/>
              <w:left w:val="nil"/>
              <w:bottom w:val="single" w:sz="4" w:space="0" w:color="auto"/>
              <w:right w:val="single" w:sz="4" w:space="0" w:color="auto"/>
            </w:tcBorders>
            <w:shd w:val="clear" w:color="000000" w:fill="FFFFFF"/>
            <w:noWrap/>
            <w:vAlign w:val="bottom"/>
            <w:hideMark/>
          </w:tcPr>
          <w:p w14:paraId="459E45D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3EA16B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676E4A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106</w:t>
            </w:r>
          </w:p>
        </w:tc>
        <w:tc>
          <w:tcPr>
            <w:tcW w:w="625" w:type="pct"/>
            <w:tcBorders>
              <w:top w:val="nil"/>
              <w:left w:val="nil"/>
              <w:bottom w:val="single" w:sz="4" w:space="0" w:color="auto"/>
              <w:right w:val="single" w:sz="4" w:space="0" w:color="auto"/>
            </w:tcBorders>
            <w:shd w:val="clear" w:color="000000" w:fill="FFFFFF"/>
            <w:noWrap/>
            <w:vAlign w:val="bottom"/>
            <w:hideMark/>
          </w:tcPr>
          <w:p w14:paraId="3A2F3AB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148</w:t>
            </w:r>
          </w:p>
        </w:tc>
        <w:tc>
          <w:tcPr>
            <w:tcW w:w="625" w:type="pct"/>
            <w:tcBorders>
              <w:top w:val="nil"/>
              <w:left w:val="nil"/>
              <w:bottom w:val="single" w:sz="4" w:space="0" w:color="auto"/>
              <w:right w:val="single" w:sz="4" w:space="0" w:color="auto"/>
            </w:tcBorders>
            <w:shd w:val="clear" w:color="000000" w:fill="FFFFFF"/>
            <w:noWrap/>
            <w:vAlign w:val="bottom"/>
            <w:hideMark/>
          </w:tcPr>
          <w:p w14:paraId="40EBE94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235</w:t>
            </w:r>
          </w:p>
        </w:tc>
        <w:tc>
          <w:tcPr>
            <w:tcW w:w="626" w:type="pct"/>
            <w:tcBorders>
              <w:top w:val="nil"/>
              <w:left w:val="nil"/>
              <w:bottom w:val="single" w:sz="4" w:space="0" w:color="auto"/>
              <w:right w:val="single" w:sz="4" w:space="0" w:color="auto"/>
            </w:tcBorders>
            <w:shd w:val="clear" w:color="000000" w:fill="FFFFFF"/>
            <w:noWrap/>
            <w:vAlign w:val="bottom"/>
            <w:hideMark/>
          </w:tcPr>
          <w:p w14:paraId="3561131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282</w:t>
            </w:r>
          </w:p>
        </w:tc>
      </w:tr>
      <w:tr w:rsidR="00AD537A" w:rsidRPr="00650EE4" w14:paraId="74D8175D" w14:textId="77777777" w:rsidTr="006231D8">
        <w:trPr>
          <w:trHeight w:val="103"/>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B98B8B4"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808" w:type="pct"/>
            <w:tcBorders>
              <w:top w:val="nil"/>
              <w:left w:val="nil"/>
              <w:bottom w:val="single" w:sz="4" w:space="0" w:color="auto"/>
              <w:right w:val="single" w:sz="4" w:space="0" w:color="auto"/>
            </w:tcBorders>
            <w:shd w:val="clear" w:color="000000" w:fill="FFFFFF"/>
            <w:noWrap/>
            <w:vAlign w:val="bottom"/>
            <w:hideMark/>
          </w:tcPr>
          <w:p w14:paraId="3CF29EC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42C29D9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3F23E35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5ED5AA1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45EB2F9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6" w:type="pct"/>
            <w:tcBorders>
              <w:top w:val="nil"/>
              <w:left w:val="nil"/>
              <w:bottom w:val="single" w:sz="4" w:space="0" w:color="auto"/>
              <w:right w:val="single" w:sz="4" w:space="0" w:color="auto"/>
            </w:tcBorders>
            <w:shd w:val="clear" w:color="000000" w:fill="FFFFFF"/>
            <w:noWrap/>
            <w:vAlign w:val="bottom"/>
            <w:hideMark/>
          </w:tcPr>
          <w:p w14:paraId="6A8E6C2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r>
      <w:tr w:rsidR="00AD537A" w:rsidRPr="00650EE4" w14:paraId="15D42465"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21054D03"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808" w:type="pct"/>
            <w:tcBorders>
              <w:top w:val="nil"/>
              <w:left w:val="nil"/>
              <w:bottom w:val="single" w:sz="4" w:space="0" w:color="auto"/>
              <w:right w:val="single" w:sz="4" w:space="0" w:color="auto"/>
            </w:tcBorders>
            <w:shd w:val="clear" w:color="000000" w:fill="FFFFFF"/>
            <w:noWrap/>
            <w:vAlign w:val="bottom"/>
            <w:hideMark/>
          </w:tcPr>
          <w:p w14:paraId="63683A3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308F214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7DFDA3C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625" w:type="pct"/>
            <w:tcBorders>
              <w:top w:val="nil"/>
              <w:left w:val="nil"/>
              <w:bottom w:val="single" w:sz="4" w:space="0" w:color="auto"/>
              <w:right w:val="single" w:sz="4" w:space="0" w:color="auto"/>
            </w:tcBorders>
            <w:shd w:val="clear" w:color="000000" w:fill="FFFFFF"/>
            <w:noWrap/>
            <w:vAlign w:val="bottom"/>
            <w:hideMark/>
          </w:tcPr>
          <w:p w14:paraId="0681A99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625" w:type="pct"/>
            <w:tcBorders>
              <w:top w:val="nil"/>
              <w:left w:val="nil"/>
              <w:bottom w:val="single" w:sz="4" w:space="0" w:color="auto"/>
              <w:right w:val="single" w:sz="4" w:space="0" w:color="auto"/>
            </w:tcBorders>
            <w:shd w:val="clear" w:color="000000" w:fill="FFFFFF"/>
            <w:noWrap/>
            <w:vAlign w:val="bottom"/>
            <w:hideMark/>
          </w:tcPr>
          <w:p w14:paraId="3754EA7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626" w:type="pct"/>
            <w:tcBorders>
              <w:top w:val="nil"/>
              <w:left w:val="nil"/>
              <w:bottom w:val="single" w:sz="4" w:space="0" w:color="auto"/>
              <w:right w:val="single" w:sz="4" w:space="0" w:color="auto"/>
            </w:tcBorders>
            <w:shd w:val="clear" w:color="000000" w:fill="FFFFFF"/>
            <w:noWrap/>
            <w:vAlign w:val="bottom"/>
            <w:hideMark/>
          </w:tcPr>
          <w:p w14:paraId="4FB2B4E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49</w:t>
            </w:r>
          </w:p>
        </w:tc>
      </w:tr>
      <w:tr w:rsidR="00AD537A" w:rsidRPr="00650EE4" w14:paraId="5D209E94"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684FBEE"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808" w:type="pct"/>
            <w:tcBorders>
              <w:top w:val="nil"/>
              <w:left w:val="nil"/>
              <w:bottom w:val="single" w:sz="4" w:space="0" w:color="auto"/>
              <w:right w:val="single" w:sz="4" w:space="0" w:color="auto"/>
            </w:tcBorders>
            <w:shd w:val="clear" w:color="000000" w:fill="FFFFFF"/>
            <w:noWrap/>
            <w:vAlign w:val="bottom"/>
            <w:hideMark/>
          </w:tcPr>
          <w:p w14:paraId="36C186A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39572FB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0CEA67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72D62B4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5" w:type="pct"/>
            <w:tcBorders>
              <w:top w:val="nil"/>
              <w:left w:val="nil"/>
              <w:bottom w:val="single" w:sz="4" w:space="0" w:color="auto"/>
              <w:right w:val="single" w:sz="4" w:space="0" w:color="auto"/>
            </w:tcBorders>
            <w:shd w:val="clear" w:color="000000" w:fill="FFFFFF"/>
            <w:noWrap/>
            <w:vAlign w:val="bottom"/>
            <w:hideMark/>
          </w:tcPr>
          <w:p w14:paraId="1D4643A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6" w:type="pct"/>
            <w:tcBorders>
              <w:top w:val="nil"/>
              <w:left w:val="nil"/>
              <w:bottom w:val="single" w:sz="4" w:space="0" w:color="auto"/>
              <w:right w:val="single" w:sz="4" w:space="0" w:color="auto"/>
            </w:tcBorders>
            <w:shd w:val="clear" w:color="000000" w:fill="FFFFFF"/>
            <w:noWrap/>
            <w:vAlign w:val="bottom"/>
            <w:hideMark/>
          </w:tcPr>
          <w:p w14:paraId="2B9DBB2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r>
      <w:tr w:rsidR="00AD537A" w:rsidRPr="00650EE4" w14:paraId="5C28B9F8" w14:textId="77777777" w:rsidTr="006231D8">
        <w:trPr>
          <w:trHeight w:val="86"/>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7707971"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808" w:type="pct"/>
            <w:tcBorders>
              <w:top w:val="nil"/>
              <w:left w:val="nil"/>
              <w:bottom w:val="single" w:sz="4" w:space="0" w:color="auto"/>
              <w:right w:val="single" w:sz="4" w:space="0" w:color="auto"/>
            </w:tcBorders>
            <w:shd w:val="clear" w:color="000000" w:fill="FFFFFF"/>
            <w:noWrap/>
            <w:vAlign w:val="bottom"/>
            <w:hideMark/>
          </w:tcPr>
          <w:p w14:paraId="40EFD08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4B20654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34DAF7A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625" w:type="pct"/>
            <w:tcBorders>
              <w:top w:val="nil"/>
              <w:left w:val="nil"/>
              <w:bottom w:val="single" w:sz="4" w:space="0" w:color="auto"/>
              <w:right w:val="single" w:sz="4" w:space="0" w:color="auto"/>
            </w:tcBorders>
            <w:shd w:val="clear" w:color="000000" w:fill="FFFFFF"/>
            <w:noWrap/>
            <w:vAlign w:val="bottom"/>
            <w:hideMark/>
          </w:tcPr>
          <w:p w14:paraId="4F5C138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c>
          <w:tcPr>
            <w:tcW w:w="625" w:type="pct"/>
            <w:tcBorders>
              <w:top w:val="nil"/>
              <w:left w:val="nil"/>
              <w:bottom w:val="single" w:sz="4" w:space="0" w:color="auto"/>
              <w:right w:val="single" w:sz="4" w:space="0" w:color="auto"/>
            </w:tcBorders>
            <w:shd w:val="clear" w:color="000000" w:fill="FFFFFF"/>
            <w:noWrap/>
            <w:vAlign w:val="bottom"/>
            <w:hideMark/>
          </w:tcPr>
          <w:p w14:paraId="1A668CB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80</w:t>
            </w:r>
          </w:p>
        </w:tc>
        <w:tc>
          <w:tcPr>
            <w:tcW w:w="626" w:type="pct"/>
            <w:tcBorders>
              <w:top w:val="nil"/>
              <w:left w:val="nil"/>
              <w:bottom w:val="single" w:sz="4" w:space="0" w:color="auto"/>
              <w:right w:val="single" w:sz="4" w:space="0" w:color="auto"/>
            </w:tcBorders>
            <w:shd w:val="clear" w:color="000000" w:fill="FFFFFF"/>
            <w:noWrap/>
            <w:vAlign w:val="bottom"/>
            <w:hideMark/>
          </w:tcPr>
          <w:p w14:paraId="6B3144C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r>
      <w:tr w:rsidR="00AD537A" w:rsidRPr="00650EE4" w14:paraId="1DDED503"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21734F1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808" w:type="pct"/>
            <w:tcBorders>
              <w:top w:val="nil"/>
              <w:left w:val="nil"/>
              <w:bottom w:val="single" w:sz="4" w:space="0" w:color="auto"/>
              <w:right w:val="single" w:sz="4" w:space="0" w:color="auto"/>
            </w:tcBorders>
            <w:shd w:val="clear" w:color="000000" w:fill="FFFFFF"/>
            <w:noWrap/>
            <w:vAlign w:val="bottom"/>
            <w:hideMark/>
          </w:tcPr>
          <w:p w14:paraId="5FAED43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5110232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7321CC4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625" w:type="pct"/>
            <w:tcBorders>
              <w:top w:val="nil"/>
              <w:left w:val="nil"/>
              <w:bottom w:val="single" w:sz="4" w:space="0" w:color="auto"/>
              <w:right w:val="single" w:sz="4" w:space="0" w:color="auto"/>
            </w:tcBorders>
            <w:shd w:val="clear" w:color="000000" w:fill="FFFFFF"/>
            <w:noWrap/>
            <w:vAlign w:val="bottom"/>
            <w:hideMark/>
          </w:tcPr>
          <w:p w14:paraId="72A6F80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0A868AA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6" w:type="pct"/>
            <w:tcBorders>
              <w:top w:val="nil"/>
              <w:left w:val="nil"/>
              <w:bottom w:val="single" w:sz="4" w:space="0" w:color="auto"/>
              <w:right w:val="single" w:sz="4" w:space="0" w:color="auto"/>
            </w:tcBorders>
            <w:shd w:val="clear" w:color="000000" w:fill="FFFFFF"/>
            <w:noWrap/>
            <w:vAlign w:val="bottom"/>
            <w:hideMark/>
          </w:tcPr>
          <w:p w14:paraId="6681D54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r>
      <w:tr w:rsidR="00AD537A" w:rsidRPr="00650EE4" w14:paraId="41964F01"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89EA8F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808" w:type="pct"/>
            <w:tcBorders>
              <w:top w:val="nil"/>
              <w:left w:val="nil"/>
              <w:bottom w:val="single" w:sz="4" w:space="0" w:color="auto"/>
              <w:right w:val="single" w:sz="4" w:space="0" w:color="auto"/>
            </w:tcBorders>
            <w:shd w:val="clear" w:color="000000" w:fill="FFFFFF"/>
            <w:noWrap/>
            <w:vAlign w:val="bottom"/>
            <w:hideMark/>
          </w:tcPr>
          <w:p w14:paraId="49C59DA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3D3E85F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2A5E3D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105</w:t>
            </w:r>
          </w:p>
        </w:tc>
        <w:tc>
          <w:tcPr>
            <w:tcW w:w="625" w:type="pct"/>
            <w:tcBorders>
              <w:top w:val="nil"/>
              <w:left w:val="nil"/>
              <w:bottom w:val="single" w:sz="4" w:space="0" w:color="auto"/>
              <w:right w:val="single" w:sz="4" w:space="0" w:color="auto"/>
            </w:tcBorders>
            <w:shd w:val="clear" w:color="000000" w:fill="FFFFFF"/>
            <w:noWrap/>
            <w:vAlign w:val="bottom"/>
            <w:hideMark/>
          </w:tcPr>
          <w:p w14:paraId="512389A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146</w:t>
            </w:r>
          </w:p>
        </w:tc>
        <w:tc>
          <w:tcPr>
            <w:tcW w:w="625" w:type="pct"/>
            <w:tcBorders>
              <w:top w:val="nil"/>
              <w:left w:val="nil"/>
              <w:bottom w:val="single" w:sz="4" w:space="0" w:color="auto"/>
              <w:right w:val="single" w:sz="4" w:space="0" w:color="auto"/>
            </w:tcBorders>
            <w:shd w:val="clear" w:color="000000" w:fill="FFFFFF"/>
            <w:noWrap/>
            <w:vAlign w:val="bottom"/>
            <w:hideMark/>
          </w:tcPr>
          <w:p w14:paraId="5B64828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233</w:t>
            </w:r>
          </w:p>
        </w:tc>
        <w:tc>
          <w:tcPr>
            <w:tcW w:w="626" w:type="pct"/>
            <w:tcBorders>
              <w:top w:val="nil"/>
              <w:left w:val="nil"/>
              <w:bottom w:val="single" w:sz="4" w:space="0" w:color="auto"/>
              <w:right w:val="single" w:sz="4" w:space="0" w:color="auto"/>
            </w:tcBorders>
            <w:shd w:val="clear" w:color="000000" w:fill="FFFFFF"/>
            <w:noWrap/>
            <w:vAlign w:val="bottom"/>
            <w:hideMark/>
          </w:tcPr>
          <w:p w14:paraId="39EFDA4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279</w:t>
            </w:r>
          </w:p>
        </w:tc>
      </w:tr>
      <w:tr w:rsidR="00AD537A" w:rsidRPr="00650EE4" w14:paraId="00D09F2F"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E61B873"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808" w:type="pct"/>
            <w:tcBorders>
              <w:top w:val="nil"/>
              <w:left w:val="nil"/>
              <w:bottom w:val="single" w:sz="4" w:space="0" w:color="auto"/>
              <w:right w:val="single" w:sz="4" w:space="0" w:color="auto"/>
            </w:tcBorders>
            <w:shd w:val="clear" w:color="000000" w:fill="FFFFFF"/>
            <w:noWrap/>
            <w:vAlign w:val="bottom"/>
            <w:hideMark/>
          </w:tcPr>
          <w:p w14:paraId="45EDDA8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50E4990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CD049CF" w14:textId="0B14679A" w:rsidR="003A518B" w:rsidRPr="00650EE4" w:rsidRDefault="00807EF4"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625" w:type="pct"/>
            <w:tcBorders>
              <w:top w:val="nil"/>
              <w:left w:val="nil"/>
              <w:bottom w:val="single" w:sz="4" w:space="0" w:color="auto"/>
              <w:right w:val="single" w:sz="4" w:space="0" w:color="auto"/>
            </w:tcBorders>
            <w:shd w:val="clear" w:color="000000" w:fill="FFFFFF"/>
            <w:noWrap/>
            <w:vAlign w:val="bottom"/>
            <w:hideMark/>
          </w:tcPr>
          <w:p w14:paraId="0DAC6BFC" w14:textId="61ADB6CD" w:rsidR="003A518B" w:rsidRPr="00650EE4" w:rsidRDefault="00807EF4"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625" w:type="pct"/>
            <w:tcBorders>
              <w:top w:val="nil"/>
              <w:left w:val="nil"/>
              <w:bottom w:val="single" w:sz="4" w:space="0" w:color="auto"/>
              <w:right w:val="single" w:sz="4" w:space="0" w:color="auto"/>
            </w:tcBorders>
            <w:shd w:val="clear" w:color="000000" w:fill="FFFFFF"/>
            <w:noWrap/>
            <w:vAlign w:val="bottom"/>
            <w:hideMark/>
          </w:tcPr>
          <w:p w14:paraId="2AB757A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626" w:type="pct"/>
            <w:tcBorders>
              <w:top w:val="nil"/>
              <w:left w:val="nil"/>
              <w:bottom w:val="single" w:sz="4" w:space="0" w:color="auto"/>
              <w:right w:val="single" w:sz="4" w:space="0" w:color="auto"/>
            </w:tcBorders>
            <w:shd w:val="clear" w:color="000000" w:fill="FFFFFF"/>
            <w:noWrap/>
            <w:vAlign w:val="bottom"/>
            <w:hideMark/>
          </w:tcPr>
          <w:p w14:paraId="56AB330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r>
      <w:tr w:rsidR="00AD537A" w:rsidRPr="00650EE4" w14:paraId="6994E81E"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5E777E2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808" w:type="pct"/>
            <w:tcBorders>
              <w:top w:val="nil"/>
              <w:left w:val="nil"/>
              <w:bottom w:val="single" w:sz="4" w:space="0" w:color="auto"/>
              <w:right w:val="single" w:sz="4" w:space="0" w:color="auto"/>
            </w:tcBorders>
            <w:shd w:val="clear" w:color="000000" w:fill="FFFFFF"/>
            <w:noWrap/>
            <w:vAlign w:val="bottom"/>
            <w:hideMark/>
          </w:tcPr>
          <w:p w14:paraId="293075B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4320CBF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5C3D9E7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5" w:type="pct"/>
            <w:tcBorders>
              <w:top w:val="nil"/>
              <w:left w:val="nil"/>
              <w:bottom w:val="single" w:sz="4" w:space="0" w:color="auto"/>
              <w:right w:val="single" w:sz="4" w:space="0" w:color="auto"/>
            </w:tcBorders>
            <w:shd w:val="clear" w:color="000000" w:fill="FFFFFF"/>
            <w:noWrap/>
            <w:vAlign w:val="bottom"/>
            <w:hideMark/>
          </w:tcPr>
          <w:p w14:paraId="42F43B7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625" w:type="pct"/>
            <w:tcBorders>
              <w:top w:val="nil"/>
              <w:left w:val="nil"/>
              <w:bottom w:val="single" w:sz="4" w:space="0" w:color="auto"/>
              <w:right w:val="single" w:sz="4" w:space="0" w:color="auto"/>
            </w:tcBorders>
            <w:shd w:val="clear" w:color="000000" w:fill="FFFFFF"/>
            <w:noWrap/>
            <w:vAlign w:val="bottom"/>
            <w:hideMark/>
          </w:tcPr>
          <w:p w14:paraId="2E9A9CC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626" w:type="pct"/>
            <w:tcBorders>
              <w:top w:val="nil"/>
              <w:left w:val="nil"/>
              <w:bottom w:val="single" w:sz="4" w:space="0" w:color="auto"/>
              <w:right w:val="single" w:sz="4" w:space="0" w:color="auto"/>
            </w:tcBorders>
            <w:shd w:val="clear" w:color="000000" w:fill="FFFFFF"/>
            <w:noWrap/>
            <w:vAlign w:val="bottom"/>
            <w:hideMark/>
          </w:tcPr>
          <w:p w14:paraId="7C7D2F8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r>
      <w:tr w:rsidR="00AD537A" w:rsidRPr="00650EE4" w14:paraId="772ECB2C"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1099A8D5"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808" w:type="pct"/>
            <w:tcBorders>
              <w:top w:val="nil"/>
              <w:left w:val="nil"/>
              <w:bottom w:val="single" w:sz="4" w:space="0" w:color="auto"/>
              <w:right w:val="single" w:sz="4" w:space="0" w:color="auto"/>
            </w:tcBorders>
            <w:shd w:val="clear" w:color="000000" w:fill="FFFFFF"/>
            <w:noWrap/>
            <w:vAlign w:val="bottom"/>
            <w:hideMark/>
          </w:tcPr>
          <w:p w14:paraId="71EEB65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6DD6F67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AB9DD4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5" w:type="pct"/>
            <w:tcBorders>
              <w:top w:val="nil"/>
              <w:left w:val="nil"/>
              <w:bottom w:val="single" w:sz="4" w:space="0" w:color="auto"/>
              <w:right w:val="single" w:sz="4" w:space="0" w:color="auto"/>
            </w:tcBorders>
            <w:shd w:val="clear" w:color="000000" w:fill="FFFFFF"/>
            <w:noWrap/>
            <w:vAlign w:val="bottom"/>
            <w:hideMark/>
          </w:tcPr>
          <w:p w14:paraId="776A4FC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625" w:type="pct"/>
            <w:tcBorders>
              <w:top w:val="nil"/>
              <w:left w:val="nil"/>
              <w:bottom w:val="single" w:sz="4" w:space="0" w:color="auto"/>
              <w:right w:val="single" w:sz="4" w:space="0" w:color="auto"/>
            </w:tcBorders>
            <w:shd w:val="clear" w:color="000000" w:fill="FFFFFF"/>
            <w:noWrap/>
            <w:vAlign w:val="bottom"/>
            <w:hideMark/>
          </w:tcPr>
          <w:p w14:paraId="448413A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626" w:type="pct"/>
            <w:tcBorders>
              <w:top w:val="nil"/>
              <w:left w:val="nil"/>
              <w:bottom w:val="single" w:sz="4" w:space="0" w:color="auto"/>
              <w:right w:val="single" w:sz="4" w:space="0" w:color="auto"/>
            </w:tcBorders>
            <w:shd w:val="clear" w:color="000000" w:fill="FFFFFF"/>
            <w:noWrap/>
            <w:vAlign w:val="bottom"/>
            <w:hideMark/>
          </w:tcPr>
          <w:p w14:paraId="19F2157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r>
      <w:tr w:rsidR="00AD537A" w:rsidRPr="00650EE4" w14:paraId="5147E5BB" w14:textId="77777777" w:rsidTr="006231D8">
        <w:trPr>
          <w:trHeight w:val="107"/>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59355FBA"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808" w:type="pct"/>
            <w:tcBorders>
              <w:top w:val="nil"/>
              <w:left w:val="nil"/>
              <w:bottom w:val="single" w:sz="4" w:space="0" w:color="auto"/>
              <w:right w:val="single" w:sz="4" w:space="0" w:color="auto"/>
            </w:tcBorders>
            <w:shd w:val="clear" w:color="000000" w:fill="FFFFFF"/>
            <w:noWrap/>
            <w:vAlign w:val="bottom"/>
            <w:hideMark/>
          </w:tcPr>
          <w:p w14:paraId="6FA64F7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5A4278F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4327908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5" w:type="pct"/>
            <w:tcBorders>
              <w:top w:val="nil"/>
              <w:left w:val="nil"/>
              <w:bottom w:val="single" w:sz="4" w:space="0" w:color="auto"/>
              <w:right w:val="single" w:sz="4" w:space="0" w:color="auto"/>
            </w:tcBorders>
            <w:shd w:val="clear" w:color="000000" w:fill="FFFFFF"/>
            <w:noWrap/>
            <w:vAlign w:val="bottom"/>
            <w:hideMark/>
          </w:tcPr>
          <w:p w14:paraId="5FE1052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625" w:type="pct"/>
            <w:tcBorders>
              <w:top w:val="nil"/>
              <w:left w:val="nil"/>
              <w:bottom w:val="single" w:sz="4" w:space="0" w:color="auto"/>
              <w:right w:val="single" w:sz="4" w:space="0" w:color="auto"/>
            </w:tcBorders>
            <w:shd w:val="clear" w:color="000000" w:fill="FFFFFF"/>
            <w:noWrap/>
            <w:vAlign w:val="bottom"/>
            <w:hideMark/>
          </w:tcPr>
          <w:p w14:paraId="568F8F2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626" w:type="pct"/>
            <w:tcBorders>
              <w:top w:val="nil"/>
              <w:left w:val="nil"/>
              <w:bottom w:val="single" w:sz="4" w:space="0" w:color="auto"/>
              <w:right w:val="single" w:sz="4" w:space="0" w:color="auto"/>
            </w:tcBorders>
            <w:shd w:val="clear" w:color="000000" w:fill="FFFFFF"/>
            <w:noWrap/>
            <w:vAlign w:val="bottom"/>
            <w:hideMark/>
          </w:tcPr>
          <w:p w14:paraId="5C73607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r>
      <w:tr w:rsidR="00AD537A" w:rsidRPr="00650EE4" w14:paraId="1C893FA7" w14:textId="77777777" w:rsidTr="006231D8">
        <w:trPr>
          <w:trHeight w:val="69"/>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E451B7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808" w:type="pct"/>
            <w:tcBorders>
              <w:top w:val="nil"/>
              <w:left w:val="nil"/>
              <w:bottom w:val="single" w:sz="4" w:space="0" w:color="auto"/>
              <w:right w:val="single" w:sz="4" w:space="0" w:color="auto"/>
            </w:tcBorders>
            <w:shd w:val="clear" w:color="000000" w:fill="FFFFFF"/>
            <w:noWrap/>
            <w:vAlign w:val="bottom"/>
            <w:hideMark/>
          </w:tcPr>
          <w:p w14:paraId="4C3C5B1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42800CB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45740C7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625" w:type="pct"/>
            <w:tcBorders>
              <w:top w:val="nil"/>
              <w:left w:val="nil"/>
              <w:bottom w:val="single" w:sz="4" w:space="0" w:color="auto"/>
              <w:right w:val="single" w:sz="4" w:space="0" w:color="auto"/>
            </w:tcBorders>
            <w:shd w:val="clear" w:color="000000" w:fill="FFFFFF"/>
            <w:noWrap/>
            <w:vAlign w:val="bottom"/>
            <w:hideMark/>
          </w:tcPr>
          <w:p w14:paraId="100EF81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625" w:type="pct"/>
            <w:tcBorders>
              <w:top w:val="nil"/>
              <w:left w:val="nil"/>
              <w:bottom w:val="single" w:sz="4" w:space="0" w:color="auto"/>
              <w:right w:val="single" w:sz="4" w:space="0" w:color="auto"/>
            </w:tcBorders>
            <w:shd w:val="clear" w:color="000000" w:fill="FFFFFF"/>
            <w:noWrap/>
            <w:vAlign w:val="bottom"/>
            <w:hideMark/>
          </w:tcPr>
          <w:p w14:paraId="295143E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38</w:t>
            </w:r>
          </w:p>
        </w:tc>
        <w:tc>
          <w:tcPr>
            <w:tcW w:w="626" w:type="pct"/>
            <w:tcBorders>
              <w:top w:val="nil"/>
              <w:left w:val="nil"/>
              <w:bottom w:val="single" w:sz="4" w:space="0" w:color="auto"/>
              <w:right w:val="single" w:sz="4" w:space="0" w:color="auto"/>
            </w:tcBorders>
            <w:shd w:val="clear" w:color="000000" w:fill="FFFFFF"/>
            <w:noWrap/>
            <w:vAlign w:val="bottom"/>
            <w:hideMark/>
          </w:tcPr>
          <w:p w14:paraId="2DA7E1A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46</w:t>
            </w:r>
          </w:p>
        </w:tc>
      </w:tr>
      <w:tr w:rsidR="00AD537A" w:rsidRPr="00650EE4" w14:paraId="19A055E4" w14:textId="77777777" w:rsidTr="006231D8">
        <w:trPr>
          <w:trHeight w:val="201"/>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585BBE09"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808" w:type="pct"/>
            <w:tcBorders>
              <w:top w:val="nil"/>
              <w:left w:val="nil"/>
              <w:bottom w:val="single" w:sz="4" w:space="0" w:color="auto"/>
              <w:right w:val="single" w:sz="4" w:space="0" w:color="auto"/>
            </w:tcBorders>
            <w:shd w:val="clear" w:color="000000" w:fill="FFFFFF"/>
            <w:noWrap/>
            <w:vAlign w:val="bottom"/>
            <w:hideMark/>
          </w:tcPr>
          <w:p w14:paraId="52964D5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B21D5E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0C18BE5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625" w:type="pct"/>
            <w:tcBorders>
              <w:top w:val="nil"/>
              <w:left w:val="nil"/>
              <w:bottom w:val="single" w:sz="4" w:space="0" w:color="auto"/>
              <w:right w:val="single" w:sz="4" w:space="0" w:color="auto"/>
            </w:tcBorders>
            <w:shd w:val="clear" w:color="000000" w:fill="FFFFFF"/>
            <w:noWrap/>
            <w:vAlign w:val="bottom"/>
            <w:hideMark/>
          </w:tcPr>
          <w:p w14:paraId="2C4ACFF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625" w:type="pct"/>
            <w:tcBorders>
              <w:top w:val="nil"/>
              <w:left w:val="nil"/>
              <w:bottom w:val="single" w:sz="4" w:space="0" w:color="auto"/>
              <w:right w:val="single" w:sz="4" w:space="0" w:color="auto"/>
            </w:tcBorders>
            <w:shd w:val="clear" w:color="000000" w:fill="FFFFFF"/>
            <w:noWrap/>
            <w:vAlign w:val="bottom"/>
            <w:hideMark/>
          </w:tcPr>
          <w:p w14:paraId="4D19380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626" w:type="pct"/>
            <w:tcBorders>
              <w:top w:val="nil"/>
              <w:left w:val="nil"/>
              <w:bottom w:val="single" w:sz="4" w:space="0" w:color="auto"/>
              <w:right w:val="single" w:sz="4" w:space="0" w:color="auto"/>
            </w:tcBorders>
            <w:shd w:val="clear" w:color="000000" w:fill="FFFFFF"/>
            <w:noWrap/>
            <w:vAlign w:val="bottom"/>
            <w:hideMark/>
          </w:tcPr>
          <w:p w14:paraId="5B885E8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r>
      <w:tr w:rsidR="00AD537A" w:rsidRPr="00650EE4" w14:paraId="2E09E6F5"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70BB94F"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808" w:type="pct"/>
            <w:tcBorders>
              <w:top w:val="nil"/>
              <w:left w:val="nil"/>
              <w:bottom w:val="single" w:sz="4" w:space="0" w:color="auto"/>
              <w:right w:val="single" w:sz="4" w:space="0" w:color="auto"/>
            </w:tcBorders>
            <w:shd w:val="clear" w:color="000000" w:fill="FFFFFF"/>
            <w:noWrap/>
            <w:vAlign w:val="bottom"/>
            <w:hideMark/>
          </w:tcPr>
          <w:p w14:paraId="57D0EF5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057B3FD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44DD7E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w:t>
            </w:r>
          </w:p>
        </w:tc>
        <w:tc>
          <w:tcPr>
            <w:tcW w:w="625" w:type="pct"/>
            <w:tcBorders>
              <w:top w:val="nil"/>
              <w:left w:val="nil"/>
              <w:bottom w:val="single" w:sz="4" w:space="0" w:color="auto"/>
              <w:right w:val="single" w:sz="4" w:space="0" w:color="auto"/>
            </w:tcBorders>
            <w:shd w:val="clear" w:color="000000" w:fill="FFFFFF"/>
            <w:noWrap/>
            <w:vAlign w:val="bottom"/>
            <w:hideMark/>
          </w:tcPr>
          <w:p w14:paraId="196091D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w:t>
            </w:r>
          </w:p>
        </w:tc>
        <w:tc>
          <w:tcPr>
            <w:tcW w:w="625" w:type="pct"/>
            <w:tcBorders>
              <w:top w:val="nil"/>
              <w:left w:val="nil"/>
              <w:bottom w:val="single" w:sz="4" w:space="0" w:color="auto"/>
              <w:right w:val="single" w:sz="4" w:space="0" w:color="auto"/>
            </w:tcBorders>
            <w:shd w:val="clear" w:color="000000" w:fill="FFFFFF"/>
            <w:noWrap/>
            <w:vAlign w:val="bottom"/>
            <w:hideMark/>
          </w:tcPr>
          <w:p w14:paraId="28C86FB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97</w:t>
            </w:r>
          </w:p>
        </w:tc>
        <w:tc>
          <w:tcPr>
            <w:tcW w:w="626" w:type="pct"/>
            <w:tcBorders>
              <w:top w:val="nil"/>
              <w:left w:val="nil"/>
              <w:bottom w:val="single" w:sz="4" w:space="0" w:color="auto"/>
              <w:right w:val="single" w:sz="4" w:space="0" w:color="auto"/>
            </w:tcBorders>
            <w:shd w:val="clear" w:color="000000" w:fill="FFFFFF"/>
            <w:noWrap/>
            <w:vAlign w:val="bottom"/>
            <w:hideMark/>
          </w:tcPr>
          <w:p w14:paraId="2C720A8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116</w:t>
            </w:r>
          </w:p>
        </w:tc>
      </w:tr>
      <w:tr w:rsidR="00AD537A" w:rsidRPr="00650EE4" w14:paraId="48A97F95"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CEE14A7"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808" w:type="pct"/>
            <w:tcBorders>
              <w:top w:val="nil"/>
              <w:left w:val="nil"/>
              <w:bottom w:val="single" w:sz="4" w:space="0" w:color="auto"/>
              <w:right w:val="single" w:sz="4" w:space="0" w:color="auto"/>
            </w:tcBorders>
            <w:shd w:val="clear" w:color="000000" w:fill="FFFFFF"/>
            <w:noWrap/>
            <w:vAlign w:val="bottom"/>
            <w:hideMark/>
          </w:tcPr>
          <w:p w14:paraId="649B27B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2F4FFB5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A69FA3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625" w:type="pct"/>
            <w:tcBorders>
              <w:top w:val="nil"/>
              <w:left w:val="nil"/>
              <w:bottom w:val="single" w:sz="4" w:space="0" w:color="auto"/>
              <w:right w:val="single" w:sz="4" w:space="0" w:color="auto"/>
            </w:tcBorders>
            <w:shd w:val="clear" w:color="000000" w:fill="FFFFFF"/>
            <w:noWrap/>
            <w:vAlign w:val="bottom"/>
            <w:hideMark/>
          </w:tcPr>
          <w:p w14:paraId="3EB1FAD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625" w:type="pct"/>
            <w:tcBorders>
              <w:top w:val="nil"/>
              <w:left w:val="nil"/>
              <w:bottom w:val="single" w:sz="4" w:space="0" w:color="auto"/>
              <w:right w:val="single" w:sz="4" w:space="0" w:color="auto"/>
            </w:tcBorders>
            <w:shd w:val="clear" w:color="000000" w:fill="FFFFFF"/>
            <w:noWrap/>
            <w:vAlign w:val="bottom"/>
            <w:hideMark/>
          </w:tcPr>
          <w:p w14:paraId="4CF197B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626" w:type="pct"/>
            <w:tcBorders>
              <w:top w:val="nil"/>
              <w:left w:val="nil"/>
              <w:bottom w:val="single" w:sz="4" w:space="0" w:color="auto"/>
              <w:right w:val="single" w:sz="4" w:space="0" w:color="auto"/>
            </w:tcBorders>
            <w:shd w:val="clear" w:color="000000" w:fill="FFFFFF"/>
            <w:noWrap/>
            <w:vAlign w:val="bottom"/>
            <w:hideMark/>
          </w:tcPr>
          <w:p w14:paraId="6B55765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43</w:t>
            </w:r>
          </w:p>
        </w:tc>
      </w:tr>
      <w:tr w:rsidR="00AD537A" w:rsidRPr="00650EE4" w14:paraId="43AE94E7"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299055C4"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808" w:type="pct"/>
            <w:tcBorders>
              <w:top w:val="nil"/>
              <w:left w:val="nil"/>
              <w:bottom w:val="single" w:sz="4" w:space="0" w:color="auto"/>
              <w:right w:val="single" w:sz="4" w:space="0" w:color="auto"/>
            </w:tcBorders>
            <w:shd w:val="clear" w:color="000000" w:fill="FFFFFF"/>
            <w:noWrap/>
            <w:vAlign w:val="bottom"/>
            <w:hideMark/>
          </w:tcPr>
          <w:p w14:paraId="2137037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568DB09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14BC9D6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22F008C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6D8DC49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626" w:type="pct"/>
            <w:tcBorders>
              <w:top w:val="nil"/>
              <w:left w:val="nil"/>
              <w:bottom w:val="single" w:sz="4" w:space="0" w:color="auto"/>
              <w:right w:val="single" w:sz="4" w:space="0" w:color="auto"/>
            </w:tcBorders>
            <w:shd w:val="clear" w:color="000000" w:fill="FFFFFF"/>
            <w:noWrap/>
            <w:vAlign w:val="bottom"/>
            <w:hideMark/>
          </w:tcPr>
          <w:p w14:paraId="72BC7A5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r>
      <w:tr w:rsidR="00AD537A" w:rsidRPr="00650EE4" w14:paraId="71A1000C"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1B934367"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808" w:type="pct"/>
            <w:tcBorders>
              <w:top w:val="nil"/>
              <w:left w:val="nil"/>
              <w:bottom w:val="single" w:sz="4" w:space="0" w:color="auto"/>
              <w:right w:val="single" w:sz="4" w:space="0" w:color="auto"/>
            </w:tcBorders>
            <w:shd w:val="clear" w:color="000000" w:fill="FFFFFF"/>
            <w:noWrap/>
            <w:vAlign w:val="bottom"/>
            <w:hideMark/>
          </w:tcPr>
          <w:p w14:paraId="7B8D85F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7F58E30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100AEB2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0DEBD5A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2B70B1D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6" w:type="pct"/>
            <w:tcBorders>
              <w:top w:val="nil"/>
              <w:left w:val="nil"/>
              <w:bottom w:val="single" w:sz="4" w:space="0" w:color="auto"/>
              <w:right w:val="single" w:sz="4" w:space="0" w:color="auto"/>
            </w:tcBorders>
            <w:shd w:val="clear" w:color="000000" w:fill="FFFFFF"/>
            <w:noWrap/>
            <w:vAlign w:val="bottom"/>
            <w:hideMark/>
          </w:tcPr>
          <w:p w14:paraId="1D62C80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r>
      <w:tr w:rsidR="00AD537A" w:rsidRPr="00650EE4" w14:paraId="1717CBB9" w14:textId="77777777" w:rsidTr="006231D8">
        <w:trPr>
          <w:trHeight w:val="67"/>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88BB316"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808" w:type="pct"/>
            <w:tcBorders>
              <w:top w:val="nil"/>
              <w:left w:val="nil"/>
              <w:bottom w:val="single" w:sz="4" w:space="0" w:color="auto"/>
              <w:right w:val="single" w:sz="4" w:space="0" w:color="auto"/>
            </w:tcBorders>
            <w:shd w:val="clear" w:color="000000" w:fill="FFFFFF"/>
            <w:noWrap/>
            <w:vAlign w:val="bottom"/>
            <w:hideMark/>
          </w:tcPr>
          <w:p w14:paraId="32622E0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7B8CB6F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0549F5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2972871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5" w:type="pct"/>
            <w:tcBorders>
              <w:top w:val="nil"/>
              <w:left w:val="nil"/>
              <w:bottom w:val="single" w:sz="4" w:space="0" w:color="auto"/>
              <w:right w:val="single" w:sz="4" w:space="0" w:color="auto"/>
            </w:tcBorders>
            <w:shd w:val="clear" w:color="000000" w:fill="FFFFFF"/>
            <w:noWrap/>
            <w:vAlign w:val="bottom"/>
            <w:hideMark/>
          </w:tcPr>
          <w:p w14:paraId="29B4F15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6" w:type="pct"/>
            <w:tcBorders>
              <w:top w:val="nil"/>
              <w:left w:val="nil"/>
              <w:bottom w:val="single" w:sz="4" w:space="0" w:color="auto"/>
              <w:right w:val="single" w:sz="4" w:space="0" w:color="auto"/>
            </w:tcBorders>
            <w:shd w:val="clear" w:color="000000" w:fill="FFFFFF"/>
            <w:noWrap/>
            <w:vAlign w:val="bottom"/>
            <w:hideMark/>
          </w:tcPr>
          <w:p w14:paraId="1D9C7A9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r>
      <w:tr w:rsidR="00AD537A" w:rsidRPr="00650EE4" w14:paraId="03E30500"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6EF3C05"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808" w:type="pct"/>
            <w:tcBorders>
              <w:top w:val="nil"/>
              <w:left w:val="nil"/>
              <w:bottom w:val="single" w:sz="4" w:space="0" w:color="auto"/>
              <w:right w:val="single" w:sz="4" w:space="0" w:color="auto"/>
            </w:tcBorders>
            <w:shd w:val="clear" w:color="000000" w:fill="FFFFFF"/>
            <w:noWrap/>
            <w:vAlign w:val="bottom"/>
            <w:hideMark/>
          </w:tcPr>
          <w:p w14:paraId="22DE4E0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4565387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57331A3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65</w:t>
            </w:r>
          </w:p>
        </w:tc>
        <w:tc>
          <w:tcPr>
            <w:tcW w:w="625" w:type="pct"/>
            <w:tcBorders>
              <w:top w:val="nil"/>
              <w:left w:val="nil"/>
              <w:bottom w:val="single" w:sz="4" w:space="0" w:color="auto"/>
              <w:right w:val="single" w:sz="4" w:space="0" w:color="auto"/>
            </w:tcBorders>
            <w:shd w:val="clear" w:color="000000" w:fill="FFFFFF"/>
            <w:noWrap/>
            <w:vAlign w:val="bottom"/>
            <w:hideMark/>
          </w:tcPr>
          <w:p w14:paraId="5E81C80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90</w:t>
            </w:r>
          </w:p>
        </w:tc>
        <w:tc>
          <w:tcPr>
            <w:tcW w:w="625" w:type="pct"/>
            <w:tcBorders>
              <w:top w:val="nil"/>
              <w:left w:val="nil"/>
              <w:bottom w:val="single" w:sz="4" w:space="0" w:color="auto"/>
              <w:right w:val="single" w:sz="4" w:space="0" w:color="auto"/>
            </w:tcBorders>
            <w:shd w:val="clear" w:color="000000" w:fill="FFFFFF"/>
            <w:noWrap/>
            <w:vAlign w:val="bottom"/>
            <w:hideMark/>
          </w:tcPr>
          <w:p w14:paraId="33E2E39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143</w:t>
            </w:r>
          </w:p>
        </w:tc>
        <w:tc>
          <w:tcPr>
            <w:tcW w:w="626" w:type="pct"/>
            <w:tcBorders>
              <w:top w:val="nil"/>
              <w:left w:val="nil"/>
              <w:bottom w:val="single" w:sz="4" w:space="0" w:color="auto"/>
              <w:right w:val="single" w:sz="4" w:space="0" w:color="auto"/>
            </w:tcBorders>
            <w:shd w:val="clear" w:color="000000" w:fill="FFFFFF"/>
            <w:noWrap/>
            <w:vAlign w:val="bottom"/>
            <w:hideMark/>
          </w:tcPr>
          <w:p w14:paraId="22431E0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172</w:t>
            </w:r>
          </w:p>
        </w:tc>
      </w:tr>
      <w:tr w:rsidR="00AD537A" w:rsidRPr="00650EE4" w14:paraId="317BA3CC"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7439569"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808" w:type="pct"/>
            <w:tcBorders>
              <w:top w:val="nil"/>
              <w:left w:val="nil"/>
              <w:bottom w:val="single" w:sz="4" w:space="0" w:color="auto"/>
              <w:right w:val="single" w:sz="4" w:space="0" w:color="auto"/>
            </w:tcBorders>
            <w:shd w:val="clear" w:color="000000" w:fill="FFFFFF"/>
            <w:noWrap/>
            <w:vAlign w:val="bottom"/>
            <w:hideMark/>
          </w:tcPr>
          <w:p w14:paraId="36C7B0C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25D51DF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7BEAEFC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7EFEADB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0B5A42E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6" w:type="pct"/>
            <w:tcBorders>
              <w:top w:val="nil"/>
              <w:left w:val="nil"/>
              <w:bottom w:val="single" w:sz="4" w:space="0" w:color="auto"/>
              <w:right w:val="single" w:sz="4" w:space="0" w:color="auto"/>
            </w:tcBorders>
            <w:shd w:val="clear" w:color="000000" w:fill="FFFFFF"/>
            <w:noWrap/>
            <w:vAlign w:val="bottom"/>
            <w:hideMark/>
          </w:tcPr>
          <w:p w14:paraId="20C49B0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r>
      <w:tr w:rsidR="00AD537A" w:rsidRPr="00650EE4" w14:paraId="6EFD6BB0"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6F479D8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808" w:type="pct"/>
            <w:tcBorders>
              <w:top w:val="nil"/>
              <w:left w:val="nil"/>
              <w:bottom w:val="single" w:sz="4" w:space="0" w:color="auto"/>
              <w:right w:val="single" w:sz="4" w:space="0" w:color="auto"/>
            </w:tcBorders>
            <w:shd w:val="clear" w:color="000000" w:fill="FFFFFF"/>
            <w:noWrap/>
            <w:vAlign w:val="bottom"/>
            <w:hideMark/>
          </w:tcPr>
          <w:p w14:paraId="29741F4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6E01CB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3EB9737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6B905D4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1C58131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626" w:type="pct"/>
            <w:tcBorders>
              <w:top w:val="nil"/>
              <w:left w:val="nil"/>
              <w:bottom w:val="single" w:sz="4" w:space="0" w:color="auto"/>
              <w:right w:val="single" w:sz="4" w:space="0" w:color="auto"/>
            </w:tcBorders>
            <w:shd w:val="clear" w:color="000000" w:fill="FFFFFF"/>
            <w:noWrap/>
            <w:vAlign w:val="bottom"/>
            <w:hideMark/>
          </w:tcPr>
          <w:p w14:paraId="79E2059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r>
      <w:tr w:rsidR="00AD537A" w:rsidRPr="00650EE4" w14:paraId="098B4540" w14:textId="77777777" w:rsidTr="006231D8">
        <w:trPr>
          <w:trHeight w:val="99"/>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B192644"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808" w:type="pct"/>
            <w:tcBorders>
              <w:top w:val="nil"/>
              <w:left w:val="nil"/>
              <w:bottom w:val="single" w:sz="4" w:space="0" w:color="auto"/>
              <w:right w:val="single" w:sz="4" w:space="0" w:color="auto"/>
            </w:tcBorders>
            <w:shd w:val="clear" w:color="000000" w:fill="FFFFFF"/>
            <w:noWrap/>
            <w:vAlign w:val="bottom"/>
            <w:hideMark/>
          </w:tcPr>
          <w:p w14:paraId="5EDDC4C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7CD2404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8F9FDE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625" w:type="pct"/>
            <w:tcBorders>
              <w:top w:val="nil"/>
              <w:left w:val="nil"/>
              <w:bottom w:val="single" w:sz="4" w:space="0" w:color="auto"/>
              <w:right w:val="single" w:sz="4" w:space="0" w:color="auto"/>
            </w:tcBorders>
            <w:shd w:val="clear" w:color="000000" w:fill="FFFFFF"/>
            <w:noWrap/>
            <w:vAlign w:val="bottom"/>
            <w:hideMark/>
          </w:tcPr>
          <w:p w14:paraId="198D58D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5" w:type="pct"/>
            <w:tcBorders>
              <w:top w:val="nil"/>
              <w:left w:val="nil"/>
              <w:bottom w:val="single" w:sz="4" w:space="0" w:color="auto"/>
              <w:right w:val="single" w:sz="4" w:space="0" w:color="auto"/>
            </w:tcBorders>
            <w:shd w:val="clear" w:color="000000" w:fill="FFFFFF"/>
            <w:noWrap/>
            <w:vAlign w:val="bottom"/>
            <w:hideMark/>
          </w:tcPr>
          <w:p w14:paraId="5E96CBA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626" w:type="pct"/>
            <w:tcBorders>
              <w:top w:val="nil"/>
              <w:left w:val="nil"/>
              <w:bottom w:val="single" w:sz="4" w:space="0" w:color="auto"/>
              <w:right w:val="single" w:sz="4" w:space="0" w:color="auto"/>
            </w:tcBorders>
            <w:shd w:val="clear" w:color="000000" w:fill="FFFFFF"/>
            <w:noWrap/>
            <w:vAlign w:val="bottom"/>
            <w:hideMark/>
          </w:tcPr>
          <w:p w14:paraId="5A0EEC4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r>
      <w:tr w:rsidR="00AD537A" w:rsidRPr="00650EE4" w14:paraId="4ECBD5F8" w14:textId="77777777" w:rsidTr="006231D8">
        <w:trPr>
          <w:trHeight w:val="61"/>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EEC597A"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808" w:type="pct"/>
            <w:tcBorders>
              <w:top w:val="nil"/>
              <w:left w:val="nil"/>
              <w:bottom w:val="single" w:sz="4" w:space="0" w:color="auto"/>
              <w:right w:val="single" w:sz="4" w:space="0" w:color="auto"/>
            </w:tcBorders>
            <w:shd w:val="clear" w:color="000000" w:fill="FFFFFF"/>
            <w:noWrap/>
            <w:vAlign w:val="bottom"/>
            <w:hideMark/>
          </w:tcPr>
          <w:p w14:paraId="0C31842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2A67B3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7D0F02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1599CA7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47F9A10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626" w:type="pct"/>
            <w:tcBorders>
              <w:top w:val="nil"/>
              <w:left w:val="nil"/>
              <w:bottom w:val="single" w:sz="4" w:space="0" w:color="auto"/>
              <w:right w:val="single" w:sz="4" w:space="0" w:color="auto"/>
            </w:tcBorders>
            <w:shd w:val="clear" w:color="000000" w:fill="FFFFFF"/>
            <w:noWrap/>
            <w:vAlign w:val="bottom"/>
            <w:hideMark/>
          </w:tcPr>
          <w:p w14:paraId="4EA298C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r>
      <w:tr w:rsidR="00AD537A" w:rsidRPr="00650EE4" w14:paraId="75FE4604"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7CDC7676" w14:textId="77777777" w:rsidR="003A518B" w:rsidRPr="00650EE4" w:rsidRDefault="003A518B" w:rsidP="00AD537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808" w:type="pct"/>
            <w:tcBorders>
              <w:top w:val="nil"/>
              <w:left w:val="nil"/>
              <w:bottom w:val="single" w:sz="4" w:space="0" w:color="auto"/>
              <w:right w:val="single" w:sz="4" w:space="0" w:color="auto"/>
            </w:tcBorders>
            <w:shd w:val="clear" w:color="000000" w:fill="FFFFFF"/>
            <w:noWrap/>
            <w:vAlign w:val="bottom"/>
            <w:hideMark/>
          </w:tcPr>
          <w:p w14:paraId="30B9983C"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693" w:type="pct"/>
            <w:tcBorders>
              <w:top w:val="nil"/>
              <w:left w:val="nil"/>
              <w:bottom w:val="single" w:sz="4" w:space="0" w:color="auto"/>
              <w:right w:val="single" w:sz="4" w:space="0" w:color="auto"/>
            </w:tcBorders>
            <w:shd w:val="clear" w:color="000000" w:fill="FFFFFF"/>
            <w:noWrap/>
            <w:vAlign w:val="bottom"/>
            <w:hideMark/>
          </w:tcPr>
          <w:p w14:paraId="5B1209F1"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5E143BB7"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518</w:t>
            </w:r>
          </w:p>
        </w:tc>
        <w:tc>
          <w:tcPr>
            <w:tcW w:w="625" w:type="pct"/>
            <w:tcBorders>
              <w:top w:val="nil"/>
              <w:left w:val="nil"/>
              <w:bottom w:val="single" w:sz="4" w:space="0" w:color="auto"/>
              <w:right w:val="single" w:sz="4" w:space="0" w:color="auto"/>
            </w:tcBorders>
            <w:shd w:val="clear" w:color="000000" w:fill="FFFFFF"/>
            <w:noWrap/>
            <w:vAlign w:val="bottom"/>
            <w:hideMark/>
          </w:tcPr>
          <w:p w14:paraId="4943BB2A"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719</w:t>
            </w:r>
          </w:p>
        </w:tc>
        <w:tc>
          <w:tcPr>
            <w:tcW w:w="625" w:type="pct"/>
            <w:tcBorders>
              <w:top w:val="nil"/>
              <w:left w:val="nil"/>
              <w:bottom w:val="single" w:sz="4" w:space="0" w:color="auto"/>
              <w:right w:val="single" w:sz="4" w:space="0" w:color="auto"/>
            </w:tcBorders>
            <w:shd w:val="clear" w:color="000000" w:fill="FFFFFF"/>
            <w:noWrap/>
            <w:vAlign w:val="bottom"/>
            <w:hideMark/>
          </w:tcPr>
          <w:p w14:paraId="46701260" w14:textId="0F70E0A3"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147</w:t>
            </w:r>
          </w:p>
        </w:tc>
        <w:tc>
          <w:tcPr>
            <w:tcW w:w="626" w:type="pct"/>
            <w:tcBorders>
              <w:top w:val="nil"/>
              <w:left w:val="nil"/>
              <w:bottom w:val="single" w:sz="4" w:space="0" w:color="auto"/>
              <w:right w:val="single" w:sz="4" w:space="0" w:color="auto"/>
            </w:tcBorders>
            <w:shd w:val="clear" w:color="000000" w:fill="FFFFFF"/>
            <w:noWrap/>
            <w:vAlign w:val="bottom"/>
            <w:hideMark/>
          </w:tcPr>
          <w:p w14:paraId="547DB7BA" w14:textId="3973181D"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373</w:t>
            </w:r>
          </w:p>
        </w:tc>
      </w:tr>
    </w:tbl>
    <w:p w14:paraId="11B85E83" w14:textId="41C2C430" w:rsidR="00C90C56" w:rsidRPr="00650EE4" w:rsidRDefault="00C90C56" w:rsidP="006E13C0">
      <w:pPr>
        <w:rPr>
          <w:rFonts w:ascii="Times New Roman" w:hAnsi="Times New Roman"/>
          <w:szCs w:val="22"/>
        </w:rPr>
      </w:pPr>
    </w:p>
    <w:p w14:paraId="67ED487E" w14:textId="77777777" w:rsidR="00C90C56" w:rsidRPr="00650EE4" w:rsidRDefault="00C90C56">
      <w:pPr>
        <w:spacing w:after="240"/>
        <w:rPr>
          <w:rFonts w:ascii="Times New Roman" w:hAnsi="Times New Roman"/>
          <w:szCs w:val="22"/>
        </w:rPr>
      </w:pPr>
      <w:r w:rsidRPr="00650EE4">
        <w:rPr>
          <w:rFonts w:ascii="Times New Roman" w:hAnsi="Times New Roman"/>
          <w:szCs w:val="22"/>
        </w:rPr>
        <w:br w:type="page"/>
      </w:r>
    </w:p>
    <w:p w14:paraId="121CDBC0" w14:textId="30A13747" w:rsidR="008060B1" w:rsidRPr="00650EE4" w:rsidRDefault="008060B1" w:rsidP="00052B45">
      <w:pPr>
        <w:pStyle w:val="TESlentelspavadinimas"/>
        <w:rPr>
          <w:noProof w:val="0"/>
        </w:rPr>
      </w:pPr>
      <w:r w:rsidRPr="00650EE4">
        <w:rPr>
          <w:noProof w:val="0"/>
        </w:rPr>
        <w:lastRenderedPageBreak/>
        <w:t xml:space="preserve">Kitų negyvenamųjų pastatų renovuojamų pastatų </w:t>
      </w:r>
      <w:r w:rsidR="00052B45" w:rsidRPr="00650EE4">
        <w:rPr>
          <w:noProof w:val="0"/>
        </w:rPr>
        <w:t>plotas</w:t>
      </w:r>
      <w:r w:rsidRPr="00650EE4">
        <w:rPr>
          <w:noProof w:val="0"/>
        </w:rPr>
        <w:t xml:space="preserve"> vidutiniškai per metus</w:t>
      </w:r>
    </w:p>
    <w:tbl>
      <w:tblPr>
        <w:tblW w:w="5000" w:type="pct"/>
        <w:tblLook w:val="04A0" w:firstRow="1" w:lastRow="0" w:firstColumn="1" w:lastColumn="0" w:noHBand="0" w:noVBand="1"/>
      </w:tblPr>
      <w:tblGrid>
        <w:gridCol w:w="2017"/>
        <w:gridCol w:w="1411"/>
        <w:gridCol w:w="1900"/>
        <w:gridCol w:w="1273"/>
        <w:gridCol w:w="1273"/>
        <w:gridCol w:w="1273"/>
        <w:gridCol w:w="1273"/>
      </w:tblGrid>
      <w:tr w:rsidR="00AD537A" w:rsidRPr="00650EE4" w14:paraId="724D99EB" w14:textId="77777777" w:rsidTr="00E16056">
        <w:trPr>
          <w:trHeight w:val="6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34BB72" w14:textId="77777777" w:rsidR="00AD537A" w:rsidRPr="00650EE4" w:rsidRDefault="00AD537A"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F07D961"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B2B5DB2"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69B62817"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0C2CDD90"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303CA3AC"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215FC677"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AD537A" w:rsidRPr="00650EE4" w14:paraId="08F8C35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616D2A5" w14:textId="2C03AF67"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549BCA99" w14:textId="7F33A2A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7B8346F" w14:textId="2064975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70C072E5" w14:textId="29D7889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273" w:type="dxa"/>
            <w:tcBorders>
              <w:top w:val="nil"/>
              <w:left w:val="nil"/>
              <w:bottom w:val="single" w:sz="4" w:space="0" w:color="auto"/>
              <w:right w:val="single" w:sz="4" w:space="0" w:color="auto"/>
            </w:tcBorders>
            <w:shd w:val="clear" w:color="000000" w:fill="FFFFFF"/>
            <w:noWrap/>
            <w:vAlign w:val="bottom"/>
            <w:hideMark/>
          </w:tcPr>
          <w:p w14:paraId="22049CAD" w14:textId="53465D0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273" w:type="dxa"/>
            <w:tcBorders>
              <w:top w:val="nil"/>
              <w:left w:val="nil"/>
              <w:bottom w:val="single" w:sz="4" w:space="0" w:color="auto"/>
              <w:right w:val="single" w:sz="4" w:space="0" w:color="auto"/>
            </w:tcBorders>
            <w:shd w:val="clear" w:color="000000" w:fill="FFFFFF"/>
            <w:noWrap/>
            <w:vAlign w:val="bottom"/>
            <w:hideMark/>
          </w:tcPr>
          <w:p w14:paraId="25FB5877" w14:textId="18FFB02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55</w:t>
            </w:r>
          </w:p>
        </w:tc>
        <w:tc>
          <w:tcPr>
            <w:tcW w:w="1273" w:type="dxa"/>
            <w:tcBorders>
              <w:top w:val="nil"/>
              <w:left w:val="nil"/>
              <w:bottom w:val="single" w:sz="4" w:space="0" w:color="auto"/>
              <w:right w:val="single" w:sz="4" w:space="0" w:color="auto"/>
            </w:tcBorders>
            <w:shd w:val="clear" w:color="000000" w:fill="FFFFFF"/>
            <w:noWrap/>
            <w:vAlign w:val="bottom"/>
            <w:hideMark/>
          </w:tcPr>
          <w:p w14:paraId="367D88E0" w14:textId="782F771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65</w:t>
            </w:r>
          </w:p>
        </w:tc>
      </w:tr>
      <w:tr w:rsidR="00AD537A" w:rsidRPr="00650EE4" w14:paraId="6EF194BE" w14:textId="77777777" w:rsidTr="00E16056">
        <w:trPr>
          <w:trHeight w:val="1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A6A5212" w14:textId="72EA407A"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6BDB4D3C" w14:textId="05742D3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572EE8B0" w14:textId="0B91680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DA18560" w14:textId="1C211B3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273" w:type="dxa"/>
            <w:tcBorders>
              <w:top w:val="nil"/>
              <w:left w:val="nil"/>
              <w:bottom w:val="single" w:sz="4" w:space="0" w:color="auto"/>
              <w:right w:val="single" w:sz="4" w:space="0" w:color="auto"/>
            </w:tcBorders>
            <w:shd w:val="clear" w:color="000000" w:fill="FFFFFF"/>
            <w:noWrap/>
            <w:vAlign w:val="bottom"/>
            <w:hideMark/>
          </w:tcPr>
          <w:p w14:paraId="78867AC1" w14:textId="42C1CEB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273" w:type="dxa"/>
            <w:tcBorders>
              <w:top w:val="nil"/>
              <w:left w:val="nil"/>
              <w:bottom w:val="single" w:sz="4" w:space="0" w:color="auto"/>
              <w:right w:val="single" w:sz="4" w:space="0" w:color="auto"/>
            </w:tcBorders>
            <w:shd w:val="clear" w:color="000000" w:fill="FFFFFF"/>
            <w:noWrap/>
            <w:vAlign w:val="bottom"/>
            <w:hideMark/>
          </w:tcPr>
          <w:p w14:paraId="5A2037DF" w14:textId="1744BE6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211</w:t>
            </w:r>
          </w:p>
        </w:tc>
        <w:tc>
          <w:tcPr>
            <w:tcW w:w="1273" w:type="dxa"/>
            <w:tcBorders>
              <w:top w:val="nil"/>
              <w:left w:val="nil"/>
              <w:bottom w:val="single" w:sz="4" w:space="0" w:color="auto"/>
              <w:right w:val="single" w:sz="4" w:space="0" w:color="auto"/>
            </w:tcBorders>
            <w:shd w:val="clear" w:color="000000" w:fill="FFFFFF"/>
            <w:noWrap/>
            <w:vAlign w:val="bottom"/>
            <w:hideMark/>
          </w:tcPr>
          <w:p w14:paraId="210C464C" w14:textId="53B63C9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252</w:t>
            </w:r>
          </w:p>
        </w:tc>
      </w:tr>
      <w:tr w:rsidR="00AD537A" w:rsidRPr="00650EE4" w14:paraId="3B31AF62" w14:textId="77777777" w:rsidTr="00E16056">
        <w:trPr>
          <w:trHeight w:val="10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4E433A3" w14:textId="2B27651B"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019DBC60" w14:textId="402E84D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1B505F48" w14:textId="109DB9E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75640DAB" w14:textId="18026FF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1A6D4D86" w14:textId="44247D7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6E43DB3A" w14:textId="4438C54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273" w:type="dxa"/>
            <w:tcBorders>
              <w:top w:val="nil"/>
              <w:left w:val="nil"/>
              <w:bottom w:val="single" w:sz="4" w:space="0" w:color="auto"/>
              <w:right w:val="single" w:sz="4" w:space="0" w:color="auto"/>
            </w:tcBorders>
            <w:shd w:val="clear" w:color="000000" w:fill="FFFFFF"/>
            <w:noWrap/>
            <w:vAlign w:val="bottom"/>
            <w:hideMark/>
          </w:tcPr>
          <w:p w14:paraId="3C3E4033" w14:textId="7359609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r>
      <w:tr w:rsidR="00AD537A" w:rsidRPr="00650EE4" w14:paraId="717388E1"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C2207AF" w14:textId="59DC75A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408DB08C" w14:textId="18E7D1E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16BABAF6" w14:textId="4B2E72E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4A32984" w14:textId="422FC5B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273" w:type="dxa"/>
            <w:tcBorders>
              <w:top w:val="nil"/>
              <w:left w:val="nil"/>
              <w:bottom w:val="single" w:sz="4" w:space="0" w:color="auto"/>
              <w:right w:val="single" w:sz="4" w:space="0" w:color="auto"/>
            </w:tcBorders>
            <w:shd w:val="clear" w:color="000000" w:fill="FFFFFF"/>
            <w:noWrap/>
            <w:vAlign w:val="bottom"/>
            <w:hideMark/>
          </w:tcPr>
          <w:p w14:paraId="527C5EA1" w14:textId="2BEE60F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273" w:type="dxa"/>
            <w:tcBorders>
              <w:top w:val="nil"/>
              <w:left w:val="nil"/>
              <w:bottom w:val="single" w:sz="4" w:space="0" w:color="auto"/>
              <w:right w:val="single" w:sz="4" w:space="0" w:color="auto"/>
            </w:tcBorders>
            <w:shd w:val="clear" w:color="000000" w:fill="FFFFFF"/>
            <w:noWrap/>
            <w:vAlign w:val="bottom"/>
            <w:hideMark/>
          </w:tcPr>
          <w:p w14:paraId="084730BE" w14:textId="273B81D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273" w:type="dxa"/>
            <w:tcBorders>
              <w:top w:val="nil"/>
              <w:left w:val="nil"/>
              <w:bottom w:val="single" w:sz="4" w:space="0" w:color="auto"/>
              <w:right w:val="single" w:sz="4" w:space="0" w:color="auto"/>
            </w:tcBorders>
            <w:shd w:val="clear" w:color="000000" w:fill="FFFFFF"/>
            <w:noWrap/>
            <w:vAlign w:val="bottom"/>
            <w:hideMark/>
          </w:tcPr>
          <w:p w14:paraId="2E258BDE" w14:textId="4514A62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r>
      <w:tr w:rsidR="00AD537A" w:rsidRPr="00650EE4" w14:paraId="5660112D"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85719A5" w14:textId="6AF6E6C5"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407FBD29" w14:textId="2679448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F88AF39" w14:textId="4DF5E69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9B71C09" w14:textId="2D4D3A3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40BB68B3" w14:textId="18B2CB4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70AC764A" w14:textId="4F8ED30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2342D7DD" w14:textId="73C15A8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r>
      <w:tr w:rsidR="00AD537A" w:rsidRPr="00650EE4" w14:paraId="1BBB713E" w14:textId="77777777" w:rsidTr="00E16056">
        <w:trPr>
          <w:trHeight w:val="86"/>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7FC7A9" w14:textId="0988B61E"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471B6FD7" w14:textId="33361C2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029E75F5" w14:textId="32352AA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41FEC3B" w14:textId="1CB6DAC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27B65E11" w14:textId="1E6A4D4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1A43795C" w14:textId="46307E7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273" w:type="dxa"/>
            <w:tcBorders>
              <w:top w:val="nil"/>
              <w:left w:val="nil"/>
              <w:bottom w:val="single" w:sz="4" w:space="0" w:color="auto"/>
              <w:right w:val="single" w:sz="4" w:space="0" w:color="auto"/>
            </w:tcBorders>
            <w:shd w:val="clear" w:color="000000" w:fill="FFFFFF"/>
            <w:noWrap/>
            <w:vAlign w:val="bottom"/>
            <w:hideMark/>
          </w:tcPr>
          <w:p w14:paraId="29938754" w14:textId="5C1756B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r>
      <w:tr w:rsidR="00AD537A" w:rsidRPr="00650EE4" w14:paraId="4E424A09"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0F41532" w14:textId="2BC00C79"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2EDDBF16" w14:textId="218E2A3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BF87102" w14:textId="5418257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51419AD" w14:textId="6E5738B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7F29F007" w14:textId="5D65A54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06EA2D8A" w14:textId="4F1362F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60E1B74F" w14:textId="67B6C12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r>
      <w:tr w:rsidR="00AD537A" w:rsidRPr="00650EE4" w14:paraId="0F0FEDEF"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01F0A2B" w14:textId="25C2051F"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21D5F7BA" w14:textId="25BD391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88D67D3" w14:textId="3C388FE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3D4C78B" w14:textId="610DE11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w:t>
            </w:r>
          </w:p>
        </w:tc>
        <w:tc>
          <w:tcPr>
            <w:tcW w:w="1273" w:type="dxa"/>
            <w:tcBorders>
              <w:top w:val="nil"/>
              <w:left w:val="nil"/>
              <w:bottom w:val="single" w:sz="4" w:space="0" w:color="auto"/>
              <w:right w:val="single" w:sz="4" w:space="0" w:color="auto"/>
            </w:tcBorders>
            <w:shd w:val="clear" w:color="000000" w:fill="FFFFFF"/>
            <w:noWrap/>
            <w:vAlign w:val="bottom"/>
            <w:hideMark/>
          </w:tcPr>
          <w:p w14:paraId="24F7FAB0" w14:textId="1E52E13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1273" w:type="dxa"/>
            <w:tcBorders>
              <w:top w:val="nil"/>
              <w:left w:val="nil"/>
              <w:bottom w:val="single" w:sz="4" w:space="0" w:color="auto"/>
              <w:right w:val="single" w:sz="4" w:space="0" w:color="auto"/>
            </w:tcBorders>
            <w:shd w:val="clear" w:color="000000" w:fill="FFFFFF"/>
            <w:noWrap/>
            <w:vAlign w:val="bottom"/>
            <w:hideMark/>
          </w:tcPr>
          <w:p w14:paraId="5858E796" w14:textId="03BCBB2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w:t>
            </w:r>
          </w:p>
        </w:tc>
        <w:tc>
          <w:tcPr>
            <w:tcW w:w="1273" w:type="dxa"/>
            <w:tcBorders>
              <w:top w:val="nil"/>
              <w:left w:val="nil"/>
              <w:bottom w:val="single" w:sz="4" w:space="0" w:color="auto"/>
              <w:right w:val="single" w:sz="4" w:space="0" w:color="auto"/>
            </w:tcBorders>
            <w:shd w:val="clear" w:color="000000" w:fill="FFFFFF"/>
            <w:noWrap/>
            <w:vAlign w:val="bottom"/>
            <w:hideMark/>
          </w:tcPr>
          <w:p w14:paraId="65B9416D" w14:textId="0C601E3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163</w:t>
            </w:r>
          </w:p>
        </w:tc>
      </w:tr>
      <w:tr w:rsidR="00AD537A" w:rsidRPr="00650EE4" w14:paraId="6F36B6E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279C8C" w14:textId="1D28F4A9"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17ADA5F1" w14:textId="4D6419B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BC3C46C" w14:textId="28F363F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20535414" w14:textId="7CACA8B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0</w:t>
            </w:r>
          </w:p>
        </w:tc>
        <w:tc>
          <w:tcPr>
            <w:tcW w:w="1273" w:type="dxa"/>
            <w:tcBorders>
              <w:top w:val="nil"/>
              <w:left w:val="nil"/>
              <w:bottom w:val="single" w:sz="4" w:space="0" w:color="auto"/>
              <w:right w:val="single" w:sz="4" w:space="0" w:color="auto"/>
            </w:tcBorders>
            <w:shd w:val="clear" w:color="000000" w:fill="FFFFFF"/>
            <w:noWrap/>
            <w:vAlign w:val="bottom"/>
            <w:hideMark/>
          </w:tcPr>
          <w:p w14:paraId="37CD4C06" w14:textId="0AD232C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0</w:t>
            </w:r>
          </w:p>
        </w:tc>
        <w:tc>
          <w:tcPr>
            <w:tcW w:w="1273" w:type="dxa"/>
            <w:tcBorders>
              <w:top w:val="nil"/>
              <w:left w:val="nil"/>
              <w:bottom w:val="single" w:sz="4" w:space="0" w:color="auto"/>
              <w:right w:val="single" w:sz="4" w:space="0" w:color="auto"/>
            </w:tcBorders>
            <w:shd w:val="clear" w:color="000000" w:fill="FFFFFF"/>
            <w:noWrap/>
            <w:vAlign w:val="bottom"/>
            <w:hideMark/>
          </w:tcPr>
          <w:p w14:paraId="59EA43F7" w14:textId="50D6056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0B3E4701" w14:textId="76C152B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r>
      <w:tr w:rsidR="00AD537A" w:rsidRPr="00650EE4" w14:paraId="4A079BCF"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135E9D" w14:textId="7241C37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7F216467" w14:textId="2A08CF5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F15CC8A" w14:textId="20CBD4F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42548D32" w14:textId="2DA61D3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273" w:type="dxa"/>
            <w:tcBorders>
              <w:top w:val="nil"/>
              <w:left w:val="nil"/>
              <w:bottom w:val="single" w:sz="4" w:space="0" w:color="auto"/>
              <w:right w:val="single" w:sz="4" w:space="0" w:color="auto"/>
            </w:tcBorders>
            <w:shd w:val="clear" w:color="000000" w:fill="FFFFFF"/>
            <w:noWrap/>
            <w:vAlign w:val="bottom"/>
            <w:hideMark/>
          </w:tcPr>
          <w:p w14:paraId="40B98072" w14:textId="597EB88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273" w:type="dxa"/>
            <w:tcBorders>
              <w:top w:val="nil"/>
              <w:left w:val="nil"/>
              <w:bottom w:val="single" w:sz="4" w:space="0" w:color="auto"/>
              <w:right w:val="single" w:sz="4" w:space="0" w:color="auto"/>
            </w:tcBorders>
            <w:shd w:val="clear" w:color="000000" w:fill="FFFFFF"/>
            <w:noWrap/>
            <w:vAlign w:val="bottom"/>
            <w:hideMark/>
          </w:tcPr>
          <w:p w14:paraId="2781619E" w14:textId="6A6CF97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298AB9D3" w14:textId="438F8B9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r>
      <w:tr w:rsidR="00AD537A" w:rsidRPr="00650EE4" w14:paraId="146B5862"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0F12AF8" w14:textId="57A74AD3"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5F0A2C9B" w14:textId="1FD2D14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245E1F36" w14:textId="74E24FB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49E0197B" w14:textId="1D6F092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273" w:type="dxa"/>
            <w:tcBorders>
              <w:top w:val="nil"/>
              <w:left w:val="nil"/>
              <w:bottom w:val="single" w:sz="4" w:space="0" w:color="auto"/>
              <w:right w:val="single" w:sz="4" w:space="0" w:color="auto"/>
            </w:tcBorders>
            <w:shd w:val="clear" w:color="000000" w:fill="FFFFFF"/>
            <w:noWrap/>
            <w:vAlign w:val="bottom"/>
            <w:hideMark/>
          </w:tcPr>
          <w:p w14:paraId="353E6CBC" w14:textId="673E45A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273" w:type="dxa"/>
            <w:tcBorders>
              <w:top w:val="nil"/>
              <w:left w:val="nil"/>
              <w:bottom w:val="single" w:sz="4" w:space="0" w:color="auto"/>
              <w:right w:val="single" w:sz="4" w:space="0" w:color="auto"/>
            </w:tcBorders>
            <w:shd w:val="clear" w:color="000000" w:fill="FFFFFF"/>
            <w:noWrap/>
            <w:vAlign w:val="bottom"/>
            <w:hideMark/>
          </w:tcPr>
          <w:p w14:paraId="36DE3519" w14:textId="03B6C5B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c>
          <w:tcPr>
            <w:tcW w:w="1273" w:type="dxa"/>
            <w:tcBorders>
              <w:top w:val="nil"/>
              <w:left w:val="nil"/>
              <w:bottom w:val="single" w:sz="4" w:space="0" w:color="auto"/>
              <w:right w:val="single" w:sz="4" w:space="0" w:color="auto"/>
            </w:tcBorders>
            <w:shd w:val="clear" w:color="000000" w:fill="FFFFFF"/>
            <w:noWrap/>
            <w:vAlign w:val="bottom"/>
            <w:hideMark/>
          </w:tcPr>
          <w:p w14:paraId="05A7E0E5" w14:textId="61B2AF3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58</w:t>
            </w:r>
          </w:p>
        </w:tc>
      </w:tr>
      <w:tr w:rsidR="00AD537A" w:rsidRPr="00650EE4" w14:paraId="08ED3BD6" w14:textId="77777777" w:rsidTr="00E16056">
        <w:trPr>
          <w:trHeight w:val="10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52A5B00" w14:textId="3D85BF1E"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74F20010" w14:textId="10E52F5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02F969C4" w14:textId="3AE6449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55B32BC" w14:textId="23ADA91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273" w:type="dxa"/>
            <w:tcBorders>
              <w:top w:val="nil"/>
              <w:left w:val="nil"/>
              <w:bottom w:val="single" w:sz="4" w:space="0" w:color="auto"/>
              <w:right w:val="single" w:sz="4" w:space="0" w:color="auto"/>
            </w:tcBorders>
            <w:shd w:val="clear" w:color="000000" w:fill="FFFFFF"/>
            <w:noWrap/>
            <w:vAlign w:val="bottom"/>
            <w:hideMark/>
          </w:tcPr>
          <w:p w14:paraId="06B6286D" w14:textId="1869D78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153984B7" w14:textId="14EBFAB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273" w:type="dxa"/>
            <w:tcBorders>
              <w:top w:val="nil"/>
              <w:left w:val="nil"/>
              <w:bottom w:val="single" w:sz="4" w:space="0" w:color="auto"/>
              <w:right w:val="single" w:sz="4" w:space="0" w:color="auto"/>
            </w:tcBorders>
            <w:shd w:val="clear" w:color="000000" w:fill="FFFFFF"/>
            <w:noWrap/>
            <w:vAlign w:val="bottom"/>
            <w:hideMark/>
          </w:tcPr>
          <w:p w14:paraId="5AA50CE9" w14:textId="062CC58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r>
      <w:tr w:rsidR="00AD537A" w:rsidRPr="00650EE4" w14:paraId="2A24769E" w14:textId="77777777" w:rsidTr="00E16056">
        <w:trPr>
          <w:trHeight w:val="6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01D3785" w14:textId="1C0DE78B"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4BE79453" w14:textId="14BFC20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E321809" w14:textId="2ED5724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2D0C99E" w14:textId="5AB3A43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0ED37CA8" w14:textId="579322D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273" w:type="dxa"/>
            <w:tcBorders>
              <w:top w:val="nil"/>
              <w:left w:val="nil"/>
              <w:bottom w:val="single" w:sz="4" w:space="0" w:color="auto"/>
              <w:right w:val="single" w:sz="4" w:space="0" w:color="auto"/>
            </w:tcBorders>
            <w:shd w:val="clear" w:color="000000" w:fill="FFFFFF"/>
            <w:noWrap/>
            <w:vAlign w:val="bottom"/>
            <w:hideMark/>
          </w:tcPr>
          <w:p w14:paraId="6261ECBB" w14:textId="629D9D5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42</w:t>
            </w:r>
          </w:p>
        </w:tc>
        <w:tc>
          <w:tcPr>
            <w:tcW w:w="1273" w:type="dxa"/>
            <w:tcBorders>
              <w:top w:val="nil"/>
              <w:left w:val="nil"/>
              <w:bottom w:val="single" w:sz="4" w:space="0" w:color="auto"/>
              <w:right w:val="single" w:sz="4" w:space="0" w:color="auto"/>
            </w:tcBorders>
            <w:shd w:val="clear" w:color="000000" w:fill="FFFFFF"/>
            <w:noWrap/>
            <w:vAlign w:val="bottom"/>
            <w:hideMark/>
          </w:tcPr>
          <w:p w14:paraId="61C3A882" w14:textId="38E0A31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r>
      <w:tr w:rsidR="00AD537A" w:rsidRPr="00650EE4" w14:paraId="0503E4C0" w14:textId="77777777" w:rsidTr="00E16056">
        <w:trPr>
          <w:trHeight w:val="2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3E75ABF" w14:textId="732DE9D3"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6D9138EF" w14:textId="42CB929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77422A13" w14:textId="101E2AA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4055017B" w14:textId="53814FB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273" w:type="dxa"/>
            <w:tcBorders>
              <w:top w:val="nil"/>
              <w:left w:val="nil"/>
              <w:bottom w:val="single" w:sz="4" w:space="0" w:color="auto"/>
              <w:right w:val="single" w:sz="4" w:space="0" w:color="auto"/>
            </w:tcBorders>
            <w:shd w:val="clear" w:color="000000" w:fill="FFFFFF"/>
            <w:noWrap/>
            <w:vAlign w:val="bottom"/>
            <w:hideMark/>
          </w:tcPr>
          <w:p w14:paraId="182698CA" w14:textId="632AF5D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1BC02D57" w14:textId="1C218B3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273" w:type="dxa"/>
            <w:tcBorders>
              <w:top w:val="nil"/>
              <w:left w:val="nil"/>
              <w:bottom w:val="single" w:sz="4" w:space="0" w:color="auto"/>
              <w:right w:val="single" w:sz="4" w:space="0" w:color="auto"/>
            </w:tcBorders>
            <w:shd w:val="clear" w:color="000000" w:fill="FFFFFF"/>
            <w:noWrap/>
            <w:vAlign w:val="bottom"/>
            <w:hideMark/>
          </w:tcPr>
          <w:p w14:paraId="36981FAC" w14:textId="3CA92E4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r>
      <w:tr w:rsidR="00AD537A" w:rsidRPr="00650EE4" w14:paraId="7C221D0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16B565F" w14:textId="415B57DA"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0DDD2BF8" w14:textId="6755D34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8EC7812" w14:textId="578B38E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22C751F9" w14:textId="36060D3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1273" w:type="dxa"/>
            <w:tcBorders>
              <w:top w:val="nil"/>
              <w:left w:val="nil"/>
              <w:bottom w:val="single" w:sz="4" w:space="0" w:color="auto"/>
              <w:right w:val="single" w:sz="4" w:space="0" w:color="auto"/>
            </w:tcBorders>
            <w:shd w:val="clear" w:color="000000" w:fill="FFFFFF"/>
            <w:noWrap/>
            <w:vAlign w:val="bottom"/>
            <w:hideMark/>
          </w:tcPr>
          <w:p w14:paraId="53A09040" w14:textId="2948321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117</w:t>
            </w:r>
          </w:p>
        </w:tc>
        <w:tc>
          <w:tcPr>
            <w:tcW w:w="1273" w:type="dxa"/>
            <w:tcBorders>
              <w:top w:val="nil"/>
              <w:left w:val="nil"/>
              <w:bottom w:val="single" w:sz="4" w:space="0" w:color="auto"/>
              <w:right w:val="single" w:sz="4" w:space="0" w:color="auto"/>
            </w:tcBorders>
            <w:shd w:val="clear" w:color="000000" w:fill="FFFFFF"/>
            <w:noWrap/>
            <w:vAlign w:val="bottom"/>
            <w:hideMark/>
          </w:tcPr>
          <w:p w14:paraId="51CADC70" w14:textId="45A37C1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187</w:t>
            </w:r>
          </w:p>
        </w:tc>
        <w:tc>
          <w:tcPr>
            <w:tcW w:w="1273" w:type="dxa"/>
            <w:tcBorders>
              <w:top w:val="nil"/>
              <w:left w:val="nil"/>
              <w:bottom w:val="single" w:sz="4" w:space="0" w:color="auto"/>
              <w:right w:val="single" w:sz="4" w:space="0" w:color="auto"/>
            </w:tcBorders>
            <w:shd w:val="clear" w:color="000000" w:fill="FFFFFF"/>
            <w:noWrap/>
            <w:vAlign w:val="bottom"/>
            <w:hideMark/>
          </w:tcPr>
          <w:p w14:paraId="6E7791D2" w14:textId="22A270B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224</w:t>
            </w:r>
          </w:p>
        </w:tc>
      </w:tr>
      <w:tr w:rsidR="00AD537A" w:rsidRPr="00650EE4" w14:paraId="6A2A3362"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3C05336" w14:textId="1C8750F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444504FA" w14:textId="3D47B43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6DCB3CD" w14:textId="6C84180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7BEA9629" w14:textId="4A54FF3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718FA92A" w14:textId="59E1091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273" w:type="dxa"/>
            <w:tcBorders>
              <w:top w:val="nil"/>
              <w:left w:val="nil"/>
              <w:bottom w:val="single" w:sz="4" w:space="0" w:color="auto"/>
              <w:right w:val="single" w:sz="4" w:space="0" w:color="auto"/>
            </w:tcBorders>
            <w:shd w:val="clear" w:color="000000" w:fill="FFFFFF"/>
            <w:noWrap/>
            <w:vAlign w:val="bottom"/>
            <w:hideMark/>
          </w:tcPr>
          <w:p w14:paraId="2F599D48" w14:textId="44EDFBB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1273" w:type="dxa"/>
            <w:tcBorders>
              <w:top w:val="nil"/>
              <w:left w:val="nil"/>
              <w:bottom w:val="single" w:sz="4" w:space="0" w:color="auto"/>
              <w:right w:val="single" w:sz="4" w:space="0" w:color="auto"/>
            </w:tcBorders>
            <w:shd w:val="clear" w:color="000000" w:fill="FFFFFF"/>
            <w:noWrap/>
            <w:vAlign w:val="bottom"/>
            <w:hideMark/>
          </w:tcPr>
          <w:p w14:paraId="1BF391B9" w14:textId="3554411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49</w:t>
            </w:r>
          </w:p>
        </w:tc>
      </w:tr>
      <w:tr w:rsidR="00AD537A" w:rsidRPr="00650EE4" w14:paraId="7B7F7836"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00213E2" w14:textId="13378187"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1AC1CAC7" w14:textId="2B92641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178CE992" w14:textId="3F01476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3E93F23" w14:textId="5EBA67A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7627E4EC" w14:textId="0D3B6A5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73862F50" w14:textId="0715CF8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7DD1FA62" w14:textId="55AADE9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r>
      <w:tr w:rsidR="00AD537A" w:rsidRPr="00650EE4" w14:paraId="5910BDEF"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4339E22" w14:textId="21DF40D6"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2B467B8F" w14:textId="4D9B1EE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9FEE46E" w14:textId="7DB5348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28E34BD" w14:textId="4955EEE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348A1C44" w14:textId="3821B30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316B1BDE" w14:textId="24979F3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7518F234" w14:textId="75BBFDF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r>
      <w:tr w:rsidR="00AD537A" w:rsidRPr="00650EE4" w14:paraId="65630009" w14:textId="77777777" w:rsidTr="00E16056">
        <w:trPr>
          <w:trHeight w:val="6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2535C34" w14:textId="6081E00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030523B1" w14:textId="2DEB778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736E6E2" w14:textId="3B6E4AD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044650B" w14:textId="01D8A34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2AE501A2" w14:textId="70F7ED8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2E7C64E4" w14:textId="69CB028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273" w:type="dxa"/>
            <w:tcBorders>
              <w:top w:val="nil"/>
              <w:left w:val="nil"/>
              <w:bottom w:val="single" w:sz="4" w:space="0" w:color="auto"/>
              <w:right w:val="single" w:sz="4" w:space="0" w:color="auto"/>
            </w:tcBorders>
            <w:shd w:val="clear" w:color="000000" w:fill="FFFFFF"/>
            <w:noWrap/>
            <w:vAlign w:val="bottom"/>
            <w:hideMark/>
          </w:tcPr>
          <w:p w14:paraId="75374BC7" w14:textId="4E82405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r>
      <w:tr w:rsidR="00AD537A" w:rsidRPr="00650EE4" w14:paraId="27D52040"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2054518" w14:textId="5B78FE87"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3F386BCE" w14:textId="0B2E2E0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728C9F9D" w14:textId="479FE31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7D44BD0" w14:textId="2CE79AC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466D351E" w14:textId="1FFE913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669B8F78" w14:textId="280B633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273" w:type="dxa"/>
            <w:tcBorders>
              <w:top w:val="nil"/>
              <w:left w:val="nil"/>
              <w:bottom w:val="single" w:sz="4" w:space="0" w:color="auto"/>
              <w:right w:val="single" w:sz="4" w:space="0" w:color="auto"/>
            </w:tcBorders>
            <w:shd w:val="clear" w:color="000000" w:fill="FFFFFF"/>
            <w:noWrap/>
            <w:vAlign w:val="bottom"/>
            <w:hideMark/>
          </w:tcPr>
          <w:p w14:paraId="78DBEB0C" w14:textId="26FCAAE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r>
      <w:tr w:rsidR="00AD537A" w:rsidRPr="00650EE4" w14:paraId="0E211E8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642F883" w14:textId="2004CA75"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42449B72" w14:textId="54B7B92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5D0C46CB" w14:textId="60B5477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B04C68B" w14:textId="4E98ED5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273" w:type="dxa"/>
            <w:tcBorders>
              <w:top w:val="nil"/>
              <w:left w:val="nil"/>
              <w:bottom w:val="single" w:sz="4" w:space="0" w:color="auto"/>
              <w:right w:val="single" w:sz="4" w:space="0" w:color="auto"/>
            </w:tcBorders>
            <w:shd w:val="clear" w:color="000000" w:fill="FFFFFF"/>
            <w:noWrap/>
            <w:vAlign w:val="bottom"/>
            <w:hideMark/>
          </w:tcPr>
          <w:p w14:paraId="41419272" w14:textId="1143D6C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273" w:type="dxa"/>
            <w:tcBorders>
              <w:top w:val="nil"/>
              <w:left w:val="nil"/>
              <w:bottom w:val="single" w:sz="4" w:space="0" w:color="auto"/>
              <w:right w:val="single" w:sz="4" w:space="0" w:color="auto"/>
            </w:tcBorders>
            <w:shd w:val="clear" w:color="000000" w:fill="FFFFFF"/>
            <w:noWrap/>
            <w:vAlign w:val="bottom"/>
            <w:hideMark/>
          </w:tcPr>
          <w:p w14:paraId="0B9BF1FD" w14:textId="09A6837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273" w:type="dxa"/>
            <w:tcBorders>
              <w:top w:val="nil"/>
              <w:left w:val="nil"/>
              <w:bottom w:val="single" w:sz="4" w:space="0" w:color="auto"/>
              <w:right w:val="single" w:sz="4" w:space="0" w:color="auto"/>
            </w:tcBorders>
            <w:shd w:val="clear" w:color="000000" w:fill="FFFFFF"/>
            <w:noWrap/>
            <w:vAlign w:val="bottom"/>
            <w:hideMark/>
          </w:tcPr>
          <w:p w14:paraId="789F30D4" w14:textId="595CEC7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r>
      <w:tr w:rsidR="00AD537A" w:rsidRPr="00650EE4" w14:paraId="48587FE7"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9C7E34" w14:textId="4D62C45A"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39A258F9" w14:textId="44C5064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43C1842" w14:textId="05AAA73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07B609D" w14:textId="46BFDDB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08362933" w14:textId="6CABD3D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273" w:type="dxa"/>
            <w:tcBorders>
              <w:top w:val="nil"/>
              <w:left w:val="nil"/>
              <w:bottom w:val="single" w:sz="4" w:space="0" w:color="auto"/>
              <w:right w:val="single" w:sz="4" w:space="0" w:color="auto"/>
            </w:tcBorders>
            <w:shd w:val="clear" w:color="000000" w:fill="FFFFFF"/>
            <w:noWrap/>
            <w:vAlign w:val="bottom"/>
            <w:hideMark/>
          </w:tcPr>
          <w:p w14:paraId="20D74BEB" w14:textId="4D06DA1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273" w:type="dxa"/>
            <w:tcBorders>
              <w:top w:val="nil"/>
              <w:left w:val="nil"/>
              <w:bottom w:val="single" w:sz="4" w:space="0" w:color="auto"/>
              <w:right w:val="single" w:sz="4" w:space="0" w:color="auto"/>
            </w:tcBorders>
            <w:shd w:val="clear" w:color="000000" w:fill="FFFFFF"/>
            <w:noWrap/>
            <w:vAlign w:val="bottom"/>
            <w:hideMark/>
          </w:tcPr>
          <w:p w14:paraId="7E88274C" w14:textId="318EB53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r>
      <w:tr w:rsidR="00AD537A" w:rsidRPr="00650EE4" w14:paraId="7A9EBD4D" w14:textId="77777777" w:rsidTr="00E16056">
        <w:trPr>
          <w:trHeight w:val="9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62F8CF9" w14:textId="53A491F9"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693FEDF1" w14:textId="49E723B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54982D50" w14:textId="5B76139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6D0F2C14" w14:textId="1572C07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273" w:type="dxa"/>
            <w:tcBorders>
              <w:top w:val="nil"/>
              <w:left w:val="nil"/>
              <w:bottom w:val="single" w:sz="4" w:space="0" w:color="auto"/>
              <w:right w:val="single" w:sz="4" w:space="0" w:color="auto"/>
            </w:tcBorders>
            <w:shd w:val="clear" w:color="000000" w:fill="FFFFFF"/>
            <w:noWrap/>
            <w:vAlign w:val="bottom"/>
            <w:hideMark/>
          </w:tcPr>
          <w:p w14:paraId="7A1AE92F" w14:textId="7949131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273" w:type="dxa"/>
            <w:tcBorders>
              <w:top w:val="nil"/>
              <w:left w:val="nil"/>
              <w:bottom w:val="single" w:sz="4" w:space="0" w:color="auto"/>
              <w:right w:val="single" w:sz="4" w:space="0" w:color="auto"/>
            </w:tcBorders>
            <w:shd w:val="clear" w:color="000000" w:fill="FFFFFF"/>
            <w:noWrap/>
            <w:vAlign w:val="bottom"/>
            <w:hideMark/>
          </w:tcPr>
          <w:p w14:paraId="75709BE5" w14:textId="327E7BA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273" w:type="dxa"/>
            <w:tcBorders>
              <w:top w:val="nil"/>
              <w:left w:val="nil"/>
              <w:bottom w:val="single" w:sz="4" w:space="0" w:color="auto"/>
              <w:right w:val="single" w:sz="4" w:space="0" w:color="auto"/>
            </w:tcBorders>
            <w:shd w:val="clear" w:color="000000" w:fill="FFFFFF"/>
            <w:noWrap/>
            <w:vAlign w:val="bottom"/>
            <w:hideMark/>
          </w:tcPr>
          <w:p w14:paraId="7C1988B7" w14:textId="4F26BBE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r>
      <w:tr w:rsidR="00AD537A" w:rsidRPr="00650EE4" w14:paraId="46258ACA" w14:textId="77777777" w:rsidTr="00E16056">
        <w:trPr>
          <w:trHeight w:val="6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6D137AC" w14:textId="2B24B03C"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13518F57" w14:textId="7477B87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AF4A584" w14:textId="547F12D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67E9989" w14:textId="6F2BF27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51D4FBC7" w14:textId="616D867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72CBE76B" w14:textId="5A29558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1379E3D1" w14:textId="3144720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r>
      <w:tr w:rsidR="00AD537A" w:rsidRPr="00650EE4" w14:paraId="2B104263"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94A3443" w14:textId="71400A6A" w:rsidR="00AD537A" w:rsidRPr="00650EE4" w:rsidRDefault="00AD537A" w:rsidP="00AD537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0" w:type="auto"/>
            <w:tcBorders>
              <w:top w:val="nil"/>
              <w:left w:val="nil"/>
              <w:bottom w:val="single" w:sz="4" w:space="0" w:color="auto"/>
              <w:right w:val="single" w:sz="4" w:space="0" w:color="auto"/>
            </w:tcBorders>
            <w:shd w:val="clear" w:color="000000" w:fill="FFFFFF"/>
            <w:noWrap/>
            <w:vAlign w:val="bottom"/>
            <w:hideMark/>
          </w:tcPr>
          <w:p w14:paraId="1EC3AFC1" w14:textId="66ED4B16"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43A488B" w14:textId="4E3C4E43"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tūkst. m</w:t>
            </w:r>
            <w:r w:rsidRPr="00650EE4">
              <w:rPr>
                <w:rFonts w:ascii="Times New Roman" w:eastAsia="Times New Roman" w:hAnsi="Times New Roman"/>
                <w:b/>
                <w:bCs/>
                <w:sz w:val="20"/>
                <w:szCs w:val="20"/>
                <w:vertAlign w:val="superscript"/>
                <w:lang w:eastAsia="lt-LT"/>
              </w:rPr>
              <w:t>2</w:t>
            </w:r>
            <w:r w:rsidRPr="00650EE4">
              <w:rPr>
                <w:rFonts w:ascii="Times New Roman" w:eastAsia="Times New Roman" w:hAnsi="Times New Roman"/>
                <w:b/>
                <w:bCs/>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AFDD6A2" w14:textId="7DB2E24D"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413</w:t>
            </w:r>
          </w:p>
        </w:tc>
        <w:tc>
          <w:tcPr>
            <w:tcW w:w="1273" w:type="dxa"/>
            <w:tcBorders>
              <w:top w:val="nil"/>
              <w:left w:val="nil"/>
              <w:bottom w:val="single" w:sz="4" w:space="0" w:color="auto"/>
              <w:right w:val="single" w:sz="4" w:space="0" w:color="auto"/>
            </w:tcBorders>
            <w:shd w:val="clear" w:color="000000" w:fill="FFFFFF"/>
            <w:noWrap/>
            <w:vAlign w:val="bottom"/>
            <w:hideMark/>
          </w:tcPr>
          <w:p w14:paraId="571FF265" w14:textId="7770E7F9"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573</w:t>
            </w:r>
          </w:p>
        </w:tc>
        <w:tc>
          <w:tcPr>
            <w:tcW w:w="1273" w:type="dxa"/>
            <w:tcBorders>
              <w:top w:val="nil"/>
              <w:left w:val="nil"/>
              <w:bottom w:val="single" w:sz="4" w:space="0" w:color="auto"/>
              <w:right w:val="single" w:sz="4" w:space="0" w:color="auto"/>
            </w:tcBorders>
            <w:shd w:val="clear" w:color="000000" w:fill="FFFFFF"/>
            <w:noWrap/>
            <w:vAlign w:val="bottom"/>
            <w:hideMark/>
          </w:tcPr>
          <w:p w14:paraId="7FA2FBF5" w14:textId="6BFF9C49"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914</w:t>
            </w:r>
          </w:p>
        </w:tc>
        <w:tc>
          <w:tcPr>
            <w:tcW w:w="1273" w:type="dxa"/>
            <w:tcBorders>
              <w:top w:val="nil"/>
              <w:left w:val="nil"/>
              <w:bottom w:val="single" w:sz="4" w:space="0" w:color="auto"/>
              <w:right w:val="single" w:sz="4" w:space="0" w:color="auto"/>
            </w:tcBorders>
            <w:shd w:val="clear" w:color="000000" w:fill="FFFFFF"/>
            <w:noWrap/>
            <w:vAlign w:val="bottom"/>
            <w:hideMark/>
          </w:tcPr>
          <w:p w14:paraId="2AA8DC18" w14:textId="7866875B"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094</w:t>
            </w:r>
          </w:p>
        </w:tc>
      </w:tr>
    </w:tbl>
    <w:p w14:paraId="6DD2F2FB" w14:textId="50C0745A" w:rsidR="00AD76A7" w:rsidRPr="00650EE4" w:rsidRDefault="00AD76A7" w:rsidP="006E13C0">
      <w:pPr>
        <w:rPr>
          <w:rFonts w:ascii="Times New Roman" w:hAnsi="Times New Roman"/>
          <w:szCs w:val="22"/>
        </w:rPr>
      </w:pPr>
    </w:p>
    <w:p w14:paraId="6E0521F3" w14:textId="0C6C8B6D" w:rsidR="0024319A" w:rsidRPr="00650EE4" w:rsidRDefault="0024319A" w:rsidP="0024319A">
      <w:pPr>
        <w:pStyle w:val="TESlentelspavadinimas"/>
        <w:rPr>
          <w:noProof w:val="0"/>
        </w:rPr>
      </w:pPr>
      <w:r w:rsidRPr="00650EE4">
        <w:rPr>
          <w:noProof w:val="0"/>
        </w:rPr>
        <w:t>Kitų negyvenamųjų pastatų renovuojamų pastatų skaičius iš viso per laikotarpį</w:t>
      </w:r>
    </w:p>
    <w:tbl>
      <w:tblPr>
        <w:tblW w:w="5000" w:type="pct"/>
        <w:tblLook w:val="04A0" w:firstRow="1" w:lastRow="0" w:firstColumn="1" w:lastColumn="0" w:noHBand="0" w:noVBand="1"/>
      </w:tblPr>
      <w:tblGrid>
        <w:gridCol w:w="2023"/>
        <w:gridCol w:w="1298"/>
        <w:gridCol w:w="1863"/>
        <w:gridCol w:w="1309"/>
        <w:gridCol w:w="1309"/>
        <w:gridCol w:w="1309"/>
        <w:gridCol w:w="1309"/>
      </w:tblGrid>
      <w:tr w:rsidR="001F66FF" w:rsidRPr="00650EE4" w14:paraId="64077DA3" w14:textId="77777777" w:rsidTr="001F66FF">
        <w:trPr>
          <w:trHeight w:val="6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F4472F" w14:textId="77777777" w:rsidR="0024319A" w:rsidRPr="00650EE4" w:rsidRDefault="0024319A"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623" w:type="pct"/>
            <w:tcBorders>
              <w:top w:val="single" w:sz="4" w:space="0" w:color="auto"/>
              <w:left w:val="nil"/>
              <w:bottom w:val="single" w:sz="4" w:space="0" w:color="auto"/>
              <w:right w:val="single" w:sz="4" w:space="0" w:color="auto"/>
            </w:tcBorders>
            <w:shd w:val="clear" w:color="000000" w:fill="FFFFFF"/>
            <w:noWrap/>
            <w:vAlign w:val="bottom"/>
            <w:hideMark/>
          </w:tcPr>
          <w:p w14:paraId="175BC319"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894" w:type="pct"/>
            <w:tcBorders>
              <w:top w:val="single" w:sz="4" w:space="0" w:color="auto"/>
              <w:left w:val="nil"/>
              <w:bottom w:val="single" w:sz="4" w:space="0" w:color="auto"/>
              <w:right w:val="single" w:sz="4" w:space="0" w:color="auto"/>
            </w:tcBorders>
            <w:shd w:val="clear" w:color="000000" w:fill="FFFFFF"/>
            <w:noWrap/>
            <w:vAlign w:val="bottom"/>
            <w:hideMark/>
          </w:tcPr>
          <w:p w14:paraId="36585493"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75B1519B"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2E94AF14"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190D7134"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33BC90B0"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1F66FF" w:rsidRPr="00650EE4" w14:paraId="4ABA3788"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E6BBDEB"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623" w:type="pct"/>
            <w:tcBorders>
              <w:top w:val="nil"/>
              <w:left w:val="nil"/>
              <w:bottom w:val="single" w:sz="4" w:space="0" w:color="auto"/>
              <w:right w:val="single" w:sz="4" w:space="0" w:color="auto"/>
            </w:tcBorders>
            <w:shd w:val="clear" w:color="000000" w:fill="FFFFFF"/>
            <w:noWrap/>
            <w:vAlign w:val="bottom"/>
            <w:hideMark/>
          </w:tcPr>
          <w:p w14:paraId="5661A2D5"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7AB0A3A3" w14:textId="71473CE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65829162" w14:textId="5E4A5CB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364</w:t>
            </w:r>
          </w:p>
        </w:tc>
        <w:tc>
          <w:tcPr>
            <w:tcW w:w="628" w:type="pct"/>
            <w:tcBorders>
              <w:top w:val="nil"/>
              <w:left w:val="nil"/>
              <w:bottom w:val="single" w:sz="4" w:space="0" w:color="auto"/>
              <w:right w:val="single" w:sz="4" w:space="0" w:color="auto"/>
            </w:tcBorders>
            <w:shd w:val="clear" w:color="000000" w:fill="FFFFFF"/>
            <w:noWrap/>
            <w:vAlign w:val="bottom"/>
            <w:hideMark/>
          </w:tcPr>
          <w:p w14:paraId="5D104F77" w14:textId="5E3FA8A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634</w:t>
            </w:r>
          </w:p>
        </w:tc>
        <w:tc>
          <w:tcPr>
            <w:tcW w:w="628" w:type="pct"/>
            <w:tcBorders>
              <w:top w:val="nil"/>
              <w:left w:val="nil"/>
              <w:bottom w:val="single" w:sz="4" w:space="0" w:color="auto"/>
              <w:right w:val="single" w:sz="4" w:space="0" w:color="auto"/>
            </w:tcBorders>
            <w:shd w:val="clear" w:color="000000" w:fill="FFFFFF"/>
            <w:noWrap/>
            <w:vAlign w:val="bottom"/>
            <w:hideMark/>
          </w:tcPr>
          <w:p w14:paraId="55C57387" w14:textId="1524B3C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759</w:t>
            </w:r>
          </w:p>
        </w:tc>
        <w:tc>
          <w:tcPr>
            <w:tcW w:w="628" w:type="pct"/>
            <w:tcBorders>
              <w:top w:val="nil"/>
              <w:left w:val="nil"/>
              <w:bottom w:val="single" w:sz="4" w:space="0" w:color="auto"/>
              <w:right w:val="single" w:sz="4" w:space="0" w:color="auto"/>
            </w:tcBorders>
            <w:shd w:val="clear" w:color="000000" w:fill="FFFFFF"/>
            <w:noWrap/>
            <w:vAlign w:val="bottom"/>
            <w:hideMark/>
          </w:tcPr>
          <w:p w14:paraId="12EDE015" w14:textId="0AD4C45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758</w:t>
            </w:r>
          </w:p>
        </w:tc>
      </w:tr>
      <w:tr w:rsidR="001F66FF" w:rsidRPr="00650EE4" w14:paraId="2D1B9CA7" w14:textId="77777777" w:rsidTr="001F66FF">
        <w:trPr>
          <w:trHeight w:val="101"/>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64F13532"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623" w:type="pct"/>
            <w:tcBorders>
              <w:top w:val="nil"/>
              <w:left w:val="nil"/>
              <w:bottom w:val="single" w:sz="4" w:space="0" w:color="auto"/>
              <w:right w:val="single" w:sz="4" w:space="0" w:color="auto"/>
            </w:tcBorders>
            <w:shd w:val="clear" w:color="000000" w:fill="FFFFFF"/>
            <w:noWrap/>
            <w:vAlign w:val="bottom"/>
            <w:hideMark/>
          </w:tcPr>
          <w:p w14:paraId="1492A25F"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586BDCDE" w14:textId="52B15B6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D051FFE" w14:textId="64DEF9F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352</w:t>
            </w:r>
          </w:p>
        </w:tc>
        <w:tc>
          <w:tcPr>
            <w:tcW w:w="628" w:type="pct"/>
            <w:tcBorders>
              <w:top w:val="nil"/>
              <w:left w:val="nil"/>
              <w:bottom w:val="single" w:sz="4" w:space="0" w:color="auto"/>
              <w:right w:val="single" w:sz="4" w:space="0" w:color="auto"/>
            </w:tcBorders>
            <w:shd w:val="clear" w:color="000000" w:fill="FFFFFF"/>
            <w:noWrap/>
            <w:vAlign w:val="bottom"/>
            <w:hideMark/>
          </w:tcPr>
          <w:p w14:paraId="08A929F8" w14:textId="472B581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353</w:t>
            </w:r>
          </w:p>
        </w:tc>
        <w:tc>
          <w:tcPr>
            <w:tcW w:w="628" w:type="pct"/>
            <w:tcBorders>
              <w:top w:val="nil"/>
              <w:left w:val="nil"/>
              <w:bottom w:val="single" w:sz="4" w:space="0" w:color="auto"/>
              <w:right w:val="single" w:sz="4" w:space="0" w:color="auto"/>
            </w:tcBorders>
            <w:shd w:val="clear" w:color="000000" w:fill="FFFFFF"/>
            <w:noWrap/>
            <w:vAlign w:val="bottom"/>
            <w:hideMark/>
          </w:tcPr>
          <w:p w14:paraId="5CBBC8A3" w14:textId="592763F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817</w:t>
            </w:r>
          </w:p>
        </w:tc>
        <w:tc>
          <w:tcPr>
            <w:tcW w:w="628" w:type="pct"/>
            <w:tcBorders>
              <w:top w:val="nil"/>
              <w:left w:val="nil"/>
              <w:bottom w:val="single" w:sz="4" w:space="0" w:color="auto"/>
              <w:right w:val="single" w:sz="4" w:space="0" w:color="auto"/>
            </w:tcBorders>
            <w:shd w:val="clear" w:color="000000" w:fill="FFFFFF"/>
            <w:noWrap/>
            <w:vAlign w:val="bottom"/>
            <w:hideMark/>
          </w:tcPr>
          <w:p w14:paraId="2B0D023D" w14:textId="1F7C614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523</w:t>
            </w:r>
          </w:p>
        </w:tc>
      </w:tr>
      <w:tr w:rsidR="001F66FF" w:rsidRPr="00650EE4" w14:paraId="6B45D837" w14:textId="77777777" w:rsidTr="001F66FF">
        <w:trPr>
          <w:trHeight w:val="103"/>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75578E1"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623" w:type="pct"/>
            <w:tcBorders>
              <w:top w:val="nil"/>
              <w:left w:val="nil"/>
              <w:bottom w:val="single" w:sz="4" w:space="0" w:color="auto"/>
              <w:right w:val="single" w:sz="4" w:space="0" w:color="auto"/>
            </w:tcBorders>
            <w:shd w:val="clear" w:color="000000" w:fill="FFFFFF"/>
            <w:noWrap/>
            <w:vAlign w:val="bottom"/>
            <w:hideMark/>
          </w:tcPr>
          <w:p w14:paraId="450B0AC8"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53A97997" w14:textId="71A458C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27AA7504" w14:textId="6F28067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w:t>
            </w:r>
          </w:p>
        </w:tc>
        <w:tc>
          <w:tcPr>
            <w:tcW w:w="628" w:type="pct"/>
            <w:tcBorders>
              <w:top w:val="nil"/>
              <w:left w:val="nil"/>
              <w:bottom w:val="single" w:sz="4" w:space="0" w:color="auto"/>
              <w:right w:val="single" w:sz="4" w:space="0" w:color="auto"/>
            </w:tcBorders>
            <w:shd w:val="clear" w:color="000000" w:fill="FFFFFF"/>
            <w:noWrap/>
            <w:vAlign w:val="bottom"/>
            <w:hideMark/>
          </w:tcPr>
          <w:p w14:paraId="5157E827" w14:textId="2C0D0BD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69</w:t>
            </w:r>
          </w:p>
        </w:tc>
        <w:tc>
          <w:tcPr>
            <w:tcW w:w="628" w:type="pct"/>
            <w:tcBorders>
              <w:top w:val="nil"/>
              <w:left w:val="nil"/>
              <w:bottom w:val="single" w:sz="4" w:space="0" w:color="auto"/>
              <w:right w:val="single" w:sz="4" w:space="0" w:color="auto"/>
            </w:tcBorders>
            <w:shd w:val="clear" w:color="000000" w:fill="FFFFFF"/>
            <w:noWrap/>
            <w:vAlign w:val="bottom"/>
            <w:hideMark/>
          </w:tcPr>
          <w:p w14:paraId="347207DF" w14:textId="26A136B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83</w:t>
            </w:r>
          </w:p>
        </w:tc>
        <w:tc>
          <w:tcPr>
            <w:tcW w:w="628" w:type="pct"/>
            <w:tcBorders>
              <w:top w:val="nil"/>
              <w:left w:val="nil"/>
              <w:bottom w:val="single" w:sz="4" w:space="0" w:color="auto"/>
              <w:right w:val="single" w:sz="4" w:space="0" w:color="auto"/>
            </w:tcBorders>
            <w:shd w:val="clear" w:color="000000" w:fill="FFFFFF"/>
            <w:noWrap/>
            <w:vAlign w:val="bottom"/>
            <w:hideMark/>
          </w:tcPr>
          <w:p w14:paraId="15A4B87A" w14:textId="37A4327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192</w:t>
            </w:r>
          </w:p>
        </w:tc>
      </w:tr>
      <w:tr w:rsidR="001F66FF" w:rsidRPr="00650EE4" w14:paraId="067910DC"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184A326"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623" w:type="pct"/>
            <w:tcBorders>
              <w:top w:val="nil"/>
              <w:left w:val="nil"/>
              <w:bottom w:val="single" w:sz="4" w:space="0" w:color="auto"/>
              <w:right w:val="single" w:sz="4" w:space="0" w:color="auto"/>
            </w:tcBorders>
            <w:shd w:val="clear" w:color="000000" w:fill="FFFFFF"/>
            <w:noWrap/>
            <w:vAlign w:val="bottom"/>
            <w:hideMark/>
          </w:tcPr>
          <w:p w14:paraId="0873DBAC"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5FBF1A7E" w14:textId="3D06B68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16838C7" w14:textId="2B717F4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234</w:t>
            </w:r>
          </w:p>
        </w:tc>
        <w:tc>
          <w:tcPr>
            <w:tcW w:w="628" w:type="pct"/>
            <w:tcBorders>
              <w:top w:val="nil"/>
              <w:left w:val="nil"/>
              <w:bottom w:val="single" w:sz="4" w:space="0" w:color="auto"/>
              <w:right w:val="single" w:sz="4" w:space="0" w:color="auto"/>
            </w:tcBorders>
            <w:shd w:val="clear" w:color="000000" w:fill="FFFFFF"/>
            <w:noWrap/>
            <w:vAlign w:val="bottom"/>
            <w:hideMark/>
          </w:tcPr>
          <w:p w14:paraId="5656FE70" w14:textId="2E482D9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407</w:t>
            </w:r>
          </w:p>
        </w:tc>
        <w:tc>
          <w:tcPr>
            <w:tcW w:w="628" w:type="pct"/>
            <w:tcBorders>
              <w:top w:val="nil"/>
              <w:left w:val="nil"/>
              <w:bottom w:val="single" w:sz="4" w:space="0" w:color="auto"/>
              <w:right w:val="single" w:sz="4" w:space="0" w:color="auto"/>
            </w:tcBorders>
            <w:shd w:val="clear" w:color="000000" w:fill="FFFFFF"/>
            <w:noWrap/>
            <w:vAlign w:val="bottom"/>
            <w:hideMark/>
          </w:tcPr>
          <w:p w14:paraId="626BE7DA" w14:textId="7557914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487</w:t>
            </w:r>
          </w:p>
        </w:tc>
        <w:tc>
          <w:tcPr>
            <w:tcW w:w="628" w:type="pct"/>
            <w:tcBorders>
              <w:top w:val="nil"/>
              <w:left w:val="nil"/>
              <w:bottom w:val="single" w:sz="4" w:space="0" w:color="auto"/>
              <w:right w:val="single" w:sz="4" w:space="0" w:color="auto"/>
            </w:tcBorders>
            <w:shd w:val="clear" w:color="000000" w:fill="FFFFFF"/>
            <w:noWrap/>
            <w:vAlign w:val="bottom"/>
            <w:hideMark/>
          </w:tcPr>
          <w:p w14:paraId="60AA75E1" w14:textId="01AD5C7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128</w:t>
            </w:r>
          </w:p>
        </w:tc>
      </w:tr>
      <w:tr w:rsidR="001F66FF" w:rsidRPr="00650EE4" w14:paraId="02193187"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6D886C69"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623" w:type="pct"/>
            <w:tcBorders>
              <w:top w:val="nil"/>
              <w:left w:val="nil"/>
              <w:bottom w:val="single" w:sz="4" w:space="0" w:color="auto"/>
              <w:right w:val="single" w:sz="4" w:space="0" w:color="auto"/>
            </w:tcBorders>
            <w:shd w:val="clear" w:color="000000" w:fill="FFFFFF"/>
            <w:noWrap/>
            <w:vAlign w:val="bottom"/>
            <w:hideMark/>
          </w:tcPr>
          <w:p w14:paraId="25B3E398"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012F03FB" w14:textId="6ED3F3D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3B86BC9" w14:textId="2480606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60</w:t>
            </w:r>
          </w:p>
        </w:tc>
        <w:tc>
          <w:tcPr>
            <w:tcW w:w="628" w:type="pct"/>
            <w:tcBorders>
              <w:top w:val="nil"/>
              <w:left w:val="nil"/>
              <w:bottom w:val="single" w:sz="4" w:space="0" w:color="auto"/>
              <w:right w:val="single" w:sz="4" w:space="0" w:color="auto"/>
            </w:tcBorders>
            <w:shd w:val="clear" w:color="000000" w:fill="FFFFFF"/>
            <w:noWrap/>
            <w:vAlign w:val="bottom"/>
            <w:hideMark/>
          </w:tcPr>
          <w:p w14:paraId="550BA8F4" w14:textId="29EC4FC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105</w:t>
            </w:r>
          </w:p>
        </w:tc>
        <w:tc>
          <w:tcPr>
            <w:tcW w:w="628" w:type="pct"/>
            <w:tcBorders>
              <w:top w:val="nil"/>
              <w:left w:val="nil"/>
              <w:bottom w:val="single" w:sz="4" w:space="0" w:color="auto"/>
              <w:right w:val="single" w:sz="4" w:space="0" w:color="auto"/>
            </w:tcBorders>
            <w:shd w:val="clear" w:color="000000" w:fill="FFFFFF"/>
            <w:noWrap/>
            <w:vAlign w:val="bottom"/>
            <w:hideMark/>
          </w:tcPr>
          <w:p w14:paraId="3B5D810D" w14:textId="09183FF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126</w:t>
            </w:r>
          </w:p>
        </w:tc>
        <w:tc>
          <w:tcPr>
            <w:tcW w:w="628" w:type="pct"/>
            <w:tcBorders>
              <w:top w:val="nil"/>
              <w:left w:val="nil"/>
              <w:bottom w:val="single" w:sz="4" w:space="0" w:color="auto"/>
              <w:right w:val="single" w:sz="4" w:space="0" w:color="auto"/>
            </w:tcBorders>
            <w:shd w:val="clear" w:color="000000" w:fill="FFFFFF"/>
            <w:noWrap/>
            <w:vAlign w:val="bottom"/>
            <w:hideMark/>
          </w:tcPr>
          <w:p w14:paraId="0D2C933D" w14:textId="7676982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292</w:t>
            </w:r>
          </w:p>
        </w:tc>
      </w:tr>
      <w:tr w:rsidR="001F66FF" w:rsidRPr="00650EE4" w14:paraId="3B90D698" w14:textId="77777777" w:rsidTr="001F66FF">
        <w:trPr>
          <w:trHeight w:val="86"/>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B8DBB85"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623" w:type="pct"/>
            <w:tcBorders>
              <w:top w:val="nil"/>
              <w:left w:val="nil"/>
              <w:bottom w:val="single" w:sz="4" w:space="0" w:color="auto"/>
              <w:right w:val="single" w:sz="4" w:space="0" w:color="auto"/>
            </w:tcBorders>
            <w:shd w:val="clear" w:color="000000" w:fill="FFFFFF"/>
            <w:noWrap/>
            <w:vAlign w:val="bottom"/>
            <w:hideMark/>
          </w:tcPr>
          <w:p w14:paraId="275FAEFE"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1CC9104E" w14:textId="5D66736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6883457E" w14:textId="5C17631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457</w:t>
            </w:r>
          </w:p>
        </w:tc>
        <w:tc>
          <w:tcPr>
            <w:tcW w:w="628" w:type="pct"/>
            <w:tcBorders>
              <w:top w:val="nil"/>
              <w:left w:val="nil"/>
              <w:bottom w:val="single" w:sz="4" w:space="0" w:color="auto"/>
              <w:right w:val="single" w:sz="4" w:space="0" w:color="auto"/>
            </w:tcBorders>
            <w:shd w:val="clear" w:color="000000" w:fill="FFFFFF"/>
            <w:noWrap/>
            <w:vAlign w:val="bottom"/>
            <w:hideMark/>
          </w:tcPr>
          <w:p w14:paraId="0F0DE5B7" w14:textId="698E23D6"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796</w:t>
            </w:r>
          </w:p>
        </w:tc>
        <w:tc>
          <w:tcPr>
            <w:tcW w:w="628" w:type="pct"/>
            <w:tcBorders>
              <w:top w:val="nil"/>
              <w:left w:val="nil"/>
              <w:bottom w:val="single" w:sz="4" w:space="0" w:color="auto"/>
              <w:right w:val="single" w:sz="4" w:space="0" w:color="auto"/>
            </w:tcBorders>
            <w:shd w:val="clear" w:color="000000" w:fill="FFFFFF"/>
            <w:noWrap/>
            <w:vAlign w:val="bottom"/>
            <w:hideMark/>
          </w:tcPr>
          <w:p w14:paraId="23326963" w14:textId="1370982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953</w:t>
            </w:r>
          </w:p>
        </w:tc>
        <w:tc>
          <w:tcPr>
            <w:tcW w:w="628" w:type="pct"/>
            <w:tcBorders>
              <w:top w:val="nil"/>
              <w:left w:val="nil"/>
              <w:bottom w:val="single" w:sz="4" w:space="0" w:color="auto"/>
              <w:right w:val="single" w:sz="4" w:space="0" w:color="auto"/>
            </w:tcBorders>
            <w:shd w:val="clear" w:color="000000" w:fill="FFFFFF"/>
            <w:noWrap/>
            <w:vAlign w:val="bottom"/>
            <w:hideMark/>
          </w:tcPr>
          <w:p w14:paraId="6001AE84" w14:textId="72C1932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206</w:t>
            </w:r>
          </w:p>
        </w:tc>
      </w:tr>
      <w:tr w:rsidR="001F66FF" w:rsidRPr="00650EE4" w14:paraId="2EFA6654"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E855A7D"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623" w:type="pct"/>
            <w:tcBorders>
              <w:top w:val="nil"/>
              <w:left w:val="nil"/>
              <w:bottom w:val="single" w:sz="4" w:space="0" w:color="auto"/>
              <w:right w:val="single" w:sz="4" w:space="0" w:color="auto"/>
            </w:tcBorders>
            <w:shd w:val="clear" w:color="000000" w:fill="FFFFFF"/>
            <w:noWrap/>
            <w:vAlign w:val="bottom"/>
            <w:hideMark/>
          </w:tcPr>
          <w:p w14:paraId="1CED3C03"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54240752" w14:textId="211C506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539B287" w14:textId="605B701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628" w:type="pct"/>
            <w:tcBorders>
              <w:top w:val="nil"/>
              <w:left w:val="nil"/>
              <w:bottom w:val="single" w:sz="4" w:space="0" w:color="auto"/>
              <w:right w:val="single" w:sz="4" w:space="0" w:color="auto"/>
            </w:tcBorders>
            <w:shd w:val="clear" w:color="000000" w:fill="FFFFFF"/>
            <w:noWrap/>
            <w:vAlign w:val="bottom"/>
            <w:hideMark/>
          </w:tcPr>
          <w:p w14:paraId="1182A170" w14:textId="1BB34BE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628" w:type="pct"/>
            <w:tcBorders>
              <w:top w:val="nil"/>
              <w:left w:val="nil"/>
              <w:bottom w:val="single" w:sz="4" w:space="0" w:color="auto"/>
              <w:right w:val="single" w:sz="4" w:space="0" w:color="auto"/>
            </w:tcBorders>
            <w:shd w:val="clear" w:color="000000" w:fill="FFFFFF"/>
            <w:noWrap/>
            <w:vAlign w:val="bottom"/>
            <w:hideMark/>
          </w:tcPr>
          <w:p w14:paraId="5B780899" w14:textId="292BD5E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c>
          <w:tcPr>
            <w:tcW w:w="628" w:type="pct"/>
            <w:tcBorders>
              <w:top w:val="nil"/>
              <w:left w:val="nil"/>
              <w:bottom w:val="single" w:sz="4" w:space="0" w:color="auto"/>
              <w:right w:val="single" w:sz="4" w:space="0" w:color="auto"/>
            </w:tcBorders>
            <w:shd w:val="clear" w:color="000000" w:fill="FFFFFF"/>
            <w:noWrap/>
            <w:vAlign w:val="bottom"/>
            <w:hideMark/>
          </w:tcPr>
          <w:p w14:paraId="26EEB74A" w14:textId="0A2EAB7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115</w:t>
            </w:r>
          </w:p>
        </w:tc>
      </w:tr>
      <w:tr w:rsidR="001F66FF" w:rsidRPr="00650EE4" w14:paraId="47E94A9B"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7347330"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623" w:type="pct"/>
            <w:tcBorders>
              <w:top w:val="nil"/>
              <w:left w:val="nil"/>
              <w:bottom w:val="single" w:sz="4" w:space="0" w:color="auto"/>
              <w:right w:val="single" w:sz="4" w:space="0" w:color="auto"/>
            </w:tcBorders>
            <w:shd w:val="clear" w:color="000000" w:fill="FFFFFF"/>
            <w:noWrap/>
            <w:vAlign w:val="bottom"/>
            <w:hideMark/>
          </w:tcPr>
          <w:p w14:paraId="1233EE01"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6D3E4F9D" w14:textId="18A2BDF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A811D2B" w14:textId="2F185DF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337</w:t>
            </w:r>
          </w:p>
        </w:tc>
        <w:tc>
          <w:tcPr>
            <w:tcW w:w="628" w:type="pct"/>
            <w:tcBorders>
              <w:top w:val="nil"/>
              <w:left w:val="nil"/>
              <w:bottom w:val="single" w:sz="4" w:space="0" w:color="auto"/>
              <w:right w:val="single" w:sz="4" w:space="0" w:color="auto"/>
            </w:tcBorders>
            <w:shd w:val="clear" w:color="000000" w:fill="FFFFFF"/>
            <w:noWrap/>
            <w:vAlign w:val="bottom"/>
            <w:hideMark/>
          </w:tcPr>
          <w:p w14:paraId="1648BA17" w14:textId="54D8CAE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327</w:t>
            </w:r>
          </w:p>
        </w:tc>
        <w:tc>
          <w:tcPr>
            <w:tcW w:w="628" w:type="pct"/>
            <w:tcBorders>
              <w:top w:val="nil"/>
              <w:left w:val="nil"/>
              <w:bottom w:val="single" w:sz="4" w:space="0" w:color="auto"/>
              <w:right w:val="single" w:sz="4" w:space="0" w:color="auto"/>
            </w:tcBorders>
            <w:shd w:val="clear" w:color="000000" w:fill="FFFFFF"/>
            <w:noWrap/>
            <w:vAlign w:val="bottom"/>
            <w:hideMark/>
          </w:tcPr>
          <w:p w14:paraId="7F17B20F" w14:textId="1BEBFBE6"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787</w:t>
            </w:r>
          </w:p>
        </w:tc>
        <w:tc>
          <w:tcPr>
            <w:tcW w:w="628" w:type="pct"/>
            <w:tcBorders>
              <w:top w:val="nil"/>
              <w:left w:val="nil"/>
              <w:bottom w:val="single" w:sz="4" w:space="0" w:color="auto"/>
              <w:right w:val="single" w:sz="4" w:space="0" w:color="auto"/>
            </w:tcBorders>
            <w:shd w:val="clear" w:color="000000" w:fill="FFFFFF"/>
            <w:noWrap/>
            <w:vAlign w:val="bottom"/>
            <w:hideMark/>
          </w:tcPr>
          <w:p w14:paraId="4B16E202" w14:textId="073823E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451</w:t>
            </w:r>
          </w:p>
        </w:tc>
      </w:tr>
      <w:tr w:rsidR="001F66FF" w:rsidRPr="00650EE4" w14:paraId="38400087"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BDFFB04"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623" w:type="pct"/>
            <w:tcBorders>
              <w:top w:val="nil"/>
              <w:left w:val="nil"/>
              <w:bottom w:val="single" w:sz="4" w:space="0" w:color="auto"/>
              <w:right w:val="single" w:sz="4" w:space="0" w:color="auto"/>
            </w:tcBorders>
            <w:shd w:val="clear" w:color="000000" w:fill="FFFFFF"/>
            <w:noWrap/>
            <w:vAlign w:val="bottom"/>
            <w:hideMark/>
          </w:tcPr>
          <w:p w14:paraId="3AADB912"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35A1C19B" w14:textId="33F8800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198D1786" w14:textId="5C62F55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8" w:type="pct"/>
            <w:tcBorders>
              <w:top w:val="nil"/>
              <w:left w:val="nil"/>
              <w:bottom w:val="single" w:sz="4" w:space="0" w:color="auto"/>
              <w:right w:val="single" w:sz="4" w:space="0" w:color="auto"/>
            </w:tcBorders>
            <w:shd w:val="clear" w:color="000000" w:fill="FFFFFF"/>
            <w:noWrap/>
            <w:vAlign w:val="bottom"/>
            <w:hideMark/>
          </w:tcPr>
          <w:p w14:paraId="54CC3CB4" w14:textId="3370C58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8" w:type="pct"/>
            <w:tcBorders>
              <w:top w:val="nil"/>
              <w:left w:val="nil"/>
              <w:bottom w:val="single" w:sz="4" w:space="0" w:color="auto"/>
              <w:right w:val="single" w:sz="4" w:space="0" w:color="auto"/>
            </w:tcBorders>
            <w:shd w:val="clear" w:color="000000" w:fill="FFFFFF"/>
            <w:noWrap/>
            <w:vAlign w:val="bottom"/>
            <w:hideMark/>
          </w:tcPr>
          <w:p w14:paraId="3A41BB1B" w14:textId="191C75C6"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628" w:type="pct"/>
            <w:tcBorders>
              <w:top w:val="nil"/>
              <w:left w:val="nil"/>
              <w:bottom w:val="single" w:sz="4" w:space="0" w:color="auto"/>
              <w:right w:val="single" w:sz="4" w:space="0" w:color="auto"/>
            </w:tcBorders>
            <w:shd w:val="clear" w:color="000000" w:fill="FFFFFF"/>
            <w:noWrap/>
            <w:vAlign w:val="bottom"/>
            <w:hideMark/>
          </w:tcPr>
          <w:p w14:paraId="06B3BC00" w14:textId="4BF15DC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r>
      <w:tr w:rsidR="001F66FF" w:rsidRPr="00650EE4" w14:paraId="3A57F152"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A60FB2F"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623" w:type="pct"/>
            <w:tcBorders>
              <w:top w:val="nil"/>
              <w:left w:val="nil"/>
              <w:bottom w:val="single" w:sz="4" w:space="0" w:color="auto"/>
              <w:right w:val="single" w:sz="4" w:space="0" w:color="auto"/>
            </w:tcBorders>
            <w:shd w:val="clear" w:color="000000" w:fill="FFFFFF"/>
            <w:noWrap/>
            <w:vAlign w:val="bottom"/>
            <w:hideMark/>
          </w:tcPr>
          <w:p w14:paraId="45910022"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66BEEBD2" w14:textId="348DBEE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569BE77" w14:textId="4ECE3D2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628" w:type="pct"/>
            <w:tcBorders>
              <w:top w:val="nil"/>
              <w:left w:val="nil"/>
              <w:bottom w:val="single" w:sz="4" w:space="0" w:color="auto"/>
              <w:right w:val="single" w:sz="4" w:space="0" w:color="auto"/>
            </w:tcBorders>
            <w:shd w:val="clear" w:color="000000" w:fill="FFFFFF"/>
            <w:noWrap/>
            <w:vAlign w:val="bottom"/>
            <w:hideMark/>
          </w:tcPr>
          <w:p w14:paraId="04BCB9A5" w14:textId="68302F2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149</w:t>
            </w:r>
          </w:p>
        </w:tc>
        <w:tc>
          <w:tcPr>
            <w:tcW w:w="628" w:type="pct"/>
            <w:tcBorders>
              <w:top w:val="nil"/>
              <w:left w:val="nil"/>
              <w:bottom w:val="single" w:sz="4" w:space="0" w:color="auto"/>
              <w:right w:val="single" w:sz="4" w:space="0" w:color="auto"/>
            </w:tcBorders>
            <w:shd w:val="clear" w:color="000000" w:fill="FFFFFF"/>
            <w:noWrap/>
            <w:vAlign w:val="bottom"/>
            <w:hideMark/>
          </w:tcPr>
          <w:p w14:paraId="572A9D52" w14:textId="4C1ED88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178</w:t>
            </w:r>
          </w:p>
        </w:tc>
        <w:tc>
          <w:tcPr>
            <w:tcW w:w="628" w:type="pct"/>
            <w:tcBorders>
              <w:top w:val="nil"/>
              <w:left w:val="nil"/>
              <w:bottom w:val="single" w:sz="4" w:space="0" w:color="auto"/>
              <w:right w:val="single" w:sz="4" w:space="0" w:color="auto"/>
            </w:tcBorders>
            <w:shd w:val="clear" w:color="000000" w:fill="FFFFFF"/>
            <w:noWrap/>
            <w:vAlign w:val="bottom"/>
            <w:hideMark/>
          </w:tcPr>
          <w:p w14:paraId="18E23D57" w14:textId="2253428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412</w:t>
            </w:r>
          </w:p>
        </w:tc>
      </w:tr>
      <w:tr w:rsidR="001F66FF" w:rsidRPr="00650EE4" w14:paraId="182FD54F"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AD1B1E7"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623" w:type="pct"/>
            <w:tcBorders>
              <w:top w:val="nil"/>
              <w:left w:val="nil"/>
              <w:bottom w:val="single" w:sz="4" w:space="0" w:color="auto"/>
              <w:right w:val="single" w:sz="4" w:space="0" w:color="auto"/>
            </w:tcBorders>
            <w:shd w:val="clear" w:color="000000" w:fill="FFFFFF"/>
            <w:noWrap/>
            <w:vAlign w:val="bottom"/>
            <w:hideMark/>
          </w:tcPr>
          <w:p w14:paraId="39A2BFF6"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33AB206D" w14:textId="1E57078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707CA31" w14:textId="1E0004A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140</w:t>
            </w:r>
          </w:p>
        </w:tc>
        <w:tc>
          <w:tcPr>
            <w:tcW w:w="628" w:type="pct"/>
            <w:tcBorders>
              <w:top w:val="nil"/>
              <w:left w:val="nil"/>
              <w:bottom w:val="single" w:sz="4" w:space="0" w:color="auto"/>
              <w:right w:val="single" w:sz="4" w:space="0" w:color="auto"/>
            </w:tcBorders>
            <w:shd w:val="clear" w:color="000000" w:fill="FFFFFF"/>
            <w:noWrap/>
            <w:vAlign w:val="bottom"/>
            <w:hideMark/>
          </w:tcPr>
          <w:p w14:paraId="10E4966A" w14:textId="2505864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244</w:t>
            </w:r>
          </w:p>
        </w:tc>
        <w:tc>
          <w:tcPr>
            <w:tcW w:w="628" w:type="pct"/>
            <w:tcBorders>
              <w:top w:val="nil"/>
              <w:left w:val="nil"/>
              <w:bottom w:val="single" w:sz="4" w:space="0" w:color="auto"/>
              <w:right w:val="single" w:sz="4" w:space="0" w:color="auto"/>
            </w:tcBorders>
            <w:shd w:val="clear" w:color="000000" w:fill="FFFFFF"/>
            <w:noWrap/>
            <w:vAlign w:val="bottom"/>
            <w:hideMark/>
          </w:tcPr>
          <w:p w14:paraId="2C6B2777" w14:textId="268739C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292</w:t>
            </w:r>
          </w:p>
        </w:tc>
        <w:tc>
          <w:tcPr>
            <w:tcW w:w="628" w:type="pct"/>
            <w:tcBorders>
              <w:top w:val="nil"/>
              <w:left w:val="nil"/>
              <w:bottom w:val="single" w:sz="4" w:space="0" w:color="auto"/>
              <w:right w:val="single" w:sz="4" w:space="0" w:color="auto"/>
            </w:tcBorders>
            <w:shd w:val="clear" w:color="000000" w:fill="FFFFFF"/>
            <w:noWrap/>
            <w:vAlign w:val="bottom"/>
            <w:hideMark/>
          </w:tcPr>
          <w:p w14:paraId="25D5DA99" w14:textId="5F1B141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676</w:t>
            </w:r>
          </w:p>
        </w:tc>
      </w:tr>
      <w:tr w:rsidR="001F66FF" w:rsidRPr="00650EE4" w14:paraId="52B359C6" w14:textId="77777777" w:rsidTr="001F66FF">
        <w:trPr>
          <w:trHeight w:val="107"/>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E16F43D"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623" w:type="pct"/>
            <w:tcBorders>
              <w:top w:val="nil"/>
              <w:left w:val="nil"/>
              <w:bottom w:val="single" w:sz="4" w:space="0" w:color="auto"/>
              <w:right w:val="single" w:sz="4" w:space="0" w:color="auto"/>
            </w:tcBorders>
            <w:shd w:val="clear" w:color="000000" w:fill="FFFFFF"/>
            <w:noWrap/>
            <w:vAlign w:val="bottom"/>
            <w:hideMark/>
          </w:tcPr>
          <w:p w14:paraId="51A4BF5F"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384E790D" w14:textId="1A9DE40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586C3E3" w14:textId="2E17B68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143</w:t>
            </w:r>
          </w:p>
        </w:tc>
        <w:tc>
          <w:tcPr>
            <w:tcW w:w="628" w:type="pct"/>
            <w:tcBorders>
              <w:top w:val="nil"/>
              <w:left w:val="nil"/>
              <w:bottom w:val="single" w:sz="4" w:space="0" w:color="auto"/>
              <w:right w:val="single" w:sz="4" w:space="0" w:color="auto"/>
            </w:tcBorders>
            <w:shd w:val="clear" w:color="000000" w:fill="FFFFFF"/>
            <w:noWrap/>
            <w:vAlign w:val="bottom"/>
            <w:hideMark/>
          </w:tcPr>
          <w:p w14:paraId="0E159EFB" w14:textId="02E3B01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249</w:t>
            </w:r>
          </w:p>
        </w:tc>
        <w:tc>
          <w:tcPr>
            <w:tcW w:w="628" w:type="pct"/>
            <w:tcBorders>
              <w:top w:val="nil"/>
              <w:left w:val="nil"/>
              <w:bottom w:val="single" w:sz="4" w:space="0" w:color="auto"/>
              <w:right w:val="single" w:sz="4" w:space="0" w:color="auto"/>
            </w:tcBorders>
            <w:shd w:val="clear" w:color="000000" w:fill="FFFFFF"/>
            <w:noWrap/>
            <w:vAlign w:val="bottom"/>
            <w:hideMark/>
          </w:tcPr>
          <w:p w14:paraId="6E80A98B" w14:textId="07F7879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298</w:t>
            </w:r>
          </w:p>
        </w:tc>
        <w:tc>
          <w:tcPr>
            <w:tcW w:w="628" w:type="pct"/>
            <w:tcBorders>
              <w:top w:val="nil"/>
              <w:left w:val="nil"/>
              <w:bottom w:val="single" w:sz="4" w:space="0" w:color="auto"/>
              <w:right w:val="single" w:sz="4" w:space="0" w:color="auto"/>
            </w:tcBorders>
            <w:shd w:val="clear" w:color="000000" w:fill="FFFFFF"/>
            <w:noWrap/>
            <w:vAlign w:val="bottom"/>
            <w:hideMark/>
          </w:tcPr>
          <w:p w14:paraId="58F539B2" w14:textId="0D406E6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689</w:t>
            </w:r>
          </w:p>
        </w:tc>
      </w:tr>
      <w:tr w:rsidR="001F66FF" w:rsidRPr="00650EE4" w14:paraId="6E7783D2" w14:textId="77777777" w:rsidTr="001F66FF">
        <w:trPr>
          <w:trHeight w:val="69"/>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4587E14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623" w:type="pct"/>
            <w:tcBorders>
              <w:top w:val="nil"/>
              <w:left w:val="nil"/>
              <w:bottom w:val="single" w:sz="4" w:space="0" w:color="auto"/>
              <w:right w:val="single" w:sz="4" w:space="0" w:color="auto"/>
            </w:tcBorders>
            <w:shd w:val="clear" w:color="000000" w:fill="FFFFFF"/>
            <w:noWrap/>
            <w:vAlign w:val="bottom"/>
            <w:hideMark/>
          </w:tcPr>
          <w:p w14:paraId="08DA9DFE"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45EBBF0A" w14:textId="4EC9CD0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00CAB18" w14:textId="76910F8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220</w:t>
            </w:r>
          </w:p>
        </w:tc>
        <w:tc>
          <w:tcPr>
            <w:tcW w:w="628" w:type="pct"/>
            <w:tcBorders>
              <w:top w:val="nil"/>
              <w:left w:val="nil"/>
              <w:bottom w:val="single" w:sz="4" w:space="0" w:color="auto"/>
              <w:right w:val="single" w:sz="4" w:space="0" w:color="auto"/>
            </w:tcBorders>
            <w:shd w:val="clear" w:color="000000" w:fill="FFFFFF"/>
            <w:noWrap/>
            <w:vAlign w:val="bottom"/>
            <w:hideMark/>
          </w:tcPr>
          <w:p w14:paraId="010C5DA3" w14:textId="3AADB9B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382</w:t>
            </w:r>
          </w:p>
        </w:tc>
        <w:tc>
          <w:tcPr>
            <w:tcW w:w="628" w:type="pct"/>
            <w:tcBorders>
              <w:top w:val="nil"/>
              <w:left w:val="nil"/>
              <w:bottom w:val="single" w:sz="4" w:space="0" w:color="auto"/>
              <w:right w:val="single" w:sz="4" w:space="0" w:color="auto"/>
            </w:tcBorders>
            <w:shd w:val="clear" w:color="000000" w:fill="FFFFFF"/>
            <w:noWrap/>
            <w:vAlign w:val="bottom"/>
            <w:hideMark/>
          </w:tcPr>
          <w:p w14:paraId="5270E63F" w14:textId="39459A5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458</w:t>
            </w:r>
          </w:p>
        </w:tc>
        <w:tc>
          <w:tcPr>
            <w:tcW w:w="628" w:type="pct"/>
            <w:tcBorders>
              <w:top w:val="nil"/>
              <w:left w:val="nil"/>
              <w:bottom w:val="single" w:sz="4" w:space="0" w:color="auto"/>
              <w:right w:val="single" w:sz="4" w:space="0" w:color="auto"/>
            </w:tcBorders>
            <w:shd w:val="clear" w:color="000000" w:fill="FFFFFF"/>
            <w:noWrap/>
            <w:vAlign w:val="bottom"/>
            <w:hideMark/>
          </w:tcPr>
          <w:p w14:paraId="503DD093" w14:textId="0FC63DB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060</w:t>
            </w:r>
          </w:p>
        </w:tc>
      </w:tr>
      <w:tr w:rsidR="001F66FF" w:rsidRPr="00650EE4" w14:paraId="67D1AD7E" w14:textId="77777777" w:rsidTr="001F66FF">
        <w:trPr>
          <w:trHeight w:val="201"/>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A09091F"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623" w:type="pct"/>
            <w:tcBorders>
              <w:top w:val="nil"/>
              <w:left w:val="nil"/>
              <w:bottom w:val="single" w:sz="4" w:space="0" w:color="auto"/>
              <w:right w:val="single" w:sz="4" w:space="0" w:color="auto"/>
            </w:tcBorders>
            <w:shd w:val="clear" w:color="000000" w:fill="FFFFFF"/>
            <w:noWrap/>
            <w:vAlign w:val="bottom"/>
            <w:hideMark/>
          </w:tcPr>
          <w:p w14:paraId="47AFD196"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3F0853EA" w14:textId="144D887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D880B7A" w14:textId="32B494C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159</w:t>
            </w:r>
          </w:p>
        </w:tc>
        <w:tc>
          <w:tcPr>
            <w:tcW w:w="628" w:type="pct"/>
            <w:tcBorders>
              <w:top w:val="nil"/>
              <w:left w:val="nil"/>
              <w:bottom w:val="single" w:sz="4" w:space="0" w:color="auto"/>
              <w:right w:val="single" w:sz="4" w:space="0" w:color="auto"/>
            </w:tcBorders>
            <w:shd w:val="clear" w:color="000000" w:fill="FFFFFF"/>
            <w:noWrap/>
            <w:vAlign w:val="bottom"/>
            <w:hideMark/>
          </w:tcPr>
          <w:p w14:paraId="272D2E80" w14:textId="59BF75B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277</w:t>
            </w:r>
          </w:p>
        </w:tc>
        <w:tc>
          <w:tcPr>
            <w:tcW w:w="628" w:type="pct"/>
            <w:tcBorders>
              <w:top w:val="nil"/>
              <w:left w:val="nil"/>
              <w:bottom w:val="single" w:sz="4" w:space="0" w:color="auto"/>
              <w:right w:val="single" w:sz="4" w:space="0" w:color="auto"/>
            </w:tcBorders>
            <w:shd w:val="clear" w:color="000000" w:fill="FFFFFF"/>
            <w:noWrap/>
            <w:vAlign w:val="bottom"/>
            <w:hideMark/>
          </w:tcPr>
          <w:p w14:paraId="0B5D9C8D" w14:textId="77B0F0D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331</w:t>
            </w:r>
          </w:p>
        </w:tc>
        <w:tc>
          <w:tcPr>
            <w:tcW w:w="628" w:type="pct"/>
            <w:tcBorders>
              <w:top w:val="nil"/>
              <w:left w:val="nil"/>
              <w:bottom w:val="single" w:sz="4" w:space="0" w:color="auto"/>
              <w:right w:val="single" w:sz="4" w:space="0" w:color="auto"/>
            </w:tcBorders>
            <w:shd w:val="clear" w:color="000000" w:fill="FFFFFF"/>
            <w:noWrap/>
            <w:vAlign w:val="bottom"/>
            <w:hideMark/>
          </w:tcPr>
          <w:p w14:paraId="214B7B9B" w14:textId="05C8CE9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767</w:t>
            </w:r>
          </w:p>
        </w:tc>
      </w:tr>
      <w:tr w:rsidR="001F66FF" w:rsidRPr="00650EE4" w14:paraId="26F523D4"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1F99FD9"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623" w:type="pct"/>
            <w:tcBorders>
              <w:top w:val="nil"/>
              <w:left w:val="nil"/>
              <w:bottom w:val="single" w:sz="4" w:space="0" w:color="auto"/>
              <w:right w:val="single" w:sz="4" w:space="0" w:color="auto"/>
            </w:tcBorders>
            <w:shd w:val="clear" w:color="000000" w:fill="FFFFFF"/>
            <w:noWrap/>
            <w:vAlign w:val="bottom"/>
            <w:hideMark/>
          </w:tcPr>
          <w:p w14:paraId="10764950"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24E730BF" w14:textId="262BBA8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5445C915" w14:textId="7A8F2EE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557</w:t>
            </w:r>
          </w:p>
        </w:tc>
        <w:tc>
          <w:tcPr>
            <w:tcW w:w="628" w:type="pct"/>
            <w:tcBorders>
              <w:top w:val="nil"/>
              <w:left w:val="nil"/>
              <w:bottom w:val="single" w:sz="4" w:space="0" w:color="auto"/>
              <w:right w:val="single" w:sz="4" w:space="0" w:color="auto"/>
            </w:tcBorders>
            <w:shd w:val="clear" w:color="000000" w:fill="FFFFFF"/>
            <w:noWrap/>
            <w:vAlign w:val="bottom"/>
            <w:hideMark/>
          </w:tcPr>
          <w:p w14:paraId="143FFF3A" w14:textId="518B947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969</w:t>
            </w:r>
          </w:p>
        </w:tc>
        <w:tc>
          <w:tcPr>
            <w:tcW w:w="628" w:type="pct"/>
            <w:tcBorders>
              <w:top w:val="nil"/>
              <w:left w:val="nil"/>
              <w:bottom w:val="single" w:sz="4" w:space="0" w:color="auto"/>
              <w:right w:val="single" w:sz="4" w:space="0" w:color="auto"/>
            </w:tcBorders>
            <w:shd w:val="clear" w:color="000000" w:fill="FFFFFF"/>
            <w:noWrap/>
            <w:vAlign w:val="bottom"/>
            <w:hideMark/>
          </w:tcPr>
          <w:p w14:paraId="762F0A51" w14:textId="5734187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160</w:t>
            </w:r>
          </w:p>
        </w:tc>
        <w:tc>
          <w:tcPr>
            <w:tcW w:w="628" w:type="pct"/>
            <w:tcBorders>
              <w:top w:val="nil"/>
              <w:left w:val="nil"/>
              <w:bottom w:val="single" w:sz="4" w:space="0" w:color="auto"/>
              <w:right w:val="single" w:sz="4" w:space="0" w:color="auto"/>
            </w:tcBorders>
            <w:shd w:val="clear" w:color="000000" w:fill="FFFFFF"/>
            <w:noWrap/>
            <w:vAlign w:val="bottom"/>
            <w:hideMark/>
          </w:tcPr>
          <w:p w14:paraId="05ABB2C0" w14:textId="049C27A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685</w:t>
            </w:r>
          </w:p>
        </w:tc>
      </w:tr>
      <w:tr w:rsidR="001F66FF" w:rsidRPr="00650EE4" w14:paraId="4F4C5A7C"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256C38B6"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623" w:type="pct"/>
            <w:tcBorders>
              <w:top w:val="nil"/>
              <w:left w:val="nil"/>
              <w:bottom w:val="single" w:sz="4" w:space="0" w:color="auto"/>
              <w:right w:val="single" w:sz="4" w:space="0" w:color="auto"/>
            </w:tcBorders>
            <w:shd w:val="clear" w:color="000000" w:fill="FFFFFF"/>
            <w:noWrap/>
            <w:vAlign w:val="bottom"/>
            <w:hideMark/>
          </w:tcPr>
          <w:p w14:paraId="43C8568A"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77ACBD5A" w14:textId="0CA0006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8E92201" w14:textId="1FD8FE3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207</w:t>
            </w:r>
          </w:p>
        </w:tc>
        <w:tc>
          <w:tcPr>
            <w:tcW w:w="628" w:type="pct"/>
            <w:tcBorders>
              <w:top w:val="nil"/>
              <w:left w:val="nil"/>
              <w:bottom w:val="single" w:sz="4" w:space="0" w:color="auto"/>
              <w:right w:val="single" w:sz="4" w:space="0" w:color="auto"/>
            </w:tcBorders>
            <w:shd w:val="clear" w:color="000000" w:fill="FFFFFF"/>
            <w:noWrap/>
            <w:vAlign w:val="bottom"/>
            <w:hideMark/>
          </w:tcPr>
          <w:p w14:paraId="62CA4106" w14:textId="2448470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361</w:t>
            </w:r>
          </w:p>
        </w:tc>
        <w:tc>
          <w:tcPr>
            <w:tcW w:w="628" w:type="pct"/>
            <w:tcBorders>
              <w:top w:val="nil"/>
              <w:left w:val="nil"/>
              <w:bottom w:val="single" w:sz="4" w:space="0" w:color="auto"/>
              <w:right w:val="single" w:sz="4" w:space="0" w:color="auto"/>
            </w:tcBorders>
            <w:shd w:val="clear" w:color="000000" w:fill="FFFFFF"/>
            <w:noWrap/>
            <w:vAlign w:val="bottom"/>
            <w:hideMark/>
          </w:tcPr>
          <w:p w14:paraId="042D7A05" w14:textId="6F71B4F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432</w:t>
            </w:r>
          </w:p>
        </w:tc>
        <w:tc>
          <w:tcPr>
            <w:tcW w:w="628" w:type="pct"/>
            <w:tcBorders>
              <w:top w:val="nil"/>
              <w:left w:val="nil"/>
              <w:bottom w:val="single" w:sz="4" w:space="0" w:color="auto"/>
              <w:right w:val="single" w:sz="4" w:space="0" w:color="auto"/>
            </w:tcBorders>
            <w:shd w:val="clear" w:color="000000" w:fill="FFFFFF"/>
            <w:noWrap/>
            <w:vAlign w:val="bottom"/>
            <w:hideMark/>
          </w:tcPr>
          <w:p w14:paraId="5FAEC870" w14:textId="433B804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000</w:t>
            </w:r>
          </w:p>
        </w:tc>
      </w:tr>
      <w:tr w:rsidR="001F66FF" w:rsidRPr="00650EE4" w14:paraId="33277E02"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F38332B"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623" w:type="pct"/>
            <w:tcBorders>
              <w:top w:val="nil"/>
              <w:left w:val="nil"/>
              <w:bottom w:val="single" w:sz="4" w:space="0" w:color="auto"/>
              <w:right w:val="single" w:sz="4" w:space="0" w:color="auto"/>
            </w:tcBorders>
            <w:shd w:val="clear" w:color="000000" w:fill="FFFFFF"/>
            <w:noWrap/>
            <w:vAlign w:val="bottom"/>
            <w:hideMark/>
          </w:tcPr>
          <w:p w14:paraId="6A0FD694"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7CA7E36C" w14:textId="479C3EB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FCCA982" w14:textId="22F3A8B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c>
          <w:tcPr>
            <w:tcW w:w="628" w:type="pct"/>
            <w:tcBorders>
              <w:top w:val="nil"/>
              <w:left w:val="nil"/>
              <w:bottom w:val="single" w:sz="4" w:space="0" w:color="auto"/>
              <w:right w:val="single" w:sz="4" w:space="0" w:color="auto"/>
            </w:tcBorders>
            <w:shd w:val="clear" w:color="000000" w:fill="FFFFFF"/>
            <w:noWrap/>
            <w:vAlign w:val="bottom"/>
            <w:hideMark/>
          </w:tcPr>
          <w:p w14:paraId="798FC30E" w14:textId="0D5BC1F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84</w:t>
            </w:r>
          </w:p>
        </w:tc>
        <w:tc>
          <w:tcPr>
            <w:tcW w:w="628" w:type="pct"/>
            <w:tcBorders>
              <w:top w:val="nil"/>
              <w:left w:val="nil"/>
              <w:bottom w:val="single" w:sz="4" w:space="0" w:color="auto"/>
              <w:right w:val="single" w:sz="4" w:space="0" w:color="auto"/>
            </w:tcBorders>
            <w:shd w:val="clear" w:color="000000" w:fill="FFFFFF"/>
            <w:noWrap/>
            <w:vAlign w:val="bottom"/>
            <w:hideMark/>
          </w:tcPr>
          <w:p w14:paraId="1B3AE055" w14:textId="6F7D8C1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628" w:type="pct"/>
            <w:tcBorders>
              <w:top w:val="nil"/>
              <w:left w:val="nil"/>
              <w:bottom w:val="single" w:sz="4" w:space="0" w:color="auto"/>
              <w:right w:val="single" w:sz="4" w:space="0" w:color="auto"/>
            </w:tcBorders>
            <w:shd w:val="clear" w:color="000000" w:fill="FFFFFF"/>
            <w:noWrap/>
            <w:vAlign w:val="bottom"/>
            <w:hideMark/>
          </w:tcPr>
          <w:p w14:paraId="3CBCD440" w14:textId="7FFC023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233</w:t>
            </w:r>
          </w:p>
        </w:tc>
      </w:tr>
      <w:tr w:rsidR="001F66FF" w:rsidRPr="00650EE4" w14:paraId="35D4A1D5"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D19D5A4"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623" w:type="pct"/>
            <w:tcBorders>
              <w:top w:val="nil"/>
              <w:left w:val="nil"/>
              <w:bottom w:val="single" w:sz="4" w:space="0" w:color="auto"/>
              <w:right w:val="single" w:sz="4" w:space="0" w:color="auto"/>
            </w:tcBorders>
            <w:shd w:val="clear" w:color="000000" w:fill="FFFFFF"/>
            <w:noWrap/>
            <w:vAlign w:val="bottom"/>
            <w:hideMark/>
          </w:tcPr>
          <w:p w14:paraId="3325AFEC"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47DAC52E" w14:textId="1E4BF7C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2ECB4463" w14:textId="0EABFC9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628" w:type="pct"/>
            <w:tcBorders>
              <w:top w:val="nil"/>
              <w:left w:val="nil"/>
              <w:bottom w:val="single" w:sz="4" w:space="0" w:color="auto"/>
              <w:right w:val="single" w:sz="4" w:space="0" w:color="auto"/>
            </w:tcBorders>
            <w:shd w:val="clear" w:color="000000" w:fill="FFFFFF"/>
            <w:noWrap/>
            <w:vAlign w:val="bottom"/>
            <w:hideMark/>
          </w:tcPr>
          <w:p w14:paraId="470B592A" w14:textId="220F654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71</w:t>
            </w:r>
          </w:p>
        </w:tc>
        <w:tc>
          <w:tcPr>
            <w:tcW w:w="628" w:type="pct"/>
            <w:tcBorders>
              <w:top w:val="nil"/>
              <w:left w:val="nil"/>
              <w:bottom w:val="single" w:sz="4" w:space="0" w:color="auto"/>
              <w:right w:val="single" w:sz="4" w:space="0" w:color="auto"/>
            </w:tcBorders>
            <w:shd w:val="clear" w:color="000000" w:fill="FFFFFF"/>
            <w:noWrap/>
            <w:vAlign w:val="bottom"/>
            <w:hideMark/>
          </w:tcPr>
          <w:p w14:paraId="196879E0" w14:textId="0DDC022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628" w:type="pct"/>
            <w:tcBorders>
              <w:top w:val="nil"/>
              <w:left w:val="nil"/>
              <w:bottom w:val="single" w:sz="4" w:space="0" w:color="auto"/>
              <w:right w:val="single" w:sz="4" w:space="0" w:color="auto"/>
            </w:tcBorders>
            <w:shd w:val="clear" w:color="000000" w:fill="FFFFFF"/>
            <w:noWrap/>
            <w:vAlign w:val="bottom"/>
            <w:hideMark/>
          </w:tcPr>
          <w:p w14:paraId="58184324" w14:textId="59BF069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198</w:t>
            </w:r>
          </w:p>
        </w:tc>
      </w:tr>
      <w:tr w:rsidR="001F66FF" w:rsidRPr="00650EE4" w14:paraId="3FCEBA39" w14:textId="77777777" w:rsidTr="001F66FF">
        <w:trPr>
          <w:trHeight w:val="67"/>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951357B"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623" w:type="pct"/>
            <w:tcBorders>
              <w:top w:val="nil"/>
              <w:left w:val="nil"/>
              <w:bottom w:val="single" w:sz="4" w:space="0" w:color="auto"/>
              <w:right w:val="single" w:sz="4" w:space="0" w:color="auto"/>
            </w:tcBorders>
            <w:shd w:val="clear" w:color="000000" w:fill="FFFFFF"/>
            <w:noWrap/>
            <w:vAlign w:val="bottom"/>
            <w:hideMark/>
          </w:tcPr>
          <w:p w14:paraId="7B7D85FF"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198A916F" w14:textId="551D83E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73FA044C" w14:textId="6D85B4F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w:t>
            </w:r>
          </w:p>
        </w:tc>
        <w:tc>
          <w:tcPr>
            <w:tcW w:w="628" w:type="pct"/>
            <w:tcBorders>
              <w:top w:val="nil"/>
              <w:left w:val="nil"/>
              <w:bottom w:val="single" w:sz="4" w:space="0" w:color="auto"/>
              <w:right w:val="single" w:sz="4" w:space="0" w:color="auto"/>
            </w:tcBorders>
            <w:shd w:val="clear" w:color="000000" w:fill="FFFFFF"/>
            <w:noWrap/>
            <w:vAlign w:val="bottom"/>
            <w:hideMark/>
          </w:tcPr>
          <w:p w14:paraId="5983C18F" w14:textId="4267C65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107</w:t>
            </w:r>
          </w:p>
        </w:tc>
        <w:tc>
          <w:tcPr>
            <w:tcW w:w="628" w:type="pct"/>
            <w:tcBorders>
              <w:top w:val="nil"/>
              <w:left w:val="nil"/>
              <w:bottom w:val="single" w:sz="4" w:space="0" w:color="auto"/>
              <w:right w:val="single" w:sz="4" w:space="0" w:color="auto"/>
            </w:tcBorders>
            <w:shd w:val="clear" w:color="000000" w:fill="FFFFFF"/>
            <w:noWrap/>
            <w:vAlign w:val="bottom"/>
            <w:hideMark/>
          </w:tcPr>
          <w:p w14:paraId="2EA55ECC" w14:textId="1F25B22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128</w:t>
            </w:r>
          </w:p>
        </w:tc>
        <w:tc>
          <w:tcPr>
            <w:tcW w:w="628" w:type="pct"/>
            <w:tcBorders>
              <w:top w:val="nil"/>
              <w:left w:val="nil"/>
              <w:bottom w:val="single" w:sz="4" w:space="0" w:color="auto"/>
              <w:right w:val="single" w:sz="4" w:space="0" w:color="auto"/>
            </w:tcBorders>
            <w:shd w:val="clear" w:color="000000" w:fill="FFFFFF"/>
            <w:noWrap/>
            <w:vAlign w:val="bottom"/>
            <w:hideMark/>
          </w:tcPr>
          <w:p w14:paraId="19327567" w14:textId="2E93D77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297</w:t>
            </w:r>
          </w:p>
        </w:tc>
      </w:tr>
      <w:tr w:rsidR="001F66FF" w:rsidRPr="00650EE4" w14:paraId="31B91BDE"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8CAF352"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623" w:type="pct"/>
            <w:tcBorders>
              <w:top w:val="nil"/>
              <w:left w:val="nil"/>
              <w:bottom w:val="single" w:sz="4" w:space="0" w:color="auto"/>
              <w:right w:val="single" w:sz="4" w:space="0" w:color="auto"/>
            </w:tcBorders>
            <w:shd w:val="clear" w:color="000000" w:fill="FFFFFF"/>
            <w:noWrap/>
            <w:vAlign w:val="bottom"/>
            <w:hideMark/>
          </w:tcPr>
          <w:p w14:paraId="1CE59018"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2DD5B393" w14:textId="421E2B3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7A56D37C" w14:textId="6D65ADD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824</w:t>
            </w:r>
          </w:p>
        </w:tc>
        <w:tc>
          <w:tcPr>
            <w:tcW w:w="628" w:type="pct"/>
            <w:tcBorders>
              <w:top w:val="nil"/>
              <w:left w:val="nil"/>
              <w:bottom w:val="single" w:sz="4" w:space="0" w:color="auto"/>
              <w:right w:val="single" w:sz="4" w:space="0" w:color="auto"/>
            </w:tcBorders>
            <w:shd w:val="clear" w:color="000000" w:fill="FFFFFF"/>
            <w:noWrap/>
            <w:vAlign w:val="bottom"/>
            <w:hideMark/>
          </w:tcPr>
          <w:p w14:paraId="6FFC2804" w14:textId="75A962D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434</w:t>
            </w:r>
          </w:p>
        </w:tc>
        <w:tc>
          <w:tcPr>
            <w:tcW w:w="628" w:type="pct"/>
            <w:tcBorders>
              <w:top w:val="nil"/>
              <w:left w:val="nil"/>
              <w:bottom w:val="single" w:sz="4" w:space="0" w:color="auto"/>
              <w:right w:val="single" w:sz="4" w:space="0" w:color="auto"/>
            </w:tcBorders>
            <w:shd w:val="clear" w:color="000000" w:fill="FFFFFF"/>
            <w:noWrap/>
            <w:vAlign w:val="bottom"/>
            <w:hideMark/>
          </w:tcPr>
          <w:p w14:paraId="379817EA" w14:textId="7E41CF0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718</w:t>
            </w:r>
          </w:p>
        </w:tc>
        <w:tc>
          <w:tcPr>
            <w:tcW w:w="628" w:type="pct"/>
            <w:tcBorders>
              <w:top w:val="nil"/>
              <w:left w:val="nil"/>
              <w:bottom w:val="single" w:sz="4" w:space="0" w:color="auto"/>
              <w:right w:val="single" w:sz="4" w:space="0" w:color="auto"/>
            </w:tcBorders>
            <w:shd w:val="clear" w:color="000000" w:fill="FFFFFF"/>
            <w:noWrap/>
            <w:vAlign w:val="bottom"/>
            <w:hideMark/>
          </w:tcPr>
          <w:p w14:paraId="60DA4C97" w14:textId="5CB5375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976</w:t>
            </w:r>
          </w:p>
        </w:tc>
      </w:tr>
      <w:tr w:rsidR="001F66FF" w:rsidRPr="00650EE4" w14:paraId="6189EA29"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256ED36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623" w:type="pct"/>
            <w:tcBorders>
              <w:top w:val="nil"/>
              <w:left w:val="nil"/>
              <w:bottom w:val="single" w:sz="4" w:space="0" w:color="auto"/>
              <w:right w:val="single" w:sz="4" w:space="0" w:color="auto"/>
            </w:tcBorders>
            <w:shd w:val="clear" w:color="000000" w:fill="FFFFFF"/>
            <w:noWrap/>
            <w:vAlign w:val="bottom"/>
            <w:hideMark/>
          </w:tcPr>
          <w:p w14:paraId="27B15317"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58CD5B11" w14:textId="0CDCAC2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592B807A" w14:textId="6772A1D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43</w:t>
            </w:r>
          </w:p>
        </w:tc>
        <w:tc>
          <w:tcPr>
            <w:tcW w:w="628" w:type="pct"/>
            <w:tcBorders>
              <w:top w:val="nil"/>
              <w:left w:val="nil"/>
              <w:bottom w:val="single" w:sz="4" w:space="0" w:color="auto"/>
              <w:right w:val="single" w:sz="4" w:space="0" w:color="auto"/>
            </w:tcBorders>
            <w:shd w:val="clear" w:color="000000" w:fill="FFFFFF"/>
            <w:noWrap/>
            <w:vAlign w:val="bottom"/>
            <w:hideMark/>
          </w:tcPr>
          <w:p w14:paraId="74ECB856" w14:textId="1A00DE2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74</w:t>
            </w:r>
          </w:p>
        </w:tc>
        <w:tc>
          <w:tcPr>
            <w:tcW w:w="628" w:type="pct"/>
            <w:tcBorders>
              <w:top w:val="nil"/>
              <w:left w:val="nil"/>
              <w:bottom w:val="single" w:sz="4" w:space="0" w:color="auto"/>
              <w:right w:val="single" w:sz="4" w:space="0" w:color="auto"/>
            </w:tcBorders>
            <w:shd w:val="clear" w:color="000000" w:fill="FFFFFF"/>
            <w:noWrap/>
            <w:vAlign w:val="bottom"/>
            <w:hideMark/>
          </w:tcPr>
          <w:p w14:paraId="3868AA49" w14:textId="7FC882A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89</w:t>
            </w:r>
          </w:p>
        </w:tc>
        <w:tc>
          <w:tcPr>
            <w:tcW w:w="628" w:type="pct"/>
            <w:tcBorders>
              <w:top w:val="nil"/>
              <w:left w:val="nil"/>
              <w:bottom w:val="single" w:sz="4" w:space="0" w:color="auto"/>
              <w:right w:val="single" w:sz="4" w:space="0" w:color="auto"/>
            </w:tcBorders>
            <w:shd w:val="clear" w:color="000000" w:fill="FFFFFF"/>
            <w:noWrap/>
            <w:vAlign w:val="bottom"/>
            <w:hideMark/>
          </w:tcPr>
          <w:p w14:paraId="225993DB" w14:textId="13D5740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206</w:t>
            </w:r>
          </w:p>
        </w:tc>
      </w:tr>
      <w:tr w:rsidR="001F66FF" w:rsidRPr="00650EE4" w14:paraId="5CE0A36B"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2E90A2E"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623" w:type="pct"/>
            <w:tcBorders>
              <w:top w:val="nil"/>
              <w:left w:val="nil"/>
              <w:bottom w:val="single" w:sz="4" w:space="0" w:color="auto"/>
              <w:right w:val="single" w:sz="4" w:space="0" w:color="auto"/>
            </w:tcBorders>
            <w:shd w:val="clear" w:color="000000" w:fill="FFFFFF"/>
            <w:noWrap/>
            <w:vAlign w:val="bottom"/>
            <w:hideMark/>
          </w:tcPr>
          <w:p w14:paraId="41382DAD"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233D0AB6" w14:textId="1E21854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77D0AFD2" w14:textId="1372DAD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628" w:type="pct"/>
            <w:tcBorders>
              <w:top w:val="nil"/>
              <w:left w:val="nil"/>
              <w:bottom w:val="single" w:sz="4" w:space="0" w:color="auto"/>
              <w:right w:val="single" w:sz="4" w:space="0" w:color="auto"/>
            </w:tcBorders>
            <w:shd w:val="clear" w:color="000000" w:fill="FFFFFF"/>
            <w:noWrap/>
            <w:vAlign w:val="bottom"/>
            <w:hideMark/>
          </w:tcPr>
          <w:p w14:paraId="1BF604FA" w14:textId="077F739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628" w:type="pct"/>
            <w:tcBorders>
              <w:top w:val="nil"/>
              <w:left w:val="nil"/>
              <w:bottom w:val="single" w:sz="4" w:space="0" w:color="auto"/>
              <w:right w:val="single" w:sz="4" w:space="0" w:color="auto"/>
            </w:tcBorders>
            <w:shd w:val="clear" w:color="000000" w:fill="FFFFFF"/>
            <w:noWrap/>
            <w:vAlign w:val="bottom"/>
            <w:hideMark/>
          </w:tcPr>
          <w:p w14:paraId="48299DB2" w14:textId="7B87F2C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76</w:t>
            </w:r>
          </w:p>
        </w:tc>
        <w:tc>
          <w:tcPr>
            <w:tcW w:w="628" w:type="pct"/>
            <w:tcBorders>
              <w:top w:val="nil"/>
              <w:left w:val="nil"/>
              <w:bottom w:val="single" w:sz="4" w:space="0" w:color="auto"/>
              <w:right w:val="single" w:sz="4" w:space="0" w:color="auto"/>
            </w:tcBorders>
            <w:shd w:val="clear" w:color="000000" w:fill="FFFFFF"/>
            <w:noWrap/>
            <w:vAlign w:val="bottom"/>
            <w:hideMark/>
          </w:tcPr>
          <w:p w14:paraId="7F939C50" w14:textId="1F3DCB1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175</w:t>
            </w:r>
          </w:p>
        </w:tc>
      </w:tr>
      <w:tr w:rsidR="001F66FF" w:rsidRPr="00650EE4" w14:paraId="5B457D08" w14:textId="77777777" w:rsidTr="001F66FF">
        <w:trPr>
          <w:trHeight w:val="99"/>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0EA318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623" w:type="pct"/>
            <w:tcBorders>
              <w:top w:val="nil"/>
              <w:left w:val="nil"/>
              <w:bottom w:val="single" w:sz="4" w:space="0" w:color="auto"/>
              <w:right w:val="single" w:sz="4" w:space="0" w:color="auto"/>
            </w:tcBorders>
            <w:shd w:val="clear" w:color="000000" w:fill="FFFFFF"/>
            <w:noWrap/>
            <w:vAlign w:val="bottom"/>
            <w:hideMark/>
          </w:tcPr>
          <w:p w14:paraId="237B43AA"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4ADFA401" w14:textId="6A6B3BE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0A38CA4" w14:textId="6E21B65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628" w:type="pct"/>
            <w:tcBorders>
              <w:top w:val="nil"/>
              <w:left w:val="nil"/>
              <w:bottom w:val="single" w:sz="4" w:space="0" w:color="auto"/>
              <w:right w:val="single" w:sz="4" w:space="0" w:color="auto"/>
            </w:tcBorders>
            <w:shd w:val="clear" w:color="000000" w:fill="FFFFFF"/>
            <w:noWrap/>
            <w:vAlign w:val="bottom"/>
            <w:hideMark/>
          </w:tcPr>
          <w:p w14:paraId="1D570DA0" w14:textId="0C8CE75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176</w:t>
            </w:r>
          </w:p>
        </w:tc>
        <w:tc>
          <w:tcPr>
            <w:tcW w:w="628" w:type="pct"/>
            <w:tcBorders>
              <w:top w:val="nil"/>
              <w:left w:val="nil"/>
              <w:bottom w:val="single" w:sz="4" w:space="0" w:color="auto"/>
              <w:right w:val="single" w:sz="4" w:space="0" w:color="auto"/>
            </w:tcBorders>
            <w:shd w:val="clear" w:color="000000" w:fill="FFFFFF"/>
            <w:noWrap/>
            <w:vAlign w:val="bottom"/>
            <w:hideMark/>
          </w:tcPr>
          <w:p w14:paraId="2FB286BF" w14:textId="2D20936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211</w:t>
            </w:r>
          </w:p>
        </w:tc>
        <w:tc>
          <w:tcPr>
            <w:tcW w:w="628" w:type="pct"/>
            <w:tcBorders>
              <w:top w:val="nil"/>
              <w:left w:val="nil"/>
              <w:bottom w:val="single" w:sz="4" w:space="0" w:color="auto"/>
              <w:right w:val="single" w:sz="4" w:space="0" w:color="auto"/>
            </w:tcBorders>
            <w:shd w:val="clear" w:color="000000" w:fill="FFFFFF"/>
            <w:noWrap/>
            <w:vAlign w:val="bottom"/>
            <w:hideMark/>
          </w:tcPr>
          <w:p w14:paraId="6EE827A3" w14:textId="4E48116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489</w:t>
            </w:r>
          </w:p>
        </w:tc>
      </w:tr>
      <w:tr w:rsidR="001F66FF" w:rsidRPr="00650EE4" w14:paraId="1C82A726" w14:textId="77777777" w:rsidTr="001F66FF">
        <w:trPr>
          <w:trHeight w:val="61"/>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3DA71D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623" w:type="pct"/>
            <w:tcBorders>
              <w:top w:val="nil"/>
              <w:left w:val="nil"/>
              <w:bottom w:val="single" w:sz="4" w:space="0" w:color="auto"/>
              <w:right w:val="single" w:sz="4" w:space="0" w:color="auto"/>
            </w:tcBorders>
            <w:shd w:val="clear" w:color="000000" w:fill="FFFFFF"/>
            <w:noWrap/>
            <w:vAlign w:val="bottom"/>
            <w:hideMark/>
          </w:tcPr>
          <w:p w14:paraId="3E4E78C9"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637C8086" w14:textId="16F8BA7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A5B75CA" w14:textId="4B78D19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c>
          <w:tcPr>
            <w:tcW w:w="628" w:type="pct"/>
            <w:tcBorders>
              <w:top w:val="nil"/>
              <w:left w:val="nil"/>
              <w:bottom w:val="single" w:sz="4" w:space="0" w:color="auto"/>
              <w:right w:val="single" w:sz="4" w:space="0" w:color="auto"/>
            </w:tcBorders>
            <w:shd w:val="clear" w:color="000000" w:fill="FFFFFF"/>
            <w:noWrap/>
            <w:vAlign w:val="bottom"/>
            <w:hideMark/>
          </w:tcPr>
          <w:p w14:paraId="61C28971" w14:textId="4ACF88D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86</w:t>
            </w:r>
          </w:p>
        </w:tc>
        <w:tc>
          <w:tcPr>
            <w:tcW w:w="628" w:type="pct"/>
            <w:tcBorders>
              <w:top w:val="nil"/>
              <w:left w:val="nil"/>
              <w:bottom w:val="single" w:sz="4" w:space="0" w:color="auto"/>
              <w:right w:val="single" w:sz="4" w:space="0" w:color="auto"/>
            </w:tcBorders>
            <w:shd w:val="clear" w:color="000000" w:fill="FFFFFF"/>
            <w:noWrap/>
            <w:vAlign w:val="bottom"/>
            <w:hideMark/>
          </w:tcPr>
          <w:p w14:paraId="7F1FA3B1" w14:textId="7689C58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104</w:t>
            </w:r>
          </w:p>
        </w:tc>
        <w:tc>
          <w:tcPr>
            <w:tcW w:w="628" w:type="pct"/>
            <w:tcBorders>
              <w:top w:val="nil"/>
              <w:left w:val="nil"/>
              <w:bottom w:val="single" w:sz="4" w:space="0" w:color="auto"/>
              <w:right w:val="single" w:sz="4" w:space="0" w:color="auto"/>
            </w:tcBorders>
            <w:shd w:val="clear" w:color="000000" w:fill="FFFFFF"/>
            <w:noWrap/>
            <w:vAlign w:val="bottom"/>
            <w:hideMark/>
          </w:tcPr>
          <w:p w14:paraId="7BD7AFDD" w14:textId="0A41BB4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240</w:t>
            </w:r>
          </w:p>
        </w:tc>
      </w:tr>
      <w:tr w:rsidR="001F66FF" w:rsidRPr="00650EE4" w14:paraId="226EA8DD"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B532C01" w14:textId="77777777" w:rsidR="0024319A" w:rsidRPr="00650EE4" w:rsidRDefault="0024319A" w:rsidP="0024319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623" w:type="pct"/>
            <w:tcBorders>
              <w:top w:val="nil"/>
              <w:left w:val="nil"/>
              <w:bottom w:val="single" w:sz="4" w:space="0" w:color="auto"/>
              <w:right w:val="single" w:sz="4" w:space="0" w:color="auto"/>
            </w:tcBorders>
            <w:shd w:val="clear" w:color="000000" w:fill="FFFFFF"/>
            <w:noWrap/>
            <w:vAlign w:val="bottom"/>
            <w:hideMark/>
          </w:tcPr>
          <w:p w14:paraId="20CBFBFB" w14:textId="77777777" w:rsidR="0024319A" w:rsidRPr="00650EE4" w:rsidRDefault="0024319A" w:rsidP="0024319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894" w:type="pct"/>
            <w:tcBorders>
              <w:top w:val="nil"/>
              <w:left w:val="nil"/>
              <w:bottom w:val="single" w:sz="4" w:space="0" w:color="auto"/>
              <w:right w:val="single" w:sz="4" w:space="0" w:color="auto"/>
            </w:tcBorders>
            <w:shd w:val="clear" w:color="000000" w:fill="FFFFFF"/>
            <w:noWrap/>
            <w:vAlign w:val="bottom"/>
            <w:hideMark/>
          </w:tcPr>
          <w:p w14:paraId="4C8E88F3" w14:textId="2460381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1328B808" w14:textId="37D894E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589</w:t>
            </w:r>
          </w:p>
        </w:tc>
        <w:tc>
          <w:tcPr>
            <w:tcW w:w="628" w:type="pct"/>
            <w:tcBorders>
              <w:top w:val="nil"/>
              <w:left w:val="nil"/>
              <w:bottom w:val="single" w:sz="4" w:space="0" w:color="auto"/>
              <w:right w:val="single" w:sz="4" w:space="0" w:color="auto"/>
            </w:tcBorders>
            <w:shd w:val="clear" w:color="000000" w:fill="FFFFFF"/>
            <w:noWrap/>
            <w:vAlign w:val="bottom"/>
            <w:hideMark/>
          </w:tcPr>
          <w:p w14:paraId="1C28D803" w14:textId="6B124B1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467</w:t>
            </w:r>
          </w:p>
        </w:tc>
        <w:tc>
          <w:tcPr>
            <w:tcW w:w="628" w:type="pct"/>
            <w:tcBorders>
              <w:top w:val="nil"/>
              <w:left w:val="nil"/>
              <w:bottom w:val="single" w:sz="4" w:space="0" w:color="auto"/>
              <w:right w:val="single" w:sz="4" w:space="0" w:color="auto"/>
            </w:tcBorders>
            <w:shd w:val="clear" w:color="000000" w:fill="FFFFFF"/>
            <w:noWrap/>
            <w:vAlign w:val="bottom"/>
            <w:hideMark/>
          </w:tcPr>
          <w:p w14:paraId="65F39B0B" w14:textId="1D08863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730</w:t>
            </w:r>
          </w:p>
        </w:tc>
        <w:tc>
          <w:tcPr>
            <w:tcW w:w="628" w:type="pct"/>
            <w:tcBorders>
              <w:top w:val="nil"/>
              <w:left w:val="nil"/>
              <w:bottom w:val="single" w:sz="4" w:space="0" w:color="auto"/>
              <w:right w:val="single" w:sz="4" w:space="0" w:color="auto"/>
            </w:tcBorders>
            <w:shd w:val="clear" w:color="000000" w:fill="FFFFFF"/>
            <w:noWrap/>
            <w:vAlign w:val="bottom"/>
            <w:hideMark/>
          </w:tcPr>
          <w:p w14:paraId="4D8FD86D" w14:textId="1F5BBA58" w:rsidR="0024319A" w:rsidRPr="00650EE4" w:rsidRDefault="0024319A" w:rsidP="0024319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787</w:t>
            </w:r>
          </w:p>
        </w:tc>
      </w:tr>
    </w:tbl>
    <w:p w14:paraId="023C9391" w14:textId="21A01364" w:rsidR="00AD76A7" w:rsidRPr="00650EE4" w:rsidRDefault="00AD76A7" w:rsidP="006E13C0">
      <w:pPr>
        <w:rPr>
          <w:rFonts w:ascii="Times New Roman" w:hAnsi="Times New Roman"/>
          <w:szCs w:val="22"/>
        </w:rPr>
      </w:pPr>
    </w:p>
    <w:p w14:paraId="1514B53A" w14:textId="56793A00" w:rsidR="0024319A" w:rsidRPr="00650EE4" w:rsidRDefault="0024319A" w:rsidP="006E13C0">
      <w:pPr>
        <w:rPr>
          <w:rFonts w:ascii="Times New Roman" w:hAnsi="Times New Roman"/>
          <w:szCs w:val="22"/>
        </w:rPr>
      </w:pPr>
    </w:p>
    <w:p w14:paraId="03B2FA3B" w14:textId="04364FF3" w:rsidR="0024319A" w:rsidRPr="00650EE4" w:rsidRDefault="0024319A" w:rsidP="006E13C0">
      <w:pPr>
        <w:rPr>
          <w:rFonts w:ascii="Times New Roman" w:hAnsi="Times New Roman"/>
          <w:szCs w:val="22"/>
        </w:rPr>
      </w:pPr>
    </w:p>
    <w:p w14:paraId="32A5DEB1" w14:textId="205CF5BC" w:rsidR="0024319A" w:rsidRPr="00650EE4" w:rsidRDefault="0024319A" w:rsidP="006E13C0">
      <w:pPr>
        <w:rPr>
          <w:rFonts w:ascii="Times New Roman" w:hAnsi="Times New Roman"/>
          <w:szCs w:val="22"/>
        </w:rPr>
      </w:pPr>
    </w:p>
    <w:p w14:paraId="139C2B0F" w14:textId="70157818" w:rsidR="000C7BDB" w:rsidRPr="00650EE4" w:rsidRDefault="000C7BDB" w:rsidP="000C7BDB">
      <w:pPr>
        <w:pStyle w:val="TESlentelspavadinimas"/>
        <w:rPr>
          <w:noProof w:val="0"/>
        </w:rPr>
      </w:pPr>
      <w:r w:rsidRPr="00650EE4">
        <w:rPr>
          <w:noProof w:val="0"/>
        </w:rPr>
        <w:lastRenderedPageBreak/>
        <w:t xml:space="preserve">Kitų negyvenamųjų pastatų renovuojamų pastatų </w:t>
      </w:r>
      <w:r w:rsidR="00C73583" w:rsidRPr="00650EE4">
        <w:rPr>
          <w:noProof w:val="0"/>
        </w:rPr>
        <w:t>plotas</w:t>
      </w:r>
      <w:r w:rsidRPr="00650EE4">
        <w:rPr>
          <w:noProof w:val="0"/>
        </w:rPr>
        <w:t xml:space="preserve"> iš viso per laikotarpį</w:t>
      </w:r>
    </w:p>
    <w:tbl>
      <w:tblPr>
        <w:tblW w:w="5000" w:type="pct"/>
        <w:tblLook w:val="04A0" w:firstRow="1" w:lastRow="0" w:firstColumn="1" w:lastColumn="0" w:noHBand="0" w:noVBand="1"/>
      </w:tblPr>
      <w:tblGrid>
        <w:gridCol w:w="2096"/>
        <w:gridCol w:w="1466"/>
        <w:gridCol w:w="1338"/>
        <w:gridCol w:w="1380"/>
        <w:gridCol w:w="1380"/>
        <w:gridCol w:w="1380"/>
        <w:gridCol w:w="1380"/>
      </w:tblGrid>
      <w:tr w:rsidR="000C7BDB" w:rsidRPr="00650EE4" w14:paraId="38C963DB" w14:textId="77777777" w:rsidTr="00BD2F3C">
        <w:trPr>
          <w:trHeight w:val="6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2C9811" w14:textId="77777777" w:rsidR="000C7BDB" w:rsidRPr="00650EE4" w:rsidRDefault="000C7BDB"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ED2B82A"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4F003FE"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6D5EDEF"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815A850"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1E6F1A2"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3D0B555"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C24376" w:rsidRPr="00650EE4" w14:paraId="38727A43"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08AA91"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648446A1"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4196730B" w14:textId="152D9F5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3C83DB2" w14:textId="48D17AC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314</w:t>
            </w:r>
          </w:p>
        </w:tc>
        <w:tc>
          <w:tcPr>
            <w:tcW w:w="0" w:type="auto"/>
            <w:tcBorders>
              <w:top w:val="nil"/>
              <w:left w:val="nil"/>
              <w:bottom w:val="single" w:sz="4" w:space="0" w:color="auto"/>
              <w:right w:val="single" w:sz="4" w:space="0" w:color="auto"/>
            </w:tcBorders>
            <w:shd w:val="clear" w:color="000000" w:fill="FFFFFF"/>
            <w:noWrap/>
            <w:vAlign w:val="bottom"/>
            <w:hideMark/>
          </w:tcPr>
          <w:p w14:paraId="73F3A130" w14:textId="4A2F4DB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547</w:t>
            </w:r>
          </w:p>
        </w:tc>
        <w:tc>
          <w:tcPr>
            <w:tcW w:w="0" w:type="auto"/>
            <w:tcBorders>
              <w:top w:val="nil"/>
              <w:left w:val="nil"/>
              <w:bottom w:val="single" w:sz="4" w:space="0" w:color="auto"/>
              <w:right w:val="single" w:sz="4" w:space="0" w:color="auto"/>
            </w:tcBorders>
            <w:shd w:val="clear" w:color="000000" w:fill="FFFFFF"/>
            <w:noWrap/>
            <w:vAlign w:val="bottom"/>
            <w:hideMark/>
          </w:tcPr>
          <w:p w14:paraId="647BB23C" w14:textId="23098FE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654</w:t>
            </w:r>
          </w:p>
        </w:tc>
        <w:tc>
          <w:tcPr>
            <w:tcW w:w="0" w:type="auto"/>
            <w:tcBorders>
              <w:top w:val="nil"/>
              <w:left w:val="nil"/>
              <w:bottom w:val="single" w:sz="4" w:space="0" w:color="auto"/>
              <w:right w:val="single" w:sz="4" w:space="0" w:color="auto"/>
            </w:tcBorders>
            <w:shd w:val="clear" w:color="000000" w:fill="FFFFFF"/>
            <w:noWrap/>
            <w:vAlign w:val="bottom"/>
            <w:hideMark/>
          </w:tcPr>
          <w:p w14:paraId="7871951D" w14:textId="4BF3268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515</w:t>
            </w:r>
          </w:p>
        </w:tc>
      </w:tr>
      <w:tr w:rsidR="00C24376" w:rsidRPr="00650EE4" w14:paraId="7B252E88" w14:textId="77777777" w:rsidTr="00BD2F3C">
        <w:trPr>
          <w:trHeight w:val="1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C93894"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348C503F"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05EF497F" w14:textId="07232D8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7E340FD" w14:textId="57A765A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211</w:t>
            </w:r>
          </w:p>
        </w:tc>
        <w:tc>
          <w:tcPr>
            <w:tcW w:w="0" w:type="auto"/>
            <w:tcBorders>
              <w:top w:val="nil"/>
              <w:left w:val="nil"/>
              <w:bottom w:val="single" w:sz="4" w:space="0" w:color="auto"/>
              <w:right w:val="single" w:sz="4" w:space="0" w:color="auto"/>
            </w:tcBorders>
            <w:shd w:val="clear" w:color="000000" w:fill="FFFFFF"/>
            <w:noWrap/>
            <w:vAlign w:val="bottom"/>
            <w:hideMark/>
          </w:tcPr>
          <w:p w14:paraId="7440F80F" w14:textId="43B61A1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7B794298" w14:textId="4A19329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524</w:t>
            </w:r>
          </w:p>
        </w:tc>
        <w:tc>
          <w:tcPr>
            <w:tcW w:w="0" w:type="auto"/>
            <w:tcBorders>
              <w:top w:val="nil"/>
              <w:left w:val="nil"/>
              <w:bottom w:val="single" w:sz="4" w:space="0" w:color="auto"/>
              <w:right w:val="single" w:sz="4" w:space="0" w:color="auto"/>
            </w:tcBorders>
            <w:shd w:val="clear" w:color="000000" w:fill="FFFFFF"/>
            <w:noWrap/>
            <w:vAlign w:val="bottom"/>
            <w:hideMark/>
          </w:tcPr>
          <w:p w14:paraId="75FCB7D4" w14:textId="3C13419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843</w:t>
            </w:r>
          </w:p>
        </w:tc>
      </w:tr>
      <w:tr w:rsidR="00C24376" w:rsidRPr="00650EE4" w14:paraId="3A9FFC6F" w14:textId="77777777" w:rsidTr="00BD2F3C">
        <w:trPr>
          <w:trHeight w:val="10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C77149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5F5E9297"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4A2A969A" w14:textId="19C36FF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EE0736D" w14:textId="1F88762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3B90280" w14:textId="63D9EE8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53</w:t>
            </w:r>
          </w:p>
        </w:tc>
        <w:tc>
          <w:tcPr>
            <w:tcW w:w="0" w:type="auto"/>
            <w:tcBorders>
              <w:top w:val="nil"/>
              <w:left w:val="nil"/>
              <w:bottom w:val="single" w:sz="4" w:space="0" w:color="auto"/>
              <w:right w:val="single" w:sz="4" w:space="0" w:color="auto"/>
            </w:tcBorders>
            <w:shd w:val="clear" w:color="000000" w:fill="FFFFFF"/>
            <w:noWrap/>
            <w:vAlign w:val="bottom"/>
            <w:hideMark/>
          </w:tcPr>
          <w:p w14:paraId="4BA1C38A" w14:textId="6AE6757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17D75336" w14:textId="4B8B713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146</w:t>
            </w:r>
          </w:p>
        </w:tc>
      </w:tr>
      <w:tr w:rsidR="00C24376" w:rsidRPr="00650EE4" w14:paraId="5F20A849"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6A4028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7D026EA0"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615AF20D" w14:textId="54CCD93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904B55C" w14:textId="636C500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98</w:t>
            </w:r>
          </w:p>
        </w:tc>
        <w:tc>
          <w:tcPr>
            <w:tcW w:w="0" w:type="auto"/>
            <w:tcBorders>
              <w:top w:val="nil"/>
              <w:left w:val="nil"/>
              <w:bottom w:val="single" w:sz="4" w:space="0" w:color="auto"/>
              <w:right w:val="single" w:sz="4" w:space="0" w:color="auto"/>
            </w:tcBorders>
            <w:shd w:val="clear" w:color="000000" w:fill="FFFFFF"/>
            <w:noWrap/>
            <w:vAlign w:val="bottom"/>
            <w:hideMark/>
          </w:tcPr>
          <w:p w14:paraId="44AE860E" w14:textId="48722F7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171</w:t>
            </w:r>
          </w:p>
        </w:tc>
        <w:tc>
          <w:tcPr>
            <w:tcW w:w="0" w:type="auto"/>
            <w:tcBorders>
              <w:top w:val="nil"/>
              <w:left w:val="nil"/>
              <w:bottom w:val="single" w:sz="4" w:space="0" w:color="auto"/>
              <w:right w:val="single" w:sz="4" w:space="0" w:color="auto"/>
            </w:tcBorders>
            <w:shd w:val="clear" w:color="000000" w:fill="FFFFFF"/>
            <w:noWrap/>
            <w:vAlign w:val="bottom"/>
            <w:hideMark/>
          </w:tcPr>
          <w:p w14:paraId="765995D5" w14:textId="27DE115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205</w:t>
            </w:r>
          </w:p>
        </w:tc>
        <w:tc>
          <w:tcPr>
            <w:tcW w:w="0" w:type="auto"/>
            <w:tcBorders>
              <w:top w:val="nil"/>
              <w:left w:val="nil"/>
              <w:bottom w:val="single" w:sz="4" w:space="0" w:color="auto"/>
              <w:right w:val="single" w:sz="4" w:space="0" w:color="auto"/>
            </w:tcBorders>
            <w:shd w:val="clear" w:color="000000" w:fill="FFFFFF"/>
            <w:noWrap/>
            <w:vAlign w:val="bottom"/>
            <w:hideMark/>
          </w:tcPr>
          <w:p w14:paraId="65D608E8" w14:textId="5788046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475</w:t>
            </w:r>
          </w:p>
        </w:tc>
      </w:tr>
      <w:tr w:rsidR="00C24376" w:rsidRPr="00650EE4" w14:paraId="7364806A"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2E4E9F7"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22F05C5C"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A13EEAB" w14:textId="293120E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9B7FE45" w14:textId="5685628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52A2897D" w14:textId="4E9ECA5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408153E1" w14:textId="1C10ED7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c>
          <w:tcPr>
            <w:tcW w:w="0" w:type="auto"/>
            <w:tcBorders>
              <w:top w:val="nil"/>
              <w:left w:val="nil"/>
              <w:bottom w:val="single" w:sz="4" w:space="0" w:color="auto"/>
              <w:right w:val="single" w:sz="4" w:space="0" w:color="auto"/>
            </w:tcBorders>
            <w:shd w:val="clear" w:color="000000" w:fill="FFFFFF"/>
            <w:noWrap/>
            <w:vAlign w:val="bottom"/>
            <w:hideMark/>
          </w:tcPr>
          <w:p w14:paraId="3C7BC5EA" w14:textId="39AC33C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87</w:t>
            </w:r>
          </w:p>
        </w:tc>
      </w:tr>
      <w:tr w:rsidR="00C24376" w:rsidRPr="00650EE4" w14:paraId="2FCA84A0" w14:textId="77777777" w:rsidTr="00BD2F3C">
        <w:trPr>
          <w:trHeight w:val="86"/>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9F5D9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09D73AA9"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0F22B28" w14:textId="22492BE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56E5522" w14:textId="7C8E771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177</w:t>
            </w:r>
          </w:p>
        </w:tc>
        <w:tc>
          <w:tcPr>
            <w:tcW w:w="0" w:type="auto"/>
            <w:tcBorders>
              <w:top w:val="nil"/>
              <w:left w:val="nil"/>
              <w:bottom w:val="single" w:sz="4" w:space="0" w:color="auto"/>
              <w:right w:val="single" w:sz="4" w:space="0" w:color="auto"/>
            </w:tcBorders>
            <w:shd w:val="clear" w:color="000000" w:fill="FFFFFF"/>
            <w:noWrap/>
            <w:vAlign w:val="bottom"/>
            <w:hideMark/>
          </w:tcPr>
          <w:p w14:paraId="74C4A448" w14:textId="0891D1A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309</w:t>
            </w:r>
          </w:p>
        </w:tc>
        <w:tc>
          <w:tcPr>
            <w:tcW w:w="0" w:type="auto"/>
            <w:tcBorders>
              <w:top w:val="nil"/>
              <w:left w:val="nil"/>
              <w:bottom w:val="single" w:sz="4" w:space="0" w:color="auto"/>
              <w:right w:val="single" w:sz="4" w:space="0" w:color="auto"/>
            </w:tcBorders>
            <w:shd w:val="clear" w:color="000000" w:fill="FFFFFF"/>
            <w:noWrap/>
            <w:vAlign w:val="bottom"/>
            <w:hideMark/>
          </w:tcPr>
          <w:p w14:paraId="36DF616E" w14:textId="79ECA21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370</w:t>
            </w:r>
          </w:p>
        </w:tc>
        <w:tc>
          <w:tcPr>
            <w:tcW w:w="0" w:type="auto"/>
            <w:tcBorders>
              <w:top w:val="nil"/>
              <w:left w:val="nil"/>
              <w:bottom w:val="single" w:sz="4" w:space="0" w:color="auto"/>
              <w:right w:val="single" w:sz="4" w:space="0" w:color="auto"/>
            </w:tcBorders>
            <w:shd w:val="clear" w:color="000000" w:fill="FFFFFF"/>
            <w:noWrap/>
            <w:vAlign w:val="bottom"/>
            <w:hideMark/>
          </w:tcPr>
          <w:p w14:paraId="32A99BCB" w14:textId="28ACF25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856</w:t>
            </w:r>
          </w:p>
        </w:tc>
      </w:tr>
      <w:tr w:rsidR="00C24376" w:rsidRPr="00650EE4" w14:paraId="7D4C6B30"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74ECBB7"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74E9D9EF"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4A5A9757" w14:textId="6321EC9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06CC5A4" w14:textId="60AC4BF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37E6E0AC" w14:textId="75BEDBA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2F45F3E3" w14:textId="6735C16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9AA174B" w14:textId="5D7D73D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75</w:t>
            </w:r>
          </w:p>
        </w:tc>
      </w:tr>
      <w:tr w:rsidR="00C24376" w:rsidRPr="00650EE4" w14:paraId="0C344214"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B9138F"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1230505C"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62879331" w14:textId="57A2A18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6269A5E" w14:textId="75556CC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782</w:t>
            </w:r>
          </w:p>
        </w:tc>
        <w:tc>
          <w:tcPr>
            <w:tcW w:w="0" w:type="auto"/>
            <w:tcBorders>
              <w:top w:val="nil"/>
              <w:left w:val="nil"/>
              <w:bottom w:val="single" w:sz="4" w:space="0" w:color="auto"/>
              <w:right w:val="single" w:sz="4" w:space="0" w:color="auto"/>
            </w:tcBorders>
            <w:shd w:val="clear" w:color="000000" w:fill="FFFFFF"/>
            <w:noWrap/>
            <w:vAlign w:val="bottom"/>
            <w:hideMark/>
          </w:tcPr>
          <w:p w14:paraId="11FCBA47" w14:textId="36DC7F6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1361</w:t>
            </w:r>
          </w:p>
        </w:tc>
        <w:tc>
          <w:tcPr>
            <w:tcW w:w="0" w:type="auto"/>
            <w:tcBorders>
              <w:top w:val="nil"/>
              <w:left w:val="nil"/>
              <w:bottom w:val="single" w:sz="4" w:space="0" w:color="auto"/>
              <w:right w:val="single" w:sz="4" w:space="0" w:color="auto"/>
            </w:tcBorders>
            <w:shd w:val="clear" w:color="000000" w:fill="FFFFFF"/>
            <w:noWrap/>
            <w:vAlign w:val="bottom"/>
            <w:hideMark/>
          </w:tcPr>
          <w:p w14:paraId="2782FD20" w14:textId="70AF9B7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1629</w:t>
            </w:r>
          </w:p>
        </w:tc>
        <w:tc>
          <w:tcPr>
            <w:tcW w:w="0" w:type="auto"/>
            <w:tcBorders>
              <w:top w:val="nil"/>
              <w:left w:val="nil"/>
              <w:bottom w:val="single" w:sz="4" w:space="0" w:color="auto"/>
              <w:right w:val="single" w:sz="4" w:space="0" w:color="auto"/>
            </w:tcBorders>
            <w:shd w:val="clear" w:color="000000" w:fill="FFFFFF"/>
            <w:noWrap/>
            <w:vAlign w:val="bottom"/>
            <w:hideMark/>
          </w:tcPr>
          <w:p w14:paraId="67358B77" w14:textId="49C80CE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772</w:t>
            </w:r>
          </w:p>
        </w:tc>
      </w:tr>
      <w:tr w:rsidR="00C24376" w:rsidRPr="00650EE4" w14:paraId="2B2703A8"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D7B7AE"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2DAE73D1"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189DD818" w14:textId="6E057BD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A77C8E9" w14:textId="3A75513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0639BB0" w14:textId="1BA6DAE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68589151" w14:textId="2DBE69D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28CBBD39" w14:textId="048280E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r>
      <w:tr w:rsidR="00C24376" w:rsidRPr="00650EE4" w14:paraId="1ED0CC08"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2C4169B"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07A3F23B"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7908492" w14:textId="581CED8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E3AA54A" w14:textId="60D69EC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AE3CFF6" w14:textId="2751ACE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188</w:t>
            </w:r>
          </w:p>
        </w:tc>
        <w:tc>
          <w:tcPr>
            <w:tcW w:w="0" w:type="auto"/>
            <w:tcBorders>
              <w:top w:val="nil"/>
              <w:left w:val="nil"/>
              <w:bottom w:val="single" w:sz="4" w:space="0" w:color="auto"/>
              <w:right w:val="single" w:sz="4" w:space="0" w:color="auto"/>
            </w:tcBorders>
            <w:shd w:val="clear" w:color="000000" w:fill="FFFFFF"/>
            <w:noWrap/>
            <w:vAlign w:val="bottom"/>
            <w:hideMark/>
          </w:tcPr>
          <w:p w14:paraId="40AE0688" w14:textId="2A224D0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225</w:t>
            </w:r>
          </w:p>
        </w:tc>
        <w:tc>
          <w:tcPr>
            <w:tcW w:w="0" w:type="auto"/>
            <w:tcBorders>
              <w:top w:val="nil"/>
              <w:left w:val="nil"/>
              <w:bottom w:val="single" w:sz="4" w:space="0" w:color="auto"/>
              <w:right w:val="single" w:sz="4" w:space="0" w:color="auto"/>
            </w:tcBorders>
            <w:shd w:val="clear" w:color="000000" w:fill="FFFFFF"/>
            <w:noWrap/>
            <w:vAlign w:val="bottom"/>
            <w:hideMark/>
          </w:tcPr>
          <w:p w14:paraId="6F3D541D" w14:textId="76F4B7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520</w:t>
            </w:r>
          </w:p>
        </w:tc>
      </w:tr>
      <w:tr w:rsidR="00C24376" w:rsidRPr="00650EE4" w14:paraId="716DE272"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300D2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0D7628A7"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9025614" w14:textId="29E6FD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9ACF4B7" w14:textId="3BFA0B2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278</w:t>
            </w:r>
          </w:p>
        </w:tc>
        <w:tc>
          <w:tcPr>
            <w:tcW w:w="0" w:type="auto"/>
            <w:tcBorders>
              <w:top w:val="nil"/>
              <w:left w:val="nil"/>
              <w:bottom w:val="single" w:sz="4" w:space="0" w:color="auto"/>
              <w:right w:val="single" w:sz="4" w:space="0" w:color="auto"/>
            </w:tcBorders>
            <w:shd w:val="clear" w:color="000000" w:fill="FFFFFF"/>
            <w:noWrap/>
            <w:vAlign w:val="bottom"/>
            <w:hideMark/>
          </w:tcPr>
          <w:p w14:paraId="3B34D3D7" w14:textId="19967AD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484</w:t>
            </w:r>
          </w:p>
        </w:tc>
        <w:tc>
          <w:tcPr>
            <w:tcW w:w="0" w:type="auto"/>
            <w:tcBorders>
              <w:top w:val="nil"/>
              <w:left w:val="nil"/>
              <w:bottom w:val="single" w:sz="4" w:space="0" w:color="auto"/>
              <w:right w:val="single" w:sz="4" w:space="0" w:color="auto"/>
            </w:tcBorders>
            <w:shd w:val="clear" w:color="000000" w:fill="FFFFFF"/>
            <w:noWrap/>
            <w:vAlign w:val="bottom"/>
            <w:hideMark/>
          </w:tcPr>
          <w:p w14:paraId="74AFC441" w14:textId="7F6B5D3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580</w:t>
            </w:r>
          </w:p>
        </w:tc>
        <w:tc>
          <w:tcPr>
            <w:tcW w:w="0" w:type="auto"/>
            <w:tcBorders>
              <w:top w:val="nil"/>
              <w:left w:val="nil"/>
              <w:bottom w:val="single" w:sz="4" w:space="0" w:color="auto"/>
              <w:right w:val="single" w:sz="4" w:space="0" w:color="auto"/>
            </w:tcBorders>
            <w:shd w:val="clear" w:color="000000" w:fill="FFFFFF"/>
            <w:noWrap/>
            <w:vAlign w:val="bottom"/>
            <w:hideMark/>
          </w:tcPr>
          <w:p w14:paraId="1608FA10" w14:textId="1AA3EBF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343</w:t>
            </w:r>
          </w:p>
        </w:tc>
      </w:tr>
      <w:tr w:rsidR="00C24376" w:rsidRPr="00650EE4" w14:paraId="0A9D21B2" w14:textId="77777777" w:rsidTr="00BD2F3C">
        <w:trPr>
          <w:trHeight w:val="10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9516D1"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35991CE1"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DF5AC1E" w14:textId="74A019F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4D8E692" w14:textId="4BEF16F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128</w:t>
            </w:r>
          </w:p>
        </w:tc>
        <w:tc>
          <w:tcPr>
            <w:tcW w:w="0" w:type="auto"/>
            <w:tcBorders>
              <w:top w:val="nil"/>
              <w:left w:val="nil"/>
              <w:bottom w:val="single" w:sz="4" w:space="0" w:color="auto"/>
              <w:right w:val="single" w:sz="4" w:space="0" w:color="auto"/>
            </w:tcBorders>
            <w:shd w:val="clear" w:color="000000" w:fill="FFFFFF"/>
            <w:noWrap/>
            <w:vAlign w:val="bottom"/>
            <w:hideMark/>
          </w:tcPr>
          <w:p w14:paraId="7012498D" w14:textId="6DD66F4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222</w:t>
            </w:r>
          </w:p>
        </w:tc>
        <w:tc>
          <w:tcPr>
            <w:tcW w:w="0" w:type="auto"/>
            <w:tcBorders>
              <w:top w:val="nil"/>
              <w:left w:val="nil"/>
              <w:bottom w:val="single" w:sz="4" w:space="0" w:color="auto"/>
              <w:right w:val="single" w:sz="4" w:space="0" w:color="auto"/>
            </w:tcBorders>
            <w:shd w:val="clear" w:color="000000" w:fill="FFFFFF"/>
            <w:noWrap/>
            <w:vAlign w:val="bottom"/>
            <w:hideMark/>
          </w:tcPr>
          <w:p w14:paraId="089C9040" w14:textId="6054B02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266</w:t>
            </w:r>
          </w:p>
        </w:tc>
        <w:tc>
          <w:tcPr>
            <w:tcW w:w="0" w:type="auto"/>
            <w:tcBorders>
              <w:top w:val="nil"/>
              <w:left w:val="nil"/>
              <w:bottom w:val="single" w:sz="4" w:space="0" w:color="auto"/>
              <w:right w:val="single" w:sz="4" w:space="0" w:color="auto"/>
            </w:tcBorders>
            <w:shd w:val="clear" w:color="000000" w:fill="FFFFFF"/>
            <w:noWrap/>
            <w:vAlign w:val="bottom"/>
            <w:hideMark/>
          </w:tcPr>
          <w:p w14:paraId="79569B9F" w14:textId="3CC101F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616</w:t>
            </w:r>
          </w:p>
        </w:tc>
      </w:tr>
      <w:tr w:rsidR="00C24376" w:rsidRPr="00650EE4" w14:paraId="3931410C" w14:textId="77777777" w:rsidTr="00BD2F3C">
        <w:trPr>
          <w:trHeight w:val="6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2251C0"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44A71368"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58A062C2" w14:textId="7BE6517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BF98E7C" w14:textId="37975D3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241</w:t>
            </w:r>
          </w:p>
        </w:tc>
        <w:tc>
          <w:tcPr>
            <w:tcW w:w="0" w:type="auto"/>
            <w:tcBorders>
              <w:top w:val="nil"/>
              <w:left w:val="nil"/>
              <w:bottom w:val="single" w:sz="4" w:space="0" w:color="auto"/>
              <w:right w:val="single" w:sz="4" w:space="0" w:color="auto"/>
            </w:tcBorders>
            <w:shd w:val="clear" w:color="000000" w:fill="FFFFFF"/>
            <w:noWrap/>
            <w:vAlign w:val="bottom"/>
            <w:hideMark/>
          </w:tcPr>
          <w:p w14:paraId="4FDBF500" w14:textId="40ED7EE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419</w:t>
            </w:r>
          </w:p>
        </w:tc>
        <w:tc>
          <w:tcPr>
            <w:tcW w:w="0" w:type="auto"/>
            <w:tcBorders>
              <w:top w:val="nil"/>
              <w:left w:val="nil"/>
              <w:bottom w:val="single" w:sz="4" w:space="0" w:color="auto"/>
              <w:right w:val="single" w:sz="4" w:space="0" w:color="auto"/>
            </w:tcBorders>
            <w:shd w:val="clear" w:color="000000" w:fill="FFFFFF"/>
            <w:noWrap/>
            <w:vAlign w:val="bottom"/>
            <w:hideMark/>
          </w:tcPr>
          <w:p w14:paraId="4452E58E" w14:textId="741E3B4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502</w:t>
            </w:r>
          </w:p>
        </w:tc>
        <w:tc>
          <w:tcPr>
            <w:tcW w:w="0" w:type="auto"/>
            <w:tcBorders>
              <w:top w:val="nil"/>
              <w:left w:val="nil"/>
              <w:bottom w:val="single" w:sz="4" w:space="0" w:color="auto"/>
              <w:right w:val="single" w:sz="4" w:space="0" w:color="auto"/>
            </w:tcBorders>
            <w:shd w:val="clear" w:color="000000" w:fill="FFFFFF"/>
            <w:noWrap/>
            <w:vAlign w:val="bottom"/>
            <w:hideMark/>
          </w:tcPr>
          <w:p w14:paraId="3B3D4949" w14:textId="1DA0016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161</w:t>
            </w:r>
          </w:p>
        </w:tc>
      </w:tr>
      <w:tr w:rsidR="00C24376" w:rsidRPr="00650EE4" w14:paraId="7CF643C9" w14:textId="77777777" w:rsidTr="00BD2F3C">
        <w:trPr>
          <w:trHeight w:val="2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19946C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603DC6FD"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D07D1AB" w14:textId="19F86D6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0036D54" w14:textId="724DB9B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124</w:t>
            </w:r>
          </w:p>
        </w:tc>
        <w:tc>
          <w:tcPr>
            <w:tcW w:w="0" w:type="auto"/>
            <w:tcBorders>
              <w:top w:val="nil"/>
              <w:left w:val="nil"/>
              <w:bottom w:val="single" w:sz="4" w:space="0" w:color="auto"/>
              <w:right w:val="single" w:sz="4" w:space="0" w:color="auto"/>
            </w:tcBorders>
            <w:shd w:val="clear" w:color="000000" w:fill="FFFFFF"/>
            <w:noWrap/>
            <w:vAlign w:val="bottom"/>
            <w:hideMark/>
          </w:tcPr>
          <w:p w14:paraId="4E86120C" w14:textId="37F419F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216</w:t>
            </w:r>
          </w:p>
        </w:tc>
        <w:tc>
          <w:tcPr>
            <w:tcW w:w="0" w:type="auto"/>
            <w:tcBorders>
              <w:top w:val="nil"/>
              <w:left w:val="nil"/>
              <w:bottom w:val="single" w:sz="4" w:space="0" w:color="auto"/>
              <w:right w:val="single" w:sz="4" w:space="0" w:color="auto"/>
            </w:tcBorders>
            <w:shd w:val="clear" w:color="000000" w:fill="FFFFFF"/>
            <w:noWrap/>
            <w:vAlign w:val="bottom"/>
            <w:hideMark/>
          </w:tcPr>
          <w:p w14:paraId="086F2ACF" w14:textId="3EE007C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258</w:t>
            </w:r>
          </w:p>
        </w:tc>
        <w:tc>
          <w:tcPr>
            <w:tcW w:w="0" w:type="auto"/>
            <w:tcBorders>
              <w:top w:val="nil"/>
              <w:left w:val="nil"/>
              <w:bottom w:val="single" w:sz="4" w:space="0" w:color="auto"/>
              <w:right w:val="single" w:sz="4" w:space="0" w:color="auto"/>
            </w:tcBorders>
            <w:shd w:val="clear" w:color="000000" w:fill="FFFFFF"/>
            <w:noWrap/>
            <w:vAlign w:val="bottom"/>
            <w:hideMark/>
          </w:tcPr>
          <w:p w14:paraId="2BC9EF83" w14:textId="54F8541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598</w:t>
            </w:r>
          </w:p>
        </w:tc>
      </w:tr>
      <w:tr w:rsidR="00C24376" w:rsidRPr="00650EE4" w14:paraId="69D58750"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E937600"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4A229AC4"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2C9836F5" w14:textId="4377604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681221A" w14:textId="0F51FEC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075</w:t>
            </w:r>
          </w:p>
        </w:tc>
        <w:tc>
          <w:tcPr>
            <w:tcW w:w="0" w:type="auto"/>
            <w:tcBorders>
              <w:top w:val="nil"/>
              <w:left w:val="nil"/>
              <w:bottom w:val="single" w:sz="4" w:space="0" w:color="auto"/>
              <w:right w:val="single" w:sz="4" w:space="0" w:color="auto"/>
            </w:tcBorders>
            <w:shd w:val="clear" w:color="000000" w:fill="FFFFFF"/>
            <w:noWrap/>
            <w:vAlign w:val="bottom"/>
            <w:hideMark/>
          </w:tcPr>
          <w:p w14:paraId="03063C21" w14:textId="5F6BE26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870</w:t>
            </w:r>
          </w:p>
        </w:tc>
        <w:tc>
          <w:tcPr>
            <w:tcW w:w="0" w:type="auto"/>
            <w:tcBorders>
              <w:top w:val="nil"/>
              <w:left w:val="nil"/>
              <w:bottom w:val="single" w:sz="4" w:space="0" w:color="auto"/>
              <w:right w:val="single" w:sz="4" w:space="0" w:color="auto"/>
            </w:tcBorders>
            <w:shd w:val="clear" w:color="000000" w:fill="FFFFFF"/>
            <w:noWrap/>
            <w:vAlign w:val="bottom"/>
            <w:hideMark/>
          </w:tcPr>
          <w:p w14:paraId="213D7B0F" w14:textId="3076FA4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239</w:t>
            </w:r>
          </w:p>
        </w:tc>
        <w:tc>
          <w:tcPr>
            <w:tcW w:w="0" w:type="auto"/>
            <w:tcBorders>
              <w:top w:val="nil"/>
              <w:left w:val="nil"/>
              <w:bottom w:val="single" w:sz="4" w:space="0" w:color="auto"/>
              <w:right w:val="single" w:sz="4" w:space="0" w:color="auto"/>
            </w:tcBorders>
            <w:shd w:val="clear" w:color="000000" w:fill="FFFFFF"/>
            <w:noWrap/>
            <w:vAlign w:val="bottom"/>
            <w:hideMark/>
          </w:tcPr>
          <w:p w14:paraId="4EA6A35A" w14:textId="22FF1FE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184</w:t>
            </w:r>
          </w:p>
        </w:tc>
      </w:tr>
      <w:tr w:rsidR="00C24376" w:rsidRPr="00650EE4" w14:paraId="1246DE5E"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FB4FD2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1D617D85"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0190672" w14:textId="78F4510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B1926EC" w14:textId="7066DF2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236</w:t>
            </w:r>
          </w:p>
        </w:tc>
        <w:tc>
          <w:tcPr>
            <w:tcW w:w="0" w:type="auto"/>
            <w:tcBorders>
              <w:top w:val="nil"/>
              <w:left w:val="nil"/>
              <w:bottom w:val="single" w:sz="4" w:space="0" w:color="auto"/>
              <w:right w:val="single" w:sz="4" w:space="0" w:color="auto"/>
            </w:tcBorders>
            <w:shd w:val="clear" w:color="000000" w:fill="FFFFFF"/>
            <w:noWrap/>
            <w:vAlign w:val="bottom"/>
            <w:hideMark/>
          </w:tcPr>
          <w:p w14:paraId="2EF6E79A" w14:textId="79846F8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410</w:t>
            </w:r>
          </w:p>
        </w:tc>
        <w:tc>
          <w:tcPr>
            <w:tcW w:w="0" w:type="auto"/>
            <w:tcBorders>
              <w:top w:val="nil"/>
              <w:left w:val="nil"/>
              <w:bottom w:val="single" w:sz="4" w:space="0" w:color="auto"/>
              <w:right w:val="single" w:sz="4" w:space="0" w:color="auto"/>
            </w:tcBorders>
            <w:shd w:val="clear" w:color="000000" w:fill="FFFFFF"/>
            <w:noWrap/>
            <w:vAlign w:val="bottom"/>
            <w:hideMark/>
          </w:tcPr>
          <w:p w14:paraId="511FDDCE" w14:textId="46A754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491</w:t>
            </w:r>
          </w:p>
        </w:tc>
        <w:tc>
          <w:tcPr>
            <w:tcW w:w="0" w:type="auto"/>
            <w:tcBorders>
              <w:top w:val="nil"/>
              <w:left w:val="nil"/>
              <w:bottom w:val="single" w:sz="4" w:space="0" w:color="auto"/>
              <w:right w:val="single" w:sz="4" w:space="0" w:color="auto"/>
            </w:tcBorders>
            <w:shd w:val="clear" w:color="000000" w:fill="FFFFFF"/>
            <w:noWrap/>
            <w:vAlign w:val="bottom"/>
            <w:hideMark/>
          </w:tcPr>
          <w:p w14:paraId="4E8D0007" w14:textId="1E61A4E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137</w:t>
            </w:r>
          </w:p>
        </w:tc>
      </w:tr>
      <w:tr w:rsidR="00C24376" w:rsidRPr="00650EE4" w14:paraId="7488B594"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3CD7D1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3D458785"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2F6CC5D2" w14:textId="5CAFD0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AEDCE38" w14:textId="52E66BA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100D3EBF" w14:textId="282432A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672CD75D" w14:textId="25914B3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3E4EEA8B" w14:textId="3C67781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74</w:t>
            </w:r>
          </w:p>
        </w:tc>
      </w:tr>
      <w:tr w:rsidR="00C24376" w:rsidRPr="00650EE4" w14:paraId="6E17105B"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BAADBD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24C172BF"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C5BCB7A" w14:textId="4711498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899C2BD" w14:textId="6F2D96D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1DD0A813" w14:textId="1147197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68CCAB74" w14:textId="14BEF39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0EDA7715" w14:textId="553F6AD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w:t>
            </w:r>
          </w:p>
        </w:tc>
      </w:tr>
      <w:tr w:rsidR="00C24376" w:rsidRPr="00650EE4" w14:paraId="23C34F84" w14:textId="77777777" w:rsidTr="00BD2F3C">
        <w:trPr>
          <w:trHeight w:val="6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5DB67F3"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4D2F968A"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35AF0DFD" w14:textId="6771A47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7B8854B" w14:textId="18EE1F2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1CDE54AE" w14:textId="23B34A8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1863672A" w14:textId="65311B0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38796277" w14:textId="436B186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105</w:t>
            </w:r>
          </w:p>
        </w:tc>
      </w:tr>
      <w:tr w:rsidR="00C24376" w:rsidRPr="00650EE4" w14:paraId="5CDF5437"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6CE3E17"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0130C89C"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78CAA64" w14:textId="6EE124A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A718E20" w14:textId="35995DB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177</w:t>
            </w:r>
          </w:p>
        </w:tc>
        <w:tc>
          <w:tcPr>
            <w:tcW w:w="0" w:type="auto"/>
            <w:tcBorders>
              <w:top w:val="nil"/>
              <w:left w:val="nil"/>
              <w:bottom w:val="single" w:sz="4" w:space="0" w:color="auto"/>
              <w:right w:val="single" w:sz="4" w:space="0" w:color="auto"/>
            </w:tcBorders>
            <w:shd w:val="clear" w:color="000000" w:fill="FFFFFF"/>
            <w:noWrap/>
            <w:vAlign w:val="bottom"/>
            <w:hideMark/>
          </w:tcPr>
          <w:p w14:paraId="71665815" w14:textId="2CE295E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308</w:t>
            </w:r>
          </w:p>
        </w:tc>
        <w:tc>
          <w:tcPr>
            <w:tcW w:w="0" w:type="auto"/>
            <w:tcBorders>
              <w:top w:val="nil"/>
              <w:left w:val="nil"/>
              <w:bottom w:val="single" w:sz="4" w:space="0" w:color="auto"/>
              <w:right w:val="single" w:sz="4" w:space="0" w:color="auto"/>
            </w:tcBorders>
            <w:shd w:val="clear" w:color="000000" w:fill="FFFFFF"/>
            <w:noWrap/>
            <w:vAlign w:val="bottom"/>
            <w:hideMark/>
          </w:tcPr>
          <w:p w14:paraId="7E4E2492" w14:textId="0C4F331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369</w:t>
            </w:r>
          </w:p>
        </w:tc>
        <w:tc>
          <w:tcPr>
            <w:tcW w:w="0" w:type="auto"/>
            <w:tcBorders>
              <w:top w:val="nil"/>
              <w:left w:val="nil"/>
              <w:bottom w:val="single" w:sz="4" w:space="0" w:color="auto"/>
              <w:right w:val="single" w:sz="4" w:space="0" w:color="auto"/>
            </w:tcBorders>
            <w:shd w:val="clear" w:color="000000" w:fill="FFFFFF"/>
            <w:noWrap/>
            <w:vAlign w:val="bottom"/>
            <w:hideMark/>
          </w:tcPr>
          <w:p w14:paraId="16DDFA7D" w14:textId="153062D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855</w:t>
            </w:r>
          </w:p>
        </w:tc>
      </w:tr>
      <w:tr w:rsidR="00C24376" w:rsidRPr="00650EE4" w14:paraId="5596D23C"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AEB4C4"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0F59CDE6"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33CAC6D" w14:textId="16CE717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9AF8A18" w14:textId="19E2813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54</w:t>
            </w:r>
          </w:p>
        </w:tc>
        <w:tc>
          <w:tcPr>
            <w:tcW w:w="0" w:type="auto"/>
            <w:tcBorders>
              <w:top w:val="nil"/>
              <w:left w:val="nil"/>
              <w:bottom w:val="single" w:sz="4" w:space="0" w:color="auto"/>
              <w:right w:val="single" w:sz="4" w:space="0" w:color="auto"/>
            </w:tcBorders>
            <w:shd w:val="clear" w:color="000000" w:fill="FFFFFF"/>
            <w:noWrap/>
            <w:vAlign w:val="bottom"/>
            <w:hideMark/>
          </w:tcPr>
          <w:p w14:paraId="6E5192E9" w14:textId="05DA26B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94</w:t>
            </w:r>
          </w:p>
        </w:tc>
        <w:tc>
          <w:tcPr>
            <w:tcW w:w="0" w:type="auto"/>
            <w:tcBorders>
              <w:top w:val="nil"/>
              <w:left w:val="nil"/>
              <w:bottom w:val="single" w:sz="4" w:space="0" w:color="auto"/>
              <w:right w:val="single" w:sz="4" w:space="0" w:color="auto"/>
            </w:tcBorders>
            <w:shd w:val="clear" w:color="000000" w:fill="FFFFFF"/>
            <w:noWrap/>
            <w:vAlign w:val="bottom"/>
            <w:hideMark/>
          </w:tcPr>
          <w:p w14:paraId="4A7DDD78" w14:textId="0F69DD7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112</w:t>
            </w:r>
          </w:p>
        </w:tc>
        <w:tc>
          <w:tcPr>
            <w:tcW w:w="0" w:type="auto"/>
            <w:tcBorders>
              <w:top w:val="nil"/>
              <w:left w:val="nil"/>
              <w:bottom w:val="single" w:sz="4" w:space="0" w:color="auto"/>
              <w:right w:val="single" w:sz="4" w:space="0" w:color="auto"/>
            </w:tcBorders>
            <w:shd w:val="clear" w:color="000000" w:fill="FFFFFF"/>
            <w:noWrap/>
            <w:vAlign w:val="bottom"/>
            <w:hideMark/>
          </w:tcPr>
          <w:p w14:paraId="59A622ED" w14:textId="0323CA1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260</w:t>
            </w:r>
          </w:p>
        </w:tc>
      </w:tr>
      <w:tr w:rsidR="00C24376" w:rsidRPr="00650EE4" w14:paraId="5D76F3D8"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60C3678"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6D9257EE"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2444A76" w14:textId="74DF81B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0E9543B" w14:textId="61B6315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0" w:type="auto"/>
            <w:tcBorders>
              <w:top w:val="nil"/>
              <w:left w:val="nil"/>
              <w:bottom w:val="single" w:sz="4" w:space="0" w:color="auto"/>
              <w:right w:val="single" w:sz="4" w:space="0" w:color="auto"/>
            </w:tcBorders>
            <w:shd w:val="clear" w:color="000000" w:fill="FFFFFF"/>
            <w:noWrap/>
            <w:vAlign w:val="bottom"/>
            <w:hideMark/>
          </w:tcPr>
          <w:p w14:paraId="02511A3A" w14:textId="354E7C8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72</w:t>
            </w:r>
          </w:p>
        </w:tc>
        <w:tc>
          <w:tcPr>
            <w:tcW w:w="0" w:type="auto"/>
            <w:tcBorders>
              <w:top w:val="nil"/>
              <w:left w:val="nil"/>
              <w:bottom w:val="single" w:sz="4" w:space="0" w:color="auto"/>
              <w:right w:val="single" w:sz="4" w:space="0" w:color="auto"/>
            </w:tcBorders>
            <w:shd w:val="clear" w:color="000000" w:fill="FFFFFF"/>
            <w:noWrap/>
            <w:vAlign w:val="bottom"/>
            <w:hideMark/>
          </w:tcPr>
          <w:p w14:paraId="7C67DEC9" w14:textId="4F53BF5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86</w:t>
            </w:r>
          </w:p>
        </w:tc>
        <w:tc>
          <w:tcPr>
            <w:tcW w:w="0" w:type="auto"/>
            <w:tcBorders>
              <w:top w:val="nil"/>
              <w:left w:val="nil"/>
              <w:bottom w:val="single" w:sz="4" w:space="0" w:color="auto"/>
              <w:right w:val="single" w:sz="4" w:space="0" w:color="auto"/>
            </w:tcBorders>
            <w:shd w:val="clear" w:color="000000" w:fill="FFFFFF"/>
            <w:noWrap/>
            <w:vAlign w:val="bottom"/>
            <w:hideMark/>
          </w:tcPr>
          <w:p w14:paraId="37DABC4F" w14:textId="51A901B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198</w:t>
            </w:r>
          </w:p>
        </w:tc>
      </w:tr>
      <w:tr w:rsidR="00C24376" w:rsidRPr="00650EE4" w14:paraId="12D5E6AB" w14:textId="77777777" w:rsidTr="00BD2F3C">
        <w:trPr>
          <w:trHeight w:val="9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7759ACF"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35C0BBE9"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3DF5A2C6" w14:textId="7966F6A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3726A90" w14:textId="2088100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276EC79E" w14:textId="5D74DD1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110</w:t>
            </w:r>
          </w:p>
        </w:tc>
        <w:tc>
          <w:tcPr>
            <w:tcW w:w="0" w:type="auto"/>
            <w:tcBorders>
              <w:top w:val="nil"/>
              <w:left w:val="nil"/>
              <w:bottom w:val="single" w:sz="4" w:space="0" w:color="auto"/>
              <w:right w:val="single" w:sz="4" w:space="0" w:color="auto"/>
            </w:tcBorders>
            <w:shd w:val="clear" w:color="000000" w:fill="FFFFFF"/>
            <w:noWrap/>
            <w:vAlign w:val="bottom"/>
            <w:hideMark/>
          </w:tcPr>
          <w:p w14:paraId="5FECBFCE" w14:textId="181E71D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131</w:t>
            </w:r>
          </w:p>
        </w:tc>
        <w:tc>
          <w:tcPr>
            <w:tcW w:w="0" w:type="auto"/>
            <w:tcBorders>
              <w:top w:val="nil"/>
              <w:left w:val="nil"/>
              <w:bottom w:val="single" w:sz="4" w:space="0" w:color="auto"/>
              <w:right w:val="single" w:sz="4" w:space="0" w:color="auto"/>
            </w:tcBorders>
            <w:shd w:val="clear" w:color="000000" w:fill="FFFFFF"/>
            <w:noWrap/>
            <w:vAlign w:val="bottom"/>
            <w:hideMark/>
          </w:tcPr>
          <w:p w14:paraId="18871FA6" w14:textId="76E81B1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304</w:t>
            </w:r>
          </w:p>
        </w:tc>
      </w:tr>
      <w:tr w:rsidR="00C24376" w:rsidRPr="00650EE4" w14:paraId="4435E558" w14:textId="77777777" w:rsidTr="00BD2F3C">
        <w:trPr>
          <w:trHeight w:val="6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2FEECEA"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78D388B9"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6631187E" w14:textId="245AC66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4857A36" w14:textId="7344728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0FAE1454" w14:textId="6496DF4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35</w:t>
            </w:r>
          </w:p>
        </w:tc>
        <w:tc>
          <w:tcPr>
            <w:tcW w:w="0" w:type="auto"/>
            <w:tcBorders>
              <w:top w:val="nil"/>
              <w:left w:val="nil"/>
              <w:bottom w:val="single" w:sz="4" w:space="0" w:color="auto"/>
              <w:right w:val="single" w:sz="4" w:space="0" w:color="auto"/>
            </w:tcBorders>
            <w:shd w:val="clear" w:color="000000" w:fill="FFFFFF"/>
            <w:noWrap/>
            <w:vAlign w:val="bottom"/>
            <w:hideMark/>
          </w:tcPr>
          <w:p w14:paraId="244EA286" w14:textId="36914E1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77BDB782" w14:textId="298A25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97</w:t>
            </w:r>
          </w:p>
        </w:tc>
      </w:tr>
      <w:tr w:rsidR="00C24376" w:rsidRPr="00650EE4" w14:paraId="60BEFC83"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2AC4931" w14:textId="77777777" w:rsidR="00C24376" w:rsidRPr="00650EE4" w:rsidRDefault="00C24376" w:rsidP="00C24376">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0" w:type="auto"/>
            <w:tcBorders>
              <w:top w:val="nil"/>
              <w:left w:val="nil"/>
              <w:bottom w:val="single" w:sz="4" w:space="0" w:color="auto"/>
              <w:right w:val="single" w:sz="4" w:space="0" w:color="auto"/>
            </w:tcBorders>
            <w:shd w:val="clear" w:color="000000" w:fill="FFFFFF"/>
            <w:noWrap/>
            <w:vAlign w:val="bottom"/>
            <w:hideMark/>
          </w:tcPr>
          <w:p w14:paraId="0680D00B" w14:textId="77777777"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B9F769" w14:textId="3C29FADA"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tūkst. m</w:t>
            </w:r>
            <w:r w:rsidRPr="00650EE4">
              <w:rPr>
                <w:rFonts w:ascii="Times New Roman" w:eastAsia="Times New Roman" w:hAnsi="Times New Roman"/>
                <w:b/>
                <w:bCs/>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7554092" w14:textId="2AAB791C"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251</w:t>
            </w:r>
          </w:p>
        </w:tc>
        <w:tc>
          <w:tcPr>
            <w:tcW w:w="0" w:type="auto"/>
            <w:tcBorders>
              <w:top w:val="nil"/>
              <w:left w:val="nil"/>
              <w:bottom w:val="single" w:sz="4" w:space="0" w:color="auto"/>
              <w:right w:val="single" w:sz="4" w:space="0" w:color="auto"/>
            </w:tcBorders>
            <w:shd w:val="clear" w:color="000000" w:fill="FFFFFF"/>
            <w:noWrap/>
            <w:vAlign w:val="bottom"/>
            <w:hideMark/>
          </w:tcPr>
          <w:p w14:paraId="1C9B218B" w14:textId="73B966D9"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9</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139</w:t>
            </w:r>
          </w:p>
        </w:tc>
        <w:tc>
          <w:tcPr>
            <w:tcW w:w="0" w:type="auto"/>
            <w:tcBorders>
              <w:top w:val="nil"/>
              <w:left w:val="nil"/>
              <w:bottom w:val="single" w:sz="4" w:space="0" w:color="auto"/>
              <w:right w:val="single" w:sz="4" w:space="0" w:color="auto"/>
            </w:tcBorders>
            <w:shd w:val="clear" w:color="000000" w:fill="FFFFFF"/>
            <w:noWrap/>
            <w:vAlign w:val="bottom"/>
            <w:hideMark/>
          </w:tcPr>
          <w:p w14:paraId="066298C2" w14:textId="2DAD7DA1"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942</w:t>
            </w:r>
          </w:p>
        </w:tc>
        <w:tc>
          <w:tcPr>
            <w:tcW w:w="0" w:type="auto"/>
            <w:tcBorders>
              <w:top w:val="nil"/>
              <w:left w:val="nil"/>
              <w:bottom w:val="single" w:sz="4" w:space="0" w:color="auto"/>
              <w:right w:val="single" w:sz="4" w:space="0" w:color="auto"/>
            </w:tcBorders>
            <w:shd w:val="clear" w:color="000000" w:fill="FFFFFF"/>
            <w:noWrap/>
            <w:vAlign w:val="bottom"/>
            <w:hideMark/>
          </w:tcPr>
          <w:p w14:paraId="0F8AF3FD" w14:textId="613AF3F2"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25</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332</w:t>
            </w:r>
          </w:p>
        </w:tc>
      </w:tr>
    </w:tbl>
    <w:p w14:paraId="294BE113" w14:textId="5F065D15" w:rsidR="0024319A" w:rsidRPr="00650EE4" w:rsidRDefault="0024319A" w:rsidP="006E13C0">
      <w:pPr>
        <w:rPr>
          <w:rFonts w:ascii="Times New Roman" w:hAnsi="Times New Roman"/>
          <w:szCs w:val="22"/>
        </w:rPr>
      </w:pPr>
    </w:p>
    <w:p w14:paraId="122DDDE7" w14:textId="04A69048" w:rsidR="0024319A" w:rsidRPr="00650EE4" w:rsidRDefault="0024319A" w:rsidP="006E13C0">
      <w:pPr>
        <w:rPr>
          <w:rFonts w:ascii="Times New Roman" w:hAnsi="Times New Roman"/>
          <w:szCs w:val="22"/>
        </w:rPr>
      </w:pPr>
    </w:p>
    <w:p w14:paraId="04F9D7D3" w14:textId="77777777" w:rsidR="0024319A" w:rsidRPr="00650EE4" w:rsidRDefault="0024319A" w:rsidP="006E13C0">
      <w:pPr>
        <w:rPr>
          <w:rFonts w:ascii="Times New Roman" w:hAnsi="Times New Roman"/>
          <w:szCs w:val="22"/>
        </w:rPr>
      </w:pPr>
    </w:p>
    <w:p w14:paraId="1D489B6B" w14:textId="277BE00A" w:rsidR="00F6511E" w:rsidRDefault="00F6511E">
      <w:pPr>
        <w:spacing w:after="240"/>
        <w:rPr>
          <w:rFonts w:ascii="Times New Roman" w:hAnsi="Times New Roman"/>
          <w:color w:val="000000" w:themeColor="text1"/>
          <w:szCs w:val="22"/>
        </w:rPr>
      </w:pPr>
      <w:r>
        <w:rPr>
          <w:rFonts w:ascii="Times New Roman" w:hAnsi="Times New Roman"/>
          <w:color w:val="000000" w:themeColor="text1"/>
          <w:szCs w:val="22"/>
        </w:rPr>
        <w:br w:type="page"/>
      </w:r>
    </w:p>
    <w:p w14:paraId="73625B98" w14:textId="055888CF" w:rsidR="00F6511E" w:rsidRDefault="00F6511E" w:rsidP="00F6511E">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219" w:name="_Hlk58493174"/>
      <w:bookmarkStart w:id="220" w:name="_Toc67925182"/>
      <w:r>
        <w:rPr>
          <w:rFonts w:ascii="Times New Roman" w:hAnsi="Times New Roman"/>
          <w:color w:val="002060"/>
          <w:sz w:val="24"/>
          <w:szCs w:val="24"/>
          <w:lang w:val="en-GB"/>
        </w:rPr>
        <w:lastRenderedPageBreak/>
        <w:t>2</w:t>
      </w:r>
      <w:r w:rsidRPr="00650EE4">
        <w:rPr>
          <w:rFonts w:ascii="Times New Roman" w:hAnsi="Times New Roman"/>
          <w:color w:val="002060"/>
          <w:sz w:val="24"/>
          <w:szCs w:val="24"/>
        </w:rPr>
        <w:t xml:space="preserve"> priedas. Viešosios </w:t>
      </w:r>
      <w:r w:rsidR="00E0606F">
        <w:rPr>
          <w:rFonts w:ascii="Times New Roman" w:hAnsi="Times New Roman"/>
          <w:color w:val="002060"/>
          <w:sz w:val="24"/>
          <w:szCs w:val="24"/>
        </w:rPr>
        <w:t xml:space="preserve">nuosavybės kitų </w:t>
      </w:r>
      <w:r>
        <w:rPr>
          <w:rFonts w:ascii="Times New Roman" w:hAnsi="Times New Roman"/>
          <w:color w:val="002060"/>
          <w:sz w:val="24"/>
          <w:szCs w:val="24"/>
        </w:rPr>
        <w:t>negyvenamųjų pastatų renovacijos tempai</w:t>
      </w:r>
      <w:bookmarkEnd w:id="220"/>
    </w:p>
    <w:p w14:paraId="1F60DEBE" w14:textId="5E68D955" w:rsidR="00F6511E" w:rsidRDefault="00F6511E" w:rsidP="00F6511E">
      <w:pPr>
        <w:jc w:val="both"/>
        <w:rPr>
          <w:rFonts w:ascii="Times New Roman" w:hAnsi="Times New Roman"/>
          <w:szCs w:val="22"/>
        </w:rPr>
      </w:pPr>
      <w:r w:rsidRPr="00650EE4">
        <w:rPr>
          <w:rFonts w:ascii="Times New Roman" w:hAnsi="Times New Roman"/>
          <w:szCs w:val="22"/>
        </w:rPr>
        <w:t>Lentelėse žemiau pateikiami suminiai duomenys api</w:t>
      </w:r>
      <w:r>
        <w:rPr>
          <w:rFonts w:ascii="Times New Roman" w:hAnsi="Times New Roman"/>
          <w:szCs w:val="22"/>
        </w:rPr>
        <w:t>e</w:t>
      </w:r>
      <w:r w:rsidRPr="00650EE4">
        <w:rPr>
          <w:rFonts w:ascii="Times New Roman" w:hAnsi="Times New Roman"/>
          <w:szCs w:val="22"/>
        </w:rPr>
        <w:t xml:space="preserve"> planuojamus </w:t>
      </w:r>
      <w:r>
        <w:rPr>
          <w:rFonts w:ascii="Times New Roman" w:hAnsi="Times New Roman"/>
          <w:szCs w:val="22"/>
        </w:rPr>
        <w:t>viešosios nuosavybės k</w:t>
      </w:r>
      <w:r w:rsidRPr="00650EE4">
        <w:rPr>
          <w:rFonts w:ascii="Times New Roman" w:hAnsi="Times New Roman"/>
          <w:szCs w:val="22"/>
        </w:rPr>
        <w:t>it</w:t>
      </w:r>
      <w:r>
        <w:rPr>
          <w:rFonts w:ascii="Times New Roman" w:hAnsi="Times New Roman"/>
          <w:szCs w:val="22"/>
        </w:rPr>
        <w:t>ų</w:t>
      </w:r>
      <w:r w:rsidRPr="00650EE4">
        <w:rPr>
          <w:rFonts w:ascii="Times New Roman" w:hAnsi="Times New Roman"/>
          <w:szCs w:val="22"/>
        </w:rPr>
        <w:t xml:space="preserve"> negyvenamųjų pastatų renovacijos tempus.</w:t>
      </w:r>
    </w:p>
    <w:p w14:paraId="624DD08D" w14:textId="77777777" w:rsidR="00F6511E" w:rsidRPr="00DC2765" w:rsidRDefault="00F6511E" w:rsidP="00F6511E">
      <w:pPr>
        <w:rPr>
          <w:rFonts w:ascii="Times New Roman" w:hAnsi="Times New Roman"/>
          <w:szCs w:val="22"/>
        </w:rPr>
      </w:pPr>
    </w:p>
    <w:p w14:paraId="5E468D88" w14:textId="11F54EB3" w:rsidR="00F6511E" w:rsidRPr="00650EE4" w:rsidRDefault="00F6511E" w:rsidP="00F6511E">
      <w:pPr>
        <w:pStyle w:val="TESlentelspavadinimas"/>
        <w:rPr>
          <w:noProof w:val="0"/>
        </w:rPr>
      </w:pPr>
      <w:r w:rsidRPr="002B091E">
        <w:rPr>
          <w:noProof w:val="0"/>
        </w:rPr>
        <w:t>Viešosios nuosavybės kitų negyvenamųjų pa</w:t>
      </w:r>
      <w:bookmarkStart w:id="221" w:name="_Hlk58504179"/>
      <w:r w:rsidRPr="002B091E">
        <w:rPr>
          <w:noProof w:val="0"/>
        </w:rPr>
        <w:t xml:space="preserve">statų renovacijos tempai per </w:t>
      </w:r>
      <w:bookmarkEnd w:id="221"/>
      <w:r w:rsidRPr="002B091E">
        <w:rPr>
          <w:noProof w:val="0"/>
        </w:rPr>
        <w:t>metus</w:t>
      </w:r>
      <w:r w:rsidR="00B22AB4">
        <w:rPr>
          <w:noProof w:val="0"/>
        </w:rPr>
        <w:t xml:space="preserve"> (vnt.)</w:t>
      </w:r>
    </w:p>
    <w:tbl>
      <w:tblPr>
        <w:tblW w:w="5000" w:type="pct"/>
        <w:tblLook w:val="04A0" w:firstRow="1" w:lastRow="0" w:firstColumn="1" w:lastColumn="0" w:noHBand="0" w:noVBand="1"/>
      </w:tblPr>
      <w:tblGrid>
        <w:gridCol w:w="2025"/>
        <w:gridCol w:w="1495"/>
        <w:gridCol w:w="1624"/>
        <w:gridCol w:w="1319"/>
        <w:gridCol w:w="1319"/>
        <w:gridCol w:w="1319"/>
        <w:gridCol w:w="1319"/>
      </w:tblGrid>
      <w:tr w:rsidR="00B22AB4" w:rsidRPr="00F6511E" w14:paraId="770C5D7E" w14:textId="77777777" w:rsidTr="009D1C15">
        <w:trPr>
          <w:trHeight w:val="262"/>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32EC3E" w14:textId="77777777" w:rsidR="00B22AB4" w:rsidRPr="00F6511E" w:rsidRDefault="00B22AB4" w:rsidP="009D1C15">
            <w:pPr>
              <w:spacing w:line="240" w:lineRule="auto"/>
              <w:rPr>
                <w:rFonts w:ascii="Times New Roman" w:eastAsia="Times New Roman" w:hAnsi="Times New Roman"/>
                <w:b/>
                <w:bCs/>
                <w:sz w:val="20"/>
                <w:szCs w:val="20"/>
              </w:rPr>
            </w:pPr>
            <w:r w:rsidRPr="00F6511E">
              <w:rPr>
                <w:rFonts w:ascii="Times New Roman" w:eastAsia="Times New Roman" w:hAnsi="Times New Roman"/>
                <w:b/>
                <w:bCs/>
                <w:sz w:val="20"/>
                <w:szCs w:val="20"/>
              </w:rPr>
              <w:t>Pastato etalonas</w:t>
            </w:r>
          </w:p>
        </w:tc>
        <w:tc>
          <w:tcPr>
            <w:tcW w:w="717" w:type="pct"/>
            <w:tcBorders>
              <w:top w:val="single" w:sz="4" w:space="0" w:color="auto"/>
              <w:left w:val="nil"/>
              <w:bottom w:val="single" w:sz="4" w:space="0" w:color="auto"/>
              <w:right w:val="single" w:sz="4" w:space="0" w:color="auto"/>
            </w:tcBorders>
            <w:shd w:val="clear" w:color="000000" w:fill="FFFFFF"/>
            <w:noWrap/>
            <w:vAlign w:val="bottom"/>
            <w:hideMark/>
          </w:tcPr>
          <w:p w14:paraId="749DCEFA"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Nuosavybė</w:t>
            </w:r>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651A3F75"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Mato vnt.</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3B016843"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2021-2023</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0099660"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2024-2030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ADAB804"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2031-2040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3D254CF"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2041-2050</w:t>
            </w:r>
          </w:p>
        </w:tc>
      </w:tr>
      <w:tr w:rsidR="00B22AB4" w:rsidRPr="00F6511E" w14:paraId="5D5160E0" w14:textId="77777777" w:rsidTr="009D1C15">
        <w:trPr>
          <w:trHeight w:val="262"/>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B91E0" w14:textId="77777777" w:rsidR="00B22AB4" w:rsidRPr="00F6511E" w:rsidRDefault="00B22AB4" w:rsidP="009D1C15">
            <w:pPr>
              <w:spacing w:line="240" w:lineRule="auto"/>
              <w:rPr>
                <w:rFonts w:ascii="Times New Roman" w:eastAsia="Times New Roman" w:hAnsi="Times New Roman"/>
                <w:sz w:val="20"/>
                <w:szCs w:val="20"/>
              </w:rPr>
            </w:pPr>
            <w:r w:rsidRPr="00F6511E">
              <w:rPr>
                <w:rFonts w:ascii="Times New Roman" w:eastAsia="Times New Roman" w:hAnsi="Times New Roman"/>
                <w:sz w:val="20"/>
                <w:szCs w:val="20"/>
              </w:rPr>
              <w:t>Kiti negyvenamieji</w:t>
            </w:r>
          </w:p>
        </w:tc>
        <w:tc>
          <w:tcPr>
            <w:tcW w:w="717" w:type="pct"/>
            <w:tcBorders>
              <w:top w:val="single" w:sz="4" w:space="0" w:color="auto"/>
              <w:left w:val="nil"/>
              <w:bottom w:val="single" w:sz="4" w:space="0" w:color="auto"/>
              <w:right w:val="single" w:sz="4" w:space="0" w:color="auto"/>
            </w:tcBorders>
            <w:shd w:val="clear" w:color="000000" w:fill="FFFFFF"/>
            <w:noWrap/>
            <w:vAlign w:val="bottom"/>
            <w:hideMark/>
          </w:tcPr>
          <w:p w14:paraId="29C815D1" w14:textId="77777777" w:rsidR="00B22AB4" w:rsidRPr="00F6511E" w:rsidRDefault="00B22AB4" w:rsidP="009D1C15">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Savivaldybių</w:t>
            </w:r>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7BF9CBCA" w14:textId="77777777" w:rsidR="00B22AB4" w:rsidRPr="00F6511E" w:rsidRDefault="00B22AB4" w:rsidP="009D1C15">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vnt./metus</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390BEE8F" w14:textId="4D32CF8E" w:rsidR="00B22AB4" w:rsidRPr="00C325CC" w:rsidRDefault="00C325CC" w:rsidP="009D1C15">
            <w:pPr>
              <w:spacing w:line="240" w:lineRule="auto"/>
              <w:jc w:val="center"/>
              <w:rPr>
                <w:rFonts w:ascii="Times New Roman" w:eastAsia="Times New Roman" w:hAnsi="Times New Roman"/>
                <w:sz w:val="20"/>
                <w:szCs w:val="20"/>
                <w:lang w:val="en-GB"/>
              </w:rPr>
            </w:pPr>
            <w:r>
              <w:rPr>
                <w:rFonts w:ascii="Times New Roman" w:eastAsia="Times New Roman" w:hAnsi="Times New Roman"/>
                <w:sz w:val="20"/>
                <w:szCs w:val="20"/>
                <w:lang w:val="en-GB"/>
              </w:rPr>
              <w:t>36</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19CBA643" w14:textId="2EB201BC"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86</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34B628AA" w14:textId="4DD70C2B"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178</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B42D0CF" w14:textId="1818DADD"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239</w:t>
            </w:r>
          </w:p>
        </w:tc>
      </w:tr>
      <w:tr w:rsidR="00B22AB4" w:rsidRPr="00F6511E" w14:paraId="27D661ED" w14:textId="77777777" w:rsidTr="009D1C15">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5FE5CC0" w14:textId="77777777" w:rsidR="00B22AB4" w:rsidRPr="00F6511E" w:rsidRDefault="00B22AB4" w:rsidP="009D1C15">
            <w:pPr>
              <w:spacing w:line="240" w:lineRule="auto"/>
              <w:rPr>
                <w:rFonts w:ascii="Times New Roman" w:eastAsia="Times New Roman" w:hAnsi="Times New Roman"/>
                <w:sz w:val="20"/>
                <w:szCs w:val="20"/>
              </w:rPr>
            </w:pPr>
            <w:r w:rsidRPr="00F6511E">
              <w:rPr>
                <w:rFonts w:ascii="Times New Roman" w:eastAsia="Times New Roman" w:hAnsi="Times New Roman"/>
                <w:sz w:val="20"/>
                <w:szCs w:val="20"/>
              </w:rPr>
              <w:t>Kiti negyvenamieji</w:t>
            </w:r>
          </w:p>
        </w:tc>
        <w:tc>
          <w:tcPr>
            <w:tcW w:w="717" w:type="pct"/>
            <w:tcBorders>
              <w:top w:val="nil"/>
              <w:left w:val="nil"/>
              <w:bottom w:val="single" w:sz="4" w:space="0" w:color="auto"/>
              <w:right w:val="single" w:sz="4" w:space="0" w:color="auto"/>
            </w:tcBorders>
            <w:shd w:val="clear" w:color="000000" w:fill="FFFFFF"/>
            <w:noWrap/>
            <w:vAlign w:val="bottom"/>
            <w:hideMark/>
          </w:tcPr>
          <w:p w14:paraId="5A38F064" w14:textId="77777777" w:rsidR="00B22AB4" w:rsidRPr="00F6511E" w:rsidRDefault="00B22AB4" w:rsidP="009D1C15">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Valstybės</w:t>
            </w:r>
          </w:p>
        </w:tc>
        <w:tc>
          <w:tcPr>
            <w:tcW w:w="779" w:type="pct"/>
            <w:tcBorders>
              <w:top w:val="nil"/>
              <w:left w:val="nil"/>
              <w:bottom w:val="single" w:sz="4" w:space="0" w:color="auto"/>
              <w:right w:val="single" w:sz="4" w:space="0" w:color="auto"/>
            </w:tcBorders>
            <w:shd w:val="clear" w:color="000000" w:fill="FFFFFF"/>
            <w:noWrap/>
            <w:vAlign w:val="center"/>
            <w:hideMark/>
          </w:tcPr>
          <w:p w14:paraId="556B0079" w14:textId="77777777" w:rsidR="00B22AB4" w:rsidRPr="00F6511E" w:rsidRDefault="00B22AB4" w:rsidP="009D1C15">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vnt./metus</w:t>
            </w:r>
          </w:p>
        </w:tc>
        <w:tc>
          <w:tcPr>
            <w:tcW w:w="633" w:type="pct"/>
            <w:tcBorders>
              <w:top w:val="nil"/>
              <w:left w:val="nil"/>
              <w:bottom w:val="single" w:sz="4" w:space="0" w:color="auto"/>
              <w:right w:val="single" w:sz="4" w:space="0" w:color="auto"/>
            </w:tcBorders>
            <w:shd w:val="clear" w:color="000000" w:fill="FFFFFF"/>
            <w:noWrap/>
            <w:vAlign w:val="bottom"/>
            <w:hideMark/>
          </w:tcPr>
          <w:p w14:paraId="04FDFB20" w14:textId="3D29D44F"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94</w:t>
            </w:r>
          </w:p>
        </w:tc>
        <w:tc>
          <w:tcPr>
            <w:tcW w:w="633" w:type="pct"/>
            <w:tcBorders>
              <w:top w:val="nil"/>
              <w:left w:val="nil"/>
              <w:bottom w:val="single" w:sz="4" w:space="0" w:color="auto"/>
              <w:right w:val="single" w:sz="4" w:space="0" w:color="auto"/>
            </w:tcBorders>
            <w:shd w:val="clear" w:color="000000" w:fill="FFFFFF"/>
            <w:noWrap/>
            <w:vAlign w:val="bottom"/>
            <w:hideMark/>
          </w:tcPr>
          <w:p w14:paraId="1E97B3F3" w14:textId="7213CA95"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95</w:t>
            </w:r>
          </w:p>
        </w:tc>
        <w:tc>
          <w:tcPr>
            <w:tcW w:w="633" w:type="pct"/>
            <w:tcBorders>
              <w:top w:val="nil"/>
              <w:left w:val="nil"/>
              <w:bottom w:val="single" w:sz="4" w:space="0" w:color="auto"/>
              <w:right w:val="single" w:sz="4" w:space="0" w:color="auto"/>
            </w:tcBorders>
            <w:shd w:val="clear" w:color="000000" w:fill="FFFFFF"/>
            <w:noWrap/>
            <w:vAlign w:val="bottom"/>
            <w:hideMark/>
          </w:tcPr>
          <w:p w14:paraId="3CDF2308" w14:textId="40576D74"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111</w:t>
            </w:r>
          </w:p>
        </w:tc>
        <w:tc>
          <w:tcPr>
            <w:tcW w:w="633" w:type="pct"/>
            <w:tcBorders>
              <w:top w:val="nil"/>
              <w:left w:val="nil"/>
              <w:bottom w:val="single" w:sz="4" w:space="0" w:color="auto"/>
              <w:right w:val="single" w:sz="4" w:space="0" w:color="auto"/>
            </w:tcBorders>
            <w:shd w:val="clear" w:color="000000" w:fill="FFFFFF"/>
            <w:noWrap/>
            <w:vAlign w:val="bottom"/>
            <w:hideMark/>
          </w:tcPr>
          <w:p w14:paraId="574FB4C2" w14:textId="130427A8" w:rsidR="00B22AB4" w:rsidRPr="00F6511E" w:rsidRDefault="00C325CC" w:rsidP="009D1C15">
            <w:pPr>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107</w:t>
            </w:r>
          </w:p>
        </w:tc>
      </w:tr>
      <w:tr w:rsidR="00B22AB4" w:rsidRPr="00F6511E" w14:paraId="680791EE" w14:textId="77777777" w:rsidTr="009D1C15">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667786B4" w14:textId="77777777" w:rsidR="00B22AB4" w:rsidRPr="00F6511E" w:rsidRDefault="00B22AB4" w:rsidP="009D1C15">
            <w:pPr>
              <w:spacing w:line="240" w:lineRule="auto"/>
              <w:rPr>
                <w:rFonts w:ascii="Times New Roman" w:eastAsia="Times New Roman" w:hAnsi="Times New Roman"/>
                <w:b/>
                <w:bCs/>
                <w:sz w:val="20"/>
                <w:szCs w:val="20"/>
              </w:rPr>
            </w:pPr>
            <w:r w:rsidRPr="00F6511E">
              <w:rPr>
                <w:rFonts w:ascii="Times New Roman" w:eastAsia="Times New Roman" w:hAnsi="Times New Roman"/>
                <w:b/>
                <w:bCs/>
                <w:sz w:val="20"/>
                <w:szCs w:val="20"/>
              </w:rPr>
              <w:t>Iš viso</w:t>
            </w:r>
          </w:p>
        </w:tc>
        <w:tc>
          <w:tcPr>
            <w:tcW w:w="717" w:type="pct"/>
            <w:tcBorders>
              <w:top w:val="nil"/>
              <w:left w:val="nil"/>
              <w:bottom w:val="single" w:sz="4" w:space="0" w:color="auto"/>
              <w:right w:val="single" w:sz="4" w:space="0" w:color="auto"/>
            </w:tcBorders>
            <w:shd w:val="clear" w:color="000000" w:fill="FFFFFF"/>
            <w:noWrap/>
            <w:vAlign w:val="bottom"/>
            <w:hideMark/>
          </w:tcPr>
          <w:p w14:paraId="12779DC8"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 </w:t>
            </w:r>
          </w:p>
        </w:tc>
        <w:tc>
          <w:tcPr>
            <w:tcW w:w="779" w:type="pct"/>
            <w:tcBorders>
              <w:top w:val="nil"/>
              <w:left w:val="nil"/>
              <w:bottom w:val="single" w:sz="4" w:space="0" w:color="auto"/>
              <w:right w:val="single" w:sz="4" w:space="0" w:color="auto"/>
            </w:tcBorders>
            <w:shd w:val="clear" w:color="000000" w:fill="FFFFFF"/>
            <w:noWrap/>
            <w:vAlign w:val="center"/>
            <w:hideMark/>
          </w:tcPr>
          <w:p w14:paraId="11ECB4D6"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vnt./metus</w:t>
            </w:r>
          </w:p>
        </w:tc>
        <w:tc>
          <w:tcPr>
            <w:tcW w:w="633" w:type="pct"/>
            <w:tcBorders>
              <w:top w:val="nil"/>
              <w:left w:val="nil"/>
              <w:bottom w:val="single" w:sz="4" w:space="0" w:color="auto"/>
              <w:right w:val="single" w:sz="4" w:space="0" w:color="auto"/>
            </w:tcBorders>
            <w:shd w:val="clear" w:color="000000" w:fill="FFFFFF"/>
            <w:noWrap/>
            <w:vAlign w:val="bottom"/>
            <w:hideMark/>
          </w:tcPr>
          <w:p w14:paraId="40E22B8A"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131</w:t>
            </w:r>
          </w:p>
        </w:tc>
        <w:tc>
          <w:tcPr>
            <w:tcW w:w="633" w:type="pct"/>
            <w:tcBorders>
              <w:top w:val="nil"/>
              <w:left w:val="nil"/>
              <w:bottom w:val="single" w:sz="4" w:space="0" w:color="auto"/>
              <w:right w:val="single" w:sz="4" w:space="0" w:color="auto"/>
            </w:tcBorders>
            <w:shd w:val="clear" w:color="000000" w:fill="FFFFFF"/>
            <w:noWrap/>
            <w:vAlign w:val="bottom"/>
            <w:hideMark/>
          </w:tcPr>
          <w:p w14:paraId="3FAD3702"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182</w:t>
            </w:r>
          </w:p>
        </w:tc>
        <w:tc>
          <w:tcPr>
            <w:tcW w:w="633" w:type="pct"/>
            <w:tcBorders>
              <w:top w:val="nil"/>
              <w:left w:val="nil"/>
              <w:bottom w:val="single" w:sz="4" w:space="0" w:color="auto"/>
              <w:right w:val="single" w:sz="4" w:space="0" w:color="auto"/>
            </w:tcBorders>
            <w:shd w:val="clear" w:color="000000" w:fill="FFFFFF"/>
            <w:noWrap/>
            <w:vAlign w:val="bottom"/>
            <w:hideMark/>
          </w:tcPr>
          <w:p w14:paraId="73241473"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289</w:t>
            </w:r>
          </w:p>
        </w:tc>
        <w:tc>
          <w:tcPr>
            <w:tcW w:w="633" w:type="pct"/>
            <w:tcBorders>
              <w:top w:val="nil"/>
              <w:left w:val="nil"/>
              <w:bottom w:val="single" w:sz="4" w:space="0" w:color="auto"/>
              <w:right w:val="single" w:sz="4" w:space="0" w:color="auto"/>
            </w:tcBorders>
            <w:shd w:val="clear" w:color="000000" w:fill="FFFFFF"/>
            <w:noWrap/>
            <w:vAlign w:val="bottom"/>
            <w:hideMark/>
          </w:tcPr>
          <w:p w14:paraId="4A317FFB" w14:textId="77777777" w:rsidR="00B22AB4" w:rsidRPr="00F6511E" w:rsidRDefault="00B22AB4" w:rsidP="009D1C15">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347</w:t>
            </w:r>
          </w:p>
        </w:tc>
      </w:tr>
    </w:tbl>
    <w:p w14:paraId="0C6702E4" w14:textId="77777777" w:rsidR="00F6511E" w:rsidRPr="00F6511E" w:rsidRDefault="00F6511E" w:rsidP="00F6511E">
      <w:pPr>
        <w:pStyle w:val="TESlentelspavadinimas"/>
        <w:rPr>
          <w:noProof w:val="0"/>
        </w:rPr>
      </w:pPr>
    </w:p>
    <w:p w14:paraId="7E110839" w14:textId="49D378F0" w:rsidR="00F6511E" w:rsidRPr="00B22AB4" w:rsidRDefault="00F6511E" w:rsidP="00B22AB4">
      <w:pPr>
        <w:pStyle w:val="TESlentelspavadinimas"/>
        <w:rPr>
          <w:noProof w:val="0"/>
        </w:rPr>
      </w:pPr>
      <w:r w:rsidRPr="00F6511E">
        <w:rPr>
          <w:noProof w:val="0"/>
        </w:rPr>
        <w:t>Viešosios nuosavybės kitų negyvenamųjų pastatų renovacijos tempai per metus</w:t>
      </w:r>
      <w:r w:rsidR="00B22AB4">
        <w:rPr>
          <w:noProof w:val="0"/>
        </w:rPr>
        <w:t xml:space="preserve"> (</w:t>
      </w:r>
      <w:r w:rsidR="00B22AB4" w:rsidRPr="009D2A06">
        <w:rPr>
          <w:rFonts w:eastAsia="Times New Roman"/>
          <w:lang w:val="en-US"/>
        </w:rPr>
        <w:t>tūkst. m</w:t>
      </w:r>
      <w:r w:rsidR="00B22AB4" w:rsidRPr="00B22AB4">
        <w:rPr>
          <w:rFonts w:eastAsia="Times New Roman"/>
          <w:vertAlign w:val="superscript"/>
          <w:lang w:val="en-US"/>
        </w:rPr>
        <w:t>2</w:t>
      </w:r>
      <w:r w:rsidR="00B22AB4">
        <w:rPr>
          <w:rFonts w:eastAsia="Times New Roman"/>
          <w:lang w:val="en-US"/>
        </w:rPr>
        <w:t>)</w:t>
      </w:r>
    </w:p>
    <w:tbl>
      <w:tblPr>
        <w:tblW w:w="5000" w:type="pct"/>
        <w:tblLook w:val="04A0" w:firstRow="1" w:lastRow="0" w:firstColumn="1" w:lastColumn="0" w:noHBand="0" w:noVBand="1"/>
      </w:tblPr>
      <w:tblGrid>
        <w:gridCol w:w="2025"/>
        <w:gridCol w:w="1495"/>
        <w:gridCol w:w="1624"/>
        <w:gridCol w:w="1319"/>
        <w:gridCol w:w="1319"/>
        <w:gridCol w:w="1319"/>
        <w:gridCol w:w="1319"/>
      </w:tblGrid>
      <w:tr w:rsidR="00B22AB4" w:rsidRPr="002B091E" w14:paraId="6042F0B5" w14:textId="77777777" w:rsidTr="009D1C15">
        <w:trPr>
          <w:trHeight w:val="262"/>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816D01" w14:textId="77777777" w:rsidR="00B22AB4" w:rsidRPr="002B091E" w:rsidRDefault="00B22AB4" w:rsidP="009D1C15">
            <w:pPr>
              <w:spacing w:line="240" w:lineRule="auto"/>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Pastato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etalonas</w:t>
            </w:r>
            <w:proofErr w:type="spellEnd"/>
          </w:p>
        </w:tc>
        <w:tc>
          <w:tcPr>
            <w:tcW w:w="717" w:type="pct"/>
            <w:tcBorders>
              <w:top w:val="single" w:sz="4" w:space="0" w:color="auto"/>
              <w:left w:val="nil"/>
              <w:bottom w:val="single" w:sz="4" w:space="0" w:color="auto"/>
              <w:right w:val="single" w:sz="4" w:space="0" w:color="auto"/>
            </w:tcBorders>
            <w:shd w:val="clear" w:color="000000" w:fill="FFFFFF"/>
            <w:noWrap/>
            <w:vAlign w:val="bottom"/>
            <w:hideMark/>
          </w:tcPr>
          <w:p w14:paraId="2A3F9D53"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Nuosavybė</w:t>
            </w:r>
            <w:proofErr w:type="spellEnd"/>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65834A73"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Mato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vnt</w:t>
            </w:r>
            <w:proofErr w:type="spellEnd"/>
            <w:r w:rsidRPr="002B091E">
              <w:rPr>
                <w:rFonts w:ascii="Times New Roman" w:eastAsia="Times New Roman" w:hAnsi="Times New Roman"/>
                <w:b/>
                <w:bCs/>
                <w:sz w:val="20"/>
                <w:szCs w:val="20"/>
                <w:lang w:val="en-US"/>
              </w:rPr>
              <w:t>.</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78CBFAAF"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2021-2023</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45D14C5"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2024-2030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1F29385"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2031-2040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121239E0"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2041-2050</w:t>
            </w:r>
          </w:p>
        </w:tc>
      </w:tr>
      <w:tr w:rsidR="00B22AB4" w:rsidRPr="009D2A06" w14:paraId="0DBFC21B" w14:textId="77777777" w:rsidTr="009D1C15">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31941A6"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717" w:type="pct"/>
            <w:tcBorders>
              <w:top w:val="nil"/>
              <w:left w:val="nil"/>
              <w:bottom w:val="single" w:sz="4" w:space="0" w:color="auto"/>
              <w:right w:val="single" w:sz="4" w:space="0" w:color="auto"/>
            </w:tcBorders>
            <w:shd w:val="clear" w:color="000000" w:fill="FFFFFF"/>
            <w:noWrap/>
            <w:vAlign w:val="bottom"/>
            <w:hideMark/>
          </w:tcPr>
          <w:p w14:paraId="7AF83460"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779" w:type="pct"/>
            <w:tcBorders>
              <w:top w:val="nil"/>
              <w:left w:val="nil"/>
              <w:bottom w:val="single" w:sz="4" w:space="0" w:color="auto"/>
              <w:right w:val="single" w:sz="4" w:space="0" w:color="auto"/>
            </w:tcBorders>
            <w:shd w:val="clear" w:color="000000" w:fill="FFFFFF"/>
            <w:noWrap/>
            <w:vAlign w:val="center"/>
            <w:hideMark/>
          </w:tcPr>
          <w:p w14:paraId="1EFE3420"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r w:rsidRPr="009D2A06">
              <w:rPr>
                <w:rFonts w:ascii="Times New Roman" w:eastAsia="Times New Roman" w:hAnsi="Times New Roman"/>
                <w:sz w:val="20"/>
                <w:szCs w:val="20"/>
                <w:lang w:val="en-US"/>
              </w:rPr>
              <w:t>/</w:t>
            </w:r>
            <w:proofErr w:type="spellStart"/>
            <w:r w:rsidRPr="009D2A06">
              <w:rPr>
                <w:rFonts w:ascii="Times New Roman" w:eastAsia="Times New Roman" w:hAnsi="Times New Roman"/>
                <w:sz w:val="20"/>
                <w:szCs w:val="20"/>
                <w:lang w:val="en-US"/>
              </w:rPr>
              <w:t>metus</w:t>
            </w:r>
            <w:proofErr w:type="spellEnd"/>
          </w:p>
        </w:tc>
        <w:tc>
          <w:tcPr>
            <w:tcW w:w="633" w:type="pct"/>
            <w:tcBorders>
              <w:top w:val="nil"/>
              <w:left w:val="nil"/>
              <w:bottom w:val="single" w:sz="4" w:space="0" w:color="auto"/>
              <w:right w:val="single" w:sz="4" w:space="0" w:color="auto"/>
            </w:tcBorders>
            <w:shd w:val="clear" w:color="000000" w:fill="FFFFFF"/>
            <w:noWrap/>
            <w:vAlign w:val="bottom"/>
            <w:hideMark/>
          </w:tcPr>
          <w:p w14:paraId="19227396"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46</w:t>
            </w:r>
          </w:p>
        </w:tc>
        <w:tc>
          <w:tcPr>
            <w:tcW w:w="633" w:type="pct"/>
            <w:tcBorders>
              <w:top w:val="nil"/>
              <w:left w:val="nil"/>
              <w:bottom w:val="single" w:sz="4" w:space="0" w:color="auto"/>
              <w:right w:val="single" w:sz="4" w:space="0" w:color="auto"/>
            </w:tcBorders>
            <w:shd w:val="clear" w:color="000000" w:fill="FFFFFF"/>
            <w:noWrap/>
            <w:vAlign w:val="bottom"/>
            <w:hideMark/>
          </w:tcPr>
          <w:p w14:paraId="59B911AA"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110</w:t>
            </w:r>
          </w:p>
        </w:tc>
        <w:tc>
          <w:tcPr>
            <w:tcW w:w="633" w:type="pct"/>
            <w:tcBorders>
              <w:top w:val="nil"/>
              <w:left w:val="nil"/>
              <w:bottom w:val="single" w:sz="4" w:space="0" w:color="auto"/>
              <w:right w:val="single" w:sz="4" w:space="0" w:color="auto"/>
            </w:tcBorders>
            <w:shd w:val="clear" w:color="000000" w:fill="FFFFFF"/>
            <w:noWrap/>
            <w:vAlign w:val="bottom"/>
            <w:hideMark/>
          </w:tcPr>
          <w:p w14:paraId="2BE78E3C"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228</w:t>
            </w:r>
          </w:p>
        </w:tc>
        <w:tc>
          <w:tcPr>
            <w:tcW w:w="633" w:type="pct"/>
            <w:tcBorders>
              <w:top w:val="nil"/>
              <w:left w:val="nil"/>
              <w:bottom w:val="single" w:sz="4" w:space="0" w:color="auto"/>
              <w:right w:val="single" w:sz="4" w:space="0" w:color="auto"/>
            </w:tcBorders>
            <w:shd w:val="clear" w:color="000000" w:fill="FFFFFF"/>
            <w:noWrap/>
            <w:vAlign w:val="bottom"/>
            <w:hideMark/>
          </w:tcPr>
          <w:p w14:paraId="6D4867B7"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307</w:t>
            </w:r>
          </w:p>
        </w:tc>
      </w:tr>
      <w:tr w:rsidR="00B22AB4" w:rsidRPr="009D2A06" w14:paraId="011138A3" w14:textId="77777777" w:rsidTr="009D1C15">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0864B92"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717" w:type="pct"/>
            <w:tcBorders>
              <w:top w:val="nil"/>
              <w:left w:val="nil"/>
              <w:bottom w:val="single" w:sz="4" w:space="0" w:color="auto"/>
              <w:right w:val="single" w:sz="4" w:space="0" w:color="auto"/>
            </w:tcBorders>
            <w:shd w:val="clear" w:color="000000" w:fill="FFFFFF"/>
            <w:noWrap/>
            <w:vAlign w:val="bottom"/>
            <w:hideMark/>
          </w:tcPr>
          <w:p w14:paraId="0B0DD7A4"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779" w:type="pct"/>
            <w:tcBorders>
              <w:top w:val="nil"/>
              <w:left w:val="nil"/>
              <w:bottom w:val="single" w:sz="4" w:space="0" w:color="auto"/>
              <w:right w:val="single" w:sz="4" w:space="0" w:color="auto"/>
            </w:tcBorders>
            <w:shd w:val="clear" w:color="000000" w:fill="FFFFFF"/>
            <w:noWrap/>
            <w:vAlign w:val="center"/>
            <w:hideMark/>
          </w:tcPr>
          <w:p w14:paraId="2D165983"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r w:rsidRPr="009D2A06">
              <w:rPr>
                <w:rFonts w:ascii="Times New Roman" w:eastAsia="Times New Roman" w:hAnsi="Times New Roman"/>
                <w:sz w:val="20"/>
                <w:szCs w:val="20"/>
                <w:lang w:val="en-US"/>
              </w:rPr>
              <w:t>/</w:t>
            </w:r>
            <w:proofErr w:type="spellStart"/>
            <w:r w:rsidRPr="009D2A06">
              <w:rPr>
                <w:rFonts w:ascii="Times New Roman" w:eastAsia="Times New Roman" w:hAnsi="Times New Roman"/>
                <w:sz w:val="20"/>
                <w:szCs w:val="20"/>
                <w:lang w:val="en-US"/>
              </w:rPr>
              <w:t>metus</w:t>
            </w:r>
            <w:proofErr w:type="spellEnd"/>
          </w:p>
        </w:tc>
        <w:tc>
          <w:tcPr>
            <w:tcW w:w="633" w:type="pct"/>
            <w:tcBorders>
              <w:top w:val="nil"/>
              <w:left w:val="nil"/>
              <w:bottom w:val="single" w:sz="4" w:space="0" w:color="auto"/>
              <w:right w:val="single" w:sz="4" w:space="0" w:color="auto"/>
            </w:tcBorders>
            <w:shd w:val="clear" w:color="000000" w:fill="FFFFFF"/>
            <w:noWrap/>
            <w:vAlign w:val="bottom"/>
            <w:hideMark/>
          </w:tcPr>
          <w:p w14:paraId="4D74D380"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121</w:t>
            </w:r>
          </w:p>
        </w:tc>
        <w:tc>
          <w:tcPr>
            <w:tcW w:w="633" w:type="pct"/>
            <w:tcBorders>
              <w:top w:val="nil"/>
              <w:left w:val="nil"/>
              <w:bottom w:val="single" w:sz="4" w:space="0" w:color="auto"/>
              <w:right w:val="single" w:sz="4" w:space="0" w:color="auto"/>
            </w:tcBorders>
            <w:shd w:val="clear" w:color="000000" w:fill="FFFFFF"/>
            <w:noWrap/>
            <w:vAlign w:val="bottom"/>
            <w:hideMark/>
          </w:tcPr>
          <w:p w14:paraId="15E2B855"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123</w:t>
            </w:r>
          </w:p>
        </w:tc>
        <w:tc>
          <w:tcPr>
            <w:tcW w:w="633" w:type="pct"/>
            <w:tcBorders>
              <w:top w:val="nil"/>
              <w:left w:val="nil"/>
              <w:bottom w:val="single" w:sz="4" w:space="0" w:color="auto"/>
              <w:right w:val="single" w:sz="4" w:space="0" w:color="auto"/>
            </w:tcBorders>
            <w:shd w:val="clear" w:color="000000" w:fill="FFFFFF"/>
            <w:noWrap/>
            <w:vAlign w:val="bottom"/>
            <w:hideMark/>
          </w:tcPr>
          <w:p w14:paraId="35C65EC2"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143</w:t>
            </w:r>
          </w:p>
        </w:tc>
        <w:tc>
          <w:tcPr>
            <w:tcW w:w="633" w:type="pct"/>
            <w:tcBorders>
              <w:top w:val="nil"/>
              <w:left w:val="nil"/>
              <w:bottom w:val="single" w:sz="4" w:space="0" w:color="auto"/>
              <w:right w:val="single" w:sz="4" w:space="0" w:color="auto"/>
            </w:tcBorders>
            <w:shd w:val="clear" w:color="000000" w:fill="FFFFFF"/>
            <w:noWrap/>
            <w:vAlign w:val="bottom"/>
            <w:hideMark/>
          </w:tcPr>
          <w:p w14:paraId="162E1611"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137</w:t>
            </w:r>
          </w:p>
        </w:tc>
      </w:tr>
      <w:tr w:rsidR="00B22AB4" w:rsidRPr="009D2A06" w14:paraId="5A47D7D2" w14:textId="77777777" w:rsidTr="009D1C15">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CB66A02" w14:textId="77777777" w:rsidR="00B22AB4" w:rsidRPr="009D2A06" w:rsidRDefault="00B22AB4" w:rsidP="009D1C15">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717" w:type="pct"/>
            <w:tcBorders>
              <w:top w:val="nil"/>
              <w:left w:val="nil"/>
              <w:bottom w:val="single" w:sz="4" w:space="0" w:color="auto"/>
              <w:right w:val="single" w:sz="4" w:space="0" w:color="auto"/>
            </w:tcBorders>
            <w:shd w:val="clear" w:color="000000" w:fill="FFFFFF"/>
            <w:noWrap/>
            <w:vAlign w:val="bottom"/>
            <w:hideMark/>
          </w:tcPr>
          <w:p w14:paraId="4D0D8952"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779" w:type="pct"/>
            <w:tcBorders>
              <w:top w:val="nil"/>
              <w:left w:val="nil"/>
              <w:bottom w:val="single" w:sz="4" w:space="0" w:color="auto"/>
              <w:right w:val="single" w:sz="4" w:space="0" w:color="auto"/>
            </w:tcBorders>
            <w:shd w:val="clear" w:color="000000" w:fill="FFFFFF"/>
            <w:noWrap/>
            <w:vAlign w:val="center"/>
            <w:hideMark/>
          </w:tcPr>
          <w:p w14:paraId="1B59F5C8"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tūkst</w:t>
            </w:r>
            <w:proofErr w:type="spellEnd"/>
            <w:r w:rsidRPr="009D2A06">
              <w:rPr>
                <w:rFonts w:ascii="Times New Roman" w:eastAsia="Times New Roman" w:hAnsi="Times New Roman"/>
                <w:b/>
                <w:bCs/>
                <w:sz w:val="20"/>
                <w:szCs w:val="20"/>
                <w:lang w:val="en-US"/>
              </w:rPr>
              <w:t>. m</w:t>
            </w:r>
            <w:r w:rsidRPr="00B22AB4">
              <w:rPr>
                <w:rFonts w:ascii="Times New Roman" w:eastAsia="Times New Roman" w:hAnsi="Times New Roman"/>
                <w:b/>
                <w:bCs/>
                <w:sz w:val="20"/>
                <w:szCs w:val="20"/>
                <w:vertAlign w:val="superscript"/>
                <w:lang w:val="en-US"/>
              </w:rPr>
              <w:t>2</w:t>
            </w:r>
            <w:r w:rsidRPr="009D2A06">
              <w:rPr>
                <w:rFonts w:ascii="Times New Roman" w:eastAsia="Times New Roman" w:hAnsi="Times New Roman"/>
                <w:b/>
                <w:bCs/>
                <w:sz w:val="20"/>
                <w:szCs w:val="20"/>
                <w:lang w:val="en-US"/>
              </w:rPr>
              <w:t>/</w:t>
            </w:r>
            <w:proofErr w:type="spellStart"/>
            <w:r w:rsidRPr="009D2A06">
              <w:rPr>
                <w:rFonts w:ascii="Times New Roman" w:eastAsia="Times New Roman" w:hAnsi="Times New Roman"/>
                <w:b/>
                <w:bCs/>
                <w:sz w:val="20"/>
                <w:szCs w:val="20"/>
                <w:lang w:val="en-US"/>
              </w:rPr>
              <w:t>metus</w:t>
            </w:r>
            <w:proofErr w:type="spellEnd"/>
          </w:p>
        </w:tc>
        <w:tc>
          <w:tcPr>
            <w:tcW w:w="633" w:type="pct"/>
            <w:tcBorders>
              <w:top w:val="nil"/>
              <w:left w:val="nil"/>
              <w:bottom w:val="single" w:sz="4" w:space="0" w:color="auto"/>
              <w:right w:val="single" w:sz="4" w:space="0" w:color="auto"/>
            </w:tcBorders>
            <w:shd w:val="clear" w:color="000000" w:fill="FFFFFF"/>
            <w:noWrap/>
            <w:vAlign w:val="bottom"/>
            <w:hideMark/>
          </w:tcPr>
          <w:p w14:paraId="6536B380"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167</w:t>
            </w:r>
          </w:p>
        </w:tc>
        <w:tc>
          <w:tcPr>
            <w:tcW w:w="633" w:type="pct"/>
            <w:tcBorders>
              <w:top w:val="nil"/>
              <w:left w:val="nil"/>
              <w:bottom w:val="single" w:sz="4" w:space="0" w:color="auto"/>
              <w:right w:val="single" w:sz="4" w:space="0" w:color="auto"/>
            </w:tcBorders>
            <w:shd w:val="clear" w:color="000000" w:fill="FFFFFF"/>
            <w:noWrap/>
            <w:vAlign w:val="bottom"/>
            <w:hideMark/>
          </w:tcPr>
          <w:p w14:paraId="7E911807"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233</w:t>
            </w:r>
          </w:p>
        </w:tc>
        <w:tc>
          <w:tcPr>
            <w:tcW w:w="633" w:type="pct"/>
            <w:tcBorders>
              <w:top w:val="nil"/>
              <w:left w:val="nil"/>
              <w:bottom w:val="single" w:sz="4" w:space="0" w:color="auto"/>
              <w:right w:val="single" w:sz="4" w:space="0" w:color="auto"/>
            </w:tcBorders>
            <w:shd w:val="clear" w:color="000000" w:fill="FFFFFF"/>
            <w:noWrap/>
            <w:vAlign w:val="bottom"/>
            <w:hideMark/>
          </w:tcPr>
          <w:p w14:paraId="1F53BF47"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371</w:t>
            </w:r>
          </w:p>
        </w:tc>
        <w:tc>
          <w:tcPr>
            <w:tcW w:w="633" w:type="pct"/>
            <w:tcBorders>
              <w:top w:val="nil"/>
              <w:left w:val="nil"/>
              <w:bottom w:val="single" w:sz="4" w:space="0" w:color="auto"/>
              <w:right w:val="single" w:sz="4" w:space="0" w:color="auto"/>
            </w:tcBorders>
            <w:shd w:val="clear" w:color="000000" w:fill="FFFFFF"/>
            <w:noWrap/>
            <w:vAlign w:val="bottom"/>
            <w:hideMark/>
          </w:tcPr>
          <w:p w14:paraId="6ADDCE7F"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444</w:t>
            </w:r>
          </w:p>
        </w:tc>
      </w:tr>
    </w:tbl>
    <w:p w14:paraId="1264724B" w14:textId="77777777" w:rsidR="00B22AB4" w:rsidRPr="00F6511E" w:rsidRDefault="00B22AB4" w:rsidP="00F6511E">
      <w:pPr>
        <w:rPr>
          <w:rFonts w:ascii="Times New Roman" w:hAnsi="Times New Roman"/>
          <w:szCs w:val="22"/>
        </w:rPr>
      </w:pPr>
    </w:p>
    <w:p w14:paraId="6E757202" w14:textId="5A55CAC0" w:rsidR="00F6511E" w:rsidRPr="00F6511E" w:rsidRDefault="00F6511E" w:rsidP="00F6511E">
      <w:pPr>
        <w:pStyle w:val="TESlentelspavadinimas"/>
        <w:rPr>
          <w:noProof w:val="0"/>
        </w:rPr>
      </w:pPr>
      <w:r w:rsidRPr="00F6511E">
        <w:rPr>
          <w:noProof w:val="0"/>
        </w:rPr>
        <w:t>Viešosios nuosavybės kitų negyvenamųjų pastatų renovacijos tempai iš viso per laikotarpį</w:t>
      </w:r>
      <w:r w:rsidR="00B22AB4">
        <w:rPr>
          <w:noProof w:val="0"/>
        </w:rPr>
        <w:t xml:space="preserve"> (vnt.)</w:t>
      </w:r>
    </w:p>
    <w:tbl>
      <w:tblPr>
        <w:tblW w:w="5000" w:type="pct"/>
        <w:tblLook w:val="04A0" w:firstRow="1" w:lastRow="0" w:firstColumn="1" w:lastColumn="0" w:noHBand="0" w:noVBand="1"/>
      </w:tblPr>
      <w:tblGrid>
        <w:gridCol w:w="2031"/>
        <w:gridCol w:w="1686"/>
        <w:gridCol w:w="1792"/>
        <w:gridCol w:w="1205"/>
        <w:gridCol w:w="1238"/>
        <w:gridCol w:w="1238"/>
        <w:gridCol w:w="1230"/>
      </w:tblGrid>
      <w:tr w:rsidR="00B22AB4" w:rsidRPr="002B091E" w14:paraId="3B9B68C3" w14:textId="77777777" w:rsidTr="009D1C15">
        <w:trPr>
          <w:trHeight w:val="188"/>
        </w:trPr>
        <w:tc>
          <w:tcPr>
            <w:tcW w:w="9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B23DFA" w14:textId="77777777" w:rsidR="00B22AB4" w:rsidRPr="002B091E" w:rsidRDefault="00B22AB4" w:rsidP="009D1C15">
            <w:pPr>
              <w:spacing w:line="240" w:lineRule="auto"/>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Pastato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etalonas</w:t>
            </w:r>
            <w:proofErr w:type="spellEnd"/>
          </w:p>
        </w:tc>
        <w:tc>
          <w:tcPr>
            <w:tcW w:w="809" w:type="pct"/>
            <w:tcBorders>
              <w:top w:val="single" w:sz="4" w:space="0" w:color="auto"/>
              <w:left w:val="nil"/>
              <w:bottom w:val="single" w:sz="4" w:space="0" w:color="auto"/>
              <w:right w:val="single" w:sz="4" w:space="0" w:color="auto"/>
            </w:tcBorders>
            <w:shd w:val="clear" w:color="000000" w:fill="FFFFFF"/>
            <w:noWrap/>
            <w:vAlign w:val="bottom"/>
            <w:hideMark/>
          </w:tcPr>
          <w:p w14:paraId="2E004F54"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Nuosavybė</w:t>
            </w:r>
            <w:proofErr w:type="spellEnd"/>
          </w:p>
        </w:tc>
        <w:tc>
          <w:tcPr>
            <w:tcW w:w="860" w:type="pct"/>
            <w:tcBorders>
              <w:top w:val="single" w:sz="4" w:space="0" w:color="auto"/>
              <w:left w:val="nil"/>
              <w:bottom w:val="single" w:sz="4" w:space="0" w:color="auto"/>
              <w:right w:val="single" w:sz="4" w:space="0" w:color="auto"/>
            </w:tcBorders>
            <w:shd w:val="clear" w:color="000000" w:fill="FFFFFF"/>
            <w:noWrap/>
            <w:vAlign w:val="bottom"/>
            <w:hideMark/>
          </w:tcPr>
          <w:p w14:paraId="5CF00323"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Mato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vnt</w:t>
            </w:r>
            <w:proofErr w:type="spellEnd"/>
            <w:r w:rsidRPr="002B091E">
              <w:rPr>
                <w:rFonts w:ascii="Times New Roman" w:eastAsia="Times New Roman" w:hAnsi="Times New Roman"/>
                <w:b/>
                <w:bCs/>
                <w:sz w:val="20"/>
                <w:szCs w:val="20"/>
                <w:lang w:val="en-US"/>
              </w:rPr>
              <w:t>.</w:t>
            </w:r>
          </w:p>
        </w:tc>
        <w:tc>
          <w:tcPr>
            <w:tcW w:w="578" w:type="pct"/>
            <w:tcBorders>
              <w:top w:val="single" w:sz="4" w:space="0" w:color="auto"/>
              <w:left w:val="nil"/>
              <w:bottom w:val="single" w:sz="4" w:space="0" w:color="auto"/>
              <w:right w:val="single" w:sz="4" w:space="0" w:color="auto"/>
            </w:tcBorders>
            <w:shd w:val="clear" w:color="000000" w:fill="FFFFFF"/>
            <w:noWrap/>
            <w:vAlign w:val="bottom"/>
            <w:hideMark/>
          </w:tcPr>
          <w:p w14:paraId="7EB53A57"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2021-2023</w:t>
            </w:r>
          </w:p>
        </w:tc>
        <w:tc>
          <w:tcPr>
            <w:tcW w:w="594" w:type="pct"/>
            <w:tcBorders>
              <w:top w:val="single" w:sz="4" w:space="0" w:color="auto"/>
              <w:left w:val="nil"/>
              <w:bottom w:val="single" w:sz="4" w:space="0" w:color="auto"/>
              <w:right w:val="single" w:sz="4" w:space="0" w:color="auto"/>
            </w:tcBorders>
            <w:shd w:val="clear" w:color="000000" w:fill="FFFFFF"/>
            <w:noWrap/>
            <w:vAlign w:val="bottom"/>
            <w:hideMark/>
          </w:tcPr>
          <w:p w14:paraId="098C19A3"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2024-2030</w:t>
            </w:r>
          </w:p>
        </w:tc>
        <w:tc>
          <w:tcPr>
            <w:tcW w:w="594" w:type="pct"/>
            <w:tcBorders>
              <w:top w:val="single" w:sz="4" w:space="0" w:color="auto"/>
              <w:left w:val="nil"/>
              <w:bottom w:val="single" w:sz="4" w:space="0" w:color="auto"/>
              <w:right w:val="single" w:sz="4" w:space="0" w:color="auto"/>
            </w:tcBorders>
            <w:shd w:val="clear" w:color="000000" w:fill="FFFFFF"/>
            <w:noWrap/>
            <w:vAlign w:val="bottom"/>
            <w:hideMark/>
          </w:tcPr>
          <w:p w14:paraId="5EC0499F"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2031-2040</w:t>
            </w:r>
          </w:p>
        </w:tc>
        <w:tc>
          <w:tcPr>
            <w:tcW w:w="591" w:type="pct"/>
            <w:tcBorders>
              <w:top w:val="single" w:sz="4" w:space="0" w:color="auto"/>
              <w:left w:val="nil"/>
              <w:bottom w:val="single" w:sz="4" w:space="0" w:color="auto"/>
              <w:right w:val="single" w:sz="4" w:space="0" w:color="auto"/>
            </w:tcBorders>
            <w:shd w:val="clear" w:color="000000" w:fill="FFFFFF"/>
            <w:noWrap/>
            <w:vAlign w:val="bottom"/>
            <w:hideMark/>
          </w:tcPr>
          <w:p w14:paraId="11D53693"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2041-2050</w:t>
            </w:r>
          </w:p>
        </w:tc>
      </w:tr>
      <w:tr w:rsidR="00B22AB4" w:rsidRPr="009D2A06" w14:paraId="4FE2CF11" w14:textId="77777777" w:rsidTr="009D1C15">
        <w:trPr>
          <w:trHeight w:val="188"/>
        </w:trPr>
        <w:tc>
          <w:tcPr>
            <w:tcW w:w="975" w:type="pct"/>
            <w:tcBorders>
              <w:top w:val="nil"/>
              <w:left w:val="single" w:sz="4" w:space="0" w:color="auto"/>
              <w:bottom w:val="single" w:sz="4" w:space="0" w:color="auto"/>
              <w:right w:val="single" w:sz="4" w:space="0" w:color="auto"/>
            </w:tcBorders>
            <w:shd w:val="clear" w:color="000000" w:fill="FFFFFF"/>
            <w:noWrap/>
            <w:vAlign w:val="bottom"/>
            <w:hideMark/>
          </w:tcPr>
          <w:p w14:paraId="540EE5FE"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809" w:type="pct"/>
            <w:tcBorders>
              <w:top w:val="nil"/>
              <w:left w:val="nil"/>
              <w:bottom w:val="single" w:sz="4" w:space="0" w:color="auto"/>
              <w:right w:val="single" w:sz="4" w:space="0" w:color="auto"/>
            </w:tcBorders>
            <w:shd w:val="clear" w:color="000000" w:fill="FFFFFF"/>
            <w:noWrap/>
            <w:vAlign w:val="bottom"/>
            <w:hideMark/>
          </w:tcPr>
          <w:p w14:paraId="5A9A235A"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860" w:type="pct"/>
            <w:tcBorders>
              <w:top w:val="nil"/>
              <w:left w:val="nil"/>
              <w:bottom w:val="single" w:sz="4" w:space="0" w:color="auto"/>
              <w:right w:val="single" w:sz="4" w:space="0" w:color="auto"/>
            </w:tcBorders>
            <w:shd w:val="clear" w:color="000000" w:fill="FFFFFF"/>
            <w:noWrap/>
            <w:vAlign w:val="bottom"/>
            <w:hideMark/>
          </w:tcPr>
          <w:p w14:paraId="664B2AFB"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vnt</w:t>
            </w:r>
            <w:proofErr w:type="spellEnd"/>
            <w:r w:rsidRPr="009D2A06">
              <w:rPr>
                <w:rFonts w:ascii="Times New Roman" w:eastAsia="Times New Roman" w:hAnsi="Times New Roman"/>
                <w:sz w:val="20"/>
                <w:szCs w:val="20"/>
                <w:lang w:val="en-US"/>
              </w:rPr>
              <w:t>.</w:t>
            </w:r>
          </w:p>
        </w:tc>
        <w:tc>
          <w:tcPr>
            <w:tcW w:w="578" w:type="pct"/>
            <w:tcBorders>
              <w:top w:val="nil"/>
              <w:left w:val="nil"/>
              <w:bottom w:val="single" w:sz="4" w:space="0" w:color="auto"/>
              <w:right w:val="single" w:sz="4" w:space="0" w:color="auto"/>
            </w:tcBorders>
            <w:shd w:val="clear" w:color="000000" w:fill="FFFFFF"/>
            <w:noWrap/>
            <w:vAlign w:val="bottom"/>
            <w:hideMark/>
          </w:tcPr>
          <w:p w14:paraId="6CBCBF9D"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109</w:t>
            </w:r>
          </w:p>
        </w:tc>
        <w:tc>
          <w:tcPr>
            <w:tcW w:w="594" w:type="pct"/>
            <w:tcBorders>
              <w:top w:val="nil"/>
              <w:left w:val="nil"/>
              <w:bottom w:val="single" w:sz="4" w:space="0" w:color="auto"/>
              <w:right w:val="single" w:sz="4" w:space="0" w:color="auto"/>
            </w:tcBorders>
            <w:shd w:val="clear" w:color="000000" w:fill="FFFFFF"/>
            <w:noWrap/>
            <w:vAlign w:val="bottom"/>
            <w:hideMark/>
          </w:tcPr>
          <w:p w14:paraId="200FE179"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605</w:t>
            </w:r>
          </w:p>
        </w:tc>
        <w:tc>
          <w:tcPr>
            <w:tcW w:w="594" w:type="pct"/>
            <w:tcBorders>
              <w:top w:val="nil"/>
              <w:left w:val="nil"/>
              <w:bottom w:val="single" w:sz="4" w:space="0" w:color="auto"/>
              <w:right w:val="single" w:sz="4" w:space="0" w:color="auto"/>
            </w:tcBorders>
            <w:shd w:val="clear" w:color="000000" w:fill="FFFFFF"/>
            <w:noWrap/>
            <w:vAlign w:val="bottom"/>
            <w:hideMark/>
          </w:tcPr>
          <w:p w14:paraId="1C49A6F7"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1780</w:t>
            </w:r>
          </w:p>
        </w:tc>
        <w:tc>
          <w:tcPr>
            <w:tcW w:w="591" w:type="pct"/>
            <w:tcBorders>
              <w:top w:val="nil"/>
              <w:left w:val="nil"/>
              <w:bottom w:val="single" w:sz="4" w:space="0" w:color="auto"/>
              <w:right w:val="single" w:sz="4" w:space="0" w:color="auto"/>
            </w:tcBorders>
            <w:shd w:val="clear" w:color="000000" w:fill="FFFFFF"/>
            <w:noWrap/>
            <w:vAlign w:val="bottom"/>
            <w:hideMark/>
          </w:tcPr>
          <w:p w14:paraId="50971A8F"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2394</w:t>
            </w:r>
          </w:p>
        </w:tc>
      </w:tr>
      <w:tr w:rsidR="00B22AB4" w:rsidRPr="009D2A06" w14:paraId="0CACFB0D" w14:textId="77777777" w:rsidTr="009D1C15">
        <w:trPr>
          <w:trHeight w:val="188"/>
        </w:trPr>
        <w:tc>
          <w:tcPr>
            <w:tcW w:w="975" w:type="pct"/>
            <w:tcBorders>
              <w:top w:val="nil"/>
              <w:left w:val="single" w:sz="4" w:space="0" w:color="auto"/>
              <w:bottom w:val="single" w:sz="4" w:space="0" w:color="auto"/>
              <w:right w:val="single" w:sz="4" w:space="0" w:color="auto"/>
            </w:tcBorders>
            <w:shd w:val="clear" w:color="000000" w:fill="FFFFFF"/>
            <w:noWrap/>
            <w:vAlign w:val="bottom"/>
            <w:hideMark/>
          </w:tcPr>
          <w:p w14:paraId="4B2EA753"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809" w:type="pct"/>
            <w:tcBorders>
              <w:top w:val="nil"/>
              <w:left w:val="nil"/>
              <w:bottom w:val="single" w:sz="4" w:space="0" w:color="auto"/>
              <w:right w:val="single" w:sz="4" w:space="0" w:color="auto"/>
            </w:tcBorders>
            <w:shd w:val="clear" w:color="000000" w:fill="FFFFFF"/>
            <w:noWrap/>
            <w:vAlign w:val="bottom"/>
            <w:hideMark/>
          </w:tcPr>
          <w:p w14:paraId="57D6076C"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860" w:type="pct"/>
            <w:tcBorders>
              <w:top w:val="nil"/>
              <w:left w:val="nil"/>
              <w:bottom w:val="single" w:sz="4" w:space="0" w:color="auto"/>
              <w:right w:val="single" w:sz="4" w:space="0" w:color="auto"/>
            </w:tcBorders>
            <w:shd w:val="clear" w:color="000000" w:fill="FFFFFF"/>
            <w:noWrap/>
            <w:vAlign w:val="bottom"/>
            <w:hideMark/>
          </w:tcPr>
          <w:p w14:paraId="48E7A622"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vnt</w:t>
            </w:r>
            <w:proofErr w:type="spellEnd"/>
            <w:r w:rsidRPr="009D2A06">
              <w:rPr>
                <w:rFonts w:ascii="Times New Roman" w:eastAsia="Times New Roman" w:hAnsi="Times New Roman"/>
                <w:sz w:val="20"/>
                <w:szCs w:val="20"/>
                <w:lang w:val="en-US"/>
              </w:rPr>
              <w:t>.</w:t>
            </w:r>
          </w:p>
        </w:tc>
        <w:tc>
          <w:tcPr>
            <w:tcW w:w="578" w:type="pct"/>
            <w:tcBorders>
              <w:top w:val="nil"/>
              <w:left w:val="nil"/>
              <w:bottom w:val="single" w:sz="4" w:space="0" w:color="auto"/>
              <w:right w:val="single" w:sz="4" w:space="0" w:color="auto"/>
            </w:tcBorders>
            <w:shd w:val="clear" w:color="000000" w:fill="FFFFFF"/>
            <w:noWrap/>
            <w:vAlign w:val="bottom"/>
            <w:hideMark/>
          </w:tcPr>
          <w:p w14:paraId="79DD2F67"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283</w:t>
            </w:r>
          </w:p>
        </w:tc>
        <w:tc>
          <w:tcPr>
            <w:tcW w:w="594" w:type="pct"/>
            <w:tcBorders>
              <w:top w:val="nil"/>
              <w:left w:val="nil"/>
              <w:bottom w:val="single" w:sz="4" w:space="0" w:color="auto"/>
              <w:right w:val="single" w:sz="4" w:space="0" w:color="auto"/>
            </w:tcBorders>
            <w:shd w:val="clear" w:color="000000" w:fill="FFFFFF"/>
            <w:noWrap/>
            <w:vAlign w:val="bottom"/>
            <w:hideMark/>
          </w:tcPr>
          <w:p w14:paraId="35708671"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666</w:t>
            </w:r>
          </w:p>
        </w:tc>
        <w:tc>
          <w:tcPr>
            <w:tcW w:w="594" w:type="pct"/>
            <w:tcBorders>
              <w:top w:val="nil"/>
              <w:left w:val="nil"/>
              <w:bottom w:val="single" w:sz="4" w:space="0" w:color="auto"/>
              <w:right w:val="single" w:sz="4" w:space="0" w:color="auto"/>
            </w:tcBorders>
            <w:shd w:val="clear" w:color="000000" w:fill="FFFFFF"/>
            <w:noWrap/>
            <w:vAlign w:val="bottom"/>
            <w:hideMark/>
          </w:tcPr>
          <w:p w14:paraId="38E278D7"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1114</w:t>
            </w:r>
          </w:p>
        </w:tc>
        <w:tc>
          <w:tcPr>
            <w:tcW w:w="591" w:type="pct"/>
            <w:tcBorders>
              <w:top w:val="nil"/>
              <w:left w:val="nil"/>
              <w:bottom w:val="single" w:sz="4" w:space="0" w:color="auto"/>
              <w:right w:val="single" w:sz="4" w:space="0" w:color="auto"/>
            </w:tcBorders>
            <w:shd w:val="clear" w:color="000000" w:fill="FFFFFF"/>
            <w:noWrap/>
            <w:vAlign w:val="bottom"/>
            <w:hideMark/>
          </w:tcPr>
          <w:p w14:paraId="63429723"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1071</w:t>
            </w:r>
          </w:p>
        </w:tc>
      </w:tr>
      <w:tr w:rsidR="00B22AB4" w:rsidRPr="009D2A06" w14:paraId="36FA6462" w14:textId="77777777" w:rsidTr="009D1C15">
        <w:trPr>
          <w:trHeight w:val="188"/>
        </w:trPr>
        <w:tc>
          <w:tcPr>
            <w:tcW w:w="975" w:type="pct"/>
            <w:tcBorders>
              <w:top w:val="nil"/>
              <w:left w:val="single" w:sz="4" w:space="0" w:color="auto"/>
              <w:bottom w:val="single" w:sz="4" w:space="0" w:color="auto"/>
              <w:right w:val="single" w:sz="4" w:space="0" w:color="auto"/>
            </w:tcBorders>
            <w:shd w:val="clear" w:color="000000" w:fill="FFFFFF"/>
            <w:noWrap/>
            <w:vAlign w:val="bottom"/>
            <w:hideMark/>
          </w:tcPr>
          <w:p w14:paraId="6327D353" w14:textId="77777777" w:rsidR="00B22AB4" w:rsidRPr="009D2A06" w:rsidRDefault="00B22AB4" w:rsidP="009D1C15">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809" w:type="pct"/>
            <w:tcBorders>
              <w:top w:val="nil"/>
              <w:left w:val="nil"/>
              <w:bottom w:val="single" w:sz="4" w:space="0" w:color="auto"/>
              <w:right w:val="single" w:sz="4" w:space="0" w:color="auto"/>
            </w:tcBorders>
            <w:shd w:val="clear" w:color="000000" w:fill="FFFFFF"/>
            <w:noWrap/>
            <w:vAlign w:val="bottom"/>
            <w:hideMark/>
          </w:tcPr>
          <w:p w14:paraId="09E2FA70"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860" w:type="pct"/>
            <w:tcBorders>
              <w:top w:val="nil"/>
              <w:left w:val="nil"/>
              <w:bottom w:val="single" w:sz="4" w:space="0" w:color="auto"/>
              <w:right w:val="single" w:sz="4" w:space="0" w:color="auto"/>
            </w:tcBorders>
            <w:shd w:val="clear" w:color="000000" w:fill="FFFFFF"/>
            <w:noWrap/>
            <w:vAlign w:val="bottom"/>
            <w:hideMark/>
          </w:tcPr>
          <w:p w14:paraId="63AE41A6"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vnt</w:t>
            </w:r>
            <w:proofErr w:type="spellEnd"/>
            <w:r w:rsidRPr="009D2A06">
              <w:rPr>
                <w:rFonts w:ascii="Times New Roman" w:eastAsia="Times New Roman" w:hAnsi="Times New Roman"/>
                <w:b/>
                <w:bCs/>
                <w:sz w:val="20"/>
                <w:szCs w:val="20"/>
                <w:lang w:val="en-US"/>
              </w:rPr>
              <w:t>.</w:t>
            </w:r>
          </w:p>
        </w:tc>
        <w:tc>
          <w:tcPr>
            <w:tcW w:w="578" w:type="pct"/>
            <w:tcBorders>
              <w:top w:val="nil"/>
              <w:left w:val="nil"/>
              <w:bottom w:val="single" w:sz="4" w:space="0" w:color="auto"/>
              <w:right w:val="single" w:sz="4" w:space="0" w:color="auto"/>
            </w:tcBorders>
            <w:shd w:val="clear" w:color="000000" w:fill="FFFFFF"/>
            <w:noWrap/>
            <w:vAlign w:val="bottom"/>
            <w:hideMark/>
          </w:tcPr>
          <w:p w14:paraId="2F196887"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392</w:t>
            </w:r>
          </w:p>
        </w:tc>
        <w:tc>
          <w:tcPr>
            <w:tcW w:w="594" w:type="pct"/>
            <w:tcBorders>
              <w:top w:val="nil"/>
              <w:left w:val="nil"/>
              <w:bottom w:val="single" w:sz="4" w:space="0" w:color="auto"/>
              <w:right w:val="single" w:sz="4" w:space="0" w:color="auto"/>
            </w:tcBorders>
            <w:shd w:val="clear" w:color="000000" w:fill="FFFFFF"/>
            <w:noWrap/>
            <w:vAlign w:val="bottom"/>
            <w:hideMark/>
          </w:tcPr>
          <w:p w14:paraId="7CCBDA1B"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1271</w:t>
            </w:r>
          </w:p>
        </w:tc>
        <w:tc>
          <w:tcPr>
            <w:tcW w:w="594" w:type="pct"/>
            <w:tcBorders>
              <w:top w:val="nil"/>
              <w:left w:val="nil"/>
              <w:bottom w:val="single" w:sz="4" w:space="0" w:color="auto"/>
              <w:right w:val="single" w:sz="4" w:space="0" w:color="auto"/>
            </w:tcBorders>
            <w:shd w:val="clear" w:color="000000" w:fill="FFFFFF"/>
            <w:noWrap/>
            <w:vAlign w:val="bottom"/>
            <w:hideMark/>
          </w:tcPr>
          <w:p w14:paraId="337B408F"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2894</w:t>
            </w:r>
          </w:p>
        </w:tc>
        <w:tc>
          <w:tcPr>
            <w:tcW w:w="591" w:type="pct"/>
            <w:tcBorders>
              <w:top w:val="nil"/>
              <w:left w:val="nil"/>
              <w:bottom w:val="single" w:sz="4" w:space="0" w:color="auto"/>
              <w:right w:val="single" w:sz="4" w:space="0" w:color="auto"/>
            </w:tcBorders>
            <w:shd w:val="clear" w:color="000000" w:fill="FFFFFF"/>
            <w:noWrap/>
            <w:vAlign w:val="bottom"/>
            <w:hideMark/>
          </w:tcPr>
          <w:p w14:paraId="1A688671"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3465</w:t>
            </w:r>
          </w:p>
        </w:tc>
      </w:tr>
    </w:tbl>
    <w:p w14:paraId="09B0EC26" w14:textId="77777777" w:rsidR="00F6511E" w:rsidRPr="00F6511E" w:rsidRDefault="00F6511E" w:rsidP="00F6511E">
      <w:pPr>
        <w:pStyle w:val="TESlentelspavadinimas"/>
        <w:rPr>
          <w:noProof w:val="0"/>
        </w:rPr>
      </w:pPr>
    </w:p>
    <w:p w14:paraId="63602626" w14:textId="2FC66BB5" w:rsidR="00F6511E" w:rsidRPr="00F6511E" w:rsidRDefault="00F6511E" w:rsidP="00F6511E">
      <w:pPr>
        <w:pStyle w:val="TESlentelspavadinimas"/>
        <w:rPr>
          <w:noProof w:val="0"/>
        </w:rPr>
      </w:pPr>
      <w:r w:rsidRPr="00F6511E">
        <w:rPr>
          <w:noProof w:val="0"/>
        </w:rPr>
        <w:t>Viešosios nuosavybės kitų negyvenamųjų pastatų renovacijos iš viso per laikotarpį</w:t>
      </w:r>
      <w:r w:rsidR="00B22AB4">
        <w:rPr>
          <w:noProof w:val="0"/>
        </w:rPr>
        <w:t xml:space="preserve"> (</w:t>
      </w:r>
      <w:r w:rsidR="00B22AB4" w:rsidRPr="009D2A06">
        <w:rPr>
          <w:rFonts w:eastAsia="Times New Roman"/>
          <w:lang w:val="en-US"/>
        </w:rPr>
        <w:t>tūkst. m</w:t>
      </w:r>
      <w:r w:rsidR="00B22AB4" w:rsidRPr="00B22AB4">
        <w:rPr>
          <w:rFonts w:eastAsia="Times New Roman"/>
          <w:vertAlign w:val="superscript"/>
          <w:lang w:val="en-US"/>
        </w:rPr>
        <w:t>2</w:t>
      </w:r>
      <w:r w:rsidR="00B22AB4">
        <w:rPr>
          <w:rFonts w:eastAsia="Times New Roman"/>
          <w:lang w:val="en-US"/>
        </w:rPr>
        <w:t>)</w:t>
      </w:r>
    </w:p>
    <w:tbl>
      <w:tblPr>
        <w:tblW w:w="5000" w:type="pct"/>
        <w:tblLayout w:type="fixed"/>
        <w:tblLook w:val="04A0" w:firstRow="1" w:lastRow="0" w:firstColumn="1" w:lastColumn="0" w:noHBand="0" w:noVBand="1"/>
      </w:tblPr>
      <w:tblGrid>
        <w:gridCol w:w="2091"/>
        <w:gridCol w:w="1613"/>
        <w:gridCol w:w="1773"/>
        <w:gridCol w:w="1235"/>
        <w:gridCol w:w="1236"/>
        <w:gridCol w:w="1236"/>
        <w:gridCol w:w="1236"/>
      </w:tblGrid>
      <w:tr w:rsidR="00B22AB4" w:rsidRPr="002B091E" w14:paraId="115BF243" w14:textId="77777777" w:rsidTr="009D1C15">
        <w:trPr>
          <w:trHeight w:val="188"/>
        </w:trPr>
        <w:tc>
          <w:tcPr>
            <w:tcW w:w="20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0E2331" w14:textId="77777777" w:rsidR="00B22AB4" w:rsidRPr="002B091E" w:rsidRDefault="00B22AB4" w:rsidP="009D1C15">
            <w:pPr>
              <w:spacing w:line="240" w:lineRule="auto"/>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Pastato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etalonas</w:t>
            </w:r>
            <w:proofErr w:type="spellEnd"/>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6568C2CD"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Nuosavybė</w:t>
            </w:r>
            <w:proofErr w:type="spellEnd"/>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14:paraId="7F060E8E"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Mato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vnt</w:t>
            </w:r>
            <w:proofErr w:type="spellEnd"/>
            <w:r w:rsidRPr="002B091E">
              <w:rPr>
                <w:rFonts w:ascii="Times New Roman" w:eastAsia="Times New Roman" w:hAnsi="Times New Roman"/>
                <w:b/>
                <w:bCs/>
                <w:sz w:val="20"/>
                <w:szCs w:val="20"/>
                <w:lang w:val="en-US"/>
              </w:rPr>
              <w:t>.</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266966DB"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2021-2023</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49BB068"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2024-2030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53CB5F3F"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2031-2040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C11C915" w14:textId="77777777" w:rsidR="00B22AB4" w:rsidRPr="002B091E" w:rsidRDefault="00B22AB4" w:rsidP="009D1C15">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2041-2050</w:t>
            </w:r>
          </w:p>
        </w:tc>
      </w:tr>
      <w:tr w:rsidR="00B22AB4" w:rsidRPr="009D2A06" w14:paraId="7238B305"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0F69C0B2"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671223A9"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3DEEF0AC"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p>
        </w:tc>
        <w:tc>
          <w:tcPr>
            <w:tcW w:w="1208" w:type="dxa"/>
            <w:tcBorders>
              <w:top w:val="nil"/>
              <w:left w:val="nil"/>
              <w:bottom w:val="single" w:sz="4" w:space="0" w:color="auto"/>
              <w:right w:val="single" w:sz="4" w:space="0" w:color="auto"/>
            </w:tcBorders>
            <w:shd w:val="clear" w:color="000000" w:fill="FFFFFF"/>
            <w:noWrap/>
            <w:vAlign w:val="bottom"/>
            <w:hideMark/>
          </w:tcPr>
          <w:p w14:paraId="1293CE01"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139</w:t>
            </w:r>
          </w:p>
        </w:tc>
        <w:tc>
          <w:tcPr>
            <w:tcW w:w="1209" w:type="dxa"/>
            <w:tcBorders>
              <w:top w:val="nil"/>
              <w:left w:val="nil"/>
              <w:bottom w:val="single" w:sz="4" w:space="0" w:color="auto"/>
              <w:right w:val="single" w:sz="4" w:space="0" w:color="auto"/>
            </w:tcBorders>
            <w:shd w:val="clear" w:color="000000" w:fill="FFFFFF"/>
            <w:noWrap/>
            <w:vAlign w:val="bottom"/>
            <w:hideMark/>
          </w:tcPr>
          <w:p w14:paraId="4B52B5D5"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770</w:t>
            </w:r>
          </w:p>
        </w:tc>
        <w:tc>
          <w:tcPr>
            <w:tcW w:w="1209" w:type="dxa"/>
            <w:tcBorders>
              <w:top w:val="nil"/>
              <w:left w:val="nil"/>
              <w:bottom w:val="single" w:sz="4" w:space="0" w:color="auto"/>
              <w:right w:val="single" w:sz="4" w:space="0" w:color="auto"/>
            </w:tcBorders>
            <w:shd w:val="clear" w:color="000000" w:fill="FFFFFF"/>
            <w:noWrap/>
            <w:vAlign w:val="bottom"/>
            <w:hideMark/>
          </w:tcPr>
          <w:p w14:paraId="3F16926E"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2279</w:t>
            </w:r>
          </w:p>
        </w:tc>
        <w:tc>
          <w:tcPr>
            <w:tcW w:w="1209" w:type="dxa"/>
            <w:tcBorders>
              <w:top w:val="nil"/>
              <w:left w:val="nil"/>
              <w:bottom w:val="single" w:sz="4" w:space="0" w:color="auto"/>
              <w:right w:val="single" w:sz="4" w:space="0" w:color="auto"/>
            </w:tcBorders>
            <w:shd w:val="clear" w:color="000000" w:fill="FFFFFF"/>
            <w:noWrap/>
            <w:vAlign w:val="bottom"/>
            <w:hideMark/>
          </w:tcPr>
          <w:p w14:paraId="5FFC6EEF"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3067</w:t>
            </w:r>
          </w:p>
        </w:tc>
      </w:tr>
      <w:tr w:rsidR="00B22AB4" w:rsidRPr="009D2A06" w14:paraId="484DEBF6"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0438ABC0"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0D218BA4"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5AF6D078"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p>
        </w:tc>
        <w:tc>
          <w:tcPr>
            <w:tcW w:w="1208" w:type="dxa"/>
            <w:tcBorders>
              <w:top w:val="nil"/>
              <w:left w:val="nil"/>
              <w:bottom w:val="single" w:sz="4" w:space="0" w:color="auto"/>
              <w:right w:val="single" w:sz="4" w:space="0" w:color="auto"/>
            </w:tcBorders>
            <w:shd w:val="clear" w:color="000000" w:fill="FFFFFF"/>
            <w:noWrap/>
            <w:vAlign w:val="bottom"/>
            <w:hideMark/>
          </w:tcPr>
          <w:p w14:paraId="49A866C8"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363</w:t>
            </w:r>
          </w:p>
        </w:tc>
        <w:tc>
          <w:tcPr>
            <w:tcW w:w="1209" w:type="dxa"/>
            <w:tcBorders>
              <w:top w:val="nil"/>
              <w:left w:val="nil"/>
              <w:bottom w:val="single" w:sz="4" w:space="0" w:color="auto"/>
              <w:right w:val="single" w:sz="4" w:space="0" w:color="auto"/>
            </w:tcBorders>
            <w:shd w:val="clear" w:color="000000" w:fill="FFFFFF"/>
            <w:noWrap/>
            <w:vAlign w:val="bottom"/>
            <w:hideMark/>
          </w:tcPr>
          <w:p w14:paraId="5C7BE2AB"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858</w:t>
            </w:r>
          </w:p>
        </w:tc>
        <w:tc>
          <w:tcPr>
            <w:tcW w:w="1209" w:type="dxa"/>
            <w:tcBorders>
              <w:top w:val="nil"/>
              <w:left w:val="nil"/>
              <w:bottom w:val="single" w:sz="4" w:space="0" w:color="auto"/>
              <w:right w:val="single" w:sz="4" w:space="0" w:color="auto"/>
            </w:tcBorders>
            <w:shd w:val="clear" w:color="000000" w:fill="FFFFFF"/>
            <w:noWrap/>
            <w:vAlign w:val="bottom"/>
            <w:hideMark/>
          </w:tcPr>
          <w:p w14:paraId="17B39610"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1428</w:t>
            </w:r>
          </w:p>
        </w:tc>
        <w:tc>
          <w:tcPr>
            <w:tcW w:w="1209" w:type="dxa"/>
            <w:tcBorders>
              <w:top w:val="nil"/>
              <w:left w:val="nil"/>
              <w:bottom w:val="single" w:sz="4" w:space="0" w:color="auto"/>
              <w:right w:val="single" w:sz="4" w:space="0" w:color="auto"/>
            </w:tcBorders>
            <w:shd w:val="clear" w:color="000000" w:fill="FFFFFF"/>
            <w:noWrap/>
            <w:vAlign w:val="bottom"/>
            <w:hideMark/>
          </w:tcPr>
          <w:p w14:paraId="5F90926B"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1371</w:t>
            </w:r>
          </w:p>
        </w:tc>
      </w:tr>
      <w:tr w:rsidR="00B22AB4" w:rsidRPr="009D2A06" w14:paraId="5772532E"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70621514" w14:textId="77777777" w:rsidR="00B22AB4" w:rsidRPr="009D2A06" w:rsidRDefault="00B22AB4" w:rsidP="009D1C15">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7DCFA2DD"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14:paraId="21A7E934"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tūkst</w:t>
            </w:r>
            <w:proofErr w:type="spellEnd"/>
            <w:r w:rsidRPr="009D2A06">
              <w:rPr>
                <w:rFonts w:ascii="Times New Roman" w:eastAsia="Times New Roman" w:hAnsi="Times New Roman"/>
                <w:b/>
                <w:bCs/>
                <w:sz w:val="20"/>
                <w:szCs w:val="20"/>
                <w:lang w:val="en-US"/>
              </w:rPr>
              <w:t>. m</w:t>
            </w:r>
            <w:r w:rsidRPr="00B22AB4">
              <w:rPr>
                <w:rFonts w:ascii="Times New Roman" w:eastAsia="Times New Roman" w:hAnsi="Times New Roman"/>
                <w:b/>
                <w:bCs/>
                <w:sz w:val="20"/>
                <w:szCs w:val="20"/>
                <w:vertAlign w:val="superscript"/>
                <w:lang w:val="en-US"/>
              </w:rPr>
              <w:t>2</w:t>
            </w:r>
          </w:p>
        </w:tc>
        <w:tc>
          <w:tcPr>
            <w:tcW w:w="1208" w:type="dxa"/>
            <w:tcBorders>
              <w:top w:val="nil"/>
              <w:left w:val="nil"/>
              <w:bottom w:val="single" w:sz="4" w:space="0" w:color="auto"/>
              <w:right w:val="single" w:sz="4" w:space="0" w:color="auto"/>
            </w:tcBorders>
            <w:shd w:val="clear" w:color="000000" w:fill="FFFFFF"/>
            <w:noWrap/>
            <w:vAlign w:val="bottom"/>
            <w:hideMark/>
          </w:tcPr>
          <w:p w14:paraId="41AA3F8A"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502</w:t>
            </w:r>
          </w:p>
        </w:tc>
        <w:tc>
          <w:tcPr>
            <w:tcW w:w="1209" w:type="dxa"/>
            <w:tcBorders>
              <w:top w:val="nil"/>
              <w:left w:val="nil"/>
              <w:bottom w:val="single" w:sz="4" w:space="0" w:color="auto"/>
              <w:right w:val="single" w:sz="4" w:space="0" w:color="auto"/>
            </w:tcBorders>
            <w:shd w:val="clear" w:color="000000" w:fill="FFFFFF"/>
            <w:noWrap/>
            <w:vAlign w:val="bottom"/>
            <w:hideMark/>
          </w:tcPr>
          <w:p w14:paraId="3B546E32"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1628</w:t>
            </w:r>
          </w:p>
        </w:tc>
        <w:tc>
          <w:tcPr>
            <w:tcW w:w="1209" w:type="dxa"/>
            <w:tcBorders>
              <w:top w:val="nil"/>
              <w:left w:val="nil"/>
              <w:bottom w:val="single" w:sz="4" w:space="0" w:color="auto"/>
              <w:right w:val="single" w:sz="4" w:space="0" w:color="auto"/>
            </w:tcBorders>
            <w:shd w:val="clear" w:color="000000" w:fill="FFFFFF"/>
            <w:noWrap/>
            <w:vAlign w:val="bottom"/>
            <w:hideMark/>
          </w:tcPr>
          <w:p w14:paraId="31143E92"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3707</w:t>
            </w:r>
          </w:p>
        </w:tc>
        <w:tc>
          <w:tcPr>
            <w:tcW w:w="1209" w:type="dxa"/>
            <w:tcBorders>
              <w:top w:val="nil"/>
              <w:left w:val="nil"/>
              <w:bottom w:val="single" w:sz="4" w:space="0" w:color="auto"/>
              <w:right w:val="single" w:sz="4" w:space="0" w:color="auto"/>
            </w:tcBorders>
            <w:shd w:val="clear" w:color="000000" w:fill="FFFFFF"/>
            <w:noWrap/>
            <w:vAlign w:val="bottom"/>
            <w:hideMark/>
          </w:tcPr>
          <w:p w14:paraId="70B128AC"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4438</w:t>
            </w:r>
          </w:p>
        </w:tc>
      </w:tr>
    </w:tbl>
    <w:p w14:paraId="57EDFFEC" w14:textId="77777777" w:rsidR="00B22AB4" w:rsidRDefault="00B22AB4" w:rsidP="00F6511E">
      <w:pPr>
        <w:spacing w:after="120"/>
        <w:jc w:val="both"/>
        <w:rPr>
          <w:rFonts w:ascii="Times New Roman" w:hAnsi="Times New Roman"/>
          <w:color w:val="000000" w:themeColor="text1"/>
          <w:szCs w:val="22"/>
        </w:rPr>
      </w:pPr>
    </w:p>
    <w:p w14:paraId="604030C8" w14:textId="414E26BA" w:rsidR="00F6511E" w:rsidRPr="00F6511E" w:rsidRDefault="00B22AB4" w:rsidP="00F6511E">
      <w:pPr>
        <w:spacing w:after="120"/>
        <w:jc w:val="both"/>
        <w:rPr>
          <w:rFonts w:ascii="Times New Roman" w:hAnsi="Times New Roman"/>
          <w:color w:val="000000" w:themeColor="text1"/>
          <w:szCs w:val="22"/>
        </w:rPr>
      </w:pPr>
      <w:r>
        <w:rPr>
          <w:rFonts w:ascii="Times New Roman" w:hAnsi="Times New Roman"/>
          <w:color w:val="000000" w:themeColor="text1"/>
          <w:szCs w:val="22"/>
        </w:rPr>
        <w:t>Lentelėje žemiau pateikiamos v</w:t>
      </w:r>
      <w:r w:rsidR="00F6511E" w:rsidRPr="00F6511E">
        <w:rPr>
          <w:rFonts w:ascii="Times New Roman" w:hAnsi="Times New Roman"/>
          <w:color w:val="000000" w:themeColor="text1"/>
          <w:szCs w:val="22"/>
        </w:rPr>
        <w:t>iešosios nuosavybės pastatų renovacijai įgyvendinti reikalingos metinės investicijos.</w:t>
      </w:r>
    </w:p>
    <w:p w14:paraId="65A64B58" w14:textId="77777777" w:rsidR="00B22AB4" w:rsidRPr="00650EE4" w:rsidRDefault="00B22AB4" w:rsidP="00B22AB4">
      <w:pPr>
        <w:pStyle w:val="TESlentelspavadinimas"/>
        <w:rPr>
          <w:noProof w:val="0"/>
        </w:rPr>
      </w:pPr>
      <w:r w:rsidRPr="002B091E">
        <w:rPr>
          <w:noProof w:val="0"/>
        </w:rPr>
        <w:t>Viešosios nuosavybės kitų negyvenamųjų pastatų</w:t>
      </w:r>
      <w:r>
        <w:rPr>
          <w:noProof w:val="0"/>
        </w:rPr>
        <w:t xml:space="preserve"> renovacijai</w:t>
      </w:r>
      <w:r w:rsidRPr="002B091E">
        <w:rPr>
          <w:noProof w:val="0"/>
        </w:rPr>
        <w:t xml:space="preserve"> </w:t>
      </w:r>
      <w:r w:rsidRPr="00650EE4">
        <w:rPr>
          <w:noProof w:val="0"/>
        </w:rPr>
        <w:t>įgyvendinti reikalingos investicijos per metus</w:t>
      </w:r>
    </w:p>
    <w:tbl>
      <w:tblPr>
        <w:tblW w:w="5000" w:type="pct"/>
        <w:tblLayout w:type="fixed"/>
        <w:tblLook w:val="04A0" w:firstRow="1" w:lastRow="0" w:firstColumn="1" w:lastColumn="0" w:noHBand="0" w:noVBand="1"/>
      </w:tblPr>
      <w:tblGrid>
        <w:gridCol w:w="2091"/>
        <w:gridCol w:w="1613"/>
        <w:gridCol w:w="1773"/>
        <w:gridCol w:w="1235"/>
        <w:gridCol w:w="1236"/>
        <w:gridCol w:w="1236"/>
        <w:gridCol w:w="1236"/>
      </w:tblGrid>
      <w:tr w:rsidR="00B22AB4" w:rsidRPr="00121232" w14:paraId="76585E29" w14:textId="77777777" w:rsidTr="009D1C15">
        <w:trPr>
          <w:trHeight w:val="188"/>
        </w:trPr>
        <w:tc>
          <w:tcPr>
            <w:tcW w:w="20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A5625C" w14:textId="77777777" w:rsidR="00B22AB4" w:rsidRPr="00121232" w:rsidRDefault="00B22AB4" w:rsidP="009D1C15">
            <w:pPr>
              <w:spacing w:line="240" w:lineRule="auto"/>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Pastato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etalonas</w:t>
            </w:r>
            <w:proofErr w:type="spellEnd"/>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5EBB32C5"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Nuosavybė</w:t>
            </w:r>
            <w:proofErr w:type="spellEnd"/>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14:paraId="4E97971E"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Mato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vnt</w:t>
            </w:r>
            <w:proofErr w:type="spellEnd"/>
            <w:r w:rsidRPr="00121232">
              <w:rPr>
                <w:rFonts w:ascii="Times New Roman" w:eastAsia="Times New Roman" w:hAnsi="Times New Roman"/>
                <w:b/>
                <w:bCs/>
                <w:sz w:val="20"/>
                <w:szCs w:val="20"/>
                <w:lang w:val="en-US"/>
              </w:rPr>
              <w:t>.</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288D34CA"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2021-2023</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4C2EE985"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2024-2030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EC17FBD"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2031-2040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204E4922"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2041-2050</w:t>
            </w:r>
          </w:p>
        </w:tc>
      </w:tr>
      <w:tr w:rsidR="00B22AB4" w:rsidRPr="009D2A06" w14:paraId="1960920C"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37214FAB"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13FA27DE"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7ED833D4"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roofErr w:type="spellStart"/>
            <w:r w:rsidRPr="009D2A06">
              <w:rPr>
                <w:rFonts w:ascii="Times New Roman" w:eastAsia="Times New Roman" w:hAnsi="Times New Roman"/>
                <w:sz w:val="20"/>
                <w:szCs w:val="20"/>
                <w:lang w:val="en-US"/>
              </w:rPr>
              <w:t>metus</w:t>
            </w:r>
            <w:proofErr w:type="spellEnd"/>
          </w:p>
        </w:tc>
        <w:tc>
          <w:tcPr>
            <w:tcW w:w="1208" w:type="dxa"/>
            <w:tcBorders>
              <w:top w:val="nil"/>
              <w:left w:val="nil"/>
              <w:bottom w:val="single" w:sz="4" w:space="0" w:color="auto"/>
              <w:right w:val="single" w:sz="4" w:space="0" w:color="auto"/>
            </w:tcBorders>
            <w:shd w:val="clear" w:color="000000" w:fill="FFFFFF"/>
            <w:noWrap/>
            <w:vAlign w:val="bottom"/>
            <w:hideMark/>
          </w:tcPr>
          <w:p w14:paraId="47495775"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19</w:t>
            </w:r>
          </w:p>
        </w:tc>
        <w:tc>
          <w:tcPr>
            <w:tcW w:w="1209" w:type="dxa"/>
            <w:tcBorders>
              <w:top w:val="nil"/>
              <w:left w:val="nil"/>
              <w:bottom w:val="single" w:sz="4" w:space="0" w:color="auto"/>
              <w:right w:val="single" w:sz="4" w:space="0" w:color="auto"/>
            </w:tcBorders>
            <w:shd w:val="clear" w:color="000000" w:fill="FFFFFF"/>
            <w:noWrap/>
            <w:vAlign w:val="bottom"/>
            <w:hideMark/>
          </w:tcPr>
          <w:p w14:paraId="63ACFEB1"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49</w:t>
            </w:r>
          </w:p>
        </w:tc>
        <w:tc>
          <w:tcPr>
            <w:tcW w:w="1209" w:type="dxa"/>
            <w:tcBorders>
              <w:top w:val="nil"/>
              <w:left w:val="nil"/>
              <w:bottom w:val="single" w:sz="4" w:space="0" w:color="auto"/>
              <w:right w:val="single" w:sz="4" w:space="0" w:color="auto"/>
            </w:tcBorders>
            <w:shd w:val="clear" w:color="000000" w:fill="FFFFFF"/>
            <w:noWrap/>
            <w:vAlign w:val="bottom"/>
            <w:hideMark/>
          </w:tcPr>
          <w:p w14:paraId="7EB3A84F"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120</w:t>
            </w:r>
          </w:p>
        </w:tc>
        <w:tc>
          <w:tcPr>
            <w:tcW w:w="1209" w:type="dxa"/>
            <w:tcBorders>
              <w:top w:val="nil"/>
              <w:left w:val="nil"/>
              <w:bottom w:val="single" w:sz="4" w:space="0" w:color="auto"/>
              <w:right w:val="single" w:sz="4" w:space="0" w:color="auto"/>
            </w:tcBorders>
            <w:shd w:val="clear" w:color="000000" w:fill="FFFFFF"/>
            <w:noWrap/>
            <w:vAlign w:val="bottom"/>
            <w:hideMark/>
          </w:tcPr>
          <w:p w14:paraId="4D4CE100"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196</w:t>
            </w:r>
          </w:p>
        </w:tc>
      </w:tr>
      <w:tr w:rsidR="00B22AB4" w:rsidRPr="009D2A06" w14:paraId="45949694"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28CF900E"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3DD63DAE"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5F0918D2"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roofErr w:type="spellStart"/>
            <w:r w:rsidRPr="009D2A06">
              <w:rPr>
                <w:rFonts w:ascii="Times New Roman" w:eastAsia="Times New Roman" w:hAnsi="Times New Roman"/>
                <w:sz w:val="20"/>
                <w:szCs w:val="20"/>
                <w:lang w:val="en-US"/>
              </w:rPr>
              <w:t>metus</w:t>
            </w:r>
            <w:proofErr w:type="spellEnd"/>
          </w:p>
        </w:tc>
        <w:tc>
          <w:tcPr>
            <w:tcW w:w="1208" w:type="dxa"/>
            <w:tcBorders>
              <w:top w:val="nil"/>
              <w:left w:val="nil"/>
              <w:bottom w:val="single" w:sz="4" w:space="0" w:color="auto"/>
              <w:right w:val="single" w:sz="4" w:space="0" w:color="auto"/>
            </w:tcBorders>
            <w:shd w:val="clear" w:color="000000" w:fill="FFFFFF"/>
            <w:noWrap/>
            <w:vAlign w:val="bottom"/>
            <w:hideMark/>
          </w:tcPr>
          <w:p w14:paraId="7B0A1D9B"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48</w:t>
            </w:r>
          </w:p>
        </w:tc>
        <w:tc>
          <w:tcPr>
            <w:tcW w:w="1209" w:type="dxa"/>
            <w:tcBorders>
              <w:top w:val="nil"/>
              <w:left w:val="nil"/>
              <w:bottom w:val="single" w:sz="4" w:space="0" w:color="auto"/>
              <w:right w:val="single" w:sz="4" w:space="0" w:color="auto"/>
            </w:tcBorders>
            <w:shd w:val="clear" w:color="000000" w:fill="FFFFFF"/>
            <w:noWrap/>
            <w:vAlign w:val="bottom"/>
            <w:hideMark/>
          </w:tcPr>
          <w:p w14:paraId="4E1EC409"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55</w:t>
            </w:r>
          </w:p>
        </w:tc>
        <w:tc>
          <w:tcPr>
            <w:tcW w:w="1209" w:type="dxa"/>
            <w:tcBorders>
              <w:top w:val="nil"/>
              <w:left w:val="nil"/>
              <w:bottom w:val="single" w:sz="4" w:space="0" w:color="auto"/>
              <w:right w:val="single" w:sz="4" w:space="0" w:color="auto"/>
            </w:tcBorders>
            <w:shd w:val="clear" w:color="000000" w:fill="FFFFFF"/>
            <w:noWrap/>
            <w:vAlign w:val="bottom"/>
            <w:hideMark/>
          </w:tcPr>
          <w:p w14:paraId="0D53695C"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75</w:t>
            </w:r>
          </w:p>
        </w:tc>
        <w:tc>
          <w:tcPr>
            <w:tcW w:w="1209" w:type="dxa"/>
            <w:tcBorders>
              <w:top w:val="nil"/>
              <w:left w:val="nil"/>
              <w:bottom w:val="single" w:sz="4" w:space="0" w:color="auto"/>
              <w:right w:val="single" w:sz="4" w:space="0" w:color="auto"/>
            </w:tcBorders>
            <w:shd w:val="clear" w:color="000000" w:fill="FFFFFF"/>
            <w:noWrap/>
            <w:vAlign w:val="bottom"/>
            <w:hideMark/>
          </w:tcPr>
          <w:p w14:paraId="53FDAAF7"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88</w:t>
            </w:r>
          </w:p>
        </w:tc>
      </w:tr>
      <w:tr w:rsidR="00B22AB4" w:rsidRPr="009D2A06" w14:paraId="1BC2DA6A"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7061853A" w14:textId="77777777" w:rsidR="00B22AB4" w:rsidRPr="009D2A06" w:rsidRDefault="00B22AB4" w:rsidP="009D1C15">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6840FDA0"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14:paraId="204ED132"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mln</w:t>
            </w:r>
            <w:proofErr w:type="spellEnd"/>
            <w:r w:rsidRPr="009D2A06">
              <w:rPr>
                <w:rFonts w:ascii="Times New Roman" w:eastAsia="Times New Roman" w:hAnsi="Times New Roman"/>
                <w:b/>
                <w:bCs/>
                <w:sz w:val="20"/>
                <w:szCs w:val="20"/>
                <w:lang w:val="en-US"/>
              </w:rPr>
              <w:t>. €/</w:t>
            </w:r>
            <w:proofErr w:type="spellStart"/>
            <w:r w:rsidRPr="009D2A06">
              <w:rPr>
                <w:rFonts w:ascii="Times New Roman" w:eastAsia="Times New Roman" w:hAnsi="Times New Roman"/>
                <w:b/>
                <w:bCs/>
                <w:sz w:val="20"/>
                <w:szCs w:val="20"/>
                <w:lang w:val="en-US"/>
              </w:rPr>
              <w:t>metus</w:t>
            </w:r>
            <w:proofErr w:type="spellEnd"/>
          </w:p>
        </w:tc>
        <w:tc>
          <w:tcPr>
            <w:tcW w:w="1208" w:type="dxa"/>
            <w:tcBorders>
              <w:top w:val="nil"/>
              <w:left w:val="nil"/>
              <w:bottom w:val="single" w:sz="4" w:space="0" w:color="auto"/>
              <w:right w:val="single" w:sz="4" w:space="0" w:color="auto"/>
            </w:tcBorders>
            <w:shd w:val="clear" w:color="000000" w:fill="FFFFFF"/>
            <w:noWrap/>
            <w:vAlign w:val="bottom"/>
            <w:hideMark/>
          </w:tcPr>
          <w:p w14:paraId="0ABC3E7D"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67</w:t>
            </w:r>
          </w:p>
        </w:tc>
        <w:tc>
          <w:tcPr>
            <w:tcW w:w="1209" w:type="dxa"/>
            <w:tcBorders>
              <w:top w:val="nil"/>
              <w:left w:val="nil"/>
              <w:bottom w:val="single" w:sz="4" w:space="0" w:color="auto"/>
              <w:right w:val="single" w:sz="4" w:space="0" w:color="auto"/>
            </w:tcBorders>
            <w:shd w:val="clear" w:color="000000" w:fill="FFFFFF"/>
            <w:noWrap/>
            <w:vAlign w:val="bottom"/>
            <w:hideMark/>
          </w:tcPr>
          <w:p w14:paraId="72B5F449"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104</w:t>
            </w:r>
          </w:p>
        </w:tc>
        <w:tc>
          <w:tcPr>
            <w:tcW w:w="1209" w:type="dxa"/>
            <w:tcBorders>
              <w:top w:val="nil"/>
              <w:left w:val="nil"/>
              <w:bottom w:val="single" w:sz="4" w:space="0" w:color="auto"/>
              <w:right w:val="single" w:sz="4" w:space="0" w:color="auto"/>
            </w:tcBorders>
            <w:shd w:val="clear" w:color="000000" w:fill="FFFFFF"/>
            <w:noWrap/>
            <w:vAlign w:val="bottom"/>
            <w:hideMark/>
          </w:tcPr>
          <w:p w14:paraId="49697B2C"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196</w:t>
            </w:r>
          </w:p>
        </w:tc>
        <w:tc>
          <w:tcPr>
            <w:tcW w:w="1209" w:type="dxa"/>
            <w:tcBorders>
              <w:top w:val="nil"/>
              <w:left w:val="nil"/>
              <w:bottom w:val="single" w:sz="4" w:space="0" w:color="auto"/>
              <w:right w:val="single" w:sz="4" w:space="0" w:color="auto"/>
            </w:tcBorders>
            <w:shd w:val="clear" w:color="000000" w:fill="FFFFFF"/>
            <w:noWrap/>
            <w:vAlign w:val="bottom"/>
            <w:hideMark/>
          </w:tcPr>
          <w:p w14:paraId="6EA71AFA"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284</w:t>
            </w:r>
          </w:p>
        </w:tc>
      </w:tr>
    </w:tbl>
    <w:p w14:paraId="1D41D613" w14:textId="77777777" w:rsidR="00B22AB4" w:rsidRDefault="00B22AB4" w:rsidP="00B22AB4">
      <w:pPr>
        <w:pStyle w:val="TESlentelspavadinimas"/>
        <w:rPr>
          <w:noProof w:val="0"/>
        </w:rPr>
      </w:pPr>
    </w:p>
    <w:p w14:paraId="01BE47E9" w14:textId="77777777" w:rsidR="00B22AB4" w:rsidRPr="00650EE4" w:rsidRDefault="00B22AB4" w:rsidP="00B22AB4">
      <w:pPr>
        <w:pStyle w:val="TESlentelspavadinimas"/>
        <w:rPr>
          <w:noProof w:val="0"/>
        </w:rPr>
      </w:pPr>
      <w:r w:rsidRPr="002B091E">
        <w:rPr>
          <w:noProof w:val="0"/>
        </w:rPr>
        <w:t>Viešosios nuosavybės kitų negyvenamųjų pastatų</w:t>
      </w:r>
      <w:r>
        <w:rPr>
          <w:noProof w:val="0"/>
        </w:rPr>
        <w:t xml:space="preserve"> renovacijai</w:t>
      </w:r>
      <w:r w:rsidRPr="002B091E">
        <w:rPr>
          <w:noProof w:val="0"/>
        </w:rPr>
        <w:t xml:space="preserve"> </w:t>
      </w:r>
      <w:r w:rsidRPr="00650EE4">
        <w:rPr>
          <w:noProof w:val="0"/>
        </w:rPr>
        <w:t xml:space="preserve">įgyvendinti reikalingos investicijos </w:t>
      </w:r>
      <w:r>
        <w:rPr>
          <w:noProof w:val="0"/>
        </w:rPr>
        <w:t>iš viso per laikotarpį</w:t>
      </w:r>
    </w:p>
    <w:tbl>
      <w:tblPr>
        <w:tblW w:w="5000" w:type="pct"/>
        <w:tblLayout w:type="fixed"/>
        <w:tblLook w:val="04A0" w:firstRow="1" w:lastRow="0" w:firstColumn="1" w:lastColumn="0" w:noHBand="0" w:noVBand="1"/>
      </w:tblPr>
      <w:tblGrid>
        <w:gridCol w:w="2091"/>
        <w:gridCol w:w="1613"/>
        <w:gridCol w:w="1773"/>
        <w:gridCol w:w="1235"/>
        <w:gridCol w:w="1236"/>
        <w:gridCol w:w="1236"/>
        <w:gridCol w:w="1236"/>
      </w:tblGrid>
      <w:tr w:rsidR="00B22AB4" w:rsidRPr="00121232" w14:paraId="1674BD8C" w14:textId="77777777" w:rsidTr="009D1C15">
        <w:trPr>
          <w:trHeight w:val="188"/>
        </w:trPr>
        <w:tc>
          <w:tcPr>
            <w:tcW w:w="20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D9612D" w14:textId="77777777" w:rsidR="00B22AB4" w:rsidRPr="00121232" w:rsidRDefault="00B22AB4" w:rsidP="009D1C15">
            <w:pPr>
              <w:spacing w:line="240" w:lineRule="auto"/>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Pastato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etalonas</w:t>
            </w:r>
            <w:proofErr w:type="spellEnd"/>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5D71E9A5"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Nuosavybė</w:t>
            </w:r>
            <w:proofErr w:type="spellEnd"/>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14:paraId="761D37BA"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Mato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vnt</w:t>
            </w:r>
            <w:proofErr w:type="spellEnd"/>
            <w:r w:rsidRPr="00121232">
              <w:rPr>
                <w:rFonts w:ascii="Times New Roman" w:eastAsia="Times New Roman" w:hAnsi="Times New Roman"/>
                <w:b/>
                <w:bCs/>
                <w:sz w:val="20"/>
                <w:szCs w:val="20"/>
                <w:lang w:val="en-US"/>
              </w:rPr>
              <w:t>.</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59EFE423"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2021-2023</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630FFF6F"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2024-2030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77C734AA"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2031-2040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03C5AD0" w14:textId="77777777" w:rsidR="00B22AB4" w:rsidRPr="00121232" w:rsidRDefault="00B22AB4" w:rsidP="009D1C15">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2041-2050</w:t>
            </w:r>
          </w:p>
        </w:tc>
      </w:tr>
      <w:tr w:rsidR="00B22AB4" w:rsidRPr="009D2A06" w14:paraId="50329C22"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1798717D"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4E4682C7"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0213F93E"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
        </w:tc>
        <w:tc>
          <w:tcPr>
            <w:tcW w:w="1208" w:type="dxa"/>
            <w:tcBorders>
              <w:top w:val="nil"/>
              <w:left w:val="nil"/>
              <w:bottom w:val="single" w:sz="4" w:space="0" w:color="auto"/>
              <w:right w:val="single" w:sz="4" w:space="0" w:color="auto"/>
            </w:tcBorders>
            <w:shd w:val="clear" w:color="000000" w:fill="FFFFFF"/>
            <w:noWrap/>
            <w:vAlign w:val="bottom"/>
            <w:hideMark/>
          </w:tcPr>
          <w:p w14:paraId="534D770B"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56</w:t>
            </w:r>
          </w:p>
        </w:tc>
        <w:tc>
          <w:tcPr>
            <w:tcW w:w="1209" w:type="dxa"/>
            <w:tcBorders>
              <w:top w:val="nil"/>
              <w:left w:val="nil"/>
              <w:bottom w:val="single" w:sz="4" w:space="0" w:color="auto"/>
              <w:right w:val="single" w:sz="4" w:space="0" w:color="auto"/>
            </w:tcBorders>
            <w:shd w:val="clear" w:color="000000" w:fill="FFFFFF"/>
            <w:noWrap/>
            <w:vAlign w:val="bottom"/>
            <w:hideMark/>
          </w:tcPr>
          <w:p w14:paraId="5DDCD1B0"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343</w:t>
            </w:r>
          </w:p>
        </w:tc>
        <w:tc>
          <w:tcPr>
            <w:tcW w:w="1209" w:type="dxa"/>
            <w:tcBorders>
              <w:top w:val="nil"/>
              <w:left w:val="nil"/>
              <w:bottom w:val="single" w:sz="4" w:space="0" w:color="auto"/>
              <w:right w:val="single" w:sz="4" w:space="0" w:color="auto"/>
            </w:tcBorders>
            <w:shd w:val="clear" w:color="000000" w:fill="FFFFFF"/>
            <w:noWrap/>
            <w:vAlign w:val="bottom"/>
            <w:hideMark/>
          </w:tcPr>
          <w:p w14:paraId="7B6544F8"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1204</w:t>
            </w:r>
          </w:p>
        </w:tc>
        <w:tc>
          <w:tcPr>
            <w:tcW w:w="1209" w:type="dxa"/>
            <w:tcBorders>
              <w:top w:val="nil"/>
              <w:left w:val="nil"/>
              <w:bottom w:val="single" w:sz="4" w:space="0" w:color="auto"/>
              <w:right w:val="single" w:sz="4" w:space="0" w:color="auto"/>
            </w:tcBorders>
            <w:shd w:val="clear" w:color="000000" w:fill="FFFFFF"/>
            <w:noWrap/>
            <w:vAlign w:val="bottom"/>
            <w:hideMark/>
          </w:tcPr>
          <w:p w14:paraId="7713DDD8"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1960</w:t>
            </w:r>
          </w:p>
        </w:tc>
      </w:tr>
      <w:tr w:rsidR="00B22AB4" w:rsidRPr="009D2A06" w14:paraId="4BA2116A"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409C9726" w14:textId="77777777" w:rsidR="00B22AB4" w:rsidRPr="009D2A06" w:rsidRDefault="00B22AB4" w:rsidP="009D1C15">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525F5BA1"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2F4B0CA0" w14:textId="77777777" w:rsidR="00B22AB4" w:rsidRPr="009D2A06" w:rsidRDefault="00B22AB4" w:rsidP="009D1C15">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
        </w:tc>
        <w:tc>
          <w:tcPr>
            <w:tcW w:w="1208" w:type="dxa"/>
            <w:tcBorders>
              <w:top w:val="nil"/>
              <w:left w:val="nil"/>
              <w:bottom w:val="single" w:sz="4" w:space="0" w:color="auto"/>
              <w:right w:val="single" w:sz="4" w:space="0" w:color="auto"/>
            </w:tcBorders>
            <w:shd w:val="clear" w:color="000000" w:fill="FFFFFF"/>
            <w:noWrap/>
            <w:vAlign w:val="bottom"/>
            <w:hideMark/>
          </w:tcPr>
          <w:p w14:paraId="6D30277F"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145</w:t>
            </w:r>
          </w:p>
        </w:tc>
        <w:tc>
          <w:tcPr>
            <w:tcW w:w="1209" w:type="dxa"/>
            <w:tcBorders>
              <w:top w:val="nil"/>
              <w:left w:val="nil"/>
              <w:bottom w:val="single" w:sz="4" w:space="0" w:color="auto"/>
              <w:right w:val="single" w:sz="4" w:space="0" w:color="auto"/>
            </w:tcBorders>
            <w:shd w:val="clear" w:color="000000" w:fill="FFFFFF"/>
            <w:noWrap/>
            <w:vAlign w:val="bottom"/>
            <w:hideMark/>
          </w:tcPr>
          <w:p w14:paraId="6B681704"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382</w:t>
            </w:r>
          </w:p>
        </w:tc>
        <w:tc>
          <w:tcPr>
            <w:tcW w:w="1209" w:type="dxa"/>
            <w:tcBorders>
              <w:top w:val="nil"/>
              <w:left w:val="nil"/>
              <w:bottom w:val="single" w:sz="4" w:space="0" w:color="auto"/>
              <w:right w:val="single" w:sz="4" w:space="0" w:color="auto"/>
            </w:tcBorders>
            <w:shd w:val="clear" w:color="000000" w:fill="FFFFFF"/>
            <w:noWrap/>
            <w:vAlign w:val="bottom"/>
            <w:hideMark/>
          </w:tcPr>
          <w:p w14:paraId="1347D33E"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754</w:t>
            </w:r>
          </w:p>
        </w:tc>
        <w:tc>
          <w:tcPr>
            <w:tcW w:w="1209" w:type="dxa"/>
            <w:tcBorders>
              <w:top w:val="nil"/>
              <w:left w:val="nil"/>
              <w:bottom w:val="single" w:sz="4" w:space="0" w:color="auto"/>
              <w:right w:val="single" w:sz="4" w:space="0" w:color="auto"/>
            </w:tcBorders>
            <w:shd w:val="clear" w:color="000000" w:fill="FFFFFF"/>
            <w:noWrap/>
            <w:vAlign w:val="bottom"/>
            <w:hideMark/>
          </w:tcPr>
          <w:p w14:paraId="457F9C75" w14:textId="77777777" w:rsidR="00B22AB4" w:rsidRPr="009D2A06" w:rsidRDefault="00B22AB4" w:rsidP="009D1C15">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876</w:t>
            </w:r>
          </w:p>
        </w:tc>
      </w:tr>
      <w:tr w:rsidR="00B22AB4" w:rsidRPr="009D2A06" w14:paraId="4D29AED9" w14:textId="77777777" w:rsidTr="009D1C15">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2382F257" w14:textId="77777777" w:rsidR="00B22AB4" w:rsidRPr="009D2A06" w:rsidRDefault="00B22AB4" w:rsidP="009D1C15">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7197BD7B"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14:paraId="654D1BA1"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mln</w:t>
            </w:r>
            <w:proofErr w:type="spellEnd"/>
            <w:r w:rsidRPr="009D2A06">
              <w:rPr>
                <w:rFonts w:ascii="Times New Roman" w:eastAsia="Times New Roman" w:hAnsi="Times New Roman"/>
                <w:b/>
                <w:bCs/>
                <w:sz w:val="20"/>
                <w:szCs w:val="20"/>
                <w:lang w:val="en-US"/>
              </w:rPr>
              <w:t>. €</w:t>
            </w:r>
          </w:p>
        </w:tc>
        <w:tc>
          <w:tcPr>
            <w:tcW w:w="1208" w:type="dxa"/>
            <w:tcBorders>
              <w:top w:val="nil"/>
              <w:left w:val="nil"/>
              <w:bottom w:val="single" w:sz="4" w:space="0" w:color="auto"/>
              <w:right w:val="single" w:sz="4" w:space="0" w:color="auto"/>
            </w:tcBorders>
            <w:shd w:val="clear" w:color="000000" w:fill="FFFFFF"/>
            <w:noWrap/>
            <w:vAlign w:val="bottom"/>
            <w:hideMark/>
          </w:tcPr>
          <w:p w14:paraId="5A29EABE"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201</w:t>
            </w:r>
          </w:p>
        </w:tc>
        <w:tc>
          <w:tcPr>
            <w:tcW w:w="1209" w:type="dxa"/>
            <w:tcBorders>
              <w:top w:val="nil"/>
              <w:left w:val="nil"/>
              <w:bottom w:val="single" w:sz="4" w:space="0" w:color="auto"/>
              <w:right w:val="single" w:sz="4" w:space="0" w:color="auto"/>
            </w:tcBorders>
            <w:shd w:val="clear" w:color="000000" w:fill="FFFFFF"/>
            <w:noWrap/>
            <w:vAlign w:val="bottom"/>
            <w:hideMark/>
          </w:tcPr>
          <w:p w14:paraId="151F7383"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725</w:t>
            </w:r>
          </w:p>
        </w:tc>
        <w:tc>
          <w:tcPr>
            <w:tcW w:w="1209" w:type="dxa"/>
            <w:tcBorders>
              <w:top w:val="nil"/>
              <w:left w:val="nil"/>
              <w:bottom w:val="single" w:sz="4" w:space="0" w:color="auto"/>
              <w:right w:val="single" w:sz="4" w:space="0" w:color="auto"/>
            </w:tcBorders>
            <w:shd w:val="clear" w:color="000000" w:fill="FFFFFF"/>
            <w:noWrap/>
            <w:vAlign w:val="bottom"/>
            <w:hideMark/>
          </w:tcPr>
          <w:p w14:paraId="729F1F0F"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1958</w:t>
            </w:r>
          </w:p>
        </w:tc>
        <w:tc>
          <w:tcPr>
            <w:tcW w:w="1209" w:type="dxa"/>
            <w:tcBorders>
              <w:top w:val="nil"/>
              <w:left w:val="nil"/>
              <w:bottom w:val="single" w:sz="4" w:space="0" w:color="auto"/>
              <w:right w:val="single" w:sz="4" w:space="0" w:color="auto"/>
            </w:tcBorders>
            <w:shd w:val="clear" w:color="000000" w:fill="FFFFFF"/>
            <w:noWrap/>
            <w:vAlign w:val="bottom"/>
            <w:hideMark/>
          </w:tcPr>
          <w:p w14:paraId="5D7784AC" w14:textId="77777777" w:rsidR="00B22AB4" w:rsidRPr="009D2A06" w:rsidRDefault="00B22AB4" w:rsidP="009D1C15">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2837</w:t>
            </w:r>
          </w:p>
        </w:tc>
      </w:tr>
    </w:tbl>
    <w:p w14:paraId="589979FF" w14:textId="77777777" w:rsidR="00F6511E" w:rsidRPr="00F6511E" w:rsidRDefault="00F6511E" w:rsidP="00F6511E">
      <w:pPr>
        <w:spacing w:after="240"/>
        <w:rPr>
          <w:lang w:eastAsia="lt-LT"/>
        </w:rPr>
      </w:pPr>
    </w:p>
    <w:bookmarkEnd w:id="219"/>
    <w:p w14:paraId="12E9FF1C" w14:textId="77777777" w:rsidR="00F6511E" w:rsidRDefault="00F6511E" w:rsidP="00F6511E">
      <w:pPr>
        <w:spacing w:before="60" w:line="240" w:lineRule="auto"/>
        <w:jc w:val="both"/>
        <w:rPr>
          <w:rFonts w:ascii="Times New Roman" w:hAnsi="Times New Roman"/>
          <w:color w:val="000000" w:themeColor="text1"/>
          <w:szCs w:val="22"/>
        </w:rPr>
      </w:pPr>
    </w:p>
    <w:p w14:paraId="564EA371" w14:textId="4DF5F307" w:rsidR="005E6DD9" w:rsidRDefault="005E6DD9">
      <w:pPr>
        <w:spacing w:after="240"/>
        <w:rPr>
          <w:rFonts w:ascii="Times New Roman" w:hAnsi="Times New Roman"/>
          <w:color w:val="000000" w:themeColor="text1"/>
          <w:szCs w:val="22"/>
        </w:rPr>
      </w:pPr>
      <w:r>
        <w:rPr>
          <w:rFonts w:ascii="Times New Roman" w:hAnsi="Times New Roman"/>
          <w:color w:val="000000" w:themeColor="text1"/>
          <w:szCs w:val="22"/>
        </w:rPr>
        <w:br w:type="page"/>
      </w:r>
    </w:p>
    <w:p w14:paraId="191C1FC4" w14:textId="0D29B01C" w:rsidR="005E6DD9" w:rsidRDefault="005E6DD9" w:rsidP="005E6DD9">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222" w:name="_Toc67925183"/>
      <w:r>
        <w:rPr>
          <w:rFonts w:ascii="Times New Roman" w:hAnsi="Times New Roman"/>
          <w:color w:val="002060"/>
          <w:sz w:val="24"/>
          <w:szCs w:val="24"/>
          <w:lang w:val="en-GB"/>
        </w:rPr>
        <w:lastRenderedPageBreak/>
        <w:t>3</w:t>
      </w:r>
      <w:r>
        <w:rPr>
          <w:rFonts w:ascii="Times New Roman" w:hAnsi="Times New Roman"/>
          <w:color w:val="002060"/>
          <w:sz w:val="24"/>
          <w:szCs w:val="24"/>
        </w:rPr>
        <w:t xml:space="preserve"> priedas. Viešųjų konsultacijų santrauka</w:t>
      </w:r>
      <w:bookmarkEnd w:id="222"/>
      <w:r w:rsidRPr="00650EE4">
        <w:rPr>
          <w:rFonts w:ascii="Times New Roman" w:hAnsi="Times New Roman"/>
          <w:color w:val="002060"/>
          <w:sz w:val="24"/>
          <w:szCs w:val="24"/>
        </w:rPr>
        <w:t xml:space="preserve"> </w:t>
      </w:r>
    </w:p>
    <w:p w14:paraId="7D68700C" w14:textId="0BEE4C9A" w:rsidR="003B5E7C" w:rsidRPr="003B5E7C" w:rsidRDefault="003B5E7C" w:rsidP="003B5E7C">
      <w:pPr>
        <w:pStyle w:val="Text"/>
        <w:spacing w:after="120"/>
        <w:ind w:left="0" w:right="0"/>
        <w:rPr>
          <w:rFonts w:ascii="Times New Roman" w:hAnsi="Times New Roman" w:cs="Times New Roman"/>
          <w:bCs/>
          <w:color w:val="000000" w:themeColor="text1"/>
          <w:sz w:val="22"/>
        </w:rPr>
      </w:pPr>
      <w:r w:rsidRPr="00650EE4">
        <w:rPr>
          <w:rFonts w:ascii="Times New Roman" w:hAnsi="Times New Roman"/>
          <w:color w:val="000000" w:themeColor="text1"/>
          <w:szCs w:val="24"/>
        </w:rPr>
        <mc:AlternateContent>
          <mc:Choice Requires="wps">
            <w:drawing>
              <wp:inline distT="0" distB="0" distL="0" distR="0" wp14:anchorId="02D44F64" wp14:editId="6E00ACAB">
                <wp:extent cx="6479540" cy="771277"/>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71277"/>
                        </a:xfrm>
                        <a:prstGeom prst="rect">
                          <a:avLst/>
                        </a:prstGeom>
                        <a:solidFill>
                          <a:schemeClr val="bg1">
                            <a:lumMod val="85000"/>
                          </a:schemeClr>
                        </a:solidFill>
                        <a:ln>
                          <a:noFill/>
                        </a:ln>
                      </wps:spPr>
                      <wps:txbx>
                        <w:txbxContent>
                          <w:p w14:paraId="2829778D" w14:textId="76D576CE" w:rsidR="005E392B" w:rsidRPr="00650EE4" w:rsidRDefault="005E392B" w:rsidP="003B5E7C">
                            <w:pPr>
                              <w:spacing w:before="60" w:line="240" w:lineRule="auto"/>
                              <w:jc w:val="both"/>
                              <w:rPr>
                                <w:rFonts w:ascii="Times New Roman" w:hAnsi="Times New Roman"/>
                                <w:color w:val="000000" w:themeColor="text1"/>
                                <w:szCs w:val="22"/>
                              </w:rPr>
                            </w:pPr>
                            <w:r>
                              <w:rPr>
                                <w:rFonts w:ascii="Times New Roman" w:hAnsi="Times New Roman"/>
                                <w:bCs/>
                                <w:color w:val="000000" w:themeColor="text1"/>
                              </w:rPr>
                              <w:t xml:space="preserve">PEND 2a straipsnio </w:t>
                            </w:r>
                            <w:r>
                              <w:rPr>
                                <w:rFonts w:ascii="Times New Roman" w:hAnsi="Times New Roman"/>
                                <w:bCs/>
                                <w:color w:val="000000" w:themeColor="text1"/>
                                <w:lang w:val="en-GB"/>
                              </w:rPr>
                              <w:t>5</w:t>
                            </w:r>
                            <w:r w:rsidRPr="00315966">
                              <w:rPr>
                                <w:rFonts w:ascii="Times New Roman" w:hAnsi="Times New Roman"/>
                                <w:bCs/>
                                <w:color w:val="000000" w:themeColor="text1"/>
                              </w:rPr>
                              <w:t xml:space="preserve"> </w:t>
                            </w:r>
                            <w:r>
                              <w:rPr>
                                <w:rFonts w:ascii="Times New Roman" w:hAnsi="Times New Roman"/>
                                <w:bCs/>
                                <w:color w:val="000000" w:themeColor="text1"/>
                              </w:rPr>
                              <w:t>dalyje</w:t>
                            </w:r>
                            <w:r w:rsidRPr="00315966">
                              <w:rPr>
                                <w:rFonts w:ascii="Times New Roman" w:hAnsi="Times New Roman"/>
                                <w:bCs/>
                                <w:color w:val="000000" w:themeColor="text1"/>
                              </w:rPr>
                              <w:t xml:space="preserve"> nustatyta, kad </w:t>
                            </w:r>
                            <w:r>
                              <w:rPr>
                                <w:rFonts w:ascii="Times New Roman" w:hAnsi="Times New Roman"/>
                                <w:bCs/>
                                <w:color w:val="000000" w:themeColor="text1"/>
                              </w:rPr>
                              <w:t>s</w:t>
                            </w:r>
                            <w:r w:rsidRPr="003B5E7C">
                              <w:rPr>
                                <w:rFonts w:ascii="Times New Roman" w:hAnsi="Times New Roman"/>
                                <w:color w:val="000000" w:themeColor="text1"/>
                                <w:szCs w:val="22"/>
                              </w:rPr>
                              <w:t>iekdama remti savo ilgalaikės renovacijos strategijos plėtojimą, kiekviena valstybė narė, prieš pateikdama Komisijai savo ilgalaikę renovacijos strategiją, surengia dėl jos viešas konsultacijas. Kiekviena valstybė narė savo surengtų viešų konsultacijų rezultatų santrauką prideda prie savo ilg</w:t>
                            </w:r>
                            <w:r>
                              <w:rPr>
                                <w:rFonts w:ascii="Times New Roman" w:hAnsi="Times New Roman"/>
                                <w:color w:val="000000" w:themeColor="text1"/>
                                <w:szCs w:val="22"/>
                              </w:rPr>
                              <w:t>alaikės renovacijos strategijos.</w:t>
                            </w:r>
                          </w:p>
                          <w:p w14:paraId="7C2C911F" w14:textId="000A59F3" w:rsidR="005E392B" w:rsidRPr="00315966" w:rsidRDefault="005E392B" w:rsidP="003B5E7C">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6" o:spid="_x0000_s1040" type="#_x0000_t202" style="width:510.2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JHGwIAABoEAAAOAAAAZHJzL2Uyb0RvYy54bWysU9uO0zAQfUfiHyy/0yRV2uxGTVdLV4uQ&#10;FhZplw9wHCexcDzGdpuUr2fstKXAG+LF8lx85syZ8eZuGhQ5COsk6Ipmi5QSoTk0UncV/fr6+O6G&#10;EueZbpgCLSp6FI7ebd++2YymFEvoQTXCEgTRrhxNRXvvTZkkjvdiYG4BRmgMtmAH5tG0XdJYNiL6&#10;oJJlmq6TEWxjLHDhHHof5iDdRvy2Fdw/t60TnqiKIjcfTxvPOpzJdsPKzjLTS36iwf6BxcCkxqIX&#10;qAfmGdlb+RfUILkFB61fcBgSaFvJRewBu8nSP7p56ZkRsRcUx5mLTO7/wfLPhy+WyKaia0o0G3BE&#10;r2Ly5D1MZB3UGY0rMenFYJqf0I1Tjp068wT8myMadj3Tnbi3FsZesAbZZeFlcvV0xnEBpB4/QYNl&#10;2N5DBJpaOwTpUAyC6Dil42UygQpH5zovblc5hjjGiiJbFkUswcrza2Od/yBgIOFSUYuTj+js8OR8&#10;YMPKc0oo5kDJ5lEqFY2wbWKnLDkw3JO6mztU+wGpzr6bVZrGbUGcuJwhPaL+hqR0wNMQkOeiwROV&#10;CM3PMvipnqLkWX5WuIbmiNpYmBcUPxReerA/KBlxOSvqvu+ZFZSojxr1vc3yIIaPRr4qlmjY60h9&#10;HWGaI1RFPSXzdefnH7A3VnY9Vpr71XCPM2lllCsMb2Z14o8LGPs9fZaw4dd2zPr1pbc/AQAA//8D&#10;AFBLAwQUAAYACAAAACEAMmMr4N0AAAAGAQAADwAAAGRycy9kb3ducmV2LnhtbEyPT0vDQBDF74Lf&#10;YRnBm91t8E+J2RQRBJUq2KrnaXaaBLOzYXfTxH56t170MrzhDe/9plhOthN78qF1rGE+UyCIK2da&#10;rjW8bx4uFiBCRDbYOSYN3xRgWZ6eFJgbN/Ib7dexFimEQ44amhj7XMpQNWQxzFxPnLyd8xZjWn0t&#10;jccxhdtOZkpdS4stp4YGe7pvqPpaD1bDip+fcLdZvBwO2TB+fD7ejK8rr/X52XR3CyLSFP+O4Yif&#10;0KFMTFs3sAmi05Aeib/z6KlMXYLYJpXNr0CWhfyPX/4AAAD//wMAUEsBAi0AFAAGAAgAAAAhALaD&#10;OJL+AAAA4QEAABMAAAAAAAAAAAAAAAAAAAAAAFtDb250ZW50X1R5cGVzXS54bWxQSwECLQAUAAYA&#10;CAAAACEAOP0h/9YAAACUAQAACwAAAAAAAAAAAAAAAAAvAQAAX3JlbHMvLnJlbHNQSwECLQAUAAYA&#10;CAAAACEA9axiRxsCAAAaBAAADgAAAAAAAAAAAAAAAAAuAgAAZHJzL2Uyb0RvYy54bWxQSwECLQAU&#10;AAYACAAAACEAMmMr4N0AAAAGAQAADwAAAAAAAAAAAAAAAAB1BAAAZHJzL2Rvd25yZXYueG1sUEsF&#10;BgAAAAAEAAQA8wAAAH8FAAAAAA==&#10;" fillcolor="#d8d8d8 [2732]" stroked="f">
                <v:textbox>
                  <w:txbxContent>
                    <w:p w14:paraId="2829778D" w14:textId="76D576CE" w:rsidR="005E392B" w:rsidRPr="00650EE4" w:rsidRDefault="005E392B" w:rsidP="003B5E7C">
                      <w:pPr>
                        <w:spacing w:before="60" w:line="240" w:lineRule="auto"/>
                        <w:jc w:val="both"/>
                        <w:rPr>
                          <w:rFonts w:ascii="Times New Roman" w:hAnsi="Times New Roman"/>
                          <w:color w:val="000000" w:themeColor="text1"/>
                          <w:szCs w:val="22"/>
                        </w:rPr>
                      </w:pPr>
                      <w:r>
                        <w:rPr>
                          <w:rFonts w:ascii="Times New Roman" w:hAnsi="Times New Roman"/>
                          <w:bCs/>
                          <w:color w:val="000000" w:themeColor="text1"/>
                        </w:rPr>
                        <w:t xml:space="preserve">PEND 2a straipsnio </w:t>
                      </w:r>
                      <w:r>
                        <w:rPr>
                          <w:rFonts w:ascii="Times New Roman" w:hAnsi="Times New Roman"/>
                          <w:bCs/>
                          <w:color w:val="000000" w:themeColor="text1"/>
                          <w:lang w:val="en-GB"/>
                        </w:rPr>
                        <w:t>5</w:t>
                      </w:r>
                      <w:r w:rsidRPr="00315966">
                        <w:rPr>
                          <w:rFonts w:ascii="Times New Roman" w:hAnsi="Times New Roman"/>
                          <w:bCs/>
                          <w:color w:val="000000" w:themeColor="text1"/>
                        </w:rPr>
                        <w:t xml:space="preserve"> </w:t>
                      </w:r>
                      <w:r>
                        <w:rPr>
                          <w:rFonts w:ascii="Times New Roman" w:hAnsi="Times New Roman"/>
                          <w:bCs/>
                          <w:color w:val="000000" w:themeColor="text1"/>
                        </w:rPr>
                        <w:t>dalyje</w:t>
                      </w:r>
                      <w:r w:rsidRPr="00315966">
                        <w:rPr>
                          <w:rFonts w:ascii="Times New Roman" w:hAnsi="Times New Roman"/>
                          <w:bCs/>
                          <w:color w:val="000000" w:themeColor="text1"/>
                        </w:rPr>
                        <w:t xml:space="preserve"> nustatyta, kad </w:t>
                      </w:r>
                      <w:r>
                        <w:rPr>
                          <w:rFonts w:ascii="Times New Roman" w:hAnsi="Times New Roman"/>
                          <w:bCs/>
                          <w:color w:val="000000" w:themeColor="text1"/>
                        </w:rPr>
                        <w:t>s</w:t>
                      </w:r>
                      <w:r w:rsidRPr="003B5E7C">
                        <w:rPr>
                          <w:rFonts w:ascii="Times New Roman" w:hAnsi="Times New Roman"/>
                          <w:color w:val="000000" w:themeColor="text1"/>
                          <w:szCs w:val="22"/>
                        </w:rPr>
                        <w:t>iekdama remti savo ilgalaikės renovacijos strategijos plėtojimą, kiekviena valstybė narė, prieš pateikdama Komisijai savo ilgalaikę renovacijos strategiją, surengia dėl jos viešas konsultacijas. Kiekviena valstybė narė savo surengtų viešų konsultacijų rezultatų santrauką prideda prie savo ilg</w:t>
                      </w:r>
                      <w:r>
                        <w:rPr>
                          <w:rFonts w:ascii="Times New Roman" w:hAnsi="Times New Roman"/>
                          <w:color w:val="000000" w:themeColor="text1"/>
                          <w:szCs w:val="22"/>
                        </w:rPr>
                        <w:t>alaikės renovacijos strategijos.</w:t>
                      </w:r>
                    </w:p>
                    <w:p w14:paraId="7C2C911F" w14:textId="000A59F3" w:rsidR="005E392B" w:rsidRPr="00315966" w:rsidRDefault="005E392B" w:rsidP="003B5E7C">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w:t>
                      </w:r>
                    </w:p>
                  </w:txbxContent>
                </v:textbox>
                <w10:anchorlock/>
              </v:shape>
            </w:pict>
          </mc:Fallback>
        </mc:AlternateContent>
      </w:r>
    </w:p>
    <w:p w14:paraId="68B8DB32" w14:textId="77777777" w:rsidR="006205C4" w:rsidRDefault="00D71780" w:rsidP="0076741D">
      <w:pPr>
        <w:jc w:val="both"/>
        <w:rPr>
          <w:rFonts w:ascii="Times New Roman" w:hAnsi="Times New Roman"/>
          <w:szCs w:val="22"/>
        </w:rPr>
      </w:pPr>
      <w:r>
        <w:rPr>
          <w:rFonts w:ascii="Times New Roman" w:hAnsi="Times New Roman"/>
          <w:szCs w:val="22"/>
        </w:rPr>
        <w:t>Rengiant ilgalaikę renovacijos strategiją</w:t>
      </w:r>
      <w:r w:rsidR="003B5E7C">
        <w:rPr>
          <w:rFonts w:ascii="Times New Roman" w:hAnsi="Times New Roman"/>
          <w:szCs w:val="22"/>
        </w:rPr>
        <w:t xml:space="preserve"> konsultuotasi su suinteresuotomis institucijomis ir visuomene rengiant susitikimus, pristatant ir diskutuojant apie strategiją renginiuose</w:t>
      </w:r>
      <w:r w:rsidR="006205C4">
        <w:rPr>
          <w:rFonts w:ascii="Times New Roman" w:hAnsi="Times New Roman"/>
          <w:szCs w:val="22"/>
        </w:rPr>
        <w:t xml:space="preserve">. </w:t>
      </w:r>
    </w:p>
    <w:p w14:paraId="592DDE1E" w14:textId="77777777" w:rsidR="006205C4" w:rsidRDefault="006205C4" w:rsidP="0076741D">
      <w:pPr>
        <w:jc w:val="both"/>
        <w:rPr>
          <w:rFonts w:ascii="Times New Roman" w:hAnsi="Times New Roman"/>
          <w:szCs w:val="22"/>
        </w:rPr>
      </w:pPr>
    </w:p>
    <w:p w14:paraId="47A27ED1" w14:textId="02D902ED" w:rsidR="0076741D" w:rsidRDefault="006205C4" w:rsidP="0076741D">
      <w:pPr>
        <w:jc w:val="both"/>
        <w:rPr>
          <w:rFonts w:ascii="Times New Roman" w:hAnsi="Times New Roman"/>
          <w:szCs w:val="22"/>
        </w:rPr>
      </w:pPr>
      <w:r>
        <w:rPr>
          <w:rFonts w:ascii="Times New Roman" w:hAnsi="Times New Roman"/>
          <w:szCs w:val="22"/>
        </w:rPr>
        <w:t xml:space="preserve">Taip pat siekiant įtraukti gyventojus į sprendimų priėmimą, </w:t>
      </w:r>
      <w:r w:rsidR="003B5E7C">
        <w:rPr>
          <w:rFonts w:ascii="Times New Roman" w:hAnsi="Times New Roman"/>
          <w:szCs w:val="22"/>
        </w:rPr>
        <w:t xml:space="preserve">naudojantis </w:t>
      </w:r>
      <w:r w:rsidR="0076741D">
        <w:rPr>
          <w:rFonts w:ascii="Times New Roman" w:hAnsi="Times New Roman"/>
          <w:szCs w:val="22"/>
        </w:rPr>
        <w:t>„E-pilietis“ portalu</w:t>
      </w:r>
      <w:r>
        <w:rPr>
          <w:rFonts w:ascii="Times New Roman" w:hAnsi="Times New Roman"/>
          <w:szCs w:val="22"/>
        </w:rPr>
        <w:t xml:space="preserve"> buvo vykdomos viešosios konsultacijos </w:t>
      </w:r>
      <w:r w:rsidR="001B4A79">
        <w:rPr>
          <w:rFonts w:ascii="Times New Roman" w:hAnsi="Times New Roman"/>
          <w:szCs w:val="22"/>
        </w:rPr>
        <w:t>(</w:t>
      </w:r>
      <w:hyperlink r:id="rId69" w:history="1">
        <w:r w:rsidRPr="007F6EE3">
          <w:rPr>
            <w:rStyle w:val="Hyperlink"/>
            <w:rFonts w:ascii="Times New Roman" w:hAnsi="Times New Roman"/>
            <w:szCs w:val="22"/>
          </w:rPr>
          <w:t>https://epilietis.lrv.lt/lt/konsultacijos/viesoji-konsultacija-del-lietuvos-ilgalaikes-renovacijos-strategijos</w:t>
        </w:r>
      </w:hyperlink>
      <w:r>
        <w:rPr>
          <w:rFonts w:ascii="Times New Roman" w:hAnsi="Times New Roman"/>
          <w:szCs w:val="22"/>
        </w:rPr>
        <w:t>)</w:t>
      </w:r>
      <w:r w:rsidR="00900606">
        <w:rPr>
          <w:rFonts w:ascii="Times New Roman" w:hAnsi="Times New Roman"/>
          <w:szCs w:val="22"/>
        </w:rPr>
        <w:t xml:space="preserve"> (</w:t>
      </w:r>
      <w:hyperlink r:id="rId70" w:history="1">
        <w:r w:rsidR="00900606" w:rsidRPr="00EC49AE">
          <w:rPr>
            <w:rStyle w:val="Hyperlink"/>
            <w:rFonts w:ascii="Times New Roman" w:hAnsi="Times New Roman"/>
            <w:szCs w:val="22"/>
          </w:rPr>
          <w:t>https://epilietis.lrv.lt/lt/konsultacijos/viesoji-konsultacija-gauti-pasiulymus-lietuvos-ilgalaikei-renovacijos-strategijai</w:t>
        </w:r>
      </w:hyperlink>
      <w:r w:rsidR="00900606">
        <w:rPr>
          <w:rFonts w:ascii="Times New Roman" w:hAnsi="Times New Roman"/>
          <w:szCs w:val="22"/>
        </w:rPr>
        <w:t>)</w:t>
      </w:r>
      <w:r w:rsidR="003B5E7C">
        <w:rPr>
          <w:rFonts w:ascii="Times New Roman" w:hAnsi="Times New Roman"/>
          <w:szCs w:val="22"/>
        </w:rPr>
        <w:t>.</w:t>
      </w:r>
      <w:r w:rsidR="00900606">
        <w:rPr>
          <w:rFonts w:ascii="Times New Roman" w:hAnsi="Times New Roman"/>
          <w:szCs w:val="22"/>
        </w:rPr>
        <w:t xml:space="preserve"> </w:t>
      </w:r>
    </w:p>
    <w:p w14:paraId="409A3938" w14:textId="77777777" w:rsidR="0076741D" w:rsidRDefault="0076741D" w:rsidP="0076741D">
      <w:pPr>
        <w:jc w:val="both"/>
        <w:rPr>
          <w:rFonts w:ascii="Times New Roman" w:hAnsi="Times New Roman"/>
          <w:szCs w:val="22"/>
        </w:rPr>
      </w:pPr>
    </w:p>
    <w:p w14:paraId="7AFE6FBC" w14:textId="77777777" w:rsidR="0076741D" w:rsidRDefault="0076741D" w:rsidP="0076741D">
      <w:pPr>
        <w:jc w:val="both"/>
        <w:rPr>
          <w:rFonts w:ascii="Times New Roman" w:hAnsi="Times New Roman"/>
          <w:szCs w:val="22"/>
        </w:rPr>
      </w:pPr>
      <w:r>
        <w:rPr>
          <w:rFonts w:ascii="Times New Roman" w:hAnsi="Times New Roman"/>
          <w:szCs w:val="22"/>
        </w:rPr>
        <w:t xml:space="preserve">Strategija </w:t>
      </w:r>
      <w:r>
        <w:rPr>
          <w:rFonts w:ascii="Times New Roman" w:hAnsi="Times New Roman"/>
          <w:szCs w:val="22"/>
          <w:lang w:val="en-GB"/>
        </w:rPr>
        <w:t xml:space="preserve">2020 m. </w:t>
      </w:r>
      <w:r w:rsidRPr="0076741D">
        <w:rPr>
          <w:rFonts w:ascii="Times New Roman" w:hAnsi="Times New Roman"/>
          <w:szCs w:val="22"/>
        </w:rPr>
        <w:t>spalio</w:t>
      </w:r>
      <w:r>
        <w:rPr>
          <w:rFonts w:ascii="Times New Roman" w:hAnsi="Times New Roman"/>
          <w:szCs w:val="22"/>
          <w:lang w:val="en-GB"/>
        </w:rPr>
        <w:t xml:space="preserve"> 1 d. </w:t>
      </w:r>
      <w:r>
        <w:rPr>
          <w:rFonts w:ascii="Times New Roman" w:hAnsi="Times New Roman"/>
          <w:szCs w:val="22"/>
        </w:rPr>
        <w:t>buvo pristatyta Lietuvos Respublikos aplinkos ministerijos, Lietuvos būsto rūmų, asociacijos</w:t>
      </w:r>
      <w:r w:rsidRPr="0076741D">
        <w:rPr>
          <w:rFonts w:ascii="Times New Roman" w:hAnsi="Times New Roman"/>
          <w:szCs w:val="22"/>
        </w:rPr>
        <w:t xml:space="preserve"> „Lietuvos butų ūkis“</w:t>
      </w:r>
      <w:r>
        <w:rPr>
          <w:rFonts w:ascii="Times New Roman" w:hAnsi="Times New Roman"/>
          <w:szCs w:val="22"/>
        </w:rPr>
        <w:t xml:space="preserve"> ir viešosios įstaigos „</w:t>
      </w:r>
      <w:r w:rsidRPr="0076741D">
        <w:rPr>
          <w:rFonts w:ascii="Times New Roman" w:hAnsi="Times New Roman"/>
          <w:szCs w:val="22"/>
        </w:rPr>
        <w:t>Būsto energijos taupymo agentūra</w:t>
      </w:r>
      <w:r>
        <w:rPr>
          <w:rFonts w:ascii="Times New Roman" w:hAnsi="Times New Roman"/>
          <w:szCs w:val="22"/>
        </w:rPr>
        <w:t xml:space="preserve">“ organizuotoje konferencijoje  </w:t>
      </w:r>
      <w:r w:rsidRPr="0076741D">
        <w:rPr>
          <w:rFonts w:ascii="Times New Roman" w:hAnsi="Times New Roman"/>
          <w:szCs w:val="22"/>
        </w:rPr>
        <w:t>„Būsto sektoriaus perspektyvos. Pastatų energinio efektyvumo didinimas“.</w:t>
      </w:r>
      <w:r w:rsidR="003B5E7C">
        <w:rPr>
          <w:rFonts w:ascii="Times New Roman" w:hAnsi="Times New Roman"/>
          <w:szCs w:val="22"/>
        </w:rPr>
        <w:t xml:space="preserve"> </w:t>
      </w:r>
    </w:p>
    <w:p w14:paraId="515E6C48" w14:textId="77777777" w:rsidR="0076741D" w:rsidRDefault="0076741D" w:rsidP="0076741D">
      <w:pPr>
        <w:jc w:val="both"/>
        <w:rPr>
          <w:rFonts w:ascii="Times New Roman" w:hAnsi="Times New Roman"/>
          <w:szCs w:val="22"/>
        </w:rPr>
      </w:pPr>
    </w:p>
    <w:p w14:paraId="66317DB7" w14:textId="0B9F569D" w:rsidR="00177A81" w:rsidRDefault="0076741D" w:rsidP="0076741D">
      <w:pPr>
        <w:jc w:val="both"/>
        <w:rPr>
          <w:rFonts w:ascii="Times New Roman" w:hAnsi="Times New Roman"/>
          <w:szCs w:val="22"/>
        </w:rPr>
      </w:pPr>
      <w:r>
        <w:rPr>
          <w:rFonts w:ascii="Times New Roman" w:hAnsi="Times New Roman"/>
          <w:szCs w:val="22"/>
        </w:rPr>
        <w:t xml:space="preserve">2020 m. spalio </w:t>
      </w:r>
      <w:r w:rsidRPr="0076741D">
        <w:rPr>
          <w:rFonts w:ascii="Times New Roman" w:hAnsi="Times New Roman"/>
          <w:szCs w:val="22"/>
        </w:rPr>
        <w:t>–</w:t>
      </w:r>
      <w:r>
        <w:rPr>
          <w:rFonts w:ascii="Times New Roman" w:hAnsi="Times New Roman"/>
          <w:szCs w:val="22"/>
        </w:rPr>
        <w:t xml:space="preserve"> lapkričio mėn. vyko susitikimai su </w:t>
      </w:r>
      <w:r w:rsidR="00177A81">
        <w:rPr>
          <w:rFonts w:ascii="Times New Roman" w:hAnsi="Times New Roman"/>
          <w:szCs w:val="22"/>
        </w:rPr>
        <w:t xml:space="preserve">Lietuvos Respublikos energetikos ministerija, Lietuvos Respublikos finansų ministerija, Europos investicijų banko atstovybe Lietuvoje, Kauno technologijos universitetu, </w:t>
      </w:r>
      <w:r w:rsidR="00177A81" w:rsidRPr="00177A81">
        <w:rPr>
          <w:rFonts w:ascii="Times New Roman" w:hAnsi="Times New Roman"/>
          <w:szCs w:val="22"/>
        </w:rPr>
        <w:t>Lietuvos atsinaujinančių išteklių energetikos konfederacija</w:t>
      </w:r>
      <w:r w:rsidR="001B4A79">
        <w:rPr>
          <w:rFonts w:ascii="Times New Roman" w:hAnsi="Times New Roman"/>
          <w:szCs w:val="22"/>
        </w:rPr>
        <w:t xml:space="preserve">, </w:t>
      </w:r>
      <w:r w:rsidR="00177A81">
        <w:rPr>
          <w:rFonts w:ascii="Times New Roman" w:hAnsi="Times New Roman"/>
          <w:szCs w:val="22"/>
        </w:rPr>
        <w:t>Lietuvos energetikos institutu</w:t>
      </w:r>
      <w:r w:rsidR="001B4A79">
        <w:rPr>
          <w:rFonts w:ascii="Times New Roman" w:hAnsi="Times New Roman"/>
          <w:szCs w:val="22"/>
        </w:rPr>
        <w:t xml:space="preserve">, </w:t>
      </w:r>
      <w:r w:rsidR="00177A81" w:rsidRPr="00177A81">
        <w:rPr>
          <w:rFonts w:ascii="Times New Roman" w:hAnsi="Times New Roman"/>
          <w:szCs w:val="22"/>
        </w:rPr>
        <w:t>Lietuvos respublikiniai</w:t>
      </w:r>
      <w:r w:rsidR="00177A81">
        <w:rPr>
          <w:rFonts w:ascii="Times New Roman" w:hAnsi="Times New Roman"/>
          <w:szCs w:val="22"/>
        </w:rPr>
        <w:t>s</w:t>
      </w:r>
      <w:r w:rsidR="00177A81" w:rsidRPr="00177A81">
        <w:rPr>
          <w:rFonts w:ascii="Times New Roman" w:hAnsi="Times New Roman"/>
          <w:szCs w:val="22"/>
        </w:rPr>
        <w:t xml:space="preserve"> būsto valdymo ir priežiūros rūmai</w:t>
      </w:r>
      <w:r w:rsidR="00177A81">
        <w:rPr>
          <w:rFonts w:ascii="Times New Roman" w:hAnsi="Times New Roman"/>
          <w:szCs w:val="22"/>
        </w:rPr>
        <w:t>s</w:t>
      </w:r>
      <w:r w:rsidR="001B4A79">
        <w:rPr>
          <w:rFonts w:ascii="Times New Roman" w:hAnsi="Times New Roman"/>
          <w:szCs w:val="22"/>
        </w:rPr>
        <w:t xml:space="preserve">, </w:t>
      </w:r>
      <w:r w:rsidR="00177A81">
        <w:rPr>
          <w:rFonts w:ascii="Times New Roman" w:hAnsi="Times New Roman"/>
          <w:szCs w:val="22"/>
        </w:rPr>
        <w:t>Lietuvos saulės energijos asociacija</w:t>
      </w:r>
      <w:r w:rsidR="001B4A79">
        <w:rPr>
          <w:rFonts w:ascii="Times New Roman" w:hAnsi="Times New Roman"/>
          <w:szCs w:val="22"/>
        </w:rPr>
        <w:t xml:space="preserve">, </w:t>
      </w:r>
      <w:r w:rsidR="00177A81">
        <w:rPr>
          <w:rFonts w:ascii="Times New Roman" w:hAnsi="Times New Roman"/>
          <w:szCs w:val="22"/>
        </w:rPr>
        <w:t>Lietuvos savivaldybių asociacija</w:t>
      </w:r>
      <w:r w:rsidR="001B4A79">
        <w:rPr>
          <w:rFonts w:ascii="Times New Roman" w:hAnsi="Times New Roman"/>
          <w:szCs w:val="22"/>
        </w:rPr>
        <w:t xml:space="preserve">, </w:t>
      </w:r>
      <w:r w:rsidR="00177A81">
        <w:rPr>
          <w:rFonts w:ascii="Times New Roman" w:hAnsi="Times New Roman"/>
          <w:szCs w:val="22"/>
        </w:rPr>
        <w:t>Lietuvos statybininkų asociacija</w:t>
      </w:r>
      <w:r w:rsidR="001B4A79">
        <w:rPr>
          <w:rFonts w:ascii="Times New Roman" w:hAnsi="Times New Roman"/>
          <w:szCs w:val="22"/>
        </w:rPr>
        <w:t xml:space="preserve">, </w:t>
      </w:r>
      <w:r w:rsidR="00177A81">
        <w:rPr>
          <w:rFonts w:ascii="Times New Roman" w:hAnsi="Times New Roman"/>
          <w:szCs w:val="22"/>
        </w:rPr>
        <w:t>Lietuvos šilumos tiekėjų asociacija</w:t>
      </w:r>
      <w:r w:rsidR="001B4A79">
        <w:rPr>
          <w:rFonts w:ascii="Times New Roman" w:hAnsi="Times New Roman"/>
          <w:szCs w:val="22"/>
        </w:rPr>
        <w:t xml:space="preserve">, </w:t>
      </w:r>
      <w:r w:rsidR="00177A81">
        <w:rPr>
          <w:rFonts w:ascii="Times New Roman" w:hAnsi="Times New Roman"/>
          <w:szCs w:val="22"/>
        </w:rPr>
        <w:t>Lietuvos vartotojų organizacijų aljansu</w:t>
      </w:r>
      <w:r w:rsidR="001B4A79">
        <w:rPr>
          <w:rFonts w:ascii="Times New Roman" w:hAnsi="Times New Roman"/>
          <w:szCs w:val="22"/>
        </w:rPr>
        <w:t xml:space="preserve">, </w:t>
      </w:r>
      <w:r w:rsidR="00177A81">
        <w:rPr>
          <w:rFonts w:ascii="Times New Roman" w:hAnsi="Times New Roman"/>
          <w:szCs w:val="22"/>
        </w:rPr>
        <w:t>Mineralinės vatos gamintojų asociacija</w:t>
      </w:r>
      <w:r w:rsidR="001B4A79">
        <w:rPr>
          <w:rFonts w:ascii="Times New Roman" w:hAnsi="Times New Roman"/>
          <w:szCs w:val="22"/>
        </w:rPr>
        <w:t xml:space="preserve">, </w:t>
      </w:r>
      <w:r w:rsidR="00177A81">
        <w:rPr>
          <w:rFonts w:ascii="Times New Roman" w:hAnsi="Times New Roman"/>
          <w:szCs w:val="22"/>
        </w:rPr>
        <w:t>Nacionaline pasyvaus namo asociacija</w:t>
      </w:r>
      <w:r w:rsidR="001B4A79">
        <w:rPr>
          <w:rFonts w:ascii="Times New Roman" w:hAnsi="Times New Roman"/>
          <w:szCs w:val="22"/>
        </w:rPr>
        <w:t xml:space="preserve">, </w:t>
      </w:r>
      <w:r w:rsidR="00177A81" w:rsidRPr="00177A81">
        <w:rPr>
          <w:rFonts w:ascii="Times New Roman" w:hAnsi="Times New Roman"/>
          <w:szCs w:val="22"/>
        </w:rPr>
        <w:t xml:space="preserve">UAB </w:t>
      </w:r>
      <w:r w:rsidR="00177A81">
        <w:rPr>
          <w:rFonts w:ascii="Times New Roman" w:hAnsi="Times New Roman"/>
          <w:szCs w:val="22"/>
        </w:rPr>
        <w:t>„</w:t>
      </w:r>
      <w:r w:rsidR="00177A81" w:rsidRPr="00177A81">
        <w:rPr>
          <w:rFonts w:ascii="Times New Roman" w:hAnsi="Times New Roman"/>
          <w:szCs w:val="22"/>
        </w:rPr>
        <w:t>Viešųjų investicijų plėtros agentūra</w:t>
      </w:r>
      <w:r w:rsidR="00177A81">
        <w:rPr>
          <w:rFonts w:ascii="Times New Roman" w:hAnsi="Times New Roman"/>
          <w:szCs w:val="22"/>
        </w:rPr>
        <w:t>“</w:t>
      </w:r>
      <w:r w:rsidR="001B4A79">
        <w:rPr>
          <w:rFonts w:ascii="Times New Roman" w:hAnsi="Times New Roman"/>
          <w:szCs w:val="22"/>
        </w:rPr>
        <w:t xml:space="preserve">, </w:t>
      </w:r>
    </w:p>
    <w:p w14:paraId="1AA06657" w14:textId="6F8C9B3E" w:rsidR="00177A81" w:rsidRDefault="00177A81" w:rsidP="0076741D">
      <w:pPr>
        <w:jc w:val="both"/>
        <w:rPr>
          <w:rFonts w:ascii="Times New Roman" w:hAnsi="Times New Roman"/>
          <w:szCs w:val="22"/>
        </w:rPr>
      </w:pPr>
      <w:r>
        <w:rPr>
          <w:rFonts w:ascii="Times New Roman" w:hAnsi="Times New Roman"/>
          <w:szCs w:val="22"/>
        </w:rPr>
        <w:t>Viešąja įstaiga „Būsto energijos taupymo agentūra“</w:t>
      </w:r>
      <w:r w:rsidR="001B4A79">
        <w:rPr>
          <w:rFonts w:ascii="Times New Roman" w:hAnsi="Times New Roman"/>
          <w:szCs w:val="22"/>
        </w:rPr>
        <w:t xml:space="preserve">, </w:t>
      </w:r>
      <w:r>
        <w:rPr>
          <w:rFonts w:ascii="Times New Roman" w:hAnsi="Times New Roman"/>
          <w:szCs w:val="22"/>
        </w:rPr>
        <w:t>Viešąja įstaiga „Lietuvos energetikos agentūra“</w:t>
      </w:r>
      <w:r w:rsidR="001B4A79">
        <w:rPr>
          <w:rFonts w:ascii="Times New Roman" w:hAnsi="Times New Roman"/>
          <w:szCs w:val="22"/>
        </w:rPr>
        <w:t xml:space="preserve">, </w:t>
      </w:r>
      <w:r>
        <w:rPr>
          <w:rFonts w:ascii="Times New Roman" w:hAnsi="Times New Roman"/>
          <w:szCs w:val="22"/>
        </w:rPr>
        <w:t>Vilniaus Gedimino technikos universitetu</w:t>
      </w:r>
      <w:r w:rsidR="001B4A79">
        <w:rPr>
          <w:rFonts w:ascii="Times New Roman" w:hAnsi="Times New Roman"/>
          <w:szCs w:val="22"/>
        </w:rPr>
        <w:t>.</w:t>
      </w:r>
    </w:p>
    <w:p w14:paraId="387FE0BD" w14:textId="77777777" w:rsidR="00CB6A63" w:rsidRDefault="00CB6A63" w:rsidP="0076741D">
      <w:pPr>
        <w:jc w:val="both"/>
        <w:rPr>
          <w:rFonts w:ascii="Times New Roman" w:hAnsi="Times New Roman"/>
          <w:szCs w:val="22"/>
        </w:rPr>
      </w:pPr>
    </w:p>
    <w:p w14:paraId="1CDD71AD" w14:textId="3A97A5A8" w:rsidR="00CB6A63" w:rsidRDefault="006269D7" w:rsidP="0076741D">
      <w:pPr>
        <w:jc w:val="both"/>
        <w:rPr>
          <w:rFonts w:ascii="Times New Roman" w:hAnsi="Times New Roman"/>
          <w:szCs w:val="22"/>
        </w:rPr>
      </w:pPr>
      <w:r>
        <w:rPr>
          <w:rFonts w:ascii="Times New Roman" w:hAnsi="Times New Roman"/>
          <w:szCs w:val="22"/>
        </w:rPr>
        <w:t xml:space="preserve">Žemiau lentelėje pateikiamos apibendrintos gautos </w:t>
      </w:r>
      <w:r w:rsidR="00CB6A63">
        <w:rPr>
          <w:rFonts w:ascii="Times New Roman" w:hAnsi="Times New Roman"/>
          <w:szCs w:val="22"/>
        </w:rPr>
        <w:t>pastabos</w:t>
      </w:r>
      <w:r w:rsidR="0038571C">
        <w:rPr>
          <w:rFonts w:ascii="Times New Roman" w:hAnsi="Times New Roman"/>
          <w:szCs w:val="22"/>
        </w:rPr>
        <w:t xml:space="preserve"> </w:t>
      </w:r>
      <w:r>
        <w:rPr>
          <w:rFonts w:ascii="Times New Roman" w:hAnsi="Times New Roman"/>
          <w:szCs w:val="22"/>
        </w:rPr>
        <w:t>ir pasiūlymai.</w:t>
      </w:r>
      <w:r w:rsidR="0038571C">
        <w:rPr>
          <w:rFonts w:ascii="Times New Roman" w:hAnsi="Times New Roman"/>
          <w:szCs w:val="22"/>
        </w:rPr>
        <w:t xml:space="preserve"> </w:t>
      </w:r>
    </w:p>
    <w:p w14:paraId="7E53353A" w14:textId="77777777" w:rsidR="006205C4" w:rsidRDefault="006205C4" w:rsidP="0076741D">
      <w:pPr>
        <w:jc w:val="both"/>
        <w:rPr>
          <w:rFonts w:ascii="Times New Roman" w:hAnsi="Times New Roman"/>
          <w:szCs w:val="22"/>
        </w:rPr>
      </w:pPr>
    </w:p>
    <w:tbl>
      <w:tblPr>
        <w:tblStyle w:val="TableGrid"/>
        <w:tblW w:w="0" w:type="auto"/>
        <w:tblLook w:val="04A0" w:firstRow="1" w:lastRow="0" w:firstColumn="1" w:lastColumn="0" w:noHBand="0" w:noVBand="1"/>
      </w:tblPr>
      <w:tblGrid>
        <w:gridCol w:w="2802"/>
        <w:gridCol w:w="7618"/>
      </w:tblGrid>
      <w:tr w:rsidR="0038571C" w14:paraId="21818C1A" w14:textId="77777777" w:rsidTr="00CB6A63">
        <w:tc>
          <w:tcPr>
            <w:tcW w:w="2802" w:type="dxa"/>
          </w:tcPr>
          <w:p w14:paraId="54F1D5FB" w14:textId="7FF13D9B" w:rsidR="0038571C" w:rsidRPr="0038571C" w:rsidRDefault="0038571C" w:rsidP="0076741D">
            <w:pPr>
              <w:jc w:val="both"/>
              <w:rPr>
                <w:rFonts w:ascii="Times New Roman" w:hAnsi="Times New Roman"/>
                <w:b/>
                <w:szCs w:val="22"/>
              </w:rPr>
            </w:pPr>
            <w:r w:rsidRPr="0038571C">
              <w:rPr>
                <w:rFonts w:ascii="Times New Roman" w:hAnsi="Times New Roman"/>
                <w:b/>
                <w:szCs w:val="22"/>
              </w:rPr>
              <w:t>Strategijos dalis</w:t>
            </w:r>
          </w:p>
        </w:tc>
        <w:tc>
          <w:tcPr>
            <w:tcW w:w="7618" w:type="dxa"/>
          </w:tcPr>
          <w:p w14:paraId="5CAADA32" w14:textId="03E83558" w:rsidR="0038571C" w:rsidRPr="0038571C" w:rsidRDefault="006205C4" w:rsidP="0076741D">
            <w:pPr>
              <w:jc w:val="both"/>
              <w:rPr>
                <w:rFonts w:ascii="Times New Roman" w:hAnsi="Times New Roman"/>
                <w:b/>
                <w:szCs w:val="22"/>
              </w:rPr>
            </w:pPr>
            <w:r>
              <w:rPr>
                <w:rFonts w:ascii="Times New Roman" w:hAnsi="Times New Roman"/>
                <w:b/>
                <w:szCs w:val="22"/>
              </w:rPr>
              <w:t>Pas</w:t>
            </w:r>
            <w:r w:rsidR="0038571C" w:rsidRPr="0038571C">
              <w:rPr>
                <w:rFonts w:ascii="Times New Roman" w:hAnsi="Times New Roman"/>
                <w:b/>
                <w:szCs w:val="22"/>
              </w:rPr>
              <w:t>iūlymai / pastabos</w:t>
            </w:r>
          </w:p>
        </w:tc>
      </w:tr>
      <w:tr w:rsidR="0038571C" w14:paraId="1D1D0F2D" w14:textId="77777777" w:rsidTr="00CB6A63">
        <w:tc>
          <w:tcPr>
            <w:tcW w:w="2802" w:type="dxa"/>
            <w:vMerge w:val="restart"/>
          </w:tcPr>
          <w:p w14:paraId="76D3CA11" w14:textId="0E679C2D" w:rsidR="0038571C" w:rsidRDefault="0038571C" w:rsidP="0076741D">
            <w:pPr>
              <w:jc w:val="both"/>
              <w:rPr>
                <w:rFonts w:ascii="Times New Roman" w:hAnsi="Times New Roman"/>
                <w:szCs w:val="22"/>
              </w:rPr>
            </w:pPr>
            <w:r>
              <w:rPr>
                <w:rFonts w:ascii="Times New Roman" w:hAnsi="Times New Roman"/>
                <w:szCs w:val="22"/>
              </w:rPr>
              <w:t xml:space="preserve">Dėl strategijos krypties </w:t>
            </w:r>
          </w:p>
        </w:tc>
        <w:tc>
          <w:tcPr>
            <w:tcW w:w="7618" w:type="dxa"/>
          </w:tcPr>
          <w:p w14:paraId="35FBEF6E" w14:textId="20A3A7DF" w:rsidR="0038571C" w:rsidRPr="00CB6A63" w:rsidRDefault="0038571C" w:rsidP="0076741D">
            <w:pPr>
              <w:jc w:val="both"/>
              <w:rPr>
                <w:rFonts w:ascii="Times New Roman" w:hAnsi="Times New Roman"/>
                <w:szCs w:val="22"/>
              </w:rPr>
            </w:pPr>
            <w:r>
              <w:rPr>
                <w:rFonts w:ascii="Times New Roman" w:hAnsi="Times New Roman"/>
                <w:szCs w:val="22"/>
              </w:rPr>
              <w:t>Ar energinis efektyvumas yra savaiminis tikslas ar priemonė CO</w:t>
            </w:r>
            <w:r w:rsidRPr="00900606">
              <w:rPr>
                <w:rFonts w:ascii="Times New Roman" w:hAnsi="Times New Roman"/>
                <w:szCs w:val="22"/>
                <w:vertAlign w:val="subscript"/>
                <w:lang w:val="en-GB"/>
              </w:rPr>
              <w:t>2</w:t>
            </w:r>
            <w:r>
              <w:rPr>
                <w:rFonts w:ascii="Times New Roman" w:hAnsi="Times New Roman"/>
                <w:szCs w:val="22"/>
                <w:lang w:val="en-GB"/>
              </w:rPr>
              <w:t xml:space="preserve"> ma</w:t>
            </w:r>
            <w:r>
              <w:rPr>
                <w:rFonts w:ascii="Times New Roman" w:hAnsi="Times New Roman"/>
                <w:szCs w:val="22"/>
              </w:rPr>
              <w:t>žinimui</w:t>
            </w:r>
          </w:p>
        </w:tc>
      </w:tr>
      <w:tr w:rsidR="0038571C" w14:paraId="04A30A56" w14:textId="77777777" w:rsidTr="00CB6A63">
        <w:tc>
          <w:tcPr>
            <w:tcW w:w="2802" w:type="dxa"/>
            <w:vMerge/>
          </w:tcPr>
          <w:p w14:paraId="7EDBFE5F" w14:textId="77777777" w:rsidR="0038571C" w:rsidRDefault="0038571C" w:rsidP="0076741D">
            <w:pPr>
              <w:jc w:val="both"/>
              <w:rPr>
                <w:rFonts w:ascii="Times New Roman" w:hAnsi="Times New Roman"/>
                <w:szCs w:val="22"/>
              </w:rPr>
            </w:pPr>
          </w:p>
        </w:tc>
        <w:tc>
          <w:tcPr>
            <w:tcW w:w="7618" w:type="dxa"/>
          </w:tcPr>
          <w:p w14:paraId="58BA7839" w14:textId="32464005" w:rsidR="0038571C" w:rsidRPr="00CB6A63" w:rsidRDefault="0038571C" w:rsidP="0076741D">
            <w:pPr>
              <w:jc w:val="both"/>
              <w:rPr>
                <w:rFonts w:ascii="Times New Roman" w:hAnsi="Times New Roman"/>
                <w:szCs w:val="22"/>
                <w:lang w:val="en-GB"/>
              </w:rPr>
            </w:pPr>
            <w:r>
              <w:rPr>
                <w:rFonts w:ascii="Times New Roman" w:hAnsi="Times New Roman"/>
                <w:szCs w:val="22"/>
              </w:rPr>
              <w:t xml:space="preserve">Ar nepriklausomybė nuo iškastinio kuro reiškia </w:t>
            </w:r>
            <w:r>
              <w:rPr>
                <w:rFonts w:ascii="Times New Roman" w:hAnsi="Times New Roman"/>
                <w:szCs w:val="22"/>
                <w:lang w:val="en-GB"/>
              </w:rPr>
              <w:t>100 proc. AEI</w:t>
            </w:r>
          </w:p>
        </w:tc>
      </w:tr>
      <w:tr w:rsidR="0038571C" w14:paraId="58E72FB8" w14:textId="77777777" w:rsidTr="00CB6A63">
        <w:tc>
          <w:tcPr>
            <w:tcW w:w="2802" w:type="dxa"/>
            <w:vMerge w:val="restart"/>
          </w:tcPr>
          <w:p w14:paraId="7DD040BB" w14:textId="062CE223" w:rsidR="0038571C" w:rsidRDefault="0038571C" w:rsidP="0076741D">
            <w:pPr>
              <w:jc w:val="both"/>
              <w:rPr>
                <w:rFonts w:ascii="Times New Roman" w:hAnsi="Times New Roman"/>
                <w:szCs w:val="22"/>
              </w:rPr>
            </w:pPr>
            <w:r>
              <w:rPr>
                <w:rFonts w:ascii="Times New Roman" w:hAnsi="Times New Roman"/>
                <w:szCs w:val="22"/>
              </w:rPr>
              <w:t>Dėl pastatų fondo</w:t>
            </w:r>
          </w:p>
        </w:tc>
        <w:tc>
          <w:tcPr>
            <w:tcW w:w="7618" w:type="dxa"/>
          </w:tcPr>
          <w:p w14:paraId="39504EAE" w14:textId="4823CA80" w:rsidR="0038571C" w:rsidRDefault="0038571C" w:rsidP="0076741D">
            <w:pPr>
              <w:jc w:val="both"/>
              <w:rPr>
                <w:rFonts w:ascii="Times New Roman" w:hAnsi="Times New Roman"/>
                <w:szCs w:val="22"/>
              </w:rPr>
            </w:pPr>
            <w:r>
              <w:rPr>
                <w:rFonts w:ascii="Times New Roman" w:hAnsi="Times New Roman"/>
                <w:szCs w:val="22"/>
              </w:rPr>
              <w:t>Ar pastatų fondas tikrai vartoja tiek energijos</w:t>
            </w:r>
          </w:p>
        </w:tc>
      </w:tr>
      <w:tr w:rsidR="0038571C" w14:paraId="4BE1DE8A" w14:textId="77777777" w:rsidTr="00CB6A63">
        <w:tc>
          <w:tcPr>
            <w:tcW w:w="2802" w:type="dxa"/>
            <w:vMerge/>
          </w:tcPr>
          <w:p w14:paraId="381E7CC3" w14:textId="77777777" w:rsidR="0038571C" w:rsidRDefault="0038571C" w:rsidP="0076741D">
            <w:pPr>
              <w:jc w:val="both"/>
              <w:rPr>
                <w:rFonts w:ascii="Times New Roman" w:hAnsi="Times New Roman"/>
                <w:szCs w:val="22"/>
              </w:rPr>
            </w:pPr>
          </w:p>
        </w:tc>
        <w:tc>
          <w:tcPr>
            <w:tcW w:w="7618" w:type="dxa"/>
          </w:tcPr>
          <w:p w14:paraId="04A5134B" w14:textId="7B3153E8" w:rsidR="0038571C" w:rsidRDefault="0038571C" w:rsidP="0076741D">
            <w:pPr>
              <w:jc w:val="both"/>
              <w:rPr>
                <w:rFonts w:ascii="Times New Roman" w:hAnsi="Times New Roman"/>
                <w:szCs w:val="22"/>
              </w:rPr>
            </w:pPr>
            <w:r>
              <w:rPr>
                <w:rFonts w:ascii="Times New Roman" w:hAnsi="Times New Roman"/>
                <w:szCs w:val="22"/>
              </w:rPr>
              <w:t>Prašymas pateikti informaciją detaliau</w:t>
            </w:r>
          </w:p>
        </w:tc>
      </w:tr>
      <w:tr w:rsidR="0038571C" w14:paraId="67BA7CAA" w14:textId="77777777" w:rsidTr="00CB6A63">
        <w:tc>
          <w:tcPr>
            <w:tcW w:w="2802" w:type="dxa"/>
            <w:vMerge/>
          </w:tcPr>
          <w:p w14:paraId="33233A1C" w14:textId="77777777" w:rsidR="0038571C" w:rsidRDefault="0038571C" w:rsidP="0076741D">
            <w:pPr>
              <w:jc w:val="both"/>
              <w:rPr>
                <w:rFonts w:ascii="Times New Roman" w:hAnsi="Times New Roman"/>
                <w:szCs w:val="22"/>
              </w:rPr>
            </w:pPr>
          </w:p>
        </w:tc>
        <w:tc>
          <w:tcPr>
            <w:tcW w:w="7618" w:type="dxa"/>
          </w:tcPr>
          <w:p w14:paraId="6979262D" w14:textId="225973D1" w:rsidR="0038571C" w:rsidRDefault="0038571C" w:rsidP="0076741D">
            <w:pPr>
              <w:jc w:val="both"/>
              <w:rPr>
                <w:rFonts w:ascii="Times New Roman" w:hAnsi="Times New Roman"/>
                <w:szCs w:val="22"/>
              </w:rPr>
            </w:pPr>
            <w:r>
              <w:rPr>
                <w:rFonts w:ascii="Times New Roman" w:hAnsi="Times New Roman"/>
                <w:szCs w:val="22"/>
              </w:rPr>
              <w:t>Akcentuoti duomenų nepakankamumo situaciją ir pateikti siūlomus sprendimus</w:t>
            </w:r>
          </w:p>
        </w:tc>
      </w:tr>
      <w:tr w:rsidR="0038571C" w14:paraId="53A4B771" w14:textId="77777777" w:rsidTr="00CB6A63">
        <w:tc>
          <w:tcPr>
            <w:tcW w:w="2802" w:type="dxa"/>
            <w:vMerge w:val="restart"/>
          </w:tcPr>
          <w:p w14:paraId="784D6A4F" w14:textId="3607DB25" w:rsidR="0038571C" w:rsidRDefault="0038571C" w:rsidP="0076741D">
            <w:pPr>
              <w:jc w:val="both"/>
              <w:rPr>
                <w:rFonts w:ascii="Times New Roman" w:hAnsi="Times New Roman"/>
                <w:szCs w:val="22"/>
              </w:rPr>
            </w:pPr>
            <w:r>
              <w:rPr>
                <w:rFonts w:ascii="Times New Roman" w:hAnsi="Times New Roman"/>
                <w:szCs w:val="22"/>
              </w:rPr>
              <w:t>Dėl racionalaus tikslo</w:t>
            </w:r>
          </w:p>
        </w:tc>
        <w:tc>
          <w:tcPr>
            <w:tcW w:w="7618" w:type="dxa"/>
          </w:tcPr>
          <w:p w14:paraId="4CF44FC3" w14:textId="3BD3D45F" w:rsidR="0038571C" w:rsidRDefault="0038571C" w:rsidP="0076741D">
            <w:pPr>
              <w:jc w:val="both"/>
              <w:rPr>
                <w:rFonts w:ascii="Times New Roman" w:hAnsi="Times New Roman"/>
                <w:szCs w:val="22"/>
              </w:rPr>
            </w:pPr>
            <w:r>
              <w:rPr>
                <w:rFonts w:ascii="Times New Roman" w:hAnsi="Times New Roman"/>
                <w:szCs w:val="22"/>
              </w:rPr>
              <w:t>Dėl investicijų kainų</w:t>
            </w:r>
          </w:p>
        </w:tc>
      </w:tr>
      <w:tr w:rsidR="0038571C" w14:paraId="569B818C" w14:textId="77777777" w:rsidTr="00CB6A63">
        <w:tc>
          <w:tcPr>
            <w:tcW w:w="2802" w:type="dxa"/>
            <w:vMerge/>
          </w:tcPr>
          <w:p w14:paraId="711E4E74" w14:textId="77777777" w:rsidR="0038571C" w:rsidRDefault="0038571C" w:rsidP="0076741D">
            <w:pPr>
              <w:jc w:val="both"/>
              <w:rPr>
                <w:rFonts w:ascii="Times New Roman" w:hAnsi="Times New Roman"/>
                <w:szCs w:val="22"/>
              </w:rPr>
            </w:pPr>
          </w:p>
        </w:tc>
        <w:tc>
          <w:tcPr>
            <w:tcW w:w="7618" w:type="dxa"/>
          </w:tcPr>
          <w:p w14:paraId="32B4A144" w14:textId="4269FF07" w:rsidR="0038571C" w:rsidRDefault="0038571C" w:rsidP="0076741D">
            <w:pPr>
              <w:jc w:val="both"/>
              <w:rPr>
                <w:rFonts w:ascii="Times New Roman" w:hAnsi="Times New Roman"/>
                <w:szCs w:val="22"/>
              </w:rPr>
            </w:pPr>
            <w:r>
              <w:rPr>
                <w:rFonts w:ascii="Times New Roman" w:hAnsi="Times New Roman"/>
                <w:szCs w:val="22"/>
              </w:rPr>
              <w:t>Dėl techninių rodiklių nustatymo</w:t>
            </w:r>
          </w:p>
        </w:tc>
      </w:tr>
      <w:tr w:rsidR="0038571C" w14:paraId="3CD36918" w14:textId="77777777" w:rsidTr="00CB6A63">
        <w:tc>
          <w:tcPr>
            <w:tcW w:w="2802" w:type="dxa"/>
            <w:vMerge w:val="restart"/>
          </w:tcPr>
          <w:p w14:paraId="26C5BB84" w14:textId="24294FFC" w:rsidR="0038571C" w:rsidRDefault="0038571C" w:rsidP="0076741D">
            <w:pPr>
              <w:jc w:val="both"/>
              <w:rPr>
                <w:rFonts w:ascii="Times New Roman" w:hAnsi="Times New Roman"/>
                <w:szCs w:val="22"/>
              </w:rPr>
            </w:pPr>
            <w:r>
              <w:rPr>
                <w:rFonts w:ascii="Times New Roman" w:hAnsi="Times New Roman"/>
                <w:szCs w:val="22"/>
              </w:rPr>
              <w:t>Dėl siektinų rodiklių</w:t>
            </w:r>
          </w:p>
        </w:tc>
        <w:tc>
          <w:tcPr>
            <w:tcW w:w="7618" w:type="dxa"/>
          </w:tcPr>
          <w:p w14:paraId="0AB780C3" w14:textId="53864389" w:rsidR="0038571C" w:rsidRDefault="0038571C" w:rsidP="0076741D">
            <w:pPr>
              <w:jc w:val="both"/>
              <w:rPr>
                <w:rFonts w:ascii="Times New Roman" w:hAnsi="Times New Roman"/>
                <w:szCs w:val="22"/>
              </w:rPr>
            </w:pPr>
            <w:r>
              <w:rPr>
                <w:rFonts w:ascii="Times New Roman" w:hAnsi="Times New Roman"/>
                <w:szCs w:val="22"/>
              </w:rPr>
              <w:t>Ar tikslai pakankamai ambicingi</w:t>
            </w:r>
          </w:p>
        </w:tc>
      </w:tr>
      <w:tr w:rsidR="0038571C" w14:paraId="74148C1B" w14:textId="77777777" w:rsidTr="00CB6A63">
        <w:tc>
          <w:tcPr>
            <w:tcW w:w="2802" w:type="dxa"/>
            <w:vMerge/>
          </w:tcPr>
          <w:p w14:paraId="5B4DBDF6" w14:textId="77777777" w:rsidR="0038571C" w:rsidRDefault="0038571C" w:rsidP="0076741D">
            <w:pPr>
              <w:jc w:val="both"/>
              <w:rPr>
                <w:rFonts w:ascii="Times New Roman" w:hAnsi="Times New Roman"/>
                <w:szCs w:val="22"/>
              </w:rPr>
            </w:pPr>
          </w:p>
        </w:tc>
        <w:tc>
          <w:tcPr>
            <w:tcW w:w="7618" w:type="dxa"/>
          </w:tcPr>
          <w:p w14:paraId="507D5AE3" w14:textId="25B438D7" w:rsidR="0038571C" w:rsidRDefault="0038571C" w:rsidP="0076741D">
            <w:pPr>
              <w:jc w:val="both"/>
              <w:rPr>
                <w:rFonts w:ascii="Times New Roman" w:hAnsi="Times New Roman"/>
                <w:szCs w:val="22"/>
              </w:rPr>
            </w:pPr>
            <w:r>
              <w:rPr>
                <w:rFonts w:ascii="Times New Roman" w:hAnsi="Times New Roman"/>
                <w:szCs w:val="22"/>
              </w:rPr>
              <w:t>Ar „įsibėgėjimo“ periodas ne per ilgas</w:t>
            </w:r>
          </w:p>
        </w:tc>
      </w:tr>
      <w:tr w:rsidR="0038571C" w14:paraId="0AE971C6" w14:textId="77777777" w:rsidTr="00CB6A63">
        <w:tc>
          <w:tcPr>
            <w:tcW w:w="2802" w:type="dxa"/>
            <w:vMerge/>
          </w:tcPr>
          <w:p w14:paraId="534FD940" w14:textId="77777777" w:rsidR="0038571C" w:rsidRDefault="0038571C" w:rsidP="0076741D">
            <w:pPr>
              <w:jc w:val="both"/>
              <w:rPr>
                <w:rFonts w:ascii="Times New Roman" w:hAnsi="Times New Roman"/>
                <w:szCs w:val="22"/>
              </w:rPr>
            </w:pPr>
          </w:p>
        </w:tc>
        <w:tc>
          <w:tcPr>
            <w:tcW w:w="7618" w:type="dxa"/>
          </w:tcPr>
          <w:p w14:paraId="394E463D" w14:textId="15352AC6" w:rsidR="0038571C" w:rsidRDefault="0038571C" w:rsidP="0076741D">
            <w:pPr>
              <w:jc w:val="both"/>
              <w:rPr>
                <w:rFonts w:ascii="Times New Roman" w:hAnsi="Times New Roman"/>
                <w:szCs w:val="22"/>
              </w:rPr>
            </w:pPr>
            <w:r>
              <w:rPr>
                <w:rFonts w:ascii="Times New Roman" w:hAnsi="Times New Roman"/>
                <w:szCs w:val="22"/>
              </w:rPr>
              <w:t>Jau renovuotų (C energinio naudingumo klasės) pastatų pakartotinė renovacija</w:t>
            </w:r>
          </w:p>
        </w:tc>
      </w:tr>
      <w:tr w:rsidR="0038571C" w14:paraId="1189F0C0" w14:textId="77777777" w:rsidTr="00CB6A63">
        <w:tc>
          <w:tcPr>
            <w:tcW w:w="2802" w:type="dxa"/>
            <w:vMerge/>
          </w:tcPr>
          <w:p w14:paraId="6B107736" w14:textId="77777777" w:rsidR="0038571C" w:rsidRDefault="0038571C" w:rsidP="0076741D">
            <w:pPr>
              <w:jc w:val="both"/>
              <w:rPr>
                <w:rFonts w:ascii="Times New Roman" w:hAnsi="Times New Roman"/>
                <w:szCs w:val="22"/>
              </w:rPr>
            </w:pPr>
          </w:p>
        </w:tc>
        <w:tc>
          <w:tcPr>
            <w:tcW w:w="7618" w:type="dxa"/>
          </w:tcPr>
          <w:p w14:paraId="71BA422F" w14:textId="205A6A2C" w:rsidR="0038571C" w:rsidRDefault="0038571C" w:rsidP="007A3F45">
            <w:pPr>
              <w:jc w:val="both"/>
              <w:rPr>
                <w:rFonts w:ascii="Times New Roman" w:hAnsi="Times New Roman"/>
                <w:szCs w:val="22"/>
              </w:rPr>
            </w:pPr>
            <w:r>
              <w:rPr>
                <w:rFonts w:ascii="Times New Roman" w:hAnsi="Times New Roman"/>
                <w:szCs w:val="22"/>
              </w:rPr>
              <w:t xml:space="preserve">„Atšokimo efekto“ įtaka. </w:t>
            </w:r>
          </w:p>
        </w:tc>
      </w:tr>
      <w:tr w:rsidR="0038571C" w14:paraId="161C6053" w14:textId="77777777" w:rsidTr="00CB6A63">
        <w:tc>
          <w:tcPr>
            <w:tcW w:w="2802" w:type="dxa"/>
            <w:vMerge w:val="restart"/>
          </w:tcPr>
          <w:p w14:paraId="73E5A9F9" w14:textId="01CDB3C6" w:rsidR="0038571C" w:rsidRDefault="0038571C" w:rsidP="0076741D">
            <w:pPr>
              <w:jc w:val="both"/>
              <w:rPr>
                <w:rFonts w:ascii="Times New Roman" w:hAnsi="Times New Roman"/>
                <w:szCs w:val="22"/>
              </w:rPr>
            </w:pPr>
            <w:r>
              <w:rPr>
                <w:rFonts w:ascii="Times New Roman" w:hAnsi="Times New Roman"/>
                <w:szCs w:val="22"/>
              </w:rPr>
              <w:t>Dėl priemonių</w:t>
            </w:r>
          </w:p>
        </w:tc>
        <w:tc>
          <w:tcPr>
            <w:tcW w:w="7618" w:type="dxa"/>
          </w:tcPr>
          <w:p w14:paraId="4CB6A673" w14:textId="1B222120" w:rsidR="0038571C" w:rsidRDefault="0038571C" w:rsidP="007A3F45">
            <w:pPr>
              <w:jc w:val="both"/>
              <w:rPr>
                <w:rFonts w:ascii="Times New Roman" w:hAnsi="Times New Roman"/>
                <w:szCs w:val="22"/>
              </w:rPr>
            </w:pPr>
            <w:r>
              <w:rPr>
                <w:rFonts w:ascii="Times New Roman" w:hAnsi="Times New Roman"/>
                <w:szCs w:val="22"/>
              </w:rPr>
              <w:t>Strategijos įgyvendinimo laiko juosta</w:t>
            </w:r>
          </w:p>
        </w:tc>
      </w:tr>
      <w:tr w:rsidR="0038571C" w14:paraId="64AAD4C3" w14:textId="77777777" w:rsidTr="00CB6A63">
        <w:tc>
          <w:tcPr>
            <w:tcW w:w="2802" w:type="dxa"/>
            <w:vMerge/>
          </w:tcPr>
          <w:p w14:paraId="59A7FBC2" w14:textId="77777777" w:rsidR="0038571C" w:rsidRDefault="0038571C" w:rsidP="0076741D">
            <w:pPr>
              <w:jc w:val="both"/>
              <w:rPr>
                <w:rFonts w:ascii="Times New Roman" w:hAnsi="Times New Roman"/>
                <w:szCs w:val="22"/>
              </w:rPr>
            </w:pPr>
          </w:p>
        </w:tc>
        <w:tc>
          <w:tcPr>
            <w:tcW w:w="7618" w:type="dxa"/>
          </w:tcPr>
          <w:p w14:paraId="1C7236BE" w14:textId="284F248B" w:rsidR="0038571C" w:rsidRDefault="0038571C" w:rsidP="007A3F45">
            <w:pPr>
              <w:jc w:val="both"/>
              <w:rPr>
                <w:rFonts w:ascii="Times New Roman" w:hAnsi="Times New Roman"/>
                <w:szCs w:val="22"/>
              </w:rPr>
            </w:pPr>
            <w:r>
              <w:rPr>
                <w:rFonts w:ascii="Times New Roman" w:hAnsi="Times New Roman"/>
                <w:szCs w:val="22"/>
              </w:rPr>
              <w:t>Veiksmai trumpuoju laikotarpiu</w:t>
            </w:r>
          </w:p>
        </w:tc>
      </w:tr>
      <w:tr w:rsidR="0038571C" w14:paraId="670E1BE1" w14:textId="77777777" w:rsidTr="00CB6A63">
        <w:tc>
          <w:tcPr>
            <w:tcW w:w="2802" w:type="dxa"/>
            <w:vMerge/>
          </w:tcPr>
          <w:p w14:paraId="08B13075" w14:textId="77777777" w:rsidR="0038571C" w:rsidRDefault="0038571C" w:rsidP="0076741D">
            <w:pPr>
              <w:jc w:val="both"/>
              <w:rPr>
                <w:rFonts w:ascii="Times New Roman" w:hAnsi="Times New Roman"/>
                <w:szCs w:val="22"/>
              </w:rPr>
            </w:pPr>
          </w:p>
        </w:tc>
        <w:tc>
          <w:tcPr>
            <w:tcW w:w="7618" w:type="dxa"/>
          </w:tcPr>
          <w:p w14:paraId="109CB666" w14:textId="43959343" w:rsidR="0038571C" w:rsidRDefault="0038571C" w:rsidP="0076741D">
            <w:pPr>
              <w:jc w:val="both"/>
              <w:rPr>
                <w:rFonts w:ascii="Times New Roman" w:hAnsi="Times New Roman"/>
                <w:szCs w:val="22"/>
              </w:rPr>
            </w:pPr>
            <w:r>
              <w:rPr>
                <w:rFonts w:ascii="Times New Roman" w:hAnsi="Times New Roman"/>
                <w:szCs w:val="22"/>
              </w:rPr>
              <w:t>Įgyvendinimo modelis apjungiant priemones</w:t>
            </w:r>
          </w:p>
        </w:tc>
      </w:tr>
      <w:tr w:rsidR="0038571C" w14:paraId="2EAD6EFA" w14:textId="77777777" w:rsidTr="00CB6A63">
        <w:tc>
          <w:tcPr>
            <w:tcW w:w="2802" w:type="dxa"/>
            <w:vMerge w:val="restart"/>
          </w:tcPr>
          <w:p w14:paraId="77EBD4F0" w14:textId="4F0AAB74" w:rsidR="0038571C" w:rsidRDefault="0038571C" w:rsidP="0076741D">
            <w:pPr>
              <w:jc w:val="both"/>
              <w:rPr>
                <w:rFonts w:ascii="Times New Roman" w:hAnsi="Times New Roman"/>
                <w:szCs w:val="22"/>
              </w:rPr>
            </w:pPr>
            <w:r>
              <w:rPr>
                <w:rFonts w:ascii="Times New Roman" w:hAnsi="Times New Roman"/>
                <w:szCs w:val="22"/>
              </w:rPr>
              <w:t>Dėl integruoto planavimo</w:t>
            </w:r>
          </w:p>
        </w:tc>
        <w:tc>
          <w:tcPr>
            <w:tcW w:w="7618" w:type="dxa"/>
          </w:tcPr>
          <w:p w14:paraId="2D54F0FA" w14:textId="11D97C1E" w:rsidR="0038571C" w:rsidRDefault="0038571C" w:rsidP="0076741D">
            <w:pPr>
              <w:jc w:val="both"/>
              <w:rPr>
                <w:rFonts w:ascii="Times New Roman" w:hAnsi="Times New Roman"/>
                <w:szCs w:val="22"/>
              </w:rPr>
            </w:pPr>
            <w:r>
              <w:rPr>
                <w:rFonts w:ascii="Times New Roman" w:hAnsi="Times New Roman"/>
                <w:szCs w:val="22"/>
              </w:rPr>
              <w:t>CŠT vaidmens ir integracijos į strategiją detalizavimas</w:t>
            </w:r>
          </w:p>
        </w:tc>
      </w:tr>
      <w:tr w:rsidR="0038571C" w14:paraId="7AA9A125" w14:textId="77777777" w:rsidTr="00CB6A63">
        <w:tc>
          <w:tcPr>
            <w:tcW w:w="2802" w:type="dxa"/>
            <w:vMerge/>
          </w:tcPr>
          <w:p w14:paraId="182E552F" w14:textId="77777777" w:rsidR="0038571C" w:rsidRDefault="0038571C" w:rsidP="0076741D">
            <w:pPr>
              <w:jc w:val="both"/>
              <w:rPr>
                <w:rFonts w:ascii="Times New Roman" w:hAnsi="Times New Roman"/>
                <w:szCs w:val="22"/>
              </w:rPr>
            </w:pPr>
          </w:p>
        </w:tc>
        <w:tc>
          <w:tcPr>
            <w:tcW w:w="7618" w:type="dxa"/>
          </w:tcPr>
          <w:p w14:paraId="44869908" w14:textId="176DAB08" w:rsidR="0038571C" w:rsidRDefault="0038571C" w:rsidP="0076741D">
            <w:pPr>
              <w:jc w:val="both"/>
              <w:rPr>
                <w:rFonts w:ascii="Times New Roman" w:hAnsi="Times New Roman"/>
                <w:szCs w:val="22"/>
              </w:rPr>
            </w:pPr>
            <w:r>
              <w:rPr>
                <w:rFonts w:ascii="Times New Roman" w:hAnsi="Times New Roman"/>
                <w:szCs w:val="22"/>
              </w:rPr>
              <w:t>Konkretesni siūlymai, įpareigojimai dėl duomenų inventorizacijos ir kaupimo</w:t>
            </w:r>
          </w:p>
        </w:tc>
      </w:tr>
      <w:tr w:rsidR="0038571C" w14:paraId="2ACEDFA7" w14:textId="77777777" w:rsidTr="00CB6A63">
        <w:tc>
          <w:tcPr>
            <w:tcW w:w="2802" w:type="dxa"/>
            <w:vMerge/>
          </w:tcPr>
          <w:p w14:paraId="6BE51AB5" w14:textId="77777777" w:rsidR="0038571C" w:rsidRDefault="0038571C" w:rsidP="0076741D">
            <w:pPr>
              <w:jc w:val="both"/>
              <w:rPr>
                <w:rFonts w:ascii="Times New Roman" w:hAnsi="Times New Roman"/>
                <w:szCs w:val="22"/>
              </w:rPr>
            </w:pPr>
          </w:p>
        </w:tc>
        <w:tc>
          <w:tcPr>
            <w:tcW w:w="7618" w:type="dxa"/>
          </w:tcPr>
          <w:p w14:paraId="4F3E79AE" w14:textId="04279544" w:rsidR="0038571C" w:rsidRDefault="0038571C" w:rsidP="0076741D">
            <w:pPr>
              <w:jc w:val="both"/>
              <w:rPr>
                <w:rFonts w:ascii="Times New Roman" w:hAnsi="Times New Roman"/>
                <w:szCs w:val="22"/>
              </w:rPr>
            </w:pPr>
            <w:r>
              <w:rPr>
                <w:rFonts w:ascii="Times New Roman" w:hAnsi="Times New Roman"/>
                <w:szCs w:val="22"/>
              </w:rPr>
              <w:t>Lietuvos Respublikos vietos savivaldos įstatyme nenumatyta funkcija (įpareigojimas ir įgyvendinimui reikalingas finansavimas)</w:t>
            </w:r>
          </w:p>
        </w:tc>
      </w:tr>
      <w:tr w:rsidR="0038571C" w14:paraId="4FFEC75D" w14:textId="77777777" w:rsidTr="00CB6A63">
        <w:tc>
          <w:tcPr>
            <w:tcW w:w="2802" w:type="dxa"/>
            <w:vMerge w:val="restart"/>
          </w:tcPr>
          <w:p w14:paraId="5D66E288" w14:textId="7FC48235" w:rsidR="0038571C" w:rsidRPr="00B32888" w:rsidRDefault="0038571C" w:rsidP="0076741D">
            <w:pPr>
              <w:jc w:val="both"/>
              <w:rPr>
                <w:rFonts w:ascii="Times New Roman" w:hAnsi="Times New Roman"/>
                <w:szCs w:val="22"/>
                <w:lang w:val="en-GB"/>
              </w:rPr>
            </w:pPr>
            <w:r>
              <w:rPr>
                <w:rFonts w:ascii="Times New Roman" w:hAnsi="Times New Roman"/>
                <w:szCs w:val="22"/>
              </w:rPr>
              <w:t>Dėl kompleksinio priemonių paketo</w:t>
            </w:r>
          </w:p>
        </w:tc>
        <w:tc>
          <w:tcPr>
            <w:tcW w:w="7618" w:type="dxa"/>
          </w:tcPr>
          <w:p w14:paraId="4F0D6594" w14:textId="6EFDCDAE" w:rsidR="0038571C" w:rsidRDefault="0038571C" w:rsidP="0076741D">
            <w:pPr>
              <w:jc w:val="both"/>
              <w:rPr>
                <w:rFonts w:ascii="Times New Roman" w:hAnsi="Times New Roman"/>
                <w:szCs w:val="22"/>
              </w:rPr>
            </w:pPr>
            <w:r>
              <w:rPr>
                <w:rFonts w:ascii="Times New Roman" w:hAnsi="Times New Roman"/>
                <w:szCs w:val="22"/>
              </w:rPr>
              <w:t>Pilnos energijos kaina įtaka energetiniam skurdui</w:t>
            </w:r>
          </w:p>
        </w:tc>
      </w:tr>
      <w:tr w:rsidR="0038571C" w14:paraId="06CA2D13" w14:textId="77777777" w:rsidTr="00CB6A63">
        <w:tc>
          <w:tcPr>
            <w:tcW w:w="2802" w:type="dxa"/>
            <w:vMerge/>
          </w:tcPr>
          <w:p w14:paraId="5BDAA692" w14:textId="77777777" w:rsidR="0038571C" w:rsidRDefault="0038571C" w:rsidP="0076741D">
            <w:pPr>
              <w:jc w:val="both"/>
              <w:rPr>
                <w:rFonts w:ascii="Times New Roman" w:hAnsi="Times New Roman"/>
                <w:szCs w:val="22"/>
              </w:rPr>
            </w:pPr>
          </w:p>
        </w:tc>
        <w:tc>
          <w:tcPr>
            <w:tcW w:w="7618" w:type="dxa"/>
          </w:tcPr>
          <w:p w14:paraId="6E351DEE" w14:textId="59479E6C" w:rsidR="0038571C" w:rsidRDefault="0038571C" w:rsidP="0076741D">
            <w:pPr>
              <w:jc w:val="both"/>
              <w:rPr>
                <w:rFonts w:ascii="Times New Roman" w:hAnsi="Times New Roman"/>
                <w:szCs w:val="22"/>
              </w:rPr>
            </w:pPr>
            <w:r>
              <w:rPr>
                <w:rFonts w:ascii="Times New Roman" w:hAnsi="Times New Roman"/>
                <w:szCs w:val="22"/>
              </w:rPr>
              <w:t>Siūlymai dėl atskirų paskatų mechanizmų (nekilnojamojo turto mokestis, PVM lengvata ir pan.)</w:t>
            </w:r>
          </w:p>
        </w:tc>
      </w:tr>
      <w:tr w:rsidR="0038571C" w14:paraId="49A5E5F8" w14:textId="77777777" w:rsidTr="00CB6A63">
        <w:tc>
          <w:tcPr>
            <w:tcW w:w="2802" w:type="dxa"/>
            <w:vMerge/>
          </w:tcPr>
          <w:p w14:paraId="152FDDE3" w14:textId="77777777" w:rsidR="0038571C" w:rsidRDefault="0038571C" w:rsidP="0076741D">
            <w:pPr>
              <w:jc w:val="both"/>
              <w:rPr>
                <w:rFonts w:ascii="Times New Roman" w:hAnsi="Times New Roman"/>
                <w:szCs w:val="22"/>
              </w:rPr>
            </w:pPr>
          </w:p>
        </w:tc>
        <w:tc>
          <w:tcPr>
            <w:tcW w:w="7618" w:type="dxa"/>
          </w:tcPr>
          <w:p w14:paraId="686018D7" w14:textId="62683FA0" w:rsidR="0038571C" w:rsidRDefault="0038571C" w:rsidP="0076741D">
            <w:pPr>
              <w:jc w:val="both"/>
              <w:rPr>
                <w:rFonts w:ascii="Times New Roman" w:hAnsi="Times New Roman"/>
                <w:szCs w:val="22"/>
              </w:rPr>
            </w:pPr>
            <w:r>
              <w:rPr>
                <w:rFonts w:ascii="Times New Roman" w:hAnsi="Times New Roman"/>
                <w:szCs w:val="22"/>
              </w:rPr>
              <w:t>Siūlymai dėl atskirų techninių aspektų didinančių renovacijos naudą (vėdinimas, vėsinimas, aplinka ir pan.) akcentuojant privalomus sprendimus</w:t>
            </w:r>
          </w:p>
        </w:tc>
      </w:tr>
      <w:tr w:rsidR="0038571C" w14:paraId="6822693C" w14:textId="77777777" w:rsidTr="00CB6A63">
        <w:tc>
          <w:tcPr>
            <w:tcW w:w="2802" w:type="dxa"/>
            <w:vMerge/>
          </w:tcPr>
          <w:p w14:paraId="7C742A37" w14:textId="77777777" w:rsidR="0038571C" w:rsidRDefault="0038571C" w:rsidP="0076741D">
            <w:pPr>
              <w:jc w:val="both"/>
              <w:rPr>
                <w:rFonts w:ascii="Times New Roman" w:hAnsi="Times New Roman"/>
                <w:szCs w:val="22"/>
              </w:rPr>
            </w:pPr>
          </w:p>
        </w:tc>
        <w:tc>
          <w:tcPr>
            <w:tcW w:w="7618" w:type="dxa"/>
          </w:tcPr>
          <w:p w14:paraId="0F8478FE" w14:textId="2C3DBC83" w:rsidR="0038571C" w:rsidRDefault="0038571C" w:rsidP="0076741D">
            <w:pPr>
              <w:jc w:val="both"/>
              <w:rPr>
                <w:rFonts w:ascii="Times New Roman" w:hAnsi="Times New Roman"/>
                <w:szCs w:val="22"/>
              </w:rPr>
            </w:pPr>
            <w:r>
              <w:rPr>
                <w:rFonts w:ascii="Times New Roman" w:hAnsi="Times New Roman"/>
                <w:szCs w:val="22"/>
              </w:rPr>
              <w:t>Paskata vartotojui siekti didesnių sutaupymų</w:t>
            </w:r>
          </w:p>
        </w:tc>
      </w:tr>
      <w:tr w:rsidR="0038571C" w14:paraId="276F6ADA" w14:textId="77777777" w:rsidTr="00CB6A63">
        <w:tc>
          <w:tcPr>
            <w:tcW w:w="2802" w:type="dxa"/>
            <w:vMerge/>
          </w:tcPr>
          <w:p w14:paraId="0B2C0F26" w14:textId="77777777" w:rsidR="0038571C" w:rsidRDefault="0038571C" w:rsidP="0076741D">
            <w:pPr>
              <w:jc w:val="both"/>
              <w:rPr>
                <w:rFonts w:ascii="Times New Roman" w:hAnsi="Times New Roman"/>
                <w:szCs w:val="22"/>
              </w:rPr>
            </w:pPr>
          </w:p>
        </w:tc>
        <w:tc>
          <w:tcPr>
            <w:tcW w:w="7618" w:type="dxa"/>
          </w:tcPr>
          <w:p w14:paraId="344DCAF2" w14:textId="6C11FE1C" w:rsidR="0038571C" w:rsidRDefault="0038571C" w:rsidP="0076741D">
            <w:pPr>
              <w:jc w:val="both"/>
              <w:rPr>
                <w:rFonts w:ascii="Times New Roman" w:hAnsi="Times New Roman"/>
                <w:szCs w:val="22"/>
              </w:rPr>
            </w:pPr>
            <w:r>
              <w:rPr>
                <w:rFonts w:ascii="Times New Roman" w:hAnsi="Times New Roman"/>
                <w:szCs w:val="22"/>
              </w:rPr>
              <w:t>Daugiau akcentuoti AEI priemones</w:t>
            </w:r>
          </w:p>
        </w:tc>
      </w:tr>
      <w:tr w:rsidR="0038571C" w14:paraId="30220BC9" w14:textId="77777777" w:rsidTr="00CB6A63">
        <w:tc>
          <w:tcPr>
            <w:tcW w:w="2802" w:type="dxa"/>
            <w:vMerge/>
          </w:tcPr>
          <w:p w14:paraId="771119CB" w14:textId="77777777" w:rsidR="0038571C" w:rsidRDefault="0038571C" w:rsidP="0076741D">
            <w:pPr>
              <w:jc w:val="both"/>
              <w:rPr>
                <w:rFonts w:ascii="Times New Roman" w:hAnsi="Times New Roman"/>
                <w:szCs w:val="22"/>
              </w:rPr>
            </w:pPr>
          </w:p>
        </w:tc>
        <w:tc>
          <w:tcPr>
            <w:tcW w:w="7618" w:type="dxa"/>
          </w:tcPr>
          <w:p w14:paraId="66178A50" w14:textId="4F5EDF54" w:rsidR="0038571C" w:rsidRDefault="0038571C" w:rsidP="0076741D">
            <w:pPr>
              <w:jc w:val="both"/>
              <w:rPr>
                <w:rFonts w:ascii="Times New Roman" w:hAnsi="Times New Roman"/>
                <w:szCs w:val="22"/>
              </w:rPr>
            </w:pPr>
            <w:r>
              <w:rPr>
                <w:rFonts w:ascii="Times New Roman" w:hAnsi="Times New Roman"/>
                <w:szCs w:val="22"/>
              </w:rPr>
              <w:t>Pastatų griovimas (kaip vienas iš renovacijos būdų)</w:t>
            </w:r>
          </w:p>
        </w:tc>
      </w:tr>
      <w:tr w:rsidR="0038571C" w14:paraId="0ACF8336" w14:textId="77777777" w:rsidTr="00CB6A63">
        <w:tc>
          <w:tcPr>
            <w:tcW w:w="2802" w:type="dxa"/>
            <w:vMerge w:val="restart"/>
          </w:tcPr>
          <w:p w14:paraId="252AE700" w14:textId="76044825" w:rsidR="0038571C" w:rsidRDefault="0038571C" w:rsidP="0076741D">
            <w:pPr>
              <w:jc w:val="both"/>
              <w:rPr>
                <w:rFonts w:ascii="Times New Roman" w:hAnsi="Times New Roman"/>
                <w:szCs w:val="22"/>
              </w:rPr>
            </w:pPr>
            <w:r>
              <w:rPr>
                <w:rFonts w:ascii="Times New Roman" w:hAnsi="Times New Roman"/>
                <w:szCs w:val="22"/>
              </w:rPr>
              <w:t>Dėl finansavimo</w:t>
            </w:r>
          </w:p>
        </w:tc>
        <w:tc>
          <w:tcPr>
            <w:tcW w:w="7618" w:type="dxa"/>
          </w:tcPr>
          <w:p w14:paraId="79ECC1B0" w14:textId="04FD7D96" w:rsidR="0038571C" w:rsidRDefault="0038571C" w:rsidP="0076741D">
            <w:pPr>
              <w:jc w:val="both"/>
              <w:rPr>
                <w:rFonts w:ascii="Times New Roman" w:hAnsi="Times New Roman"/>
                <w:szCs w:val="22"/>
              </w:rPr>
            </w:pPr>
            <w:r>
              <w:rPr>
                <w:rFonts w:ascii="Times New Roman" w:hAnsi="Times New Roman"/>
                <w:szCs w:val="22"/>
              </w:rPr>
              <w:t>Finansavimo poreikio detalizavimas (šaltiniai, komponentai ir pan.)</w:t>
            </w:r>
          </w:p>
        </w:tc>
      </w:tr>
      <w:tr w:rsidR="0038571C" w14:paraId="05D02DBB" w14:textId="77777777" w:rsidTr="00CB6A63">
        <w:tc>
          <w:tcPr>
            <w:tcW w:w="2802" w:type="dxa"/>
            <w:vMerge/>
          </w:tcPr>
          <w:p w14:paraId="55E97546" w14:textId="77777777" w:rsidR="0038571C" w:rsidRDefault="0038571C" w:rsidP="0076741D">
            <w:pPr>
              <w:jc w:val="both"/>
              <w:rPr>
                <w:rFonts w:ascii="Times New Roman" w:hAnsi="Times New Roman"/>
                <w:szCs w:val="22"/>
              </w:rPr>
            </w:pPr>
          </w:p>
        </w:tc>
        <w:tc>
          <w:tcPr>
            <w:tcW w:w="7618" w:type="dxa"/>
          </w:tcPr>
          <w:p w14:paraId="7844E348" w14:textId="030B98DD" w:rsidR="0038571C" w:rsidRDefault="0038571C" w:rsidP="0076741D">
            <w:pPr>
              <w:jc w:val="both"/>
              <w:rPr>
                <w:rFonts w:ascii="Times New Roman" w:hAnsi="Times New Roman"/>
                <w:szCs w:val="22"/>
              </w:rPr>
            </w:pPr>
            <w:r>
              <w:rPr>
                <w:rFonts w:ascii="Times New Roman" w:hAnsi="Times New Roman"/>
                <w:szCs w:val="22"/>
              </w:rPr>
              <w:t>ESCO kaip vienas iš finansavimo šaltinių</w:t>
            </w:r>
          </w:p>
        </w:tc>
      </w:tr>
      <w:tr w:rsidR="0038571C" w14:paraId="634EB729" w14:textId="77777777" w:rsidTr="00CB6A63">
        <w:tc>
          <w:tcPr>
            <w:tcW w:w="2802" w:type="dxa"/>
            <w:vMerge w:val="restart"/>
          </w:tcPr>
          <w:p w14:paraId="1E771A0E" w14:textId="24831FDE" w:rsidR="0038571C" w:rsidRDefault="0038571C" w:rsidP="0076741D">
            <w:pPr>
              <w:jc w:val="both"/>
              <w:rPr>
                <w:rFonts w:ascii="Times New Roman" w:hAnsi="Times New Roman"/>
                <w:szCs w:val="22"/>
              </w:rPr>
            </w:pPr>
            <w:r>
              <w:rPr>
                <w:rFonts w:ascii="Times New Roman" w:hAnsi="Times New Roman"/>
                <w:szCs w:val="22"/>
              </w:rPr>
              <w:t>Dėl įgyvendinimo sistemos</w:t>
            </w:r>
          </w:p>
        </w:tc>
        <w:tc>
          <w:tcPr>
            <w:tcW w:w="7618" w:type="dxa"/>
          </w:tcPr>
          <w:p w14:paraId="5A2F4AA0" w14:textId="27D483FB" w:rsidR="0038571C" w:rsidRDefault="0038571C" w:rsidP="0076741D">
            <w:pPr>
              <w:jc w:val="both"/>
              <w:rPr>
                <w:rFonts w:ascii="Times New Roman" w:hAnsi="Times New Roman"/>
                <w:szCs w:val="22"/>
              </w:rPr>
            </w:pPr>
            <w:r>
              <w:rPr>
                <w:rFonts w:ascii="Times New Roman" w:hAnsi="Times New Roman"/>
                <w:szCs w:val="22"/>
              </w:rPr>
              <w:t>Sistemos paprastumo poreikis</w:t>
            </w:r>
          </w:p>
        </w:tc>
      </w:tr>
      <w:tr w:rsidR="0038571C" w14:paraId="0839C4AC" w14:textId="77777777" w:rsidTr="00CB6A63">
        <w:tc>
          <w:tcPr>
            <w:tcW w:w="2802" w:type="dxa"/>
            <w:vMerge/>
          </w:tcPr>
          <w:p w14:paraId="5DD59455" w14:textId="77777777" w:rsidR="0038571C" w:rsidRDefault="0038571C" w:rsidP="0076741D">
            <w:pPr>
              <w:jc w:val="both"/>
              <w:rPr>
                <w:rFonts w:ascii="Times New Roman" w:hAnsi="Times New Roman"/>
                <w:szCs w:val="22"/>
              </w:rPr>
            </w:pPr>
          </w:p>
        </w:tc>
        <w:tc>
          <w:tcPr>
            <w:tcW w:w="7618" w:type="dxa"/>
          </w:tcPr>
          <w:p w14:paraId="65A8650E" w14:textId="5F996521" w:rsidR="0038571C" w:rsidRDefault="0038571C" w:rsidP="0076741D">
            <w:pPr>
              <w:jc w:val="both"/>
              <w:rPr>
                <w:rFonts w:ascii="Times New Roman" w:hAnsi="Times New Roman"/>
                <w:szCs w:val="22"/>
              </w:rPr>
            </w:pPr>
            <w:r>
              <w:rPr>
                <w:rFonts w:ascii="Times New Roman" w:hAnsi="Times New Roman"/>
                <w:szCs w:val="22"/>
              </w:rPr>
              <w:t>Garantijų vartotojui mechanizmo sukūrimas</w:t>
            </w:r>
          </w:p>
        </w:tc>
      </w:tr>
      <w:tr w:rsidR="0038571C" w14:paraId="60FA7FD6" w14:textId="77777777" w:rsidTr="00CB6A63">
        <w:tc>
          <w:tcPr>
            <w:tcW w:w="2802" w:type="dxa"/>
            <w:vMerge/>
          </w:tcPr>
          <w:p w14:paraId="2B3AB441" w14:textId="77777777" w:rsidR="0038571C" w:rsidRDefault="0038571C" w:rsidP="0076741D">
            <w:pPr>
              <w:jc w:val="both"/>
              <w:rPr>
                <w:rFonts w:ascii="Times New Roman" w:hAnsi="Times New Roman"/>
                <w:szCs w:val="22"/>
              </w:rPr>
            </w:pPr>
          </w:p>
        </w:tc>
        <w:tc>
          <w:tcPr>
            <w:tcW w:w="7618" w:type="dxa"/>
          </w:tcPr>
          <w:p w14:paraId="0621FD2E" w14:textId="40D82B08" w:rsidR="0038571C" w:rsidRDefault="0038571C" w:rsidP="0076741D">
            <w:pPr>
              <w:jc w:val="both"/>
              <w:rPr>
                <w:rFonts w:ascii="Times New Roman" w:hAnsi="Times New Roman"/>
                <w:szCs w:val="22"/>
              </w:rPr>
            </w:pPr>
            <w:r>
              <w:rPr>
                <w:rFonts w:ascii="Times New Roman" w:hAnsi="Times New Roman"/>
                <w:szCs w:val="22"/>
              </w:rPr>
              <w:t>Atliktų darbų kontrolės didinimas (atliktų darbų dokumentacija, techninių sprendinių keitimo statybų eigoje valdymas, įgaliojimų ir atsakomybės didinimas)</w:t>
            </w:r>
          </w:p>
        </w:tc>
      </w:tr>
    </w:tbl>
    <w:p w14:paraId="6F793CBD" w14:textId="46289CB6" w:rsidR="006E13C0" w:rsidRPr="00650EE4" w:rsidRDefault="006E13C0" w:rsidP="0076741D">
      <w:pPr>
        <w:jc w:val="both"/>
        <w:rPr>
          <w:rFonts w:ascii="Times New Roman" w:hAnsi="Times New Roman"/>
          <w:color w:val="000000" w:themeColor="text1"/>
          <w:szCs w:val="22"/>
        </w:rPr>
      </w:pPr>
    </w:p>
    <w:sectPr w:rsidR="006E13C0" w:rsidRPr="00650EE4" w:rsidSect="0078046E">
      <w:headerReference w:type="default" r:id="rId71"/>
      <w:pgSz w:w="11906" w:h="16838" w:code="9"/>
      <w:pgMar w:top="1560"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E387C" w14:textId="77777777" w:rsidR="005E392B" w:rsidRDefault="005E392B">
      <w:pPr>
        <w:spacing w:line="240" w:lineRule="auto"/>
      </w:pPr>
      <w:r>
        <w:separator/>
      </w:r>
    </w:p>
  </w:endnote>
  <w:endnote w:type="continuationSeparator" w:id="0">
    <w:p w14:paraId="674D6EB3" w14:textId="77777777" w:rsidR="005E392B" w:rsidRDefault="005E3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iriam">
    <w:altName w:val="Arial"/>
    <w:charset w:val="B1"/>
    <w:family w:val="swiss"/>
    <w:pitch w:val="variable"/>
    <w:sig w:usb0="00000803" w:usb1="00000000" w:usb2="00000000" w:usb3="00000000" w:csb0="00000021" w:csb1="00000000"/>
  </w:font>
  <w:font w:name="Bahnschrift">
    <w:panose1 w:val="020B0502040204020203"/>
    <w:charset w:val="BA"/>
    <w:family w:val="swiss"/>
    <w:pitch w:val="variable"/>
    <w:sig w:usb0="A00002C7" w:usb1="00000002" w:usb2="00000000" w:usb3="00000000" w:csb0="0000019F" w:csb1="00000000"/>
  </w:font>
  <w:font w:name="EUAlbertina">
    <w:altName w:val="Times New Roman"/>
    <w:panose1 w:val="00000000000000000000"/>
    <w:charset w:val="00"/>
    <w:family w:val="roman"/>
    <w:notTrueType/>
    <w:pitch w:val="default"/>
    <w:sig w:usb0="00000005"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FC424" w14:textId="77777777" w:rsidR="005E392B" w:rsidRDefault="005E392B">
    <w:pPr>
      <w:pStyle w:val="Footer"/>
    </w:pPr>
    <w:r>
      <w:t>Footer text goes here</w:t>
    </w:r>
  </w:p>
  <w:p w14:paraId="25644523" w14:textId="77777777" w:rsidR="005E392B" w:rsidRDefault="005E392B">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 w:val="20"/>
        <w:szCs w:val="24"/>
      </w:rPr>
      <w:id w:val="1525059344"/>
      <w:docPartObj>
        <w:docPartGallery w:val="Page Numbers (Bottom of Page)"/>
        <w:docPartUnique/>
      </w:docPartObj>
    </w:sdtPr>
    <w:sdtEndPr>
      <w:rPr>
        <w:noProof/>
        <w:szCs w:val="20"/>
      </w:rPr>
    </w:sdtEndPr>
    <w:sdtContent>
      <w:p w14:paraId="7CD08B30" w14:textId="3AE84CB0" w:rsidR="005E392B" w:rsidRPr="00E13F28" w:rsidRDefault="005E392B" w:rsidP="00A03DB6">
        <w:pPr>
          <w:pStyle w:val="Footer"/>
          <w:jc w:val="right"/>
          <w:rPr>
            <w:color w:val="auto"/>
            <w:sz w:val="20"/>
            <w:szCs w:val="20"/>
          </w:rPr>
        </w:pPr>
        <w:r w:rsidRPr="00E13F28">
          <w:rPr>
            <w:rFonts w:ascii="Times New Roman" w:hAnsi="Times New Roman"/>
            <w:color w:val="auto"/>
            <w:sz w:val="20"/>
            <w:szCs w:val="20"/>
          </w:rPr>
          <w:fldChar w:fldCharType="begin"/>
        </w:r>
        <w:r w:rsidRPr="00E13F28">
          <w:rPr>
            <w:rFonts w:ascii="Times New Roman" w:hAnsi="Times New Roman"/>
            <w:color w:val="auto"/>
            <w:sz w:val="20"/>
            <w:szCs w:val="20"/>
          </w:rPr>
          <w:instrText xml:space="preserve"> PAGE   \* MERGEFORMAT </w:instrText>
        </w:r>
        <w:r w:rsidRPr="00E13F28">
          <w:rPr>
            <w:rFonts w:ascii="Times New Roman" w:hAnsi="Times New Roman"/>
            <w:color w:val="auto"/>
            <w:sz w:val="20"/>
            <w:szCs w:val="20"/>
          </w:rPr>
          <w:fldChar w:fldCharType="separate"/>
        </w:r>
        <w:r w:rsidR="0045783E">
          <w:rPr>
            <w:rFonts w:ascii="Times New Roman" w:hAnsi="Times New Roman"/>
            <w:noProof/>
            <w:color w:val="auto"/>
            <w:sz w:val="20"/>
            <w:szCs w:val="20"/>
          </w:rPr>
          <w:t>119</w:t>
        </w:r>
        <w:r w:rsidRPr="00E13F28">
          <w:rPr>
            <w:rFonts w:ascii="Times New Roman" w:hAnsi="Times New Roman"/>
            <w:noProof/>
            <w:color w:val="auto"/>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13353"/>
      <w:docPartObj>
        <w:docPartGallery w:val="Page Numbers (Bottom of Page)"/>
        <w:docPartUnique/>
      </w:docPartObj>
    </w:sdtPr>
    <w:sdtEndPr>
      <w:rPr>
        <w:noProof/>
      </w:rPr>
    </w:sdtEndPr>
    <w:sdtContent>
      <w:p w14:paraId="4EBDA7DF" w14:textId="0C0DF4E5" w:rsidR="005E392B" w:rsidRDefault="0045783E" w:rsidP="00A74C24">
        <w:pPr>
          <w:pStyle w:val="Footer"/>
          <w:jc w:val="righ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909194"/>
      <w:docPartObj>
        <w:docPartGallery w:val="Page Numbers (Bottom of Page)"/>
        <w:docPartUnique/>
      </w:docPartObj>
    </w:sdtPr>
    <w:sdtEndPr>
      <w:rPr>
        <w:rFonts w:ascii="Times New Roman" w:hAnsi="Times New Roman"/>
        <w:noProof/>
        <w:szCs w:val="18"/>
      </w:rPr>
    </w:sdtEndPr>
    <w:sdtContent>
      <w:p w14:paraId="7DA068A8" w14:textId="348E65AF" w:rsidR="005E392B" w:rsidRPr="00802B39" w:rsidRDefault="005E392B" w:rsidP="00496A5B">
        <w:pPr>
          <w:pStyle w:val="Footer"/>
          <w:jc w:val="right"/>
          <w:rPr>
            <w:rFonts w:ascii="Times New Roman" w:hAnsi="Times New Roman"/>
            <w:szCs w:val="18"/>
          </w:rPr>
        </w:pPr>
        <w:r w:rsidRPr="00802B39">
          <w:rPr>
            <w:rFonts w:ascii="Times New Roman" w:hAnsi="Times New Roman"/>
            <w:szCs w:val="18"/>
          </w:rPr>
          <w:fldChar w:fldCharType="begin"/>
        </w:r>
        <w:r w:rsidRPr="00802B39">
          <w:rPr>
            <w:rFonts w:ascii="Times New Roman" w:hAnsi="Times New Roman"/>
            <w:szCs w:val="18"/>
          </w:rPr>
          <w:instrText xml:space="preserve"> PAGE   \* MERGEFORMAT </w:instrText>
        </w:r>
        <w:r w:rsidRPr="00802B39">
          <w:rPr>
            <w:rFonts w:ascii="Times New Roman" w:hAnsi="Times New Roman"/>
            <w:szCs w:val="18"/>
          </w:rPr>
          <w:fldChar w:fldCharType="separate"/>
        </w:r>
        <w:r w:rsidR="0045783E">
          <w:rPr>
            <w:rFonts w:ascii="Times New Roman" w:hAnsi="Times New Roman"/>
            <w:noProof/>
            <w:szCs w:val="18"/>
          </w:rPr>
          <w:t>2</w:t>
        </w:r>
        <w:r w:rsidRPr="00802B39">
          <w:rPr>
            <w:rFonts w:ascii="Times New Roman" w:hAnsi="Times New Roman"/>
            <w:noProof/>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B52FE" w14:textId="77777777" w:rsidR="005E392B" w:rsidRDefault="005E392B">
      <w:pPr>
        <w:spacing w:line="240" w:lineRule="auto"/>
      </w:pPr>
      <w:r>
        <w:separator/>
      </w:r>
    </w:p>
  </w:footnote>
  <w:footnote w:type="continuationSeparator" w:id="0">
    <w:p w14:paraId="034EF0C8" w14:textId="77777777" w:rsidR="005E392B" w:rsidRDefault="005E392B">
      <w:pPr>
        <w:spacing w:line="240" w:lineRule="auto"/>
      </w:pPr>
      <w:r>
        <w:continuationSeparator/>
      </w:r>
    </w:p>
  </w:footnote>
  <w:footnote w:id="1">
    <w:p w14:paraId="1D8F063B" w14:textId="77777777" w:rsidR="005E392B" w:rsidRPr="007A304F" w:rsidRDefault="005E392B" w:rsidP="001358F8">
      <w:pPr>
        <w:jc w:val="both"/>
        <w:rPr>
          <w:rFonts w:ascii="Times New Roman" w:hAnsi="Times New Roman"/>
          <w:color w:val="000000" w:themeColor="text1"/>
          <w:sz w:val="18"/>
          <w:szCs w:val="18"/>
        </w:rPr>
      </w:pPr>
      <w:r w:rsidRPr="00FA1F5A">
        <w:rPr>
          <w:rFonts w:ascii="Times New Roman" w:hAnsi="Times New Roman"/>
          <w:sz w:val="18"/>
          <w:szCs w:val="18"/>
          <w:vertAlign w:val="superscript"/>
        </w:rPr>
        <w:footnoteRef/>
      </w:r>
      <w:r w:rsidRPr="007A304F">
        <w:rPr>
          <w:rFonts w:ascii="Times New Roman" w:hAnsi="Times New Roman"/>
          <w:sz w:val="18"/>
          <w:szCs w:val="18"/>
        </w:rPr>
        <w:t xml:space="preserve"> </w:t>
      </w:r>
      <w:r w:rsidRPr="007A304F">
        <w:rPr>
          <w:rFonts w:ascii="Times New Roman" w:hAnsi="Times New Roman"/>
          <w:color w:val="000000" w:themeColor="text1"/>
          <w:sz w:val="18"/>
          <w:szCs w:val="18"/>
        </w:rPr>
        <w:t>Daugiabučių namų renovacijoje šiuo metu kuriami instrumentai su 1:5 sverto efektu, t.y. siekiama, kad kiekvienas viešų finansų euras,  pritrauktų 5 eurus iš privataus sektoriaus ar kitų trečiųjų šalių.</w:t>
      </w:r>
    </w:p>
  </w:footnote>
  <w:footnote w:id="2">
    <w:p w14:paraId="59186B88" w14:textId="77777777" w:rsidR="005E392B" w:rsidRPr="004E2CC4" w:rsidRDefault="005E392B" w:rsidP="00E60DE6">
      <w:pPr>
        <w:jc w:val="both"/>
        <w:rPr>
          <w:rFonts w:ascii="Times New Roman" w:hAnsi="Times New Roman"/>
          <w:color w:val="000000" w:themeColor="text1"/>
          <w:sz w:val="18"/>
          <w:szCs w:val="22"/>
        </w:rPr>
      </w:pPr>
      <w:r w:rsidRPr="0065297E">
        <w:rPr>
          <w:rStyle w:val="FootnoteReference"/>
          <w:rFonts w:ascii="Times New Roman" w:hAnsi="Times New Roman"/>
        </w:rPr>
        <w:footnoteRef/>
      </w:r>
      <w:r>
        <w:t xml:space="preserve"> </w:t>
      </w:r>
      <w:r w:rsidRPr="004E2CC4">
        <w:rPr>
          <w:rFonts w:ascii="Times New Roman" w:hAnsi="Times New Roman"/>
          <w:color w:val="000000" w:themeColor="text1"/>
          <w:sz w:val="18"/>
          <w:szCs w:val="22"/>
        </w:rPr>
        <w:t xml:space="preserve">IRS apimtyje </w:t>
      </w:r>
      <w:r>
        <w:rPr>
          <w:rFonts w:ascii="Times New Roman" w:hAnsi="Times New Roman"/>
          <w:color w:val="000000" w:themeColor="text1"/>
          <w:sz w:val="18"/>
          <w:szCs w:val="22"/>
        </w:rPr>
        <w:t>vertinama</w:t>
      </w:r>
      <w:r w:rsidRPr="004E2CC4">
        <w:rPr>
          <w:rFonts w:ascii="Times New Roman" w:hAnsi="Times New Roman"/>
          <w:color w:val="000000" w:themeColor="text1"/>
          <w:sz w:val="18"/>
          <w:szCs w:val="22"/>
        </w:rPr>
        <w:t xml:space="preserve">, kad </w:t>
      </w:r>
      <w:r>
        <w:rPr>
          <w:rFonts w:ascii="Times New Roman" w:hAnsi="Times New Roman"/>
          <w:color w:val="000000" w:themeColor="text1"/>
          <w:sz w:val="18"/>
          <w:szCs w:val="22"/>
        </w:rPr>
        <w:t>elektros ir CŠT</w:t>
      </w:r>
      <w:r w:rsidRPr="004E2CC4">
        <w:rPr>
          <w:rFonts w:ascii="Times New Roman" w:hAnsi="Times New Roman"/>
          <w:color w:val="000000" w:themeColor="text1"/>
          <w:sz w:val="18"/>
          <w:szCs w:val="22"/>
        </w:rPr>
        <w:t xml:space="preserve"> sektoriai vystysis iškastinio kuro atsisa</w:t>
      </w:r>
      <w:r>
        <w:rPr>
          <w:rFonts w:ascii="Times New Roman" w:hAnsi="Times New Roman"/>
          <w:color w:val="000000" w:themeColor="text1"/>
          <w:sz w:val="18"/>
          <w:szCs w:val="22"/>
        </w:rPr>
        <w:t>kymo kryptimi (remiantis NENS)</w:t>
      </w:r>
    </w:p>
    <w:p w14:paraId="18E2276F" w14:textId="77777777" w:rsidR="005E392B" w:rsidRDefault="005E392B" w:rsidP="00E60DE6">
      <w:pPr>
        <w:pStyle w:val="FootnoteText"/>
      </w:pPr>
    </w:p>
  </w:footnote>
  <w:footnote w:id="3">
    <w:p w14:paraId="09FAFBFD" w14:textId="77777777" w:rsidR="005E392B" w:rsidRPr="000C0E81" w:rsidRDefault="005E392B" w:rsidP="00E60DE6">
      <w:pPr>
        <w:pStyle w:val="FootnoteText"/>
        <w:rPr>
          <w:rFonts w:ascii="Times New Roman" w:hAnsi="Times New Roman" w:cs="Times New Roman"/>
          <w:sz w:val="18"/>
          <w:szCs w:val="18"/>
        </w:rPr>
      </w:pPr>
      <w:r w:rsidRPr="000C0E81">
        <w:rPr>
          <w:rStyle w:val="FootnoteReference"/>
          <w:rFonts w:ascii="Times New Roman" w:hAnsi="Times New Roman" w:cs="Times New Roman"/>
          <w:sz w:val="18"/>
          <w:szCs w:val="18"/>
        </w:rPr>
        <w:footnoteRef/>
      </w:r>
      <w:r w:rsidRPr="000C0E81">
        <w:rPr>
          <w:rFonts w:ascii="Times New Roman" w:hAnsi="Times New Roman" w:cs="Times New Roman"/>
          <w:sz w:val="18"/>
          <w:szCs w:val="18"/>
        </w:rPr>
        <w:t xml:space="preserve"> Iki NECP 2040 parengimo ir IRS atnaujinimo (žr. 14 etapą)</w:t>
      </w:r>
    </w:p>
  </w:footnote>
  <w:footnote w:id="4">
    <w:p w14:paraId="052C35BA" w14:textId="2B5D15A2" w:rsidR="005E392B" w:rsidRPr="00C93E38" w:rsidRDefault="005E392B">
      <w:pPr>
        <w:pStyle w:val="FootnoteText"/>
        <w:rPr>
          <w:rFonts w:ascii="Times New Roman" w:hAnsi="Times New Roman" w:cs="Times New Roman"/>
          <w:sz w:val="20"/>
        </w:rPr>
      </w:pPr>
      <w:r w:rsidRPr="00C93E38">
        <w:rPr>
          <w:rStyle w:val="FootnoteReference"/>
          <w:rFonts w:ascii="Times New Roman" w:hAnsi="Times New Roman" w:cs="Times New Roman"/>
          <w:sz w:val="20"/>
        </w:rPr>
        <w:footnoteRef/>
      </w:r>
      <w:r w:rsidRPr="00C93E38">
        <w:rPr>
          <w:rFonts w:ascii="Times New Roman" w:hAnsi="Times New Roman" w:cs="Times New Roman"/>
          <w:sz w:val="20"/>
        </w:rPr>
        <w:t xml:space="preserve"> STR 2.01.02:2016 “Pastatų energinio naudingumo projektavimas ir sertifikavimas”</w:t>
      </w:r>
    </w:p>
  </w:footnote>
  <w:footnote w:id="5">
    <w:p w14:paraId="7AF16CBC" w14:textId="77777777" w:rsidR="005E392B" w:rsidRPr="00BF69D3" w:rsidRDefault="005E392B" w:rsidP="00CC439B">
      <w:pPr>
        <w:pStyle w:val="FootnoteText"/>
        <w:rPr>
          <w:rFonts w:ascii="Times New Roman" w:hAnsi="Times New Roman" w:cs="Times New Roman"/>
          <w:sz w:val="18"/>
          <w:szCs w:val="18"/>
        </w:rPr>
      </w:pPr>
      <w:r w:rsidRPr="00BF69D3">
        <w:rPr>
          <w:rStyle w:val="FootnoteReference"/>
          <w:rFonts w:ascii="Times New Roman" w:hAnsi="Times New Roman" w:cs="Times New Roman"/>
          <w:sz w:val="18"/>
          <w:szCs w:val="18"/>
        </w:rPr>
        <w:footnoteRef/>
      </w:r>
      <w:r w:rsidRPr="00BF69D3">
        <w:rPr>
          <w:rFonts w:ascii="Times New Roman" w:hAnsi="Times New Roman" w:cs="Times New Roman"/>
          <w:sz w:val="18"/>
          <w:szCs w:val="18"/>
        </w:rPr>
        <w:t xml:space="preserve"> </w:t>
      </w:r>
      <w:hyperlink r:id="rId1" w:history="1">
        <w:r w:rsidRPr="00BF69D3">
          <w:rPr>
            <w:rStyle w:val="Hyperlink"/>
            <w:rFonts w:ascii="Times New Roman" w:hAnsi="Times New Roman" w:cs="Times New Roman"/>
            <w:color w:val="0070C0"/>
            <w:sz w:val="18"/>
            <w:szCs w:val="18"/>
          </w:rPr>
          <w:t>https://www.spsc.lt/cms/index.php?option=com_wrapper&amp;view=wrapper&amp;Itemid=288&amp;lang=lt</w:t>
        </w:r>
      </w:hyperlink>
      <w:r w:rsidRPr="00BF69D3">
        <w:rPr>
          <w:rFonts w:ascii="Times New Roman" w:hAnsi="Times New Roman" w:cs="Times New Roman"/>
          <w:color w:val="0070C0"/>
          <w:sz w:val="18"/>
          <w:szCs w:val="18"/>
        </w:rPr>
        <w:t xml:space="preserve"> </w:t>
      </w:r>
    </w:p>
  </w:footnote>
  <w:footnote w:id="6">
    <w:p w14:paraId="1FB4419B" w14:textId="094B39A3" w:rsidR="005E392B" w:rsidRPr="0088190D" w:rsidRDefault="005E392B">
      <w:pPr>
        <w:pStyle w:val="FootnoteText"/>
        <w:rPr>
          <w:rFonts w:ascii="Times New Roman" w:hAnsi="Times New Roman" w:cs="Times New Roman"/>
          <w:sz w:val="18"/>
          <w:szCs w:val="18"/>
        </w:rPr>
      </w:pPr>
      <w:r w:rsidRPr="0088190D">
        <w:rPr>
          <w:rStyle w:val="FootnoteReference"/>
          <w:rFonts w:ascii="Times New Roman" w:hAnsi="Times New Roman" w:cs="Times New Roman"/>
          <w:sz w:val="18"/>
          <w:szCs w:val="18"/>
        </w:rPr>
        <w:footnoteRef/>
      </w:r>
      <w:r w:rsidRPr="0088190D">
        <w:rPr>
          <w:rFonts w:ascii="Times New Roman" w:hAnsi="Times New Roman" w:cs="Times New Roman"/>
          <w:sz w:val="18"/>
          <w:szCs w:val="18"/>
        </w:rPr>
        <w:t xml:space="preserve"> PEND I priedas, 1 dalies antroji pastraipa</w:t>
      </w:r>
    </w:p>
  </w:footnote>
  <w:footnote w:id="7">
    <w:p w14:paraId="49EBCB63" w14:textId="77777777" w:rsidR="005E392B" w:rsidRPr="00023B00" w:rsidRDefault="005E392B" w:rsidP="00FC50F8">
      <w:pPr>
        <w:pStyle w:val="FootnoteText"/>
        <w:rPr>
          <w:rFonts w:ascii="Times New Roman" w:hAnsi="Times New Roman" w:cs="Times New Roman"/>
          <w:sz w:val="18"/>
          <w:szCs w:val="18"/>
        </w:rPr>
      </w:pPr>
      <w:r w:rsidRPr="00577D04">
        <w:rPr>
          <w:rStyle w:val="FootnoteReference"/>
          <w:rFonts w:ascii="Times New Roman" w:hAnsi="Times New Roman" w:cs="Times New Roman"/>
          <w:sz w:val="18"/>
          <w:szCs w:val="18"/>
        </w:rPr>
        <w:footnoteRef/>
      </w:r>
      <w:r w:rsidRPr="00577D04">
        <w:rPr>
          <w:rFonts w:ascii="Times New Roman" w:hAnsi="Times New Roman" w:cs="Times New Roman"/>
          <w:sz w:val="18"/>
          <w:szCs w:val="18"/>
        </w:rPr>
        <w:t xml:space="preserve"> Tyrimas „Dėl ilgalaikės strategijos, skirtos investicijų telkimui tiek viešos, tiek privačios nuosavybės formos gyvenamųjų ir komercinės paskirties pastatų nacionalinio fondo renovacijos srityje, sudarymo“</w:t>
      </w:r>
    </w:p>
  </w:footnote>
  <w:footnote w:id="8">
    <w:p w14:paraId="2E8326C4" w14:textId="21F42AE8" w:rsidR="005E392B" w:rsidRPr="00CE15D6" w:rsidRDefault="005E392B" w:rsidP="00BD47DB">
      <w:pPr>
        <w:pStyle w:val="FootnoteText"/>
        <w:rPr>
          <w:rFonts w:ascii="Times New Roman" w:hAnsi="Times New Roman" w:cs="Times New Roman"/>
          <w:sz w:val="18"/>
          <w:szCs w:val="18"/>
        </w:rPr>
      </w:pPr>
      <w:r w:rsidRPr="00CE15D6">
        <w:rPr>
          <w:rStyle w:val="FootnoteReference"/>
          <w:rFonts w:ascii="Times New Roman" w:hAnsi="Times New Roman" w:cs="Times New Roman"/>
          <w:sz w:val="18"/>
          <w:szCs w:val="18"/>
        </w:rPr>
        <w:footnoteRef/>
      </w:r>
      <w:r w:rsidRPr="00CE15D6">
        <w:rPr>
          <w:rFonts w:ascii="Times New Roman" w:hAnsi="Times New Roman" w:cs="Times New Roman"/>
          <w:sz w:val="18"/>
          <w:szCs w:val="18"/>
        </w:rPr>
        <w:t xml:space="preserve"> Statybos techninio reglamento STR 2.01.02:2016 „Pastatų energinio naudingumo projektavimas ir sertifikavimas“, 2.</w:t>
      </w:r>
      <w:r>
        <w:rPr>
          <w:rFonts w:ascii="Times New Roman" w:hAnsi="Times New Roman" w:cs="Times New Roman"/>
          <w:sz w:val="18"/>
          <w:szCs w:val="18"/>
        </w:rPr>
        <w:t>18</w:t>
      </w:r>
      <w:r w:rsidRPr="00CE15D6">
        <w:rPr>
          <w:rFonts w:ascii="Times New Roman" w:hAnsi="Times New Roman" w:cs="Times New Roman"/>
          <w:sz w:val="18"/>
          <w:szCs w:val="18"/>
        </w:rPr>
        <w:t>. lentelė</w:t>
      </w:r>
    </w:p>
  </w:footnote>
  <w:footnote w:id="9">
    <w:p w14:paraId="4DFE8172" w14:textId="01B37481" w:rsidR="005E392B" w:rsidRPr="00B6738C" w:rsidRDefault="005E392B">
      <w:pPr>
        <w:pStyle w:val="FootnoteText"/>
        <w:rPr>
          <w:rFonts w:ascii="Times New Roman" w:hAnsi="Times New Roman" w:cs="Times New Roman"/>
          <w:sz w:val="18"/>
          <w:szCs w:val="18"/>
        </w:rPr>
      </w:pPr>
      <w:r w:rsidRPr="00B6738C">
        <w:rPr>
          <w:rStyle w:val="FootnoteReference"/>
          <w:rFonts w:ascii="Times New Roman" w:hAnsi="Times New Roman" w:cs="Times New Roman"/>
          <w:sz w:val="18"/>
          <w:szCs w:val="18"/>
        </w:rPr>
        <w:footnoteRef/>
      </w:r>
      <w:r w:rsidRPr="00B6738C">
        <w:rPr>
          <w:rFonts w:ascii="Times New Roman" w:hAnsi="Times New Roman" w:cs="Times New Roman"/>
          <w:sz w:val="18"/>
          <w:szCs w:val="18"/>
        </w:rPr>
        <w:t xml:space="preserve"> Gamtinės dujos</w:t>
      </w:r>
    </w:p>
  </w:footnote>
  <w:footnote w:id="10">
    <w:p w14:paraId="61ED25C8" w14:textId="6908027A" w:rsidR="005E392B" w:rsidRPr="00A64EDC" w:rsidRDefault="005E392B">
      <w:pPr>
        <w:pStyle w:val="FootnoteText"/>
        <w:rPr>
          <w:rFonts w:ascii="Times New Roman" w:hAnsi="Times New Roman" w:cs="Times New Roman"/>
          <w:sz w:val="18"/>
          <w:szCs w:val="18"/>
        </w:rPr>
      </w:pPr>
      <w:r w:rsidRPr="00A64EDC">
        <w:rPr>
          <w:rStyle w:val="FootnoteReference"/>
          <w:rFonts w:ascii="Times New Roman" w:hAnsi="Times New Roman" w:cs="Times New Roman"/>
          <w:sz w:val="18"/>
          <w:szCs w:val="18"/>
        </w:rPr>
        <w:footnoteRef/>
      </w:r>
      <w:r w:rsidRPr="00A64EDC">
        <w:rPr>
          <w:rFonts w:ascii="Times New Roman" w:hAnsi="Times New Roman" w:cs="Times New Roman"/>
          <w:sz w:val="18"/>
          <w:szCs w:val="18"/>
        </w:rPr>
        <w:t xml:space="preserve"> </w:t>
      </w:r>
      <w:r w:rsidRPr="00A64EDC">
        <w:rPr>
          <w:rFonts w:ascii="Times New Roman" w:hAnsi="Times New Roman" w:cs="Times New Roman"/>
          <w:color w:val="000000" w:themeColor="text1"/>
          <w:sz w:val="18"/>
          <w:szCs w:val="18"/>
        </w:rPr>
        <w:t>Lietuvos Respublikos Vyriausybės  2004 m. gegužės 26 d. nutarimas Nr. 634</w:t>
      </w:r>
    </w:p>
  </w:footnote>
  <w:footnote w:id="11">
    <w:p w14:paraId="1CAD82C7" w14:textId="02502BA1" w:rsidR="005E392B" w:rsidRPr="00E67601" w:rsidRDefault="005E392B">
      <w:pPr>
        <w:pStyle w:val="FootnoteText"/>
        <w:rPr>
          <w:rFonts w:ascii="Times New Roman" w:hAnsi="Times New Roman" w:cs="Times New Roman"/>
          <w:sz w:val="18"/>
          <w:szCs w:val="18"/>
        </w:rPr>
      </w:pPr>
      <w:r w:rsidRPr="00E67601">
        <w:rPr>
          <w:rStyle w:val="FootnoteReference"/>
          <w:rFonts w:ascii="Times New Roman" w:hAnsi="Times New Roman" w:cs="Times New Roman"/>
          <w:sz w:val="18"/>
          <w:szCs w:val="18"/>
        </w:rPr>
        <w:footnoteRef/>
      </w:r>
      <w:r w:rsidRPr="00E67601">
        <w:rPr>
          <w:rFonts w:ascii="Times New Roman" w:hAnsi="Times New Roman" w:cs="Times New Roman"/>
          <w:sz w:val="18"/>
          <w:szCs w:val="18"/>
        </w:rPr>
        <w:t xml:space="preserve"> </w:t>
      </w:r>
      <w:hyperlink r:id="rId2" w:history="1">
        <w:r w:rsidRPr="00154F55">
          <w:rPr>
            <w:rStyle w:val="Hyperlink"/>
            <w:rFonts w:ascii="Times New Roman" w:hAnsi="Times New Roman" w:cs="Times New Roman"/>
            <w:color w:val="0070C0"/>
            <w:sz w:val="18"/>
            <w:szCs w:val="18"/>
          </w:rPr>
          <w:t>https://www.spsc.lt/cms/index.php?option=com_content&amp;view=article&amp;id=57&amp;Itemid=331&amp;lang=lt</w:t>
        </w:r>
      </w:hyperlink>
      <w:r w:rsidRPr="00154F55">
        <w:rPr>
          <w:rFonts w:ascii="Times New Roman" w:hAnsi="Times New Roman" w:cs="Times New Roman"/>
          <w:color w:val="0070C0"/>
          <w:sz w:val="18"/>
          <w:szCs w:val="18"/>
        </w:rPr>
        <w:t xml:space="preserve"> </w:t>
      </w:r>
    </w:p>
  </w:footnote>
  <w:footnote w:id="12">
    <w:p w14:paraId="414F0708" w14:textId="77777777" w:rsidR="005E392B" w:rsidRPr="004E6893" w:rsidRDefault="005E392B" w:rsidP="007C4A64">
      <w:pPr>
        <w:pStyle w:val="FootnoteText"/>
        <w:rPr>
          <w:rFonts w:ascii="Times New Roman" w:hAnsi="Times New Roman" w:cs="Times New Roman"/>
          <w:sz w:val="18"/>
          <w:szCs w:val="18"/>
        </w:rPr>
      </w:pPr>
      <w:r w:rsidRPr="006C7945">
        <w:rPr>
          <w:rStyle w:val="FootnoteReference"/>
          <w:rFonts w:ascii="Times New Roman" w:hAnsi="Times New Roman" w:cs="Times New Roman"/>
          <w:sz w:val="18"/>
          <w:szCs w:val="18"/>
        </w:rPr>
        <w:footnoteRef/>
      </w:r>
      <w:r w:rsidRPr="006C7945">
        <w:rPr>
          <w:rFonts w:ascii="Times New Roman" w:hAnsi="Times New Roman" w:cs="Times New Roman"/>
          <w:sz w:val="18"/>
          <w:szCs w:val="18"/>
        </w:rPr>
        <w:t xml:space="preserve"> Pastato energijos vartojimo efektyvumo rodiklius </w:t>
      </w:r>
      <w:r w:rsidRPr="004E6893">
        <w:rPr>
          <w:rFonts w:ascii="Times New Roman" w:hAnsi="Times New Roman" w:cs="Times New Roman"/>
          <w:sz w:val="18"/>
          <w:szCs w:val="18"/>
        </w:rPr>
        <w:t>C1 ir C2, šiluminės energijos sąnaudas pastatui šildyti, pastato atitvarų skaičiuojamųjų savitųjų šilumos nuostolius, pastato sandarumo rodiklį, mechaninio vėdinimo su rekuperacija sistemos techninius rodiklius, pastato (jo dalies) su autonominėmis šildymo sistemomis pertvarų ir tarpaukštinių perdenginių šilumines savybes.</w:t>
      </w:r>
    </w:p>
  </w:footnote>
  <w:footnote w:id="13">
    <w:p w14:paraId="7998BB53" w14:textId="77777777" w:rsidR="005E392B" w:rsidRPr="009274FB" w:rsidRDefault="005E392B" w:rsidP="00B4765E">
      <w:pPr>
        <w:pStyle w:val="FootnoteText"/>
        <w:rPr>
          <w:rFonts w:ascii="Times New Roman" w:hAnsi="Times New Roman" w:cs="Times New Roman"/>
          <w:sz w:val="18"/>
          <w:szCs w:val="18"/>
        </w:rPr>
      </w:pPr>
      <w:r w:rsidRPr="009274FB">
        <w:rPr>
          <w:rStyle w:val="FootnoteReference"/>
          <w:rFonts w:ascii="Times New Roman" w:hAnsi="Times New Roman" w:cs="Times New Roman"/>
          <w:sz w:val="18"/>
          <w:szCs w:val="18"/>
        </w:rPr>
        <w:footnoteRef/>
      </w:r>
      <w:r w:rsidRPr="009274FB">
        <w:rPr>
          <w:rFonts w:ascii="Times New Roman" w:hAnsi="Times New Roman" w:cs="Times New Roman"/>
          <w:sz w:val="18"/>
          <w:szCs w:val="18"/>
        </w:rPr>
        <w:t xml:space="preserve"> Europos komisijos rekomenduojama reikšmė, žr. </w:t>
      </w:r>
      <w:r w:rsidRPr="009274FB">
        <w:rPr>
          <w:rFonts w:ascii="Times New Roman" w:hAnsi="Times New Roman" w:cs="Times New Roman"/>
          <w:sz w:val="18"/>
          <w:szCs w:val="18"/>
          <w:shd w:val="clear" w:color="auto" w:fill="FFFFFF"/>
        </w:rPr>
        <w:t>Komisijos deleguotasis reglamentas (ES) Nr. 480/2014</w:t>
      </w:r>
    </w:p>
  </w:footnote>
  <w:footnote w:id="14">
    <w:p w14:paraId="5C9F8706" w14:textId="77777777" w:rsidR="005E392B" w:rsidRPr="0090037C" w:rsidRDefault="005E392B" w:rsidP="002B3426">
      <w:pPr>
        <w:pStyle w:val="FootnoteText"/>
        <w:rPr>
          <w:rFonts w:ascii="Times New Roman" w:hAnsi="Times New Roman" w:cs="Times New Roman"/>
          <w:sz w:val="18"/>
          <w:szCs w:val="18"/>
        </w:rPr>
      </w:pPr>
      <w:r w:rsidRPr="0090037C">
        <w:rPr>
          <w:rStyle w:val="FootnoteReference"/>
          <w:rFonts w:ascii="Times New Roman" w:hAnsi="Times New Roman" w:cs="Times New Roman"/>
          <w:sz w:val="18"/>
          <w:szCs w:val="18"/>
        </w:rPr>
        <w:footnoteRef/>
      </w:r>
      <w:r w:rsidRPr="0090037C">
        <w:rPr>
          <w:rFonts w:ascii="Times New Roman" w:hAnsi="Times New Roman" w:cs="Times New Roman"/>
          <w:sz w:val="18"/>
          <w:szCs w:val="18"/>
        </w:rPr>
        <w:t xml:space="preserve"> </w:t>
      </w:r>
      <w:hyperlink r:id="rId3" w:history="1">
        <w:r w:rsidRPr="00D56794">
          <w:rPr>
            <w:rStyle w:val="Hyperlink"/>
            <w:rFonts w:ascii="Times New Roman" w:hAnsi="Times New Roman" w:cs="Times New Roman"/>
            <w:color w:val="0070C0"/>
            <w:sz w:val="18"/>
            <w:szCs w:val="18"/>
          </w:rPr>
          <w:t>https://ec.europa.eu/energy/studies/comprehensive-study-building-energy-renovation-activities-and-uptake-nearly-zero-energy_en</w:t>
        </w:r>
      </w:hyperlink>
      <w:r w:rsidRPr="00D56794">
        <w:rPr>
          <w:rFonts w:ascii="Times New Roman" w:hAnsi="Times New Roman" w:cs="Times New Roman"/>
          <w:color w:val="0070C0"/>
          <w:sz w:val="18"/>
          <w:szCs w:val="18"/>
        </w:rPr>
        <w:t xml:space="preserve">  </w:t>
      </w:r>
    </w:p>
  </w:footnote>
  <w:footnote w:id="15">
    <w:p w14:paraId="6A20B8FB" w14:textId="667ED695" w:rsidR="005E392B" w:rsidRPr="00193698" w:rsidRDefault="005E392B" w:rsidP="00240506">
      <w:pPr>
        <w:pStyle w:val="FootnoteText"/>
        <w:rPr>
          <w:rFonts w:ascii="Times New Roman" w:hAnsi="Times New Roman" w:cs="Times New Roman"/>
          <w:sz w:val="18"/>
          <w:szCs w:val="18"/>
        </w:rPr>
      </w:pPr>
      <w:r w:rsidRPr="00193698">
        <w:rPr>
          <w:rStyle w:val="FootnoteReference"/>
          <w:rFonts w:ascii="Times New Roman" w:hAnsi="Times New Roman" w:cs="Times New Roman"/>
          <w:sz w:val="18"/>
          <w:szCs w:val="18"/>
        </w:rPr>
        <w:footnoteRef/>
      </w:r>
      <w:r w:rsidRPr="00193698">
        <w:rPr>
          <w:rFonts w:ascii="Times New Roman" w:hAnsi="Times New Roman" w:cs="Times New Roman"/>
          <w:sz w:val="18"/>
          <w:szCs w:val="18"/>
        </w:rPr>
        <w:t xml:space="preserve"> </w:t>
      </w:r>
      <w:r>
        <w:rPr>
          <w:rFonts w:ascii="Times New Roman" w:hAnsi="Times New Roman" w:cs="Times New Roman"/>
          <w:sz w:val="18"/>
          <w:szCs w:val="18"/>
        </w:rPr>
        <w:t>V</w:t>
      </w:r>
      <w:r w:rsidRPr="00193698">
        <w:rPr>
          <w:rFonts w:ascii="Times New Roman" w:hAnsi="Times New Roman" w:cs="Times New Roman"/>
          <w:sz w:val="18"/>
          <w:szCs w:val="18"/>
        </w:rPr>
        <w:t>alstybinio audito ataskaita „</w:t>
      </w:r>
      <w:r>
        <w:rPr>
          <w:rFonts w:ascii="Times New Roman" w:hAnsi="Times New Roman" w:cs="Times New Roman"/>
          <w:sz w:val="18"/>
          <w:szCs w:val="18"/>
        </w:rPr>
        <w:t>D</w:t>
      </w:r>
      <w:r w:rsidRPr="00193698">
        <w:rPr>
          <w:rFonts w:ascii="Times New Roman" w:hAnsi="Times New Roman" w:cs="Times New Roman"/>
          <w:sz w:val="18"/>
          <w:szCs w:val="18"/>
        </w:rPr>
        <w:t>augiabučių namų atnaujinimas (modernizavimas)“</w:t>
      </w:r>
      <w:r>
        <w:rPr>
          <w:rFonts w:ascii="Times New Roman" w:hAnsi="Times New Roman" w:cs="Times New Roman"/>
          <w:sz w:val="18"/>
          <w:szCs w:val="18"/>
        </w:rPr>
        <w:t>, Valstybės kontrolė</w:t>
      </w:r>
    </w:p>
  </w:footnote>
  <w:footnote w:id="16">
    <w:p w14:paraId="4221967A" w14:textId="77777777" w:rsidR="005E392B" w:rsidRPr="00D56794" w:rsidRDefault="005E392B" w:rsidP="00240506">
      <w:pPr>
        <w:pStyle w:val="FootnoteText"/>
        <w:rPr>
          <w:rFonts w:ascii="Times New Roman" w:hAnsi="Times New Roman" w:cs="Times New Roman"/>
          <w:color w:val="0070C0"/>
          <w:sz w:val="18"/>
          <w:szCs w:val="18"/>
        </w:rPr>
      </w:pPr>
      <w:r w:rsidRPr="00082B36">
        <w:rPr>
          <w:rStyle w:val="FootnoteReference"/>
          <w:rFonts w:ascii="Times New Roman" w:hAnsi="Times New Roman" w:cs="Times New Roman"/>
          <w:sz w:val="18"/>
          <w:szCs w:val="18"/>
        </w:rPr>
        <w:footnoteRef/>
      </w:r>
      <w:r w:rsidRPr="00082B36">
        <w:rPr>
          <w:rFonts w:ascii="Times New Roman" w:hAnsi="Times New Roman" w:cs="Times New Roman"/>
          <w:sz w:val="18"/>
          <w:szCs w:val="18"/>
        </w:rPr>
        <w:t xml:space="preserve"> </w:t>
      </w:r>
      <w:hyperlink r:id="rId4" w:history="1">
        <w:r w:rsidRPr="00D56794">
          <w:rPr>
            <w:rStyle w:val="Hyperlink"/>
            <w:rFonts w:ascii="Times New Roman" w:hAnsi="Times New Roman" w:cs="Times New Roman"/>
            <w:color w:val="0070C0"/>
            <w:sz w:val="18"/>
            <w:szCs w:val="18"/>
          </w:rPr>
          <w:t>https://appsso.eurostat.ec.europa.eu/nui/submitViewTableAction.do</w:t>
        </w:r>
      </w:hyperlink>
    </w:p>
  </w:footnote>
  <w:footnote w:id="17">
    <w:p w14:paraId="1D968C4E" w14:textId="77777777" w:rsidR="005E392B" w:rsidRPr="00D56794" w:rsidRDefault="005E392B" w:rsidP="00240506">
      <w:pPr>
        <w:pStyle w:val="FootnoteText"/>
        <w:rPr>
          <w:rFonts w:ascii="Times New Roman" w:hAnsi="Times New Roman" w:cs="Times New Roman"/>
          <w:color w:val="0070C0"/>
          <w:sz w:val="18"/>
          <w:szCs w:val="18"/>
        </w:rPr>
      </w:pPr>
      <w:r w:rsidRPr="00082B36">
        <w:rPr>
          <w:rStyle w:val="FootnoteReference"/>
          <w:rFonts w:ascii="Times New Roman" w:hAnsi="Times New Roman" w:cs="Times New Roman"/>
          <w:sz w:val="18"/>
          <w:szCs w:val="18"/>
        </w:rPr>
        <w:footnoteRef/>
      </w:r>
      <w:r w:rsidRPr="00082B36">
        <w:rPr>
          <w:rFonts w:ascii="Times New Roman" w:hAnsi="Times New Roman" w:cs="Times New Roman"/>
          <w:sz w:val="18"/>
          <w:szCs w:val="18"/>
        </w:rPr>
        <w:t xml:space="preserve"> </w:t>
      </w:r>
      <w:hyperlink r:id="rId5" w:history="1">
        <w:r w:rsidRPr="00D56794">
          <w:rPr>
            <w:rStyle w:val="Hyperlink"/>
            <w:rFonts w:ascii="Times New Roman" w:hAnsi="Times New Roman" w:cs="Times New Roman"/>
            <w:color w:val="0070C0"/>
            <w:sz w:val="18"/>
            <w:szCs w:val="18"/>
          </w:rPr>
          <w:t>https://www.vkontrole.lt/pranesimas_spaudai.aspx?id=25019</w:t>
        </w:r>
      </w:hyperlink>
    </w:p>
  </w:footnote>
  <w:footnote w:id="18">
    <w:p w14:paraId="339158D7" w14:textId="77777777" w:rsidR="005E392B" w:rsidRPr="00082B36" w:rsidRDefault="005E392B" w:rsidP="00240506">
      <w:pPr>
        <w:pStyle w:val="FootnoteText"/>
        <w:rPr>
          <w:rFonts w:ascii="Times New Roman" w:hAnsi="Times New Roman" w:cs="Times New Roman"/>
          <w:sz w:val="18"/>
          <w:szCs w:val="18"/>
        </w:rPr>
      </w:pPr>
      <w:r w:rsidRPr="00082B36">
        <w:rPr>
          <w:rStyle w:val="FootnoteReference"/>
          <w:rFonts w:ascii="Times New Roman" w:hAnsi="Times New Roman" w:cs="Times New Roman"/>
          <w:sz w:val="18"/>
          <w:szCs w:val="18"/>
        </w:rPr>
        <w:footnoteRef/>
      </w:r>
      <w:r w:rsidRPr="00D56794">
        <w:rPr>
          <w:rFonts w:ascii="Times New Roman" w:hAnsi="Times New Roman" w:cs="Times New Roman"/>
          <w:color w:val="0070C0"/>
          <w:sz w:val="18"/>
          <w:szCs w:val="18"/>
        </w:rPr>
        <w:t xml:space="preserve"> </w:t>
      </w:r>
      <w:hyperlink r:id="rId6" w:history="1">
        <w:r w:rsidRPr="00D56794">
          <w:rPr>
            <w:rStyle w:val="Hyperlink"/>
            <w:rFonts w:ascii="Times New Roman" w:hAnsi="Times New Roman" w:cs="Times New Roman"/>
            <w:color w:val="0070C0"/>
            <w:sz w:val="18"/>
            <w:szCs w:val="18"/>
          </w:rPr>
          <w:t>http://www.betalt.lt/doclib/eqs6hohgh1wu2ebycsbsmtbg9f2xmspu</w:t>
        </w:r>
      </w:hyperlink>
    </w:p>
  </w:footnote>
  <w:footnote w:id="19">
    <w:p w14:paraId="174409B2" w14:textId="6EB03F4A" w:rsidR="005E392B" w:rsidRPr="00793531" w:rsidRDefault="005E392B">
      <w:pPr>
        <w:pStyle w:val="FootnoteText"/>
        <w:rPr>
          <w:rFonts w:ascii="Times New Roman" w:hAnsi="Times New Roman" w:cs="Times New Roman"/>
          <w:sz w:val="18"/>
          <w:szCs w:val="18"/>
        </w:rPr>
      </w:pPr>
      <w:r w:rsidRPr="00793531">
        <w:rPr>
          <w:rStyle w:val="FootnoteReference"/>
          <w:rFonts w:ascii="Times New Roman" w:hAnsi="Times New Roman" w:cs="Times New Roman"/>
          <w:sz w:val="18"/>
          <w:szCs w:val="18"/>
        </w:rPr>
        <w:footnoteRef/>
      </w:r>
      <w:r w:rsidRPr="00793531">
        <w:rPr>
          <w:rFonts w:ascii="Times New Roman" w:hAnsi="Times New Roman" w:cs="Times New Roman"/>
          <w:sz w:val="18"/>
          <w:szCs w:val="18"/>
        </w:rPr>
        <w:t xml:space="preserve"> </w:t>
      </w:r>
      <w:hyperlink r:id="rId7" w:history="1">
        <w:r w:rsidRPr="00D56794">
          <w:rPr>
            <w:rStyle w:val="Hyperlink"/>
            <w:rFonts w:ascii="Times New Roman" w:hAnsi="Times New Roman" w:cs="Times New Roman"/>
            <w:color w:val="0070C0"/>
            <w:sz w:val="18"/>
            <w:szCs w:val="18"/>
          </w:rPr>
          <w:t>https://eur-lex.europa.eu/legal-content/EN/TXT/PDF/?uri=CELEX:52016SC0414&amp;from=EN</w:t>
        </w:r>
      </w:hyperlink>
      <w:r w:rsidRPr="00D56794">
        <w:rPr>
          <w:rFonts w:ascii="Times New Roman" w:hAnsi="Times New Roman" w:cs="Times New Roman"/>
          <w:color w:val="0070C0"/>
          <w:sz w:val="18"/>
          <w:szCs w:val="18"/>
        </w:rPr>
        <w:t xml:space="preserve"> </w:t>
      </w:r>
    </w:p>
  </w:footnote>
  <w:footnote w:id="20">
    <w:p w14:paraId="4746A96A" w14:textId="09F45195" w:rsidR="005E392B" w:rsidRPr="00793531" w:rsidRDefault="005E392B">
      <w:pPr>
        <w:pStyle w:val="FootnoteText"/>
        <w:rPr>
          <w:rFonts w:ascii="Times New Roman" w:hAnsi="Times New Roman" w:cs="Times New Roman"/>
          <w:sz w:val="18"/>
          <w:szCs w:val="18"/>
        </w:rPr>
      </w:pPr>
      <w:r w:rsidRPr="00793531">
        <w:rPr>
          <w:rStyle w:val="FootnoteReference"/>
          <w:rFonts w:ascii="Times New Roman" w:hAnsi="Times New Roman" w:cs="Times New Roman"/>
          <w:sz w:val="18"/>
          <w:szCs w:val="18"/>
        </w:rPr>
        <w:footnoteRef/>
      </w:r>
      <w:r w:rsidRPr="00793531">
        <w:rPr>
          <w:rFonts w:ascii="Times New Roman" w:hAnsi="Times New Roman" w:cs="Times New Roman"/>
          <w:sz w:val="18"/>
          <w:szCs w:val="18"/>
        </w:rPr>
        <w:t xml:space="preserve"> Finansų ministerijos užsakymu 2018 m. gegužę atliktas vertinimas, „Energijos efektyvumo išankstinis (ex-ante) vertinimas“</w:t>
      </w:r>
    </w:p>
  </w:footnote>
  <w:footnote w:id="21">
    <w:p w14:paraId="64487A3C" w14:textId="54EBC3B5" w:rsidR="005E392B" w:rsidRPr="004D36EF" w:rsidRDefault="005E392B">
      <w:pPr>
        <w:pStyle w:val="FootnoteText"/>
        <w:rPr>
          <w:rFonts w:ascii="Times New Roman" w:hAnsi="Times New Roman" w:cs="Times New Roman"/>
          <w:sz w:val="18"/>
          <w:szCs w:val="18"/>
        </w:rPr>
      </w:pPr>
      <w:r w:rsidRPr="004D36EF">
        <w:rPr>
          <w:rStyle w:val="FootnoteReference"/>
          <w:rFonts w:ascii="Times New Roman" w:hAnsi="Times New Roman" w:cs="Times New Roman"/>
          <w:sz w:val="18"/>
          <w:szCs w:val="18"/>
        </w:rPr>
        <w:footnoteRef/>
      </w:r>
      <w:r w:rsidRPr="004D36EF">
        <w:rPr>
          <w:rFonts w:ascii="Times New Roman" w:hAnsi="Times New Roman" w:cs="Times New Roman"/>
          <w:sz w:val="18"/>
          <w:szCs w:val="18"/>
        </w:rPr>
        <w:t xml:space="preserve"> </w:t>
      </w:r>
      <w:hyperlink r:id="rId8" w:history="1">
        <w:r w:rsidRPr="00D53D3B">
          <w:rPr>
            <w:rStyle w:val="Hyperlink"/>
            <w:rFonts w:ascii="Times New Roman" w:hAnsi="Times New Roman" w:cs="Times New Roman"/>
            <w:color w:val="0070C0"/>
            <w:sz w:val="18"/>
            <w:szCs w:val="18"/>
          </w:rPr>
          <w:t>https://op.europa.eu/webpub/eca/special-reports/energy-efficiency-11-2020/lt/index.html</w:t>
        </w:r>
      </w:hyperlink>
      <w:r w:rsidRPr="00D53D3B">
        <w:rPr>
          <w:rFonts w:ascii="Times New Roman" w:hAnsi="Times New Roman" w:cs="Times New Roman"/>
          <w:color w:val="0070C0"/>
          <w:sz w:val="18"/>
          <w:szCs w:val="18"/>
        </w:rPr>
        <w:t xml:space="preserve"> </w:t>
      </w:r>
    </w:p>
  </w:footnote>
  <w:footnote w:id="22">
    <w:p w14:paraId="61AA35BE" w14:textId="77777777" w:rsidR="005E392B" w:rsidRPr="00AA2CEC" w:rsidRDefault="005E392B" w:rsidP="001C4035">
      <w:pPr>
        <w:pStyle w:val="FootnoteText"/>
        <w:rPr>
          <w:rStyle w:val="Hyperlink"/>
          <w:rFonts w:ascii="Times New Roman" w:hAnsi="Times New Roman" w:cs="Times New Roman"/>
          <w:color w:val="auto"/>
          <w:sz w:val="18"/>
          <w:szCs w:val="18"/>
        </w:rPr>
      </w:pPr>
      <w:r w:rsidRPr="00AA2CEC">
        <w:rPr>
          <w:rStyle w:val="FootnoteReference"/>
          <w:rFonts w:ascii="Times New Roman" w:hAnsi="Times New Roman" w:cs="Times New Roman"/>
          <w:sz w:val="18"/>
          <w:szCs w:val="18"/>
        </w:rPr>
        <w:footnoteRef/>
      </w:r>
      <w:r w:rsidRPr="00AA2CEC">
        <w:rPr>
          <w:rFonts w:ascii="Times New Roman" w:hAnsi="Times New Roman" w:cs="Times New Roman"/>
          <w:sz w:val="18"/>
          <w:szCs w:val="18"/>
        </w:rPr>
        <w:t xml:space="preserve"> </w:t>
      </w:r>
      <w:hyperlink r:id="rId9" w:history="1">
        <w:r w:rsidRPr="00C77E70">
          <w:rPr>
            <w:rStyle w:val="Hyperlink"/>
            <w:rFonts w:ascii="Times New Roman" w:hAnsi="Times New Roman" w:cs="Times New Roman"/>
            <w:color w:val="0070C0"/>
            <w:sz w:val="18"/>
            <w:szCs w:val="18"/>
          </w:rPr>
          <w:t>https://am.lrv.lt/uploads/am/documents/files/KLIMATO%20KAITA/Integruotas%20planas/Final%20NECP.pdf</w:t>
        </w:r>
      </w:hyperlink>
    </w:p>
  </w:footnote>
  <w:footnote w:id="23">
    <w:p w14:paraId="59DCB415" w14:textId="77777777" w:rsidR="005E392B" w:rsidRPr="00C77E70" w:rsidRDefault="005E392B" w:rsidP="001C4035">
      <w:pPr>
        <w:pStyle w:val="FootnoteText"/>
        <w:rPr>
          <w:rFonts w:ascii="Times New Roman" w:hAnsi="Times New Roman" w:cs="Times New Roman"/>
          <w:color w:val="0070C0"/>
          <w:sz w:val="18"/>
          <w:szCs w:val="18"/>
        </w:rPr>
      </w:pPr>
      <w:r w:rsidRPr="00C77E70">
        <w:rPr>
          <w:rStyle w:val="Hyperlink"/>
          <w:rFonts w:ascii="Times New Roman" w:hAnsi="Times New Roman" w:cs="Times New Roman"/>
          <w:color w:val="auto"/>
          <w:sz w:val="18"/>
          <w:szCs w:val="18"/>
          <w:vertAlign w:val="superscript"/>
        </w:rPr>
        <w:footnoteRef/>
      </w:r>
      <w:r w:rsidRPr="00AA2CEC">
        <w:rPr>
          <w:rStyle w:val="Hyperlink"/>
          <w:rFonts w:ascii="Times New Roman" w:hAnsi="Times New Roman" w:cs="Times New Roman"/>
          <w:color w:val="auto"/>
          <w:sz w:val="18"/>
          <w:szCs w:val="18"/>
        </w:rPr>
        <w:t xml:space="preserve"> </w:t>
      </w:r>
      <w:hyperlink r:id="rId10" w:history="1">
        <w:r w:rsidRPr="00C77E70">
          <w:rPr>
            <w:rStyle w:val="Hyperlink"/>
            <w:rFonts w:ascii="Times New Roman" w:hAnsi="Times New Roman" w:cs="Times New Roman"/>
            <w:color w:val="0070C0"/>
            <w:sz w:val="18"/>
            <w:szCs w:val="18"/>
          </w:rPr>
          <w:t>https://e-seimas.lrs.lt/portal/legalAct/lt/TAD/TAIS.429490/asr</w:t>
        </w:r>
      </w:hyperlink>
    </w:p>
  </w:footnote>
  <w:footnote w:id="24">
    <w:p w14:paraId="02F55F5A" w14:textId="77777777" w:rsidR="005E392B" w:rsidRPr="00AA2CEC" w:rsidRDefault="005E392B" w:rsidP="001C4035">
      <w:pPr>
        <w:pStyle w:val="FootnoteText"/>
        <w:rPr>
          <w:rStyle w:val="Hyperlink"/>
          <w:rFonts w:ascii="Times New Roman" w:hAnsi="Times New Roman" w:cs="Times New Roman"/>
          <w:color w:val="auto"/>
          <w:sz w:val="18"/>
          <w:szCs w:val="18"/>
        </w:rPr>
      </w:pPr>
      <w:r w:rsidRPr="00AA2CEC">
        <w:rPr>
          <w:rStyle w:val="FootnoteReference"/>
          <w:rFonts w:ascii="Times New Roman" w:hAnsi="Times New Roman" w:cs="Times New Roman"/>
          <w:sz w:val="18"/>
          <w:szCs w:val="18"/>
        </w:rPr>
        <w:footnoteRef/>
      </w:r>
      <w:r w:rsidRPr="00AA2CEC">
        <w:rPr>
          <w:rFonts w:ascii="Times New Roman" w:hAnsi="Times New Roman" w:cs="Times New Roman"/>
          <w:sz w:val="18"/>
          <w:szCs w:val="18"/>
        </w:rPr>
        <w:t xml:space="preserve"> </w:t>
      </w:r>
      <w:hyperlink r:id="rId11" w:history="1">
        <w:r w:rsidRPr="00C77E70">
          <w:rPr>
            <w:rStyle w:val="Hyperlink"/>
            <w:rFonts w:ascii="Times New Roman" w:hAnsi="Times New Roman" w:cs="Times New Roman"/>
            <w:color w:val="0070C0"/>
            <w:sz w:val="18"/>
            <w:szCs w:val="18"/>
          </w:rPr>
          <w:t>https://strata.gov.lt/lt/sumani-specializacija/apie</w:t>
        </w:r>
      </w:hyperlink>
      <w:r w:rsidRPr="00C77E70">
        <w:rPr>
          <w:rStyle w:val="Hyperlink"/>
          <w:rFonts w:ascii="Times New Roman" w:hAnsi="Times New Roman" w:cs="Times New Roman"/>
          <w:color w:val="0070C0"/>
          <w:sz w:val="18"/>
          <w:szCs w:val="18"/>
        </w:rPr>
        <w:t xml:space="preserve"> </w:t>
      </w:r>
    </w:p>
  </w:footnote>
  <w:footnote w:id="25">
    <w:p w14:paraId="1A57AB62" w14:textId="31DD226C" w:rsidR="005E392B" w:rsidRDefault="005E392B" w:rsidP="001C4035">
      <w:pPr>
        <w:pStyle w:val="FootnoteText"/>
      </w:pPr>
      <w:r w:rsidRPr="00AA2CEC">
        <w:rPr>
          <w:rStyle w:val="FootnoteReference"/>
          <w:rFonts w:ascii="Times New Roman" w:hAnsi="Times New Roman" w:cs="Times New Roman"/>
          <w:sz w:val="18"/>
          <w:szCs w:val="18"/>
        </w:rPr>
        <w:footnoteRef/>
      </w:r>
      <w:r w:rsidRPr="00AA2CEC">
        <w:rPr>
          <w:rFonts w:ascii="Times New Roman" w:hAnsi="Times New Roman" w:cs="Times New Roman"/>
          <w:sz w:val="18"/>
          <w:szCs w:val="18"/>
        </w:rPr>
        <w:t xml:space="preserve"> </w:t>
      </w:r>
      <w:hyperlink r:id="rId12" w:history="1">
        <w:r w:rsidRPr="00EC7A9C">
          <w:rPr>
            <w:rStyle w:val="Hyperlink"/>
            <w:rFonts w:ascii="Times New Roman" w:hAnsi="Times New Roman" w:cs="Times New Roman"/>
            <w:sz w:val="18"/>
            <w:szCs w:val="18"/>
          </w:rPr>
          <w:t>https://e-seimas.lrs.lt/portal/legalAct/lt/TAD/c1259440f7dd11eab72ddb4a109da1b5?jfwid=-whxwii77y</w:t>
        </w:r>
      </w:hyperlink>
      <w:r>
        <w:rPr>
          <w:rFonts w:ascii="Times New Roman" w:hAnsi="Times New Roman" w:cs="Times New Roman"/>
          <w:sz w:val="18"/>
          <w:szCs w:val="18"/>
        </w:rPr>
        <w:t xml:space="preserve"> </w:t>
      </w:r>
    </w:p>
  </w:footnote>
  <w:footnote w:id="26">
    <w:p w14:paraId="30567E1C" w14:textId="77777777" w:rsidR="005E392B" w:rsidRPr="00EC58FF" w:rsidRDefault="005E392B"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w:t>
      </w:r>
      <w:hyperlink r:id="rId13" w:history="1">
        <w:r w:rsidRPr="00B56633">
          <w:rPr>
            <w:rStyle w:val="Hyperlink"/>
            <w:rFonts w:ascii="Times New Roman" w:hAnsi="Times New Roman" w:cs="Times New Roman"/>
            <w:color w:val="0070C0"/>
            <w:sz w:val="18"/>
            <w:szCs w:val="18"/>
          </w:rPr>
          <w:t>https://www.lzpt.lt/</w:t>
        </w:r>
      </w:hyperlink>
    </w:p>
  </w:footnote>
  <w:footnote w:id="27">
    <w:p w14:paraId="0130C8CD" w14:textId="77777777" w:rsidR="005E392B" w:rsidRPr="00EC58FF" w:rsidRDefault="005E392B"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NCEP naudojamas priemonės kodas</w:t>
      </w:r>
    </w:p>
  </w:footnote>
  <w:footnote w:id="28">
    <w:p w14:paraId="4793FEAB" w14:textId="77777777" w:rsidR="005E392B" w:rsidRPr="00EC58FF" w:rsidRDefault="005E392B"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w:t>
      </w:r>
      <w:hyperlink r:id="rId14" w:history="1">
        <w:r w:rsidRPr="00B56633">
          <w:rPr>
            <w:rStyle w:val="Hyperlink"/>
            <w:rFonts w:ascii="Times New Roman" w:hAnsi="Times New Roman" w:cs="Times New Roman"/>
            <w:color w:val="0070C0"/>
            <w:sz w:val="18"/>
            <w:szCs w:val="18"/>
          </w:rPr>
          <w:t>https://e-seimas.lrs.lt/portal/legalAct/lt/TAD/TAIS.439448</w:t>
        </w:r>
      </w:hyperlink>
    </w:p>
  </w:footnote>
  <w:footnote w:id="29">
    <w:p w14:paraId="139DC7AF" w14:textId="77777777" w:rsidR="005E392B" w:rsidRPr="00EC58FF" w:rsidRDefault="005E392B"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NCEP naudojamas priemonės kodas</w:t>
      </w:r>
    </w:p>
  </w:footnote>
  <w:footnote w:id="30">
    <w:p w14:paraId="2702302F" w14:textId="77777777" w:rsidR="005E392B" w:rsidRPr="004050A9" w:rsidRDefault="005E392B" w:rsidP="001C4035">
      <w:pPr>
        <w:pStyle w:val="FootnoteText"/>
        <w:rPr>
          <w:rFonts w:ascii="Times New Roman" w:hAnsi="Times New Roman" w:cs="Times New Roman"/>
          <w:color w:val="0070C0"/>
          <w:sz w:val="18"/>
          <w:szCs w:val="18"/>
        </w:rPr>
      </w:pPr>
      <w:r w:rsidRPr="00920141">
        <w:rPr>
          <w:rStyle w:val="FootnoteReference"/>
          <w:rFonts w:ascii="Times New Roman" w:hAnsi="Times New Roman" w:cs="Times New Roman"/>
          <w:sz w:val="18"/>
          <w:szCs w:val="18"/>
        </w:rPr>
        <w:footnoteRef/>
      </w:r>
      <w:r w:rsidRPr="00920141">
        <w:rPr>
          <w:rFonts w:ascii="Times New Roman" w:hAnsi="Times New Roman" w:cs="Times New Roman"/>
          <w:sz w:val="18"/>
          <w:szCs w:val="18"/>
        </w:rPr>
        <w:t xml:space="preserve"> </w:t>
      </w:r>
      <w:hyperlink r:id="rId15" w:history="1">
        <w:r w:rsidRPr="004050A9">
          <w:rPr>
            <w:rStyle w:val="Hyperlink"/>
            <w:rFonts w:ascii="Times New Roman" w:hAnsi="Times New Roman" w:cs="Times New Roman"/>
            <w:color w:val="0070C0"/>
            <w:sz w:val="18"/>
            <w:szCs w:val="18"/>
          </w:rPr>
          <w:t>https://strata.gov.lt/images/tyrimai/2020-metai/inovaciju-politika/2020-03-13_Inovaciju_apzvalga.pdf</w:t>
        </w:r>
      </w:hyperlink>
    </w:p>
  </w:footnote>
  <w:footnote w:id="31">
    <w:p w14:paraId="19FF49FA" w14:textId="77777777" w:rsidR="005E392B" w:rsidRPr="004050A9" w:rsidRDefault="005E392B" w:rsidP="001C4035">
      <w:pPr>
        <w:pStyle w:val="FootnoteText"/>
        <w:rPr>
          <w:rFonts w:ascii="Times New Roman" w:hAnsi="Times New Roman" w:cs="Times New Roman"/>
          <w:color w:val="0070C0"/>
          <w:sz w:val="18"/>
          <w:szCs w:val="18"/>
        </w:rPr>
      </w:pPr>
      <w:r w:rsidRPr="00920141">
        <w:rPr>
          <w:rStyle w:val="FootnoteReference"/>
          <w:rFonts w:ascii="Times New Roman" w:hAnsi="Times New Roman" w:cs="Times New Roman"/>
          <w:sz w:val="18"/>
          <w:szCs w:val="18"/>
        </w:rPr>
        <w:footnoteRef/>
      </w:r>
      <w:r w:rsidRPr="00920141">
        <w:rPr>
          <w:rFonts w:ascii="Times New Roman" w:hAnsi="Times New Roman" w:cs="Times New Roman"/>
          <w:sz w:val="18"/>
          <w:szCs w:val="18"/>
        </w:rPr>
        <w:t xml:space="preserve"> </w:t>
      </w:r>
      <w:hyperlink r:id="rId16" w:history="1">
        <w:r w:rsidRPr="004050A9">
          <w:rPr>
            <w:rStyle w:val="Hyperlink"/>
            <w:rFonts w:ascii="Times New Roman" w:hAnsi="Times New Roman" w:cs="Times New Roman"/>
            <w:color w:val="0070C0"/>
            <w:sz w:val="18"/>
            <w:szCs w:val="18"/>
          </w:rPr>
          <w:t>http://www.nmva.smm.lt/wp-content/uploads/2019/10/Svietimo-bukles-apzvalga-2019-web.pdf</w:t>
        </w:r>
      </w:hyperlink>
    </w:p>
  </w:footnote>
  <w:footnote w:id="32">
    <w:p w14:paraId="71C5B98F" w14:textId="77777777" w:rsidR="005E392B" w:rsidRPr="004050A9" w:rsidRDefault="005E392B" w:rsidP="001C4035">
      <w:pPr>
        <w:pStyle w:val="FootnoteText"/>
        <w:rPr>
          <w:rFonts w:ascii="Times New Roman" w:hAnsi="Times New Roman" w:cs="Times New Roman"/>
          <w:color w:val="0070C0"/>
          <w:sz w:val="18"/>
          <w:szCs w:val="18"/>
        </w:rPr>
      </w:pPr>
      <w:r w:rsidRPr="000579FE">
        <w:rPr>
          <w:rStyle w:val="FootnoteReference"/>
          <w:rFonts w:ascii="Times New Roman" w:hAnsi="Times New Roman" w:cs="Times New Roman"/>
          <w:sz w:val="18"/>
          <w:szCs w:val="18"/>
        </w:rPr>
        <w:footnoteRef/>
      </w:r>
      <w:r w:rsidRPr="000579FE">
        <w:rPr>
          <w:rFonts w:ascii="Times New Roman" w:hAnsi="Times New Roman" w:cs="Times New Roman"/>
          <w:sz w:val="18"/>
          <w:szCs w:val="18"/>
        </w:rPr>
        <w:t xml:space="preserve"> </w:t>
      </w:r>
      <w:hyperlink r:id="rId17" w:history="1">
        <w:r w:rsidRPr="004050A9">
          <w:rPr>
            <w:rStyle w:val="Hyperlink"/>
            <w:rFonts w:ascii="Times New Roman" w:hAnsi="Times New Roman" w:cs="Times New Roman"/>
            <w:color w:val="0070C0"/>
            <w:sz w:val="18"/>
            <w:szCs w:val="18"/>
          </w:rPr>
          <w:t>https://webgate.ec.europa.eu/dashboard/sense/app/a976d168-2023-41d8-acec-e77640154726/sheet/0c8af38b-b73c-4da2-ba41-73ea34ab7ac4/state/0</w:t>
        </w:r>
      </w:hyperlink>
    </w:p>
  </w:footnote>
  <w:footnote w:id="33">
    <w:p w14:paraId="496C9690" w14:textId="77777777" w:rsidR="005E392B" w:rsidRPr="004050A9" w:rsidRDefault="005E392B" w:rsidP="001C4035">
      <w:pPr>
        <w:pStyle w:val="FootnoteText"/>
        <w:rPr>
          <w:rFonts w:ascii="Times New Roman" w:hAnsi="Times New Roman" w:cs="Times New Roman"/>
          <w:color w:val="0070C0"/>
          <w:sz w:val="18"/>
          <w:szCs w:val="18"/>
        </w:rPr>
      </w:pPr>
      <w:r w:rsidRPr="000579FE">
        <w:rPr>
          <w:rStyle w:val="FootnoteReference"/>
          <w:rFonts w:ascii="Times New Roman" w:hAnsi="Times New Roman" w:cs="Times New Roman"/>
          <w:sz w:val="18"/>
          <w:szCs w:val="18"/>
        </w:rPr>
        <w:footnoteRef/>
      </w:r>
      <w:r w:rsidRPr="000579FE">
        <w:rPr>
          <w:rFonts w:ascii="Times New Roman" w:hAnsi="Times New Roman" w:cs="Times New Roman"/>
          <w:sz w:val="18"/>
          <w:szCs w:val="18"/>
        </w:rPr>
        <w:t xml:space="preserve"> </w:t>
      </w:r>
      <w:hyperlink r:id="rId18" w:history="1">
        <w:r w:rsidRPr="004050A9">
          <w:rPr>
            <w:rStyle w:val="Hyperlink"/>
            <w:rFonts w:ascii="Times New Roman" w:hAnsi="Times New Roman" w:cs="Times New Roman"/>
            <w:color w:val="0070C0"/>
            <w:sz w:val="18"/>
            <w:szCs w:val="18"/>
          </w:rPr>
          <w:t>http://kurklt.lt/wp-content/uploads/2019/04/DI_strategija_LT_koreguota.pdf</w:t>
        </w:r>
      </w:hyperlink>
    </w:p>
  </w:footnote>
  <w:footnote w:id="34">
    <w:p w14:paraId="65D8F6A4" w14:textId="77777777" w:rsidR="005E392B" w:rsidRPr="00D94B4C" w:rsidRDefault="005E392B" w:rsidP="001C4035">
      <w:pPr>
        <w:pStyle w:val="FootnoteText"/>
        <w:rPr>
          <w:rFonts w:ascii="Times New Roman" w:hAnsi="Times New Roman" w:cs="Times New Roman"/>
          <w:sz w:val="18"/>
          <w:szCs w:val="18"/>
        </w:rPr>
      </w:pPr>
      <w:r w:rsidRPr="00D94B4C">
        <w:rPr>
          <w:rStyle w:val="FootnoteReference"/>
          <w:rFonts w:ascii="Times New Roman" w:hAnsi="Times New Roman" w:cs="Times New Roman"/>
          <w:sz w:val="18"/>
          <w:szCs w:val="18"/>
        </w:rPr>
        <w:footnoteRef/>
      </w:r>
      <w:r w:rsidRPr="00D94B4C">
        <w:rPr>
          <w:rFonts w:ascii="Times New Roman" w:hAnsi="Times New Roman" w:cs="Times New Roman"/>
          <w:sz w:val="18"/>
          <w:szCs w:val="18"/>
        </w:rPr>
        <w:t xml:space="preserve"> </w:t>
      </w:r>
      <w:hyperlink r:id="rId19" w:history="1">
        <w:r w:rsidRPr="004050A9">
          <w:rPr>
            <w:rStyle w:val="Hyperlink"/>
            <w:rFonts w:ascii="Times New Roman" w:hAnsi="Times New Roman" w:cs="Times New Roman"/>
            <w:color w:val="0070C0"/>
            <w:sz w:val="18"/>
            <w:szCs w:val="18"/>
          </w:rPr>
          <w:t>https://lsta.lt/wp-content/uploads/2019/10/LSTA_apzvalga_2018.pdf</w:t>
        </w:r>
      </w:hyperlink>
    </w:p>
  </w:footnote>
  <w:footnote w:id="35">
    <w:p w14:paraId="332AE09D" w14:textId="57921264" w:rsidR="005E392B" w:rsidRPr="0029539E" w:rsidRDefault="005E392B">
      <w:pPr>
        <w:pStyle w:val="FootnoteText"/>
        <w:rPr>
          <w:rFonts w:ascii="Times New Roman" w:hAnsi="Times New Roman" w:cs="Times New Roman"/>
          <w:sz w:val="18"/>
          <w:szCs w:val="18"/>
        </w:rPr>
      </w:pPr>
      <w:r w:rsidRPr="0029539E">
        <w:rPr>
          <w:rStyle w:val="FootnoteReference"/>
          <w:rFonts w:ascii="Times New Roman" w:hAnsi="Times New Roman" w:cs="Times New Roman"/>
          <w:sz w:val="18"/>
          <w:szCs w:val="18"/>
        </w:rPr>
        <w:footnoteRef/>
      </w:r>
      <w:r w:rsidRPr="0029539E">
        <w:rPr>
          <w:rFonts w:ascii="Times New Roman" w:hAnsi="Times New Roman" w:cs="Times New Roman"/>
          <w:sz w:val="18"/>
          <w:szCs w:val="18"/>
        </w:rPr>
        <w:t xml:space="preserve"> BETA Lietuvos renovacijos žemėlapio duomenys</w:t>
      </w:r>
    </w:p>
  </w:footnote>
  <w:footnote w:id="36">
    <w:p w14:paraId="0A65DE47" w14:textId="48BA67FE" w:rsidR="005E392B" w:rsidRPr="009B3FA5" w:rsidRDefault="005E392B">
      <w:pPr>
        <w:pStyle w:val="FootnoteText"/>
        <w:rPr>
          <w:rFonts w:ascii="Times New Roman" w:hAnsi="Times New Roman" w:cs="Times New Roman"/>
          <w:sz w:val="18"/>
          <w:szCs w:val="18"/>
        </w:rPr>
      </w:pPr>
      <w:r w:rsidRPr="009B3FA5">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Lietuvos būsto rūmų asociacijos vykdytos apklausos duomenimis,</w:t>
      </w:r>
      <w:r w:rsidRPr="009B3FA5">
        <w:rPr>
          <w:rFonts w:ascii="Times New Roman" w:hAnsi="Times New Roman" w:cs="Times New Roman"/>
          <w:sz w:val="18"/>
          <w:szCs w:val="18"/>
        </w:rPr>
        <w:t xml:space="preserve"> </w:t>
      </w:r>
      <w:r w:rsidRPr="009B3FA5">
        <w:rPr>
          <w:rFonts w:ascii="Times New Roman" w:hAnsi="Times New Roman" w:cs="Times New Roman"/>
          <w:color w:val="333333"/>
          <w:sz w:val="18"/>
          <w:szCs w:val="18"/>
          <w:shd w:val="clear" w:color="auto" w:fill="FFFFFF"/>
        </w:rPr>
        <w:t>93 proc. gyventojų yra svar</w:t>
      </w:r>
      <w:r>
        <w:rPr>
          <w:rFonts w:ascii="Times New Roman" w:hAnsi="Times New Roman" w:cs="Times New Roman"/>
          <w:color w:val="333333"/>
          <w:sz w:val="18"/>
          <w:szCs w:val="18"/>
          <w:shd w:val="clear" w:color="auto" w:fill="FFFFFF"/>
        </w:rPr>
        <w:t>bu</w:t>
      </w:r>
      <w:r w:rsidRPr="009B3FA5">
        <w:rPr>
          <w:rFonts w:ascii="Times New Roman" w:hAnsi="Times New Roman" w:cs="Times New Roman"/>
          <w:color w:val="333333"/>
          <w:sz w:val="18"/>
          <w:szCs w:val="18"/>
          <w:shd w:val="clear" w:color="auto" w:fill="FFFFFF"/>
        </w:rPr>
        <w:t xml:space="preserve"> tai, kokioje aplinkoje jie gyvena</w:t>
      </w:r>
      <w:r w:rsidRPr="009B3FA5">
        <w:rPr>
          <w:rFonts w:ascii="Times New Roman" w:hAnsi="Times New Roman" w:cs="Times New Roman"/>
          <w:color w:val="333333"/>
          <w:sz w:val="18"/>
          <w:szCs w:val="18"/>
        </w:rPr>
        <w:br/>
      </w:r>
    </w:p>
  </w:footnote>
  <w:footnote w:id="37">
    <w:p w14:paraId="05147392" w14:textId="52D2FA4C" w:rsidR="005E392B" w:rsidRPr="006D7499" w:rsidRDefault="005E392B">
      <w:pPr>
        <w:pStyle w:val="FootnoteText"/>
        <w:rPr>
          <w:rFonts w:ascii="Times New Roman" w:hAnsi="Times New Roman" w:cs="Times New Roman"/>
          <w:sz w:val="18"/>
          <w:szCs w:val="18"/>
        </w:rPr>
      </w:pPr>
      <w:r w:rsidRPr="005223A5">
        <w:rPr>
          <w:rStyle w:val="FootnoteReference"/>
          <w:rFonts w:ascii="Times New Roman" w:hAnsi="Times New Roman" w:cs="Times New Roman"/>
          <w:sz w:val="20"/>
          <w:szCs w:val="18"/>
        </w:rPr>
        <w:footnoteRef/>
      </w:r>
      <w:r w:rsidRPr="005223A5">
        <w:rPr>
          <w:rFonts w:ascii="Times New Roman" w:hAnsi="Times New Roman" w:cs="Times New Roman"/>
          <w:sz w:val="20"/>
          <w:szCs w:val="18"/>
        </w:rPr>
        <w:t xml:space="preserve"> Ex-ante ataskaitos duomenys</w:t>
      </w:r>
    </w:p>
  </w:footnote>
  <w:footnote w:id="38">
    <w:p w14:paraId="3ACF847F" w14:textId="5F288681" w:rsidR="005E392B" w:rsidRPr="008967B7" w:rsidRDefault="005E392B">
      <w:pPr>
        <w:pStyle w:val="FootnoteText"/>
        <w:rPr>
          <w:rFonts w:ascii="Times New Roman" w:hAnsi="Times New Roman" w:cs="Times New Roman"/>
          <w:sz w:val="18"/>
          <w:szCs w:val="18"/>
        </w:rPr>
      </w:pPr>
      <w:r w:rsidRPr="008967B7">
        <w:rPr>
          <w:rStyle w:val="FootnoteReference"/>
          <w:rFonts w:ascii="Times New Roman" w:hAnsi="Times New Roman" w:cs="Times New Roman"/>
          <w:sz w:val="18"/>
          <w:szCs w:val="18"/>
        </w:rPr>
        <w:footnoteRef/>
      </w:r>
      <w:r w:rsidRPr="008967B7">
        <w:rPr>
          <w:rFonts w:ascii="Times New Roman" w:hAnsi="Times New Roman" w:cs="Times New Roman"/>
          <w:sz w:val="18"/>
          <w:szCs w:val="18"/>
        </w:rPr>
        <w:t xml:space="preserve"> Energijos efektyvumo ūkio subjektams ir atsinaujinančių energijos išteklių plėtros skatinamojo finansavimo poreikio vertinimas, VIPA</w:t>
      </w:r>
    </w:p>
  </w:footnote>
  <w:footnote w:id="39">
    <w:p w14:paraId="339A237E" w14:textId="380DD8F1" w:rsidR="005E392B" w:rsidRPr="00052C8C" w:rsidRDefault="005E392B" w:rsidP="000E7641">
      <w:pPr>
        <w:pStyle w:val="FootnoteText"/>
        <w:rPr>
          <w:rFonts w:ascii="Times New Roman" w:hAnsi="Times New Roman" w:cs="Times New Roman"/>
          <w:sz w:val="18"/>
          <w:szCs w:val="18"/>
        </w:rPr>
      </w:pPr>
      <w:r w:rsidRPr="00052C8C">
        <w:rPr>
          <w:rStyle w:val="FootnoteReference"/>
          <w:rFonts w:ascii="Times New Roman" w:hAnsi="Times New Roman" w:cs="Times New Roman"/>
          <w:sz w:val="18"/>
          <w:szCs w:val="18"/>
        </w:rPr>
        <w:footnoteRef/>
      </w:r>
      <w:r w:rsidRPr="00052C8C">
        <w:rPr>
          <w:rFonts w:ascii="Times New Roman" w:hAnsi="Times New Roman" w:cs="Times New Roman"/>
          <w:sz w:val="18"/>
          <w:szCs w:val="18"/>
        </w:rPr>
        <w:t xml:space="preserve"> Valstybinio audito ataskaita „Daugiabučių namų atnaujinimas (modernizavimas)“, Valstybės kontrolė</w:t>
      </w:r>
    </w:p>
  </w:footnote>
  <w:footnote w:id="40">
    <w:p w14:paraId="7DDBFF21" w14:textId="497BCC77" w:rsidR="005E392B" w:rsidRPr="00AF1FE7" w:rsidRDefault="005E392B">
      <w:pPr>
        <w:pStyle w:val="FootnoteText"/>
        <w:rPr>
          <w:rFonts w:ascii="Times New Roman" w:hAnsi="Times New Roman" w:cs="Times New Roman"/>
          <w:sz w:val="20"/>
        </w:rPr>
      </w:pPr>
      <w:r w:rsidRPr="00AF1FE7">
        <w:rPr>
          <w:rStyle w:val="FootnoteReference"/>
          <w:rFonts w:ascii="Times New Roman" w:hAnsi="Times New Roman" w:cs="Times New Roman"/>
          <w:sz w:val="20"/>
        </w:rPr>
        <w:footnoteRef/>
      </w:r>
      <w:r w:rsidRPr="00AF1FE7">
        <w:rPr>
          <w:rFonts w:ascii="Times New Roman" w:hAnsi="Times New Roman" w:cs="Times New Roman"/>
          <w:sz w:val="20"/>
        </w:rPr>
        <w:t xml:space="preserve"> </w:t>
      </w:r>
      <w:hyperlink r:id="rId20" w:anchor="policy-areas" w:history="1">
        <w:r w:rsidRPr="00C7715B">
          <w:rPr>
            <w:rStyle w:val="Hyperlink"/>
            <w:rFonts w:ascii="Times New Roman" w:hAnsi="Times New Roman" w:cs="Times New Roman"/>
            <w:color w:val="0070C0"/>
            <w:sz w:val="18"/>
          </w:rPr>
          <w:t>https://ec.europa.eu/info/strategy/priorities-2019-2024/european-green-deal_en#policy-areas</w:t>
        </w:r>
      </w:hyperlink>
      <w:r w:rsidRPr="00C7715B">
        <w:rPr>
          <w:rFonts w:ascii="Times New Roman" w:hAnsi="Times New Roman" w:cs="Times New Roman"/>
          <w:color w:val="0070C0"/>
          <w:sz w:val="18"/>
        </w:rPr>
        <w:t xml:space="preserve"> </w:t>
      </w:r>
    </w:p>
  </w:footnote>
  <w:footnote w:id="41">
    <w:p w14:paraId="77DDF765" w14:textId="733BE7EB" w:rsidR="005E392B" w:rsidRPr="002D2026" w:rsidRDefault="005E392B">
      <w:pPr>
        <w:pStyle w:val="FootnoteText"/>
        <w:rPr>
          <w:rFonts w:ascii="Times New Roman" w:hAnsi="Times New Roman" w:cs="Times New Roman"/>
          <w:sz w:val="18"/>
          <w:szCs w:val="18"/>
        </w:rPr>
      </w:pPr>
      <w:r w:rsidRPr="002D2026">
        <w:rPr>
          <w:rStyle w:val="FootnoteReference"/>
          <w:rFonts w:ascii="Times New Roman" w:hAnsi="Times New Roman" w:cs="Times New Roman"/>
          <w:sz w:val="18"/>
          <w:szCs w:val="18"/>
        </w:rPr>
        <w:footnoteRef/>
      </w:r>
      <w:r w:rsidRPr="002D2026">
        <w:rPr>
          <w:rFonts w:ascii="Times New Roman" w:hAnsi="Times New Roman" w:cs="Times New Roman"/>
          <w:sz w:val="18"/>
          <w:szCs w:val="18"/>
        </w:rPr>
        <w:t xml:space="preserve"> Investicijų skaičiavimai apima tik pastatuose taikomas priemones, t.y. neapima investicijų</w:t>
      </w:r>
      <w:r>
        <w:rPr>
          <w:rFonts w:ascii="Times New Roman" w:hAnsi="Times New Roman" w:cs="Times New Roman"/>
          <w:sz w:val="18"/>
          <w:szCs w:val="18"/>
        </w:rPr>
        <w:t xml:space="preserve"> energetikos</w:t>
      </w:r>
      <w:r w:rsidRPr="002D2026">
        <w:rPr>
          <w:rFonts w:ascii="Times New Roman" w:hAnsi="Times New Roman" w:cs="Times New Roman"/>
          <w:sz w:val="18"/>
          <w:szCs w:val="18"/>
        </w:rPr>
        <w:t xml:space="preserve"> sektori</w:t>
      </w:r>
      <w:r>
        <w:rPr>
          <w:rFonts w:ascii="Times New Roman" w:hAnsi="Times New Roman" w:cs="Times New Roman"/>
          <w:sz w:val="18"/>
          <w:szCs w:val="18"/>
        </w:rPr>
        <w:t>aus</w:t>
      </w:r>
      <w:r w:rsidRPr="002D2026">
        <w:rPr>
          <w:rFonts w:ascii="Times New Roman" w:hAnsi="Times New Roman" w:cs="Times New Roman"/>
          <w:sz w:val="18"/>
          <w:szCs w:val="18"/>
        </w:rPr>
        <w:t xml:space="preserve"> transformacijai.</w:t>
      </w:r>
    </w:p>
  </w:footnote>
  <w:footnote w:id="42">
    <w:p w14:paraId="0BCEB51A" w14:textId="2E422EA7" w:rsidR="005E392B" w:rsidRDefault="005E392B" w:rsidP="00771A41">
      <w:pPr>
        <w:jc w:val="both"/>
        <w:rPr>
          <w:rFonts w:ascii="Times New Roman" w:hAnsi="Times New Roman"/>
          <w:color w:val="000000" w:themeColor="text1"/>
          <w:szCs w:val="22"/>
        </w:rPr>
      </w:pPr>
      <w:r>
        <w:rPr>
          <w:rStyle w:val="FootnoteReference"/>
        </w:rPr>
        <w:footnoteRef/>
      </w:r>
      <w:r>
        <w:t xml:space="preserve"> </w:t>
      </w:r>
      <w:r w:rsidRPr="00771A41">
        <w:rPr>
          <w:rFonts w:ascii="Times New Roman" w:hAnsi="Times New Roman"/>
          <w:color w:val="000000" w:themeColor="text1"/>
          <w:sz w:val="18"/>
          <w:szCs w:val="22"/>
        </w:rPr>
        <w:t xml:space="preserve">Daugiabučių namų renovacijoje šiuo metu kuriami instrumentai </w:t>
      </w:r>
      <w:r>
        <w:rPr>
          <w:rFonts w:ascii="Times New Roman" w:hAnsi="Times New Roman"/>
          <w:color w:val="000000" w:themeColor="text1"/>
          <w:sz w:val="18"/>
          <w:szCs w:val="22"/>
        </w:rPr>
        <w:t>su 1:5 sverto efektu</w:t>
      </w:r>
      <w:r w:rsidRPr="00771A41">
        <w:rPr>
          <w:rFonts w:ascii="Times New Roman" w:hAnsi="Times New Roman"/>
          <w:color w:val="000000" w:themeColor="text1"/>
          <w:sz w:val="18"/>
          <w:szCs w:val="22"/>
        </w:rPr>
        <w:t xml:space="preserve">, t.y. </w:t>
      </w:r>
      <w:r>
        <w:rPr>
          <w:rFonts w:ascii="Times New Roman" w:hAnsi="Times New Roman"/>
          <w:color w:val="000000" w:themeColor="text1"/>
          <w:sz w:val="18"/>
          <w:szCs w:val="22"/>
        </w:rPr>
        <w:t xml:space="preserve">siekiama, kad </w:t>
      </w:r>
      <w:r w:rsidRPr="00771A41">
        <w:rPr>
          <w:rFonts w:ascii="Times New Roman" w:hAnsi="Times New Roman"/>
          <w:color w:val="000000" w:themeColor="text1"/>
          <w:sz w:val="18"/>
          <w:szCs w:val="22"/>
        </w:rPr>
        <w:t>kiekvienas</w:t>
      </w:r>
      <w:r>
        <w:rPr>
          <w:rFonts w:ascii="Times New Roman" w:hAnsi="Times New Roman"/>
          <w:color w:val="000000" w:themeColor="text1"/>
          <w:sz w:val="18"/>
          <w:szCs w:val="22"/>
        </w:rPr>
        <w:t xml:space="preserve"> viešų finansų</w:t>
      </w:r>
      <w:r w:rsidRPr="00771A41">
        <w:rPr>
          <w:rFonts w:ascii="Times New Roman" w:hAnsi="Times New Roman"/>
          <w:color w:val="000000" w:themeColor="text1"/>
          <w:sz w:val="18"/>
          <w:szCs w:val="22"/>
        </w:rPr>
        <w:t xml:space="preserve"> euras, </w:t>
      </w:r>
      <w:r>
        <w:rPr>
          <w:rFonts w:ascii="Times New Roman" w:hAnsi="Times New Roman"/>
          <w:color w:val="000000" w:themeColor="text1"/>
          <w:sz w:val="18"/>
          <w:szCs w:val="22"/>
        </w:rPr>
        <w:t xml:space="preserve"> </w:t>
      </w:r>
      <w:r w:rsidRPr="00771A41">
        <w:rPr>
          <w:rFonts w:ascii="Times New Roman" w:hAnsi="Times New Roman"/>
          <w:color w:val="000000" w:themeColor="text1"/>
          <w:sz w:val="18"/>
          <w:szCs w:val="22"/>
        </w:rPr>
        <w:t>pritrauk</w:t>
      </w:r>
      <w:r>
        <w:rPr>
          <w:rFonts w:ascii="Times New Roman" w:hAnsi="Times New Roman"/>
          <w:color w:val="000000" w:themeColor="text1"/>
          <w:sz w:val="18"/>
          <w:szCs w:val="22"/>
        </w:rPr>
        <w:t>tų</w:t>
      </w:r>
      <w:r w:rsidRPr="00771A41">
        <w:rPr>
          <w:rFonts w:ascii="Times New Roman" w:hAnsi="Times New Roman"/>
          <w:color w:val="000000" w:themeColor="text1"/>
          <w:sz w:val="18"/>
          <w:szCs w:val="22"/>
        </w:rPr>
        <w:t xml:space="preserve"> 5 eurus iš privataus sektoriaus ar kitų trečiųjų šalių.</w:t>
      </w:r>
    </w:p>
    <w:p w14:paraId="56ACCCAB" w14:textId="02475198" w:rsidR="005E392B" w:rsidRDefault="005E392B">
      <w:pPr>
        <w:pStyle w:val="FootnoteText"/>
      </w:pPr>
    </w:p>
  </w:footnote>
  <w:footnote w:id="43">
    <w:p w14:paraId="466AB0D7" w14:textId="77777777" w:rsidR="005E392B" w:rsidRPr="00B2654A" w:rsidRDefault="005E392B" w:rsidP="003A0129">
      <w:pPr>
        <w:pStyle w:val="FootnoteText"/>
        <w:rPr>
          <w:rFonts w:ascii="Times New Roman" w:hAnsi="Times New Roman" w:cs="Times New Roman"/>
          <w:color w:val="0070C0"/>
          <w:sz w:val="18"/>
          <w:szCs w:val="18"/>
        </w:rPr>
      </w:pPr>
      <w:r w:rsidRPr="00E51347">
        <w:rPr>
          <w:rStyle w:val="FootnoteReference"/>
          <w:rFonts w:ascii="Times New Roman" w:hAnsi="Times New Roman" w:cs="Times New Roman"/>
          <w:sz w:val="18"/>
          <w:szCs w:val="18"/>
        </w:rPr>
        <w:footnoteRef/>
      </w:r>
      <w:r w:rsidRPr="00E51347">
        <w:rPr>
          <w:rFonts w:ascii="Times New Roman" w:hAnsi="Times New Roman" w:cs="Times New Roman"/>
          <w:sz w:val="18"/>
          <w:szCs w:val="18"/>
        </w:rPr>
        <w:t xml:space="preserve"> </w:t>
      </w:r>
      <w:hyperlink r:id="rId21" w:history="1">
        <w:r w:rsidRPr="00B2654A">
          <w:rPr>
            <w:rStyle w:val="Hyperlink"/>
            <w:rFonts w:ascii="Times New Roman" w:hAnsi="Times New Roman" w:cs="Times New Roman"/>
            <w:color w:val="0070C0"/>
            <w:sz w:val="18"/>
            <w:szCs w:val="18"/>
          </w:rPr>
          <w:t>https://www.embuild.eu/knowledge-center/wider-benefits/</w:t>
        </w:r>
      </w:hyperlink>
      <w:r w:rsidRPr="00B2654A">
        <w:rPr>
          <w:rFonts w:ascii="Times New Roman" w:hAnsi="Times New Roman" w:cs="Times New Roman"/>
          <w:color w:val="0070C0"/>
          <w:sz w:val="18"/>
          <w:szCs w:val="18"/>
        </w:rPr>
        <w:t xml:space="preserve"> </w:t>
      </w:r>
    </w:p>
  </w:footnote>
  <w:footnote w:id="44">
    <w:p w14:paraId="0D5BB303" w14:textId="50AFD857" w:rsidR="005E392B" w:rsidRPr="00E51347" w:rsidRDefault="005E392B">
      <w:pPr>
        <w:pStyle w:val="FootnoteText"/>
        <w:rPr>
          <w:sz w:val="18"/>
          <w:szCs w:val="18"/>
        </w:rPr>
      </w:pPr>
      <w:r w:rsidRPr="00E51347">
        <w:rPr>
          <w:rStyle w:val="FootnoteReference"/>
          <w:rFonts w:ascii="Times New Roman" w:hAnsi="Times New Roman" w:cs="Times New Roman"/>
          <w:sz w:val="18"/>
          <w:szCs w:val="18"/>
        </w:rPr>
        <w:footnoteRef/>
      </w:r>
      <w:r w:rsidRPr="00E51347">
        <w:rPr>
          <w:rFonts w:ascii="Times New Roman" w:hAnsi="Times New Roman" w:cs="Times New Roman"/>
          <w:sz w:val="18"/>
          <w:szCs w:val="18"/>
        </w:rPr>
        <w:t xml:space="preserve"> Nediskontuota vertė</w:t>
      </w:r>
      <w:r w:rsidRPr="00E51347">
        <w:rPr>
          <w:sz w:val="18"/>
          <w:szCs w:val="18"/>
        </w:rPr>
        <w:t xml:space="preserve"> </w:t>
      </w:r>
    </w:p>
  </w:footnote>
  <w:footnote w:id="45">
    <w:p w14:paraId="4E5A73D4" w14:textId="69F52675" w:rsidR="005E392B" w:rsidRDefault="005E392B">
      <w:pPr>
        <w:pStyle w:val="FootnoteText"/>
      </w:pPr>
      <w:r>
        <w:rPr>
          <w:rStyle w:val="FootnoteReference"/>
        </w:rPr>
        <w:footnoteRef/>
      </w:r>
      <w:r>
        <w:t xml:space="preserve"> </w:t>
      </w:r>
      <w:hyperlink r:id="rId22" w:history="1">
        <w:r w:rsidRPr="00B2654A">
          <w:rPr>
            <w:rStyle w:val="Hyperlink"/>
            <w:rFonts w:ascii="Times New Roman" w:hAnsi="Times New Roman" w:cs="Times New Roman"/>
            <w:color w:val="0070C0"/>
            <w:sz w:val="18"/>
            <w:szCs w:val="18"/>
          </w:rPr>
          <w:t>https://www.copenhageneconomics.com/publications/publication/multiple-benefits-of-investing-in-energy-efficient-renovation-of-buildings</w:t>
        </w:r>
      </w:hyperlink>
    </w:p>
  </w:footnote>
  <w:footnote w:id="46">
    <w:p w14:paraId="7EB1C335" w14:textId="77777777" w:rsidR="005E392B" w:rsidRPr="00D30415" w:rsidRDefault="005E392B" w:rsidP="00DD52F8">
      <w:pPr>
        <w:pStyle w:val="FootnoteText"/>
        <w:rPr>
          <w:rFonts w:ascii="Times New Roman" w:hAnsi="Times New Roman" w:cs="Times New Roman"/>
          <w:sz w:val="18"/>
          <w:szCs w:val="18"/>
        </w:rPr>
      </w:pPr>
      <w:r w:rsidRPr="00D30415">
        <w:rPr>
          <w:rStyle w:val="FootnoteReference"/>
          <w:rFonts w:ascii="Times New Roman" w:hAnsi="Times New Roman" w:cs="Times New Roman"/>
          <w:sz w:val="18"/>
          <w:szCs w:val="18"/>
        </w:rPr>
        <w:footnoteRef/>
      </w:r>
      <w:r w:rsidRPr="00D30415">
        <w:rPr>
          <w:rFonts w:ascii="Times New Roman" w:hAnsi="Times New Roman" w:cs="Times New Roman"/>
          <w:sz w:val="18"/>
          <w:szCs w:val="18"/>
        </w:rPr>
        <w:t xml:space="preserve"> </w:t>
      </w:r>
      <w:hyperlink r:id="rId23" w:history="1">
        <w:r w:rsidRPr="00B2654A">
          <w:rPr>
            <w:rStyle w:val="Hyperlink"/>
            <w:rFonts w:ascii="Times New Roman" w:hAnsi="Times New Roman" w:cs="Times New Roman"/>
            <w:color w:val="0070C0"/>
            <w:sz w:val="18"/>
            <w:szCs w:val="18"/>
          </w:rPr>
          <w:t>https://www.copenhageneconomics.com/publications/publication/multiple-benefits-of-investing-in-energy-efficient-renovation-of-buildings</w:t>
        </w:r>
      </w:hyperlink>
    </w:p>
  </w:footnote>
  <w:footnote w:id="47">
    <w:p w14:paraId="5A8C3177" w14:textId="77777777" w:rsidR="005E392B" w:rsidRPr="00FB1A03" w:rsidRDefault="005E392B" w:rsidP="005E7B75">
      <w:pPr>
        <w:pStyle w:val="FootnoteText"/>
        <w:rPr>
          <w:rFonts w:ascii="Times New Roman" w:hAnsi="Times New Roman" w:cs="Times New Roman"/>
          <w:sz w:val="18"/>
          <w:szCs w:val="18"/>
        </w:rPr>
      </w:pPr>
      <w:r w:rsidRPr="00FB1A03">
        <w:rPr>
          <w:rStyle w:val="FootnoteReference"/>
          <w:rFonts w:ascii="Times New Roman" w:hAnsi="Times New Roman" w:cs="Times New Roman"/>
          <w:sz w:val="18"/>
          <w:szCs w:val="18"/>
        </w:rPr>
        <w:footnoteRef/>
      </w:r>
      <w:r w:rsidRPr="00FB1A03">
        <w:rPr>
          <w:rFonts w:ascii="Times New Roman" w:hAnsi="Times New Roman" w:cs="Times New Roman"/>
          <w:sz w:val="18"/>
          <w:szCs w:val="18"/>
        </w:rPr>
        <w:t xml:space="preserve"> </w:t>
      </w:r>
      <w:hyperlink r:id="rId24" w:history="1">
        <w:r w:rsidRPr="00B2654A">
          <w:rPr>
            <w:rStyle w:val="Hyperlink"/>
            <w:rFonts w:ascii="Times New Roman" w:hAnsi="Times New Roman" w:cs="Times New Roman"/>
            <w:color w:val="0070C0"/>
            <w:sz w:val="18"/>
            <w:szCs w:val="18"/>
          </w:rPr>
          <w:t>http://www.bpie.eu/publication/policy-paper-how-to-integrate-indoor-environmental-quality-within-national-long-term-renovation-strategies/</w:t>
        </w:r>
      </w:hyperlink>
      <w:r w:rsidRPr="00B2654A">
        <w:rPr>
          <w:rFonts w:ascii="Times New Roman" w:hAnsi="Times New Roman" w:cs="Times New Roman"/>
          <w:color w:val="0070C0"/>
          <w:sz w:val="18"/>
          <w:szCs w:val="18"/>
        </w:rPr>
        <w:t xml:space="preserve"> </w:t>
      </w:r>
    </w:p>
  </w:footnote>
  <w:footnote w:id="48">
    <w:p w14:paraId="4F528702" w14:textId="77777777" w:rsidR="005E392B" w:rsidRPr="009549D5" w:rsidRDefault="005E392B" w:rsidP="005E7B75">
      <w:pPr>
        <w:pStyle w:val="FootnoteText"/>
        <w:rPr>
          <w:rFonts w:ascii="Times New Roman" w:hAnsi="Times New Roman" w:cs="Times New Roman"/>
          <w:sz w:val="18"/>
          <w:szCs w:val="18"/>
        </w:rPr>
      </w:pPr>
      <w:r w:rsidRPr="009549D5">
        <w:rPr>
          <w:rStyle w:val="FootnoteReference"/>
          <w:rFonts w:ascii="Times New Roman" w:hAnsi="Times New Roman" w:cs="Times New Roman"/>
          <w:sz w:val="18"/>
          <w:szCs w:val="18"/>
        </w:rPr>
        <w:footnoteRef/>
      </w:r>
      <w:r w:rsidRPr="009549D5">
        <w:rPr>
          <w:rFonts w:ascii="Times New Roman" w:hAnsi="Times New Roman" w:cs="Times New Roman"/>
          <w:sz w:val="18"/>
          <w:szCs w:val="18"/>
        </w:rPr>
        <w:t xml:space="preserve"> </w:t>
      </w:r>
      <w:hyperlink r:id="rId25" w:history="1">
        <w:r w:rsidRPr="00E74393">
          <w:rPr>
            <w:rStyle w:val="Hyperlink"/>
            <w:rFonts w:ascii="Times New Roman" w:hAnsi="Times New Roman" w:cs="Times New Roman"/>
            <w:color w:val="0070C0"/>
            <w:sz w:val="18"/>
            <w:szCs w:val="18"/>
          </w:rPr>
          <w:t>https://www.copenhageneconomics.com/publications/publication/multiple-benefits-of-investing-in-energy-efficient-renovation-of-buildings</w:t>
        </w:r>
      </w:hyperlink>
      <w:r w:rsidRPr="00E74393">
        <w:rPr>
          <w:rFonts w:ascii="Times New Roman" w:hAnsi="Times New Roman" w:cs="Times New Roman"/>
          <w:color w:val="0070C0"/>
          <w:sz w:val="18"/>
          <w:szCs w:val="18"/>
        </w:rPr>
        <w:t xml:space="preserve"> </w:t>
      </w:r>
    </w:p>
  </w:footnote>
  <w:footnote w:id="49">
    <w:p w14:paraId="7C9D6D09" w14:textId="77777777" w:rsidR="005E392B" w:rsidRPr="00AB394F" w:rsidRDefault="005E392B" w:rsidP="00F36EC7">
      <w:pPr>
        <w:pStyle w:val="FootnoteText"/>
        <w:rPr>
          <w:rFonts w:ascii="Times New Roman" w:hAnsi="Times New Roman" w:cs="Times New Roman"/>
          <w:sz w:val="18"/>
          <w:szCs w:val="18"/>
        </w:rPr>
      </w:pPr>
      <w:r w:rsidRPr="00AB394F">
        <w:rPr>
          <w:rStyle w:val="FootnoteReference"/>
          <w:rFonts w:ascii="Times New Roman" w:hAnsi="Times New Roman" w:cs="Times New Roman"/>
          <w:sz w:val="18"/>
          <w:szCs w:val="18"/>
        </w:rPr>
        <w:footnoteRef/>
      </w:r>
      <w:r w:rsidRPr="00AB394F">
        <w:rPr>
          <w:rFonts w:ascii="Times New Roman" w:hAnsi="Times New Roman" w:cs="Times New Roman"/>
          <w:sz w:val="18"/>
          <w:szCs w:val="18"/>
        </w:rPr>
        <w:t xml:space="preserve"> </w:t>
      </w:r>
      <w:hyperlink r:id="rId26" w:history="1">
        <w:r w:rsidRPr="00E74393">
          <w:rPr>
            <w:rStyle w:val="Hyperlink"/>
            <w:rFonts w:ascii="Times New Roman" w:hAnsi="Times New Roman" w:cs="Times New Roman"/>
            <w:color w:val="0070C0"/>
            <w:sz w:val="18"/>
            <w:szCs w:val="18"/>
          </w:rPr>
          <w:t>https://www.ober-haus.lt/rinkos_apzvalga/nekilnojamojo-turto-kainos-2020-m-geguzes-men/</w:t>
        </w:r>
      </w:hyperlink>
      <w:r w:rsidRPr="00E74393">
        <w:rPr>
          <w:rFonts w:ascii="Times New Roman" w:hAnsi="Times New Roman" w:cs="Times New Roman"/>
          <w:color w:val="0070C0"/>
          <w:sz w:val="18"/>
          <w:szCs w:val="18"/>
        </w:rPr>
        <w:t xml:space="preserve"> </w:t>
      </w:r>
    </w:p>
  </w:footnote>
  <w:footnote w:id="50">
    <w:p w14:paraId="3E6CE642" w14:textId="77777777" w:rsidR="005E392B" w:rsidRPr="00AB394F" w:rsidRDefault="005E392B" w:rsidP="00F36EC7">
      <w:pPr>
        <w:pStyle w:val="FootnoteText"/>
        <w:rPr>
          <w:rFonts w:ascii="Times New Roman" w:hAnsi="Times New Roman" w:cs="Times New Roman"/>
          <w:sz w:val="18"/>
          <w:szCs w:val="18"/>
        </w:rPr>
      </w:pPr>
      <w:r w:rsidRPr="00AB394F">
        <w:rPr>
          <w:rStyle w:val="FootnoteReference"/>
          <w:rFonts w:ascii="Times New Roman" w:hAnsi="Times New Roman" w:cs="Times New Roman"/>
          <w:sz w:val="18"/>
          <w:szCs w:val="18"/>
        </w:rPr>
        <w:footnoteRef/>
      </w:r>
      <w:r w:rsidRPr="00AB394F">
        <w:rPr>
          <w:rFonts w:ascii="Times New Roman" w:hAnsi="Times New Roman" w:cs="Times New Roman"/>
          <w:sz w:val="18"/>
          <w:szCs w:val="18"/>
        </w:rPr>
        <w:t xml:space="preserve"> </w:t>
      </w:r>
      <w:hyperlink r:id="rId27" w:history="1">
        <w:r w:rsidRPr="00E74393">
          <w:rPr>
            <w:rStyle w:val="Hyperlink"/>
            <w:rFonts w:ascii="Times New Roman" w:hAnsi="Times New Roman" w:cs="Times New Roman"/>
            <w:color w:val="0070C0"/>
            <w:sz w:val="18"/>
            <w:szCs w:val="18"/>
          </w:rPr>
          <w:t>http://www.betalt.lt/veiklos-sritys/programos/daugiabuciu-namu-atnaujinimo-modernizavimo-programa/102?c-19/t-46</w:t>
        </w:r>
      </w:hyperlink>
      <w:r w:rsidRPr="00E74393">
        <w:rPr>
          <w:rFonts w:ascii="Times New Roman" w:hAnsi="Times New Roman" w:cs="Times New Roman"/>
          <w:color w:val="0070C0"/>
          <w:sz w:val="18"/>
          <w:szCs w:val="18"/>
        </w:rPr>
        <w:t xml:space="preserve"> </w:t>
      </w:r>
    </w:p>
  </w:footnote>
  <w:footnote w:id="51">
    <w:p w14:paraId="2365F14E" w14:textId="681FB259" w:rsidR="005E392B" w:rsidRPr="00BE115F" w:rsidRDefault="005E392B">
      <w:pPr>
        <w:pStyle w:val="FootnoteText"/>
        <w:rPr>
          <w:rFonts w:ascii="Times New Roman" w:hAnsi="Times New Roman" w:cs="Times New Roman"/>
          <w:i/>
          <w:iCs/>
          <w:color w:val="000000" w:themeColor="text1"/>
          <w:sz w:val="18"/>
          <w:szCs w:val="18"/>
          <w:lang w:val="en-US"/>
        </w:rPr>
      </w:pPr>
      <w:r w:rsidRPr="00BE115F">
        <w:rPr>
          <w:rStyle w:val="FootnoteReference"/>
          <w:rFonts w:ascii="Times New Roman" w:hAnsi="Times New Roman" w:cs="Times New Roman"/>
          <w:i/>
          <w:iCs/>
          <w:color w:val="000000" w:themeColor="text1"/>
          <w:sz w:val="18"/>
          <w:szCs w:val="18"/>
        </w:rPr>
        <w:footnoteRef/>
      </w:r>
      <w:r w:rsidRPr="00BE115F">
        <w:rPr>
          <w:rFonts w:ascii="Times New Roman" w:hAnsi="Times New Roman" w:cs="Times New Roman"/>
          <w:i/>
          <w:iCs/>
          <w:color w:val="000000" w:themeColor="text1"/>
          <w:sz w:val="18"/>
          <w:szCs w:val="18"/>
        </w:rPr>
        <w:t xml:space="preserve"> (</w:t>
      </w:r>
      <w:r>
        <w:rPr>
          <w:rStyle w:val="Emphasis"/>
          <w:rFonts w:ascii="Times New Roman" w:hAnsi="Times New Roman" w:cs="Times New Roman"/>
          <w:i w:val="0"/>
          <w:iCs w:val="0"/>
          <w:color w:val="000000" w:themeColor="text1"/>
          <w:spacing w:val="2"/>
          <w:sz w:val="18"/>
          <w:szCs w:val="18"/>
          <w:shd w:val="clear" w:color="auto" w:fill="FFFFFF"/>
        </w:rPr>
        <w:t>800 Eur - (122 Eur x 4)) x 10% = 31,2</w:t>
      </w:r>
      <w:r w:rsidRPr="00BE115F">
        <w:rPr>
          <w:rStyle w:val="Emphasis"/>
          <w:rFonts w:ascii="Times New Roman" w:hAnsi="Times New Roman" w:cs="Times New Roman"/>
          <w:i w:val="0"/>
          <w:iCs w:val="0"/>
          <w:color w:val="000000" w:themeColor="text1"/>
          <w:spacing w:val="2"/>
          <w:sz w:val="18"/>
          <w:szCs w:val="18"/>
          <w:shd w:val="clear" w:color="auto" w:fill="FFFFFF"/>
        </w:rPr>
        <w:t xml:space="preserve"> Eur. Šią sumą viršijančios išlaidos bus kompensuojamos.</w:t>
      </w:r>
    </w:p>
  </w:footnote>
  <w:footnote w:id="52">
    <w:p w14:paraId="6444B493" w14:textId="77777777" w:rsidR="005E392B" w:rsidRPr="00917F11" w:rsidRDefault="005E392B" w:rsidP="00E37ED8">
      <w:pPr>
        <w:pStyle w:val="FootnoteText"/>
        <w:rPr>
          <w:rFonts w:ascii="Times New Roman" w:hAnsi="Times New Roman" w:cs="Times New Roman"/>
          <w:sz w:val="18"/>
          <w:szCs w:val="18"/>
        </w:rPr>
      </w:pPr>
      <w:r w:rsidRPr="00917F11">
        <w:rPr>
          <w:rStyle w:val="FootnoteReference"/>
          <w:rFonts w:ascii="Times New Roman" w:hAnsi="Times New Roman" w:cs="Times New Roman"/>
          <w:sz w:val="18"/>
          <w:szCs w:val="18"/>
        </w:rPr>
        <w:footnoteRef/>
      </w:r>
      <w:r w:rsidRPr="00917F11">
        <w:rPr>
          <w:rFonts w:ascii="Times New Roman" w:hAnsi="Times New Roman" w:cs="Times New Roman"/>
          <w:sz w:val="18"/>
          <w:szCs w:val="18"/>
        </w:rPr>
        <w:t xml:space="preserve"> Atskirai numatant jo įgyvendinimo</w:t>
      </w:r>
      <w:r>
        <w:rPr>
          <w:rFonts w:ascii="Times New Roman" w:hAnsi="Times New Roman" w:cs="Times New Roman"/>
          <w:sz w:val="18"/>
          <w:szCs w:val="18"/>
        </w:rPr>
        <w:t xml:space="preserve"> priemones.</w:t>
      </w:r>
    </w:p>
  </w:footnote>
  <w:footnote w:id="53">
    <w:p w14:paraId="41A21BB7" w14:textId="77777777" w:rsidR="005E392B" w:rsidRPr="00FA1F5A" w:rsidRDefault="005E392B" w:rsidP="00E00C6E">
      <w:pPr>
        <w:pStyle w:val="FootnoteText"/>
        <w:rPr>
          <w:rFonts w:ascii="Times New Roman" w:hAnsi="Times New Roman" w:cs="Times New Roman"/>
          <w:sz w:val="18"/>
          <w:szCs w:val="18"/>
        </w:rPr>
      </w:pPr>
      <w:r w:rsidRPr="00E02199">
        <w:rPr>
          <w:rStyle w:val="FootnoteReference"/>
          <w:rFonts w:ascii="Times New Roman" w:hAnsi="Times New Roman" w:cs="Times New Roman"/>
          <w:sz w:val="18"/>
          <w:szCs w:val="18"/>
        </w:rPr>
        <w:footnoteRef/>
      </w:r>
      <w:r w:rsidRPr="00E02199">
        <w:rPr>
          <w:rFonts w:ascii="Times New Roman" w:hAnsi="Times New Roman" w:cs="Times New Roman"/>
          <w:sz w:val="18"/>
          <w:szCs w:val="18"/>
        </w:rPr>
        <w:t xml:space="preserve"> PEND </w:t>
      </w:r>
      <w:r w:rsidRPr="00FA1F5A">
        <w:rPr>
          <w:rFonts w:ascii="Times New Roman" w:hAnsi="Times New Roman" w:cs="Times New Roman"/>
          <w:sz w:val="18"/>
          <w:szCs w:val="18"/>
        </w:rPr>
        <w:t>10 straipsnis.</w:t>
      </w:r>
    </w:p>
  </w:footnote>
  <w:footnote w:id="54">
    <w:p w14:paraId="1FFAB9C9" w14:textId="77777777" w:rsidR="005E392B" w:rsidRDefault="005E392B" w:rsidP="00E00C6E">
      <w:pPr>
        <w:pStyle w:val="FootnoteText"/>
      </w:pPr>
      <w:r w:rsidRPr="009A0B03">
        <w:rPr>
          <w:rStyle w:val="FootnoteReference"/>
          <w:rFonts w:ascii="Times New Roman" w:hAnsi="Times New Roman" w:cs="Times New Roman"/>
          <w:sz w:val="18"/>
        </w:rPr>
        <w:footnoteRef/>
      </w:r>
      <w:r w:rsidRPr="009A0B03">
        <w:rPr>
          <w:rFonts w:ascii="Times New Roman" w:hAnsi="Times New Roman" w:cs="Times New Roman"/>
          <w:sz w:val="18"/>
        </w:rPr>
        <w:t xml:space="preserve"> </w:t>
      </w:r>
      <w:r w:rsidRPr="009A0B03">
        <w:rPr>
          <w:rFonts w:ascii="Times New Roman" w:hAnsi="Times New Roman" w:cs="Times New Roman"/>
          <w:bCs/>
          <w:color w:val="000000" w:themeColor="text1"/>
          <w:sz w:val="18"/>
        </w:rPr>
        <w:t>PEND</w:t>
      </w:r>
      <w:r>
        <w:rPr>
          <w:rFonts w:ascii="Times New Roman" w:hAnsi="Times New Roman" w:cs="Times New Roman"/>
          <w:bCs/>
          <w:color w:val="000000" w:themeColor="text1"/>
          <w:sz w:val="18"/>
        </w:rPr>
        <w:t xml:space="preserve"> 2a straipsnio 1 dalies b, c punktai</w:t>
      </w:r>
    </w:p>
  </w:footnote>
  <w:footnote w:id="55">
    <w:p w14:paraId="3E31086F" w14:textId="3FBB6520" w:rsidR="005E392B" w:rsidRPr="008F114A" w:rsidRDefault="005E392B">
      <w:pPr>
        <w:pStyle w:val="FootnoteText"/>
        <w:rPr>
          <w:lang w:val="en-GB"/>
        </w:rPr>
      </w:pPr>
      <w:r>
        <w:rPr>
          <w:rStyle w:val="FootnoteReference"/>
        </w:rPr>
        <w:footnoteRef/>
      </w:r>
      <w:r>
        <w:t xml:space="preserve"> </w:t>
      </w:r>
      <w:hyperlink r:id="rId28" w:history="1">
        <w:r w:rsidRPr="00C075C1">
          <w:rPr>
            <w:rStyle w:val="Hyperlink"/>
            <w:sz w:val="18"/>
          </w:rPr>
          <w:t>Aplinkosaugininkai prašo renovuojant daugiabučius išsaugoti čiurlius | Lietuvos Respublikos aplinkos ministerija (lrv.lt)</w:t>
        </w:r>
      </w:hyperlink>
    </w:p>
  </w:footnote>
  <w:footnote w:id="56">
    <w:p w14:paraId="397FCFE2" w14:textId="77777777" w:rsidR="005E392B" w:rsidRPr="002569F6" w:rsidRDefault="005E392B" w:rsidP="007E0569">
      <w:pPr>
        <w:pStyle w:val="FootnoteText"/>
        <w:rPr>
          <w:rFonts w:ascii="Times New Roman" w:hAnsi="Times New Roman" w:cs="Times New Roman"/>
          <w:sz w:val="18"/>
          <w:szCs w:val="18"/>
        </w:rPr>
      </w:pPr>
      <w:r w:rsidRPr="002569F6">
        <w:rPr>
          <w:rStyle w:val="FootnoteReference"/>
          <w:rFonts w:ascii="Times New Roman" w:hAnsi="Times New Roman" w:cs="Times New Roman"/>
          <w:sz w:val="18"/>
          <w:szCs w:val="18"/>
        </w:rPr>
        <w:footnoteRef/>
      </w:r>
      <w:r w:rsidRPr="002569F6">
        <w:rPr>
          <w:rFonts w:ascii="Times New Roman" w:hAnsi="Times New Roman" w:cs="Times New Roman"/>
          <w:sz w:val="18"/>
          <w:szCs w:val="18"/>
        </w:rPr>
        <w:t xml:space="preserve"> Reglamentas (ES) Nr. 305/2011, kuriuo nustatomos suderintos statybos produktų rinkodaros sąlygos ir panaikinama Tarybos direktyva 89/106/EEB</w:t>
      </w:r>
    </w:p>
  </w:footnote>
  <w:footnote w:id="57">
    <w:p w14:paraId="4AC8A952" w14:textId="77777777" w:rsidR="005E392B" w:rsidRPr="007A304F" w:rsidRDefault="005E392B" w:rsidP="00C81905">
      <w:pPr>
        <w:jc w:val="both"/>
        <w:rPr>
          <w:rFonts w:ascii="Times New Roman" w:hAnsi="Times New Roman"/>
          <w:color w:val="000000" w:themeColor="text1"/>
          <w:sz w:val="18"/>
          <w:szCs w:val="18"/>
        </w:rPr>
      </w:pPr>
      <w:r w:rsidRPr="00FA1F5A">
        <w:rPr>
          <w:rFonts w:ascii="Times New Roman" w:hAnsi="Times New Roman"/>
          <w:sz w:val="18"/>
          <w:szCs w:val="18"/>
          <w:vertAlign w:val="superscript"/>
        </w:rPr>
        <w:footnoteRef/>
      </w:r>
      <w:r w:rsidRPr="007A304F">
        <w:rPr>
          <w:rFonts w:ascii="Times New Roman" w:hAnsi="Times New Roman"/>
          <w:sz w:val="18"/>
          <w:szCs w:val="18"/>
        </w:rPr>
        <w:t xml:space="preserve"> </w:t>
      </w:r>
      <w:r w:rsidRPr="007A304F">
        <w:rPr>
          <w:rFonts w:ascii="Times New Roman" w:hAnsi="Times New Roman"/>
          <w:color w:val="000000" w:themeColor="text1"/>
          <w:sz w:val="18"/>
          <w:szCs w:val="18"/>
        </w:rPr>
        <w:t>Daugiabučių namų renovacijoje šiuo metu kuriami instrumentai su 1:5 sverto efektu, t.y. siekiama, kad kiekvienas viešų finansų euras,  pritrauktų 5 eurus iš privataus sektoriaus ar kitų trečiųjų šalių.</w:t>
      </w:r>
    </w:p>
  </w:footnote>
  <w:footnote w:id="58">
    <w:p w14:paraId="0F147BD2" w14:textId="77777777" w:rsidR="005E392B" w:rsidRDefault="005E392B" w:rsidP="00C81905">
      <w:pPr>
        <w:pStyle w:val="FootnoteText"/>
      </w:pPr>
      <w:r w:rsidRPr="00642DB0">
        <w:rPr>
          <w:rStyle w:val="FootnoteReference"/>
          <w:rFonts w:ascii="Times New Roman" w:hAnsi="Times New Roman" w:cs="Times New Roman"/>
          <w:sz w:val="18"/>
        </w:rPr>
        <w:footnoteRef/>
      </w:r>
      <w:r w:rsidRPr="00642DB0">
        <w:rPr>
          <w:sz w:val="18"/>
        </w:rPr>
        <w:t xml:space="preserve"> </w:t>
      </w:r>
      <w:r w:rsidRPr="00642DB0">
        <w:rPr>
          <w:rFonts w:ascii="Times New Roman" w:eastAsia="Times New Roman" w:hAnsi="Times New Roman"/>
          <w:sz w:val="18"/>
          <w:szCs w:val="22"/>
          <w:lang w:eastAsia="lt-LT"/>
        </w:rPr>
        <w:t xml:space="preserve">Pakeitimo direktyvos 18 straipsnis įpareigoja valstybes nares kurti ESCO modelį įgalinančią įstatyminę ir informacinę aplinką ir gerinti mažo ir vidutinio dydžio įmonių įtraukimą į šią rinką. </w:t>
      </w:r>
    </w:p>
  </w:footnote>
  <w:footnote w:id="59">
    <w:p w14:paraId="1FDED047" w14:textId="77777777" w:rsidR="005E392B" w:rsidRPr="007A304F" w:rsidRDefault="005E392B" w:rsidP="00C81905">
      <w:pPr>
        <w:rPr>
          <w:rFonts w:ascii="Times New Roman" w:hAnsi="Times New Roman"/>
          <w:sz w:val="18"/>
          <w:szCs w:val="18"/>
        </w:rPr>
      </w:pPr>
      <w:r w:rsidRPr="00FA1F5A">
        <w:rPr>
          <w:rFonts w:ascii="Times New Roman" w:hAnsi="Times New Roman"/>
          <w:sz w:val="18"/>
          <w:szCs w:val="18"/>
          <w:vertAlign w:val="superscript"/>
        </w:rPr>
        <w:footnoteRef/>
      </w:r>
      <w:r w:rsidRPr="007A304F">
        <w:rPr>
          <w:rFonts w:ascii="Times New Roman" w:hAnsi="Times New Roman"/>
          <w:sz w:val="18"/>
          <w:szCs w:val="18"/>
        </w:rPr>
        <w:t xml:space="preserve"> </w:t>
      </w:r>
      <w:r>
        <w:rPr>
          <w:rFonts w:ascii="Times New Roman" w:hAnsi="Times New Roman"/>
          <w:sz w:val="18"/>
          <w:szCs w:val="18"/>
        </w:rPr>
        <w:t>EK</w:t>
      </w:r>
      <w:r w:rsidRPr="007A304F">
        <w:rPr>
          <w:rFonts w:ascii="Times New Roman" w:hAnsi="Times New Roman"/>
          <w:sz w:val="18"/>
          <w:szCs w:val="18"/>
        </w:rPr>
        <w:t xml:space="preserve"> Jungtinių tyrimų centr</w:t>
      </w:r>
      <w:r>
        <w:rPr>
          <w:rFonts w:ascii="Times New Roman" w:hAnsi="Times New Roman"/>
          <w:sz w:val="18"/>
          <w:szCs w:val="18"/>
        </w:rPr>
        <w:t>o</w:t>
      </w:r>
      <w:r w:rsidRPr="007A304F">
        <w:rPr>
          <w:rFonts w:ascii="Times New Roman" w:hAnsi="Times New Roman"/>
          <w:sz w:val="18"/>
          <w:szCs w:val="18"/>
        </w:rPr>
        <w:t xml:space="preserve"> (JRC) </w:t>
      </w:r>
      <w:r>
        <w:rPr>
          <w:rFonts w:ascii="Times New Roman" w:hAnsi="Times New Roman"/>
          <w:sz w:val="18"/>
          <w:szCs w:val="18"/>
        </w:rPr>
        <w:t xml:space="preserve">2019 m. </w:t>
      </w:r>
      <w:r w:rsidRPr="007A304F">
        <w:rPr>
          <w:rFonts w:ascii="Times New Roman" w:hAnsi="Times New Roman"/>
          <w:sz w:val="18"/>
          <w:szCs w:val="18"/>
        </w:rPr>
        <w:t>pareng</w:t>
      </w:r>
      <w:r>
        <w:rPr>
          <w:rFonts w:ascii="Times New Roman" w:hAnsi="Times New Roman"/>
          <w:sz w:val="18"/>
          <w:szCs w:val="18"/>
        </w:rPr>
        <w:t>tas</w:t>
      </w:r>
      <w:r w:rsidRPr="007A304F">
        <w:rPr>
          <w:rFonts w:ascii="Times New Roman" w:hAnsi="Times New Roman"/>
          <w:sz w:val="18"/>
          <w:szCs w:val="18"/>
        </w:rPr>
        <w:t xml:space="preserve"> Europos energetinių paslaugų rinkos įvertinimo ataskait</w:t>
      </w:r>
      <w:r>
        <w:rPr>
          <w:rFonts w:ascii="Times New Roman" w:hAnsi="Times New Roman"/>
          <w:sz w:val="18"/>
          <w:szCs w:val="18"/>
        </w:rPr>
        <w:t>a:</w:t>
      </w:r>
      <w:r>
        <w:rPr>
          <w:rFonts w:ascii="Times New Roman" w:hAnsi="Times New Roman"/>
          <w:sz w:val="18"/>
          <w:szCs w:val="18"/>
        </w:rPr>
        <w:br/>
      </w:r>
      <w:hyperlink r:id="rId29" w:history="1">
        <w:r w:rsidRPr="00B45D47">
          <w:rPr>
            <w:rStyle w:val="Hyperlink"/>
            <w:rFonts w:ascii="Times New Roman" w:hAnsi="Times New Roman"/>
            <w:sz w:val="18"/>
            <w:szCs w:val="18"/>
          </w:rPr>
          <w:t>http://publications.jrc.ec.europa.eu/repository/bitstream/JRC118815/jrc118815.pdf</w:t>
        </w:r>
      </w:hyperlink>
      <w:r>
        <w:rPr>
          <w:rFonts w:ascii="Times New Roman" w:hAnsi="Times New Roman"/>
          <w:sz w:val="18"/>
          <w:szCs w:val="18"/>
        </w:rPr>
        <w:t xml:space="preserve"> </w:t>
      </w:r>
    </w:p>
  </w:footnote>
  <w:footnote w:id="60">
    <w:p w14:paraId="3EABCD4A" w14:textId="77777777" w:rsidR="005E392B" w:rsidRPr="005431BB" w:rsidRDefault="005E392B" w:rsidP="005A0A11">
      <w:pPr>
        <w:pStyle w:val="FootnoteText"/>
        <w:rPr>
          <w:rFonts w:ascii="Times New Roman" w:hAnsi="Times New Roman" w:cs="Times New Roman"/>
          <w:sz w:val="18"/>
          <w:szCs w:val="18"/>
        </w:rPr>
      </w:pPr>
      <w:r w:rsidRPr="005431BB">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5431BB">
        <w:rPr>
          <w:rFonts w:ascii="Times New Roman" w:hAnsi="Times New Roman" w:cs="Times New Roman"/>
          <w:sz w:val="18"/>
          <w:szCs w:val="18"/>
        </w:rPr>
        <w:t>Valstybinio audito ataskaita „Daugiabučių namų atnaujinimas (modernizavimas)“, Valstybės kontrolė</w:t>
      </w:r>
    </w:p>
  </w:footnote>
  <w:footnote w:id="61">
    <w:p w14:paraId="4F1A8239" w14:textId="49269282" w:rsidR="005E392B" w:rsidRPr="004E2CC4" w:rsidRDefault="005E392B" w:rsidP="004E2CC4">
      <w:pPr>
        <w:jc w:val="both"/>
        <w:rPr>
          <w:rFonts w:ascii="Times New Roman" w:hAnsi="Times New Roman"/>
          <w:color w:val="000000" w:themeColor="text1"/>
          <w:sz w:val="18"/>
          <w:szCs w:val="22"/>
        </w:rPr>
      </w:pPr>
      <w:r>
        <w:rPr>
          <w:rStyle w:val="FootnoteReference"/>
        </w:rPr>
        <w:footnoteRef/>
      </w:r>
      <w:r>
        <w:t xml:space="preserve"> </w:t>
      </w:r>
      <w:r w:rsidRPr="004E2CC4">
        <w:rPr>
          <w:rFonts w:ascii="Times New Roman" w:hAnsi="Times New Roman"/>
          <w:color w:val="000000" w:themeColor="text1"/>
          <w:sz w:val="18"/>
          <w:szCs w:val="22"/>
        </w:rPr>
        <w:t xml:space="preserve">IRS apimtyje </w:t>
      </w:r>
      <w:r>
        <w:rPr>
          <w:rFonts w:ascii="Times New Roman" w:hAnsi="Times New Roman"/>
          <w:color w:val="000000" w:themeColor="text1"/>
          <w:sz w:val="18"/>
          <w:szCs w:val="22"/>
        </w:rPr>
        <w:t>vertinama</w:t>
      </w:r>
      <w:r w:rsidRPr="004E2CC4">
        <w:rPr>
          <w:rFonts w:ascii="Times New Roman" w:hAnsi="Times New Roman"/>
          <w:color w:val="000000" w:themeColor="text1"/>
          <w:sz w:val="18"/>
          <w:szCs w:val="22"/>
        </w:rPr>
        <w:t xml:space="preserve">, kad </w:t>
      </w:r>
      <w:r>
        <w:rPr>
          <w:rFonts w:ascii="Times New Roman" w:hAnsi="Times New Roman"/>
          <w:color w:val="000000" w:themeColor="text1"/>
          <w:sz w:val="18"/>
          <w:szCs w:val="22"/>
        </w:rPr>
        <w:t>elektros ir CŠT</w:t>
      </w:r>
      <w:r w:rsidRPr="004E2CC4">
        <w:rPr>
          <w:rFonts w:ascii="Times New Roman" w:hAnsi="Times New Roman"/>
          <w:color w:val="000000" w:themeColor="text1"/>
          <w:sz w:val="18"/>
          <w:szCs w:val="22"/>
        </w:rPr>
        <w:t xml:space="preserve"> sektoriai vystysis iškastinio kuro atsisa</w:t>
      </w:r>
      <w:r>
        <w:rPr>
          <w:rFonts w:ascii="Times New Roman" w:hAnsi="Times New Roman"/>
          <w:color w:val="000000" w:themeColor="text1"/>
          <w:sz w:val="18"/>
          <w:szCs w:val="22"/>
        </w:rPr>
        <w:t>kymo kryptimi (remiantis NENS)</w:t>
      </w:r>
    </w:p>
    <w:p w14:paraId="3E7F91A4" w14:textId="7B838902" w:rsidR="005E392B" w:rsidRDefault="005E392B">
      <w:pPr>
        <w:pStyle w:val="FootnoteText"/>
      </w:pPr>
    </w:p>
  </w:footnote>
  <w:footnote w:id="62">
    <w:p w14:paraId="76E393EC" w14:textId="77777777" w:rsidR="005E392B" w:rsidRPr="000C0E81" w:rsidRDefault="005E392B" w:rsidP="000B7529">
      <w:pPr>
        <w:pStyle w:val="FootnoteText"/>
        <w:rPr>
          <w:rFonts w:ascii="Times New Roman" w:hAnsi="Times New Roman" w:cs="Times New Roman"/>
          <w:sz w:val="18"/>
          <w:szCs w:val="18"/>
        </w:rPr>
      </w:pPr>
      <w:r w:rsidRPr="000C0E81">
        <w:rPr>
          <w:rStyle w:val="FootnoteReference"/>
          <w:rFonts w:ascii="Times New Roman" w:hAnsi="Times New Roman" w:cs="Times New Roman"/>
          <w:sz w:val="18"/>
          <w:szCs w:val="18"/>
        </w:rPr>
        <w:footnoteRef/>
      </w:r>
      <w:r w:rsidRPr="000C0E81">
        <w:rPr>
          <w:rFonts w:ascii="Times New Roman" w:hAnsi="Times New Roman" w:cs="Times New Roman"/>
          <w:sz w:val="18"/>
          <w:szCs w:val="18"/>
        </w:rPr>
        <w:t xml:space="preserve"> Iki NECP 2040 parengimo ir IRS atnaujinimo (žr. 14 etapą)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DC6900" w:themeColor="text2"/>
        <w:left w:val="single" w:sz="6" w:space="0" w:color="DC690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9298"/>
    </w:tblGrid>
    <w:tr w:rsidR="005E392B" w14:paraId="5D4A3D69" w14:textId="77777777">
      <w:trPr>
        <w:trHeight w:hRule="exact" w:val="227"/>
      </w:trPr>
      <w:tc>
        <w:tcPr>
          <w:tcW w:w="5000" w:type="pct"/>
        </w:tcPr>
        <w:p w14:paraId="4273532A" w14:textId="77777777" w:rsidR="005E392B" w:rsidRDefault="005E392B">
          <w:pPr>
            <w:rPr>
              <w:sz w:val="14"/>
              <w:szCs w:val="14"/>
            </w:rPr>
          </w:pPr>
        </w:p>
      </w:tc>
    </w:tr>
  </w:tbl>
  <w:p w14:paraId="0422C61B" w14:textId="77777777" w:rsidR="005E392B" w:rsidRDefault="005E392B">
    <w:pPr>
      <w:pStyle w:val="Header"/>
    </w:pPr>
    <w:r>
      <w:t>Header goes here</w:t>
    </w:r>
    <w:r>
      <w:ptab w:relativeTo="margin" w:alignment="center" w:leader="none"/>
    </w:r>
    <w:r>
      <w:ptab w:relativeTo="margin" w:alignment="right" w:leader="none"/>
    </w:r>
    <w:r>
      <w:t>Draft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2B35A" w14:textId="6B9956D7" w:rsidR="005E392B" w:rsidRDefault="005E392B" w:rsidP="009E357F">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41"/>
      <w:gridCol w:w="4942"/>
    </w:tblGrid>
    <w:tr w:rsidR="005E392B" w14:paraId="74E7A159" w14:textId="77777777" w:rsidTr="00B12BA5">
      <w:tc>
        <w:tcPr>
          <w:tcW w:w="4941" w:type="dxa"/>
        </w:tcPr>
        <w:p w14:paraId="255746FC" w14:textId="1F388493" w:rsidR="005E392B" w:rsidRDefault="005E392B" w:rsidP="009E357F">
          <w:pPr>
            <w:tabs>
              <w:tab w:val="right" w:pos="4725"/>
            </w:tabs>
          </w:pPr>
          <w:r>
            <w:tab/>
          </w:r>
        </w:p>
      </w:tc>
      <w:tc>
        <w:tcPr>
          <w:tcW w:w="4942" w:type="dxa"/>
          <w:vAlign w:val="center"/>
        </w:tcPr>
        <w:p w14:paraId="204AE95F" w14:textId="3CDD97DD" w:rsidR="005E392B" w:rsidRDefault="005E392B" w:rsidP="009E357F"/>
      </w:tc>
    </w:tr>
  </w:tbl>
  <w:p w14:paraId="7525CA3E" w14:textId="77777777" w:rsidR="005E392B" w:rsidRDefault="005E392B" w:rsidP="009E357F">
    <w:pPr>
      <w:spacing w:line="240" w:lineRule="auto"/>
    </w:pPr>
    <w:r>
      <w:rPr>
        <w:noProof/>
        <w:lang w:eastAsia="lt-LT"/>
      </w:rPr>
      <mc:AlternateContent>
        <mc:Choice Requires="wps">
          <w:drawing>
            <wp:anchor distT="0" distB="0" distL="114300" distR="114300" simplePos="0" relativeHeight="251683328" behindDoc="1" locked="0" layoutInCell="1" allowOverlap="1" wp14:anchorId="1B8B07C0" wp14:editId="3FB50F3E">
              <wp:simplePos x="0" y="0"/>
              <wp:positionH relativeFrom="column">
                <wp:posOffset>940</wp:posOffset>
              </wp:positionH>
              <wp:positionV relativeFrom="paragraph">
                <wp:posOffset>102337</wp:posOffset>
              </wp:positionV>
              <wp:extent cx="6488582" cy="0"/>
              <wp:effectExtent l="0" t="0" r="0" b="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582" cy="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5" o:spid="_x0000_s1026" type="#_x0000_t32" style="position:absolute;margin-left:.05pt;margin-top:8.05pt;width:510.9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KaUAIAAMIEAAAOAAAAZHJzL2Uyb0RvYy54bWysVMGO2yAQvVfqPyDuWdupk3qtOKuVnfSy&#10;bVfa7QcQwDEqBgQkTlT13zvgxO1uL6uqORAYZt7MPN54dXfqJTpy64RWFc5uUoy4opoJta/wt+ft&#10;rMDIeaIYkVrxCp+5w3fr9+9Wgyn5XHdaMm4RgChXDqbCnfemTBJHO94Td6MNV3DZatsTD0e7T5gl&#10;A6D3Mpmn6TIZtGXGasqdA2szXuJ1xG9bTv3XtnXcI1lhqM3H1cZ1F9ZkvSLl3hLTCXopg/xDFT0R&#10;CpJOUA3xBB2s+AuqF9Rqp1t/Q3Wf6LYVlMceoJssfdXNU0cMj70AOc5MNLn/B0u/HB8tEqzCxQIj&#10;RXp4oydvidh3Ht1bqwdUa6WAR20RuABfg3ElhNXq0YaO6Uk9mQdNvzukdN0Rteex7uezAawsRCQv&#10;QsLBGci6Gz5rBj7k4HUk79TaPkACLegU3+g8vRE/eUTBuMyLYlHMMaLXu4SU10Bjnf/EdY/CpsLu&#10;0sjUQRbTkOOD86EsUl4DQlalt0LKKAip0FDh28V8EQOcloKFy+AWpclradGRgKj8aQSVhx66GW2L&#10;FH6jtMAMAnxlhsQTSizjRQKrD4rFMjpO2EYx5COVCgYIh7p6zjCSHOYt7KKnJ0K+xRMySxW6ADqB&#10;hMtuVOqP2/R2U2yKfJbPl5tZnjbN7H5b57PlNvu4aD40dd1kPwMhWV52gjGuAifXqcnyt6nyMr+j&#10;3qe5mchPXqJHeqDY638sOuopSGgU406z86MNDxqkBYMSnS9DHSbxz3P0+v3pWf8CAAD//wMAUEsD&#10;BBQABgAIAAAAIQD+OlU51wAAAAcBAAAPAAAAZHJzL2Rvd25yZXYueG1sTI5BT8MwDIXvSPyHyEjc&#10;WLpJVFCaTjCJAzcYU89uY5qKxqmSdO3+Pak4wMXW87Pe+8r9YgdxJh96xwq2mwwEcet0z52C0+fr&#10;3QOIEJE1Do5JwYUC7KvrqxIL7Wb+oPMxdiKFcChQgYlxLKQMrSGLYeNG4uR9OW8xJuk7qT3OKdwO&#10;cpdlubTYc2owONLBUPt9nKyCQ09TuH9p2kv+Fk3d+Dq8z7VStzfL8xOISEv8e4YVP6FDlZgaN7EO&#10;Yli1iGnmaa9utts+gmh+L7Iq5X/+6gcAAP//AwBQSwECLQAUAAYACAAAACEAtoM4kv4AAADhAQAA&#10;EwAAAAAAAAAAAAAAAAAAAAAAW0NvbnRlbnRfVHlwZXNdLnhtbFBLAQItABQABgAIAAAAIQA4/SH/&#10;1gAAAJQBAAALAAAAAAAAAAAAAAAAAC8BAABfcmVscy8ucmVsc1BLAQItABQABgAIAAAAIQBjfPKa&#10;UAIAAMIEAAAOAAAAAAAAAAAAAAAAAC4CAABkcnMvZTJvRG9jLnhtbFBLAQItABQABgAIAAAAIQD+&#10;OlU51wAAAAcBAAAPAAAAAAAAAAAAAAAAAKoEAABkcnMvZG93bnJldi54bWxQSwUGAAAAAAQABADz&#10;AAAArgUAAAAA&#10;" strokecolor="gray [1629]"/>
          </w:pict>
        </mc:Fallback>
      </mc:AlternateContent>
    </w:r>
  </w:p>
  <w:p w14:paraId="0403D489" w14:textId="380F882A" w:rsidR="005E392B" w:rsidRPr="009E357F" w:rsidRDefault="005E392B" w:rsidP="009E35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1C99" w14:textId="77777777" w:rsidR="005E392B" w:rsidRDefault="005E392B" w:rsidP="00294B14">
    <w:pPr>
      <w:pStyle w:val="Header"/>
      <w:rPr>
        <w:rFonts w:ascii="Georgia" w:hAnsi="Georgia"/>
      </w:rPr>
    </w:pPr>
  </w:p>
  <w:p w14:paraId="13D7FCB7" w14:textId="77777777" w:rsidR="005E392B" w:rsidRDefault="005E392B" w:rsidP="00294B14">
    <w:pPr>
      <w:pStyle w:val="Header"/>
      <w:rPr>
        <w:rFonts w:ascii="Georgia" w:hAnsi="Georg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AA0BF" w14:textId="7DE98004" w:rsidR="005E392B" w:rsidRDefault="005E392B" w:rsidP="009D6E71">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41"/>
      <w:gridCol w:w="4942"/>
    </w:tblGrid>
    <w:tr w:rsidR="005E392B" w14:paraId="10B9E9F9" w14:textId="77777777" w:rsidTr="00B12BA5">
      <w:tc>
        <w:tcPr>
          <w:tcW w:w="4941" w:type="dxa"/>
        </w:tcPr>
        <w:p w14:paraId="65558B23" w14:textId="0FA30469" w:rsidR="005E392B" w:rsidRDefault="005E392B" w:rsidP="009E357F">
          <w:pPr>
            <w:tabs>
              <w:tab w:val="right" w:pos="4725"/>
            </w:tabs>
          </w:pPr>
          <w:r>
            <w:tab/>
          </w:r>
        </w:p>
      </w:tc>
      <w:tc>
        <w:tcPr>
          <w:tcW w:w="4942" w:type="dxa"/>
          <w:vAlign w:val="center"/>
        </w:tcPr>
        <w:p w14:paraId="1DC7B00F" w14:textId="5A613429" w:rsidR="005E392B" w:rsidRDefault="005E392B" w:rsidP="009D6E71"/>
      </w:tc>
    </w:tr>
  </w:tbl>
  <w:p w14:paraId="4751A39D" w14:textId="77777777" w:rsidR="005E392B" w:rsidRDefault="005E392B" w:rsidP="009D6E71">
    <w:pPr>
      <w:spacing w:line="240" w:lineRule="auto"/>
    </w:pPr>
    <w:r>
      <w:rPr>
        <w:noProof/>
        <w:lang w:eastAsia="lt-LT"/>
      </w:rPr>
      <mc:AlternateContent>
        <mc:Choice Requires="wps">
          <w:drawing>
            <wp:anchor distT="0" distB="0" distL="114300" distR="114300" simplePos="0" relativeHeight="251679232" behindDoc="1" locked="0" layoutInCell="1" allowOverlap="1" wp14:anchorId="11786C9F" wp14:editId="53EBD478">
              <wp:simplePos x="0" y="0"/>
              <wp:positionH relativeFrom="column">
                <wp:posOffset>940</wp:posOffset>
              </wp:positionH>
              <wp:positionV relativeFrom="paragraph">
                <wp:posOffset>102337</wp:posOffset>
              </wp:positionV>
              <wp:extent cx="6488582" cy="0"/>
              <wp:effectExtent l="0" t="0" r="0" b="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582" cy="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 o:spid="_x0000_s1026" type="#_x0000_t32" style="position:absolute;margin-left:.05pt;margin-top:8.05pt;width:510.9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36TwIAAMIEAAAOAAAAZHJzL2Uyb0RvYy54bWysVMGO2yAQvVfqPyDuWdupk3qtdVYrO+ll&#10;20bK9gNYwDEqBgQkTlT13zvgxO1uL6uqORAYZt7MPN747v7US3Tk1gmtKpzdpBhxRTUTal/hb0+b&#10;WYGR80QxIrXiFT5zh+9X79/dDabkc91pybhFAKJcOZgKd96bMkkc7XhP3I02XMFlq21PPBztPmGW&#10;DIDey2Sepstk0JYZqyl3DqzNeIlXEb9tOfVf29Zxj2SFoTYfVxvX57AmqztS7i0xnaCXMsg/VNET&#10;oSDpBNUQT9DBir+gekGtdrr1N1T3iW5bQXnsAbrJ0lfd7DpieOwFyHFmosn9P1j65bi1SLAKF3OM&#10;FOnhjXbeErHvPHqwVg+o1koBj9oicAG+BuNKCKvV1oaO6UntzKOm3x1Suu6I2vNY99PZAFYWIpIX&#10;IeHgDGR9Hj5rBj7k4HUk79TaPkACLegU3+g8vRE/eUTBuMyLYhFqpde7hJTXQGOd/8R1j8Kmwu7S&#10;yNRBFtOQ46PzoSxSXgNCVqU3QsooCKnQUOHbxXwRA5yWgoXL4BalyWtp0ZGAqPxpBJWHHroZbYsU&#10;fqO0wAwCfGWGxBNKLONFAqsPisUyOk7YWjHkI5UKBgiHunrOMJIc5i3soqcnQr7FEzJLFboAOoGE&#10;y25U6o/b9HZdrIt8ls+X61meNs3sYVPns+Um+7hoPjR13WQ/AyFZXnaCMa4CJ9epyfK3qfIyv6Pe&#10;p7mZyE9eokd6oNjrfyw66ilIaBTjs2bnrQ0PGqQFgxKdL0MdJvHPc/T6/elZ/QIAAP//AwBQSwME&#10;FAAGAAgAAAAhAP46VTnXAAAABwEAAA8AAABkcnMvZG93bnJldi54bWxMjkFPwzAMhe9I/IfISNxY&#10;uklUUJpOMIkDNxhTz25jmorGqZJ07f49qTjAxdbzs977yv1iB3EmH3rHCrabDARx63TPnYLT5+vd&#10;A4gQkTUOjknBhQLsq+urEgvtZv6g8zF2IoVwKFCBiXEspAytIYth40bi5H05bzEm6TupPc4p3A5y&#10;l2W5tNhzajA40sFQ+32crIJDT1O4f2naS/4WTd34OrzPtVK3N8vzE4hIS/x7hhU/oUOVmBo3sQ5i&#10;WLWIaeZpr2622z6CaH4vsirlf/7qBwAA//8DAFBLAQItABQABgAIAAAAIQC2gziS/gAAAOEBAAAT&#10;AAAAAAAAAAAAAAAAAAAAAABbQ29udGVudF9UeXBlc10ueG1sUEsBAi0AFAAGAAgAAAAhADj9If/W&#10;AAAAlAEAAAsAAAAAAAAAAAAAAAAALwEAAF9yZWxzLy5yZWxzUEsBAi0AFAAGAAgAAAAhAIox7fpP&#10;AgAAwgQAAA4AAAAAAAAAAAAAAAAALgIAAGRycy9lMm9Eb2MueG1sUEsBAi0AFAAGAAgAAAAhAP46&#10;VTnXAAAABwEAAA8AAAAAAAAAAAAAAAAAqQQAAGRycy9kb3ducmV2LnhtbFBLBQYAAAAABAAEAPMA&#10;AACtBQAAAAA=&#10;" strokecolor="gray [1629]"/>
          </w:pict>
        </mc:Fallback>
      </mc:AlternateContent>
    </w:r>
  </w:p>
  <w:p w14:paraId="21FE93AE" w14:textId="77777777" w:rsidR="005E392B" w:rsidRPr="00C57850" w:rsidRDefault="005E392B" w:rsidP="009D6E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CAF4" w14:textId="77777777" w:rsidR="005E392B" w:rsidRDefault="005E392B" w:rsidP="00DD69C9">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41"/>
      <w:gridCol w:w="4942"/>
    </w:tblGrid>
    <w:tr w:rsidR="005E392B" w14:paraId="402587F2" w14:textId="77777777" w:rsidTr="00E83496">
      <w:tc>
        <w:tcPr>
          <w:tcW w:w="4941" w:type="dxa"/>
        </w:tcPr>
        <w:p w14:paraId="6D48CB81" w14:textId="62577F10" w:rsidR="005E392B" w:rsidRDefault="005E392B" w:rsidP="00DD69C9">
          <w:pPr>
            <w:tabs>
              <w:tab w:val="right" w:pos="4725"/>
            </w:tabs>
          </w:pPr>
          <w:r>
            <w:tab/>
          </w:r>
        </w:p>
      </w:tc>
      <w:tc>
        <w:tcPr>
          <w:tcW w:w="4942" w:type="dxa"/>
          <w:vAlign w:val="center"/>
        </w:tcPr>
        <w:p w14:paraId="1CB3FE0A" w14:textId="1AE87183" w:rsidR="005E392B" w:rsidRDefault="005E392B" w:rsidP="00DD69C9"/>
      </w:tc>
    </w:tr>
  </w:tbl>
  <w:p w14:paraId="7ADD1F3C" w14:textId="77777777" w:rsidR="005E392B" w:rsidRDefault="005E392B" w:rsidP="00DD69C9">
    <w:pPr>
      <w:spacing w:line="240" w:lineRule="auto"/>
    </w:pPr>
    <w:r>
      <w:rPr>
        <w:noProof/>
        <w:lang w:eastAsia="lt-LT"/>
      </w:rPr>
      <mc:AlternateContent>
        <mc:Choice Requires="wps">
          <w:drawing>
            <wp:anchor distT="0" distB="0" distL="114300" distR="114300" simplePos="0" relativeHeight="251693568" behindDoc="1" locked="0" layoutInCell="1" allowOverlap="1" wp14:anchorId="4C2356D9" wp14:editId="02C78DEA">
              <wp:simplePos x="0" y="0"/>
              <wp:positionH relativeFrom="column">
                <wp:posOffset>940</wp:posOffset>
              </wp:positionH>
              <wp:positionV relativeFrom="paragraph">
                <wp:posOffset>102337</wp:posOffset>
              </wp:positionV>
              <wp:extent cx="6488582"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582" cy="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05pt;margin-top:8.05pt;width:510.9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zHUAIAAMIEAAAOAAAAZHJzL2Uyb0RvYy54bWysVMGO2yAQvVfqPyDuWdupk3qtdVYrO+ll&#10;20bK9gNYwDEqBgQkTlT13zvgxO1uL6uqORAYZt7MPN747v7US3Tk1gmtKpzdpBhxRTUTal/hb0+b&#10;WYGR80QxIrXiFT5zh+9X79/dDabkc91pybhFAKJcOZgKd96bMkkc7XhP3I02XMFlq21PPBztPmGW&#10;DIDey2Sepstk0JYZqyl3DqzNeIlXEb9tOfVf29Zxj2SFoTYfVxvX57AmqztS7i0xnaCXMsg/VNET&#10;oSDpBNUQT9DBir+gekGtdrr1N1T3iW5bQXnsAbrJ0lfd7DpieOwFyHFmosn9P1j65bi1SLAKL4Ae&#10;RXp4o523ROw7jx6s1QOqtVLAo7YIXICvwbgSwmq1taFjelI786jpd4eUrjui9jzW/XQ2gJWFiORF&#10;SDg4A1mfh8+agQ85eB3JO7W2D5BACzrFNzpPb8RPHlEwLvOiWBRzjOj1LiHlNdBY5z9x3aOwqbC7&#10;NDJ1kMU05PjofCiLlNeAkFXpjZAyCkIqNFT4djFfxACnpWDhMrhFafJaWnQkICp/GkHloYduRtsi&#10;hd8oLTCDAF+ZIfGEEst4kcDqg2KxjI4TtlYM+UilggHCoa6eM4wkh3kLu+jpiZBv8YTMUoUugE4g&#10;4bIblfrjNr1dF+sin+Xz5XqWp00ze9jU+Wy5yT4umg9NXTfZz0BIlpedYIyrwMl1arL8baq8zO+o&#10;92luJvKTl+iRHij2+h+LjnoKEhrF+KzZeWvDgwZpwaBE58tQh0n88xy9fn96Vr8AAAD//wMAUEsD&#10;BBQABgAIAAAAIQD+OlU51wAAAAcBAAAPAAAAZHJzL2Rvd25yZXYueG1sTI5BT8MwDIXvSPyHyEjc&#10;WLpJVFCaTjCJAzcYU89uY5qKxqmSdO3+Pak4wMXW87Pe+8r9YgdxJh96xwq2mwwEcet0z52C0+fr&#10;3QOIEJE1Do5JwYUC7KvrqxIL7Wb+oPMxdiKFcChQgYlxLKQMrSGLYeNG4uR9OW8xJuk7qT3OKdwO&#10;cpdlubTYc2owONLBUPt9nKyCQ09TuH9p2kv+Fk3d+Dq8z7VStzfL8xOISEv8e4YVP6FDlZgaN7EO&#10;Yli1iGnmaa9utts+gmh+L7Iq5X/+6gcAAP//AwBQSwECLQAUAAYACAAAACEAtoM4kv4AAADhAQAA&#10;EwAAAAAAAAAAAAAAAAAAAAAAW0NvbnRlbnRfVHlwZXNdLnhtbFBLAQItABQABgAIAAAAIQA4/SH/&#10;1gAAAJQBAAALAAAAAAAAAAAAAAAAAC8BAABfcmVscy8ucmVsc1BLAQItABQABgAIAAAAIQCSoLzH&#10;UAIAAMIEAAAOAAAAAAAAAAAAAAAAAC4CAABkcnMvZTJvRG9jLnhtbFBLAQItABQABgAIAAAAIQD+&#10;OlU51wAAAAcBAAAPAAAAAAAAAAAAAAAAAKoEAABkcnMvZG93bnJldi54bWxQSwUGAAAAAAQABADz&#10;AAAArgUAAAAA&#10;" strokecolor="gray [1629]"/>
          </w:pict>
        </mc:Fallback>
      </mc:AlternateContent>
    </w:r>
  </w:p>
  <w:p w14:paraId="43FC0863" w14:textId="4C15235F" w:rsidR="005E392B" w:rsidRPr="00DD69C9" w:rsidRDefault="005E392B" w:rsidP="00DD69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43C8" w14:textId="2A6D442F" w:rsidR="005E392B" w:rsidRDefault="005E392B" w:rsidP="00C57850">
    <w:pPr>
      <w:spacing w:line="240" w:lineRule="auto"/>
    </w:pPr>
    <w:bookmarkStart w:id="223" w:name="_Hlk51919088"/>
    <w:bookmarkStart w:id="224" w:name="_Hlk51919089"/>
  </w:p>
  <w:bookmarkEnd w:id="223"/>
  <w:bookmarkEnd w:id="224"/>
  <w:p w14:paraId="7478F2F3" w14:textId="27F27AD4" w:rsidR="005E392B" w:rsidRDefault="005E392B" w:rsidP="00FE28A3">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894"/>
    <w:multiLevelType w:val="multilevel"/>
    <w:tmpl w:val="3A82E796"/>
    <w:styleLink w:val="Style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D12C22"/>
    <w:multiLevelType w:val="hybridMultilevel"/>
    <w:tmpl w:val="CD2CC4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4125B66"/>
    <w:multiLevelType w:val="hybridMultilevel"/>
    <w:tmpl w:val="21F882FA"/>
    <w:lvl w:ilvl="0" w:tplc="04270001">
      <w:start w:val="1"/>
      <w:numFmt w:val="bullet"/>
      <w:lvlText w:val=""/>
      <w:lvlJc w:val="left"/>
      <w:pPr>
        <w:ind w:left="771" w:hanging="360"/>
      </w:pPr>
      <w:rPr>
        <w:rFonts w:ascii="Symbol" w:hAnsi="Symbol" w:hint="default"/>
      </w:rPr>
    </w:lvl>
    <w:lvl w:ilvl="1" w:tplc="04270003" w:tentative="1">
      <w:start w:val="1"/>
      <w:numFmt w:val="bullet"/>
      <w:lvlText w:val="o"/>
      <w:lvlJc w:val="left"/>
      <w:pPr>
        <w:ind w:left="1491" w:hanging="360"/>
      </w:pPr>
      <w:rPr>
        <w:rFonts w:ascii="Courier New" w:hAnsi="Courier New" w:cs="Courier New" w:hint="default"/>
      </w:rPr>
    </w:lvl>
    <w:lvl w:ilvl="2" w:tplc="04270005" w:tentative="1">
      <w:start w:val="1"/>
      <w:numFmt w:val="bullet"/>
      <w:lvlText w:val=""/>
      <w:lvlJc w:val="left"/>
      <w:pPr>
        <w:ind w:left="2211" w:hanging="360"/>
      </w:pPr>
      <w:rPr>
        <w:rFonts w:ascii="Wingdings" w:hAnsi="Wingdings" w:hint="default"/>
      </w:rPr>
    </w:lvl>
    <w:lvl w:ilvl="3" w:tplc="04270001" w:tentative="1">
      <w:start w:val="1"/>
      <w:numFmt w:val="bullet"/>
      <w:lvlText w:val=""/>
      <w:lvlJc w:val="left"/>
      <w:pPr>
        <w:ind w:left="2931" w:hanging="360"/>
      </w:pPr>
      <w:rPr>
        <w:rFonts w:ascii="Symbol" w:hAnsi="Symbol" w:hint="default"/>
      </w:rPr>
    </w:lvl>
    <w:lvl w:ilvl="4" w:tplc="04270003" w:tentative="1">
      <w:start w:val="1"/>
      <w:numFmt w:val="bullet"/>
      <w:lvlText w:val="o"/>
      <w:lvlJc w:val="left"/>
      <w:pPr>
        <w:ind w:left="3651" w:hanging="360"/>
      </w:pPr>
      <w:rPr>
        <w:rFonts w:ascii="Courier New" w:hAnsi="Courier New" w:cs="Courier New" w:hint="default"/>
      </w:rPr>
    </w:lvl>
    <w:lvl w:ilvl="5" w:tplc="04270005" w:tentative="1">
      <w:start w:val="1"/>
      <w:numFmt w:val="bullet"/>
      <w:lvlText w:val=""/>
      <w:lvlJc w:val="left"/>
      <w:pPr>
        <w:ind w:left="4371" w:hanging="360"/>
      </w:pPr>
      <w:rPr>
        <w:rFonts w:ascii="Wingdings" w:hAnsi="Wingdings" w:hint="default"/>
      </w:rPr>
    </w:lvl>
    <w:lvl w:ilvl="6" w:tplc="04270001" w:tentative="1">
      <w:start w:val="1"/>
      <w:numFmt w:val="bullet"/>
      <w:lvlText w:val=""/>
      <w:lvlJc w:val="left"/>
      <w:pPr>
        <w:ind w:left="5091" w:hanging="360"/>
      </w:pPr>
      <w:rPr>
        <w:rFonts w:ascii="Symbol" w:hAnsi="Symbol" w:hint="default"/>
      </w:rPr>
    </w:lvl>
    <w:lvl w:ilvl="7" w:tplc="04270003" w:tentative="1">
      <w:start w:val="1"/>
      <w:numFmt w:val="bullet"/>
      <w:lvlText w:val="o"/>
      <w:lvlJc w:val="left"/>
      <w:pPr>
        <w:ind w:left="5811" w:hanging="360"/>
      </w:pPr>
      <w:rPr>
        <w:rFonts w:ascii="Courier New" w:hAnsi="Courier New" w:cs="Courier New" w:hint="default"/>
      </w:rPr>
    </w:lvl>
    <w:lvl w:ilvl="8" w:tplc="04270005" w:tentative="1">
      <w:start w:val="1"/>
      <w:numFmt w:val="bullet"/>
      <w:lvlText w:val=""/>
      <w:lvlJc w:val="left"/>
      <w:pPr>
        <w:ind w:left="6531" w:hanging="360"/>
      </w:pPr>
      <w:rPr>
        <w:rFonts w:ascii="Wingdings" w:hAnsi="Wingdings" w:hint="default"/>
      </w:rPr>
    </w:lvl>
  </w:abstractNum>
  <w:abstractNum w:abstractNumId="3">
    <w:nsid w:val="0546097D"/>
    <w:multiLevelType w:val="hybridMultilevel"/>
    <w:tmpl w:val="5B70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467E7"/>
    <w:multiLevelType w:val="multilevel"/>
    <w:tmpl w:val="E104EA0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930" w:hanging="504"/>
      </w:pPr>
      <w:rPr>
        <w:sz w:val="24"/>
        <w:szCs w:val="24"/>
      </w:r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07442E"/>
    <w:multiLevelType w:val="hybridMultilevel"/>
    <w:tmpl w:val="A79A6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7D530AE"/>
    <w:multiLevelType w:val="hybridMultilevel"/>
    <w:tmpl w:val="93BC24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7E51A22"/>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nsid w:val="0BFB406B"/>
    <w:multiLevelType w:val="hybridMultilevel"/>
    <w:tmpl w:val="0AAEF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0E2B2BAD"/>
    <w:multiLevelType w:val="hybridMultilevel"/>
    <w:tmpl w:val="A84A910C"/>
    <w:lvl w:ilvl="0" w:tplc="08090001">
      <w:start w:val="1"/>
      <w:numFmt w:val="bullet"/>
      <w:lvlText w:val=""/>
      <w:lvlJc w:val="left"/>
      <w:pPr>
        <w:ind w:left="720" w:hanging="360"/>
      </w:pPr>
      <w:rPr>
        <w:rFonts w:ascii="Symbol" w:hAnsi="Symbol" w:hint="default"/>
      </w:rPr>
    </w:lvl>
    <w:lvl w:ilvl="1" w:tplc="80CA5FB0">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664857"/>
    <w:multiLevelType w:val="hybridMultilevel"/>
    <w:tmpl w:val="A91405F4"/>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start w:val="1"/>
      <w:numFmt w:val="lowerRoman"/>
      <w:lvlText w:val="%3."/>
      <w:lvlJc w:val="right"/>
      <w:pPr>
        <w:ind w:left="2160" w:hanging="180"/>
      </w:pPr>
    </w:lvl>
    <w:lvl w:ilvl="3" w:tplc="ABA69246">
      <w:start w:val="1"/>
      <w:numFmt w:val="lowerLetter"/>
      <w:lvlText w:val="%4)"/>
      <w:lvlJc w:val="left"/>
      <w:pPr>
        <w:ind w:left="2880" w:hanging="360"/>
      </w:pPr>
      <w:rPr>
        <w:rFonts w:hint="default"/>
      </w:rPr>
    </w:lvl>
    <w:lvl w:ilvl="4" w:tplc="DB84DC32">
      <w:start w:val="1"/>
      <w:numFmt w:val="upperLetter"/>
      <w:lvlText w:val="%5."/>
      <w:lvlJc w:val="left"/>
      <w:pPr>
        <w:ind w:left="3600" w:hanging="360"/>
      </w:pPr>
      <w:rPr>
        <w:rFonts w:hint="default"/>
        <w:color w:val="000000" w:themeColor="text1"/>
        <w:sz w:val="22"/>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19C48A0"/>
    <w:multiLevelType w:val="hybridMultilevel"/>
    <w:tmpl w:val="F2CC3258"/>
    <w:lvl w:ilvl="0" w:tplc="2DA8D286">
      <w:start w:val="1"/>
      <w:numFmt w:val="lowerLetter"/>
      <w:lvlText w:val="%1)"/>
      <w:lvlJc w:val="left"/>
      <w:pPr>
        <w:ind w:left="411" w:hanging="360"/>
      </w:pPr>
      <w:rPr>
        <w:rFonts w:hint="default"/>
      </w:rPr>
    </w:lvl>
    <w:lvl w:ilvl="1" w:tplc="04270019" w:tentative="1">
      <w:start w:val="1"/>
      <w:numFmt w:val="lowerLetter"/>
      <w:lvlText w:val="%2."/>
      <w:lvlJc w:val="left"/>
      <w:pPr>
        <w:ind w:left="1131" w:hanging="360"/>
      </w:pPr>
    </w:lvl>
    <w:lvl w:ilvl="2" w:tplc="0427001B" w:tentative="1">
      <w:start w:val="1"/>
      <w:numFmt w:val="lowerRoman"/>
      <w:lvlText w:val="%3."/>
      <w:lvlJc w:val="right"/>
      <w:pPr>
        <w:ind w:left="1851" w:hanging="180"/>
      </w:pPr>
    </w:lvl>
    <w:lvl w:ilvl="3" w:tplc="0427000F" w:tentative="1">
      <w:start w:val="1"/>
      <w:numFmt w:val="decimal"/>
      <w:lvlText w:val="%4."/>
      <w:lvlJc w:val="left"/>
      <w:pPr>
        <w:ind w:left="2571" w:hanging="360"/>
      </w:pPr>
    </w:lvl>
    <w:lvl w:ilvl="4" w:tplc="04270019" w:tentative="1">
      <w:start w:val="1"/>
      <w:numFmt w:val="lowerLetter"/>
      <w:lvlText w:val="%5."/>
      <w:lvlJc w:val="left"/>
      <w:pPr>
        <w:ind w:left="3291" w:hanging="360"/>
      </w:pPr>
    </w:lvl>
    <w:lvl w:ilvl="5" w:tplc="0427001B" w:tentative="1">
      <w:start w:val="1"/>
      <w:numFmt w:val="lowerRoman"/>
      <w:lvlText w:val="%6."/>
      <w:lvlJc w:val="right"/>
      <w:pPr>
        <w:ind w:left="4011" w:hanging="180"/>
      </w:pPr>
    </w:lvl>
    <w:lvl w:ilvl="6" w:tplc="0427000F" w:tentative="1">
      <w:start w:val="1"/>
      <w:numFmt w:val="decimal"/>
      <w:lvlText w:val="%7."/>
      <w:lvlJc w:val="left"/>
      <w:pPr>
        <w:ind w:left="4731" w:hanging="360"/>
      </w:pPr>
    </w:lvl>
    <w:lvl w:ilvl="7" w:tplc="04270019" w:tentative="1">
      <w:start w:val="1"/>
      <w:numFmt w:val="lowerLetter"/>
      <w:lvlText w:val="%8."/>
      <w:lvlJc w:val="left"/>
      <w:pPr>
        <w:ind w:left="5451" w:hanging="360"/>
      </w:pPr>
    </w:lvl>
    <w:lvl w:ilvl="8" w:tplc="0427001B" w:tentative="1">
      <w:start w:val="1"/>
      <w:numFmt w:val="lowerRoman"/>
      <w:lvlText w:val="%9."/>
      <w:lvlJc w:val="right"/>
      <w:pPr>
        <w:ind w:left="6171" w:hanging="180"/>
      </w:pPr>
    </w:lvl>
  </w:abstractNum>
  <w:abstractNum w:abstractNumId="13">
    <w:nsid w:val="1394477F"/>
    <w:multiLevelType w:val="hybridMultilevel"/>
    <w:tmpl w:val="11043B76"/>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66849C4"/>
    <w:multiLevelType w:val="multilevel"/>
    <w:tmpl w:val="CD4C98AE"/>
    <w:name w:val="PwCListBullets12"/>
    <w:numStyleLink w:val="PwCListBullets1"/>
  </w:abstractNum>
  <w:abstractNum w:abstractNumId="15">
    <w:nsid w:val="16DB162E"/>
    <w:multiLevelType w:val="hybridMultilevel"/>
    <w:tmpl w:val="1160DDDA"/>
    <w:lvl w:ilvl="0" w:tplc="93AEE260">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83C7397"/>
    <w:multiLevelType w:val="hybridMultilevel"/>
    <w:tmpl w:val="6F1C075C"/>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17">
    <w:nsid w:val="19022160"/>
    <w:multiLevelType w:val="hybridMultilevel"/>
    <w:tmpl w:val="2586E7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1A695BCF"/>
    <w:multiLevelType w:val="hybridMultilevel"/>
    <w:tmpl w:val="C2FA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1C29D9"/>
    <w:multiLevelType w:val="hybridMultilevel"/>
    <w:tmpl w:val="440255F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1E0849F5"/>
    <w:multiLevelType w:val="multilevel"/>
    <w:tmpl w:val="EE3860A0"/>
    <w:name w:val="PwCListNumbers12"/>
    <w:numStyleLink w:val="PwCListNumbers1"/>
  </w:abstractNum>
  <w:abstractNum w:abstractNumId="21">
    <w:nsid w:val="1E637605"/>
    <w:multiLevelType w:val="hybridMultilevel"/>
    <w:tmpl w:val="CBDC5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BD6E38"/>
    <w:multiLevelType w:val="hybridMultilevel"/>
    <w:tmpl w:val="6F6287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F4562F2"/>
    <w:multiLevelType w:val="hybridMultilevel"/>
    <w:tmpl w:val="30908D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239D7C86"/>
    <w:multiLevelType w:val="hybridMultilevel"/>
    <w:tmpl w:val="D4F8C65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8442F5"/>
    <w:multiLevelType w:val="hybridMultilevel"/>
    <w:tmpl w:val="4176E0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8FD271E"/>
    <w:multiLevelType w:val="hybridMultilevel"/>
    <w:tmpl w:val="AC9A21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2BAD542B"/>
    <w:multiLevelType w:val="hybridMultilevel"/>
    <w:tmpl w:val="9BEAC992"/>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28">
    <w:nsid w:val="2C0F644F"/>
    <w:multiLevelType w:val="hybridMultilevel"/>
    <w:tmpl w:val="DA86F4F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CB004C1"/>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34AD15BF"/>
    <w:multiLevelType w:val="hybridMultilevel"/>
    <w:tmpl w:val="C6CAE7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352E56BF"/>
    <w:multiLevelType w:val="hybridMultilevel"/>
    <w:tmpl w:val="2F8C64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35B17E77"/>
    <w:multiLevelType w:val="hybridMultilevel"/>
    <w:tmpl w:val="E4726A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37E46CF1"/>
    <w:multiLevelType w:val="hybridMultilevel"/>
    <w:tmpl w:val="3CC2283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8CE70EE"/>
    <w:multiLevelType w:val="hybridMultilevel"/>
    <w:tmpl w:val="61C8D1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3A0504E6"/>
    <w:multiLevelType w:val="hybridMultilevel"/>
    <w:tmpl w:val="2C22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4D572D"/>
    <w:multiLevelType w:val="hybridMultilevel"/>
    <w:tmpl w:val="48DE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A57486E"/>
    <w:multiLevelType w:val="multilevel"/>
    <w:tmpl w:val="EE3860A0"/>
    <w:name w:val="PwCListNumbers13"/>
    <w:numStyleLink w:val="PwCListNumbers1"/>
  </w:abstractNum>
  <w:abstractNum w:abstractNumId="38">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3C3E5E6A"/>
    <w:multiLevelType w:val="hybridMultilevel"/>
    <w:tmpl w:val="B5A6280C"/>
    <w:lvl w:ilvl="0" w:tplc="467EE538">
      <w:start w:val="1"/>
      <w:numFmt w:val="bullet"/>
      <w:pStyle w:val="bullettrumpi"/>
      <w:lvlText w:val=""/>
      <w:lvlJc w:val="left"/>
      <w:pPr>
        <w:tabs>
          <w:tab w:val="num" w:pos="1003"/>
        </w:tabs>
        <w:ind w:left="1003" w:hanging="283"/>
      </w:pPr>
      <w:rPr>
        <w:rFonts w:ascii="Symbol" w:hAnsi="Symbol" w:hint="default"/>
        <w:color w:val="auto"/>
      </w:rPr>
    </w:lvl>
    <w:lvl w:ilvl="1" w:tplc="4A308060">
      <w:start w:val="1"/>
      <w:numFmt w:val="bullet"/>
      <w:lvlText w:val=""/>
      <w:lvlJc w:val="left"/>
      <w:pPr>
        <w:tabs>
          <w:tab w:val="num" w:pos="-77"/>
        </w:tabs>
        <w:ind w:left="-77" w:hanging="283"/>
      </w:pPr>
      <w:rPr>
        <w:rFonts w:ascii="Symbol" w:hAnsi="Symbol" w:hint="default"/>
        <w:color w:val="auto"/>
      </w:rPr>
    </w:lvl>
    <w:lvl w:ilvl="2" w:tplc="73B6A7C2">
      <w:start w:val="1"/>
      <w:numFmt w:val="lowerRoman"/>
      <w:pStyle w:val="Antrastes31"/>
      <w:lvlText w:val="%3."/>
      <w:lvlJc w:val="right"/>
      <w:pPr>
        <w:tabs>
          <w:tab w:val="num" w:pos="720"/>
        </w:tabs>
        <w:ind w:left="720" w:hanging="180"/>
      </w:pPr>
    </w:lvl>
    <w:lvl w:ilvl="3" w:tplc="2E62D1E0">
      <w:start w:val="1"/>
      <w:numFmt w:val="decimal"/>
      <w:lvlText w:val="%4."/>
      <w:lvlJc w:val="left"/>
      <w:pPr>
        <w:tabs>
          <w:tab w:val="num" w:pos="1440"/>
        </w:tabs>
        <w:ind w:left="1440" w:hanging="360"/>
      </w:pPr>
    </w:lvl>
    <w:lvl w:ilvl="4" w:tplc="37146030" w:tentative="1">
      <w:start w:val="1"/>
      <w:numFmt w:val="lowerLetter"/>
      <w:lvlText w:val="%5."/>
      <w:lvlJc w:val="left"/>
      <w:pPr>
        <w:tabs>
          <w:tab w:val="num" w:pos="2160"/>
        </w:tabs>
        <w:ind w:left="2160" w:hanging="360"/>
      </w:pPr>
    </w:lvl>
    <w:lvl w:ilvl="5" w:tplc="7D1C381A" w:tentative="1">
      <w:start w:val="1"/>
      <w:numFmt w:val="lowerRoman"/>
      <w:lvlText w:val="%6."/>
      <w:lvlJc w:val="right"/>
      <w:pPr>
        <w:tabs>
          <w:tab w:val="num" w:pos="2880"/>
        </w:tabs>
        <w:ind w:left="2880" w:hanging="180"/>
      </w:pPr>
    </w:lvl>
    <w:lvl w:ilvl="6" w:tplc="9BCE9652" w:tentative="1">
      <w:start w:val="1"/>
      <w:numFmt w:val="decimal"/>
      <w:lvlText w:val="%7."/>
      <w:lvlJc w:val="left"/>
      <w:pPr>
        <w:tabs>
          <w:tab w:val="num" w:pos="3600"/>
        </w:tabs>
        <w:ind w:left="3600" w:hanging="360"/>
      </w:pPr>
    </w:lvl>
    <w:lvl w:ilvl="7" w:tplc="74D6CB38" w:tentative="1">
      <w:start w:val="1"/>
      <w:numFmt w:val="lowerLetter"/>
      <w:lvlText w:val="%8."/>
      <w:lvlJc w:val="left"/>
      <w:pPr>
        <w:tabs>
          <w:tab w:val="num" w:pos="4320"/>
        </w:tabs>
        <w:ind w:left="4320" w:hanging="360"/>
      </w:pPr>
    </w:lvl>
    <w:lvl w:ilvl="8" w:tplc="AB0A1424" w:tentative="1">
      <w:start w:val="1"/>
      <w:numFmt w:val="lowerRoman"/>
      <w:lvlText w:val="%9."/>
      <w:lvlJc w:val="right"/>
      <w:pPr>
        <w:tabs>
          <w:tab w:val="num" w:pos="5040"/>
        </w:tabs>
        <w:ind w:left="5040" w:hanging="180"/>
      </w:pPr>
    </w:lvl>
  </w:abstractNum>
  <w:abstractNum w:abstractNumId="40">
    <w:nsid w:val="3D6F7DDE"/>
    <w:multiLevelType w:val="hybridMultilevel"/>
    <w:tmpl w:val="062C23DA"/>
    <w:lvl w:ilvl="0" w:tplc="3A8C66CC">
      <w:start w:val="1"/>
      <w:numFmt w:val="decimal"/>
      <w:lvlText w:val="%1."/>
      <w:lvlJc w:val="left"/>
      <w:pPr>
        <w:ind w:left="1431" w:hanging="360"/>
      </w:pPr>
      <w:rPr>
        <w:rFonts w:hint="default"/>
      </w:rPr>
    </w:lvl>
    <w:lvl w:ilvl="1" w:tplc="04270019" w:tentative="1">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41">
    <w:nsid w:val="3DDD1522"/>
    <w:multiLevelType w:val="hybridMultilevel"/>
    <w:tmpl w:val="B94640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3DE409FA"/>
    <w:multiLevelType w:val="hybridMultilevel"/>
    <w:tmpl w:val="C5B2D4C0"/>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43">
    <w:nsid w:val="3F4C0DFD"/>
    <w:multiLevelType w:val="hybridMultilevel"/>
    <w:tmpl w:val="C1B4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09436E2"/>
    <w:multiLevelType w:val="hybridMultilevel"/>
    <w:tmpl w:val="5BCADB2C"/>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40D160B4"/>
    <w:multiLevelType w:val="hybridMultilevel"/>
    <w:tmpl w:val="310E2E2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419700EA"/>
    <w:multiLevelType w:val="hybridMultilevel"/>
    <w:tmpl w:val="63ECC0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717B09"/>
    <w:multiLevelType w:val="hybridMultilevel"/>
    <w:tmpl w:val="935E0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44F35CF1"/>
    <w:multiLevelType w:val="hybridMultilevel"/>
    <w:tmpl w:val="B7AA9C4A"/>
    <w:lvl w:ilvl="0" w:tplc="0427000F">
      <w:start w:val="1"/>
      <w:numFmt w:val="decimal"/>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9">
    <w:nsid w:val="45074E1B"/>
    <w:multiLevelType w:val="hybridMultilevel"/>
    <w:tmpl w:val="E5F6C9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nsid w:val="45B20E47"/>
    <w:multiLevelType w:val="hybridMultilevel"/>
    <w:tmpl w:val="B31A901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463F34FC"/>
    <w:multiLevelType w:val="hybridMultilevel"/>
    <w:tmpl w:val="CD280B8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2">
    <w:nsid w:val="48162C87"/>
    <w:multiLevelType w:val="hybridMultilevel"/>
    <w:tmpl w:val="5CF80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48471322"/>
    <w:multiLevelType w:val="hybridMultilevel"/>
    <w:tmpl w:val="7124D2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nsid w:val="4F7758AA"/>
    <w:multiLevelType w:val="hybridMultilevel"/>
    <w:tmpl w:val="92C04DA6"/>
    <w:lvl w:ilvl="0" w:tplc="0427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5">
    <w:nsid w:val="4F7920F2"/>
    <w:multiLevelType w:val="hybridMultilevel"/>
    <w:tmpl w:val="3F88BD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504C37EF"/>
    <w:multiLevelType w:val="hybridMultilevel"/>
    <w:tmpl w:val="FA147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nsid w:val="50D5548A"/>
    <w:multiLevelType w:val="hybridMultilevel"/>
    <w:tmpl w:val="12F0E366"/>
    <w:lvl w:ilvl="0" w:tplc="04090001">
      <w:start w:val="1"/>
      <w:numFmt w:val="bullet"/>
      <w:lvlText w:val=""/>
      <w:lvlJc w:val="left"/>
      <w:pPr>
        <w:ind w:left="720" w:hanging="360"/>
      </w:pPr>
      <w:rPr>
        <w:rFonts w:ascii="Symbol" w:hAnsi="Symbol" w:hint="default"/>
      </w:rPr>
    </w:lvl>
    <w:lvl w:ilvl="1" w:tplc="80CA5FB0">
      <w:start w:val="1"/>
      <w:numFmt w:val="bullet"/>
      <w:lvlText w:val="-"/>
      <w:lvlJc w:val="left"/>
      <w:pPr>
        <w:ind w:left="1440" w:hanging="360"/>
      </w:pPr>
      <w:rPr>
        <w:rFonts w:ascii="Calibri" w:eastAsiaTheme="minorHAnsi" w:hAnsi="Calibri" w:cs="Calibri"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5145794B"/>
    <w:multiLevelType w:val="hybridMultilevel"/>
    <w:tmpl w:val="E64EC24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9">
    <w:nsid w:val="51601A9C"/>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51D10236"/>
    <w:multiLevelType w:val="hybridMultilevel"/>
    <w:tmpl w:val="1004CFF6"/>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61">
    <w:nsid w:val="5DB71292"/>
    <w:multiLevelType w:val="hybridMultilevel"/>
    <w:tmpl w:val="1A14EA5C"/>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62">
    <w:nsid w:val="5E9252AF"/>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0264DE1"/>
    <w:multiLevelType w:val="hybridMultilevel"/>
    <w:tmpl w:val="DCF8A1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A868C5"/>
    <w:multiLevelType w:val="multilevel"/>
    <w:tmpl w:val="49300BB8"/>
    <w:styleLink w:val="StyleBulleted7pt"/>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61D62A24"/>
    <w:multiLevelType w:val="hybridMultilevel"/>
    <w:tmpl w:val="B4BC35BE"/>
    <w:lvl w:ilvl="0" w:tplc="04270001">
      <w:start w:val="1"/>
      <w:numFmt w:val="bullet"/>
      <w:lvlText w:val=""/>
      <w:lvlJc w:val="left"/>
      <w:pPr>
        <w:ind w:left="771" w:hanging="360"/>
      </w:pPr>
      <w:rPr>
        <w:rFonts w:ascii="Symbol" w:hAnsi="Symbol" w:hint="default"/>
      </w:rPr>
    </w:lvl>
    <w:lvl w:ilvl="1" w:tplc="04270003" w:tentative="1">
      <w:start w:val="1"/>
      <w:numFmt w:val="bullet"/>
      <w:lvlText w:val="o"/>
      <w:lvlJc w:val="left"/>
      <w:pPr>
        <w:ind w:left="1491" w:hanging="360"/>
      </w:pPr>
      <w:rPr>
        <w:rFonts w:ascii="Courier New" w:hAnsi="Courier New" w:cs="Courier New" w:hint="default"/>
      </w:rPr>
    </w:lvl>
    <w:lvl w:ilvl="2" w:tplc="04270005" w:tentative="1">
      <w:start w:val="1"/>
      <w:numFmt w:val="bullet"/>
      <w:lvlText w:val=""/>
      <w:lvlJc w:val="left"/>
      <w:pPr>
        <w:ind w:left="2211" w:hanging="360"/>
      </w:pPr>
      <w:rPr>
        <w:rFonts w:ascii="Wingdings" w:hAnsi="Wingdings" w:hint="default"/>
      </w:rPr>
    </w:lvl>
    <w:lvl w:ilvl="3" w:tplc="04270001" w:tentative="1">
      <w:start w:val="1"/>
      <w:numFmt w:val="bullet"/>
      <w:lvlText w:val=""/>
      <w:lvlJc w:val="left"/>
      <w:pPr>
        <w:ind w:left="2931" w:hanging="360"/>
      </w:pPr>
      <w:rPr>
        <w:rFonts w:ascii="Symbol" w:hAnsi="Symbol" w:hint="default"/>
      </w:rPr>
    </w:lvl>
    <w:lvl w:ilvl="4" w:tplc="04270003" w:tentative="1">
      <w:start w:val="1"/>
      <w:numFmt w:val="bullet"/>
      <w:lvlText w:val="o"/>
      <w:lvlJc w:val="left"/>
      <w:pPr>
        <w:ind w:left="3651" w:hanging="360"/>
      </w:pPr>
      <w:rPr>
        <w:rFonts w:ascii="Courier New" w:hAnsi="Courier New" w:cs="Courier New" w:hint="default"/>
      </w:rPr>
    </w:lvl>
    <w:lvl w:ilvl="5" w:tplc="04270005" w:tentative="1">
      <w:start w:val="1"/>
      <w:numFmt w:val="bullet"/>
      <w:lvlText w:val=""/>
      <w:lvlJc w:val="left"/>
      <w:pPr>
        <w:ind w:left="4371" w:hanging="360"/>
      </w:pPr>
      <w:rPr>
        <w:rFonts w:ascii="Wingdings" w:hAnsi="Wingdings" w:hint="default"/>
      </w:rPr>
    </w:lvl>
    <w:lvl w:ilvl="6" w:tplc="04270001" w:tentative="1">
      <w:start w:val="1"/>
      <w:numFmt w:val="bullet"/>
      <w:lvlText w:val=""/>
      <w:lvlJc w:val="left"/>
      <w:pPr>
        <w:ind w:left="5091" w:hanging="360"/>
      </w:pPr>
      <w:rPr>
        <w:rFonts w:ascii="Symbol" w:hAnsi="Symbol" w:hint="default"/>
      </w:rPr>
    </w:lvl>
    <w:lvl w:ilvl="7" w:tplc="04270003" w:tentative="1">
      <w:start w:val="1"/>
      <w:numFmt w:val="bullet"/>
      <w:lvlText w:val="o"/>
      <w:lvlJc w:val="left"/>
      <w:pPr>
        <w:ind w:left="5811" w:hanging="360"/>
      </w:pPr>
      <w:rPr>
        <w:rFonts w:ascii="Courier New" w:hAnsi="Courier New" w:cs="Courier New" w:hint="default"/>
      </w:rPr>
    </w:lvl>
    <w:lvl w:ilvl="8" w:tplc="04270005" w:tentative="1">
      <w:start w:val="1"/>
      <w:numFmt w:val="bullet"/>
      <w:lvlText w:val=""/>
      <w:lvlJc w:val="left"/>
      <w:pPr>
        <w:ind w:left="6531" w:hanging="360"/>
      </w:pPr>
      <w:rPr>
        <w:rFonts w:ascii="Wingdings" w:hAnsi="Wingdings" w:hint="default"/>
      </w:rPr>
    </w:lvl>
  </w:abstractNum>
  <w:abstractNum w:abstractNumId="66">
    <w:nsid w:val="627B66B2"/>
    <w:multiLevelType w:val="hybridMultilevel"/>
    <w:tmpl w:val="18F00C9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63271D01"/>
    <w:multiLevelType w:val="hybridMultilevel"/>
    <w:tmpl w:val="DD8CD5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nsid w:val="644E514E"/>
    <w:multiLevelType w:val="hybridMultilevel"/>
    <w:tmpl w:val="A66A9964"/>
    <w:lvl w:ilvl="0" w:tplc="0427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65E6323"/>
    <w:multiLevelType w:val="hybridMultilevel"/>
    <w:tmpl w:val="FFCE27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6D1F07FB"/>
    <w:multiLevelType w:val="hybridMultilevel"/>
    <w:tmpl w:val="929280FE"/>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nsid w:val="6D9F47B6"/>
    <w:multiLevelType w:val="hybridMultilevel"/>
    <w:tmpl w:val="C750E0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718A1C7E"/>
    <w:multiLevelType w:val="hybridMultilevel"/>
    <w:tmpl w:val="6AE2E176"/>
    <w:lvl w:ilvl="0" w:tplc="0409000F">
      <w:start w:val="1"/>
      <w:numFmt w:val="decimal"/>
      <w:lvlText w:val="%1."/>
      <w:lvlJc w:val="left"/>
      <w:pPr>
        <w:ind w:left="720" w:hanging="360"/>
      </w:pPr>
      <w:rPr>
        <w:rFonts w:hint="default"/>
      </w:rPr>
    </w:lvl>
    <w:lvl w:ilvl="1" w:tplc="80CA5FB0">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591CA9"/>
    <w:multiLevelType w:val="multilevel"/>
    <w:tmpl w:val="CD4C98AE"/>
    <w:name w:val="PwCListBullets1"/>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74">
    <w:nsid w:val="74460280"/>
    <w:multiLevelType w:val="hybridMultilevel"/>
    <w:tmpl w:val="200276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7454184B"/>
    <w:multiLevelType w:val="hybridMultilevel"/>
    <w:tmpl w:val="43C438A6"/>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AB55C2"/>
    <w:multiLevelType w:val="hybridMultilevel"/>
    <w:tmpl w:val="7156622A"/>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nsid w:val="7EFF4EDA"/>
    <w:multiLevelType w:val="hybridMultilevel"/>
    <w:tmpl w:val="880A6F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3"/>
  </w:num>
  <w:num w:numId="2">
    <w:abstractNumId w:val="8"/>
  </w:num>
  <w:num w:numId="3">
    <w:abstractNumId w:val="37"/>
  </w:num>
  <w:num w:numId="4">
    <w:abstractNumId w:val="4"/>
  </w:num>
  <w:num w:numId="5">
    <w:abstractNumId w:val="39"/>
  </w:num>
  <w:num w:numId="6">
    <w:abstractNumId w:val="64"/>
  </w:num>
  <w:num w:numId="7">
    <w:abstractNumId w:val="38"/>
  </w:num>
  <w:num w:numId="8">
    <w:abstractNumId w:val="0"/>
  </w:num>
  <w:num w:numId="9">
    <w:abstractNumId w:val="3"/>
  </w:num>
  <w:num w:numId="10">
    <w:abstractNumId w:val="13"/>
  </w:num>
  <w:num w:numId="11">
    <w:abstractNumId w:val="63"/>
  </w:num>
  <w:num w:numId="12">
    <w:abstractNumId w:val="21"/>
  </w:num>
  <w:num w:numId="13">
    <w:abstractNumId w:val="36"/>
  </w:num>
  <w:num w:numId="14">
    <w:abstractNumId w:val="43"/>
  </w:num>
  <w:num w:numId="15">
    <w:abstractNumId w:val="7"/>
  </w:num>
  <w:num w:numId="16">
    <w:abstractNumId w:val="51"/>
  </w:num>
  <w:num w:numId="17">
    <w:abstractNumId w:val="35"/>
  </w:num>
  <w:num w:numId="18">
    <w:abstractNumId w:val="53"/>
  </w:num>
  <w:num w:numId="19">
    <w:abstractNumId w:val="48"/>
  </w:num>
  <w:num w:numId="20">
    <w:abstractNumId w:val="75"/>
  </w:num>
  <w:num w:numId="21">
    <w:abstractNumId w:val="76"/>
  </w:num>
  <w:num w:numId="22">
    <w:abstractNumId w:val="66"/>
  </w:num>
  <w:num w:numId="23">
    <w:abstractNumId w:val="15"/>
  </w:num>
  <w:num w:numId="24">
    <w:abstractNumId w:val="11"/>
  </w:num>
  <w:num w:numId="25">
    <w:abstractNumId w:val="33"/>
  </w:num>
  <w:num w:numId="26">
    <w:abstractNumId w:val="5"/>
  </w:num>
  <w:num w:numId="27">
    <w:abstractNumId w:val="45"/>
  </w:num>
  <w:num w:numId="28">
    <w:abstractNumId w:val="52"/>
  </w:num>
  <w:num w:numId="29">
    <w:abstractNumId w:val="19"/>
  </w:num>
  <w:num w:numId="30">
    <w:abstractNumId w:val="12"/>
  </w:num>
  <w:num w:numId="31">
    <w:abstractNumId w:val="24"/>
  </w:num>
  <w:num w:numId="32">
    <w:abstractNumId w:val="29"/>
  </w:num>
  <w:num w:numId="33">
    <w:abstractNumId w:val="34"/>
  </w:num>
  <w:num w:numId="34">
    <w:abstractNumId w:val="54"/>
  </w:num>
  <w:num w:numId="35">
    <w:abstractNumId w:val="2"/>
  </w:num>
  <w:num w:numId="36">
    <w:abstractNumId w:val="65"/>
  </w:num>
  <w:num w:numId="37">
    <w:abstractNumId w:val="27"/>
  </w:num>
  <w:num w:numId="38">
    <w:abstractNumId w:val="1"/>
  </w:num>
  <w:num w:numId="39">
    <w:abstractNumId w:val="22"/>
  </w:num>
  <w:num w:numId="40">
    <w:abstractNumId w:val="71"/>
  </w:num>
  <w:num w:numId="41">
    <w:abstractNumId w:val="62"/>
  </w:num>
  <w:num w:numId="42">
    <w:abstractNumId w:val="6"/>
  </w:num>
  <w:num w:numId="43">
    <w:abstractNumId w:val="50"/>
  </w:num>
  <w:num w:numId="44">
    <w:abstractNumId w:val="77"/>
  </w:num>
  <w:num w:numId="45">
    <w:abstractNumId w:val="69"/>
  </w:num>
  <w:num w:numId="46">
    <w:abstractNumId w:val="10"/>
  </w:num>
  <w:num w:numId="47">
    <w:abstractNumId w:val="41"/>
  </w:num>
  <w:num w:numId="48">
    <w:abstractNumId w:val="67"/>
  </w:num>
  <w:num w:numId="49">
    <w:abstractNumId w:val="68"/>
  </w:num>
  <w:num w:numId="50">
    <w:abstractNumId w:val="46"/>
  </w:num>
  <w:num w:numId="51">
    <w:abstractNumId w:val="56"/>
  </w:num>
  <w:num w:numId="52">
    <w:abstractNumId w:val="47"/>
  </w:num>
  <w:num w:numId="53">
    <w:abstractNumId w:val="72"/>
  </w:num>
  <w:num w:numId="54">
    <w:abstractNumId w:val="40"/>
  </w:num>
  <w:num w:numId="55">
    <w:abstractNumId w:val="49"/>
  </w:num>
  <w:num w:numId="56">
    <w:abstractNumId w:val="17"/>
  </w:num>
  <w:num w:numId="57">
    <w:abstractNumId w:val="74"/>
  </w:num>
  <w:num w:numId="58">
    <w:abstractNumId w:val="31"/>
  </w:num>
  <w:num w:numId="59">
    <w:abstractNumId w:val="9"/>
  </w:num>
  <w:num w:numId="60">
    <w:abstractNumId w:val="58"/>
  </w:num>
  <w:num w:numId="61">
    <w:abstractNumId w:val="57"/>
  </w:num>
  <w:num w:numId="62">
    <w:abstractNumId w:val="61"/>
  </w:num>
  <w:num w:numId="63">
    <w:abstractNumId w:val="42"/>
  </w:num>
  <w:num w:numId="64">
    <w:abstractNumId w:val="16"/>
  </w:num>
  <w:num w:numId="65">
    <w:abstractNumId w:val="60"/>
  </w:num>
  <w:num w:numId="66">
    <w:abstractNumId w:val="30"/>
  </w:num>
  <w:num w:numId="67">
    <w:abstractNumId w:val="59"/>
  </w:num>
  <w:num w:numId="68">
    <w:abstractNumId w:val="44"/>
  </w:num>
  <w:num w:numId="69">
    <w:abstractNumId w:val="18"/>
  </w:num>
  <w:num w:numId="70">
    <w:abstractNumId w:val="32"/>
  </w:num>
  <w:num w:numId="71">
    <w:abstractNumId w:val="28"/>
  </w:num>
  <w:num w:numId="72">
    <w:abstractNumId w:val="26"/>
  </w:num>
  <w:num w:numId="73">
    <w:abstractNumId w:val="55"/>
  </w:num>
  <w:num w:numId="74">
    <w:abstractNumId w:val="23"/>
  </w:num>
  <w:num w:numId="75">
    <w:abstractNumId w:val="70"/>
  </w:num>
  <w:num w:numId="76">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396"/>
  <w:drawingGridHorizontalSpacing w:val="10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202"/>
    <w:rsid w:val="00000817"/>
    <w:rsid w:val="00000F72"/>
    <w:rsid w:val="000011BC"/>
    <w:rsid w:val="000011E5"/>
    <w:rsid w:val="000015EC"/>
    <w:rsid w:val="000018BE"/>
    <w:rsid w:val="00001D19"/>
    <w:rsid w:val="00001D44"/>
    <w:rsid w:val="000026EE"/>
    <w:rsid w:val="00002865"/>
    <w:rsid w:val="00002C2C"/>
    <w:rsid w:val="000037C9"/>
    <w:rsid w:val="0000393E"/>
    <w:rsid w:val="0000395B"/>
    <w:rsid w:val="00003CFF"/>
    <w:rsid w:val="00004785"/>
    <w:rsid w:val="00004863"/>
    <w:rsid w:val="00004F84"/>
    <w:rsid w:val="00005489"/>
    <w:rsid w:val="00005D97"/>
    <w:rsid w:val="00005E86"/>
    <w:rsid w:val="00006196"/>
    <w:rsid w:val="000063A2"/>
    <w:rsid w:val="000066A8"/>
    <w:rsid w:val="000068D2"/>
    <w:rsid w:val="000068D7"/>
    <w:rsid w:val="00006AEC"/>
    <w:rsid w:val="00007025"/>
    <w:rsid w:val="000070FA"/>
    <w:rsid w:val="000075BF"/>
    <w:rsid w:val="000076BF"/>
    <w:rsid w:val="00007811"/>
    <w:rsid w:val="00007A33"/>
    <w:rsid w:val="00007C48"/>
    <w:rsid w:val="00007CA0"/>
    <w:rsid w:val="00007E8C"/>
    <w:rsid w:val="00010161"/>
    <w:rsid w:val="000104BB"/>
    <w:rsid w:val="00010773"/>
    <w:rsid w:val="00010D07"/>
    <w:rsid w:val="000112EE"/>
    <w:rsid w:val="00011822"/>
    <w:rsid w:val="0001199C"/>
    <w:rsid w:val="00011D83"/>
    <w:rsid w:val="0001270B"/>
    <w:rsid w:val="00013155"/>
    <w:rsid w:val="00013C34"/>
    <w:rsid w:val="000146E7"/>
    <w:rsid w:val="00014E3D"/>
    <w:rsid w:val="00015142"/>
    <w:rsid w:val="00015227"/>
    <w:rsid w:val="00015244"/>
    <w:rsid w:val="00015896"/>
    <w:rsid w:val="00015BB7"/>
    <w:rsid w:val="00015FD1"/>
    <w:rsid w:val="00016190"/>
    <w:rsid w:val="00016352"/>
    <w:rsid w:val="00016518"/>
    <w:rsid w:val="000166C9"/>
    <w:rsid w:val="00016C04"/>
    <w:rsid w:val="00017447"/>
    <w:rsid w:val="000174FA"/>
    <w:rsid w:val="0001761E"/>
    <w:rsid w:val="000201B3"/>
    <w:rsid w:val="0002023E"/>
    <w:rsid w:val="00020566"/>
    <w:rsid w:val="00020645"/>
    <w:rsid w:val="00020826"/>
    <w:rsid w:val="00020B51"/>
    <w:rsid w:val="00020E4E"/>
    <w:rsid w:val="000210A3"/>
    <w:rsid w:val="0002180A"/>
    <w:rsid w:val="00021866"/>
    <w:rsid w:val="00021A4C"/>
    <w:rsid w:val="00021AC0"/>
    <w:rsid w:val="00021C76"/>
    <w:rsid w:val="00021E2E"/>
    <w:rsid w:val="000223EF"/>
    <w:rsid w:val="00022554"/>
    <w:rsid w:val="0002262B"/>
    <w:rsid w:val="0002277B"/>
    <w:rsid w:val="0002298E"/>
    <w:rsid w:val="00023242"/>
    <w:rsid w:val="000232BA"/>
    <w:rsid w:val="000235D5"/>
    <w:rsid w:val="000236DB"/>
    <w:rsid w:val="00023B00"/>
    <w:rsid w:val="00023F82"/>
    <w:rsid w:val="000241B7"/>
    <w:rsid w:val="000242C6"/>
    <w:rsid w:val="00024300"/>
    <w:rsid w:val="00024A52"/>
    <w:rsid w:val="00024E82"/>
    <w:rsid w:val="00024F67"/>
    <w:rsid w:val="00025050"/>
    <w:rsid w:val="0002515A"/>
    <w:rsid w:val="0002566D"/>
    <w:rsid w:val="000256DD"/>
    <w:rsid w:val="00025A8F"/>
    <w:rsid w:val="00025ED9"/>
    <w:rsid w:val="000261AF"/>
    <w:rsid w:val="000262BC"/>
    <w:rsid w:val="000263F7"/>
    <w:rsid w:val="00026628"/>
    <w:rsid w:val="000266B3"/>
    <w:rsid w:val="0002692F"/>
    <w:rsid w:val="00026A47"/>
    <w:rsid w:val="00026AF1"/>
    <w:rsid w:val="00026DD0"/>
    <w:rsid w:val="00026FE6"/>
    <w:rsid w:val="00027125"/>
    <w:rsid w:val="00027296"/>
    <w:rsid w:val="000274F5"/>
    <w:rsid w:val="0002751D"/>
    <w:rsid w:val="000300AC"/>
    <w:rsid w:val="000301E4"/>
    <w:rsid w:val="00030D17"/>
    <w:rsid w:val="00030DA0"/>
    <w:rsid w:val="0003114B"/>
    <w:rsid w:val="0003143F"/>
    <w:rsid w:val="00031A33"/>
    <w:rsid w:val="00031B10"/>
    <w:rsid w:val="00031D28"/>
    <w:rsid w:val="00031E55"/>
    <w:rsid w:val="00032762"/>
    <w:rsid w:val="00032EC0"/>
    <w:rsid w:val="00032F3C"/>
    <w:rsid w:val="0003335A"/>
    <w:rsid w:val="00033B40"/>
    <w:rsid w:val="00034697"/>
    <w:rsid w:val="000346CA"/>
    <w:rsid w:val="000347EC"/>
    <w:rsid w:val="00034831"/>
    <w:rsid w:val="000348B2"/>
    <w:rsid w:val="000349CD"/>
    <w:rsid w:val="00034AB8"/>
    <w:rsid w:val="00034D89"/>
    <w:rsid w:val="0003524C"/>
    <w:rsid w:val="00035CB3"/>
    <w:rsid w:val="000369B1"/>
    <w:rsid w:val="00036A6A"/>
    <w:rsid w:val="000377AF"/>
    <w:rsid w:val="00037D2C"/>
    <w:rsid w:val="000404F6"/>
    <w:rsid w:val="0004075D"/>
    <w:rsid w:val="0004084C"/>
    <w:rsid w:val="00040B2F"/>
    <w:rsid w:val="00040F34"/>
    <w:rsid w:val="00041334"/>
    <w:rsid w:val="00041550"/>
    <w:rsid w:val="00041569"/>
    <w:rsid w:val="00041738"/>
    <w:rsid w:val="00041E14"/>
    <w:rsid w:val="00041E83"/>
    <w:rsid w:val="000420F7"/>
    <w:rsid w:val="0004282B"/>
    <w:rsid w:val="000430ED"/>
    <w:rsid w:val="00043413"/>
    <w:rsid w:val="000436F2"/>
    <w:rsid w:val="00043764"/>
    <w:rsid w:val="00043785"/>
    <w:rsid w:val="00043D5C"/>
    <w:rsid w:val="0004409F"/>
    <w:rsid w:val="0004428E"/>
    <w:rsid w:val="0004456D"/>
    <w:rsid w:val="000447E9"/>
    <w:rsid w:val="00044845"/>
    <w:rsid w:val="00044C67"/>
    <w:rsid w:val="0004518A"/>
    <w:rsid w:val="0004576F"/>
    <w:rsid w:val="000459C6"/>
    <w:rsid w:val="00045A46"/>
    <w:rsid w:val="00045B7E"/>
    <w:rsid w:val="000466CB"/>
    <w:rsid w:val="0004674B"/>
    <w:rsid w:val="00046845"/>
    <w:rsid w:val="00046954"/>
    <w:rsid w:val="00046B60"/>
    <w:rsid w:val="00046D2E"/>
    <w:rsid w:val="0004751F"/>
    <w:rsid w:val="00047695"/>
    <w:rsid w:val="00047747"/>
    <w:rsid w:val="00047AFB"/>
    <w:rsid w:val="00047CE6"/>
    <w:rsid w:val="00047E72"/>
    <w:rsid w:val="00047FB4"/>
    <w:rsid w:val="0005004F"/>
    <w:rsid w:val="00050116"/>
    <w:rsid w:val="00050384"/>
    <w:rsid w:val="00050512"/>
    <w:rsid w:val="00050AD5"/>
    <w:rsid w:val="00050C2F"/>
    <w:rsid w:val="00050ED5"/>
    <w:rsid w:val="00051661"/>
    <w:rsid w:val="000519A1"/>
    <w:rsid w:val="00051C38"/>
    <w:rsid w:val="00051E2B"/>
    <w:rsid w:val="000521C9"/>
    <w:rsid w:val="000523F8"/>
    <w:rsid w:val="0005296C"/>
    <w:rsid w:val="00052972"/>
    <w:rsid w:val="00052B45"/>
    <w:rsid w:val="00052BC0"/>
    <w:rsid w:val="00052C8C"/>
    <w:rsid w:val="00052CF3"/>
    <w:rsid w:val="00052D62"/>
    <w:rsid w:val="00052DAE"/>
    <w:rsid w:val="00053189"/>
    <w:rsid w:val="00053698"/>
    <w:rsid w:val="0005372E"/>
    <w:rsid w:val="00053783"/>
    <w:rsid w:val="000538E6"/>
    <w:rsid w:val="000543F9"/>
    <w:rsid w:val="00054408"/>
    <w:rsid w:val="00054CD9"/>
    <w:rsid w:val="00054E26"/>
    <w:rsid w:val="00054ECF"/>
    <w:rsid w:val="0005554E"/>
    <w:rsid w:val="00055924"/>
    <w:rsid w:val="0005593B"/>
    <w:rsid w:val="00055C01"/>
    <w:rsid w:val="00055DBF"/>
    <w:rsid w:val="000562C3"/>
    <w:rsid w:val="00056485"/>
    <w:rsid w:val="00056A48"/>
    <w:rsid w:val="00056BB8"/>
    <w:rsid w:val="00057738"/>
    <w:rsid w:val="00057984"/>
    <w:rsid w:val="000579FE"/>
    <w:rsid w:val="00060892"/>
    <w:rsid w:val="0006097D"/>
    <w:rsid w:val="00060E6B"/>
    <w:rsid w:val="000615B1"/>
    <w:rsid w:val="00061D0D"/>
    <w:rsid w:val="00062031"/>
    <w:rsid w:val="000622B0"/>
    <w:rsid w:val="000624FA"/>
    <w:rsid w:val="000628AB"/>
    <w:rsid w:val="00062A5D"/>
    <w:rsid w:val="00062AF6"/>
    <w:rsid w:val="00062BEF"/>
    <w:rsid w:val="00063100"/>
    <w:rsid w:val="00063D58"/>
    <w:rsid w:val="00063DE5"/>
    <w:rsid w:val="00064053"/>
    <w:rsid w:val="00064C5C"/>
    <w:rsid w:val="00065499"/>
    <w:rsid w:val="00065739"/>
    <w:rsid w:val="000657D6"/>
    <w:rsid w:val="00065C4B"/>
    <w:rsid w:val="00065DE8"/>
    <w:rsid w:val="00066535"/>
    <w:rsid w:val="000666AF"/>
    <w:rsid w:val="000668CA"/>
    <w:rsid w:val="00066A55"/>
    <w:rsid w:val="00066A6B"/>
    <w:rsid w:val="00066BA5"/>
    <w:rsid w:val="00066CDB"/>
    <w:rsid w:val="00067AEE"/>
    <w:rsid w:val="00067ED3"/>
    <w:rsid w:val="00067EDD"/>
    <w:rsid w:val="00070159"/>
    <w:rsid w:val="00070294"/>
    <w:rsid w:val="000702CB"/>
    <w:rsid w:val="00070A89"/>
    <w:rsid w:val="00070ABF"/>
    <w:rsid w:val="00070D05"/>
    <w:rsid w:val="00070E54"/>
    <w:rsid w:val="000711D8"/>
    <w:rsid w:val="000716A8"/>
    <w:rsid w:val="00071B37"/>
    <w:rsid w:val="0007211F"/>
    <w:rsid w:val="000721EB"/>
    <w:rsid w:val="000722DD"/>
    <w:rsid w:val="0007244F"/>
    <w:rsid w:val="0007299C"/>
    <w:rsid w:val="00073199"/>
    <w:rsid w:val="0007355D"/>
    <w:rsid w:val="00073C56"/>
    <w:rsid w:val="000742B9"/>
    <w:rsid w:val="00075170"/>
    <w:rsid w:val="0007545E"/>
    <w:rsid w:val="00075708"/>
    <w:rsid w:val="00075968"/>
    <w:rsid w:val="00075EB2"/>
    <w:rsid w:val="00076688"/>
    <w:rsid w:val="00076758"/>
    <w:rsid w:val="00076CAB"/>
    <w:rsid w:val="00076D9C"/>
    <w:rsid w:val="00076ED6"/>
    <w:rsid w:val="000772EA"/>
    <w:rsid w:val="00077799"/>
    <w:rsid w:val="00077E8A"/>
    <w:rsid w:val="00077F9C"/>
    <w:rsid w:val="0008004B"/>
    <w:rsid w:val="000802B5"/>
    <w:rsid w:val="00080879"/>
    <w:rsid w:val="0008098D"/>
    <w:rsid w:val="000809AA"/>
    <w:rsid w:val="00080FEC"/>
    <w:rsid w:val="0008122F"/>
    <w:rsid w:val="00081615"/>
    <w:rsid w:val="000818F4"/>
    <w:rsid w:val="00081E97"/>
    <w:rsid w:val="00082949"/>
    <w:rsid w:val="00082976"/>
    <w:rsid w:val="00082B36"/>
    <w:rsid w:val="00083225"/>
    <w:rsid w:val="00083372"/>
    <w:rsid w:val="00083399"/>
    <w:rsid w:val="000833E4"/>
    <w:rsid w:val="0008347B"/>
    <w:rsid w:val="0008367D"/>
    <w:rsid w:val="00083697"/>
    <w:rsid w:val="00083A7E"/>
    <w:rsid w:val="000840F2"/>
    <w:rsid w:val="0008438D"/>
    <w:rsid w:val="000843CB"/>
    <w:rsid w:val="0008453F"/>
    <w:rsid w:val="0008511A"/>
    <w:rsid w:val="00085638"/>
    <w:rsid w:val="0008579A"/>
    <w:rsid w:val="000857FB"/>
    <w:rsid w:val="0008596A"/>
    <w:rsid w:val="00085A6E"/>
    <w:rsid w:val="00085AEE"/>
    <w:rsid w:val="00085C7D"/>
    <w:rsid w:val="000862DB"/>
    <w:rsid w:val="000866CE"/>
    <w:rsid w:val="00086991"/>
    <w:rsid w:val="00086DC2"/>
    <w:rsid w:val="00087A7F"/>
    <w:rsid w:val="00087ECA"/>
    <w:rsid w:val="0009004D"/>
    <w:rsid w:val="00090123"/>
    <w:rsid w:val="000903A3"/>
    <w:rsid w:val="000903D0"/>
    <w:rsid w:val="0009056E"/>
    <w:rsid w:val="00090659"/>
    <w:rsid w:val="00090C2E"/>
    <w:rsid w:val="000910B9"/>
    <w:rsid w:val="000911F8"/>
    <w:rsid w:val="00091563"/>
    <w:rsid w:val="000917B6"/>
    <w:rsid w:val="0009189B"/>
    <w:rsid w:val="0009287A"/>
    <w:rsid w:val="00093499"/>
    <w:rsid w:val="00093731"/>
    <w:rsid w:val="0009394A"/>
    <w:rsid w:val="00093DA9"/>
    <w:rsid w:val="00093DEA"/>
    <w:rsid w:val="00093E62"/>
    <w:rsid w:val="000941F6"/>
    <w:rsid w:val="000942E4"/>
    <w:rsid w:val="00094827"/>
    <w:rsid w:val="00094AF5"/>
    <w:rsid w:val="00094BCA"/>
    <w:rsid w:val="00094BE7"/>
    <w:rsid w:val="00094CE5"/>
    <w:rsid w:val="00094FD2"/>
    <w:rsid w:val="000951BF"/>
    <w:rsid w:val="00095424"/>
    <w:rsid w:val="00095453"/>
    <w:rsid w:val="00095945"/>
    <w:rsid w:val="00095B18"/>
    <w:rsid w:val="00095B93"/>
    <w:rsid w:val="00095DF4"/>
    <w:rsid w:val="0009606D"/>
    <w:rsid w:val="000960DB"/>
    <w:rsid w:val="00096584"/>
    <w:rsid w:val="000969C3"/>
    <w:rsid w:val="000972D2"/>
    <w:rsid w:val="00097316"/>
    <w:rsid w:val="00097707"/>
    <w:rsid w:val="000979AE"/>
    <w:rsid w:val="000979B6"/>
    <w:rsid w:val="00097AFD"/>
    <w:rsid w:val="00097C34"/>
    <w:rsid w:val="00097F65"/>
    <w:rsid w:val="000A008D"/>
    <w:rsid w:val="000A0431"/>
    <w:rsid w:val="000A077D"/>
    <w:rsid w:val="000A0900"/>
    <w:rsid w:val="000A0925"/>
    <w:rsid w:val="000A1216"/>
    <w:rsid w:val="000A123C"/>
    <w:rsid w:val="000A19B1"/>
    <w:rsid w:val="000A1B4B"/>
    <w:rsid w:val="000A1C76"/>
    <w:rsid w:val="000A1ECE"/>
    <w:rsid w:val="000A1EFD"/>
    <w:rsid w:val="000A23D0"/>
    <w:rsid w:val="000A24D5"/>
    <w:rsid w:val="000A27AC"/>
    <w:rsid w:val="000A2BF9"/>
    <w:rsid w:val="000A3380"/>
    <w:rsid w:val="000A3F0B"/>
    <w:rsid w:val="000A4099"/>
    <w:rsid w:val="000A4A5C"/>
    <w:rsid w:val="000A4C07"/>
    <w:rsid w:val="000A50C6"/>
    <w:rsid w:val="000A517A"/>
    <w:rsid w:val="000A5494"/>
    <w:rsid w:val="000A6599"/>
    <w:rsid w:val="000A694F"/>
    <w:rsid w:val="000A6BC3"/>
    <w:rsid w:val="000A6DA1"/>
    <w:rsid w:val="000A6FD7"/>
    <w:rsid w:val="000A7181"/>
    <w:rsid w:val="000A71F0"/>
    <w:rsid w:val="000A757D"/>
    <w:rsid w:val="000B03CD"/>
    <w:rsid w:val="000B040E"/>
    <w:rsid w:val="000B046C"/>
    <w:rsid w:val="000B0A36"/>
    <w:rsid w:val="000B0D0F"/>
    <w:rsid w:val="000B0D5C"/>
    <w:rsid w:val="000B0F9E"/>
    <w:rsid w:val="000B12A0"/>
    <w:rsid w:val="000B148A"/>
    <w:rsid w:val="000B16A6"/>
    <w:rsid w:val="000B16F2"/>
    <w:rsid w:val="000B1823"/>
    <w:rsid w:val="000B1D58"/>
    <w:rsid w:val="000B1D75"/>
    <w:rsid w:val="000B1DD4"/>
    <w:rsid w:val="000B1DFD"/>
    <w:rsid w:val="000B1FD9"/>
    <w:rsid w:val="000B2608"/>
    <w:rsid w:val="000B2698"/>
    <w:rsid w:val="000B2A8E"/>
    <w:rsid w:val="000B2BA9"/>
    <w:rsid w:val="000B30A7"/>
    <w:rsid w:val="000B332F"/>
    <w:rsid w:val="000B343E"/>
    <w:rsid w:val="000B389E"/>
    <w:rsid w:val="000B38E4"/>
    <w:rsid w:val="000B393D"/>
    <w:rsid w:val="000B3D89"/>
    <w:rsid w:val="000B41E9"/>
    <w:rsid w:val="000B4207"/>
    <w:rsid w:val="000B42CB"/>
    <w:rsid w:val="000B4447"/>
    <w:rsid w:val="000B5848"/>
    <w:rsid w:val="000B667B"/>
    <w:rsid w:val="000B6A4A"/>
    <w:rsid w:val="000B6FBD"/>
    <w:rsid w:val="000B7032"/>
    <w:rsid w:val="000B722E"/>
    <w:rsid w:val="000B7488"/>
    <w:rsid w:val="000B7529"/>
    <w:rsid w:val="000B7614"/>
    <w:rsid w:val="000B77A3"/>
    <w:rsid w:val="000B7C7B"/>
    <w:rsid w:val="000B7D91"/>
    <w:rsid w:val="000C010E"/>
    <w:rsid w:val="000C02FC"/>
    <w:rsid w:val="000C03E0"/>
    <w:rsid w:val="000C0C95"/>
    <w:rsid w:val="000C0DF2"/>
    <w:rsid w:val="000C0E81"/>
    <w:rsid w:val="000C151D"/>
    <w:rsid w:val="000C1B61"/>
    <w:rsid w:val="000C1D71"/>
    <w:rsid w:val="000C1DED"/>
    <w:rsid w:val="000C1FD1"/>
    <w:rsid w:val="000C2517"/>
    <w:rsid w:val="000C2DE8"/>
    <w:rsid w:val="000C2F10"/>
    <w:rsid w:val="000C2FFA"/>
    <w:rsid w:val="000C360F"/>
    <w:rsid w:val="000C37B0"/>
    <w:rsid w:val="000C3F1E"/>
    <w:rsid w:val="000C41FB"/>
    <w:rsid w:val="000C465F"/>
    <w:rsid w:val="000C4B27"/>
    <w:rsid w:val="000C517D"/>
    <w:rsid w:val="000C5E07"/>
    <w:rsid w:val="000C6150"/>
    <w:rsid w:val="000C689B"/>
    <w:rsid w:val="000C6AD7"/>
    <w:rsid w:val="000C6BF3"/>
    <w:rsid w:val="000C6E20"/>
    <w:rsid w:val="000C6F94"/>
    <w:rsid w:val="000C733D"/>
    <w:rsid w:val="000C746B"/>
    <w:rsid w:val="000C7474"/>
    <w:rsid w:val="000C7816"/>
    <w:rsid w:val="000C7AE5"/>
    <w:rsid w:val="000C7BDB"/>
    <w:rsid w:val="000C7BFA"/>
    <w:rsid w:val="000C7F85"/>
    <w:rsid w:val="000D069C"/>
    <w:rsid w:val="000D0CC1"/>
    <w:rsid w:val="000D0E09"/>
    <w:rsid w:val="000D0FC3"/>
    <w:rsid w:val="000D1124"/>
    <w:rsid w:val="000D12B2"/>
    <w:rsid w:val="000D12F5"/>
    <w:rsid w:val="000D178F"/>
    <w:rsid w:val="000D17AF"/>
    <w:rsid w:val="000D18E7"/>
    <w:rsid w:val="000D1D14"/>
    <w:rsid w:val="000D209C"/>
    <w:rsid w:val="000D259B"/>
    <w:rsid w:val="000D293E"/>
    <w:rsid w:val="000D2A77"/>
    <w:rsid w:val="000D2B92"/>
    <w:rsid w:val="000D2BCD"/>
    <w:rsid w:val="000D2C4F"/>
    <w:rsid w:val="000D2E77"/>
    <w:rsid w:val="000D30FE"/>
    <w:rsid w:val="000D34EF"/>
    <w:rsid w:val="000D4347"/>
    <w:rsid w:val="000D457C"/>
    <w:rsid w:val="000D4A7D"/>
    <w:rsid w:val="000D4B11"/>
    <w:rsid w:val="000D4FA9"/>
    <w:rsid w:val="000D5202"/>
    <w:rsid w:val="000D53DA"/>
    <w:rsid w:val="000D5C8D"/>
    <w:rsid w:val="000D60E4"/>
    <w:rsid w:val="000D66AF"/>
    <w:rsid w:val="000D66CF"/>
    <w:rsid w:val="000D6B84"/>
    <w:rsid w:val="000D7C99"/>
    <w:rsid w:val="000E0004"/>
    <w:rsid w:val="000E02D4"/>
    <w:rsid w:val="000E04E9"/>
    <w:rsid w:val="000E0890"/>
    <w:rsid w:val="000E0B57"/>
    <w:rsid w:val="000E0B80"/>
    <w:rsid w:val="000E102F"/>
    <w:rsid w:val="000E1104"/>
    <w:rsid w:val="000E110E"/>
    <w:rsid w:val="000E12CF"/>
    <w:rsid w:val="000E15EE"/>
    <w:rsid w:val="000E1BC6"/>
    <w:rsid w:val="000E1C17"/>
    <w:rsid w:val="000E2048"/>
    <w:rsid w:val="000E2049"/>
    <w:rsid w:val="000E2397"/>
    <w:rsid w:val="000E2415"/>
    <w:rsid w:val="000E2473"/>
    <w:rsid w:val="000E2597"/>
    <w:rsid w:val="000E2622"/>
    <w:rsid w:val="000E2D23"/>
    <w:rsid w:val="000E2E3E"/>
    <w:rsid w:val="000E30A7"/>
    <w:rsid w:val="000E346E"/>
    <w:rsid w:val="000E354F"/>
    <w:rsid w:val="000E3935"/>
    <w:rsid w:val="000E3B69"/>
    <w:rsid w:val="000E3E12"/>
    <w:rsid w:val="000E3FC3"/>
    <w:rsid w:val="000E401D"/>
    <w:rsid w:val="000E40ED"/>
    <w:rsid w:val="000E4414"/>
    <w:rsid w:val="000E4A49"/>
    <w:rsid w:val="000E4D3F"/>
    <w:rsid w:val="000E4F63"/>
    <w:rsid w:val="000E51BE"/>
    <w:rsid w:val="000E5264"/>
    <w:rsid w:val="000E565D"/>
    <w:rsid w:val="000E6560"/>
    <w:rsid w:val="000E6AC5"/>
    <w:rsid w:val="000E6E95"/>
    <w:rsid w:val="000E7236"/>
    <w:rsid w:val="000E7641"/>
    <w:rsid w:val="000E772A"/>
    <w:rsid w:val="000E7B0F"/>
    <w:rsid w:val="000F0013"/>
    <w:rsid w:val="000F01AD"/>
    <w:rsid w:val="000F0420"/>
    <w:rsid w:val="000F059F"/>
    <w:rsid w:val="000F086A"/>
    <w:rsid w:val="000F0FF9"/>
    <w:rsid w:val="000F1356"/>
    <w:rsid w:val="000F1FD1"/>
    <w:rsid w:val="000F2086"/>
    <w:rsid w:val="000F2523"/>
    <w:rsid w:val="000F2532"/>
    <w:rsid w:val="000F253C"/>
    <w:rsid w:val="000F28AE"/>
    <w:rsid w:val="000F2CB4"/>
    <w:rsid w:val="000F2CD7"/>
    <w:rsid w:val="000F2E0A"/>
    <w:rsid w:val="000F308C"/>
    <w:rsid w:val="000F3117"/>
    <w:rsid w:val="000F3557"/>
    <w:rsid w:val="000F390D"/>
    <w:rsid w:val="000F3DEA"/>
    <w:rsid w:val="000F3EFB"/>
    <w:rsid w:val="000F406A"/>
    <w:rsid w:val="000F4097"/>
    <w:rsid w:val="000F425B"/>
    <w:rsid w:val="000F4494"/>
    <w:rsid w:val="000F47DC"/>
    <w:rsid w:val="000F4D67"/>
    <w:rsid w:val="000F4DCB"/>
    <w:rsid w:val="000F4E68"/>
    <w:rsid w:val="000F548F"/>
    <w:rsid w:val="000F5A00"/>
    <w:rsid w:val="000F60FD"/>
    <w:rsid w:val="000F6643"/>
    <w:rsid w:val="000F67EC"/>
    <w:rsid w:val="000F6888"/>
    <w:rsid w:val="000F68BD"/>
    <w:rsid w:val="000F6A26"/>
    <w:rsid w:val="000F6F24"/>
    <w:rsid w:val="000F6F56"/>
    <w:rsid w:val="000F70E7"/>
    <w:rsid w:val="000F721B"/>
    <w:rsid w:val="000F7355"/>
    <w:rsid w:val="000F7576"/>
    <w:rsid w:val="000F7625"/>
    <w:rsid w:val="000F7B0A"/>
    <w:rsid w:val="000F7DC1"/>
    <w:rsid w:val="000F7E08"/>
    <w:rsid w:val="00100058"/>
    <w:rsid w:val="001000DB"/>
    <w:rsid w:val="00100674"/>
    <w:rsid w:val="001008EE"/>
    <w:rsid w:val="00100D3E"/>
    <w:rsid w:val="0010127C"/>
    <w:rsid w:val="001012EE"/>
    <w:rsid w:val="0010134D"/>
    <w:rsid w:val="0010190A"/>
    <w:rsid w:val="00101D6C"/>
    <w:rsid w:val="00101FAE"/>
    <w:rsid w:val="00102720"/>
    <w:rsid w:val="00103678"/>
    <w:rsid w:val="001037E1"/>
    <w:rsid w:val="001038B9"/>
    <w:rsid w:val="00103908"/>
    <w:rsid w:val="00103A8F"/>
    <w:rsid w:val="00103ADD"/>
    <w:rsid w:val="00103CEF"/>
    <w:rsid w:val="00103EF7"/>
    <w:rsid w:val="00103FD7"/>
    <w:rsid w:val="0010405A"/>
    <w:rsid w:val="0010414E"/>
    <w:rsid w:val="00104174"/>
    <w:rsid w:val="00104658"/>
    <w:rsid w:val="00104B68"/>
    <w:rsid w:val="00104E38"/>
    <w:rsid w:val="0010530A"/>
    <w:rsid w:val="001053F9"/>
    <w:rsid w:val="00105499"/>
    <w:rsid w:val="00105736"/>
    <w:rsid w:val="00105D1A"/>
    <w:rsid w:val="00105E32"/>
    <w:rsid w:val="00106007"/>
    <w:rsid w:val="00106229"/>
    <w:rsid w:val="001062B1"/>
    <w:rsid w:val="00106533"/>
    <w:rsid w:val="0010654F"/>
    <w:rsid w:val="001066DE"/>
    <w:rsid w:val="0010735A"/>
    <w:rsid w:val="001073B9"/>
    <w:rsid w:val="00107414"/>
    <w:rsid w:val="0010763D"/>
    <w:rsid w:val="00107DA3"/>
    <w:rsid w:val="001100DA"/>
    <w:rsid w:val="00110303"/>
    <w:rsid w:val="00110A4F"/>
    <w:rsid w:val="00110DEE"/>
    <w:rsid w:val="00110ED7"/>
    <w:rsid w:val="0011105F"/>
    <w:rsid w:val="001110AC"/>
    <w:rsid w:val="00111184"/>
    <w:rsid w:val="00111537"/>
    <w:rsid w:val="001115ED"/>
    <w:rsid w:val="00111714"/>
    <w:rsid w:val="00111DCA"/>
    <w:rsid w:val="00112170"/>
    <w:rsid w:val="001122F3"/>
    <w:rsid w:val="00112439"/>
    <w:rsid w:val="00112D24"/>
    <w:rsid w:val="00112E6B"/>
    <w:rsid w:val="00112E6C"/>
    <w:rsid w:val="00112ED3"/>
    <w:rsid w:val="00113100"/>
    <w:rsid w:val="001138A5"/>
    <w:rsid w:val="00113AB5"/>
    <w:rsid w:val="0011436F"/>
    <w:rsid w:val="00114622"/>
    <w:rsid w:val="0011475D"/>
    <w:rsid w:val="00114870"/>
    <w:rsid w:val="00114DBA"/>
    <w:rsid w:val="0011544A"/>
    <w:rsid w:val="00115A00"/>
    <w:rsid w:val="00115A43"/>
    <w:rsid w:val="00115CBF"/>
    <w:rsid w:val="00116B36"/>
    <w:rsid w:val="00116DFE"/>
    <w:rsid w:val="00117186"/>
    <w:rsid w:val="001179ED"/>
    <w:rsid w:val="00117C6E"/>
    <w:rsid w:val="00117D03"/>
    <w:rsid w:val="00117F5B"/>
    <w:rsid w:val="001202F5"/>
    <w:rsid w:val="00120382"/>
    <w:rsid w:val="00120B4D"/>
    <w:rsid w:val="00120FAF"/>
    <w:rsid w:val="00121072"/>
    <w:rsid w:val="00121BB6"/>
    <w:rsid w:val="00122019"/>
    <w:rsid w:val="001223A0"/>
    <w:rsid w:val="0012282D"/>
    <w:rsid w:val="00122936"/>
    <w:rsid w:val="00122C88"/>
    <w:rsid w:val="00122FB7"/>
    <w:rsid w:val="0012372B"/>
    <w:rsid w:val="00123E5D"/>
    <w:rsid w:val="00124001"/>
    <w:rsid w:val="00124244"/>
    <w:rsid w:val="001245A2"/>
    <w:rsid w:val="001248CB"/>
    <w:rsid w:val="00125068"/>
    <w:rsid w:val="00125939"/>
    <w:rsid w:val="00125AA8"/>
    <w:rsid w:val="00125BBB"/>
    <w:rsid w:val="00125CAE"/>
    <w:rsid w:val="00125CF4"/>
    <w:rsid w:val="00125EA0"/>
    <w:rsid w:val="0012644B"/>
    <w:rsid w:val="001269D2"/>
    <w:rsid w:val="00126FB2"/>
    <w:rsid w:val="00127AB5"/>
    <w:rsid w:val="00127B90"/>
    <w:rsid w:val="00127E37"/>
    <w:rsid w:val="00127EC7"/>
    <w:rsid w:val="00127F9D"/>
    <w:rsid w:val="00130145"/>
    <w:rsid w:val="00130AC6"/>
    <w:rsid w:val="00130BA6"/>
    <w:rsid w:val="00130BC6"/>
    <w:rsid w:val="00131723"/>
    <w:rsid w:val="00131811"/>
    <w:rsid w:val="00131B42"/>
    <w:rsid w:val="00131BA2"/>
    <w:rsid w:val="00131E0E"/>
    <w:rsid w:val="001324F8"/>
    <w:rsid w:val="001333C7"/>
    <w:rsid w:val="00133771"/>
    <w:rsid w:val="00133AA0"/>
    <w:rsid w:val="00133F2A"/>
    <w:rsid w:val="00133FDA"/>
    <w:rsid w:val="001340F2"/>
    <w:rsid w:val="001342A5"/>
    <w:rsid w:val="0013484C"/>
    <w:rsid w:val="00134A83"/>
    <w:rsid w:val="001357F3"/>
    <w:rsid w:val="00135844"/>
    <w:rsid w:val="001358D7"/>
    <w:rsid w:val="001358F8"/>
    <w:rsid w:val="00135F82"/>
    <w:rsid w:val="001360C7"/>
    <w:rsid w:val="00136230"/>
    <w:rsid w:val="0013623E"/>
    <w:rsid w:val="00136B31"/>
    <w:rsid w:val="00136D9B"/>
    <w:rsid w:val="001371B7"/>
    <w:rsid w:val="0013761E"/>
    <w:rsid w:val="00137705"/>
    <w:rsid w:val="001378D9"/>
    <w:rsid w:val="00137E0D"/>
    <w:rsid w:val="00137F73"/>
    <w:rsid w:val="001400E6"/>
    <w:rsid w:val="00140475"/>
    <w:rsid w:val="0014058A"/>
    <w:rsid w:val="00140790"/>
    <w:rsid w:val="00140808"/>
    <w:rsid w:val="00140A43"/>
    <w:rsid w:val="001417A8"/>
    <w:rsid w:val="00141E76"/>
    <w:rsid w:val="00141FAE"/>
    <w:rsid w:val="001420EF"/>
    <w:rsid w:val="0014229B"/>
    <w:rsid w:val="00142372"/>
    <w:rsid w:val="001429D3"/>
    <w:rsid w:val="001447D2"/>
    <w:rsid w:val="00144A9C"/>
    <w:rsid w:val="001451E1"/>
    <w:rsid w:val="0014544B"/>
    <w:rsid w:val="001454FC"/>
    <w:rsid w:val="00145537"/>
    <w:rsid w:val="00145906"/>
    <w:rsid w:val="00145A39"/>
    <w:rsid w:val="00145B2C"/>
    <w:rsid w:val="00145B9B"/>
    <w:rsid w:val="001462EC"/>
    <w:rsid w:val="00146366"/>
    <w:rsid w:val="00146F4B"/>
    <w:rsid w:val="001479CD"/>
    <w:rsid w:val="00147A5A"/>
    <w:rsid w:val="00147FA6"/>
    <w:rsid w:val="0015035A"/>
    <w:rsid w:val="00151441"/>
    <w:rsid w:val="00151AC3"/>
    <w:rsid w:val="00151EAA"/>
    <w:rsid w:val="00152392"/>
    <w:rsid w:val="001523F2"/>
    <w:rsid w:val="0015267D"/>
    <w:rsid w:val="00152AB2"/>
    <w:rsid w:val="00152ACB"/>
    <w:rsid w:val="00153666"/>
    <w:rsid w:val="00153AF6"/>
    <w:rsid w:val="00153EDE"/>
    <w:rsid w:val="00154127"/>
    <w:rsid w:val="0015420E"/>
    <w:rsid w:val="00154677"/>
    <w:rsid w:val="0015495E"/>
    <w:rsid w:val="0015496B"/>
    <w:rsid w:val="00154D3B"/>
    <w:rsid w:val="00154F55"/>
    <w:rsid w:val="0015556B"/>
    <w:rsid w:val="001559C6"/>
    <w:rsid w:val="00155D61"/>
    <w:rsid w:val="001560D5"/>
    <w:rsid w:val="001564E8"/>
    <w:rsid w:val="001566E1"/>
    <w:rsid w:val="0015695D"/>
    <w:rsid w:val="00156AB0"/>
    <w:rsid w:val="00156ACB"/>
    <w:rsid w:val="0015719B"/>
    <w:rsid w:val="00157B41"/>
    <w:rsid w:val="00157E2E"/>
    <w:rsid w:val="00157FCE"/>
    <w:rsid w:val="00157FF4"/>
    <w:rsid w:val="001602B4"/>
    <w:rsid w:val="001609AA"/>
    <w:rsid w:val="00160ABC"/>
    <w:rsid w:val="00160B4C"/>
    <w:rsid w:val="001613F3"/>
    <w:rsid w:val="001615E0"/>
    <w:rsid w:val="0016170B"/>
    <w:rsid w:val="00161CAB"/>
    <w:rsid w:val="00161D10"/>
    <w:rsid w:val="00162926"/>
    <w:rsid w:val="00163054"/>
    <w:rsid w:val="001630DA"/>
    <w:rsid w:val="00163773"/>
    <w:rsid w:val="00163947"/>
    <w:rsid w:val="00163AD8"/>
    <w:rsid w:val="0016441B"/>
    <w:rsid w:val="00164B8D"/>
    <w:rsid w:val="00164E73"/>
    <w:rsid w:val="0016519E"/>
    <w:rsid w:val="00165713"/>
    <w:rsid w:val="001657FA"/>
    <w:rsid w:val="00165856"/>
    <w:rsid w:val="00165BC1"/>
    <w:rsid w:val="00165EB7"/>
    <w:rsid w:val="00165F91"/>
    <w:rsid w:val="00166049"/>
    <w:rsid w:val="00166114"/>
    <w:rsid w:val="00166298"/>
    <w:rsid w:val="00166683"/>
    <w:rsid w:val="001666B0"/>
    <w:rsid w:val="00166AA0"/>
    <w:rsid w:val="00166C44"/>
    <w:rsid w:val="001671A4"/>
    <w:rsid w:val="001676A7"/>
    <w:rsid w:val="00167946"/>
    <w:rsid w:val="00167D85"/>
    <w:rsid w:val="0017011C"/>
    <w:rsid w:val="00170543"/>
    <w:rsid w:val="001705CE"/>
    <w:rsid w:val="00170825"/>
    <w:rsid w:val="001708D4"/>
    <w:rsid w:val="00170C38"/>
    <w:rsid w:val="00170D53"/>
    <w:rsid w:val="00171034"/>
    <w:rsid w:val="00171553"/>
    <w:rsid w:val="00171709"/>
    <w:rsid w:val="00171B61"/>
    <w:rsid w:val="00171CE3"/>
    <w:rsid w:val="001727DF"/>
    <w:rsid w:val="001729FD"/>
    <w:rsid w:val="00172C26"/>
    <w:rsid w:val="00172D2F"/>
    <w:rsid w:val="00172DB8"/>
    <w:rsid w:val="00172FE8"/>
    <w:rsid w:val="001735A7"/>
    <w:rsid w:val="00173BCF"/>
    <w:rsid w:val="00173C03"/>
    <w:rsid w:val="00173CBE"/>
    <w:rsid w:val="0017547D"/>
    <w:rsid w:val="00175A5A"/>
    <w:rsid w:val="00175B85"/>
    <w:rsid w:val="00175EFC"/>
    <w:rsid w:val="0017670E"/>
    <w:rsid w:val="00176991"/>
    <w:rsid w:val="00176FAE"/>
    <w:rsid w:val="0017756B"/>
    <w:rsid w:val="00177A81"/>
    <w:rsid w:val="00177DF7"/>
    <w:rsid w:val="001800E8"/>
    <w:rsid w:val="00180659"/>
    <w:rsid w:val="0018082D"/>
    <w:rsid w:val="00180A6F"/>
    <w:rsid w:val="00180A88"/>
    <w:rsid w:val="00180B47"/>
    <w:rsid w:val="001810C1"/>
    <w:rsid w:val="00181620"/>
    <w:rsid w:val="00181630"/>
    <w:rsid w:val="00181699"/>
    <w:rsid w:val="00181B32"/>
    <w:rsid w:val="0018236D"/>
    <w:rsid w:val="001825DA"/>
    <w:rsid w:val="00182939"/>
    <w:rsid w:val="001829AF"/>
    <w:rsid w:val="001829DA"/>
    <w:rsid w:val="0018335C"/>
    <w:rsid w:val="0018397D"/>
    <w:rsid w:val="00184706"/>
    <w:rsid w:val="001848BA"/>
    <w:rsid w:val="001848D0"/>
    <w:rsid w:val="00184915"/>
    <w:rsid w:val="00184F12"/>
    <w:rsid w:val="00185270"/>
    <w:rsid w:val="00185F32"/>
    <w:rsid w:val="00186A86"/>
    <w:rsid w:val="00187427"/>
    <w:rsid w:val="001875A0"/>
    <w:rsid w:val="00187800"/>
    <w:rsid w:val="00187A95"/>
    <w:rsid w:val="00187BC8"/>
    <w:rsid w:val="00187F50"/>
    <w:rsid w:val="001900D3"/>
    <w:rsid w:val="001901E8"/>
    <w:rsid w:val="001909FC"/>
    <w:rsid w:val="00190E7A"/>
    <w:rsid w:val="00191194"/>
    <w:rsid w:val="00191641"/>
    <w:rsid w:val="0019166B"/>
    <w:rsid w:val="00191886"/>
    <w:rsid w:val="00191935"/>
    <w:rsid w:val="00191AAE"/>
    <w:rsid w:val="0019233C"/>
    <w:rsid w:val="0019241D"/>
    <w:rsid w:val="00192576"/>
    <w:rsid w:val="00192A19"/>
    <w:rsid w:val="00192B7F"/>
    <w:rsid w:val="00192D95"/>
    <w:rsid w:val="00192F2F"/>
    <w:rsid w:val="00193152"/>
    <w:rsid w:val="00193161"/>
    <w:rsid w:val="00193184"/>
    <w:rsid w:val="001934CA"/>
    <w:rsid w:val="001935EE"/>
    <w:rsid w:val="00193618"/>
    <w:rsid w:val="00193620"/>
    <w:rsid w:val="00193698"/>
    <w:rsid w:val="001936E1"/>
    <w:rsid w:val="001937B8"/>
    <w:rsid w:val="00193DD3"/>
    <w:rsid w:val="00193DFF"/>
    <w:rsid w:val="001942C9"/>
    <w:rsid w:val="00194832"/>
    <w:rsid w:val="0019486B"/>
    <w:rsid w:val="001948DE"/>
    <w:rsid w:val="00194B9B"/>
    <w:rsid w:val="00194D9A"/>
    <w:rsid w:val="00195067"/>
    <w:rsid w:val="001950D9"/>
    <w:rsid w:val="00195100"/>
    <w:rsid w:val="00195125"/>
    <w:rsid w:val="00195386"/>
    <w:rsid w:val="00196396"/>
    <w:rsid w:val="00196535"/>
    <w:rsid w:val="001965EF"/>
    <w:rsid w:val="001966E8"/>
    <w:rsid w:val="00196709"/>
    <w:rsid w:val="0019694C"/>
    <w:rsid w:val="00196B04"/>
    <w:rsid w:val="00196EAE"/>
    <w:rsid w:val="00196EBD"/>
    <w:rsid w:val="00197293"/>
    <w:rsid w:val="00197887"/>
    <w:rsid w:val="001A006D"/>
    <w:rsid w:val="001A020A"/>
    <w:rsid w:val="001A0915"/>
    <w:rsid w:val="001A09DD"/>
    <w:rsid w:val="001A0F0E"/>
    <w:rsid w:val="001A174C"/>
    <w:rsid w:val="001A18A0"/>
    <w:rsid w:val="001A1B7A"/>
    <w:rsid w:val="001A1CC7"/>
    <w:rsid w:val="001A209D"/>
    <w:rsid w:val="001A20D0"/>
    <w:rsid w:val="001A20E7"/>
    <w:rsid w:val="001A399E"/>
    <w:rsid w:val="001A3A21"/>
    <w:rsid w:val="001A3C23"/>
    <w:rsid w:val="001A3D51"/>
    <w:rsid w:val="001A3FBD"/>
    <w:rsid w:val="001A4A4D"/>
    <w:rsid w:val="001A4C6D"/>
    <w:rsid w:val="001A4EBA"/>
    <w:rsid w:val="001A5285"/>
    <w:rsid w:val="001A5408"/>
    <w:rsid w:val="001A6139"/>
    <w:rsid w:val="001A6A05"/>
    <w:rsid w:val="001A7178"/>
    <w:rsid w:val="001A75A5"/>
    <w:rsid w:val="001A75CB"/>
    <w:rsid w:val="001A77D5"/>
    <w:rsid w:val="001A7F2D"/>
    <w:rsid w:val="001A7FAE"/>
    <w:rsid w:val="001B00B7"/>
    <w:rsid w:val="001B09DE"/>
    <w:rsid w:val="001B0B4D"/>
    <w:rsid w:val="001B1307"/>
    <w:rsid w:val="001B13B9"/>
    <w:rsid w:val="001B165D"/>
    <w:rsid w:val="001B1683"/>
    <w:rsid w:val="001B1AE4"/>
    <w:rsid w:val="001B1B79"/>
    <w:rsid w:val="001B1BCD"/>
    <w:rsid w:val="001B1FC4"/>
    <w:rsid w:val="001B2394"/>
    <w:rsid w:val="001B2591"/>
    <w:rsid w:val="001B268D"/>
    <w:rsid w:val="001B29F8"/>
    <w:rsid w:val="001B2C05"/>
    <w:rsid w:val="001B2F10"/>
    <w:rsid w:val="001B3FA2"/>
    <w:rsid w:val="001B42DA"/>
    <w:rsid w:val="001B45AE"/>
    <w:rsid w:val="001B4A79"/>
    <w:rsid w:val="001B4F5D"/>
    <w:rsid w:val="001B4FD2"/>
    <w:rsid w:val="001B5551"/>
    <w:rsid w:val="001B5968"/>
    <w:rsid w:val="001B5AA4"/>
    <w:rsid w:val="001B5C7B"/>
    <w:rsid w:val="001B5EAA"/>
    <w:rsid w:val="001B5EB2"/>
    <w:rsid w:val="001B6097"/>
    <w:rsid w:val="001B6A9C"/>
    <w:rsid w:val="001B6C63"/>
    <w:rsid w:val="001B70AE"/>
    <w:rsid w:val="001B7619"/>
    <w:rsid w:val="001B7724"/>
    <w:rsid w:val="001B7877"/>
    <w:rsid w:val="001C0863"/>
    <w:rsid w:val="001C0BBE"/>
    <w:rsid w:val="001C16C5"/>
    <w:rsid w:val="001C1908"/>
    <w:rsid w:val="001C1973"/>
    <w:rsid w:val="001C1ED0"/>
    <w:rsid w:val="001C2381"/>
    <w:rsid w:val="001C2761"/>
    <w:rsid w:val="001C29DF"/>
    <w:rsid w:val="001C3060"/>
    <w:rsid w:val="001C310B"/>
    <w:rsid w:val="001C36DF"/>
    <w:rsid w:val="001C38C8"/>
    <w:rsid w:val="001C391F"/>
    <w:rsid w:val="001C3E4A"/>
    <w:rsid w:val="001C4035"/>
    <w:rsid w:val="001C447D"/>
    <w:rsid w:val="001C4533"/>
    <w:rsid w:val="001C4831"/>
    <w:rsid w:val="001C489C"/>
    <w:rsid w:val="001C4978"/>
    <w:rsid w:val="001C50D0"/>
    <w:rsid w:val="001C5B11"/>
    <w:rsid w:val="001C61F5"/>
    <w:rsid w:val="001C6A7D"/>
    <w:rsid w:val="001C6C87"/>
    <w:rsid w:val="001C6FBE"/>
    <w:rsid w:val="001C72E3"/>
    <w:rsid w:val="001C72E7"/>
    <w:rsid w:val="001C799D"/>
    <w:rsid w:val="001C7E30"/>
    <w:rsid w:val="001C7F4C"/>
    <w:rsid w:val="001D0213"/>
    <w:rsid w:val="001D0261"/>
    <w:rsid w:val="001D038F"/>
    <w:rsid w:val="001D03A0"/>
    <w:rsid w:val="001D07DB"/>
    <w:rsid w:val="001D0D12"/>
    <w:rsid w:val="001D0ED3"/>
    <w:rsid w:val="001D167A"/>
    <w:rsid w:val="001D1719"/>
    <w:rsid w:val="001D1D67"/>
    <w:rsid w:val="001D1EA8"/>
    <w:rsid w:val="001D203B"/>
    <w:rsid w:val="001D2113"/>
    <w:rsid w:val="001D2B2B"/>
    <w:rsid w:val="001D2D04"/>
    <w:rsid w:val="001D3066"/>
    <w:rsid w:val="001D345C"/>
    <w:rsid w:val="001D3753"/>
    <w:rsid w:val="001D3C6C"/>
    <w:rsid w:val="001D4135"/>
    <w:rsid w:val="001D48C4"/>
    <w:rsid w:val="001D4D2F"/>
    <w:rsid w:val="001D510E"/>
    <w:rsid w:val="001D5727"/>
    <w:rsid w:val="001D5775"/>
    <w:rsid w:val="001D5975"/>
    <w:rsid w:val="001D5CC8"/>
    <w:rsid w:val="001D5DBE"/>
    <w:rsid w:val="001D68B4"/>
    <w:rsid w:val="001D6BDF"/>
    <w:rsid w:val="001D74DB"/>
    <w:rsid w:val="001D7ABC"/>
    <w:rsid w:val="001D7B59"/>
    <w:rsid w:val="001D7BD6"/>
    <w:rsid w:val="001D7FEC"/>
    <w:rsid w:val="001E0012"/>
    <w:rsid w:val="001E0044"/>
    <w:rsid w:val="001E0237"/>
    <w:rsid w:val="001E070B"/>
    <w:rsid w:val="001E0903"/>
    <w:rsid w:val="001E0D7B"/>
    <w:rsid w:val="001E10AF"/>
    <w:rsid w:val="001E10CA"/>
    <w:rsid w:val="001E1247"/>
    <w:rsid w:val="001E13DD"/>
    <w:rsid w:val="001E13F6"/>
    <w:rsid w:val="001E15B2"/>
    <w:rsid w:val="001E237B"/>
    <w:rsid w:val="001E287D"/>
    <w:rsid w:val="001E2B51"/>
    <w:rsid w:val="001E2E7E"/>
    <w:rsid w:val="001E30D1"/>
    <w:rsid w:val="001E341C"/>
    <w:rsid w:val="001E353D"/>
    <w:rsid w:val="001E3742"/>
    <w:rsid w:val="001E37AC"/>
    <w:rsid w:val="001E3A37"/>
    <w:rsid w:val="001E3AAD"/>
    <w:rsid w:val="001E3C57"/>
    <w:rsid w:val="001E3CD5"/>
    <w:rsid w:val="001E48F8"/>
    <w:rsid w:val="001E4CD1"/>
    <w:rsid w:val="001E4D80"/>
    <w:rsid w:val="001E4DFD"/>
    <w:rsid w:val="001E5771"/>
    <w:rsid w:val="001E58FB"/>
    <w:rsid w:val="001E5C98"/>
    <w:rsid w:val="001E614D"/>
    <w:rsid w:val="001E6DEB"/>
    <w:rsid w:val="001E6F43"/>
    <w:rsid w:val="001E6FA3"/>
    <w:rsid w:val="001E6FD4"/>
    <w:rsid w:val="001E70D5"/>
    <w:rsid w:val="001E72AF"/>
    <w:rsid w:val="001E76DE"/>
    <w:rsid w:val="001E7C24"/>
    <w:rsid w:val="001F01CD"/>
    <w:rsid w:val="001F0491"/>
    <w:rsid w:val="001F1219"/>
    <w:rsid w:val="001F1382"/>
    <w:rsid w:val="001F1698"/>
    <w:rsid w:val="001F1ABA"/>
    <w:rsid w:val="001F1C02"/>
    <w:rsid w:val="001F1F91"/>
    <w:rsid w:val="001F212A"/>
    <w:rsid w:val="001F248A"/>
    <w:rsid w:val="001F2689"/>
    <w:rsid w:val="001F299C"/>
    <w:rsid w:val="001F3162"/>
    <w:rsid w:val="001F3A89"/>
    <w:rsid w:val="001F3D0A"/>
    <w:rsid w:val="001F465B"/>
    <w:rsid w:val="001F4F54"/>
    <w:rsid w:val="001F4F63"/>
    <w:rsid w:val="001F522D"/>
    <w:rsid w:val="001F5414"/>
    <w:rsid w:val="001F577F"/>
    <w:rsid w:val="001F5792"/>
    <w:rsid w:val="001F5D19"/>
    <w:rsid w:val="001F5E57"/>
    <w:rsid w:val="001F5F3C"/>
    <w:rsid w:val="001F5FA9"/>
    <w:rsid w:val="001F627C"/>
    <w:rsid w:val="001F66FF"/>
    <w:rsid w:val="001F6DFA"/>
    <w:rsid w:val="001F6F42"/>
    <w:rsid w:val="001F6F58"/>
    <w:rsid w:val="001F707F"/>
    <w:rsid w:val="001F7241"/>
    <w:rsid w:val="001F77B3"/>
    <w:rsid w:val="00200069"/>
    <w:rsid w:val="0020066D"/>
    <w:rsid w:val="0020088D"/>
    <w:rsid w:val="00200CD4"/>
    <w:rsid w:val="00200DA8"/>
    <w:rsid w:val="00200FC3"/>
    <w:rsid w:val="00201227"/>
    <w:rsid w:val="0020165E"/>
    <w:rsid w:val="002017EA"/>
    <w:rsid w:val="002018DF"/>
    <w:rsid w:val="00201913"/>
    <w:rsid w:val="00201B2B"/>
    <w:rsid w:val="00201E9E"/>
    <w:rsid w:val="00201EF5"/>
    <w:rsid w:val="002021F0"/>
    <w:rsid w:val="002026AC"/>
    <w:rsid w:val="00202E71"/>
    <w:rsid w:val="00202E90"/>
    <w:rsid w:val="0020308A"/>
    <w:rsid w:val="002032A5"/>
    <w:rsid w:val="002039D8"/>
    <w:rsid w:val="00203B29"/>
    <w:rsid w:val="00203D3E"/>
    <w:rsid w:val="00204033"/>
    <w:rsid w:val="002040DA"/>
    <w:rsid w:val="00204658"/>
    <w:rsid w:val="00204A07"/>
    <w:rsid w:val="00205236"/>
    <w:rsid w:val="00205993"/>
    <w:rsid w:val="00205C40"/>
    <w:rsid w:val="00205E78"/>
    <w:rsid w:val="00206096"/>
    <w:rsid w:val="002061A6"/>
    <w:rsid w:val="00206424"/>
    <w:rsid w:val="0020651B"/>
    <w:rsid w:val="002072C2"/>
    <w:rsid w:val="002079FD"/>
    <w:rsid w:val="00207B0A"/>
    <w:rsid w:val="00210132"/>
    <w:rsid w:val="002103F8"/>
    <w:rsid w:val="0021044B"/>
    <w:rsid w:val="00210551"/>
    <w:rsid w:val="00210F67"/>
    <w:rsid w:val="00211246"/>
    <w:rsid w:val="00211301"/>
    <w:rsid w:val="002113E4"/>
    <w:rsid w:val="002116B8"/>
    <w:rsid w:val="00211DA7"/>
    <w:rsid w:val="00211E23"/>
    <w:rsid w:val="00211EA8"/>
    <w:rsid w:val="0021235F"/>
    <w:rsid w:val="00212381"/>
    <w:rsid w:val="002129F2"/>
    <w:rsid w:val="00212AC1"/>
    <w:rsid w:val="00212F3D"/>
    <w:rsid w:val="0021317A"/>
    <w:rsid w:val="0021324E"/>
    <w:rsid w:val="002139B7"/>
    <w:rsid w:val="00213BD7"/>
    <w:rsid w:val="00213F70"/>
    <w:rsid w:val="00214065"/>
    <w:rsid w:val="00214467"/>
    <w:rsid w:val="00214502"/>
    <w:rsid w:val="00214513"/>
    <w:rsid w:val="002146C3"/>
    <w:rsid w:val="00214DBC"/>
    <w:rsid w:val="00214F45"/>
    <w:rsid w:val="00215693"/>
    <w:rsid w:val="002156D0"/>
    <w:rsid w:val="002157D3"/>
    <w:rsid w:val="00215AC8"/>
    <w:rsid w:val="00215D1E"/>
    <w:rsid w:val="00215E0B"/>
    <w:rsid w:val="00215F6E"/>
    <w:rsid w:val="00216710"/>
    <w:rsid w:val="00217298"/>
    <w:rsid w:val="002178D5"/>
    <w:rsid w:val="00217A04"/>
    <w:rsid w:val="00217A42"/>
    <w:rsid w:val="00217B0B"/>
    <w:rsid w:val="00217FE9"/>
    <w:rsid w:val="00220040"/>
    <w:rsid w:val="002201ED"/>
    <w:rsid w:val="0022053E"/>
    <w:rsid w:val="00220922"/>
    <w:rsid w:val="00220E4D"/>
    <w:rsid w:val="00220E8D"/>
    <w:rsid w:val="00220F71"/>
    <w:rsid w:val="002218AB"/>
    <w:rsid w:val="00221AA1"/>
    <w:rsid w:val="00221F19"/>
    <w:rsid w:val="00222643"/>
    <w:rsid w:val="002226B0"/>
    <w:rsid w:val="00222B2F"/>
    <w:rsid w:val="00223323"/>
    <w:rsid w:val="002236ED"/>
    <w:rsid w:val="0022372B"/>
    <w:rsid w:val="002238FC"/>
    <w:rsid w:val="00223CDB"/>
    <w:rsid w:val="00223D0A"/>
    <w:rsid w:val="00223D27"/>
    <w:rsid w:val="00224070"/>
    <w:rsid w:val="002241CF"/>
    <w:rsid w:val="002245F3"/>
    <w:rsid w:val="002246F0"/>
    <w:rsid w:val="00224C19"/>
    <w:rsid w:val="00224E78"/>
    <w:rsid w:val="002251AB"/>
    <w:rsid w:val="00225396"/>
    <w:rsid w:val="00225561"/>
    <w:rsid w:val="002257C8"/>
    <w:rsid w:val="00225824"/>
    <w:rsid w:val="00225EA7"/>
    <w:rsid w:val="00226469"/>
    <w:rsid w:val="00226660"/>
    <w:rsid w:val="002267D0"/>
    <w:rsid w:val="0022695A"/>
    <w:rsid w:val="00226D29"/>
    <w:rsid w:val="00227038"/>
    <w:rsid w:val="002278EA"/>
    <w:rsid w:val="002278FB"/>
    <w:rsid w:val="002279EC"/>
    <w:rsid w:val="00227B07"/>
    <w:rsid w:val="00227BE4"/>
    <w:rsid w:val="002300F6"/>
    <w:rsid w:val="00230294"/>
    <w:rsid w:val="00230451"/>
    <w:rsid w:val="002305DB"/>
    <w:rsid w:val="00230751"/>
    <w:rsid w:val="002308C4"/>
    <w:rsid w:val="00230A1D"/>
    <w:rsid w:val="00230A7B"/>
    <w:rsid w:val="00230B8F"/>
    <w:rsid w:val="00230F0C"/>
    <w:rsid w:val="00231172"/>
    <w:rsid w:val="00231239"/>
    <w:rsid w:val="002315E6"/>
    <w:rsid w:val="002316A4"/>
    <w:rsid w:val="0023171E"/>
    <w:rsid w:val="002318B0"/>
    <w:rsid w:val="00231A25"/>
    <w:rsid w:val="00231A98"/>
    <w:rsid w:val="00232050"/>
    <w:rsid w:val="00232815"/>
    <w:rsid w:val="00232EC4"/>
    <w:rsid w:val="002332A6"/>
    <w:rsid w:val="00233AD3"/>
    <w:rsid w:val="00233C32"/>
    <w:rsid w:val="00234179"/>
    <w:rsid w:val="00234367"/>
    <w:rsid w:val="002344F8"/>
    <w:rsid w:val="00234B93"/>
    <w:rsid w:val="002351C8"/>
    <w:rsid w:val="002353C9"/>
    <w:rsid w:val="00235869"/>
    <w:rsid w:val="002359AA"/>
    <w:rsid w:val="002359BB"/>
    <w:rsid w:val="00235C4D"/>
    <w:rsid w:val="00235C69"/>
    <w:rsid w:val="00235DAD"/>
    <w:rsid w:val="0023674D"/>
    <w:rsid w:val="0023687E"/>
    <w:rsid w:val="00236AFB"/>
    <w:rsid w:val="00236CB0"/>
    <w:rsid w:val="00236E56"/>
    <w:rsid w:val="00237A76"/>
    <w:rsid w:val="00237DCB"/>
    <w:rsid w:val="002401F1"/>
    <w:rsid w:val="00240369"/>
    <w:rsid w:val="00240506"/>
    <w:rsid w:val="00241449"/>
    <w:rsid w:val="002414D0"/>
    <w:rsid w:val="00241A12"/>
    <w:rsid w:val="002420F8"/>
    <w:rsid w:val="00242210"/>
    <w:rsid w:val="00242C29"/>
    <w:rsid w:val="00242DBD"/>
    <w:rsid w:val="00242FFC"/>
    <w:rsid w:val="00243043"/>
    <w:rsid w:val="002430BE"/>
    <w:rsid w:val="0024319A"/>
    <w:rsid w:val="002431D8"/>
    <w:rsid w:val="00243659"/>
    <w:rsid w:val="00243755"/>
    <w:rsid w:val="00243A74"/>
    <w:rsid w:val="00243BC3"/>
    <w:rsid w:val="00243FFE"/>
    <w:rsid w:val="00244269"/>
    <w:rsid w:val="002446D7"/>
    <w:rsid w:val="0024481B"/>
    <w:rsid w:val="00244EA4"/>
    <w:rsid w:val="00244F38"/>
    <w:rsid w:val="0024507F"/>
    <w:rsid w:val="002450BA"/>
    <w:rsid w:val="00245466"/>
    <w:rsid w:val="00245979"/>
    <w:rsid w:val="00245AD3"/>
    <w:rsid w:val="00246317"/>
    <w:rsid w:val="0024666C"/>
    <w:rsid w:val="00246A18"/>
    <w:rsid w:val="00246DA1"/>
    <w:rsid w:val="0024738A"/>
    <w:rsid w:val="00247D7B"/>
    <w:rsid w:val="00247E05"/>
    <w:rsid w:val="0025047E"/>
    <w:rsid w:val="00250A84"/>
    <w:rsid w:val="00250CBB"/>
    <w:rsid w:val="00250EA6"/>
    <w:rsid w:val="00250FFD"/>
    <w:rsid w:val="00251263"/>
    <w:rsid w:val="00251A74"/>
    <w:rsid w:val="00251A89"/>
    <w:rsid w:val="00251C77"/>
    <w:rsid w:val="0025223A"/>
    <w:rsid w:val="002522BF"/>
    <w:rsid w:val="00252AA6"/>
    <w:rsid w:val="00252B05"/>
    <w:rsid w:val="00252CEF"/>
    <w:rsid w:val="0025326D"/>
    <w:rsid w:val="0025362F"/>
    <w:rsid w:val="00253D2E"/>
    <w:rsid w:val="00253E79"/>
    <w:rsid w:val="00253F0F"/>
    <w:rsid w:val="00254150"/>
    <w:rsid w:val="002542CF"/>
    <w:rsid w:val="002543B6"/>
    <w:rsid w:val="00254438"/>
    <w:rsid w:val="00254794"/>
    <w:rsid w:val="00254A0E"/>
    <w:rsid w:val="002552F0"/>
    <w:rsid w:val="00255656"/>
    <w:rsid w:val="002556E2"/>
    <w:rsid w:val="002557F9"/>
    <w:rsid w:val="00255828"/>
    <w:rsid w:val="00255CF1"/>
    <w:rsid w:val="00256078"/>
    <w:rsid w:val="00256A9B"/>
    <w:rsid w:val="0025701E"/>
    <w:rsid w:val="00257134"/>
    <w:rsid w:val="0025714B"/>
    <w:rsid w:val="00257927"/>
    <w:rsid w:val="00257B61"/>
    <w:rsid w:val="00260078"/>
    <w:rsid w:val="00260986"/>
    <w:rsid w:val="00260AF0"/>
    <w:rsid w:val="00261273"/>
    <w:rsid w:val="00261275"/>
    <w:rsid w:val="00261448"/>
    <w:rsid w:val="002616CA"/>
    <w:rsid w:val="002617F1"/>
    <w:rsid w:val="0026182D"/>
    <w:rsid w:val="002619A4"/>
    <w:rsid w:val="00262180"/>
    <w:rsid w:val="00262416"/>
    <w:rsid w:val="00262686"/>
    <w:rsid w:val="00262784"/>
    <w:rsid w:val="002629E0"/>
    <w:rsid w:val="00262C85"/>
    <w:rsid w:val="00262D3F"/>
    <w:rsid w:val="00262E40"/>
    <w:rsid w:val="00262EDC"/>
    <w:rsid w:val="0026345A"/>
    <w:rsid w:val="00263C6A"/>
    <w:rsid w:val="00263D54"/>
    <w:rsid w:val="00263FCC"/>
    <w:rsid w:val="0026569F"/>
    <w:rsid w:val="00265EC2"/>
    <w:rsid w:val="00266222"/>
    <w:rsid w:val="00266242"/>
    <w:rsid w:val="0026639F"/>
    <w:rsid w:val="0026669B"/>
    <w:rsid w:val="002666B1"/>
    <w:rsid w:val="00267335"/>
    <w:rsid w:val="0026739A"/>
    <w:rsid w:val="00267581"/>
    <w:rsid w:val="00267B1D"/>
    <w:rsid w:val="00270141"/>
    <w:rsid w:val="002708C7"/>
    <w:rsid w:val="00270AF5"/>
    <w:rsid w:val="0027125D"/>
    <w:rsid w:val="002712E2"/>
    <w:rsid w:val="002717C9"/>
    <w:rsid w:val="00271E19"/>
    <w:rsid w:val="00271E99"/>
    <w:rsid w:val="00271F93"/>
    <w:rsid w:val="002720C9"/>
    <w:rsid w:val="002724C1"/>
    <w:rsid w:val="00272678"/>
    <w:rsid w:val="0027277A"/>
    <w:rsid w:val="00272910"/>
    <w:rsid w:val="00273C1B"/>
    <w:rsid w:val="0027417A"/>
    <w:rsid w:val="00274A2E"/>
    <w:rsid w:val="00274A9F"/>
    <w:rsid w:val="00274CFA"/>
    <w:rsid w:val="00274E02"/>
    <w:rsid w:val="00275597"/>
    <w:rsid w:val="0027593A"/>
    <w:rsid w:val="00275A26"/>
    <w:rsid w:val="00275D1E"/>
    <w:rsid w:val="00276198"/>
    <w:rsid w:val="00276453"/>
    <w:rsid w:val="002768A6"/>
    <w:rsid w:val="002768FC"/>
    <w:rsid w:val="00276A09"/>
    <w:rsid w:val="00276CEA"/>
    <w:rsid w:val="00276E63"/>
    <w:rsid w:val="002770BB"/>
    <w:rsid w:val="002770C4"/>
    <w:rsid w:val="00277823"/>
    <w:rsid w:val="002778D2"/>
    <w:rsid w:val="00277A57"/>
    <w:rsid w:val="00277E3B"/>
    <w:rsid w:val="00277E9F"/>
    <w:rsid w:val="00280130"/>
    <w:rsid w:val="002802CF"/>
    <w:rsid w:val="0028080A"/>
    <w:rsid w:val="00280E47"/>
    <w:rsid w:val="00280FBD"/>
    <w:rsid w:val="0028115F"/>
    <w:rsid w:val="00281409"/>
    <w:rsid w:val="00281FFE"/>
    <w:rsid w:val="002820C9"/>
    <w:rsid w:val="002821CC"/>
    <w:rsid w:val="00282314"/>
    <w:rsid w:val="002829CA"/>
    <w:rsid w:val="002829CB"/>
    <w:rsid w:val="00282BD1"/>
    <w:rsid w:val="0028350D"/>
    <w:rsid w:val="0028364E"/>
    <w:rsid w:val="00283744"/>
    <w:rsid w:val="00283C2E"/>
    <w:rsid w:val="002840D4"/>
    <w:rsid w:val="00284923"/>
    <w:rsid w:val="00284AC8"/>
    <w:rsid w:val="00284BCA"/>
    <w:rsid w:val="00285003"/>
    <w:rsid w:val="002856D6"/>
    <w:rsid w:val="002859E3"/>
    <w:rsid w:val="00285B3C"/>
    <w:rsid w:val="00285C1C"/>
    <w:rsid w:val="00285FB3"/>
    <w:rsid w:val="00286400"/>
    <w:rsid w:val="0028646A"/>
    <w:rsid w:val="002869E9"/>
    <w:rsid w:val="00286AC1"/>
    <w:rsid w:val="00286D8C"/>
    <w:rsid w:val="00286DC7"/>
    <w:rsid w:val="002870C6"/>
    <w:rsid w:val="002878D7"/>
    <w:rsid w:val="00287BDC"/>
    <w:rsid w:val="00290040"/>
    <w:rsid w:val="0029004F"/>
    <w:rsid w:val="00290204"/>
    <w:rsid w:val="00290511"/>
    <w:rsid w:val="0029097D"/>
    <w:rsid w:val="002909D4"/>
    <w:rsid w:val="0029159F"/>
    <w:rsid w:val="00291BF7"/>
    <w:rsid w:val="00291C60"/>
    <w:rsid w:val="00291CB5"/>
    <w:rsid w:val="002921CF"/>
    <w:rsid w:val="00292E5A"/>
    <w:rsid w:val="00292E5B"/>
    <w:rsid w:val="00293068"/>
    <w:rsid w:val="00293344"/>
    <w:rsid w:val="002933A8"/>
    <w:rsid w:val="002935B4"/>
    <w:rsid w:val="0029385A"/>
    <w:rsid w:val="002938F5"/>
    <w:rsid w:val="0029395C"/>
    <w:rsid w:val="00294279"/>
    <w:rsid w:val="002942F9"/>
    <w:rsid w:val="002946C8"/>
    <w:rsid w:val="00294B14"/>
    <w:rsid w:val="00294C43"/>
    <w:rsid w:val="002952DD"/>
    <w:rsid w:val="0029539E"/>
    <w:rsid w:val="0029561C"/>
    <w:rsid w:val="002957B8"/>
    <w:rsid w:val="0029583B"/>
    <w:rsid w:val="00295912"/>
    <w:rsid w:val="00295942"/>
    <w:rsid w:val="00295968"/>
    <w:rsid w:val="00295CB7"/>
    <w:rsid w:val="00295F54"/>
    <w:rsid w:val="002962AE"/>
    <w:rsid w:val="00296C0B"/>
    <w:rsid w:val="00297AFE"/>
    <w:rsid w:val="00297F66"/>
    <w:rsid w:val="002A02C1"/>
    <w:rsid w:val="002A0BDE"/>
    <w:rsid w:val="002A12D2"/>
    <w:rsid w:val="002A135E"/>
    <w:rsid w:val="002A1915"/>
    <w:rsid w:val="002A19CC"/>
    <w:rsid w:val="002A1A77"/>
    <w:rsid w:val="002A2E9D"/>
    <w:rsid w:val="002A32EE"/>
    <w:rsid w:val="002A372D"/>
    <w:rsid w:val="002A3ACC"/>
    <w:rsid w:val="002A424A"/>
    <w:rsid w:val="002A46BC"/>
    <w:rsid w:val="002A4F10"/>
    <w:rsid w:val="002A50C6"/>
    <w:rsid w:val="002A512B"/>
    <w:rsid w:val="002A5166"/>
    <w:rsid w:val="002A59C1"/>
    <w:rsid w:val="002A5C25"/>
    <w:rsid w:val="002A5C54"/>
    <w:rsid w:val="002A5EB3"/>
    <w:rsid w:val="002A5FDF"/>
    <w:rsid w:val="002A6440"/>
    <w:rsid w:val="002A64E2"/>
    <w:rsid w:val="002A64FA"/>
    <w:rsid w:val="002A6934"/>
    <w:rsid w:val="002A713A"/>
    <w:rsid w:val="002A72F8"/>
    <w:rsid w:val="002A7449"/>
    <w:rsid w:val="002A76A8"/>
    <w:rsid w:val="002A7C44"/>
    <w:rsid w:val="002B0414"/>
    <w:rsid w:val="002B05D1"/>
    <w:rsid w:val="002B072C"/>
    <w:rsid w:val="002B0875"/>
    <w:rsid w:val="002B0B65"/>
    <w:rsid w:val="002B0CC0"/>
    <w:rsid w:val="002B178D"/>
    <w:rsid w:val="002B1AD9"/>
    <w:rsid w:val="002B1BFC"/>
    <w:rsid w:val="002B212F"/>
    <w:rsid w:val="002B2508"/>
    <w:rsid w:val="002B2BFD"/>
    <w:rsid w:val="002B3426"/>
    <w:rsid w:val="002B3907"/>
    <w:rsid w:val="002B39D7"/>
    <w:rsid w:val="002B3C2F"/>
    <w:rsid w:val="002B3D30"/>
    <w:rsid w:val="002B4051"/>
    <w:rsid w:val="002B425F"/>
    <w:rsid w:val="002B479C"/>
    <w:rsid w:val="002B4AA9"/>
    <w:rsid w:val="002B4F0C"/>
    <w:rsid w:val="002B50B0"/>
    <w:rsid w:val="002B53AC"/>
    <w:rsid w:val="002B55F8"/>
    <w:rsid w:val="002B5B33"/>
    <w:rsid w:val="002B5BFE"/>
    <w:rsid w:val="002B5C11"/>
    <w:rsid w:val="002B5E5F"/>
    <w:rsid w:val="002B66F2"/>
    <w:rsid w:val="002B685E"/>
    <w:rsid w:val="002B6D0A"/>
    <w:rsid w:val="002B6DC5"/>
    <w:rsid w:val="002B793B"/>
    <w:rsid w:val="002B7D2A"/>
    <w:rsid w:val="002B7FCE"/>
    <w:rsid w:val="002C058E"/>
    <w:rsid w:val="002C1626"/>
    <w:rsid w:val="002C19B7"/>
    <w:rsid w:val="002C1D3F"/>
    <w:rsid w:val="002C1F28"/>
    <w:rsid w:val="002C23ED"/>
    <w:rsid w:val="002C2446"/>
    <w:rsid w:val="002C2B5D"/>
    <w:rsid w:val="002C3057"/>
    <w:rsid w:val="002C3831"/>
    <w:rsid w:val="002C3A3F"/>
    <w:rsid w:val="002C3B60"/>
    <w:rsid w:val="002C3E3C"/>
    <w:rsid w:val="002C3F3C"/>
    <w:rsid w:val="002C4196"/>
    <w:rsid w:val="002C424D"/>
    <w:rsid w:val="002C4884"/>
    <w:rsid w:val="002C4D59"/>
    <w:rsid w:val="002C4FEC"/>
    <w:rsid w:val="002C503C"/>
    <w:rsid w:val="002C50C7"/>
    <w:rsid w:val="002C549A"/>
    <w:rsid w:val="002C5585"/>
    <w:rsid w:val="002C5823"/>
    <w:rsid w:val="002C5D57"/>
    <w:rsid w:val="002C604A"/>
    <w:rsid w:val="002C60B4"/>
    <w:rsid w:val="002C61EA"/>
    <w:rsid w:val="002C637B"/>
    <w:rsid w:val="002C66D5"/>
    <w:rsid w:val="002C66F8"/>
    <w:rsid w:val="002C678B"/>
    <w:rsid w:val="002C6987"/>
    <w:rsid w:val="002C6D23"/>
    <w:rsid w:val="002C6DFE"/>
    <w:rsid w:val="002C72E8"/>
    <w:rsid w:val="002C73EA"/>
    <w:rsid w:val="002C73F1"/>
    <w:rsid w:val="002C76A7"/>
    <w:rsid w:val="002C7701"/>
    <w:rsid w:val="002C7B1E"/>
    <w:rsid w:val="002C7C66"/>
    <w:rsid w:val="002C7D82"/>
    <w:rsid w:val="002D0232"/>
    <w:rsid w:val="002D0755"/>
    <w:rsid w:val="002D0CFF"/>
    <w:rsid w:val="002D104C"/>
    <w:rsid w:val="002D1324"/>
    <w:rsid w:val="002D1CBE"/>
    <w:rsid w:val="002D1E48"/>
    <w:rsid w:val="002D2026"/>
    <w:rsid w:val="002D3230"/>
    <w:rsid w:val="002D37AB"/>
    <w:rsid w:val="002D38BB"/>
    <w:rsid w:val="002D3AAD"/>
    <w:rsid w:val="002D3E79"/>
    <w:rsid w:val="002D413F"/>
    <w:rsid w:val="002D4557"/>
    <w:rsid w:val="002D4710"/>
    <w:rsid w:val="002D4988"/>
    <w:rsid w:val="002D4DA7"/>
    <w:rsid w:val="002D50B2"/>
    <w:rsid w:val="002D520E"/>
    <w:rsid w:val="002D578F"/>
    <w:rsid w:val="002D59C6"/>
    <w:rsid w:val="002D5CC9"/>
    <w:rsid w:val="002D5FB9"/>
    <w:rsid w:val="002D6096"/>
    <w:rsid w:val="002D6154"/>
    <w:rsid w:val="002D63D8"/>
    <w:rsid w:val="002D665D"/>
    <w:rsid w:val="002D69D3"/>
    <w:rsid w:val="002D6DB2"/>
    <w:rsid w:val="002D7199"/>
    <w:rsid w:val="002D7284"/>
    <w:rsid w:val="002D7669"/>
    <w:rsid w:val="002D791D"/>
    <w:rsid w:val="002D7A64"/>
    <w:rsid w:val="002D7BD1"/>
    <w:rsid w:val="002D7BF6"/>
    <w:rsid w:val="002D7C6C"/>
    <w:rsid w:val="002D7F57"/>
    <w:rsid w:val="002E03FD"/>
    <w:rsid w:val="002E0422"/>
    <w:rsid w:val="002E0E22"/>
    <w:rsid w:val="002E0F7D"/>
    <w:rsid w:val="002E11D4"/>
    <w:rsid w:val="002E1261"/>
    <w:rsid w:val="002E1687"/>
    <w:rsid w:val="002E1893"/>
    <w:rsid w:val="002E1957"/>
    <w:rsid w:val="002E1C83"/>
    <w:rsid w:val="002E1F97"/>
    <w:rsid w:val="002E28AC"/>
    <w:rsid w:val="002E2F45"/>
    <w:rsid w:val="002E32F3"/>
    <w:rsid w:val="002E34E0"/>
    <w:rsid w:val="002E34FB"/>
    <w:rsid w:val="002E3A11"/>
    <w:rsid w:val="002E40A5"/>
    <w:rsid w:val="002E41EB"/>
    <w:rsid w:val="002E420E"/>
    <w:rsid w:val="002E4AB5"/>
    <w:rsid w:val="002E4D20"/>
    <w:rsid w:val="002E4DE3"/>
    <w:rsid w:val="002E4FB0"/>
    <w:rsid w:val="002E5201"/>
    <w:rsid w:val="002E529D"/>
    <w:rsid w:val="002E56FE"/>
    <w:rsid w:val="002E5887"/>
    <w:rsid w:val="002E5DEF"/>
    <w:rsid w:val="002E6221"/>
    <w:rsid w:val="002E6477"/>
    <w:rsid w:val="002E6614"/>
    <w:rsid w:val="002E67EE"/>
    <w:rsid w:val="002E68BC"/>
    <w:rsid w:val="002E70C9"/>
    <w:rsid w:val="002E70E5"/>
    <w:rsid w:val="002E7AFD"/>
    <w:rsid w:val="002E7C3F"/>
    <w:rsid w:val="002F0127"/>
    <w:rsid w:val="002F021C"/>
    <w:rsid w:val="002F08C5"/>
    <w:rsid w:val="002F0A70"/>
    <w:rsid w:val="002F0B4E"/>
    <w:rsid w:val="002F10A1"/>
    <w:rsid w:val="002F1881"/>
    <w:rsid w:val="002F1AD2"/>
    <w:rsid w:val="002F1F13"/>
    <w:rsid w:val="002F20D1"/>
    <w:rsid w:val="002F20F7"/>
    <w:rsid w:val="002F28BB"/>
    <w:rsid w:val="002F29FA"/>
    <w:rsid w:val="002F2A48"/>
    <w:rsid w:val="002F2CEE"/>
    <w:rsid w:val="002F3088"/>
    <w:rsid w:val="002F3428"/>
    <w:rsid w:val="002F3825"/>
    <w:rsid w:val="002F3E03"/>
    <w:rsid w:val="002F41E5"/>
    <w:rsid w:val="002F421C"/>
    <w:rsid w:val="002F426C"/>
    <w:rsid w:val="002F4A92"/>
    <w:rsid w:val="002F4BAD"/>
    <w:rsid w:val="002F5BCB"/>
    <w:rsid w:val="002F5C32"/>
    <w:rsid w:val="002F6319"/>
    <w:rsid w:val="002F655F"/>
    <w:rsid w:val="002F67B5"/>
    <w:rsid w:val="002F67E6"/>
    <w:rsid w:val="002F6834"/>
    <w:rsid w:val="002F6E9C"/>
    <w:rsid w:val="002F6F43"/>
    <w:rsid w:val="002F7091"/>
    <w:rsid w:val="002F756A"/>
    <w:rsid w:val="002F778A"/>
    <w:rsid w:val="002F79A1"/>
    <w:rsid w:val="002F7DBE"/>
    <w:rsid w:val="0030090E"/>
    <w:rsid w:val="0030110F"/>
    <w:rsid w:val="003011DB"/>
    <w:rsid w:val="00301A06"/>
    <w:rsid w:val="00301D72"/>
    <w:rsid w:val="00301E08"/>
    <w:rsid w:val="00301E43"/>
    <w:rsid w:val="00302476"/>
    <w:rsid w:val="003025DF"/>
    <w:rsid w:val="003029E1"/>
    <w:rsid w:val="00302C44"/>
    <w:rsid w:val="003030F9"/>
    <w:rsid w:val="00303161"/>
    <w:rsid w:val="0030329C"/>
    <w:rsid w:val="003034A8"/>
    <w:rsid w:val="003039C6"/>
    <w:rsid w:val="00304614"/>
    <w:rsid w:val="003046C4"/>
    <w:rsid w:val="00304D43"/>
    <w:rsid w:val="00304DD7"/>
    <w:rsid w:val="00304E5F"/>
    <w:rsid w:val="00305FE9"/>
    <w:rsid w:val="003065A0"/>
    <w:rsid w:val="00306979"/>
    <w:rsid w:val="00306F07"/>
    <w:rsid w:val="00307026"/>
    <w:rsid w:val="0030730D"/>
    <w:rsid w:val="003078F5"/>
    <w:rsid w:val="00307987"/>
    <w:rsid w:val="00307A4A"/>
    <w:rsid w:val="00307BAC"/>
    <w:rsid w:val="00307C6B"/>
    <w:rsid w:val="00307E49"/>
    <w:rsid w:val="00310354"/>
    <w:rsid w:val="003104F7"/>
    <w:rsid w:val="0031098D"/>
    <w:rsid w:val="00310B02"/>
    <w:rsid w:val="00310F00"/>
    <w:rsid w:val="00310FE4"/>
    <w:rsid w:val="003110E7"/>
    <w:rsid w:val="0031141F"/>
    <w:rsid w:val="003114E2"/>
    <w:rsid w:val="00311808"/>
    <w:rsid w:val="00311938"/>
    <w:rsid w:val="00312147"/>
    <w:rsid w:val="003126C5"/>
    <w:rsid w:val="00312982"/>
    <w:rsid w:val="00312DEC"/>
    <w:rsid w:val="00312E30"/>
    <w:rsid w:val="00312F96"/>
    <w:rsid w:val="00314265"/>
    <w:rsid w:val="0031444E"/>
    <w:rsid w:val="00314925"/>
    <w:rsid w:val="00314AD2"/>
    <w:rsid w:val="00314B0A"/>
    <w:rsid w:val="00314D0D"/>
    <w:rsid w:val="00314EB2"/>
    <w:rsid w:val="00315966"/>
    <w:rsid w:val="00315E44"/>
    <w:rsid w:val="00315FB5"/>
    <w:rsid w:val="0031639C"/>
    <w:rsid w:val="003165D2"/>
    <w:rsid w:val="0031673D"/>
    <w:rsid w:val="003173DA"/>
    <w:rsid w:val="003174F3"/>
    <w:rsid w:val="00317B66"/>
    <w:rsid w:val="0032051C"/>
    <w:rsid w:val="003207DC"/>
    <w:rsid w:val="003213D1"/>
    <w:rsid w:val="00321B0E"/>
    <w:rsid w:val="00322138"/>
    <w:rsid w:val="00322150"/>
    <w:rsid w:val="00322283"/>
    <w:rsid w:val="003225EA"/>
    <w:rsid w:val="00322626"/>
    <w:rsid w:val="0032267C"/>
    <w:rsid w:val="00322A76"/>
    <w:rsid w:val="00322BFC"/>
    <w:rsid w:val="00322FAA"/>
    <w:rsid w:val="0032364C"/>
    <w:rsid w:val="00323857"/>
    <w:rsid w:val="00323883"/>
    <w:rsid w:val="00323930"/>
    <w:rsid w:val="00323C85"/>
    <w:rsid w:val="00323D55"/>
    <w:rsid w:val="003240E9"/>
    <w:rsid w:val="003241C3"/>
    <w:rsid w:val="003243BF"/>
    <w:rsid w:val="0032440E"/>
    <w:rsid w:val="0032490A"/>
    <w:rsid w:val="00324944"/>
    <w:rsid w:val="00324C4A"/>
    <w:rsid w:val="00324F23"/>
    <w:rsid w:val="00325068"/>
    <w:rsid w:val="00325C51"/>
    <w:rsid w:val="00325DDA"/>
    <w:rsid w:val="00325E82"/>
    <w:rsid w:val="00325F4C"/>
    <w:rsid w:val="003260E7"/>
    <w:rsid w:val="003263BF"/>
    <w:rsid w:val="00326A67"/>
    <w:rsid w:val="00326F50"/>
    <w:rsid w:val="0032704C"/>
    <w:rsid w:val="00327222"/>
    <w:rsid w:val="0032772D"/>
    <w:rsid w:val="00327CF6"/>
    <w:rsid w:val="0033014C"/>
    <w:rsid w:val="00330335"/>
    <w:rsid w:val="00330799"/>
    <w:rsid w:val="003307F6"/>
    <w:rsid w:val="00330B3A"/>
    <w:rsid w:val="00331467"/>
    <w:rsid w:val="003318D2"/>
    <w:rsid w:val="00331CDD"/>
    <w:rsid w:val="003323E0"/>
    <w:rsid w:val="0033265E"/>
    <w:rsid w:val="003326C3"/>
    <w:rsid w:val="0033270C"/>
    <w:rsid w:val="00332888"/>
    <w:rsid w:val="00332969"/>
    <w:rsid w:val="00332BCF"/>
    <w:rsid w:val="00332E90"/>
    <w:rsid w:val="00333062"/>
    <w:rsid w:val="003331C6"/>
    <w:rsid w:val="00333CC9"/>
    <w:rsid w:val="00334133"/>
    <w:rsid w:val="00334A0A"/>
    <w:rsid w:val="00334EA6"/>
    <w:rsid w:val="003350E3"/>
    <w:rsid w:val="003353DF"/>
    <w:rsid w:val="0033593F"/>
    <w:rsid w:val="00335B44"/>
    <w:rsid w:val="00336B97"/>
    <w:rsid w:val="00336BC6"/>
    <w:rsid w:val="00337280"/>
    <w:rsid w:val="00337470"/>
    <w:rsid w:val="0033765F"/>
    <w:rsid w:val="003379FB"/>
    <w:rsid w:val="00337A13"/>
    <w:rsid w:val="00340746"/>
    <w:rsid w:val="003407D7"/>
    <w:rsid w:val="0034085F"/>
    <w:rsid w:val="00340BE9"/>
    <w:rsid w:val="00340E09"/>
    <w:rsid w:val="00341007"/>
    <w:rsid w:val="00341154"/>
    <w:rsid w:val="003411A7"/>
    <w:rsid w:val="00341527"/>
    <w:rsid w:val="0034168D"/>
    <w:rsid w:val="003417D1"/>
    <w:rsid w:val="003418DB"/>
    <w:rsid w:val="003419AD"/>
    <w:rsid w:val="00342238"/>
    <w:rsid w:val="0034238C"/>
    <w:rsid w:val="00342458"/>
    <w:rsid w:val="00342B2E"/>
    <w:rsid w:val="00342BA4"/>
    <w:rsid w:val="00342E55"/>
    <w:rsid w:val="00342E70"/>
    <w:rsid w:val="00343C6C"/>
    <w:rsid w:val="00343F2C"/>
    <w:rsid w:val="003442B6"/>
    <w:rsid w:val="003445F7"/>
    <w:rsid w:val="0034475F"/>
    <w:rsid w:val="00344880"/>
    <w:rsid w:val="00344BEC"/>
    <w:rsid w:val="003454F4"/>
    <w:rsid w:val="003456CC"/>
    <w:rsid w:val="00345EB2"/>
    <w:rsid w:val="003463E0"/>
    <w:rsid w:val="00346644"/>
    <w:rsid w:val="00346699"/>
    <w:rsid w:val="00346C61"/>
    <w:rsid w:val="00346D8D"/>
    <w:rsid w:val="00346DBB"/>
    <w:rsid w:val="00346DC1"/>
    <w:rsid w:val="00346DDF"/>
    <w:rsid w:val="00347750"/>
    <w:rsid w:val="00347830"/>
    <w:rsid w:val="00347983"/>
    <w:rsid w:val="00347C60"/>
    <w:rsid w:val="00347F81"/>
    <w:rsid w:val="00350066"/>
    <w:rsid w:val="0035007F"/>
    <w:rsid w:val="00350136"/>
    <w:rsid w:val="003501A5"/>
    <w:rsid w:val="00350400"/>
    <w:rsid w:val="00350B07"/>
    <w:rsid w:val="00350C1B"/>
    <w:rsid w:val="00350C5A"/>
    <w:rsid w:val="00350EBE"/>
    <w:rsid w:val="00350F72"/>
    <w:rsid w:val="00351038"/>
    <w:rsid w:val="0035118E"/>
    <w:rsid w:val="003519A7"/>
    <w:rsid w:val="00351B4C"/>
    <w:rsid w:val="00351C2C"/>
    <w:rsid w:val="00352097"/>
    <w:rsid w:val="00352215"/>
    <w:rsid w:val="0035233E"/>
    <w:rsid w:val="0035241E"/>
    <w:rsid w:val="00352887"/>
    <w:rsid w:val="00352D25"/>
    <w:rsid w:val="00352DA7"/>
    <w:rsid w:val="00352E5D"/>
    <w:rsid w:val="00353082"/>
    <w:rsid w:val="003531EF"/>
    <w:rsid w:val="0035355E"/>
    <w:rsid w:val="003535A4"/>
    <w:rsid w:val="003535C7"/>
    <w:rsid w:val="00353607"/>
    <w:rsid w:val="00353AFE"/>
    <w:rsid w:val="003541EB"/>
    <w:rsid w:val="003544A2"/>
    <w:rsid w:val="0035489E"/>
    <w:rsid w:val="003548B3"/>
    <w:rsid w:val="003548C6"/>
    <w:rsid w:val="00355091"/>
    <w:rsid w:val="003550E8"/>
    <w:rsid w:val="003552E0"/>
    <w:rsid w:val="00355821"/>
    <w:rsid w:val="00355DD1"/>
    <w:rsid w:val="0035719A"/>
    <w:rsid w:val="0035726E"/>
    <w:rsid w:val="003574ED"/>
    <w:rsid w:val="0035785D"/>
    <w:rsid w:val="00357980"/>
    <w:rsid w:val="00357BF9"/>
    <w:rsid w:val="00357E73"/>
    <w:rsid w:val="00360143"/>
    <w:rsid w:val="0036053B"/>
    <w:rsid w:val="003608AC"/>
    <w:rsid w:val="0036191F"/>
    <w:rsid w:val="00361D1B"/>
    <w:rsid w:val="00361D46"/>
    <w:rsid w:val="003620FD"/>
    <w:rsid w:val="00363178"/>
    <w:rsid w:val="003631F2"/>
    <w:rsid w:val="003633E7"/>
    <w:rsid w:val="00363500"/>
    <w:rsid w:val="00363ECD"/>
    <w:rsid w:val="0036434C"/>
    <w:rsid w:val="00364533"/>
    <w:rsid w:val="00364636"/>
    <w:rsid w:val="00364B81"/>
    <w:rsid w:val="00364B8F"/>
    <w:rsid w:val="00364D55"/>
    <w:rsid w:val="00364E8F"/>
    <w:rsid w:val="00365307"/>
    <w:rsid w:val="003654C2"/>
    <w:rsid w:val="003655ED"/>
    <w:rsid w:val="0036590A"/>
    <w:rsid w:val="00365CBA"/>
    <w:rsid w:val="003664B5"/>
    <w:rsid w:val="003665F5"/>
    <w:rsid w:val="00366664"/>
    <w:rsid w:val="003666B0"/>
    <w:rsid w:val="00366EEC"/>
    <w:rsid w:val="00367082"/>
    <w:rsid w:val="003674CA"/>
    <w:rsid w:val="00367EA6"/>
    <w:rsid w:val="00370231"/>
    <w:rsid w:val="003702B8"/>
    <w:rsid w:val="0037038B"/>
    <w:rsid w:val="0037040E"/>
    <w:rsid w:val="00370462"/>
    <w:rsid w:val="00370696"/>
    <w:rsid w:val="003708DD"/>
    <w:rsid w:val="00370E37"/>
    <w:rsid w:val="00370F08"/>
    <w:rsid w:val="00370FCC"/>
    <w:rsid w:val="0037105F"/>
    <w:rsid w:val="0037112E"/>
    <w:rsid w:val="003713B8"/>
    <w:rsid w:val="00371418"/>
    <w:rsid w:val="00371506"/>
    <w:rsid w:val="0037160D"/>
    <w:rsid w:val="003719EC"/>
    <w:rsid w:val="00371A1C"/>
    <w:rsid w:val="00372332"/>
    <w:rsid w:val="00372382"/>
    <w:rsid w:val="00372877"/>
    <w:rsid w:val="00372D5C"/>
    <w:rsid w:val="00372E99"/>
    <w:rsid w:val="0037329E"/>
    <w:rsid w:val="0037393B"/>
    <w:rsid w:val="00373978"/>
    <w:rsid w:val="003739A4"/>
    <w:rsid w:val="00373AA0"/>
    <w:rsid w:val="00373BA0"/>
    <w:rsid w:val="00373BC7"/>
    <w:rsid w:val="00373C31"/>
    <w:rsid w:val="00373F01"/>
    <w:rsid w:val="0037479D"/>
    <w:rsid w:val="00374951"/>
    <w:rsid w:val="00374ACE"/>
    <w:rsid w:val="00374AF0"/>
    <w:rsid w:val="00374CED"/>
    <w:rsid w:val="003750AD"/>
    <w:rsid w:val="00375291"/>
    <w:rsid w:val="003756D6"/>
    <w:rsid w:val="00375772"/>
    <w:rsid w:val="00375780"/>
    <w:rsid w:val="00375C02"/>
    <w:rsid w:val="00375C2B"/>
    <w:rsid w:val="00375EFF"/>
    <w:rsid w:val="00376626"/>
    <w:rsid w:val="0037695B"/>
    <w:rsid w:val="00376CE9"/>
    <w:rsid w:val="00377009"/>
    <w:rsid w:val="00377627"/>
    <w:rsid w:val="003776A6"/>
    <w:rsid w:val="0037789B"/>
    <w:rsid w:val="00377915"/>
    <w:rsid w:val="00377BAA"/>
    <w:rsid w:val="003802B5"/>
    <w:rsid w:val="0038049A"/>
    <w:rsid w:val="0038068E"/>
    <w:rsid w:val="00380C70"/>
    <w:rsid w:val="00380CA9"/>
    <w:rsid w:val="00381592"/>
    <w:rsid w:val="003818EE"/>
    <w:rsid w:val="00381F11"/>
    <w:rsid w:val="0038251D"/>
    <w:rsid w:val="003826CF"/>
    <w:rsid w:val="003826D0"/>
    <w:rsid w:val="003829B9"/>
    <w:rsid w:val="00382E7F"/>
    <w:rsid w:val="003833C1"/>
    <w:rsid w:val="003835A7"/>
    <w:rsid w:val="00383A5C"/>
    <w:rsid w:val="00383BA0"/>
    <w:rsid w:val="00383D6C"/>
    <w:rsid w:val="00383FA1"/>
    <w:rsid w:val="0038455B"/>
    <w:rsid w:val="003848FA"/>
    <w:rsid w:val="00385174"/>
    <w:rsid w:val="003851C2"/>
    <w:rsid w:val="003851F8"/>
    <w:rsid w:val="003852F3"/>
    <w:rsid w:val="003853BB"/>
    <w:rsid w:val="003853FC"/>
    <w:rsid w:val="003856A5"/>
    <w:rsid w:val="0038571C"/>
    <w:rsid w:val="003857B5"/>
    <w:rsid w:val="00385ACC"/>
    <w:rsid w:val="00386023"/>
    <w:rsid w:val="003862F4"/>
    <w:rsid w:val="003863EF"/>
    <w:rsid w:val="00386C5E"/>
    <w:rsid w:val="0038716D"/>
    <w:rsid w:val="0038740C"/>
    <w:rsid w:val="00387628"/>
    <w:rsid w:val="003878C1"/>
    <w:rsid w:val="00387CAD"/>
    <w:rsid w:val="003904B2"/>
    <w:rsid w:val="00390E21"/>
    <w:rsid w:val="00390FCF"/>
    <w:rsid w:val="003912AC"/>
    <w:rsid w:val="0039143D"/>
    <w:rsid w:val="00391441"/>
    <w:rsid w:val="0039200E"/>
    <w:rsid w:val="0039228F"/>
    <w:rsid w:val="00392E35"/>
    <w:rsid w:val="00392EED"/>
    <w:rsid w:val="00393024"/>
    <w:rsid w:val="003930FA"/>
    <w:rsid w:val="0039326C"/>
    <w:rsid w:val="003936C0"/>
    <w:rsid w:val="00393822"/>
    <w:rsid w:val="00393963"/>
    <w:rsid w:val="00393AEC"/>
    <w:rsid w:val="00393E8D"/>
    <w:rsid w:val="00393E9F"/>
    <w:rsid w:val="0039417B"/>
    <w:rsid w:val="00394AD8"/>
    <w:rsid w:val="00394FD6"/>
    <w:rsid w:val="0039502D"/>
    <w:rsid w:val="00395337"/>
    <w:rsid w:val="0039534F"/>
    <w:rsid w:val="00395A23"/>
    <w:rsid w:val="00395A26"/>
    <w:rsid w:val="00395B24"/>
    <w:rsid w:val="00395C05"/>
    <w:rsid w:val="00395C34"/>
    <w:rsid w:val="00395F24"/>
    <w:rsid w:val="003960A1"/>
    <w:rsid w:val="003960DA"/>
    <w:rsid w:val="00396146"/>
    <w:rsid w:val="0039646B"/>
    <w:rsid w:val="00396E79"/>
    <w:rsid w:val="00397495"/>
    <w:rsid w:val="003978DB"/>
    <w:rsid w:val="00397B85"/>
    <w:rsid w:val="00397BE0"/>
    <w:rsid w:val="00397C25"/>
    <w:rsid w:val="003A0129"/>
    <w:rsid w:val="003A03D4"/>
    <w:rsid w:val="003A0725"/>
    <w:rsid w:val="003A09A5"/>
    <w:rsid w:val="003A0DBD"/>
    <w:rsid w:val="003A104D"/>
    <w:rsid w:val="003A10BE"/>
    <w:rsid w:val="003A118E"/>
    <w:rsid w:val="003A1FD3"/>
    <w:rsid w:val="003A22FF"/>
    <w:rsid w:val="003A2680"/>
    <w:rsid w:val="003A26F7"/>
    <w:rsid w:val="003A291A"/>
    <w:rsid w:val="003A2A10"/>
    <w:rsid w:val="003A2A59"/>
    <w:rsid w:val="003A2E38"/>
    <w:rsid w:val="003A30FD"/>
    <w:rsid w:val="003A334D"/>
    <w:rsid w:val="003A3357"/>
    <w:rsid w:val="003A3478"/>
    <w:rsid w:val="003A36D6"/>
    <w:rsid w:val="003A3F1F"/>
    <w:rsid w:val="003A3F5B"/>
    <w:rsid w:val="003A46C8"/>
    <w:rsid w:val="003A4750"/>
    <w:rsid w:val="003A478B"/>
    <w:rsid w:val="003A4AE8"/>
    <w:rsid w:val="003A4B98"/>
    <w:rsid w:val="003A518B"/>
    <w:rsid w:val="003A51A7"/>
    <w:rsid w:val="003A521A"/>
    <w:rsid w:val="003A549F"/>
    <w:rsid w:val="003A587C"/>
    <w:rsid w:val="003A60D6"/>
    <w:rsid w:val="003A6162"/>
    <w:rsid w:val="003A625E"/>
    <w:rsid w:val="003A65B7"/>
    <w:rsid w:val="003A6C90"/>
    <w:rsid w:val="003A6FB7"/>
    <w:rsid w:val="003A7120"/>
    <w:rsid w:val="003A73B9"/>
    <w:rsid w:val="003A76C5"/>
    <w:rsid w:val="003A77D9"/>
    <w:rsid w:val="003A7DD1"/>
    <w:rsid w:val="003B0AA3"/>
    <w:rsid w:val="003B0CBE"/>
    <w:rsid w:val="003B0FB1"/>
    <w:rsid w:val="003B10F7"/>
    <w:rsid w:val="003B21A8"/>
    <w:rsid w:val="003B22AE"/>
    <w:rsid w:val="003B23FA"/>
    <w:rsid w:val="003B2DD0"/>
    <w:rsid w:val="003B3326"/>
    <w:rsid w:val="003B3449"/>
    <w:rsid w:val="003B35E0"/>
    <w:rsid w:val="003B3863"/>
    <w:rsid w:val="003B3C61"/>
    <w:rsid w:val="003B3DBD"/>
    <w:rsid w:val="003B4536"/>
    <w:rsid w:val="003B4A80"/>
    <w:rsid w:val="003B4E6D"/>
    <w:rsid w:val="003B4F71"/>
    <w:rsid w:val="003B4FC9"/>
    <w:rsid w:val="003B507C"/>
    <w:rsid w:val="003B562C"/>
    <w:rsid w:val="003B5931"/>
    <w:rsid w:val="003B5E7C"/>
    <w:rsid w:val="003B6978"/>
    <w:rsid w:val="003B6AB0"/>
    <w:rsid w:val="003B6B27"/>
    <w:rsid w:val="003B70A3"/>
    <w:rsid w:val="003B733F"/>
    <w:rsid w:val="003B7875"/>
    <w:rsid w:val="003B7D10"/>
    <w:rsid w:val="003B7EE8"/>
    <w:rsid w:val="003C054A"/>
    <w:rsid w:val="003C078C"/>
    <w:rsid w:val="003C1215"/>
    <w:rsid w:val="003C17E7"/>
    <w:rsid w:val="003C191E"/>
    <w:rsid w:val="003C1A60"/>
    <w:rsid w:val="003C25FD"/>
    <w:rsid w:val="003C27FC"/>
    <w:rsid w:val="003C2E44"/>
    <w:rsid w:val="003C2EE9"/>
    <w:rsid w:val="003C3017"/>
    <w:rsid w:val="003C3094"/>
    <w:rsid w:val="003C33EC"/>
    <w:rsid w:val="003C340C"/>
    <w:rsid w:val="003C36C1"/>
    <w:rsid w:val="003C387C"/>
    <w:rsid w:val="003C3A6A"/>
    <w:rsid w:val="003C3C5A"/>
    <w:rsid w:val="003C3CFF"/>
    <w:rsid w:val="003C4626"/>
    <w:rsid w:val="003C4808"/>
    <w:rsid w:val="003C483C"/>
    <w:rsid w:val="003C4B03"/>
    <w:rsid w:val="003C4EB0"/>
    <w:rsid w:val="003C5816"/>
    <w:rsid w:val="003C5BE9"/>
    <w:rsid w:val="003C5DE3"/>
    <w:rsid w:val="003C6374"/>
    <w:rsid w:val="003C65BF"/>
    <w:rsid w:val="003C6AFB"/>
    <w:rsid w:val="003C6D2D"/>
    <w:rsid w:val="003C72CE"/>
    <w:rsid w:val="003C7AA2"/>
    <w:rsid w:val="003C7C50"/>
    <w:rsid w:val="003D028A"/>
    <w:rsid w:val="003D06C4"/>
    <w:rsid w:val="003D0F97"/>
    <w:rsid w:val="003D0FC8"/>
    <w:rsid w:val="003D1002"/>
    <w:rsid w:val="003D131C"/>
    <w:rsid w:val="003D194A"/>
    <w:rsid w:val="003D1E42"/>
    <w:rsid w:val="003D1F47"/>
    <w:rsid w:val="003D209F"/>
    <w:rsid w:val="003D2416"/>
    <w:rsid w:val="003D2495"/>
    <w:rsid w:val="003D24EA"/>
    <w:rsid w:val="003D2845"/>
    <w:rsid w:val="003D2AF9"/>
    <w:rsid w:val="003D2C3A"/>
    <w:rsid w:val="003D33B3"/>
    <w:rsid w:val="003D3C96"/>
    <w:rsid w:val="003D3D4B"/>
    <w:rsid w:val="003D3F10"/>
    <w:rsid w:val="003D42F9"/>
    <w:rsid w:val="003D474B"/>
    <w:rsid w:val="003D4B13"/>
    <w:rsid w:val="003D59BF"/>
    <w:rsid w:val="003D5B14"/>
    <w:rsid w:val="003D5D10"/>
    <w:rsid w:val="003D5F06"/>
    <w:rsid w:val="003D5F52"/>
    <w:rsid w:val="003D649C"/>
    <w:rsid w:val="003D6794"/>
    <w:rsid w:val="003D6C9A"/>
    <w:rsid w:val="003D6FDE"/>
    <w:rsid w:val="003D71BF"/>
    <w:rsid w:val="003D72AB"/>
    <w:rsid w:val="003D743E"/>
    <w:rsid w:val="003D796A"/>
    <w:rsid w:val="003D7CDD"/>
    <w:rsid w:val="003E012D"/>
    <w:rsid w:val="003E028C"/>
    <w:rsid w:val="003E03F8"/>
    <w:rsid w:val="003E0480"/>
    <w:rsid w:val="003E055C"/>
    <w:rsid w:val="003E08E8"/>
    <w:rsid w:val="003E0C4E"/>
    <w:rsid w:val="003E0F81"/>
    <w:rsid w:val="003E0FC5"/>
    <w:rsid w:val="003E0FE5"/>
    <w:rsid w:val="003E128C"/>
    <w:rsid w:val="003E1509"/>
    <w:rsid w:val="003E18D5"/>
    <w:rsid w:val="003E1A95"/>
    <w:rsid w:val="003E1D87"/>
    <w:rsid w:val="003E1E05"/>
    <w:rsid w:val="003E1E13"/>
    <w:rsid w:val="003E2166"/>
    <w:rsid w:val="003E239C"/>
    <w:rsid w:val="003E29D6"/>
    <w:rsid w:val="003E29F1"/>
    <w:rsid w:val="003E32CF"/>
    <w:rsid w:val="003E36C3"/>
    <w:rsid w:val="003E3C80"/>
    <w:rsid w:val="003E3C8B"/>
    <w:rsid w:val="003E3EDD"/>
    <w:rsid w:val="003E3F51"/>
    <w:rsid w:val="003E4253"/>
    <w:rsid w:val="003E46F3"/>
    <w:rsid w:val="003E4819"/>
    <w:rsid w:val="003E4C0D"/>
    <w:rsid w:val="003E4DDB"/>
    <w:rsid w:val="003E53FA"/>
    <w:rsid w:val="003E54ED"/>
    <w:rsid w:val="003E5878"/>
    <w:rsid w:val="003E5937"/>
    <w:rsid w:val="003E5AD6"/>
    <w:rsid w:val="003E5B2C"/>
    <w:rsid w:val="003E6732"/>
    <w:rsid w:val="003E680E"/>
    <w:rsid w:val="003E6A4B"/>
    <w:rsid w:val="003E6C46"/>
    <w:rsid w:val="003E6DD0"/>
    <w:rsid w:val="003E711B"/>
    <w:rsid w:val="003E76C3"/>
    <w:rsid w:val="003E7735"/>
    <w:rsid w:val="003E782B"/>
    <w:rsid w:val="003E7AA9"/>
    <w:rsid w:val="003E7AF3"/>
    <w:rsid w:val="003E7D89"/>
    <w:rsid w:val="003F01A5"/>
    <w:rsid w:val="003F03E5"/>
    <w:rsid w:val="003F0402"/>
    <w:rsid w:val="003F0799"/>
    <w:rsid w:val="003F0BE7"/>
    <w:rsid w:val="003F0F52"/>
    <w:rsid w:val="003F19D3"/>
    <w:rsid w:val="003F1D35"/>
    <w:rsid w:val="003F20D1"/>
    <w:rsid w:val="003F2235"/>
    <w:rsid w:val="003F23D0"/>
    <w:rsid w:val="003F25E9"/>
    <w:rsid w:val="003F26C2"/>
    <w:rsid w:val="003F3B10"/>
    <w:rsid w:val="003F40B5"/>
    <w:rsid w:val="003F4105"/>
    <w:rsid w:val="003F444F"/>
    <w:rsid w:val="003F44DD"/>
    <w:rsid w:val="003F4C1A"/>
    <w:rsid w:val="003F4EA7"/>
    <w:rsid w:val="003F5172"/>
    <w:rsid w:val="003F5292"/>
    <w:rsid w:val="003F57F0"/>
    <w:rsid w:val="003F5805"/>
    <w:rsid w:val="003F6076"/>
    <w:rsid w:val="003F611F"/>
    <w:rsid w:val="003F65A3"/>
    <w:rsid w:val="003F660B"/>
    <w:rsid w:val="003F67A4"/>
    <w:rsid w:val="003F6C47"/>
    <w:rsid w:val="003F6EDD"/>
    <w:rsid w:val="003F6F32"/>
    <w:rsid w:val="003F7022"/>
    <w:rsid w:val="003F71C4"/>
    <w:rsid w:val="003F7227"/>
    <w:rsid w:val="003F738B"/>
    <w:rsid w:val="003F74C6"/>
    <w:rsid w:val="003F77CD"/>
    <w:rsid w:val="003F7952"/>
    <w:rsid w:val="003F7E15"/>
    <w:rsid w:val="003F7E3D"/>
    <w:rsid w:val="00400027"/>
    <w:rsid w:val="00400C7D"/>
    <w:rsid w:val="00400CED"/>
    <w:rsid w:val="00400D4E"/>
    <w:rsid w:val="00401381"/>
    <w:rsid w:val="00401563"/>
    <w:rsid w:val="00401D73"/>
    <w:rsid w:val="00401F67"/>
    <w:rsid w:val="00402270"/>
    <w:rsid w:val="004025D6"/>
    <w:rsid w:val="004031AB"/>
    <w:rsid w:val="004032FB"/>
    <w:rsid w:val="00403901"/>
    <w:rsid w:val="00403954"/>
    <w:rsid w:val="00403DE5"/>
    <w:rsid w:val="004042C2"/>
    <w:rsid w:val="004042D3"/>
    <w:rsid w:val="00404740"/>
    <w:rsid w:val="004050A9"/>
    <w:rsid w:val="004051B4"/>
    <w:rsid w:val="00405654"/>
    <w:rsid w:val="00405726"/>
    <w:rsid w:val="00405F4B"/>
    <w:rsid w:val="00406008"/>
    <w:rsid w:val="0040615A"/>
    <w:rsid w:val="004064BA"/>
    <w:rsid w:val="00406CB9"/>
    <w:rsid w:val="004070C0"/>
    <w:rsid w:val="00407142"/>
    <w:rsid w:val="004071E5"/>
    <w:rsid w:val="0040728D"/>
    <w:rsid w:val="004077CE"/>
    <w:rsid w:val="00407890"/>
    <w:rsid w:val="00407D3E"/>
    <w:rsid w:val="0041040C"/>
    <w:rsid w:val="0041074B"/>
    <w:rsid w:val="004108BA"/>
    <w:rsid w:val="00410EA6"/>
    <w:rsid w:val="004110DB"/>
    <w:rsid w:val="004113FB"/>
    <w:rsid w:val="0041260E"/>
    <w:rsid w:val="00412632"/>
    <w:rsid w:val="004127B5"/>
    <w:rsid w:val="00412B94"/>
    <w:rsid w:val="00412FC0"/>
    <w:rsid w:val="00412FF6"/>
    <w:rsid w:val="004130AA"/>
    <w:rsid w:val="00413434"/>
    <w:rsid w:val="00413BD6"/>
    <w:rsid w:val="00413D2E"/>
    <w:rsid w:val="00413DF8"/>
    <w:rsid w:val="004147B2"/>
    <w:rsid w:val="0041501B"/>
    <w:rsid w:val="004158B8"/>
    <w:rsid w:val="004160A4"/>
    <w:rsid w:val="00416B5E"/>
    <w:rsid w:val="00416BB4"/>
    <w:rsid w:val="00416E8E"/>
    <w:rsid w:val="00416FCA"/>
    <w:rsid w:val="004175CB"/>
    <w:rsid w:val="00417DBD"/>
    <w:rsid w:val="00420273"/>
    <w:rsid w:val="00420BE1"/>
    <w:rsid w:val="004211B1"/>
    <w:rsid w:val="004216CD"/>
    <w:rsid w:val="004216F4"/>
    <w:rsid w:val="0042172C"/>
    <w:rsid w:val="00421903"/>
    <w:rsid w:val="00421BC2"/>
    <w:rsid w:val="00421DA3"/>
    <w:rsid w:val="00421E44"/>
    <w:rsid w:val="00421F2F"/>
    <w:rsid w:val="00421FB1"/>
    <w:rsid w:val="0042232F"/>
    <w:rsid w:val="00422981"/>
    <w:rsid w:val="00422A3F"/>
    <w:rsid w:val="00422E8B"/>
    <w:rsid w:val="004232BD"/>
    <w:rsid w:val="004239B8"/>
    <w:rsid w:val="00423A59"/>
    <w:rsid w:val="00424441"/>
    <w:rsid w:val="00424552"/>
    <w:rsid w:val="0042477F"/>
    <w:rsid w:val="00424A35"/>
    <w:rsid w:val="00424DC9"/>
    <w:rsid w:val="00425295"/>
    <w:rsid w:val="00425408"/>
    <w:rsid w:val="004254C6"/>
    <w:rsid w:val="00425727"/>
    <w:rsid w:val="0042579A"/>
    <w:rsid w:val="00425F75"/>
    <w:rsid w:val="00426391"/>
    <w:rsid w:val="004266D8"/>
    <w:rsid w:val="00426B27"/>
    <w:rsid w:val="00426C06"/>
    <w:rsid w:val="00426FFE"/>
    <w:rsid w:val="00427252"/>
    <w:rsid w:val="00427296"/>
    <w:rsid w:val="0042753D"/>
    <w:rsid w:val="0042794E"/>
    <w:rsid w:val="00427958"/>
    <w:rsid w:val="00427AB3"/>
    <w:rsid w:val="004302FE"/>
    <w:rsid w:val="00430431"/>
    <w:rsid w:val="004308A1"/>
    <w:rsid w:val="00430CD2"/>
    <w:rsid w:val="00431140"/>
    <w:rsid w:val="004319D4"/>
    <w:rsid w:val="00431B07"/>
    <w:rsid w:val="004320AA"/>
    <w:rsid w:val="00432240"/>
    <w:rsid w:val="00432529"/>
    <w:rsid w:val="00432AF7"/>
    <w:rsid w:val="00432D9B"/>
    <w:rsid w:val="00433596"/>
    <w:rsid w:val="004349AF"/>
    <w:rsid w:val="00434A6C"/>
    <w:rsid w:val="004353F4"/>
    <w:rsid w:val="00435878"/>
    <w:rsid w:val="00435904"/>
    <w:rsid w:val="00435C55"/>
    <w:rsid w:val="00436287"/>
    <w:rsid w:val="00436406"/>
    <w:rsid w:val="00436479"/>
    <w:rsid w:val="004368E4"/>
    <w:rsid w:val="004369AC"/>
    <w:rsid w:val="00436ACB"/>
    <w:rsid w:val="00436BA6"/>
    <w:rsid w:val="00436D71"/>
    <w:rsid w:val="00436F8D"/>
    <w:rsid w:val="004370F5"/>
    <w:rsid w:val="004371CC"/>
    <w:rsid w:val="00437A9C"/>
    <w:rsid w:val="0044002F"/>
    <w:rsid w:val="0044013F"/>
    <w:rsid w:val="00440176"/>
    <w:rsid w:val="0044060B"/>
    <w:rsid w:val="004406FB"/>
    <w:rsid w:val="0044091E"/>
    <w:rsid w:val="00440D1C"/>
    <w:rsid w:val="00440F11"/>
    <w:rsid w:val="00441111"/>
    <w:rsid w:val="00441344"/>
    <w:rsid w:val="0044148C"/>
    <w:rsid w:val="004416C0"/>
    <w:rsid w:val="00441FB6"/>
    <w:rsid w:val="00442625"/>
    <w:rsid w:val="004426CB"/>
    <w:rsid w:val="004429B2"/>
    <w:rsid w:val="00442C49"/>
    <w:rsid w:val="00442FDD"/>
    <w:rsid w:val="0044329B"/>
    <w:rsid w:val="00443771"/>
    <w:rsid w:val="00443825"/>
    <w:rsid w:val="004442F2"/>
    <w:rsid w:val="0044432D"/>
    <w:rsid w:val="00444470"/>
    <w:rsid w:val="00444541"/>
    <w:rsid w:val="004446CD"/>
    <w:rsid w:val="00444837"/>
    <w:rsid w:val="00444AAE"/>
    <w:rsid w:val="00444F54"/>
    <w:rsid w:val="00445553"/>
    <w:rsid w:val="0044573C"/>
    <w:rsid w:val="00445AEC"/>
    <w:rsid w:val="00445AFB"/>
    <w:rsid w:val="0044641D"/>
    <w:rsid w:val="00446786"/>
    <w:rsid w:val="00447211"/>
    <w:rsid w:val="004479AB"/>
    <w:rsid w:val="00447B43"/>
    <w:rsid w:val="00447C84"/>
    <w:rsid w:val="00447D61"/>
    <w:rsid w:val="00447D62"/>
    <w:rsid w:val="004503FC"/>
    <w:rsid w:val="00450C29"/>
    <w:rsid w:val="0045139B"/>
    <w:rsid w:val="004513DE"/>
    <w:rsid w:val="00451569"/>
    <w:rsid w:val="00451798"/>
    <w:rsid w:val="004527E1"/>
    <w:rsid w:val="00452CD0"/>
    <w:rsid w:val="00452D47"/>
    <w:rsid w:val="004530EB"/>
    <w:rsid w:val="0045324D"/>
    <w:rsid w:val="004536FA"/>
    <w:rsid w:val="004537AC"/>
    <w:rsid w:val="004537CE"/>
    <w:rsid w:val="00453932"/>
    <w:rsid w:val="00453CBC"/>
    <w:rsid w:val="00453E86"/>
    <w:rsid w:val="00453EC7"/>
    <w:rsid w:val="00454302"/>
    <w:rsid w:val="004546D5"/>
    <w:rsid w:val="004549E1"/>
    <w:rsid w:val="004552A1"/>
    <w:rsid w:val="00455688"/>
    <w:rsid w:val="004559CA"/>
    <w:rsid w:val="0045634C"/>
    <w:rsid w:val="00456D3F"/>
    <w:rsid w:val="004574A8"/>
    <w:rsid w:val="00457691"/>
    <w:rsid w:val="0045783E"/>
    <w:rsid w:val="0045794F"/>
    <w:rsid w:val="00457C5B"/>
    <w:rsid w:val="00457D70"/>
    <w:rsid w:val="00457F9B"/>
    <w:rsid w:val="0046000F"/>
    <w:rsid w:val="00460337"/>
    <w:rsid w:val="0046049A"/>
    <w:rsid w:val="00460701"/>
    <w:rsid w:val="00460C1B"/>
    <w:rsid w:val="004611B0"/>
    <w:rsid w:val="004614A3"/>
    <w:rsid w:val="0046182E"/>
    <w:rsid w:val="00461C1A"/>
    <w:rsid w:val="00461CE9"/>
    <w:rsid w:val="004621A6"/>
    <w:rsid w:val="00462369"/>
    <w:rsid w:val="004624BD"/>
    <w:rsid w:val="00462618"/>
    <w:rsid w:val="00462712"/>
    <w:rsid w:val="004628D8"/>
    <w:rsid w:val="00462A5D"/>
    <w:rsid w:val="00462BD8"/>
    <w:rsid w:val="00462D8C"/>
    <w:rsid w:val="00462E45"/>
    <w:rsid w:val="00462E81"/>
    <w:rsid w:val="00462F5D"/>
    <w:rsid w:val="00463630"/>
    <w:rsid w:val="0046368F"/>
    <w:rsid w:val="004636A0"/>
    <w:rsid w:val="004639DE"/>
    <w:rsid w:val="00463B99"/>
    <w:rsid w:val="00463C01"/>
    <w:rsid w:val="00463EB7"/>
    <w:rsid w:val="00463FA2"/>
    <w:rsid w:val="00464228"/>
    <w:rsid w:val="004646C3"/>
    <w:rsid w:val="00464A5A"/>
    <w:rsid w:val="00464B09"/>
    <w:rsid w:val="00464D08"/>
    <w:rsid w:val="004655C9"/>
    <w:rsid w:val="004656E9"/>
    <w:rsid w:val="0046606F"/>
    <w:rsid w:val="004662EB"/>
    <w:rsid w:val="00466A3B"/>
    <w:rsid w:val="004672C0"/>
    <w:rsid w:val="004673FD"/>
    <w:rsid w:val="004675ED"/>
    <w:rsid w:val="00467679"/>
    <w:rsid w:val="00467834"/>
    <w:rsid w:val="00467BC7"/>
    <w:rsid w:val="00467DF7"/>
    <w:rsid w:val="00467E33"/>
    <w:rsid w:val="00467EEE"/>
    <w:rsid w:val="00470110"/>
    <w:rsid w:val="004706A3"/>
    <w:rsid w:val="00470704"/>
    <w:rsid w:val="004708B9"/>
    <w:rsid w:val="00470901"/>
    <w:rsid w:val="00470BDF"/>
    <w:rsid w:val="00470BF7"/>
    <w:rsid w:val="00470D90"/>
    <w:rsid w:val="00470DFE"/>
    <w:rsid w:val="00470EFC"/>
    <w:rsid w:val="004712F1"/>
    <w:rsid w:val="004713DF"/>
    <w:rsid w:val="00471520"/>
    <w:rsid w:val="004716B4"/>
    <w:rsid w:val="00471724"/>
    <w:rsid w:val="0047229E"/>
    <w:rsid w:val="0047236E"/>
    <w:rsid w:val="004725DB"/>
    <w:rsid w:val="00472BBA"/>
    <w:rsid w:val="00472E33"/>
    <w:rsid w:val="004731E7"/>
    <w:rsid w:val="0047350A"/>
    <w:rsid w:val="00473A9B"/>
    <w:rsid w:val="00474194"/>
    <w:rsid w:val="004743A6"/>
    <w:rsid w:val="00474663"/>
    <w:rsid w:val="00474684"/>
    <w:rsid w:val="004748E0"/>
    <w:rsid w:val="00474ADA"/>
    <w:rsid w:val="004753C6"/>
    <w:rsid w:val="0047555E"/>
    <w:rsid w:val="00475948"/>
    <w:rsid w:val="00475D42"/>
    <w:rsid w:val="00475D4C"/>
    <w:rsid w:val="00476056"/>
    <w:rsid w:val="004762C3"/>
    <w:rsid w:val="0047664C"/>
    <w:rsid w:val="004770D0"/>
    <w:rsid w:val="0047724C"/>
    <w:rsid w:val="004777C0"/>
    <w:rsid w:val="0047794A"/>
    <w:rsid w:val="00477BBC"/>
    <w:rsid w:val="00477E09"/>
    <w:rsid w:val="00477EAF"/>
    <w:rsid w:val="00480062"/>
    <w:rsid w:val="004801A6"/>
    <w:rsid w:val="00480DEC"/>
    <w:rsid w:val="00480E11"/>
    <w:rsid w:val="00481AED"/>
    <w:rsid w:val="00481F4E"/>
    <w:rsid w:val="00482031"/>
    <w:rsid w:val="00482BD0"/>
    <w:rsid w:val="004832F6"/>
    <w:rsid w:val="0048365A"/>
    <w:rsid w:val="0048394E"/>
    <w:rsid w:val="00483C78"/>
    <w:rsid w:val="00483D98"/>
    <w:rsid w:val="004847E3"/>
    <w:rsid w:val="00484F00"/>
    <w:rsid w:val="00484FE4"/>
    <w:rsid w:val="00485190"/>
    <w:rsid w:val="004855E2"/>
    <w:rsid w:val="00485A19"/>
    <w:rsid w:val="00485CC9"/>
    <w:rsid w:val="00485CDD"/>
    <w:rsid w:val="00485DFC"/>
    <w:rsid w:val="00485F0A"/>
    <w:rsid w:val="004862D7"/>
    <w:rsid w:val="004864E6"/>
    <w:rsid w:val="00486902"/>
    <w:rsid w:val="00486C82"/>
    <w:rsid w:val="00487124"/>
    <w:rsid w:val="00487711"/>
    <w:rsid w:val="00487969"/>
    <w:rsid w:val="00487DF9"/>
    <w:rsid w:val="00490830"/>
    <w:rsid w:val="00490D42"/>
    <w:rsid w:val="00490D88"/>
    <w:rsid w:val="004910BC"/>
    <w:rsid w:val="004910FC"/>
    <w:rsid w:val="004914A5"/>
    <w:rsid w:val="004915E7"/>
    <w:rsid w:val="00491617"/>
    <w:rsid w:val="004917BD"/>
    <w:rsid w:val="00491A9F"/>
    <w:rsid w:val="00492041"/>
    <w:rsid w:val="0049222F"/>
    <w:rsid w:val="0049235C"/>
    <w:rsid w:val="0049284E"/>
    <w:rsid w:val="004929F3"/>
    <w:rsid w:val="00492E96"/>
    <w:rsid w:val="004932AE"/>
    <w:rsid w:val="00493A25"/>
    <w:rsid w:val="00493FA9"/>
    <w:rsid w:val="00493FE6"/>
    <w:rsid w:val="004941DA"/>
    <w:rsid w:val="004947BC"/>
    <w:rsid w:val="00494A92"/>
    <w:rsid w:val="00495014"/>
    <w:rsid w:val="00495358"/>
    <w:rsid w:val="004953BA"/>
    <w:rsid w:val="004960CA"/>
    <w:rsid w:val="004962B1"/>
    <w:rsid w:val="004962BD"/>
    <w:rsid w:val="004965C6"/>
    <w:rsid w:val="00496712"/>
    <w:rsid w:val="00496A3E"/>
    <w:rsid w:val="00496A3F"/>
    <w:rsid w:val="00496A5B"/>
    <w:rsid w:val="00496BF9"/>
    <w:rsid w:val="00496FD8"/>
    <w:rsid w:val="004977FF"/>
    <w:rsid w:val="00497971"/>
    <w:rsid w:val="004A02C7"/>
    <w:rsid w:val="004A0385"/>
    <w:rsid w:val="004A073E"/>
    <w:rsid w:val="004A0BCB"/>
    <w:rsid w:val="004A12AA"/>
    <w:rsid w:val="004A1300"/>
    <w:rsid w:val="004A17BB"/>
    <w:rsid w:val="004A1876"/>
    <w:rsid w:val="004A1C5A"/>
    <w:rsid w:val="004A1C91"/>
    <w:rsid w:val="004A2491"/>
    <w:rsid w:val="004A2502"/>
    <w:rsid w:val="004A26BB"/>
    <w:rsid w:val="004A26F2"/>
    <w:rsid w:val="004A2969"/>
    <w:rsid w:val="004A2B29"/>
    <w:rsid w:val="004A2DF1"/>
    <w:rsid w:val="004A2E57"/>
    <w:rsid w:val="004A312F"/>
    <w:rsid w:val="004A3475"/>
    <w:rsid w:val="004A360B"/>
    <w:rsid w:val="004A3FAB"/>
    <w:rsid w:val="004A3FDC"/>
    <w:rsid w:val="004A3FFD"/>
    <w:rsid w:val="004A40C2"/>
    <w:rsid w:val="004A41DA"/>
    <w:rsid w:val="004A41F4"/>
    <w:rsid w:val="004A484C"/>
    <w:rsid w:val="004A4D7B"/>
    <w:rsid w:val="004A5066"/>
    <w:rsid w:val="004A5358"/>
    <w:rsid w:val="004A55DE"/>
    <w:rsid w:val="004A56C5"/>
    <w:rsid w:val="004A56D5"/>
    <w:rsid w:val="004A56DD"/>
    <w:rsid w:val="004A58B6"/>
    <w:rsid w:val="004A5DA7"/>
    <w:rsid w:val="004A5E1E"/>
    <w:rsid w:val="004A61C4"/>
    <w:rsid w:val="004A6272"/>
    <w:rsid w:val="004A636F"/>
    <w:rsid w:val="004A6414"/>
    <w:rsid w:val="004A6A25"/>
    <w:rsid w:val="004A6DD8"/>
    <w:rsid w:val="004A7396"/>
    <w:rsid w:val="004A75FA"/>
    <w:rsid w:val="004A7750"/>
    <w:rsid w:val="004A79B8"/>
    <w:rsid w:val="004A7AAF"/>
    <w:rsid w:val="004A7B7A"/>
    <w:rsid w:val="004A7C39"/>
    <w:rsid w:val="004B0384"/>
    <w:rsid w:val="004B0864"/>
    <w:rsid w:val="004B0CB1"/>
    <w:rsid w:val="004B0D6E"/>
    <w:rsid w:val="004B0F65"/>
    <w:rsid w:val="004B0F90"/>
    <w:rsid w:val="004B121E"/>
    <w:rsid w:val="004B162C"/>
    <w:rsid w:val="004B1A87"/>
    <w:rsid w:val="004B1C55"/>
    <w:rsid w:val="004B1C8D"/>
    <w:rsid w:val="004B1C94"/>
    <w:rsid w:val="004B1D14"/>
    <w:rsid w:val="004B1E86"/>
    <w:rsid w:val="004B2311"/>
    <w:rsid w:val="004B2370"/>
    <w:rsid w:val="004B27C8"/>
    <w:rsid w:val="004B2819"/>
    <w:rsid w:val="004B2835"/>
    <w:rsid w:val="004B2999"/>
    <w:rsid w:val="004B29DB"/>
    <w:rsid w:val="004B31CD"/>
    <w:rsid w:val="004B31DB"/>
    <w:rsid w:val="004B3268"/>
    <w:rsid w:val="004B339B"/>
    <w:rsid w:val="004B3933"/>
    <w:rsid w:val="004B3997"/>
    <w:rsid w:val="004B40DC"/>
    <w:rsid w:val="004B4207"/>
    <w:rsid w:val="004B42AD"/>
    <w:rsid w:val="004B43A9"/>
    <w:rsid w:val="004B544B"/>
    <w:rsid w:val="004B581E"/>
    <w:rsid w:val="004B586A"/>
    <w:rsid w:val="004B58C1"/>
    <w:rsid w:val="004B5BD2"/>
    <w:rsid w:val="004B5C57"/>
    <w:rsid w:val="004B60C3"/>
    <w:rsid w:val="004B6383"/>
    <w:rsid w:val="004B64A7"/>
    <w:rsid w:val="004B6D9F"/>
    <w:rsid w:val="004B70D4"/>
    <w:rsid w:val="004B71A9"/>
    <w:rsid w:val="004B768B"/>
    <w:rsid w:val="004B7775"/>
    <w:rsid w:val="004B7C5E"/>
    <w:rsid w:val="004C08DF"/>
    <w:rsid w:val="004C0CD4"/>
    <w:rsid w:val="004C0E1D"/>
    <w:rsid w:val="004C11DC"/>
    <w:rsid w:val="004C136C"/>
    <w:rsid w:val="004C1473"/>
    <w:rsid w:val="004C18C9"/>
    <w:rsid w:val="004C19C4"/>
    <w:rsid w:val="004C1AFC"/>
    <w:rsid w:val="004C225F"/>
    <w:rsid w:val="004C27C2"/>
    <w:rsid w:val="004C28AF"/>
    <w:rsid w:val="004C28ED"/>
    <w:rsid w:val="004C28EE"/>
    <w:rsid w:val="004C2A74"/>
    <w:rsid w:val="004C2AAE"/>
    <w:rsid w:val="004C2EC4"/>
    <w:rsid w:val="004C2FE2"/>
    <w:rsid w:val="004C3307"/>
    <w:rsid w:val="004C34FC"/>
    <w:rsid w:val="004C3958"/>
    <w:rsid w:val="004C3D8E"/>
    <w:rsid w:val="004C46DB"/>
    <w:rsid w:val="004C47AB"/>
    <w:rsid w:val="004C5495"/>
    <w:rsid w:val="004C59D8"/>
    <w:rsid w:val="004C5A2D"/>
    <w:rsid w:val="004C5AA9"/>
    <w:rsid w:val="004C61DC"/>
    <w:rsid w:val="004C632F"/>
    <w:rsid w:val="004C6541"/>
    <w:rsid w:val="004C6B6A"/>
    <w:rsid w:val="004C6C12"/>
    <w:rsid w:val="004C6F03"/>
    <w:rsid w:val="004C777D"/>
    <w:rsid w:val="004C7DC5"/>
    <w:rsid w:val="004D0159"/>
    <w:rsid w:val="004D025A"/>
    <w:rsid w:val="004D06F5"/>
    <w:rsid w:val="004D0CAC"/>
    <w:rsid w:val="004D0CCA"/>
    <w:rsid w:val="004D0DE5"/>
    <w:rsid w:val="004D1392"/>
    <w:rsid w:val="004D161A"/>
    <w:rsid w:val="004D1DE5"/>
    <w:rsid w:val="004D2457"/>
    <w:rsid w:val="004D263E"/>
    <w:rsid w:val="004D26AD"/>
    <w:rsid w:val="004D27B3"/>
    <w:rsid w:val="004D3013"/>
    <w:rsid w:val="004D33BD"/>
    <w:rsid w:val="004D36EF"/>
    <w:rsid w:val="004D3C06"/>
    <w:rsid w:val="004D3E01"/>
    <w:rsid w:val="004D3E68"/>
    <w:rsid w:val="004D4985"/>
    <w:rsid w:val="004D4DEA"/>
    <w:rsid w:val="004D4E48"/>
    <w:rsid w:val="004D4E6B"/>
    <w:rsid w:val="004D5088"/>
    <w:rsid w:val="004D5605"/>
    <w:rsid w:val="004D5613"/>
    <w:rsid w:val="004D6177"/>
    <w:rsid w:val="004D6F9E"/>
    <w:rsid w:val="004D6FA2"/>
    <w:rsid w:val="004D70B5"/>
    <w:rsid w:val="004D76D3"/>
    <w:rsid w:val="004E0049"/>
    <w:rsid w:val="004E02B9"/>
    <w:rsid w:val="004E0805"/>
    <w:rsid w:val="004E0946"/>
    <w:rsid w:val="004E0DFB"/>
    <w:rsid w:val="004E127F"/>
    <w:rsid w:val="004E1943"/>
    <w:rsid w:val="004E1EEA"/>
    <w:rsid w:val="004E21C6"/>
    <w:rsid w:val="004E2A8C"/>
    <w:rsid w:val="004E2B90"/>
    <w:rsid w:val="004E2CC4"/>
    <w:rsid w:val="004E2CFA"/>
    <w:rsid w:val="004E2EDC"/>
    <w:rsid w:val="004E39DF"/>
    <w:rsid w:val="004E3C36"/>
    <w:rsid w:val="004E3C8B"/>
    <w:rsid w:val="004E3E29"/>
    <w:rsid w:val="004E4086"/>
    <w:rsid w:val="004E40D5"/>
    <w:rsid w:val="004E418F"/>
    <w:rsid w:val="004E43AF"/>
    <w:rsid w:val="004E44E9"/>
    <w:rsid w:val="004E4A61"/>
    <w:rsid w:val="004E5345"/>
    <w:rsid w:val="004E54CA"/>
    <w:rsid w:val="004E5854"/>
    <w:rsid w:val="004E5C04"/>
    <w:rsid w:val="004E5D90"/>
    <w:rsid w:val="004E5E5A"/>
    <w:rsid w:val="004E61CB"/>
    <w:rsid w:val="004E6202"/>
    <w:rsid w:val="004E6473"/>
    <w:rsid w:val="004E6761"/>
    <w:rsid w:val="004E6826"/>
    <w:rsid w:val="004E6D80"/>
    <w:rsid w:val="004E71C8"/>
    <w:rsid w:val="004E75C3"/>
    <w:rsid w:val="004E763B"/>
    <w:rsid w:val="004E771C"/>
    <w:rsid w:val="004E7891"/>
    <w:rsid w:val="004E7BD4"/>
    <w:rsid w:val="004F0624"/>
    <w:rsid w:val="004F09A1"/>
    <w:rsid w:val="004F09F9"/>
    <w:rsid w:val="004F0ACC"/>
    <w:rsid w:val="004F0C8D"/>
    <w:rsid w:val="004F0F3B"/>
    <w:rsid w:val="004F1490"/>
    <w:rsid w:val="004F1542"/>
    <w:rsid w:val="004F1910"/>
    <w:rsid w:val="004F19AF"/>
    <w:rsid w:val="004F1E1C"/>
    <w:rsid w:val="004F21B8"/>
    <w:rsid w:val="004F22A3"/>
    <w:rsid w:val="004F2B7D"/>
    <w:rsid w:val="004F2CDE"/>
    <w:rsid w:val="004F2CF2"/>
    <w:rsid w:val="004F2E97"/>
    <w:rsid w:val="004F314B"/>
    <w:rsid w:val="004F31B7"/>
    <w:rsid w:val="004F3710"/>
    <w:rsid w:val="004F372E"/>
    <w:rsid w:val="004F3A8B"/>
    <w:rsid w:val="004F3D85"/>
    <w:rsid w:val="004F3F15"/>
    <w:rsid w:val="004F3F19"/>
    <w:rsid w:val="004F40D8"/>
    <w:rsid w:val="004F413E"/>
    <w:rsid w:val="004F417A"/>
    <w:rsid w:val="004F4DDF"/>
    <w:rsid w:val="004F5218"/>
    <w:rsid w:val="004F554D"/>
    <w:rsid w:val="004F567F"/>
    <w:rsid w:val="004F6509"/>
    <w:rsid w:val="004F65F8"/>
    <w:rsid w:val="004F66D8"/>
    <w:rsid w:val="004F6871"/>
    <w:rsid w:val="004F6A83"/>
    <w:rsid w:val="004F6C73"/>
    <w:rsid w:val="004F6C95"/>
    <w:rsid w:val="004F7761"/>
    <w:rsid w:val="004F77F5"/>
    <w:rsid w:val="004F7BB8"/>
    <w:rsid w:val="004F7BD9"/>
    <w:rsid w:val="004F7E40"/>
    <w:rsid w:val="00500402"/>
    <w:rsid w:val="00500A3D"/>
    <w:rsid w:val="00500BB6"/>
    <w:rsid w:val="00500EE7"/>
    <w:rsid w:val="00500F25"/>
    <w:rsid w:val="00501580"/>
    <w:rsid w:val="00501B06"/>
    <w:rsid w:val="00501E00"/>
    <w:rsid w:val="00502090"/>
    <w:rsid w:val="00502147"/>
    <w:rsid w:val="0050214C"/>
    <w:rsid w:val="0050227E"/>
    <w:rsid w:val="005022C8"/>
    <w:rsid w:val="00502641"/>
    <w:rsid w:val="00502A80"/>
    <w:rsid w:val="00502B4F"/>
    <w:rsid w:val="00502D8E"/>
    <w:rsid w:val="00502E7E"/>
    <w:rsid w:val="00502EEC"/>
    <w:rsid w:val="0050305C"/>
    <w:rsid w:val="0050334A"/>
    <w:rsid w:val="0050374E"/>
    <w:rsid w:val="005037EE"/>
    <w:rsid w:val="005039FA"/>
    <w:rsid w:val="00503A2C"/>
    <w:rsid w:val="00503E4E"/>
    <w:rsid w:val="00503FF0"/>
    <w:rsid w:val="00504216"/>
    <w:rsid w:val="0050438F"/>
    <w:rsid w:val="0050475A"/>
    <w:rsid w:val="0050479C"/>
    <w:rsid w:val="00504ABC"/>
    <w:rsid w:val="0050552E"/>
    <w:rsid w:val="005057F6"/>
    <w:rsid w:val="005059A9"/>
    <w:rsid w:val="00505C1C"/>
    <w:rsid w:val="00506162"/>
    <w:rsid w:val="00506173"/>
    <w:rsid w:val="0050644F"/>
    <w:rsid w:val="0050668F"/>
    <w:rsid w:val="00506813"/>
    <w:rsid w:val="00506834"/>
    <w:rsid w:val="005069B2"/>
    <w:rsid w:val="005070F1"/>
    <w:rsid w:val="00507AC9"/>
    <w:rsid w:val="00507CBC"/>
    <w:rsid w:val="005100AC"/>
    <w:rsid w:val="005100F7"/>
    <w:rsid w:val="005103BA"/>
    <w:rsid w:val="0051073D"/>
    <w:rsid w:val="00510C34"/>
    <w:rsid w:val="00510E01"/>
    <w:rsid w:val="00512894"/>
    <w:rsid w:val="00512A01"/>
    <w:rsid w:val="00512B53"/>
    <w:rsid w:val="00512CCE"/>
    <w:rsid w:val="00512FB4"/>
    <w:rsid w:val="005134BA"/>
    <w:rsid w:val="00513CDD"/>
    <w:rsid w:val="00513D43"/>
    <w:rsid w:val="00514104"/>
    <w:rsid w:val="005143AD"/>
    <w:rsid w:val="00514518"/>
    <w:rsid w:val="0051469C"/>
    <w:rsid w:val="00514BE5"/>
    <w:rsid w:val="00514DF3"/>
    <w:rsid w:val="00514E8E"/>
    <w:rsid w:val="00514F1B"/>
    <w:rsid w:val="00514FBC"/>
    <w:rsid w:val="0051502C"/>
    <w:rsid w:val="00515036"/>
    <w:rsid w:val="005151B3"/>
    <w:rsid w:val="005151D5"/>
    <w:rsid w:val="0051561A"/>
    <w:rsid w:val="0051572C"/>
    <w:rsid w:val="005158A4"/>
    <w:rsid w:val="005159A9"/>
    <w:rsid w:val="00515D28"/>
    <w:rsid w:val="00516884"/>
    <w:rsid w:val="00516B48"/>
    <w:rsid w:val="00517271"/>
    <w:rsid w:val="0051748D"/>
    <w:rsid w:val="00517FD5"/>
    <w:rsid w:val="005202B5"/>
    <w:rsid w:val="00520A74"/>
    <w:rsid w:val="00521006"/>
    <w:rsid w:val="0052186A"/>
    <w:rsid w:val="00521C50"/>
    <w:rsid w:val="00521D81"/>
    <w:rsid w:val="00522144"/>
    <w:rsid w:val="0052232A"/>
    <w:rsid w:val="005223A5"/>
    <w:rsid w:val="005223C6"/>
    <w:rsid w:val="0052254D"/>
    <w:rsid w:val="00522599"/>
    <w:rsid w:val="00522C53"/>
    <w:rsid w:val="0052317A"/>
    <w:rsid w:val="005236C1"/>
    <w:rsid w:val="00523751"/>
    <w:rsid w:val="00523807"/>
    <w:rsid w:val="00523BC8"/>
    <w:rsid w:val="00523DB9"/>
    <w:rsid w:val="00524642"/>
    <w:rsid w:val="005247F7"/>
    <w:rsid w:val="00524C56"/>
    <w:rsid w:val="005251B7"/>
    <w:rsid w:val="0052554C"/>
    <w:rsid w:val="005256AF"/>
    <w:rsid w:val="00525A5A"/>
    <w:rsid w:val="00526022"/>
    <w:rsid w:val="005260E3"/>
    <w:rsid w:val="005264A2"/>
    <w:rsid w:val="00526609"/>
    <w:rsid w:val="00526623"/>
    <w:rsid w:val="005268CE"/>
    <w:rsid w:val="00526AF5"/>
    <w:rsid w:val="00526B23"/>
    <w:rsid w:val="00526CA4"/>
    <w:rsid w:val="00526F99"/>
    <w:rsid w:val="005270FF"/>
    <w:rsid w:val="0052739D"/>
    <w:rsid w:val="00527476"/>
    <w:rsid w:val="005274F6"/>
    <w:rsid w:val="005274FD"/>
    <w:rsid w:val="00527844"/>
    <w:rsid w:val="00527B9F"/>
    <w:rsid w:val="00527D59"/>
    <w:rsid w:val="00527E0D"/>
    <w:rsid w:val="005309E5"/>
    <w:rsid w:val="00530E73"/>
    <w:rsid w:val="00530F05"/>
    <w:rsid w:val="00531460"/>
    <w:rsid w:val="0053170A"/>
    <w:rsid w:val="005317AA"/>
    <w:rsid w:val="00531921"/>
    <w:rsid w:val="00531A4C"/>
    <w:rsid w:val="005325FE"/>
    <w:rsid w:val="00532E07"/>
    <w:rsid w:val="00532F43"/>
    <w:rsid w:val="00533974"/>
    <w:rsid w:val="00533A9D"/>
    <w:rsid w:val="00533F52"/>
    <w:rsid w:val="00534AF8"/>
    <w:rsid w:val="00534DB5"/>
    <w:rsid w:val="0053529F"/>
    <w:rsid w:val="0053541D"/>
    <w:rsid w:val="00535886"/>
    <w:rsid w:val="00535E30"/>
    <w:rsid w:val="00535F07"/>
    <w:rsid w:val="00536088"/>
    <w:rsid w:val="005363F8"/>
    <w:rsid w:val="005365A9"/>
    <w:rsid w:val="00536AC6"/>
    <w:rsid w:val="00536BF2"/>
    <w:rsid w:val="00536F8B"/>
    <w:rsid w:val="00537836"/>
    <w:rsid w:val="00540382"/>
    <w:rsid w:val="00540ADF"/>
    <w:rsid w:val="00540C82"/>
    <w:rsid w:val="00540D1E"/>
    <w:rsid w:val="00540DBD"/>
    <w:rsid w:val="005410F1"/>
    <w:rsid w:val="005415FA"/>
    <w:rsid w:val="00541672"/>
    <w:rsid w:val="00541B66"/>
    <w:rsid w:val="00541C1F"/>
    <w:rsid w:val="00541FC6"/>
    <w:rsid w:val="005420C3"/>
    <w:rsid w:val="00542306"/>
    <w:rsid w:val="00542C99"/>
    <w:rsid w:val="00542FF5"/>
    <w:rsid w:val="005431C3"/>
    <w:rsid w:val="0054351D"/>
    <w:rsid w:val="00543736"/>
    <w:rsid w:val="0054399F"/>
    <w:rsid w:val="00543E4E"/>
    <w:rsid w:val="00544533"/>
    <w:rsid w:val="005445E7"/>
    <w:rsid w:val="005450E4"/>
    <w:rsid w:val="005454E3"/>
    <w:rsid w:val="00545535"/>
    <w:rsid w:val="005457CB"/>
    <w:rsid w:val="00545D7E"/>
    <w:rsid w:val="00545E1E"/>
    <w:rsid w:val="00545E23"/>
    <w:rsid w:val="0054606D"/>
    <w:rsid w:val="00546388"/>
    <w:rsid w:val="00546500"/>
    <w:rsid w:val="00546716"/>
    <w:rsid w:val="00546B29"/>
    <w:rsid w:val="00546E8F"/>
    <w:rsid w:val="0054729F"/>
    <w:rsid w:val="0054795B"/>
    <w:rsid w:val="00547A22"/>
    <w:rsid w:val="005500E4"/>
    <w:rsid w:val="005504CD"/>
    <w:rsid w:val="00551049"/>
    <w:rsid w:val="00551698"/>
    <w:rsid w:val="005518CA"/>
    <w:rsid w:val="00552B33"/>
    <w:rsid w:val="00552DDD"/>
    <w:rsid w:val="00553033"/>
    <w:rsid w:val="005536B8"/>
    <w:rsid w:val="00553B0D"/>
    <w:rsid w:val="005542DD"/>
    <w:rsid w:val="00554606"/>
    <w:rsid w:val="005547A4"/>
    <w:rsid w:val="00554C08"/>
    <w:rsid w:val="00554E4D"/>
    <w:rsid w:val="00554ED4"/>
    <w:rsid w:val="00554F57"/>
    <w:rsid w:val="005550E1"/>
    <w:rsid w:val="005557EB"/>
    <w:rsid w:val="00555E23"/>
    <w:rsid w:val="005567C4"/>
    <w:rsid w:val="00556D88"/>
    <w:rsid w:val="00556EA2"/>
    <w:rsid w:val="0055751D"/>
    <w:rsid w:val="005575A4"/>
    <w:rsid w:val="005579F7"/>
    <w:rsid w:val="00557CA6"/>
    <w:rsid w:val="00557D5D"/>
    <w:rsid w:val="00557E55"/>
    <w:rsid w:val="00560163"/>
    <w:rsid w:val="00560258"/>
    <w:rsid w:val="0056044B"/>
    <w:rsid w:val="00560CD8"/>
    <w:rsid w:val="00560D32"/>
    <w:rsid w:val="0056156B"/>
    <w:rsid w:val="0056162E"/>
    <w:rsid w:val="00561648"/>
    <w:rsid w:val="00561BDC"/>
    <w:rsid w:val="00561FB8"/>
    <w:rsid w:val="00562398"/>
    <w:rsid w:val="00562523"/>
    <w:rsid w:val="00562685"/>
    <w:rsid w:val="005626EA"/>
    <w:rsid w:val="00562751"/>
    <w:rsid w:val="00562E41"/>
    <w:rsid w:val="00562F61"/>
    <w:rsid w:val="0056326A"/>
    <w:rsid w:val="0056370E"/>
    <w:rsid w:val="00563DEF"/>
    <w:rsid w:val="00563EC0"/>
    <w:rsid w:val="00563F00"/>
    <w:rsid w:val="00564A64"/>
    <w:rsid w:val="00564ADD"/>
    <w:rsid w:val="00564E7D"/>
    <w:rsid w:val="00564EEC"/>
    <w:rsid w:val="00565000"/>
    <w:rsid w:val="005655C1"/>
    <w:rsid w:val="0056591C"/>
    <w:rsid w:val="00565DCF"/>
    <w:rsid w:val="00566366"/>
    <w:rsid w:val="005668A6"/>
    <w:rsid w:val="00566B4B"/>
    <w:rsid w:val="00566C32"/>
    <w:rsid w:val="00566C6C"/>
    <w:rsid w:val="00566DC3"/>
    <w:rsid w:val="00566FDF"/>
    <w:rsid w:val="005673D4"/>
    <w:rsid w:val="00567A05"/>
    <w:rsid w:val="00567DB2"/>
    <w:rsid w:val="00567E3C"/>
    <w:rsid w:val="00570058"/>
    <w:rsid w:val="005700D3"/>
    <w:rsid w:val="0057166D"/>
    <w:rsid w:val="00571708"/>
    <w:rsid w:val="00571B22"/>
    <w:rsid w:val="00571ECF"/>
    <w:rsid w:val="00571EF6"/>
    <w:rsid w:val="00572267"/>
    <w:rsid w:val="00572E42"/>
    <w:rsid w:val="005731C3"/>
    <w:rsid w:val="005731FD"/>
    <w:rsid w:val="00573667"/>
    <w:rsid w:val="00573833"/>
    <w:rsid w:val="00573D4F"/>
    <w:rsid w:val="00573F22"/>
    <w:rsid w:val="005750CC"/>
    <w:rsid w:val="00575586"/>
    <w:rsid w:val="00575679"/>
    <w:rsid w:val="0057632F"/>
    <w:rsid w:val="00576350"/>
    <w:rsid w:val="00576E41"/>
    <w:rsid w:val="00576EDC"/>
    <w:rsid w:val="00576FF6"/>
    <w:rsid w:val="00577456"/>
    <w:rsid w:val="0057781D"/>
    <w:rsid w:val="00577A28"/>
    <w:rsid w:val="00577B76"/>
    <w:rsid w:val="00577D04"/>
    <w:rsid w:val="00580105"/>
    <w:rsid w:val="005802BA"/>
    <w:rsid w:val="005802F9"/>
    <w:rsid w:val="00580621"/>
    <w:rsid w:val="005807DE"/>
    <w:rsid w:val="00580E2C"/>
    <w:rsid w:val="00581414"/>
    <w:rsid w:val="0058184A"/>
    <w:rsid w:val="00581E8F"/>
    <w:rsid w:val="00582169"/>
    <w:rsid w:val="00582235"/>
    <w:rsid w:val="005834DC"/>
    <w:rsid w:val="0058355D"/>
    <w:rsid w:val="00583593"/>
    <w:rsid w:val="005835F9"/>
    <w:rsid w:val="00583CCD"/>
    <w:rsid w:val="00583EF7"/>
    <w:rsid w:val="005841CC"/>
    <w:rsid w:val="00584889"/>
    <w:rsid w:val="00584B5A"/>
    <w:rsid w:val="00584C58"/>
    <w:rsid w:val="00585219"/>
    <w:rsid w:val="00585471"/>
    <w:rsid w:val="00585477"/>
    <w:rsid w:val="005854CE"/>
    <w:rsid w:val="00585FCE"/>
    <w:rsid w:val="0058602A"/>
    <w:rsid w:val="00586056"/>
    <w:rsid w:val="00586165"/>
    <w:rsid w:val="005862E4"/>
    <w:rsid w:val="0058656D"/>
    <w:rsid w:val="005865D2"/>
    <w:rsid w:val="005865EE"/>
    <w:rsid w:val="0058683B"/>
    <w:rsid w:val="00586A52"/>
    <w:rsid w:val="00586DBA"/>
    <w:rsid w:val="00586E6D"/>
    <w:rsid w:val="00587195"/>
    <w:rsid w:val="00587289"/>
    <w:rsid w:val="00587606"/>
    <w:rsid w:val="005878F6"/>
    <w:rsid w:val="00587F8B"/>
    <w:rsid w:val="00587FFA"/>
    <w:rsid w:val="00590293"/>
    <w:rsid w:val="005905D7"/>
    <w:rsid w:val="005908CA"/>
    <w:rsid w:val="0059110E"/>
    <w:rsid w:val="00591469"/>
    <w:rsid w:val="005915EA"/>
    <w:rsid w:val="00591671"/>
    <w:rsid w:val="00591A4D"/>
    <w:rsid w:val="00592580"/>
    <w:rsid w:val="005925D7"/>
    <w:rsid w:val="0059294B"/>
    <w:rsid w:val="00592A89"/>
    <w:rsid w:val="005931C0"/>
    <w:rsid w:val="005934F8"/>
    <w:rsid w:val="00593543"/>
    <w:rsid w:val="00593BF6"/>
    <w:rsid w:val="00593D4E"/>
    <w:rsid w:val="00593DD2"/>
    <w:rsid w:val="00593E58"/>
    <w:rsid w:val="00593F7E"/>
    <w:rsid w:val="00594934"/>
    <w:rsid w:val="00594947"/>
    <w:rsid w:val="005956E8"/>
    <w:rsid w:val="00595752"/>
    <w:rsid w:val="00595DE4"/>
    <w:rsid w:val="00595E94"/>
    <w:rsid w:val="005962B4"/>
    <w:rsid w:val="0059632D"/>
    <w:rsid w:val="00596836"/>
    <w:rsid w:val="00596A4A"/>
    <w:rsid w:val="00596B40"/>
    <w:rsid w:val="005974E1"/>
    <w:rsid w:val="005977D9"/>
    <w:rsid w:val="00597B3D"/>
    <w:rsid w:val="00597FAC"/>
    <w:rsid w:val="005A008F"/>
    <w:rsid w:val="005A02EB"/>
    <w:rsid w:val="005A05C9"/>
    <w:rsid w:val="005A068F"/>
    <w:rsid w:val="005A0A11"/>
    <w:rsid w:val="005A1578"/>
    <w:rsid w:val="005A164D"/>
    <w:rsid w:val="005A1D4A"/>
    <w:rsid w:val="005A207A"/>
    <w:rsid w:val="005A21EF"/>
    <w:rsid w:val="005A243C"/>
    <w:rsid w:val="005A2552"/>
    <w:rsid w:val="005A25D4"/>
    <w:rsid w:val="005A2833"/>
    <w:rsid w:val="005A2837"/>
    <w:rsid w:val="005A284C"/>
    <w:rsid w:val="005A2942"/>
    <w:rsid w:val="005A2B93"/>
    <w:rsid w:val="005A2C05"/>
    <w:rsid w:val="005A32D5"/>
    <w:rsid w:val="005A3507"/>
    <w:rsid w:val="005A3527"/>
    <w:rsid w:val="005A369A"/>
    <w:rsid w:val="005A3789"/>
    <w:rsid w:val="005A3CDC"/>
    <w:rsid w:val="005A420B"/>
    <w:rsid w:val="005A499D"/>
    <w:rsid w:val="005A4AAC"/>
    <w:rsid w:val="005A4B42"/>
    <w:rsid w:val="005A55AD"/>
    <w:rsid w:val="005A5722"/>
    <w:rsid w:val="005A5F46"/>
    <w:rsid w:val="005A62E5"/>
    <w:rsid w:val="005A695B"/>
    <w:rsid w:val="005A6A1A"/>
    <w:rsid w:val="005A6BD6"/>
    <w:rsid w:val="005A6D98"/>
    <w:rsid w:val="005A6EC9"/>
    <w:rsid w:val="005A702D"/>
    <w:rsid w:val="005A7400"/>
    <w:rsid w:val="005A78D1"/>
    <w:rsid w:val="005A7BF1"/>
    <w:rsid w:val="005A7F39"/>
    <w:rsid w:val="005B07B7"/>
    <w:rsid w:val="005B08AE"/>
    <w:rsid w:val="005B0AF9"/>
    <w:rsid w:val="005B0BD8"/>
    <w:rsid w:val="005B0C8A"/>
    <w:rsid w:val="005B100D"/>
    <w:rsid w:val="005B140F"/>
    <w:rsid w:val="005B14CD"/>
    <w:rsid w:val="005B1780"/>
    <w:rsid w:val="005B1B29"/>
    <w:rsid w:val="005B222B"/>
    <w:rsid w:val="005B268B"/>
    <w:rsid w:val="005B2929"/>
    <w:rsid w:val="005B2D0C"/>
    <w:rsid w:val="005B3239"/>
    <w:rsid w:val="005B33D5"/>
    <w:rsid w:val="005B3444"/>
    <w:rsid w:val="005B35A1"/>
    <w:rsid w:val="005B37EA"/>
    <w:rsid w:val="005B3CAC"/>
    <w:rsid w:val="005B3F8B"/>
    <w:rsid w:val="005B4036"/>
    <w:rsid w:val="005B42E9"/>
    <w:rsid w:val="005B4399"/>
    <w:rsid w:val="005B43B3"/>
    <w:rsid w:val="005B4738"/>
    <w:rsid w:val="005B491F"/>
    <w:rsid w:val="005B4EA3"/>
    <w:rsid w:val="005B5209"/>
    <w:rsid w:val="005B5436"/>
    <w:rsid w:val="005B5705"/>
    <w:rsid w:val="005B5897"/>
    <w:rsid w:val="005B5CA8"/>
    <w:rsid w:val="005B5D4E"/>
    <w:rsid w:val="005B5E79"/>
    <w:rsid w:val="005B64AB"/>
    <w:rsid w:val="005B720D"/>
    <w:rsid w:val="005B753F"/>
    <w:rsid w:val="005B76F6"/>
    <w:rsid w:val="005B7819"/>
    <w:rsid w:val="005B7C71"/>
    <w:rsid w:val="005C0212"/>
    <w:rsid w:val="005C0389"/>
    <w:rsid w:val="005C050E"/>
    <w:rsid w:val="005C06D5"/>
    <w:rsid w:val="005C09DC"/>
    <w:rsid w:val="005C0C59"/>
    <w:rsid w:val="005C0C68"/>
    <w:rsid w:val="005C1B4E"/>
    <w:rsid w:val="005C1B8C"/>
    <w:rsid w:val="005C1D61"/>
    <w:rsid w:val="005C2AEE"/>
    <w:rsid w:val="005C2B7F"/>
    <w:rsid w:val="005C2D9F"/>
    <w:rsid w:val="005C2EED"/>
    <w:rsid w:val="005C304F"/>
    <w:rsid w:val="005C314E"/>
    <w:rsid w:val="005C31E4"/>
    <w:rsid w:val="005C31F5"/>
    <w:rsid w:val="005C3A2B"/>
    <w:rsid w:val="005C3BC6"/>
    <w:rsid w:val="005C3EED"/>
    <w:rsid w:val="005C42BB"/>
    <w:rsid w:val="005C4454"/>
    <w:rsid w:val="005C448B"/>
    <w:rsid w:val="005C4691"/>
    <w:rsid w:val="005C48F4"/>
    <w:rsid w:val="005C4B8F"/>
    <w:rsid w:val="005C4FD5"/>
    <w:rsid w:val="005C5142"/>
    <w:rsid w:val="005C55D6"/>
    <w:rsid w:val="005C56B6"/>
    <w:rsid w:val="005C58D9"/>
    <w:rsid w:val="005C5970"/>
    <w:rsid w:val="005C5972"/>
    <w:rsid w:val="005C5BD8"/>
    <w:rsid w:val="005C6714"/>
    <w:rsid w:val="005C6B39"/>
    <w:rsid w:val="005C6ED6"/>
    <w:rsid w:val="005C6FD7"/>
    <w:rsid w:val="005C7021"/>
    <w:rsid w:val="005C736B"/>
    <w:rsid w:val="005C74CD"/>
    <w:rsid w:val="005C750C"/>
    <w:rsid w:val="005C77BA"/>
    <w:rsid w:val="005C7943"/>
    <w:rsid w:val="005C7C5C"/>
    <w:rsid w:val="005C7E0C"/>
    <w:rsid w:val="005C7E50"/>
    <w:rsid w:val="005C7EA4"/>
    <w:rsid w:val="005C7FDA"/>
    <w:rsid w:val="005D0117"/>
    <w:rsid w:val="005D0162"/>
    <w:rsid w:val="005D032A"/>
    <w:rsid w:val="005D0957"/>
    <w:rsid w:val="005D09E4"/>
    <w:rsid w:val="005D0F47"/>
    <w:rsid w:val="005D0FB3"/>
    <w:rsid w:val="005D1318"/>
    <w:rsid w:val="005D13D9"/>
    <w:rsid w:val="005D16AB"/>
    <w:rsid w:val="005D16B8"/>
    <w:rsid w:val="005D1F65"/>
    <w:rsid w:val="005D2277"/>
    <w:rsid w:val="005D32E4"/>
    <w:rsid w:val="005D351E"/>
    <w:rsid w:val="005D3673"/>
    <w:rsid w:val="005D36B2"/>
    <w:rsid w:val="005D379F"/>
    <w:rsid w:val="005D38FB"/>
    <w:rsid w:val="005D39D5"/>
    <w:rsid w:val="005D39EB"/>
    <w:rsid w:val="005D3A0F"/>
    <w:rsid w:val="005D3AAE"/>
    <w:rsid w:val="005D3B0B"/>
    <w:rsid w:val="005D3D6F"/>
    <w:rsid w:val="005D589D"/>
    <w:rsid w:val="005D5D7F"/>
    <w:rsid w:val="005D5F67"/>
    <w:rsid w:val="005D5FC8"/>
    <w:rsid w:val="005D64A5"/>
    <w:rsid w:val="005D6B96"/>
    <w:rsid w:val="005D6CC9"/>
    <w:rsid w:val="005D6F1F"/>
    <w:rsid w:val="005D795A"/>
    <w:rsid w:val="005D7DFB"/>
    <w:rsid w:val="005D7FB4"/>
    <w:rsid w:val="005E0214"/>
    <w:rsid w:val="005E03D3"/>
    <w:rsid w:val="005E045B"/>
    <w:rsid w:val="005E0A26"/>
    <w:rsid w:val="005E0E13"/>
    <w:rsid w:val="005E1282"/>
    <w:rsid w:val="005E215B"/>
    <w:rsid w:val="005E247E"/>
    <w:rsid w:val="005E35A3"/>
    <w:rsid w:val="005E392B"/>
    <w:rsid w:val="005E39B5"/>
    <w:rsid w:val="005E3F12"/>
    <w:rsid w:val="005E4473"/>
    <w:rsid w:val="005E497E"/>
    <w:rsid w:val="005E4A86"/>
    <w:rsid w:val="005E4C96"/>
    <w:rsid w:val="005E54C7"/>
    <w:rsid w:val="005E54E4"/>
    <w:rsid w:val="005E54EA"/>
    <w:rsid w:val="005E5B11"/>
    <w:rsid w:val="005E67FE"/>
    <w:rsid w:val="005E6929"/>
    <w:rsid w:val="005E6AAD"/>
    <w:rsid w:val="005E6BBF"/>
    <w:rsid w:val="005E6DD9"/>
    <w:rsid w:val="005E6F79"/>
    <w:rsid w:val="005E70F9"/>
    <w:rsid w:val="005E7191"/>
    <w:rsid w:val="005E71F4"/>
    <w:rsid w:val="005E79BE"/>
    <w:rsid w:val="005E7B75"/>
    <w:rsid w:val="005E7DD0"/>
    <w:rsid w:val="005F0060"/>
    <w:rsid w:val="005F0259"/>
    <w:rsid w:val="005F094D"/>
    <w:rsid w:val="005F0CE7"/>
    <w:rsid w:val="005F0D4C"/>
    <w:rsid w:val="005F1063"/>
    <w:rsid w:val="005F10DE"/>
    <w:rsid w:val="005F11AA"/>
    <w:rsid w:val="005F133B"/>
    <w:rsid w:val="005F13AF"/>
    <w:rsid w:val="005F1556"/>
    <w:rsid w:val="005F197E"/>
    <w:rsid w:val="005F1ED8"/>
    <w:rsid w:val="005F258E"/>
    <w:rsid w:val="005F29B7"/>
    <w:rsid w:val="005F2C6D"/>
    <w:rsid w:val="005F317E"/>
    <w:rsid w:val="005F32E5"/>
    <w:rsid w:val="005F3717"/>
    <w:rsid w:val="005F3732"/>
    <w:rsid w:val="005F3845"/>
    <w:rsid w:val="005F38FD"/>
    <w:rsid w:val="005F397D"/>
    <w:rsid w:val="005F3C24"/>
    <w:rsid w:val="005F3CEB"/>
    <w:rsid w:val="005F3D92"/>
    <w:rsid w:val="005F4C9D"/>
    <w:rsid w:val="005F4E6E"/>
    <w:rsid w:val="005F52C9"/>
    <w:rsid w:val="005F56C6"/>
    <w:rsid w:val="005F5BE1"/>
    <w:rsid w:val="005F5C3E"/>
    <w:rsid w:val="005F5C42"/>
    <w:rsid w:val="005F5C92"/>
    <w:rsid w:val="005F5D8A"/>
    <w:rsid w:val="005F5E09"/>
    <w:rsid w:val="005F6136"/>
    <w:rsid w:val="005F63D6"/>
    <w:rsid w:val="005F748A"/>
    <w:rsid w:val="005F74A8"/>
    <w:rsid w:val="005F7720"/>
    <w:rsid w:val="005F7759"/>
    <w:rsid w:val="005F7BF1"/>
    <w:rsid w:val="005F7D2A"/>
    <w:rsid w:val="006003FE"/>
    <w:rsid w:val="00600B72"/>
    <w:rsid w:val="00600C44"/>
    <w:rsid w:val="006012B8"/>
    <w:rsid w:val="006013CC"/>
    <w:rsid w:val="00601879"/>
    <w:rsid w:val="00601969"/>
    <w:rsid w:val="00601B42"/>
    <w:rsid w:val="00601D03"/>
    <w:rsid w:val="00601F95"/>
    <w:rsid w:val="00602078"/>
    <w:rsid w:val="006024BB"/>
    <w:rsid w:val="006024FF"/>
    <w:rsid w:val="00602517"/>
    <w:rsid w:val="0060283A"/>
    <w:rsid w:val="0060287F"/>
    <w:rsid w:val="00602AAF"/>
    <w:rsid w:val="00602BCB"/>
    <w:rsid w:val="00602EF6"/>
    <w:rsid w:val="00602FEA"/>
    <w:rsid w:val="00603459"/>
    <w:rsid w:val="0060350C"/>
    <w:rsid w:val="00603702"/>
    <w:rsid w:val="00603E61"/>
    <w:rsid w:val="00604318"/>
    <w:rsid w:val="00604358"/>
    <w:rsid w:val="006043D7"/>
    <w:rsid w:val="006045E5"/>
    <w:rsid w:val="00604AA7"/>
    <w:rsid w:val="00604D7A"/>
    <w:rsid w:val="00604FB3"/>
    <w:rsid w:val="006051E1"/>
    <w:rsid w:val="00605C38"/>
    <w:rsid w:val="00605C66"/>
    <w:rsid w:val="00605D27"/>
    <w:rsid w:val="00605E95"/>
    <w:rsid w:val="00605E9A"/>
    <w:rsid w:val="00605F10"/>
    <w:rsid w:val="0060604C"/>
    <w:rsid w:val="006061EB"/>
    <w:rsid w:val="006065A8"/>
    <w:rsid w:val="00606C9C"/>
    <w:rsid w:val="006071EE"/>
    <w:rsid w:val="006075B1"/>
    <w:rsid w:val="00607EE3"/>
    <w:rsid w:val="00607F3D"/>
    <w:rsid w:val="00610319"/>
    <w:rsid w:val="006105D1"/>
    <w:rsid w:val="00610B51"/>
    <w:rsid w:val="00610D9A"/>
    <w:rsid w:val="00610E82"/>
    <w:rsid w:val="0061117F"/>
    <w:rsid w:val="00611388"/>
    <w:rsid w:val="0061185E"/>
    <w:rsid w:val="00611C14"/>
    <w:rsid w:val="00611FA0"/>
    <w:rsid w:val="00612397"/>
    <w:rsid w:val="00612862"/>
    <w:rsid w:val="00612D43"/>
    <w:rsid w:val="006132DE"/>
    <w:rsid w:val="0061337D"/>
    <w:rsid w:val="00613581"/>
    <w:rsid w:val="0061397C"/>
    <w:rsid w:val="00613E0A"/>
    <w:rsid w:val="00613E6D"/>
    <w:rsid w:val="0061497C"/>
    <w:rsid w:val="00614AC7"/>
    <w:rsid w:val="00614C34"/>
    <w:rsid w:val="00614E40"/>
    <w:rsid w:val="00614F8D"/>
    <w:rsid w:val="00614F97"/>
    <w:rsid w:val="006153AF"/>
    <w:rsid w:val="006159FC"/>
    <w:rsid w:val="00615AB3"/>
    <w:rsid w:val="00615FD1"/>
    <w:rsid w:val="00616ADD"/>
    <w:rsid w:val="00616C1D"/>
    <w:rsid w:val="0061751C"/>
    <w:rsid w:val="0061785C"/>
    <w:rsid w:val="006178D0"/>
    <w:rsid w:val="00617BD3"/>
    <w:rsid w:val="00620042"/>
    <w:rsid w:val="006201C1"/>
    <w:rsid w:val="00620431"/>
    <w:rsid w:val="0062054B"/>
    <w:rsid w:val="006205C4"/>
    <w:rsid w:val="0062064A"/>
    <w:rsid w:val="00620FEF"/>
    <w:rsid w:val="00621124"/>
    <w:rsid w:val="0062194C"/>
    <w:rsid w:val="0062194F"/>
    <w:rsid w:val="00621D99"/>
    <w:rsid w:val="00621FDF"/>
    <w:rsid w:val="00622871"/>
    <w:rsid w:val="0062315B"/>
    <w:rsid w:val="006231D8"/>
    <w:rsid w:val="00623426"/>
    <w:rsid w:val="00623698"/>
    <w:rsid w:val="00623AAA"/>
    <w:rsid w:val="00623C1D"/>
    <w:rsid w:val="00623CCC"/>
    <w:rsid w:val="00623D20"/>
    <w:rsid w:val="0062408F"/>
    <w:rsid w:val="0062410C"/>
    <w:rsid w:val="00624379"/>
    <w:rsid w:val="00624465"/>
    <w:rsid w:val="0062469A"/>
    <w:rsid w:val="0062471B"/>
    <w:rsid w:val="006247D0"/>
    <w:rsid w:val="00624892"/>
    <w:rsid w:val="006248AC"/>
    <w:rsid w:val="00625082"/>
    <w:rsid w:val="006250ED"/>
    <w:rsid w:val="0062523C"/>
    <w:rsid w:val="00625337"/>
    <w:rsid w:val="006253E6"/>
    <w:rsid w:val="00625BA3"/>
    <w:rsid w:val="00625E9C"/>
    <w:rsid w:val="006267CD"/>
    <w:rsid w:val="0062681C"/>
    <w:rsid w:val="006269AD"/>
    <w:rsid w:val="006269D7"/>
    <w:rsid w:val="00626AB8"/>
    <w:rsid w:val="00626FEF"/>
    <w:rsid w:val="006270D0"/>
    <w:rsid w:val="006270F3"/>
    <w:rsid w:val="00627206"/>
    <w:rsid w:val="006274F1"/>
    <w:rsid w:val="0062767D"/>
    <w:rsid w:val="00627EE3"/>
    <w:rsid w:val="00627EF5"/>
    <w:rsid w:val="00630116"/>
    <w:rsid w:val="006302A5"/>
    <w:rsid w:val="00630585"/>
    <w:rsid w:val="00630AD4"/>
    <w:rsid w:val="00630E18"/>
    <w:rsid w:val="00630E65"/>
    <w:rsid w:val="00631115"/>
    <w:rsid w:val="006312D2"/>
    <w:rsid w:val="006314F9"/>
    <w:rsid w:val="0063173D"/>
    <w:rsid w:val="006319A3"/>
    <w:rsid w:val="00631B4A"/>
    <w:rsid w:val="00631BA6"/>
    <w:rsid w:val="00631C7A"/>
    <w:rsid w:val="00632090"/>
    <w:rsid w:val="006320F1"/>
    <w:rsid w:val="006321DC"/>
    <w:rsid w:val="0063231C"/>
    <w:rsid w:val="00632505"/>
    <w:rsid w:val="00632BD2"/>
    <w:rsid w:val="00632C0B"/>
    <w:rsid w:val="00632C9E"/>
    <w:rsid w:val="00632F64"/>
    <w:rsid w:val="00633779"/>
    <w:rsid w:val="00633E31"/>
    <w:rsid w:val="0063401F"/>
    <w:rsid w:val="0063447B"/>
    <w:rsid w:val="006348FB"/>
    <w:rsid w:val="00634991"/>
    <w:rsid w:val="00634ABF"/>
    <w:rsid w:val="00634BB3"/>
    <w:rsid w:val="00634D38"/>
    <w:rsid w:val="006351C2"/>
    <w:rsid w:val="00635798"/>
    <w:rsid w:val="006358B7"/>
    <w:rsid w:val="0063592A"/>
    <w:rsid w:val="00635CF6"/>
    <w:rsid w:val="006360EC"/>
    <w:rsid w:val="0063656B"/>
    <w:rsid w:val="00636924"/>
    <w:rsid w:val="00636C8F"/>
    <w:rsid w:val="00636E78"/>
    <w:rsid w:val="00637A5A"/>
    <w:rsid w:val="00637C43"/>
    <w:rsid w:val="00637E41"/>
    <w:rsid w:val="006402CB"/>
    <w:rsid w:val="00640A54"/>
    <w:rsid w:val="00640CCE"/>
    <w:rsid w:val="00640FE5"/>
    <w:rsid w:val="0064125B"/>
    <w:rsid w:val="0064148C"/>
    <w:rsid w:val="00641C82"/>
    <w:rsid w:val="006421B1"/>
    <w:rsid w:val="00642928"/>
    <w:rsid w:val="00642974"/>
    <w:rsid w:val="006429F0"/>
    <w:rsid w:val="00642CCD"/>
    <w:rsid w:val="006435CA"/>
    <w:rsid w:val="0064368D"/>
    <w:rsid w:val="00643819"/>
    <w:rsid w:val="00643941"/>
    <w:rsid w:val="00643B3D"/>
    <w:rsid w:val="00643EB0"/>
    <w:rsid w:val="0064426D"/>
    <w:rsid w:val="00644441"/>
    <w:rsid w:val="0064447C"/>
    <w:rsid w:val="0064454B"/>
    <w:rsid w:val="00644645"/>
    <w:rsid w:val="00644AC2"/>
    <w:rsid w:val="00644F4F"/>
    <w:rsid w:val="00645420"/>
    <w:rsid w:val="00645DE0"/>
    <w:rsid w:val="00645E61"/>
    <w:rsid w:val="00645E70"/>
    <w:rsid w:val="006466EA"/>
    <w:rsid w:val="006468A6"/>
    <w:rsid w:val="00646A98"/>
    <w:rsid w:val="0064715E"/>
    <w:rsid w:val="00647207"/>
    <w:rsid w:val="00647375"/>
    <w:rsid w:val="006474CA"/>
    <w:rsid w:val="0064768D"/>
    <w:rsid w:val="00647722"/>
    <w:rsid w:val="0064779E"/>
    <w:rsid w:val="006478CA"/>
    <w:rsid w:val="00647F58"/>
    <w:rsid w:val="00647F84"/>
    <w:rsid w:val="00650115"/>
    <w:rsid w:val="00650161"/>
    <w:rsid w:val="006501A4"/>
    <w:rsid w:val="00650597"/>
    <w:rsid w:val="00650715"/>
    <w:rsid w:val="0065080C"/>
    <w:rsid w:val="00650BAF"/>
    <w:rsid w:val="00650DB4"/>
    <w:rsid w:val="00650EE4"/>
    <w:rsid w:val="00651102"/>
    <w:rsid w:val="006511CE"/>
    <w:rsid w:val="0065140D"/>
    <w:rsid w:val="006517C5"/>
    <w:rsid w:val="006519FD"/>
    <w:rsid w:val="00652099"/>
    <w:rsid w:val="006524EE"/>
    <w:rsid w:val="00652A09"/>
    <w:rsid w:val="00652CDC"/>
    <w:rsid w:val="006532B6"/>
    <w:rsid w:val="00653323"/>
    <w:rsid w:val="006535FF"/>
    <w:rsid w:val="00653E45"/>
    <w:rsid w:val="00653E75"/>
    <w:rsid w:val="00653EEF"/>
    <w:rsid w:val="0065440B"/>
    <w:rsid w:val="00654941"/>
    <w:rsid w:val="00654BD2"/>
    <w:rsid w:val="00654C9E"/>
    <w:rsid w:val="0065533A"/>
    <w:rsid w:val="00655602"/>
    <w:rsid w:val="006558D8"/>
    <w:rsid w:val="00655AE6"/>
    <w:rsid w:val="00655E7F"/>
    <w:rsid w:val="006560B4"/>
    <w:rsid w:val="006561B6"/>
    <w:rsid w:val="00656323"/>
    <w:rsid w:val="00656373"/>
    <w:rsid w:val="006566BF"/>
    <w:rsid w:val="00656D8B"/>
    <w:rsid w:val="00656D9A"/>
    <w:rsid w:val="00656DAF"/>
    <w:rsid w:val="00657353"/>
    <w:rsid w:val="0065749A"/>
    <w:rsid w:val="006576CE"/>
    <w:rsid w:val="00657EE4"/>
    <w:rsid w:val="00657FE6"/>
    <w:rsid w:val="00660195"/>
    <w:rsid w:val="006601F9"/>
    <w:rsid w:val="00660938"/>
    <w:rsid w:val="00660964"/>
    <w:rsid w:val="00660E42"/>
    <w:rsid w:val="006623A8"/>
    <w:rsid w:val="00662A10"/>
    <w:rsid w:val="00662AD8"/>
    <w:rsid w:val="00662B0B"/>
    <w:rsid w:val="00662D40"/>
    <w:rsid w:val="00662D63"/>
    <w:rsid w:val="006633DD"/>
    <w:rsid w:val="0066377A"/>
    <w:rsid w:val="006637EF"/>
    <w:rsid w:val="00663A67"/>
    <w:rsid w:val="00663E18"/>
    <w:rsid w:val="00663E1C"/>
    <w:rsid w:val="0066407D"/>
    <w:rsid w:val="00664346"/>
    <w:rsid w:val="00664674"/>
    <w:rsid w:val="00664803"/>
    <w:rsid w:val="00664B16"/>
    <w:rsid w:val="00664F63"/>
    <w:rsid w:val="00665B21"/>
    <w:rsid w:val="00665F02"/>
    <w:rsid w:val="006662D9"/>
    <w:rsid w:val="006666D2"/>
    <w:rsid w:val="00666B58"/>
    <w:rsid w:val="00666ECB"/>
    <w:rsid w:val="006674E6"/>
    <w:rsid w:val="00667878"/>
    <w:rsid w:val="00667B92"/>
    <w:rsid w:val="00667C23"/>
    <w:rsid w:val="00667FDB"/>
    <w:rsid w:val="006701C6"/>
    <w:rsid w:val="006707C4"/>
    <w:rsid w:val="0067096F"/>
    <w:rsid w:val="00670C65"/>
    <w:rsid w:val="00670EFD"/>
    <w:rsid w:val="006715CD"/>
    <w:rsid w:val="006718F6"/>
    <w:rsid w:val="006719BF"/>
    <w:rsid w:val="00671A3C"/>
    <w:rsid w:val="00671B05"/>
    <w:rsid w:val="00671DE5"/>
    <w:rsid w:val="00671E3D"/>
    <w:rsid w:val="0067202C"/>
    <w:rsid w:val="00672172"/>
    <w:rsid w:val="006721DD"/>
    <w:rsid w:val="00672385"/>
    <w:rsid w:val="00672472"/>
    <w:rsid w:val="006725C8"/>
    <w:rsid w:val="0067275A"/>
    <w:rsid w:val="006728E0"/>
    <w:rsid w:val="00673B88"/>
    <w:rsid w:val="00673EF0"/>
    <w:rsid w:val="00673FDD"/>
    <w:rsid w:val="006743E4"/>
    <w:rsid w:val="006744D9"/>
    <w:rsid w:val="006745C0"/>
    <w:rsid w:val="006747EA"/>
    <w:rsid w:val="00674E5A"/>
    <w:rsid w:val="00674EAC"/>
    <w:rsid w:val="006750AB"/>
    <w:rsid w:val="00675920"/>
    <w:rsid w:val="00675A31"/>
    <w:rsid w:val="00675DCB"/>
    <w:rsid w:val="00675F66"/>
    <w:rsid w:val="00675FBF"/>
    <w:rsid w:val="0067625C"/>
    <w:rsid w:val="0067696A"/>
    <w:rsid w:val="00676B66"/>
    <w:rsid w:val="00676BD5"/>
    <w:rsid w:val="00677614"/>
    <w:rsid w:val="00677620"/>
    <w:rsid w:val="0067799D"/>
    <w:rsid w:val="00677B2E"/>
    <w:rsid w:val="00677BD2"/>
    <w:rsid w:val="00677C04"/>
    <w:rsid w:val="00677C88"/>
    <w:rsid w:val="00677D45"/>
    <w:rsid w:val="00677FE7"/>
    <w:rsid w:val="00680041"/>
    <w:rsid w:val="006805FB"/>
    <w:rsid w:val="00680C71"/>
    <w:rsid w:val="0068110E"/>
    <w:rsid w:val="00681794"/>
    <w:rsid w:val="006818B2"/>
    <w:rsid w:val="00681A10"/>
    <w:rsid w:val="00681A96"/>
    <w:rsid w:val="00681C8F"/>
    <w:rsid w:val="00682075"/>
    <w:rsid w:val="00682940"/>
    <w:rsid w:val="00682A6C"/>
    <w:rsid w:val="00682B9E"/>
    <w:rsid w:val="00683050"/>
    <w:rsid w:val="00683529"/>
    <w:rsid w:val="00684112"/>
    <w:rsid w:val="006848B5"/>
    <w:rsid w:val="00684A3D"/>
    <w:rsid w:val="0068531B"/>
    <w:rsid w:val="00685437"/>
    <w:rsid w:val="00685460"/>
    <w:rsid w:val="006854D6"/>
    <w:rsid w:val="006858F1"/>
    <w:rsid w:val="00685DE8"/>
    <w:rsid w:val="00685E98"/>
    <w:rsid w:val="006861B9"/>
    <w:rsid w:val="006864EF"/>
    <w:rsid w:val="006866B5"/>
    <w:rsid w:val="0068697D"/>
    <w:rsid w:val="00686D06"/>
    <w:rsid w:val="0068790A"/>
    <w:rsid w:val="0068792B"/>
    <w:rsid w:val="00687BEA"/>
    <w:rsid w:val="00687CA9"/>
    <w:rsid w:val="00687D64"/>
    <w:rsid w:val="006902AD"/>
    <w:rsid w:val="006902B1"/>
    <w:rsid w:val="006902B3"/>
    <w:rsid w:val="00690876"/>
    <w:rsid w:val="00690BDC"/>
    <w:rsid w:val="00690D36"/>
    <w:rsid w:val="0069106E"/>
    <w:rsid w:val="0069137C"/>
    <w:rsid w:val="00691464"/>
    <w:rsid w:val="006918C6"/>
    <w:rsid w:val="006918F0"/>
    <w:rsid w:val="00691B80"/>
    <w:rsid w:val="00691F79"/>
    <w:rsid w:val="00692576"/>
    <w:rsid w:val="00692903"/>
    <w:rsid w:val="00692D0E"/>
    <w:rsid w:val="00692D87"/>
    <w:rsid w:val="00692FBE"/>
    <w:rsid w:val="00693152"/>
    <w:rsid w:val="0069323F"/>
    <w:rsid w:val="006935E5"/>
    <w:rsid w:val="00693938"/>
    <w:rsid w:val="00693B77"/>
    <w:rsid w:val="00693D4D"/>
    <w:rsid w:val="00693D7B"/>
    <w:rsid w:val="00693DE0"/>
    <w:rsid w:val="006944E3"/>
    <w:rsid w:val="00694541"/>
    <w:rsid w:val="006946CC"/>
    <w:rsid w:val="00694760"/>
    <w:rsid w:val="006948CD"/>
    <w:rsid w:val="00694BA0"/>
    <w:rsid w:val="00694D6E"/>
    <w:rsid w:val="00695143"/>
    <w:rsid w:val="00695358"/>
    <w:rsid w:val="0069578D"/>
    <w:rsid w:val="00695BA7"/>
    <w:rsid w:val="00696030"/>
    <w:rsid w:val="00696058"/>
    <w:rsid w:val="00696488"/>
    <w:rsid w:val="00696526"/>
    <w:rsid w:val="006967B4"/>
    <w:rsid w:val="00696922"/>
    <w:rsid w:val="006969F1"/>
    <w:rsid w:val="00696A8E"/>
    <w:rsid w:val="00696BA5"/>
    <w:rsid w:val="0069724C"/>
    <w:rsid w:val="006973E8"/>
    <w:rsid w:val="00697510"/>
    <w:rsid w:val="00697803"/>
    <w:rsid w:val="00697C1C"/>
    <w:rsid w:val="00697E6B"/>
    <w:rsid w:val="006A018B"/>
    <w:rsid w:val="006A04D1"/>
    <w:rsid w:val="006A05E5"/>
    <w:rsid w:val="006A06F0"/>
    <w:rsid w:val="006A0956"/>
    <w:rsid w:val="006A0CFB"/>
    <w:rsid w:val="006A12EC"/>
    <w:rsid w:val="006A1A78"/>
    <w:rsid w:val="006A1ACE"/>
    <w:rsid w:val="006A1C1D"/>
    <w:rsid w:val="006A1DF0"/>
    <w:rsid w:val="006A2292"/>
    <w:rsid w:val="006A22B7"/>
    <w:rsid w:val="006A25C5"/>
    <w:rsid w:val="006A2623"/>
    <w:rsid w:val="006A278B"/>
    <w:rsid w:val="006A2C33"/>
    <w:rsid w:val="006A302C"/>
    <w:rsid w:val="006A3264"/>
    <w:rsid w:val="006A32E7"/>
    <w:rsid w:val="006A363F"/>
    <w:rsid w:val="006A3AED"/>
    <w:rsid w:val="006A4241"/>
    <w:rsid w:val="006A470E"/>
    <w:rsid w:val="006A47C9"/>
    <w:rsid w:val="006A4F6A"/>
    <w:rsid w:val="006A54C1"/>
    <w:rsid w:val="006A585B"/>
    <w:rsid w:val="006A58D6"/>
    <w:rsid w:val="006A5A8F"/>
    <w:rsid w:val="006A5B6F"/>
    <w:rsid w:val="006A60B7"/>
    <w:rsid w:val="006A62ED"/>
    <w:rsid w:val="006A62FF"/>
    <w:rsid w:val="006A642F"/>
    <w:rsid w:val="006A6463"/>
    <w:rsid w:val="006A663D"/>
    <w:rsid w:val="006A724E"/>
    <w:rsid w:val="006A732F"/>
    <w:rsid w:val="006A7407"/>
    <w:rsid w:val="006A7650"/>
    <w:rsid w:val="006A7879"/>
    <w:rsid w:val="006A78E7"/>
    <w:rsid w:val="006A7B22"/>
    <w:rsid w:val="006A7BC5"/>
    <w:rsid w:val="006A7ED1"/>
    <w:rsid w:val="006B03EA"/>
    <w:rsid w:val="006B04B6"/>
    <w:rsid w:val="006B0625"/>
    <w:rsid w:val="006B07BC"/>
    <w:rsid w:val="006B0C3C"/>
    <w:rsid w:val="006B0D8C"/>
    <w:rsid w:val="006B0FC0"/>
    <w:rsid w:val="006B116F"/>
    <w:rsid w:val="006B187F"/>
    <w:rsid w:val="006B1C87"/>
    <w:rsid w:val="006B1E82"/>
    <w:rsid w:val="006B2026"/>
    <w:rsid w:val="006B24F8"/>
    <w:rsid w:val="006B2C9D"/>
    <w:rsid w:val="006B2E7D"/>
    <w:rsid w:val="006B2E96"/>
    <w:rsid w:val="006B3008"/>
    <w:rsid w:val="006B3075"/>
    <w:rsid w:val="006B340F"/>
    <w:rsid w:val="006B35D4"/>
    <w:rsid w:val="006B35DC"/>
    <w:rsid w:val="006B3661"/>
    <w:rsid w:val="006B3C20"/>
    <w:rsid w:val="006B3CAE"/>
    <w:rsid w:val="006B3D08"/>
    <w:rsid w:val="006B3EBF"/>
    <w:rsid w:val="006B4069"/>
    <w:rsid w:val="006B4073"/>
    <w:rsid w:val="006B41C5"/>
    <w:rsid w:val="006B44E1"/>
    <w:rsid w:val="006B45F4"/>
    <w:rsid w:val="006B482A"/>
    <w:rsid w:val="006B49CA"/>
    <w:rsid w:val="006B4E41"/>
    <w:rsid w:val="006B4E83"/>
    <w:rsid w:val="006B4F07"/>
    <w:rsid w:val="006B52E7"/>
    <w:rsid w:val="006B5448"/>
    <w:rsid w:val="006B5AC8"/>
    <w:rsid w:val="006B5B67"/>
    <w:rsid w:val="006B5CAA"/>
    <w:rsid w:val="006B5D6B"/>
    <w:rsid w:val="006B5DCC"/>
    <w:rsid w:val="006B5DD8"/>
    <w:rsid w:val="006B5EA7"/>
    <w:rsid w:val="006B5FBC"/>
    <w:rsid w:val="006B6101"/>
    <w:rsid w:val="006B64C4"/>
    <w:rsid w:val="006B64D2"/>
    <w:rsid w:val="006B69B2"/>
    <w:rsid w:val="006B6D9B"/>
    <w:rsid w:val="006B6E10"/>
    <w:rsid w:val="006B73D0"/>
    <w:rsid w:val="006B7809"/>
    <w:rsid w:val="006B7871"/>
    <w:rsid w:val="006B799F"/>
    <w:rsid w:val="006B7A81"/>
    <w:rsid w:val="006B7B1A"/>
    <w:rsid w:val="006B7C09"/>
    <w:rsid w:val="006B7C8D"/>
    <w:rsid w:val="006C0505"/>
    <w:rsid w:val="006C15DD"/>
    <w:rsid w:val="006C170C"/>
    <w:rsid w:val="006C173C"/>
    <w:rsid w:val="006C1782"/>
    <w:rsid w:val="006C18AF"/>
    <w:rsid w:val="006C19A6"/>
    <w:rsid w:val="006C22CF"/>
    <w:rsid w:val="006C240C"/>
    <w:rsid w:val="006C2623"/>
    <w:rsid w:val="006C2AC6"/>
    <w:rsid w:val="006C2D5B"/>
    <w:rsid w:val="006C2F66"/>
    <w:rsid w:val="006C30A0"/>
    <w:rsid w:val="006C3154"/>
    <w:rsid w:val="006C3380"/>
    <w:rsid w:val="006C340A"/>
    <w:rsid w:val="006C3467"/>
    <w:rsid w:val="006C3641"/>
    <w:rsid w:val="006C3A33"/>
    <w:rsid w:val="006C3B91"/>
    <w:rsid w:val="006C3F29"/>
    <w:rsid w:val="006C3FAA"/>
    <w:rsid w:val="006C402C"/>
    <w:rsid w:val="006C4053"/>
    <w:rsid w:val="006C44C3"/>
    <w:rsid w:val="006C467B"/>
    <w:rsid w:val="006C489E"/>
    <w:rsid w:val="006C4B4D"/>
    <w:rsid w:val="006C4B77"/>
    <w:rsid w:val="006C5250"/>
    <w:rsid w:val="006C590E"/>
    <w:rsid w:val="006C5F59"/>
    <w:rsid w:val="006C6775"/>
    <w:rsid w:val="006C6D49"/>
    <w:rsid w:val="006C6D6A"/>
    <w:rsid w:val="006C714B"/>
    <w:rsid w:val="006C76FD"/>
    <w:rsid w:val="006C7874"/>
    <w:rsid w:val="006C78BE"/>
    <w:rsid w:val="006C7CE6"/>
    <w:rsid w:val="006C7F95"/>
    <w:rsid w:val="006C7FEF"/>
    <w:rsid w:val="006D0165"/>
    <w:rsid w:val="006D02E1"/>
    <w:rsid w:val="006D08AE"/>
    <w:rsid w:val="006D08FE"/>
    <w:rsid w:val="006D0A5A"/>
    <w:rsid w:val="006D0C50"/>
    <w:rsid w:val="006D0F70"/>
    <w:rsid w:val="006D1293"/>
    <w:rsid w:val="006D180C"/>
    <w:rsid w:val="006D1BEC"/>
    <w:rsid w:val="006D1EFC"/>
    <w:rsid w:val="006D2878"/>
    <w:rsid w:val="006D2AC0"/>
    <w:rsid w:val="006D36F8"/>
    <w:rsid w:val="006D3D87"/>
    <w:rsid w:val="006D3FAD"/>
    <w:rsid w:val="006D4190"/>
    <w:rsid w:val="006D43F0"/>
    <w:rsid w:val="006D46D1"/>
    <w:rsid w:val="006D48F9"/>
    <w:rsid w:val="006D48FC"/>
    <w:rsid w:val="006D4B4E"/>
    <w:rsid w:val="006D4D04"/>
    <w:rsid w:val="006D4E28"/>
    <w:rsid w:val="006D54DF"/>
    <w:rsid w:val="006D57E0"/>
    <w:rsid w:val="006D5BE9"/>
    <w:rsid w:val="006D5D38"/>
    <w:rsid w:val="006D5FD1"/>
    <w:rsid w:val="006D61E0"/>
    <w:rsid w:val="006D6387"/>
    <w:rsid w:val="006D65CB"/>
    <w:rsid w:val="006D6E86"/>
    <w:rsid w:val="006D6F26"/>
    <w:rsid w:val="006D71BB"/>
    <w:rsid w:val="006D7499"/>
    <w:rsid w:val="006E011D"/>
    <w:rsid w:val="006E01D1"/>
    <w:rsid w:val="006E02D8"/>
    <w:rsid w:val="006E037C"/>
    <w:rsid w:val="006E067C"/>
    <w:rsid w:val="006E0686"/>
    <w:rsid w:val="006E0E2C"/>
    <w:rsid w:val="006E13C0"/>
    <w:rsid w:val="006E18C5"/>
    <w:rsid w:val="006E1A31"/>
    <w:rsid w:val="006E2046"/>
    <w:rsid w:val="006E23E1"/>
    <w:rsid w:val="006E2619"/>
    <w:rsid w:val="006E2841"/>
    <w:rsid w:val="006E3242"/>
    <w:rsid w:val="006E3312"/>
    <w:rsid w:val="006E3554"/>
    <w:rsid w:val="006E3D5C"/>
    <w:rsid w:val="006E44C6"/>
    <w:rsid w:val="006E4707"/>
    <w:rsid w:val="006E47E4"/>
    <w:rsid w:val="006E48B6"/>
    <w:rsid w:val="006E4ECF"/>
    <w:rsid w:val="006E4F73"/>
    <w:rsid w:val="006E507E"/>
    <w:rsid w:val="006E5504"/>
    <w:rsid w:val="006E57E3"/>
    <w:rsid w:val="006E57FE"/>
    <w:rsid w:val="006E5850"/>
    <w:rsid w:val="006E5AFA"/>
    <w:rsid w:val="006E606E"/>
    <w:rsid w:val="006E6BD8"/>
    <w:rsid w:val="006E6D96"/>
    <w:rsid w:val="006E7177"/>
    <w:rsid w:val="006E723A"/>
    <w:rsid w:val="006E7861"/>
    <w:rsid w:val="006F0849"/>
    <w:rsid w:val="006F0991"/>
    <w:rsid w:val="006F09D2"/>
    <w:rsid w:val="006F0BC4"/>
    <w:rsid w:val="006F0F58"/>
    <w:rsid w:val="006F1166"/>
    <w:rsid w:val="006F12DF"/>
    <w:rsid w:val="006F1395"/>
    <w:rsid w:val="006F1937"/>
    <w:rsid w:val="006F1CDA"/>
    <w:rsid w:val="006F1D05"/>
    <w:rsid w:val="006F1DFE"/>
    <w:rsid w:val="006F22AA"/>
    <w:rsid w:val="006F24F0"/>
    <w:rsid w:val="006F266D"/>
    <w:rsid w:val="006F281C"/>
    <w:rsid w:val="006F2C3A"/>
    <w:rsid w:val="006F3312"/>
    <w:rsid w:val="006F3854"/>
    <w:rsid w:val="006F3BD2"/>
    <w:rsid w:val="006F4397"/>
    <w:rsid w:val="006F45B5"/>
    <w:rsid w:val="006F46B7"/>
    <w:rsid w:val="006F4FD3"/>
    <w:rsid w:val="006F5072"/>
    <w:rsid w:val="006F56A0"/>
    <w:rsid w:val="006F5CB0"/>
    <w:rsid w:val="006F5F85"/>
    <w:rsid w:val="006F6006"/>
    <w:rsid w:val="006F601F"/>
    <w:rsid w:val="006F606B"/>
    <w:rsid w:val="006F6370"/>
    <w:rsid w:val="006F645E"/>
    <w:rsid w:val="006F66F3"/>
    <w:rsid w:val="006F6744"/>
    <w:rsid w:val="006F6774"/>
    <w:rsid w:val="006F6780"/>
    <w:rsid w:val="006F6B56"/>
    <w:rsid w:val="006F6CA0"/>
    <w:rsid w:val="006F6D40"/>
    <w:rsid w:val="006F6E6F"/>
    <w:rsid w:val="006F6F43"/>
    <w:rsid w:val="006F6FB5"/>
    <w:rsid w:val="006F75EE"/>
    <w:rsid w:val="006F76D3"/>
    <w:rsid w:val="006F7EC1"/>
    <w:rsid w:val="00700226"/>
    <w:rsid w:val="00700C47"/>
    <w:rsid w:val="007013A3"/>
    <w:rsid w:val="00701856"/>
    <w:rsid w:val="00701B95"/>
    <w:rsid w:val="00701C36"/>
    <w:rsid w:val="00701D2B"/>
    <w:rsid w:val="00701EA8"/>
    <w:rsid w:val="00702094"/>
    <w:rsid w:val="0070226F"/>
    <w:rsid w:val="007024B3"/>
    <w:rsid w:val="0070297E"/>
    <w:rsid w:val="00702ED5"/>
    <w:rsid w:val="0070356F"/>
    <w:rsid w:val="0070362C"/>
    <w:rsid w:val="00703CBE"/>
    <w:rsid w:val="00704081"/>
    <w:rsid w:val="007042F2"/>
    <w:rsid w:val="00704474"/>
    <w:rsid w:val="0070458C"/>
    <w:rsid w:val="00704592"/>
    <w:rsid w:val="007047D4"/>
    <w:rsid w:val="00704B35"/>
    <w:rsid w:val="00704E4E"/>
    <w:rsid w:val="00705150"/>
    <w:rsid w:val="007053D7"/>
    <w:rsid w:val="00705451"/>
    <w:rsid w:val="007054AA"/>
    <w:rsid w:val="0070585A"/>
    <w:rsid w:val="00705A2F"/>
    <w:rsid w:val="007061DE"/>
    <w:rsid w:val="007065D7"/>
    <w:rsid w:val="0070685C"/>
    <w:rsid w:val="00706A0F"/>
    <w:rsid w:val="00706C9F"/>
    <w:rsid w:val="00706E3E"/>
    <w:rsid w:val="0070727B"/>
    <w:rsid w:val="007078F6"/>
    <w:rsid w:val="00707D18"/>
    <w:rsid w:val="00707D83"/>
    <w:rsid w:val="007101F7"/>
    <w:rsid w:val="00710357"/>
    <w:rsid w:val="00710445"/>
    <w:rsid w:val="00710572"/>
    <w:rsid w:val="00710585"/>
    <w:rsid w:val="0071063F"/>
    <w:rsid w:val="00710CA0"/>
    <w:rsid w:val="00710CF2"/>
    <w:rsid w:val="00710FEE"/>
    <w:rsid w:val="007113A8"/>
    <w:rsid w:val="007116FE"/>
    <w:rsid w:val="00711B91"/>
    <w:rsid w:val="00711CDB"/>
    <w:rsid w:val="00711D8B"/>
    <w:rsid w:val="00711D96"/>
    <w:rsid w:val="00711ED7"/>
    <w:rsid w:val="0071203B"/>
    <w:rsid w:val="0071226A"/>
    <w:rsid w:val="0071239C"/>
    <w:rsid w:val="007123B4"/>
    <w:rsid w:val="0071275F"/>
    <w:rsid w:val="00712A4C"/>
    <w:rsid w:val="00713128"/>
    <w:rsid w:val="0071313B"/>
    <w:rsid w:val="00713AD4"/>
    <w:rsid w:val="00713D73"/>
    <w:rsid w:val="00713FF7"/>
    <w:rsid w:val="00714851"/>
    <w:rsid w:val="00714BEA"/>
    <w:rsid w:val="0071518A"/>
    <w:rsid w:val="00715616"/>
    <w:rsid w:val="00715686"/>
    <w:rsid w:val="00715C53"/>
    <w:rsid w:val="00716262"/>
    <w:rsid w:val="00716403"/>
    <w:rsid w:val="007167EF"/>
    <w:rsid w:val="007168C8"/>
    <w:rsid w:val="00716EF4"/>
    <w:rsid w:val="00717037"/>
    <w:rsid w:val="00717132"/>
    <w:rsid w:val="00717418"/>
    <w:rsid w:val="0071757D"/>
    <w:rsid w:val="00717843"/>
    <w:rsid w:val="007178C0"/>
    <w:rsid w:val="00717B91"/>
    <w:rsid w:val="00717F59"/>
    <w:rsid w:val="00720169"/>
    <w:rsid w:val="0072064F"/>
    <w:rsid w:val="007207B8"/>
    <w:rsid w:val="00720953"/>
    <w:rsid w:val="00720C26"/>
    <w:rsid w:val="00720E01"/>
    <w:rsid w:val="00721174"/>
    <w:rsid w:val="00721513"/>
    <w:rsid w:val="0072195F"/>
    <w:rsid w:val="00721974"/>
    <w:rsid w:val="00721A8E"/>
    <w:rsid w:val="00721AE9"/>
    <w:rsid w:val="00721DCE"/>
    <w:rsid w:val="00722269"/>
    <w:rsid w:val="00722932"/>
    <w:rsid w:val="00722D14"/>
    <w:rsid w:val="00723226"/>
    <w:rsid w:val="007233D6"/>
    <w:rsid w:val="00723BC7"/>
    <w:rsid w:val="00723CB6"/>
    <w:rsid w:val="00723D07"/>
    <w:rsid w:val="007243A3"/>
    <w:rsid w:val="007243CA"/>
    <w:rsid w:val="007243EB"/>
    <w:rsid w:val="007245BA"/>
    <w:rsid w:val="007246B9"/>
    <w:rsid w:val="00724A38"/>
    <w:rsid w:val="00724C15"/>
    <w:rsid w:val="00724D08"/>
    <w:rsid w:val="00724FD7"/>
    <w:rsid w:val="00725057"/>
    <w:rsid w:val="00725391"/>
    <w:rsid w:val="007255C3"/>
    <w:rsid w:val="007256B1"/>
    <w:rsid w:val="00725973"/>
    <w:rsid w:val="00725C32"/>
    <w:rsid w:val="007263C8"/>
    <w:rsid w:val="00726435"/>
    <w:rsid w:val="00726580"/>
    <w:rsid w:val="007265E5"/>
    <w:rsid w:val="007269C0"/>
    <w:rsid w:val="007269F8"/>
    <w:rsid w:val="00726A37"/>
    <w:rsid w:val="00726BE1"/>
    <w:rsid w:val="00726D0B"/>
    <w:rsid w:val="00726DAB"/>
    <w:rsid w:val="00726E32"/>
    <w:rsid w:val="00726FB2"/>
    <w:rsid w:val="007271AA"/>
    <w:rsid w:val="007271BF"/>
    <w:rsid w:val="0072724D"/>
    <w:rsid w:val="00727312"/>
    <w:rsid w:val="007274E6"/>
    <w:rsid w:val="0072775D"/>
    <w:rsid w:val="0072798C"/>
    <w:rsid w:val="00727994"/>
    <w:rsid w:val="00727C94"/>
    <w:rsid w:val="00730122"/>
    <w:rsid w:val="00730479"/>
    <w:rsid w:val="0073069E"/>
    <w:rsid w:val="007308AC"/>
    <w:rsid w:val="00730F78"/>
    <w:rsid w:val="00731513"/>
    <w:rsid w:val="00731B40"/>
    <w:rsid w:val="00731DB0"/>
    <w:rsid w:val="007322B7"/>
    <w:rsid w:val="007322DA"/>
    <w:rsid w:val="00732E7F"/>
    <w:rsid w:val="00732FB5"/>
    <w:rsid w:val="0073368B"/>
    <w:rsid w:val="00733898"/>
    <w:rsid w:val="00733985"/>
    <w:rsid w:val="007339AE"/>
    <w:rsid w:val="00733AC1"/>
    <w:rsid w:val="00733E98"/>
    <w:rsid w:val="0073422A"/>
    <w:rsid w:val="007345FB"/>
    <w:rsid w:val="007350CE"/>
    <w:rsid w:val="0073527C"/>
    <w:rsid w:val="0073556D"/>
    <w:rsid w:val="007356DC"/>
    <w:rsid w:val="00735E8E"/>
    <w:rsid w:val="0073605D"/>
    <w:rsid w:val="0073638A"/>
    <w:rsid w:val="007366EA"/>
    <w:rsid w:val="00736E30"/>
    <w:rsid w:val="00736F13"/>
    <w:rsid w:val="0073748A"/>
    <w:rsid w:val="00737E4A"/>
    <w:rsid w:val="0074018C"/>
    <w:rsid w:val="00740268"/>
    <w:rsid w:val="00740380"/>
    <w:rsid w:val="0074044A"/>
    <w:rsid w:val="00740775"/>
    <w:rsid w:val="00740F77"/>
    <w:rsid w:val="00740F8B"/>
    <w:rsid w:val="00741600"/>
    <w:rsid w:val="00741D6A"/>
    <w:rsid w:val="00741FEF"/>
    <w:rsid w:val="0074237E"/>
    <w:rsid w:val="00743357"/>
    <w:rsid w:val="00743380"/>
    <w:rsid w:val="007436B7"/>
    <w:rsid w:val="007436D8"/>
    <w:rsid w:val="00743B39"/>
    <w:rsid w:val="00744782"/>
    <w:rsid w:val="00744C97"/>
    <w:rsid w:val="00745014"/>
    <w:rsid w:val="007450C8"/>
    <w:rsid w:val="0074524A"/>
    <w:rsid w:val="00745288"/>
    <w:rsid w:val="00745537"/>
    <w:rsid w:val="00745850"/>
    <w:rsid w:val="007460BC"/>
    <w:rsid w:val="007467AF"/>
    <w:rsid w:val="00746ADD"/>
    <w:rsid w:val="00746E46"/>
    <w:rsid w:val="00746EA6"/>
    <w:rsid w:val="00747020"/>
    <w:rsid w:val="007470A4"/>
    <w:rsid w:val="00747100"/>
    <w:rsid w:val="007472D1"/>
    <w:rsid w:val="0074751E"/>
    <w:rsid w:val="007475D5"/>
    <w:rsid w:val="00747700"/>
    <w:rsid w:val="00747987"/>
    <w:rsid w:val="00747A06"/>
    <w:rsid w:val="00747D9E"/>
    <w:rsid w:val="00747F06"/>
    <w:rsid w:val="007503DA"/>
    <w:rsid w:val="00750A3B"/>
    <w:rsid w:val="00750A90"/>
    <w:rsid w:val="00750ABE"/>
    <w:rsid w:val="00751462"/>
    <w:rsid w:val="0075161C"/>
    <w:rsid w:val="007516FC"/>
    <w:rsid w:val="00751A07"/>
    <w:rsid w:val="00751BAA"/>
    <w:rsid w:val="00751D2E"/>
    <w:rsid w:val="00751F8C"/>
    <w:rsid w:val="00752022"/>
    <w:rsid w:val="007520D1"/>
    <w:rsid w:val="00752C10"/>
    <w:rsid w:val="00752EB9"/>
    <w:rsid w:val="00752FA0"/>
    <w:rsid w:val="00753120"/>
    <w:rsid w:val="007532F6"/>
    <w:rsid w:val="00753AD5"/>
    <w:rsid w:val="00753EB5"/>
    <w:rsid w:val="007540E6"/>
    <w:rsid w:val="00754200"/>
    <w:rsid w:val="00754289"/>
    <w:rsid w:val="00754327"/>
    <w:rsid w:val="00754CBF"/>
    <w:rsid w:val="0075552F"/>
    <w:rsid w:val="00755975"/>
    <w:rsid w:val="00755B14"/>
    <w:rsid w:val="00755BDC"/>
    <w:rsid w:val="00755CF1"/>
    <w:rsid w:val="007562CF"/>
    <w:rsid w:val="0075630F"/>
    <w:rsid w:val="007564BD"/>
    <w:rsid w:val="0075668B"/>
    <w:rsid w:val="00756692"/>
    <w:rsid w:val="00756801"/>
    <w:rsid w:val="00757102"/>
    <w:rsid w:val="007572BC"/>
    <w:rsid w:val="0075792C"/>
    <w:rsid w:val="00757983"/>
    <w:rsid w:val="00757CB7"/>
    <w:rsid w:val="007605F2"/>
    <w:rsid w:val="00760975"/>
    <w:rsid w:val="00761ECA"/>
    <w:rsid w:val="007623F5"/>
    <w:rsid w:val="007624F3"/>
    <w:rsid w:val="007626FC"/>
    <w:rsid w:val="007628AF"/>
    <w:rsid w:val="00762B3F"/>
    <w:rsid w:val="00762F57"/>
    <w:rsid w:val="0076322F"/>
    <w:rsid w:val="0076339F"/>
    <w:rsid w:val="0076375D"/>
    <w:rsid w:val="00763A69"/>
    <w:rsid w:val="00763AEC"/>
    <w:rsid w:val="00763FB5"/>
    <w:rsid w:val="00764187"/>
    <w:rsid w:val="007641C7"/>
    <w:rsid w:val="007644B7"/>
    <w:rsid w:val="007646DB"/>
    <w:rsid w:val="007649A3"/>
    <w:rsid w:val="00764C7E"/>
    <w:rsid w:val="00764D8F"/>
    <w:rsid w:val="00764F0C"/>
    <w:rsid w:val="00764F0E"/>
    <w:rsid w:val="007653A6"/>
    <w:rsid w:val="007653CF"/>
    <w:rsid w:val="00765C27"/>
    <w:rsid w:val="00765CBD"/>
    <w:rsid w:val="007660B1"/>
    <w:rsid w:val="007660F7"/>
    <w:rsid w:val="0076610A"/>
    <w:rsid w:val="007668B4"/>
    <w:rsid w:val="00766CBE"/>
    <w:rsid w:val="0076741D"/>
    <w:rsid w:val="007674F6"/>
    <w:rsid w:val="00767540"/>
    <w:rsid w:val="00767684"/>
    <w:rsid w:val="00767887"/>
    <w:rsid w:val="00767B6B"/>
    <w:rsid w:val="00767D78"/>
    <w:rsid w:val="007704C1"/>
    <w:rsid w:val="00770E5F"/>
    <w:rsid w:val="00771369"/>
    <w:rsid w:val="0077148E"/>
    <w:rsid w:val="00771744"/>
    <w:rsid w:val="0077199C"/>
    <w:rsid w:val="00771A41"/>
    <w:rsid w:val="00771AD4"/>
    <w:rsid w:val="00771B46"/>
    <w:rsid w:val="007723BD"/>
    <w:rsid w:val="007726ED"/>
    <w:rsid w:val="00772ABB"/>
    <w:rsid w:val="00772CE8"/>
    <w:rsid w:val="00773265"/>
    <w:rsid w:val="007732EC"/>
    <w:rsid w:val="0077392B"/>
    <w:rsid w:val="0077411B"/>
    <w:rsid w:val="00774427"/>
    <w:rsid w:val="007744C1"/>
    <w:rsid w:val="0077461A"/>
    <w:rsid w:val="007746CB"/>
    <w:rsid w:val="007748F7"/>
    <w:rsid w:val="0077505B"/>
    <w:rsid w:val="0077510A"/>
    <w:rsid w:val="007753D3"/>
    <w:rsid w:val="00775642"/>
    <w:rsid w:val="007759F5"/>
    <w:rsid w:val="00775C0C"/>
    <w:rsid w:val="00775C15"/>
    <w:rsid w:val="007762A7"/>
    <w:rsid w:val="007762F3"/>
    <w:rsid w:val="007769A9"/>
    <w:rsid w:val="00776B22"/>
    <w:rsid w:val="00776CA7"/>
    <w:rsid w:val="00776D09"/>
    <w:rsid w:val="00776DA2"/>
    <w:rsid w:val="007770D5"/>
    <w:rsid w:val="0077718A"/>
    <w:rsid w:val="00777489"/>
    <w:rsid w:val="00777679"/>
    <w:rsid w:val="007776C1"/>
    <w:rsid w:val="00777810"/>
    <w:rsid w:val="007778C6"/>
    <w:rsid w:val="00777F91"/>
    <w:rsid w:val="0078046E"/>
    <w:rsid w:val="00780473"/>
    <w:rsid w:val="007806AC"/>
    <w:rsid w:val="00780A35"/>
    <w:rsid w:val="00780C37"/>
    <w:rsid w:val="00780ED3"/>
    <w:rsid w:val="007810E4"/>
    <w:rsid w:val="00781149"/>
    <w:rsid w:val="00781599"/>
    <w:rsid w:val="007818D1"/>
    <w:rsid w:val="00781AEC"/>
    <w:rsid w:val="00781CEA"/>
    <w:rsid w:val="007820BE"/>
    <w:rsid w:val="00782242"/>
    <w:rsid w:val="0078279F"/>
    <w:rsid w:val="00782EE8"/>
    <w:rsid w:val="0078334D"/>
    <w:rsid w:val="007833AF"/>
    <w:rsid w:val="00783761"/>
    <w:rsid w:val="00783A09"/>
    <w:rsid w:val="00783FA0"/>
    <w:rsid w:val="007844F8"/>
    <w:rsid w:val="007846AC"/>
    <w:rsid w:val="00784757"/>
    <w:rsid w:val="00784AD9"/>
    <w:rsid w:val="00784FE0"/>
    <w:rsid w:val="00785090"/>
    <w:rsid w:val="0078535E"/>
    <w:rsid w:val="0078600D"/>
    <w:rsid w:val="0078619D"/>
    <w:rsid w:val="00786B52"/>
    <w:rsid w:val="00786B85"/>
    <w:rsid w:val="00786CD3"/>
    <w:rsid w:val="00787028"/>
    <w:rsid w:val="00787152"/>
    <w:rsid w:val="0078725B"/>
    <w:rsid w:val="0078764A"/>
    <w:rsid w:val="00787819"/>
    <w:rsid w:val="007878E3"/>
    <w:rsid w:val="00787F91"/>
    <w:rsid w:val="00787FB4"/>
    <w:rsid w:val="007901DB"/>
    <w:rsid w:val="007902FA"/>
    <w:rsid w:val="007908AA"/>
    <w:rsid w:val="00790DA2"/>
    <w:rsid w:val="00790E7D"/>
    <w:rsid w:val="00791400"/>
    <w:rsid w:val="007919BB"/>
    <w:rsid w:val="00791A76"/>
    <w:rsid w:val="00791C03"/>
    <w:rsid w:val="007924E9"/>
    <w:rsid w:val="00792527"/>
    <w:rsid w:val="00792678"/>
    <w:rsid w:val="00792CF8"/>
    <w:rsid w:val="00793199"/>
    <w:rsid w:val="00793531"/>
    <w:rsid w:val="007936E1"/>
    <w:rsid w:val="00793855"/>
    <w:rsid w:val="00793BA1"/>
    <w:rsid w:val="00794808"/>
    <w:rsid w:val="00794E9B"/>
    <w:rsid w:val="00794F24"/>
    <w:rsid w:val="00795028"/>
    <w:rsid w:val="00795160"/>
    <w:rsid w:val="00795586"/>
    <w:rsid w:val="007955A4"/>
    <w:rsid w:val="00795943"/>
    <w:rsid w:val="00795A59"/>
    <w:rsid w:val="00795E68"/>
    <w:rsid w:val="00795E82"/>
    <w:rsid w:val="00795FD1"/>
    <w:rsid w:val="0079660D"/>
    <w:rsid w:val="00796DF1"/>
    <w:rsid w:val="00796E56"/>
    <w:rsid w:val="00796EE3"/>
    <w:rsid w:val="00796F7B"/>
    <w:rsid w:val="00797349"/>
    <w:rsid w:val="00797630"/>
    <w:rsid w:val="007A14CE"/>
    <w:rsid w:val="007A151B"/>
    <w:rsid w:val="007A172F"/>
    <w:rsid w:val="007A1A53"/>
    <w:rsid w:val="007A1D68"/>
    <w:rsid w:val="007A2C29"/>
    <w:rsid w:val="007A2D74"/>
    <w:rsid w:val="007A2E3D"/>
    <w:rsid w:val="007A343A"/>
    <w:rsid w:val="007A3B70"/>
    <w:rsid w:val="007A3F45"/>
    <w:rsid w:val="007A3F67"/>
    <w:rsid w:val="007A3F87"/>
    <w:rsid w:val="007A45C5"/>
    <w:rsid w:val="007A464F"/>
    <w:rsid w:val="007A4910"/>
    <w:rsid w:val="007A4A39"/>
    <w:rsid w:val="007A4F1F"/>
    <w:rsid w:val="007A52B6"/>
    <w:rsid w:val="007A5341"/>
    <w:rsid w:val="007A591B"/>
    <w:rsid w:val="007A5BBF"/>
    <w:rsid w:val="007A5E17"/>
    <w:rsid w:val="007A61CE"/>
    <w:rsid w:val="007A6800"/>
    <w:rsid w:val="007A6A33"/>
    <w:rsid w:val="007A7059"/>
    <w:rsid w:val="007A715D"/>
    <w:rsid w:val="007A7C99"/>
    <w:rsid w:val="007B00C1"/>
    <w:rsid w:val="007B026B"/>
    <w:rsid w:val="007B03EA"/>
    <w:rsid w:val="007B078C"/>
    <w:rsid w:val="007B0886"/>
    <w:rsid w:val="007B0B57"/>
    <w:rsid w:val="007B0BAC"/>
    <w:rsid w:val="007B103B"/>
    <w:rsid w:val="007B154C"/>
    <w:rsid w:val="007B1678"/>
    <w:rsid w:val="007B16A7"/>
    <w:rsid w:val="007B1CEC"/>
    <w:rsid w:val="007B1CF7"/>
    <w:rsid w:val="007B1EDC"/>
    <w:rsid w:val="007B1EF2"/>
    <w:rsid w:val="007B22DB"/>
    <w:rsid w:val="007B28AD"/>
    <w:rsid w:val="007B2CE0"/>
    <w:rsid w:val="007B32FC"/>
    <w:rsid w:val="007B341A"/>
    <w:rsid w:val="007B34F5"/>
    <w:rsid w:val="007B35BC"/>
    <w:rsid w:val="007B3E5C"/>
    <w:rsid w:val="007B40EC"/>
    <w:rsid w:val="007B414B"/>
    <w:rsid w:val="007B4357"/>
    <w:rsid w:val="007B4493"/>
    <w:rsid w:val="007B463E"/>
    <w:rsid w:val="007B46E4"/>
    <w:rsid w:val="007B470C"/>
    <w:rsid w:val="007B485D"/>
    <w:rsid w:val="007B4A0A"/>
    <w:rsid w:val="007B4A42"/>
    <w:rsid w:val="007B4B53"/>
    <w:rsid w:val="007B4D55"/>
    <w:rsid w:val="007B4D67"/>
    <w:rsid w:val="007B5194"/>
    <w:rsid w:val="007B51D7"/>
    <w:rsid w:val="007B566A"/>
    <w:rsid w:val="007B6664"/>
    <w:rsid w:val="007B66F6"/>
    <w:rsid w:val="007B6A08"/>
    <w:rsid w:val="007B6D97"/>
    <w:rsid w:val="007B70F9"/>
    <w:rsid w:val="007B7517"/>
    <w:rsid w:val="007B7670"/>
    <w:rsid w:val="007B7DDA"/>
    <w:rsid w:val="007B7EDA"/>
    <w:rsid w:val="007C09BC"/>
    <w:rsid w:val="007C1221"/>
    <w:rsid w:val="007C135E"/>
    <w:rsid w:val="007C141C"/>
    <w:rsid w:val="007C17D5"/>
    <w:rsid w:val="007C1883"/>
    <w:rsid w:val="007C1ABD"/>
    <w:rsid w:val="007C1C6C"/>
    <w:rsid w:val="007C1E08"/>
    <w:rsid w:val="007C25DD"/>
    <w:rsid w:val="007C2839"/>
    <w:rsid w:val="007C28D4"/>
    <w:rsid w:val="007C2BA8"/>
    <w:rsid w:val="007C2F3A"/>
    <w:rsid w:val="007C33E0"/>
    <w:rsid w:val="007C349E"/>
    <w:rsid w:val="007C34A4"/>
    <w:rsid w:val="007C3D24"/>
    <w:rsid w:val="007C44EC"/>
    <w:rsid w:val="007C4782"/>
    <w:rsid w:val="007C4A64"/>
    <w:rsid w:val="007C4BD3"/>
    <w:rsid w:val="007C52E9"/>
    <w:rsid w:val="007C555D"/>
    <w:rsid w:val="007C661D"/>
    <w:rsid w:val="007C691E"/>
    <w:rsid w:val="007C69F7"/>
    <w:rsid w:val="007C7403"/>
    <w:rsid w:val="007C7F99"/>
    <w:rsid w:val="007D051E"/>
    <w:rsid w:val="007D0861"/>
    <w:rsid w:val="007D0C22"/>
    <w:rsid w:val="007D103C"/>
    <w:rsid w:val="007D200E"/>
    <w:rsid w:val="007D211A"/>
    <w:rsid w:val="007D27A0"/>
    <w:rsid w:val="007D2A86"/>
    <w:rsid w:val="007D2AC1"/>
    <w:rsid w:val="007D2EF4"/>
    <w:rsid w:val="007D3224"/>
    <w:rsid w:val="007D3639"/>
    <w:rsid w:val="007D36BE"/>
    <w:rsid w:val="007D3BF1"/>
    <w:rsid w:val="007D3F49"/>
    <w:rsid w:val="007D4082"/>
    <w:rsid w:val="007D42C0"/>
    <w:rsid w:val="007D449F"/>
    <w:rsid w:val="007D455F"/>
    <w:rsid w:val="007D46DB"/>
    <w:rsid w:val="007D475C"/>
    <w:rsid w:val="007D4820"/>
    <w:rsid w:val="007D500D"/>
    <w:rsid w:val="007D53B9"/>
    <w:rsid w:val="007D5924"/>
    <w:rsid w:val="007D592E"/>
    <w:rsid w:val="007D59CC"/>
    <w:rsid w:val="007D620B"/>
    <w:rsid w:val="007D6260"/>
    <w:rsid w:val="007D67C5"/>
    <w:rsid w:val="007D6C60"/>
    <w:rsid w:val="007D6EB9"/>
    <w:rsid w:val="007D712B"/>
    <w:rsid w:val="007D7592"/>
    <w:rsid w:val="007D76A3"/>
    <w:rsid w:val="007D7822"/>
    <w:rsid w:val="007D78E8"/>
    <w:rsid w:val="007D7914"/>
    <w:rsid w:val="007D7A1F"/>
    <w:rsid w:val="007D7ED7"/>
    <w:rsid w:val="007E0569"/>
    <w:rsid w:val="007E0D20"/>
    <w:rsid w:val="007E115B"/>
    <w:rsid w:val="007E178E"/>
    <w:rsid w:val="007E1898"/>
    <w:rsid w:val="007E1992"/>
    <w:rsid w:val="007E1EFA"/>
    <w:rsid w:val="007E257E"/>
    <w:rsid w:val="007E2637"/>
    <w:rsid w:val="007E2A6A"/>
    <w:rsid w:val="007E2B40"/>
    <w:rsid w:val="007E337B"/>
    <w:rsid w:val="007E3B55"/>
    <w:rsid w:val="007E42EB"/>
    <w:rsid w:val="007E46ED"/>
    <w:rsid w:val="007E4803"/>
    <w:rsid w:val="007E53CA"/>
    <w:rsid w:val="007E54A4"/>
    <w:rsid w:val="007E54EF"/>
    <w:rsid w:val="007E5E4F"/>
    <w:rsid w:val="007E5F61"/>
    <w:rsid w:val="007E6721"/>
    <w:rsid w:val="007E6740"/>
    <w:rsid w:val="007E6C4C"/>
    <w:rsid w:val="007E6E92"/>
    <w:rsid w:val="007E7263"/>
    <w:rsid w:val="007E77C1"/>
    <w:rsid w:val="007E7C93"/>
    <w:rsid w:val="007E7CA1"/>
    <w:rsid w:val="007E7DBC"/>
    <w:rsid w:val="007E7F7C"/>
    <w:rsid w:val="007E7FA6"/>
    <w:rsid w:val="007F00DD"/>
    <w:rsid w:val="007F0640"/>
    <w:rsid w:val="007F087C"/>
    <w:rsid w:val="007F0DE3"/>
    <w:rsid w:val="007F0E78"/>
    <w:rsid w:val="007F1575"/>
    <w:rsid w:val="007F1827"/>
    <w:rsid w:val="007F1AD5"/>
    <w:rsid w:val="007F1C2A"/>
    <w:rsid w:val="007F2772"/>
    <w:rsid w:val="007F278F"/>
    <w:rsid w:val="007F2E97"/>
    <w:rsid w:val="007F3167"/>
    <w:rsid w:val="007F325C"/>
    <w:rsid w:val="007F357E"/>
    <w:rsid w:val="007F3B8F"/>
    <w:rsid w:val="007F3C1B"/>
    <w:rsid w:val="007F3C6A"/>
    <w:rsid w:val="007F3CCD"/>
    <w:rsid w:val="007F3DC8"/>
    <w:rsid w:val="007F439B"/>
    <w:rsid w:val="007F44F7"/>
    <w:rsid w:val="007F4530"/>
    <w:rsid w:val="007F457A"/>
    <w:rsid w:val="007F488F"/>
    <w:rsid w:val="007F4B8E"/>
    <w:rsid w:val="007F4D8C"/>
    <w:rsid w:val="007F4F59"/>
    <w:rsid w:val="007F53A0"/>
    <w:rsid w:val="007F560E"/>
    <w:rsid w:val="007F5AA8"/>
    <w:rsid w:val="007F5B01"/>
    <w:rsid w:val="007F5BFA"/>
    <w:rsid w:val="007F5FFB"/>
    <w:rsid w:val="007F6DDD"/>
    <w:rsid w:val="007F6E29"/>
    <w:rsid w:val="007F6FD7"/>
    <w:rsid w:val="007F7636"/>
    <w:rsid w:val="007F79E4"/>
    <w:rsid w:val="007F7CE3"/>
    <w:rsid w:val="008006C2"/>
    <w:rsid w:val="00800A4A"/>
    <w:rsid w:val="008012AA"/>
    <w:rsid w:val="00801701"/>
    <w:rsid w:val="00801AD6"/>
    <w:rsid w:val="00801F48"/>
    <w:rsid w:val="008028CD"/>
    <w:rsid w:val="00802B07"/>
    <w:rsid w:val="00802B39"/>
    <w:rsid w:val="00802D27"/>
    <w:rsid w:val="00803356"/>
    <w:rsid w:val="0080374A"/>
    <w:rsid w:val="00803781"/>
    <w:rsid w:val="00803953"/>
    <w:rsid w:val="0080451F"/>
    <w:rsid w:val="00804C20"/>
    <w:rsid w:val="00804CC2"/>
    <w:rsid w:val="00804F61"/>
    <w:rsid w:val="008057E2"/>
    <w:rsid w:val="00805847"/>
    <w:rsid w:val="00805B88"/>
    <w:rsid w:val="008060B1"/>
    <w:rsid w:val="0080624B"/>
    <w:rsid w:val="008063AC"/>
    <w:rsid w:val="00806442"/>
    <w:rsid w:val="00806722"/>
    <w:rsid w:val="008069C8"/>
    <w:rsid w:val="00806AE4"/>
    <w:rsid w:val="00806BF7"/>
    <w:rsid w:val="00806F6C"/>
    <w:rsid w:val="008072DC"/>
    <w:rsid w:val="008078BC"/>
    <w:rsid w:val="00807EF4"/>
    <w:rsid w:val="00810270"/>
    <w:rsid w:val="00810379"/>
    <w:rsid w:val="008106E3"/>
    <w:rsid w:val="00810955"/>
    <w:rsid w:val="00810AE8"/>
    <w:rsid w:val="00810E9C"/>
    <w:rsid w:val="008112F4"/>
    <w:rsid w:val="0081145E"/>
    <w:rsid w:val="008114B9"/>
    <w:rsid w:val="008115B5"/>
    <w:rsid w:val="00811DB4"/>
    <w:rsid w:val="00812095"/>
    <w:rsid w:val="008123B2"/>
    <w:rsid w:val="008124DB"/>
    <w:rsid w:val="00812A38"/>
    <w:rsid w:val="00812FD1"/>
    <w:rsid w:val="00813049"/>
    <w:rsid w:val="008130B2"/>
    <w:rsid w:val="008131FD"/>
    <w:rsid w:val="008133AE"/>
    <w:rsid w:val="008133D1"/>
    <w:rsid w:val="0081363E"/>
    <w:rsid w:val="00813A33"/>
    <w:rsid w:val="00813BD4"/>
    <w:rsid w:val="00813CF9"/>
    <w:rsid w:val="00814005"/>
    <w:rsid w:val="008141D6"/>
    <w:rsid w:val="008143FF"/>
    <w:rsid w:val="00814943"/>
    <w:rsid w:val="008149F4"/>
    <w:rsid w:val="00814CA9"/>
    <w:rsid w:val="00814EFB"/>
    <w:rsid w:val="008153AD"/>
    <w:rsid w:val="00815AF1"/>
    <w:rsid w:val="00815D02"/>
    <w:rsid w:val="00815E34"/>
    <w:rsid w:val="008163CA"/>
    <w:rsid w:val="00816783"/>
    <w:rsid w:val="008168BE"/>
    <w:rsid w:val="00816E45"/>
    <w:rsid w:val="00816F7E"/>
    <w:rsid w:val="00816FD0"/>
    <w:rsid w:val="00817275"/>
    <w:rsid w:val="00817310"/>
    <w:rsid w:val="008178E7"/>
    <w:rsid w:val="00817DFD"/>
    <w:rsid w:val="00817E4D"/>
    <w:rsid w:val="008200DD"/>
    <w:rsid w:val="0082024F"/>
    <w:rsid w:val="008202F9"/>
    <w:rsid w:val="008204EF"/>
    <w:rsid w:val="0082065C"/>
    <w:rsid w:val="00820B1A"/>
    <w:rsid w:val="0082142A"/>
    <w:rsid w:val="0082156F"/>
    <w:rsid w:val="00821590"/>
    <w:rsid w:val="00821708"/>
    <w:rsid w:val="0082183C"/>
    <w:rsid w:val="00821C39"/>
    <w:rsid w:val="008221A4"/>
    <w:rsid w:val="0082262E"/>
    <w:rsid w:val="00822674"/>
    <w:rsid w:val="0082293E"/>
    <w:rsid w:val="008229B3"/>
    <w:rsid w:val="00822B5B"/>
    <w:rsid w:val="00822BB8"/>
    <w:rsid w:val="00822C35"/>
    <w:rsid w:val="00823070"/>
    <w:rsid w:val="008231A8"/>
    <w:rsid w:val="008231BF"/>
    <w:rsid w:val="008232B6"/>
    <w:rsid w:val="008237AB"/>
    <w:rsid w:val="00823E99"/>
    <w:rsid w:val="008241F1"/>
    <w:rsid w:val="0082427B"/>
    <w:rsid w:val="008244FC"/>
    <w:rsid w:val="008247AF"/>
    <w:rsid w:val="008247E3"/>
    <w:rsid w:val="00824948"/>
    <w:rsid w:val="00824C75"/>
    <w:rsid w:val="00824F9F"/>
    <w:rsid w:val="0082501E"/>
    <w:rsid w:val="00825221"/>
    <w:rsid w:val="00825663"/>
    <w:rsid w:val="0082590F"/>
    <w:rsid w:val="00825C96"/>
    <w:rsid w:val="00825D28"/>
    <w:rsid w:val="008260D0"/>
    <w:rsid w:val="00826155"/>
    <w:rsid w:val="00826BF5"/>
    <w:rsid w:val="00826D56"/>
    <w:rsid w:val="00826EEF"/>
    <w:rsid w:val="0082765D"/>
    <w:rsid w:val="00827A0A"/>
    <w:rsid w:val="0083001E"/>
    <w:rsid w:val="008300B2"/>
    <w:rsid w:val="008300C7"/>
    <w:rsid w:val="008305A1"/>
    <w:rsid w:val="008306BF"/>
    <w:rsid w:val="008308D6"/>
    <w:rsid w:val="008308FF"/>
    <w:rsid w:val="00830E97"/>
    <w:rsid w:val="00831147"/>
    <w:rsid w:val="00831294"/>
    <w:rsid w:val="00831631"/>
    <w:rsid w:val="008316A2"/>
    <w:rsid w:val="008316EA"/>
    <w:rsid w:val="00831CC1"/>
    <w:rsid w:val="00831CC9"/>
    <w:rsid w:val="00832366"/>
    <w:rsid w:val="00832662"/>
    <w:rsid w:val="00832AEA"/>
    <w:rsid w:val="00832D10"/>
    <w:rsid w:val="00833834"/>
    <w:rsid w:val="0083400D"/>
    <w:rsid w:val="00834257"/>
    <w:rsid w:val="00834A2A"/>
    <w:rsid w:val="0083568F"/>
    <w:rsid w:val="008356B1"/>
    <w:rsid w:val="0083576F"/>
    <w:rsid w:val="00835DB0"/>
    <w:rsid w:val="00835DE7"/>
    <w:rsid w:val="00835F0F"/>
    <w:rsid w:val="00835F43"/>
    <w:rsid w:val="00835F88"/>
    <w:rsid w:val="008366D1"/>
    <w:rsid w:val="00836948"/>
    <w:rsid w:val="00837314"/>
    <w:rsid w:val="00837EE3"/>
    <w:rsid w:val="00840231"/>
    <w:rsid w:val="008403AA"/>
    <w:rsid w:val="00840ABE"/>
    <w:rsid w:val="00840C5C"/>
    <w:rsid w:val="00840D72"/>
    <w:rsid w:val="0084133D"/>
    <w:rsid w:val="008413A0"/>
    <w:rsid w:val="008418D9"/>
    <w:rsid w:val="00841A09"/>
    <w:rsid w:val="00842079"/>
    <w:rsid w:val="008424CB"/>
    <w:rsid w:val="00842927"/>
    <w:rsid w:val="00842E19"/>
    <w:rsid w:val="0084304C"/>
    <w:rsid w:val="0084309E"/>
    <w:rsid w:val="008430D8"/>
    <w:rsid w:val="0084324F"/>
    <w:rsid w:val="0084335E"/>
    <w:rsid w:val="008438B5"/>
    <w:rsid w:val="00843BCA"/>
    <w:rsid w:val="0084488F"/>
    <w:rsid w:val="008449B2"/>
    <w:rsid w:val="008449C6"/>
    <w:rsid w:val="00844B44"/>
    <w:rsid w:val="008451A0"/>
    <w:rsid w:val="008451D7"/>
    <w:rsid w:val="0084525F"/>
    <w:rsid w:val="008453A5"/>
    <w:rsid w:val="008456FD"/>
    <w:rsid w:val="00846002"/>
    <w:rsid w:val="0084604D"/>
    <w:rsid w:val="0084620A"/>
    <w:rsid w:val="0084659C"/>
    <w:rsid w:val="00846928"/>
    <w:rsid w:val="0084695F"/>
    <w:rsid w:val="008469DD"/>
    <w:rsid w:val="00846C6B"/>
    <w:rsid w:val="00846CBB"/>
    <w:rsid w:val="00846EAE"/>
    <w:rsid w:val="00847572"/>
    <w:rsid w:val="00847590"/>
    <w:rsid w:val="0084776C"/>
    <w:rsid w:val="00847912"/>
    <w:rsid w:val="0084791C"/>
    <w:rsid w:val="00847BE4"/>
    <w:rsid w:val="00847E0A"/>
    <w:rsid w:val="008501A5"/>
    <w:rsid w:val="0085022B"/>
    <w:rsid w:val="008506E9"/>
    <w:rsid w:val="00850AE9"/>
    <w:rsid w:val="00850D32"/>
    <w:rsid w:val="00850FC1"/>
    <w:rsid w:val="008510C5"/>
    <w:rsid w:val="0085135C"/>
    <w:rsid w:val="00851C75"/>
    <w:rsid w:val="008522C3"/>
    <w:rsid w:val="00852373"/>
    <w:rsid w:val="00852665"/>
    <w:rsid w:val="00852A0A"/>
    <w:rsid w:val="00852ADB"/>
    <w:rsid w:val="0085303C"/>
    <w:rsid w:val="008530D6"/>
    <w:rsid w:val="00853459"/>
    <w:rsid w:val="008535C0"/>
    <w:rsid w:val="008537DD"/>
    <w:rsid w:val="00853868"/>
    <w:rsid w:val="00853B5F"/>
    <w:rsid w:val="00853EBD"/>
    <w:rsid w:val="0085443A"/>
    <w:rsid w:val="0085450B"/>
    <w:rsid w:val="00854870"/>
    <w:rsid w:val="00854A33"/>
    <w:rsid w:val="00854BCC"/>
    <w:rsid w:val="00854BF5"/>
    <w:rsid w:val="00854C8D"/>
    <w:rsid w:val="00855226"/>
    <w:rsid w:val="00855628"/>
    <w:rsid w:val="00855739"/>
    <w:rsid w:val="00855B87"/>
    <w:rsid w:val="00855F98"/>
    <w:rsid w:val="00856389"/>
    <w:rsid w:val="00856BF7"/>
    <w:rsid w:val="00856D9C"/>
    <w:rsid w:val="00857658"/>
    <w:rsid w:val="00857718"/>
    <w:rsid w:val="00857806"/>
    <w:rsid w:val="00857969"/>
    <w:rsid w:val="00857D23"/>
    <w:rsid w:val="00857EDE"/>
    <w:rsid w:val="0086014F"/>
    <w:rsid w:val="00860467"/>
    <w:rsid w:val="008609A8"/>
    <w:rsid w:val="00860BF3"/>
    <w:rsid w:val="00860D01"/>
    <w:rsid w:val="00860E93"/>
    <w:rsid w:val="00860FE4"/>
    <w:rsid w:val="0086113D"/>
    <w:rsid w:val="00861425"/>
    <w:rsid w:val="00861759"/>
    <w:rsid w:val="00861CBA"/>
    <w:rsid w:val="00861E34"/>
    <w:rsid w:val="00862397"/>
    <w:rsid w:val="0086262B"/>
    <w:rsid w:val="00862B87"/>
    <w:rsid w:val="00862E2C"/>
    <w:rsid w:val="008635EA"/>
    <w:rsid w:val="008638EE"/>
    <w:rsid w:val="00863A71"/>
    <w:rsid w:val="008640CA"/>
    <w:rsid w:val="008640CF"/>
    <w:rsid w:val="00864305"/>
    <w:rsid w:val="0086444E"/>
    <w:rsid w:val="008644DD"/>
    <w:rsid w:val="008646A4"/>
    <w:rsid w:val="00864714"/>
    <w:rsid w:val="008647C3"/>
    <w:rsid w:val="00864CAD"/>
    <w:rsid w:val="00864E3D"/>
    <w:rsid w:val="0086555A"/>
    <w:rsid w:val="00865933"/>
    <w:rsid w:val="00865E12"/>
    <w:rsid w:val="00865FF6"/>
    <w:rsid w:val="008661B9"/>
    <w:rsid w:val="00866210"/>
    <w:rsid w:val="00866358"/>
    <w:rsid w:val="008663F0"/>
    <w:rsid w:val="00866E4A"/>
    <w:rsid w:val="00867561"/>
    <w:rsid w:val="0086762D"/>
    <w:rsid w:val="008679B4"/>
    <w:rsid w:val="00867C1A"/>
    <w:rsid w:val="00867D4F"/>
    <w:rsid w:val="008705B3"/>
    <w:rsid w:val="0087085E"/>
    <w:rsid w:val="008708B7"/>
    <w:rsid w:val="00870DB8"/>
    <w:rsid w:val="00870F95"/>
    <w:rsid w:val="00870FA3"/>
    <w:rsid w:val="00871215"/>
    <w:rsid w:val="0087155C"/>
    <w:rsid w:val="0087169C"/>
    <w:rsid w:val="008717C8"/>
    <w:rsid w:val="00871A3E"/>
    <w:rsid w:val="0087218A"/>
    <w:rsid w:val="00872709"/>
    <w:rsid w:val="008727AA"/>
    <w:rsid w:val="00872997"/>
    <w:rsid w:val="00873573"/>
    <w:rsid w:val="00873861"/>
    <w:rsid w:val="008739A1"/>
    <w:rsid w:val="008739AA"/>
    <w:rsid w:val="00873A05"/>
    <w:rsid w:val="00873D14"/>
    <w:rsid w:val="008740C4"/>
    <w:rsid w:val="0087465B"/>
    <w:rsid w:val="00874B76"/>
    <w:rsid w:val="00874EAF"/>
    <w:rsid w:val="008751BE"/>
    <w:rsid w:val="008754B1"/>
    <w:rsid w:val="00875585"/>
    <w:rsid w:val="00875EFE"/>
    <w:rsid w:val="008760BD"/>
    <w:rsid w:val="00876A19"/>
    <w:rsid w:val="00876B6C"/>
    <w:rsid w:val="00876E97"/>
    <w:rsid w:val="00876F62"/>
    <w:rsid w:val="008772A0"/>
    <w:rsid w:val="00877850"/>
    <w:rsid w:val="00877BD5"/>
    <w:rsid w:val="008800F5"/>
    <w:rsid w:val="00880751"/>
    <w:rsid w:val="008807E6"/>
    <w:rsid w:val="00880C2E"/>
    <w:rsid w:val="00880CBB"/>
    <w:rsid w:val="00880E1D"/>
    <w:rsid w:val="00881029"/>
    <w:rsid w:val="00881066"/>
    <w:rsid w:val="008812B5"/>
    <w:rsid w:val="00881505"/>
    <w:rsid w:val="0088159D"/>
    <w:rsid w:val="00881769"/>
    <w:rsid w:val="008817DF"/>
    <w:rsid w:val="0088185F"/>
    <w:rsid w:val="0088190D"/>
    <w:rsid w:val="00881AA1"/>
    <w:rsid w:val="00881ACD"/>
    <w:rsid w:val="00882041"/>
    <w:rsid w:val="0088207D"/>
    <w:rsid w:val="008827F1"/>
    <w:rsid w:val="0088289F"/>
    <w:rsid w:val="00882B87"/>
    <w:rsid w:val="00882CFC"/>
    <w:rsid w:val="00883776"/>
    <w:rsid w:val="008839A0"/>
    <w:rsid w:val="00883C9E"/>
    <w:rsid w:val="00883E7F"/>
    <w:rsid w:val="00883EAD"/>
    <w:rsid w:val="00883EED"/>
    <w:rsid w:val="0088407D"/>
    <w:rsid w:val="00884A9E"/>
    <w:rsid w:val="00884B2C"/>
    <w:rsid w:val="00884BA6"/>
    <w:rsid w:val="00884D29"/>
    <w:rsid w:val="008850BB"/>
    <w:rsid w:val="008855A2"/>
    <w:rsid w:val="00885C16"/>
    <w:rsid w:val="00885F3D"/>
    <w:rsid w:val="00886010"/>
    <w:rsid w:val="0088653E"/>
    <w:rsid w:val="008865D1"/>
    <w:rsid w:val="0088677D"/>
    <w:rsid w:val="00887266"/>
    <w:rsid w:val="00887A80"/>
    <w:rsid w:val="00887A86"/>
    <w:rsid w:val="00887D3E"/>
    <w:rsid w:val="00887E16"/>
    <w:rsid w:val="00887E89"/>
    <w:rsid w:val="00890194"/>
    <w:rsid w:val="00890498"/>
    <w:rsid w:val="00890A4A"/>
    <w:rsid w:val="00891169"/>
    <w:rsid w:val="00891550"/>
    <w:rsid w:val="008915B2"/>
    <w:rsid w:val="008916A8"/>
    <w:rsid w:val="00891B02"/>
    <w:rsid w:val="00892029"/>
    <w:rsid w:val="00893065"/>
    <w:rsid w:val="00893107"/>
    <w:rsid w:val="00893B6D"/>
    <w:rsid w:val="00893CD8"/>
    <w:rsid w:val="00894851"/>
    <w:rsid w:val="00894D51"/>
    <w:rsid w:val="00895348"/>
    <w:rsid w:val="008955BB"/>
    <w:rsid w:val="00895743"/>
    <w:rsid w:val="00895864"/>
    <w:rsid w:val="00895DBD"/>
    <w:rsid w:val="00896362"/>
    <w:rsid w:val="008966F3"/>
    <w:rsid w:val="008967B7"/>
    <w:rsid w:val="00896879"/>
    <w:rsid w:val="00897109"/>
    <w:rsid w:val="00897345"/>
    <w:rsid w:val="00897B5E"/>
    <w:rsid w:val="00897C64"/>
    <w:rsid w:val="008A0053"/>
    <w:rsid w:val="008A09E4"/>
    <w:rsid w:val="008A1098"/>
    <w:rsid w:val="008A12FC"/>
    <w:rsid w:val="008A1554"/>
    <w:rsid w:val="008A162F"/>
    <w:rsid w:val="008A16EB"/>
    <w:rsid w:val="008A1754"/>
    <w:rsid w:val="008A1B9E"/>
    <w:rsid w:val="008A1E6C"/>
    <w:rsid w:val="008A20E6"/>
    <w:rsid w:val="008A21C5"/>
    <w:rsid w:val="008A2610"/>
    <w:rsid w:val="008A2AC3"/>
    <w:rsid w:val="008A39D8"/>
    <w:rsid w:val="008A3BDE"/>
    <w:rsid w:val="008A3BE6"/>
    <w:rsid w:val="008A3F7D"/>
    <w:rsid w:val="008A411B"/>
    <w:rsid w:val="008A434A"/>
    <w:rsid w:val="008A448C"/>
    <w:rsid w:val="008A45A4"/>
    <w:rsid w:val="008A4A80"/>
    <w:rsid w:val="008A4C86"/>
    <w:rsid w:val="008A4DDD"/>
    <w:rsid w:val="008A544A"/>
    <w:rsid w:val="008A553C"/>
    <w:rsid w:val="008A593F"/>
    <w:rsid w:val="008A5AB9"/>
    <w:rsid w:val="008A5C8A"/>
    <w:rsid w:val="008A600C"/>
    <w:rsid w:val="008A6200"/>
    <w:rsid w:val="008A647E"/>
    <w:rsid w:val="008A655B"/>
    <w:rsid w:val="008A6679"/>
    <w:rsid w:val="008A6707"/>
    <w:rsid w:val="008A6924"/>
    <w:rsid w:val="008A6BA6"/>
    <w:rsid w:val="008A6E45"/>
    <w:rsid w:val="008B053F"/>
    <w:rsid w:val="008B0B66"/>
    <w:rsid w:val="008B11EE"/>
    <w:rsid w:val="008B14A6"/>
    <w:rsid w:val="008B14A8"/>
    <w:rsid w:val="008B166B"/>
    <w:rsid w:val="008B20A7"/>
    <w:rsid w:val="008B2252"/>
    <w:rsid w:val="008B22A7"/>
    <w:rsid w:val="008B2344"/>
    <w:rsid w:val="008B286E"/>
    <w:rsid w:val="008B2C05"/>
    <w:rsid w:val="008B3611"/>
    <w:rsid w:val="008B3805"/>
    <w:rsid w:val="008B3ACD"/>
    <w:rsid w:val="008B3BB7"/>
    <w:rsid w:val="008B3BC5"/>
    <w:rsid w:val="008B3CA8"/>
    <w:rsid w:val="008B4044"/>
    <w:rsid w:val="008B41F1"/>
    <w:rsid w:val="008B45F4"/>
    <w:rsid w:val="008B4642"/>
    <w:rsid w:val="008B46BE"/>
    <w:rsid w:val="008B4C83"/>
    <w:rsid w:val="008B4D46"/>
    <w:rsid w:val="008B585A"/>
    <w:rsid w:val="008B5A42"/>
    <w:rsid w:val="008B5B07"/>
    <w:rsid w:val="008B5C5D"/>
    <w:rsid w:val="008B611A"/>
    <w:rsid w:val="008B6657"/>
    <w:rsid w:val="008B6755"/>
    <w:rsid w:val="008B6B3B"/>
    <w:rsid w:val="008B6D91"/>
    <w:rsid w:val="008B6EC6"/>
    <w:rsid w:val="008B6EF2"/>
    <w:rsid w:val="008B7A01"/>
    <w:rsid w:val="008B7B06"/>
    <w:rsid w:val="008B7BB5"/>
    <w:rsid w:val="008B7CB5"/>
    <w:rsid w:val="008B7DB7"/>
    <w:rsid w:val="008B7ECA"/>
    <w:rsid w:val="008C00D0"/>
    <w:rsid w:val="008C0694"/>
    <w:rsid w:val="008C06B1"/>
    <w:rsid w:val="008C0743"/>
    <w:rsid w:val="008C0964"/>
    <w:rsid w:val="008C0A32"/>
    <w:rsid w:val="008C0F85"/>
    <w:rsid w:val="008C0FBC"/>
    <w:rsid w:val="008C17C2"/>
    <w:rsid w:val="008C1AC4"/>
    <w:rsid w:val="008C1E7D"/>
    <w:rsid w:val="008C23CD"/>
    <w:rsid w:val="008C2832"/>
    <w:rsid w:val="008C2A2C"/>
    <w:rsid w:val="008C31E2"/>
    <w:rsid w:val="008C322F"/>
    <w:rsid w:val="008C342A"/>
    <w:rsid w:val="008C3EDB"/>
    <w:rsid w:val="008C3F27"/>
    <w:rsid w:val="008C42D5"/>
    <w:rsid w:val="008C465F"/>
    <w:rsid w:val="008C4B2E"/>
    <w:rsid w:val="008C4B54"/>
    <w:rsid w:val="008C571C"/>
    <w:rsid w:val="008C5A41"/>
    <w:rsid w:val="008C5A93"/>
    <w:rsid w:val="008C5F1F"/>
    <w:rsid w:val="008C5FA9"/>
    <w:rsid w:val="008C6307"/>
    <w:rsid w:val="008C75D3"/>
    <w:rsid w:val="008C77D6"/>
    <w:rsid w:val="008C7E57"/>
    <w:rsid w:val="008C7E9A"/>
    <w:rsid w:val="008C7F82"/>
    <w:rsid w:val="008D043E"/>
    <w:rsid w:val="008D0462"/>
    <w:rsid w:val="008D0970"/>
    <w:rsid w:val="008D0AC7"/>
    <w:rsid w:val="008D12FF"/>
    <w:rsid w:val="008D15E4"/>
    <w:rsid w:val="008D1D86"/>
    <w:rsid w:val="008D20C3"/>
    <w:rsid w:val="008D26C6"/>
    <w:rsid w:val="008D2CF7"/>
    <w:rsid w:val="008D337F"/>
    <w:rsid w:val="008D33D2"/>
    <w:rsid w:val="008D357D"/>
    <w:rsid w:val="008D394C"/>
    <w:rsid w:val="008D3E9E"/>
    <w:rsid w:val="008D442E"/>
    <w:rsid w:val="008D4AC2"/>
    <w:rsid w:val="008D4D5F"/>
    <w:rsid w:val="008D4F9B"/>
    <w:rsid w:val="008D502E"/>
    <w:rsid w:val="008D5036"/>
    <w:rsid w:val="008D50D4"/>
    <w:rsid w:val="008D52D4"/>
    <w:rsid w:val="008D54A5"/>
    <w:rsid w:val="008D5711"/>
    <w:rsid w:val="008D5C0B"/>
    <w:rsid w:val="008D5DFA"/>
    <w:rsid w:val="008D5EEC"/>
    <w:rsid w:val="008D63DE"/>
    <w:rsid w:val="008D6A48"/>
    <w:rsid w:val="008D6E04"/>
    <w:rsid w:val="008D7359"/>
    <w:rsid w:val="008D7534"/>
    <w:rsid w:val="008D75B0"/>
    <w:rsid w:val="008D766A"/>
    <w:rsid w:val="008D77D8"/>
    <w:rsid w:val="008D79B8"/>
    <w:rsid w:val="008D79D6"/>
    <w:rsid w:val="008E0075"/>
    <w:rsid w:val="008E0191"/>
    <w:rsid w:val="008E042C"/>
    <w:rsid w:val="008E0962"/>
    <w:rsid w:val="008E0A61"/>
    <w:rsid w:val="008E1069"/>
    <w:rsid w:val="008E1310"/>
    <w:rsid w:val="008E14A3"/>
    <w:rsid w:val="008E1514"/>
    <w:rsid w:val="008E1815"/>
    <w:rsid w:val="008E1985"/>
    <w:rsid w:val="008E1F13"/>
    <w:rsid w:val="008E204E"/>
    <w:rsid w:val="008E25E9"/>
    <w:rsid w:val="008E28F1"/>
    <w:rsid w:val="008E2BAC"/>
    <w:rsid w:val="008E2C7D"/>
    <w:rsid w:val="008E2EA8"/>
    <w:rsid w:val="008E30A3"/>
    <w:rsid w:val="008E30E1"/>
    <w:rsid w:val="008E30F3"/>
    <w:rsid w:val="008E3137"/>
    <w:rsid w:val="008E3229"/>
    <w:rsid w:val="008E36D3"/>
    <w:rsid w:val="008E3809"/>
    <w:rsid w:val="008E42DB"/>
    <w:rsid w:val="008E491F"/>
    <w:rsid w:val="008E4B4F"/>
    <w:rsid w:val="008E50FD"/>
    <w:rsid w:val="008E5274"/>
    <w:rsid w:val="008E5C50"/>
    <w:rsid w:val="008E5D23"/>
    <w:rsid w:val="008E5F37"/>
    <w:rsid w:val="008E5F7F"/>
    <w:rsid w:val="008E604F"/>
    <w:rsid w:val="008E641D"/>
    <w:rsid w:val="008E687E"/>
    <w:rsid w:val="008E68C5"/>
    <w:rsid w:val="008E6925"/>
    <w:rsid w:val="008E6AE7"/>
    <w:rsid w:val="008E6DAF"/>
    <w:rsid w:val="008E6E64"/>
    <w:rsid w:val="008E6EE7"/>
    <w:rsid w:val="008E72B0"/>
    <w:rsid w:val="008E7791"/>
    <w:rsid w:val="008E7CB2"/>
    <w:rsid w:val="008E7EE4"/>
    <w:rsid w:val="008F0486"/>
    <w:rsid w:val="008F06D8"/>
    <w:rsid w:val="008F0C40"/>
    <w:rsid w:val="008F0CFC"/>
    <w:rsid w:val="008F10B7"/>
    <w:rsid w:val="008F10CE"/>
    <w:rsid w:val="008F114A"/>
    <w:rsid w:val="008F29BC"/>
    <w:rsid w:val="008F2B43"/>
    <w:rsid w:val="008F2C71"/>
    <w:rsid w:val="008F2C78"/>
    <w:rsid w:val="008F3EF7"/>
    <w:rsid w:val="008F3F58"/>
    <w:rsid w:val="008F44F1"/>
    <w:rsid w:val="008F4C12"/>
    <w:rsid w:val="008F4D87"/>
    <w:rsid w:val="008F5303"/>
    <w:rsid w:val="008F530B"/>
    <w:rsid w:val="008F56E2"/>
    <w:rsid w:val="008F5841"/>
    <w:rsid w:val="008F5A3B"/>
    <w:rsid w:val="008F5A3C"/>
    <w:rsid w:val="008F5F9B"/>
    <w:rsid w:val="008F6042"/>
    <w:rsid w:val="008F60A9"/>
    <w:rsid w:val="008F6593"/>
    <w:rsid w:val="008F671E"/>
    <w:rsid w:val="008F676A"/>
    <w:rsid w:val="008F6987"/>
    <w:rsid w:val="008F709D"/>
    <w:rsid w:val="008F70D1"/>
    <w:rsid w:val="008F754F"/>
    <w:rsid w:val="008F7572"/>
    <w:rsid w:val="008F75A0"/>
    <w:rsid w:val="008F7890"/>
    <w:rsid w:val="008F79D4"/>
    <w:rsid w:val="008F7CA8"/>
    <w:rsid w:val="008F7E5C"/>
    <w:rsid w:val="00900606"/>
    <w:rsid w:val="00900709"/>
    <w:rsid w:val="00900B9F"/>
    <w:rsid w:val="00900EE8"/>
    <w:rsid w:val="009019E3"/>
    <w:rsid w:val="00901F13"/>
    <w:rsid w:val="00901FB9"/>
    <w:rsid w:val="0090216F"/>
    <w:rsid w:val="0090224D"/>
    <w:rsid w:val="0090232A"/>
    <w:rsid w:val="009024C0"/>
    <w:rsid w:val="00902576"/>
    <w:rsid w:val="00902CFD"/>
    <w:rsid w:val="009032A2"/>
    <w:rsid w:val="00903322"/>
    <w:rsid w:val="009037EF"/>
    <w:rsid w:val="009041CD"/>
    <w:rsid w:val="00904299"/>
    <w:rsid w:val="00904334"/>
    <w:rsid w:val="009056A5"/>
    <w:rsid w:val="00905E24"/>
    <w:rsid w:val="00905EBE"/>
    <w:rsid w:val="0090649C"/>
    <w:rsid w:val="009064F5"/>
    <w:rsid w:val="0090655E"/>
    <w:rsid w:val="009065F5"/>
    <w:rsid w:val="009066A8"/>
    <w:rsid w:val="00906778"/>
    <w:rsid w:val="00907082"/>
    <w:rsid w:val="00907098"/>
    <w:rsid w:val="009070E8"/>
    <w:rsid w:val="0090713C"/>
    <w:rsid w:val="00907354"/>
    <w:rsid w:val="00907400"/>
    <w:rsid w:val="00910411"/>
    <w:rsid w:val="009104A6"/>
    <w:rsid w:val="00910761"/>
    <w:rsid w:val="00910936"/>
    <w:rsid w:val="00910ACC"/>
    <w:rsid w:val="00910C03"/>
    <w:rsid w:val="00910C68"/>
    <w:rsid w:val="00910E06"/>
    <w:rsid w:val="00910E7F"/>
    <w:rsid w:val="009119A4"/>
    <w:rsid w:val="00911A21"/>
    <w:rsid w:val="00911BE5"/>
    <w:rsid w:val="00911BE8"/>
    <w:rsid w:val="009127DA"/>
    <w:rsid w:val="0091288C"/>
    <w:rsid w:val="009128D6"/>
    <w:rsid w:val="00912E33"/>
    <w:rsid w:val="009135F2"/>
    <w:rsid w:val="00913672"/>
    <w:rsid w:val="00913D44"/>
    <w:rsid w:val="00914174"/>
    <w:rsid w:val="009144AF"/>
    <w:rsid w:val="00914A61"/>
    <w:rsid w:val="00914D2A"/>
    <w:rsid w:val="009153FB"/>
    <w:rsid w:val="00915763"/>
    <w:rsid w:val="009157E0"/>
    <w:rsid w:val="00915BEF"/>
    <w:rsid w:val="00915CF1"/>
    <w:rsid w:val="00915D6D"/>
    <w:rsid w:val="00915E6D"/>
    <w:rsid w:val="0091626B"/>
    <w:rsid w:val="009163C8"/>
    <w:rsid w:val="00916640"/>
    <w:rsid w:val="00916648"/>
    <w:rsid w:val="009166A7"/>
    <w:rsid w:val="00916CE0"/>
    <w:rsid w:val="00916E28"/>
    <w:rsid w:val="00916E29"/>
    <w:rsid w:val="00917260"/>
    <w:rsid w:val="009174BA"/>
    <w:rsid w:val="00917F11"/>
    <w:rsid w:val="00920141"/>
    <w:rsid w:val="00920209"/>
    <w:rsid w:val="00920385"/>
    <w:rsid w:val="00920623"/>
    <w:rsid w:val="00920875"/>
    <w:rsid w:val="009209CF"/>
    <w:rsid w:val="00920EB2"/>
    <w:rsid w:val="0092133F"/>
    <w:rsid w:val="00921CCB"/>
    <w:rsid w:val="0092211C"/>
    <w:rsid w:val="0092257F"/>
    <w:rsid w:val="009227DD"/>
    <w:rsid w:val="00923A35"/>
    <w:rsid w:val="00923B1D"/>
    <w:rsid w:val="00923E90"/>
    <w:rsid w:val="00924107"/>
    <w:rsid w:val="00924217"/>
    <w:rsid w:val="0092448C"/>
    <w:rsid w:val="009246E0"/>
    <w:rsid w:val="009246E6"/>
    <w:rsid w:val="00924D3F"/>
    <w:rsid w:val="00924DAC"/>
    <w:rsid w:val="00924FE0"/>
    <w:rsid w:val="00925124"/>
    <w:rsid w:val="00925751"/>
    <w:rsid w:val="00925AE9"/>
    <w:rsid w:val="00925B3F"/>
    <w:rsid w:val="00926290"/>
    <w:rsid w:val="0092694F"/>
    <w:rsid w:val="00927035"/>
    <w:rsid w:val="00927057"/>
    <w:rsid w:val="0092744F"/>
    <w:rsid w:val="009274E3"/>
    <w:rsid w:val="009274FB"/>
    <w:rsid w:val="00927714"/>
    <w:rsid w:val="0092787E"/>
    <w:rsid w:val="00927BC1"/>
    <w:rsid w:val="00927C96"/>
    <w:rsid w:val="00927D57"/>
    <w:rsid w:val="00927EA7"/>
    <w:rsid w:val="00930154"/>
    <w:rsid w:val="009302A7"/>
    <w:rsid w:val="009304B9"/>
    <w:rsid w:val="00930517"/>
    <w:rsid w:val="00930AC0"/>
    <w:rsid w:val="00930E5D"/>
    <w:rsid w:val="009310BC"/>
    <w:rsid w:val="00931262"/>
    <w:rsid w:val="009315B8"/>
    <w:rsid w:val="00931CDC"/>
    <w:rsid w:val="00931DDA"/>
    <w:rsid w:val="00931FE4"/>
    <w:rsid w:val="00932150"/>
    <w:rsid w:val="00932597"/>
    <w:rsid w:val="00932636"/>
    <w:rsid w:val="00932C09"/>
    <w:rsid w:val="00932D4D"/>
    <w:rsid w:val="009335F0"/>
    <w:rsid w:val="009335FF"/>
    <w:rsid w:val="0093400B"/>
    <w:rsid w:val="009344A8"/>
    <w:rsid w:val="0093468A"/>
    <w:rsid w:val="00934E16"/>
    <w:rsid w:val="00934FC8"/>
    <w:rsid w:val="00935070"/>
    <w:rsid w:val="00935B2A"/>
    <w:rsid w:val="00935DD2"/>
    <w:rsid w:val="00935ECB"/>
    <w:rsid w:val="00935EF6"/>
    <w:rsid w:val="00935F80"/>
    <w:rsid w:val="009366F9"/>
    <w:rsid w:val="00936968"/>
    <w:rsid w:val="0093700B"/>
    <w:rsid w:val="0093718B"/>
    <w:rsid w:val="009373CB"/>
    <w:rsid w:val="009375C9"/>
    <w:rsid w:val="0093792E"/>
    <w:rsid w:val="009379AD"/>
    <w:rsid w:val="00937CAD"/>
    <w:rsid w:val="009403AC"/>
    <w:rsid w:val="009405A6"/>
    <w:rsid w:val="009409CB"/>
    <w:rsid w:val="00940A88"/>
    <w:rsid w:val="00940E08"/>
    <w:rsid w:val="00941128"/>
    <w:rsid w:val="00941C9F"/>
    <w:rsid w:val="00942109"/>
    <w:rsid w:val="009424A0"/>
    <w:rsid w:val="00942709"/>
    <w:rsid w:val="00942AAC"/>
    <w:rsid w:val="00942CD4"/>
    <w:rsid w:val="00942F96"/>
    <w:rsid w:val="009432C5"/>
    <w:rsid w:val="009436DC"/>
    <w:rsid w:val="00943A7D"/>
    <w:rsid w:val="00943DE6"/>
    <w:rsid w:val="009440A6"/>
    <w:rsid w:val="00944100"/>
    <w:rsid w:val="00944104"/>
    <w:rsid w:val="00944576"/>
    <w:rsid w:val="009445CA"/>
    <w:rsid w:val="009450D6"/>
    <w:rsid w:val="0094512C"/>
    <w:rsid w:val="00946296"/>
    <w:rsid w:val="00946323"/>
    <w:rsid w:val="009465F6"/>
    <w:rsid w:val="00946D38"/>
    <w:rsid w:val="0094741E"/>
    <w:rsid w:val="00947F53"/>
    <w:rsid w:val="009501DA"/>
    <w:rsid w:val="009509C3"/>
    <w:rsid w:val="00950D1A"/>
    <w:rsid w:val="009510D1"/>
    <w:rsid w:val="0095159B"/>
    <w:rsid w:val="00951B7E"/>
    <w:rsid w:val="00951E9F"/>
    <w:rsid w:val="00951F72"/>
    <w:rsid w:val="00951FBE"/>
    <w:rsid w:val="0095243B"/>
    <w:rsid w:val="00952E21"/>
    <w:rsid w:val="0095324D"/>
    <w:rsid w:val="009534A1"/>
    <w:rsid w:val="009535EE"/>
    <w:rsid w:val="00953D57"/>
    <w:rsid w:val="0095413E"/>
    <w:rsid w:val="00954775"/>
    <w:rsid w:val="00954850"/>
    <w:rsid w:val="00954A85"/>
    <w:rsid w:val="00954D06"/>
    <w:rsid w:val="00954E34"/>
    <w:rsid w:val="00954F88"/>
    <w:rsid w:val="00954FA7"/>
    <w:rsid w:val="00954FB6"/>
    <w:rsid w:val="009550CE"/>
    <w:rsid w:val="009553FD"/>
    <w:rsid w:val="0095580D"/>
    <w:rsid w:val="00955890"/>
    <w:rsid w:val="00955B86"/>
    <w:rsid w:val="00955EA7"/>
    <w:rsid w:val="00955FD4"/>
    <w:rsid w:val="009566F2"/>
    <w:rsid w:val="009569B5"/>
    <w:rsid w:val="00956BF4"/>
    <w:rsid w:val="00957265"/>
    <w:rsid w:val="009572F6"/>
    <w:rsid w:val="009574CB"/>
    <w:rsid w:val="009577FB"/>
    <w:rsid w:val="009579A4"/>
    <w:rsid w:val="00957A18"/>
    <w:rsid w:val="00957BEB"/>
    <w:rsid w:val="009600E2"/>
    <w:rsid w:val="00960339"/>
    <w:rsid w:val="009604A1"/>
    <w:rsid w:val="0096058C"/>
    <w:rsid w:val="0096079F"/>
    <w:rsid w:val="00960938"/>
    <w:rsid w:val="00960B7E"/>
    <w:rsid w:val="00961239"/>
    <w:rsid w:val="009612A9"/>
    <w:rsid w:val="00961533"/>
    <w:rsid w:val="0096171B"/>
    <w:rsid w:val="00961968"/>
    <w:rsid w:val="00961F37"/>
    <w:rsid w:val="00962327"/>
    <w:rsid w:val="009626B7"/>
    <w:rsid w:val="00962832"/>
    <w:rsid w:val="00962852"/>
    <w:rsid w:val="00962E3D"/>
    <w:rsid w:val="00962F27"/>
    <w:rsid w:val="00963049"/>
    <w:rsid w:val="009638F3"/>
    <w:rsid w:val="00963966"/>
    <w:rsid w:val="0096431B"/>
    <w:rsid w:val="00964E67"/>
    <w:rsid w:val="009651A3"/>
    <w:rsid w:val="009657B5"/>
    <w:rsid w:val="00965862"/>
    <w:rsid w:val="00965939"/>
    <w:rsid w:val="0096651B"/>
    <w:rsid w:val="009666AB"/>
    <w:rsid w:val="009668ED"/>
    <w:rsid w:val="00966B12"/>
    <w:rsid w:val="00966E90"/>
    <w:rsid w:val="00966EFF"/>
    <w:rsid w:val="009670E0"/>
    <w:rsid w:val="00967718"/>
    <w:rsid w:val="00967721"/>
    <w:rsid w:val="009677EA"/>
    <w:rsid w:val="00967AA2"/>
    <w:rsid w:val="00967B59"/>
    <w:rsid w:val="00967BA4"/>
    <w:rsid w:val="009703CC"/>
    <w:rsid w:val="0097136D"/>
    <w:rsid w:val="00971643"/>
    <w:rsid w:val="00971AFD"/>
    <w:rsid w:val="00971C06"/>
    <w:rsid w:val="00971CAD"/>
    <w:rsid w:val="00971D55"/>
    <w:rsid w:val="00972B0B"/>
    <w:rsid w:val="00972FF7"/>
    <w:rsid w:val="0097315B"/>
    <w:rsid w:val="009733F5"/>
    <w:rsid w:val="0097340E"/>
    <w:rsid w:val="009734B1"/>
    <w:rsid w:val="00973739"/>
    <w:rsid w:val="00973926"/>
    <w:rsid w:val="00973B8F"/>
    <w:rsid w:val="00973F1A"/>
    <w:rsid w:val="009741B3"/>
    <w:rsid w:val="009742CC"/>
    <w:rsid w:val="0097436F"/>
    <w:rsid w:val="00974DFD"/>
    <w:rsid w:val="00974F3C"/>
    <w:rsid w:val="00974FBA"/>
    <w:rsid w:val="00974FC4"/>
    <w:rsid w:val="00974FD1"/>
    <w:rsid w:val="0097501E"/>
    <w:rsid w:val="0097513A"/>
    <w:rsid w:val="009756A2"/>
    <w:rsid w:val="00975BDE"/>
    <w:rsid w:val="009766F9"/>
    <w:rsid w:val="00976A60"/>
    <w:rsid w:val="00976B8D"/>
    <w:rsid w:val="0097720C"/>
    <w:rsid w:val="0097764B"/>
    <w:rsid w:val="00977B82"/>
    <w:rsid w:val="00977C8A"/>
    <w:rsid w:val="00977CF3"/>
    <w:rsid w:val="00977E19"/>
    <w:rsid w:val="00977E1F"/>
    <w:rsid w:val="009815EF"/>
    <w:rsid w:val="00981805"/>
    <w:rsid w:val="00981A94"/>
    <w:rsid w:val="00981EE7"/>
    <w:rsid w:val="00982203"/>
    <w:rsid w:val="00982326"/>
    <w:rsid w:val="009824CB"/>
    <w:rsid w:val="009825B0"/>
    <w:rsid w:val="00982C29"/>
    <w:rsid w:val="0098340A"/>
    <w:rsid w:val="009839FE"/>
    <w:rsid w:val="00983EDE"/>
    <w:rsid w:val="00984057"/>
    <w:rsid w:val="009840DB"/>
    <w:rsid w:val="00984459"/>
    <w:rsid w:val="009844B4"/>
    <w:rsid w:val="00984524"/>
    <w:rsid w:val="0098475F"/>
    <w:rsid w:val="00984D90"/>
    <w:rsid w:val="009855EE"/>
    <w:rsid w:val="00985892"/>
    <w:rsid w:val="009859BE"/>
    <w:rsid w:val="00985AE4"/>
    <w:rsid w:val="00986444"/>
    <w:rsid w:val="009868A0"/>
    <w:rsid w:val="0098796F"/>
    <w:rsid w:val="00987C33"/>
    <w:rsid w:val="00987CE7"/>
    <w:rsid w:val="00987F11"/>
    <w:rsid w:val="00987F41"/>
    <w:rsid w:val="009901B0"/>
    <w:rsid w:val="009901D2"/>
    <w:rsid w:val="0099057C"/>
    <w:rsid w:val="00990882"/>
    <w:rsid w:val="00990CE2"/>
    <w:rsid w:val="00991029"/>
    <w:rsid w:val="009910FE"/>
    <w:rsid w:val="009916FB"/>
    <w:rsid w:val="00991895"/>
    <w:rsid w:val="00992298"/>
    <w:rsid w:val="009922DC"/>
    <w:rsid w:val="0099230C"/>
    <w:rsid w:val="009925F5"/>
    <w:rsid w:val="0099275B"/>
    <w:rsid w:val="00992918"/>
    <w:rsid w:val="00992A56"/>
    <w:rsid w:val="00993638"/>
    <w:rsid w:val="009936C8"/>
    <w:rsid w:val="00993870"/>
    <w:rsid w:val="009939E3"/>
    <w:rsid w:val="009939F7"/>
    <w:rsid w:val="00993B87"/>
    <w:rsid w:val="00994156"/>
    <w:rsid w:val="0099427B"/>
    <w:rsid w:val="0099482E"/>
    <w:rsid w:val="00994FBC"/>
    <w:rsid w:val="0099518F"/>
    <w:rsid w:val="00995560"/>
    <w:rsid w:val="009955BE"/>
    <w:rsid w:val="009955F1"/>
    <w:rsid w:val="009956C4"/>
    <w:rsid w:val="00995DCB"/>
    <w:rsid w:val="00995F9C"/>
    <w:rsid w:val="00996614"/>
    <w:rsid w:val="00996814"/>
    <w:rsid w:val="00996D88"/>
    <w:rsid w:val="00997405"/>
    <w:rsid w:val="00997489"/>
    <w:rsid w:val="0099750D"/>
    <w:rsid w:val="009A0151"/>
    <w:rsid w:val="009A069B"/>
    <w:rsid w:val="009A06F8"/>
    <w:rsid w:val="009A0701"/>
    <w:rsid w:val="009A07E1"/>
    <w:rsid w:val="009A1141"/>
    <w:rsid w:val="009A116B"/>
    <w:rsid w:val="009A1468"/>
    <w:rsid w:val="009A1548"/>
    <w:rsid w:val="009A16C1"/>
    <w:rsid w:val="009A1FAD"/>
    <w:rsid w:val="009A25EC"/>
    <w:rsid w:val="009A2B15"/>
    <w:rsid w:val="009A2C78"/>
    <w:rsid w:val="009A3087"/>
    <w:rsid w:val="009A30E5"/>
    <w:rsid w:val="009A32AE"/>
    <w:rsid w:val="009A32B6"/>
    <w:rsid w:val="009A3BBE"/>
    <w:rsid w:val="009A3C67"/>
    <w:rsid w:val="009A3D12"/>
    <w:rsid w:val="009A3E75"/>
    <w:rsid w:val="009A3F18"/>
    <w:rsid w:val="009A422E"/>
    <w:rsid w:val="009A4519"/>
    <w:rsid w:val="009A4600"/>
    <w:rsid w:val="009A475B"/>
    <w:rsid w:val="009A511C"/>
    <w:rsid w:val="009A56D1"/>
    <w:rsid w:val="009A5871"/>
    <w:rsid w:val="009A5F77"/>
    <w:rsid w:val="009A64F8"/>
    <w:rsid w:val="009A672D"/>
    <w:rsid w:val="009A6A00"/>
    <w:rsid w:val="009A6B42"/>
    <w:rsid w:val="009A6D53"/>
    <w:rsid w:val="009A6F49"/>
    <w:rsid w:val="009A7656"/>
    <w:rsid w:val="009A79EA"/>
    <w:rsid w:val="009B0854"/>
    <w:rsid w:val="009B0A7B"/>
    <w:rsid w:val="009B0C4E"/>
    <w:rsid w:val="009B0EA1"/>
    <w:rsid w:val="009B1399"/>
    <w:rsid w:val="009B1442"/>
    <w:rsid w:val="009B167B"/>
    <w:rsid w:val="009B2C95"/>
    <w:rsid w:val="009B3303"/>
    <w:rsid w:val="009B33CD"/>
    <w:rsid w:val="009B35F5"/>
    <w:rsid w:val="009B371D"/>
    <w:rsid w:val="009B3A40"/>
    <w:rsid w:val="009B3D08"/>
    <w:rsid w:val="009B3FA1"/>
    <w:rsid w:val="009B3FA5"/>
    <w:rsid w:val="009B4174"/>
    <w:rsid w:val="009B41E8"/>
    <w:rsid w:val="009B4974"/>
    <w:rsid w:val="009B54EF"/>
    <w:rsid w:val="009B5756"/>
    <w:rsid w:val="009B57FF"/>
    <w:rsid w:val="009B5860"/>
    <w:rsid w:val="009B5E7E"/>
    <w:rsid w:val="009B6037"/>
    <w:rsid w:val="009B6456"/>
    <w:rsid w:val="009B64EF"/>
    <w:rsid w:val="009B65A0"/>
    <w:rsid w:val="009B67DE"/>
    <w:rsid w:val="009B68CF"/>
    <w:rsid w:val="009B68DA"/>
    <w:rsid w:val="009B6AAC"/>
    <w:rsid w:val="009B6D8F"/>
    <w:rsid w:val="009B6FE8"/>
    <w:rsid w:val="009B7163"/>
    <w:rsid w:val="009B74D7"/>
    <w:rsid w:val="009B7533"/>
    <w:rsid w:val="009B777F"/>
    <w:rsid w:val="009B7A6A"/>
    <w:rsid w:val="009B7B1B"/>
    <w:rsid w:val="009B7E0A"/>
    <w:rsid w:val="009C00C7"/>
    <w:rsid w:val="009C01B8"/>
    <w:rsid w:val="009C0652"/>
    <w:rsid w:val="009C069B"/>
    <w:rsid w:val="009C0D95"/>
    <w:rsid w:val="009C1335"/>
    <w:rsid w:val="009C1468"/>
    <w:rsid w:val="009C1493"/>
    <w:rsid w:val="009C1750"/>
    <w:rsid w:val="009C1DC5"/>
    <w:rsid w:val="009C1E06"/>
    <w:rsid w:val="009C20AB"/>
    <w:rsid w:val="009C26E9"/>
    <w:rsid w:val="009C2980"/>
    <w:rsid w:val="009C2C05"/>
    <w:rsid w:val="009C2E6A"/>
    <w:rsid w:val="009C3007"/>
    <w:rsid w:val="009C31D5"/>
    <w:rsid w:val="009C345B"/>
    <w:rsid w:val="009C3571"/>
    <w:rsid w:val="009C3991"/>
    <w:rsid w:val="009C3AFC"/>
    <w:rsid w:val="009C3BCE"/>
    <w:rsid w:val="009C3CE1"/>
    <w:rsid w:val="009C3E6D"/>
    <w:rsid w:val="009C3EA6"/>
    <w:rsid w:val="009C5216"/>
    <w:rsid w:val="009C5269"/>
    <w:rsid w:val="009C5845"/>
    <w:rsid w:val="009C59CE"/>
    <w:rsid w:val="009C5A28"/>
    <w:rsid w:val="009C5BEC"/>
    <w:rsid w:val="009C5DC3"/>
    <w:rsid w:val="009C648D"/>
    <w:rsid w:val="009C6A7C"/>
    <w:rsid w:val="009C6CAC"/>
    <w:rsid w:val="009C7481"/>
    <w:rsid w:val="009C74F6"/>
    <w:rsid w:val="009D02F0"/>
    <w:rsid w:val="009D062A"/>
    <w:rsid w:val="009D0EA5"/>
    <w:rsid w:val="009D0EDD"/>
    <w:rsid w:val="009D10D9"/>
    <w:rsid w:val="009D10F8"/>
    <w:rsid w:val="009D11BA"/>
    <w:rsid w:val="009D11DA"/>
    <w:rsid w:val="009D154B"/>
    <w:rsid w:val="009D155F"/>
    <w:rsid w:val="009D1634"/>
    <w:rsid w:val="009D1C15"/>
    <w:rsid w:val="009D1D1C"/>
    <w:rsid w:val="009D2078"/>
    <w:rsid w:val="009D2A90"/>
    <w:rsid w:val="009D30C9"/>
    <w:rsid w:val="009D35DD"/>
    <w:rsid w:val="009D35DF"/>
    <w:rsid w:val="009D40C5"/>
    <w:rsid w:val="009D471B"/>
    <w:rsid w:val="009D4798"/>
    <w:rsid w:val="009D4AE5"/>
    <w:rsid w:val="009D53B9"/>
    <w:rsid w:val="009D53D1"/>
    <w:rsid w:val="009D5637"/>
    <w:rsid w:val="009D585D"/>
    <w:rsid w:val="009D62B6"/>
    <w:rsid w:val="009D68D2"/>
    <w:rsid w:val="009D68D3"/>
    <w:rsid w:val="009D6975"/>
    <w:rsid w:val="009D6DB7"/>
    <w:rsid w:val="009D6DC5"/>
    <w:rsid w:val="009D6E71"/>
    <w:rsid w:val="009D71AB"/>
    <w:rsid w:val="009D721C"/>
    <w:rsid w:val="009D73E0"/>
    <w:rsid w:val="009D7555"/>
    <w:rsid w:val="009D76CF"/>
    <w:rsid w:val="009D78A9"/>
    <w:rsid w:val="009D7BB8"/>
    <w:rsid w:val="009E05EB"/>
    <w:rsid w:val="009E0949"/>
    <w:rsid w:val="009E0A0F"/>
    <w:rsid w:val="009E0F51"/>
    <w:rsid w:val="009E138F"/>
    <w:rsid w:val="009E1411"/>
    <w:rsid w:val="009E18D1"/>
    <w:rsid w:val="009E1946"/>
    <w:rsid w:val="009E1AAF"/>
    <w:rsid w:val="009E1B50"/>
    <w:rsid w:val="009E2025"/>
    <w:rsid w:val="009E22C4"/>
    <w:rsid w:val="009E2A1B"/>
    <w:rsid w:val="009E2CC8"/>
    <w:rsid w:val="009E3017"/>
    <w:rsid w:val="009E309D"/>
    <w:rsid w:val="009E31A8"/>
    <w:rsid w:val="009E32A5"/>
    <w:rsid w:val="009E357F"/>
    <w:rsid w:val="009E3D51"/>
    <w:rsid w:val="009E3E86"/>
    <w:rsid w:val="009E3FFB"/>
    <w:rsid w:val="009E4265"/>
    <w:rsid w:val="009E47E5"/>
    <w:rsid w:val="009E4A24"/>
    <w:rsid w:val="009E4B9B"/>
    <w:rsid w:val="009E4FBE"/>
    <w:rsid w:val="009E5313"/>
    <w:rsid w:val="009E5804"/>
    <w:rsid w:val="009E5C33"/>
    <w:rsid w:val="009E5E2B"/>
    <w:rsid w:val="009E5F41"/>
    <w:rsid w:val="009E60E3"/>
    <w:rsid w:val="009E63F4"/>
    <w:rsid w:val="009E65D9"/>
    <w:rsid w:val="009E66EB"/>
    <w:rsid w:val="009E697A"/>
    <w:rsid w:val="009E6D66"/>
    <w:rsid w:val="009E6F60"/>
    <w:rsid w:val="009E74CF"/>
    <w:rsid w:val="009E7755"/>
    <w:rsid w:val="009E7901"/>
    <w:rsid w:val="009E7A85"/>
    <w:rsid w:val="009E7DF4"/>
    <w:rsid w:val="009E7F3D"/>
    <w:rsid w:val="009E7FC4"/>
    <w:rsid w:val="009F07F6"/>
    <w:rsid w:val="009F0A0A"/>
    <w:rsid w:val="009F0E41"/>
    <w:rsid w:val="009F0FE9"/>
    <w:rsid w:val="009F1685"/>
    <w:rsid w:val="009F192B"/>
    <w:rsid w:val="009F1E57"/>
    <w:rsid w:val="009F25C2"/>
    <w:rsid w:val="009F2A45"/>
    <w:rsid w:val="009F2ACB"/>
    <w:rsid w:val="009F329A"/>
    <w:rsid w:val="009F348E"/>
    <w:rsid w:val="009F3631"/>
    <w:rsid w:val="009F3795"/>
    <w:rsid w:val="009F3915"/>
    <w:rsid w:val="009F3DF8"/>
    <w:rsid w:val="009F41C0"/>
    <w:rsid w:val="009F4270"/>
    <w:rsid w:val="009F4805"/>
    <w:rsid w:val="009F48F7"/>
    <w:rsid w:val="009F4D3D"/>
    <w:rsid w:val="009F4DC4"/>
    <w:rsid w:val="009F54BF"/>
    <w:rsid w:val="009F55E4"/>
    <w:rsid w:val="009F5D7B"/>
    <w:rsid w:val="009F5E16"/>
    <w:rsid w:val="009F5E9B"/>
    <w:rsid w:val="009F605D"/>
    <w:rsid w:val="009F6208"/>
    <w:rsid w:val="009F63EC"/>
    <w:rsid w:val="009F6538"/>
    <w:rsid w:val="009F679E"/>
    <w:rsid w:val="009F68EF"/>
    <w:rsid w:val="009F6B61"/>
    <w:rsid w:val="009F6BF9"/>
    <w:rsid w:val="009F6F45"/>
    <w:rsid w:val="009F7007"/>
    <w:rsid w:val="009F746F"/>
    <w:rsid w:val="009F75AE"/>
    <w:rsid w:val="009F776D"/>
    <w:rsid w:val="00A002A7"/>
    <w:rsid w:val="00A00435"/>
    <w:rsid w:val="00A00957"/>
    <w:rsid w:val="00A00A2D"/>
    <w:rsid w:val="00A00D35"/>
    <w:rsid w:val="00A00F17"/>
    <w:rsid w:val="00A016BA"/>
    <w:rsid w:val="00A01AF5"/>
    <w:rsid w:val="00A01C81"/>
    <w:rsid w:val="00A02321"/>
    <w:rsid w:val="00A028C8"/>
    <w:rsid w:val="00A02AD1"/>
    <w:rsid w:val="00A02D16"/>
    <w:rsid w:val="00A03234"/>
    <w:rsid w:val="00A034E1"/>
    <w:rsid w:val="00A0370E"/>
    <w:rsid w:val="00A037CB"/>
    <w:rsid w:val="00A03881"/>
    <w:rsid w:val="00A0388B"/>
    <w:rsid w:val="00A038A1"/>
    <w:rsid w:val="00A03B86"/>
    <w:rsid w:val="00A03B9D"/>
    <w:rsid w:val="00A03DB6"/>
    <w:rsid w:val="00A043A6"/>
    <w:rsid w:val="00A043AF"/>
    <w:rsid w:val="00A04692"/>
    <w:rsid w:val="00A04B97"/>
    <w:rsid w:val="00A052AA"/>
    <w:rsid w:val="00A05346"/>
    <w:rsid w:val="00A05A25"/>
    <w:rsid w:val="00A05E6B"/>
    <w:rsid w:val="00A06011"/>
    <w:rsid w:val="00A06517"/>
    <w:rsid w:val="00A065F5"/>
    <w:rsid w:val="00A0696E"/>
    <w:rsid w:val="00A06D88"/>
    <w:rsid w:val="00A06E00"/>
    <w:rsid w:val="00A07274"/>
    <w:rsid w:val="00A07595"/>
    <w:rsid w:val="00A07928"/>
    <w:rsid w:val="00A1087E"/>
    <w:rsid w:val="00A10964"/>
    <w:rsid w:val="00A109D0"/>
    <w:rsid w:val="00A10AD3"/>
    <w:rsid w:val="00A10F68"/>
    <w:rsid w:val="00A1131C"/>
    <w:rsid w:val="00A11885"/>
    <w:rsid w:val="00A11C62"/>
    <w:rsid w:val="00A11D16"/>
    <w:rsid w:val="00A11D62"/>
    <w:rsid w:val="00A127EF"/>
    <w:rsid w:val="00A12E7D"/>
    <w:rsid w:val="00A13288"/>
    <w:rsid w:val="00A1331B"/>
    <w:rsid w:val="00A13977"/>
    <w:rsid w:val="00A141FC"/>
    <w:rsid w:val="00A1445A"/>
    <w:rsid w:val="00A15376"/>
    <w:rsid w:val="00A153DA"/>
    <w:rsid w:val="00A159D1"/>
    <w:rsid w:val="00A15CCE"/>
    <w:rsid w:val="00A16077"/>
    <w:rsid w:val="00A16227"/>
    <w:rsid w:val="00A16301"/>
    <w:rsid w:val="00A16334"/>
    <w:rsid w:val="00A16555"/>
    <w:rsid w:val="00A1707A"/>
    <w:rsid w:val="00A17484"/>
    <w:rsid w:val="00A17817"/>
    <w:rsid w:val="00A1795C"/>
    <w:rsid w:val="00A17ACA"/>
    <w:rsid w:val="00A20082"/>
    <w:rsid w:val="00A20458"/>
    <w:rsid w:val="00A2095E"/>
    <w:rsid w:val="00A20AAC"/>
    <w:rsid w:val="00A20B7E"/>
    <w:rsid w:val="00A20E03"/>
    <w:rsid w:val="00A20F6C"/>
    <w:rsid w:val="00A2118A"/>
    <w:rsid w:val="00A2164A"/>
    <w:rsid w:val="00A21705"/>
    <w:rsid w:val="00A21814"/>
    <w:rsid w:val="00A2189E"/>
    <w:rsid w:val="00A21ADC"/>
    <w:rsid w:val="00A21C44"/>
    <w:rsid w:val="00A21D5A"/>
    <w:rsid w:val="00A2231B"/>
    <w:rsid w:val="00A22331"/>
    <w:rsid w:val="00A22441"/>
    <w:rsid w:val="00A22CD8"/>
    <w:rsid w:val="00A22EEC"/>
    <w:rsid w:val="00A230C6"/>
    <w:rsid w:val="00A23285"/>
    <w:rsid w:val="00A233E5"/>
    <w:rsid w:val="00A24318"/>
    <w:rsid w:val="00A24B66"/>
    <w:rsid w:val="00A24BAD"/>
    <w:rsid w:val="00A24D03"/>
    <w:rsid w:val="00A24DF1"/>
    <w:rsid w:val="00A251CF"/>
    <w:rsid w:val="00A26274"/>
    <w:rsid w:val="00A26352"/>
    <w:rsid w:val="00A26729"/>
    <w:rsid w:val="00A26A7E"/>
    <w:rsid w:val="00A26F98"/>
    <w:rsid w:val="00A27129"/>
    <w:rsid w:val="00A27919"/>
    <w:rsid w:val="00A27B3B"/>
    <w:rsid w:val="00A27C99"/>
    <w:rsid w:val="00A27DFF"/>
    <w:rsid w:val="00A27E00"/>
    <w:rsid w:val="00A27E0A"/>
    <w:rsid w:val="00A30133"/>
    <w:rsid w:val="00A306BC"/>
    <w:rsid w:val="00A309E6"/>
    <w:rsid w:val="00A30D30"/>
    <w:rsid w:val="00A31056"/>
    <w:rsid w:val="00A3107B"/>
    <w:rsid w:val="00A32009"/>
    <w:rsid w:val="00A3204F"/>
    <w:rsid w:val="00A32183"/>
    <w:rsid w:val="00A3234E"/>
    <w:rsid w:val="00A3273D"/>
    <w:rsid w:val="00A32888"/>
    <w:rsid w:val="00A3293C"/>
    <w:rsid w:val="00A32F94"/>
    <w:rsid w:val="00A3300E"/>
    <w:rsid w:val="00A336F1"/>
    <w:rsid w:val="00A33AB0"/>
    <w:rsid w:val="00A33FD0"/>
    <w:rsid w:val="00A3407D"/>
    <w:rsid w:val="00A3410C"/>
    <w:rsid w:val="00A34224"/>
    <w:rsid w:val="00A342EA"/>
    <w:rsid w:val="00A34425"/>
    <w:rsid w:val="00A344DD"/>
    <w:rsid w:val="00A3485B"/>
    <w:rsid w:val="00A34EDC"/>
    <w:rsid w:val="00A35093"/>
    <w:rsid w:val="00A350F0"/>
    <w:rsid w:val="00A358AE"/>
    <w:rsid w:val="00A3621E"/>
    <w:rsid w:val="00A362DD"/>
    <w:rsid w:val="00A36DD2"/>
    <w:rsid w:val="00A36E02"/>
    <w:rsid w:val="00A3703A"/>
    <w:rsid w:val="00A37789"/>
    <w:rsid w:val="00A37E18"/>
    <w:rsid w:val="00A4003D"/>
    <w:rsid w:val="00A402E6"/>
    <w:rsid w:val="00A4070B"/>
    <w:rsid w:val="00A408F6"/>
    <w:rsid w:val="00A40B44"/>
    <w:rsid w:val="00A40DE6"/>
    <w:rsid w:val="00A40EB6"/>
    <w:rsid w:val="00A40F80"/>
    <w:rsid w:val="00A41E21"/>
    <w:rsid w:val="00A421B3"/>
    <w:rsid w:val="00A42365"/>
    <w:rsid w:val="00A42464"/>
    <w:rsid w:val="00A4286A"/>
    <w:rsid w:val="00A42DAE"/>
    <w:rsid w:val="00A44394"/>
    <w:rsid w:val="00A4470C"/>
    <w:rsid w:val="00A44826"/>
    <w:rsid w:val="00A45646"/>
    <w:rsid w:val="00A45682"/>
    <w:rsid w:val="00A45C59"/>
    <w:rsid w:val="00A45F84"/>
    <w:rsid w:val="00A46227"/>
    <w:rsid w:val="00A46638"/>
    <w:rsid w:val="00A46779"/>
    <w:rsid w:val="00A473D3"/>
    <w:rsid w:val="00A473D5"/>
    <w:rsid w:val="00A474C1"/>
    <w:rsid w:val="00A47610"/>
    <w:rsid w:val="00A477AE"/>
    <w:rsid w:val="00A477EF"/>
    <w:rsid w:val="00A478BF"/>
    <w:rsid w:val="00A47972"/>
    <w:rsid w:val="00A47A27"/>
    <w:rsid w:val="00A50014"/>
    <w:rsid w:val="00A50086"/>
    <w:rsid w:val="00A50197"/>
    <w:rsid w:val="00A50AC4"/>
    <w:rsid w:val="00A512BA"/>
    <w:rsid w:val="00A5141D"/>
    <w:rsid w:val="00A514C7"/>
    <w:rsid w:val="00A51B7C"/>
    <w:rsid w:val="00A521F4"/>
    <w:rsid w:val="00A52564"/>
    <w:rsid w:val="00A528FE"/>
    <w:rsid w:val="00A52AF9"/>
    <w:rsid w:val="00A52F9E"/>
    <w:rsid w:val="00A5308B"/>
    <w:rsid w:val="00A53604"/>
    <w:rsid w:val="00A53675"/>
    <w:rsid w:val="00A53B42"/>
    <w:rsid w:val="00A53BCD"/>
    <w:rsid w:val="00A53F46"/>
    <w:rsid w:val="00A544B7"/>
    <w:rsid w:val="00A545CC"/>
    <w:rsid w:val="00A54BAF"/>
    <w:rsid w:val="00A551A2"/>
    <w:rsid w:val="00A55CFB"/>
    <w:rsid w:val="00A55E41"/>
    <w:rsid w:val="00A55F46"/>
    <w:rsid w:val="00A560D7"/>
    <w:rsid w:val="00A563C0"/>
    <w:rsid w:val="00A5641B"/>
    <w:rsid w:val="00A56546"/>
    <w:rsid w:val="00A56B2F"/>
    <w:rsid w:val="00A5707C"/>
    <w:rsid w:val="00A57169"/>
    <w:rsid w:val="00A572EF"/>
    <w:rsid w:val="00A573FA"/>
    <w:rsid w:val="00A57495"/>
    <w:rsid w:val="00A5755A"/>
    <w:rsid w:val="00A57697"/>
    <w:rsid w:val="00A576B2"/>
    <w:rsid w:val="00A603F1"/>
    <w:rsid w:val="00A605FA"/>
    <w:rsid w:val="00A60BF6"/>
    <w:rsid w:val="00A60D44"/>
    <w:rsid w:val="00A60E4A"/>
    <w:rsid w:val="00A60EC8"/>
    <w:rsid w:val="00A61664"/>
    <w:rsid w:val="00A61DBF"/>
    <w:rsid w:val="00A61F1E"/>
    <w:rsid w:val="00A61F9F"/>
    <w:rsid w:val="00A62BBF"/>
    <w:rsid w:val="00A62BD5"/>
    <w:rsid w:val="00A632BF"/>
    <w:rsid w:val="00A63A45"/>
    <w:rsid w:val="00A6432B"/>
    <w:rsid w:val="00A6452B"/>
    <w:rsid w:val="00A64582"/>
    <w:rsid w:val="00A64635"/>
    <w:rsid w:val="00A64779"/>
    <w:rsid w:val="00A64A71"/>
    <w:rsid w:val="00A64EDC"/>
    <w:rsid w:val="00A65010"/>
    <w:rsid w:val="00A6533D"/>
    <w:rsid w:val="00A65705"/>
    <w:rsid w:val="00A65A9B"/>
    <w:rsid w:val="00A667FA"/>
    <w:rsid w:val="00A66A09"/>
    <w:rsid w:val="00A66A61"/>
    <w:rsid w:val="00A66BCF"/>
    <w:rsid w:val="00A66E7E"/>
    <w:rsid w:val="00A66FC9"/>
    <w:rsid w:val="00A671E2"/>
    <w:rsid w:val="00A6726D"/>
    <w:rsid w:val="00A67A01"/>
    <w:rsid w:val="00A67C41"/>
    <w:rsid w:val="00A67E8F"/>
    <w:rsid w:val="00A67F43"/>
    <w:rsid w:val="00A703C4"/>
    <w:rsid w:val="00A7059F"/>
    <w:rsid w:val="00A70B9B"/>
    <w:rsid w:val="00A70E95"/>
    <w:rsid w:val="00A710D4"/>
    <w:rsid w:val="00A71AC4"/>
    <w:rsid w:val="00A71B95"/>
    <w:rsid w:val="00A71C10"/>
    <w:rsid w:val="00A71D84"/>
    <w:rsid w:val="00A728F3"/>
    <w:rsid w:val="00A72CCB"/>
    <w:rsid w:val="00A72E75"/>
    <w:rsid w:val="00A736BD"/>
    <w:rsid w:val="00A73A8F"/>
    <w:rsid w:val="00A73C0E"/>
    <w:rsid w:val="00A73C66"/>
    <w:rsid w:val="00A7404D"/>
    <w:rsid w:val="00A741A4"/>
    <w:rsid w:val="00A745B7"/>
    <w:rsid w:val="00A74C24"/>
    <w:rsid w:val="00A750D6"/>
    <w:rsid w:val="00A757EA"/>
    <w:rsid w:val="00A75893"/>
    <w:rsid w:val="00A75DD7"/>
    <w:rsid w:val="00A75F7E"/>
    <w:rsid w:val="00A76168"/>
    <w:rsid w:val="00A76293"/>
    <w:rsid w:val="00A763BC"/>
    <w:rsid w:val="00A77091"/>
    <w:rsid w:val="00A7746E"/>
    <w:rsid w:val="00A77B3A"/>
    <w:rsid w:val="00A8081F"/>
    <w:rsid w:val="00A80879"/>
    <w:rsid w:val="00A816AA"/>
    <w:rsid w:val="00A81B2E"/>
    <w:rsid w:val="00A81EA9"/>
    <w:rsid w:val="00A81F5E"/>
    <w:rsid w:val="00A82048"/>
    <w:rsid w:val="00A82147"/>
    <w:rsid w:val="00A82824"/>
    <w:rsid w:val="00A82910"/>
    <w:rsid w:val="00A82F0D"/>
    <w:rsid w:val="00A83445"/>
    <w:rsid w:val="00A835C0"/>
    <w:rsid w:val="00A83979"/>
    <w:rsid w:val="00A83F74"/>
    <w:rsid w:val="00A84215"/>
    <w:rsid w:val="00A8428D"/>
    <w:rsid w:val="00A842F0"/>
    <w:rsid w:val="00A843B5"/>
    <w:rsid w:val="00A84841"/>
    <w:rsid w:val="00A84E25"/>
    <w:rsid w:val="00A84F0E"/>
    <w:rsid w:val="00A8508B"/>
    <w:rsid w:val="00A853EA"/>
    <w:rsid w:val="00A85466"/>
    <w:rsid w:val="00A85EE9"/>
    <w:rsid w:val="00A860C3"/>
    <w:rsid w:val="00A86136"/>
    <w:rsid w:val="00A8616C"/>
    <w:rsid w:val="00A86571"/>
    <w:rsid w:val="00A86870"/>
    <w:rsid w:val="00A86AB0"/>
    <w:rsid w:val="00A86BA0"/>
    <w:rsid w:val="00A86EA1"/>
    <w:rsid w:val="00A86FC5"/>
    <w:rsid w:val="00A87159"/>
    <w:rsid w:val="00A874D1"/>
    <w:rsid w:val="00A8764F"/>
    <w:rsid w:val="00A87BCF"/>
    <w:rsid w:val="00A87BE3"/>
    <w:rsid w:val="00A90895"/>
    <w:rsid w:val="00A90C27"/>
    <w:rsid w:val="00A917FC"/>
    <w:rsid w:val="00A9222E"/>
    <w:rsid w:val="00A922F6"/>
    <w:rsid w:val="00A923E2"/>
    <w:rsid w:val="00A92611"/>
    <w:rsid w:val="00A9264F"/>
    <w:rsid w:val="00A928CA"/>
    <w:rsid w:val="00A94037"/>
    <w:rsid w:val="00A942BD"/>
    <w:rsid w:val="00A94980"/>
    <w:rsid w:val="00A94BD1"/>
    <w:rsid w:val="00A95172"/>
    <w:rsid w:val="00A951DB"/>
    <w:rsid w:val="00A95FE5"/>
    <w:rsid w:val="00A96311"/>
    <w:rsid w:val="00A96547"/>
    <w:rsid w:val="00A968DD"/>
    <w:rsid w:val="00A972A1"/>
    <w:rsid w:val="00A97F1B"/>
    <w:rsid w:val="00AA0003"/>
    <w:rsid w:val="00AA0066"/>
    <w:rsid w:val="00AA040F"/>
    <w:rsid w:val="00AA07E0"/>
    <w:rsid w:val="00AA0841"/>
    <w:rsid w:val="00AA0D43"/>
    <w:rsid w:val="00AA1089"/>
    <w:rsid w:val="00AA1510"/>
    <w:rsid w:val="00AA17DB"/>
    <w:rsid w:val="00AA1ACD"/>
    <w:rsid w:val="00AA1B86"/>
    <w:rsid w:val="00AA1DDB"/>
    <w:rsid w:val="00AA1F13"/>
    <w:rsid w:val="00AA2772"/>
    <w:rsid w:val="00AA2C8B"/>
    <w:rsid w:val="00AA2C9F"/>
    <w:rsid w:val="00AA2CEC"/>
    <w:rsid w:val="00AA300E"/>
    <w:rsid w:val="00AA3440"/>
    <w:rsid w:val="00AA3926"/>
    <w:rsid w:val="00AA3E38"/>
    <w:rsid w:val="00AA418B"/>
    <w:rsid w:val="00AA44D3"/>
    <w:rsid w:val="00AA4710"/>
    <w:rsid w:val="00AA48CB"/>
    <w:rsid w:val="00AA4A63"/>
    <w:rsid w:val="00AA4B78"/>
    <w:rsid w:val="00AA516F"/>
    <w:rsid w:val="00AA522F"/>
    <w:rsid w:val="00AA5541"/>
    <w:rsid w:val="00AA59D4"/>
    <w:rsid w:val="00AA5A0E"/>
    <w:rsid w:val="00AA5AE1"/>
    <w:rsid w:val="00AA5ECD"/>
    <w:rsid w:val="00AA645C"/>
    <w:rsid w:val="00AA711D"/>
    <w:rsid w:val="00AA726D"/>
    <w:rsid w:val="00AA7EAF"/>
    <w:rsid w:val="00AB006D"/>
    <w:rsid w:val="00AB030B"/>
    <w:rsid w:val="00AB060C"/>
    <w:rsid w:val="00AB08B4"/>
    <w:rsid w:val="00AB0BF6"/>
    <w:rsid w:val="00AB17D3"/>
    <w:rsid w:val="00AB1A8A"/>
    <w:rsid w:val="00AB1AD9"/>
    <w:rsid w:val="00AB1E0E"/>
    <w:rsid w:val="00AB1E35"/>
    <w:rsid w:val="00AB1E65"/>
    <w:rsid w:val="00AB2152"/>
    <w:rsid w:val="00AB217C"/>
    <w:rsid w:val="00AB23D5"/>
    <w:rsid w:val="00AB285B"/>
    <w:rsid w:val="00AB29A1"/>
    <w:rsid w:val="00AB2CFB"/>
    <w:rsid w:val="00AB31CE"/>
    <w:rsid w:val="00AB34ED"/>
    <w:rsid w:val="00AB3631"/>
    <w:rsid w:val="00AB36F1"/>
    <w:rsid w:val="00AB3A2F"/>
    <w:rsid w:val="00AB3AFA"/>
    <w:rsid w:val="00AB3BB1"/>
    <w:rsid w:val="00AB4528"/>
    <w:rsid w:val="00AB49F4"/>
    <w:rsid w:val="00AB4B09"/>
    <w:rsid w:val="00AB5144"/>
    <w:rsid w:val="00AB523A"/>
    <w:rsid w:val="00AB564C"/>
    <w:rsid w:val="00AB5655"/>
    <w:rsid w:val="00AB622D"/>
    <w:rsid w:val="00AB622E"/>
    <w:rsid w:val="00AB62B1"/>
    <w:rsid w:val="00AB630F"/>
    <w:rsid w:val="00AB66CF"/>
    <w:rsid w:val="00AB6771"/>
    <w:rsid w:val="00AB695C"/>
    <w:rsid w:val="00AB6B58"/>
    <w:rsid w:val="00AB7218"/>
    <w:rsid w:val="00AB7311"/>
    <w:rsid w:val="00AB75F3"/>
    <w:rsid w:val="00AB777F"/>
    <w:rsid w:val="00AB7A0C"/>
    <w:rsid w:val="00AB7A75"/>
    <w:rsid w:val="00AB7E6F"/>
    <w:rsid w:val="00AB7FBF"/>
    <w:rsid w:val="00AC0163"/>
    <w:rsid w:val="00AC0284"/>
    <w:rsid w:val="00AC0392"/>
    <w:rsid w:val="00AC078A"/>
    <w:rsid w:val="00AC09D8"/>
    <w:rsid w:val="00AC0AC3"/>
    <w:rsid w:val="00AC0C3F"/>
    <w:rsid w:val="00AC1783"/>
    <w:rsid w:val="00AC1A6F"/>
    <w:rsid w:val="00AC1B3B"/>
    <w:rsid w:val="00AC22AE"/>
    <w:rsid w:val="00AC2E87"/>
    <w:rsid w:val="00AC3443"/>
    <w:rsid w:val="00AC346A"/>
    <w:rsid w:val="00AC3852"/>
    <w:rsid w:val="00AC3DBD"/>
    <w:rsid w:val="00AC3FE4"/>
    <w:rsid w:val="00AC4945"/>
    <w:rsid w:val="00AC4AA8"/>
    <w:rsid w:val="00AC4D00"/>
    <w:rsid w:val="00AC4D90"/>
    <w:rsid w:val="00AC5175"/>
    <w:rsid w:val="00AC5437"/>
    <w:rsid w:val="00AC5498"/>
    <w:rsid w:val="00AC569D"/>
    <w:rsid w:val="00AC57F5"/>
    <w:rsid w:val="00AC6012"/>
    <w:rsid w:val="00AC60B3"/>
    <w:rsid w:val="00AC67DC"/>
    <w:rsid w:val="00AC6AB8"/>
    <w:rsid w:val="00AC6C9F"/>
    <w:rsid w:val="00AC6D4E"/>
    <w:rsid w:val="00AC6F20"/>
    <w:rsid w:val="00AC76D1"/>
    <w:rsid w:val="00AC7A12"/>
    <w:rsid w:val="00AD0223"/>
    <w:rsid w:val="00AD027D"/>
    <w:rsid w:val="00AD02E0"/>
    <w:rsid w:val="00AD0547"/>
    <w:rsid w:val="00AD09F1"/>
    <w:rsid w:val="00AD0B95"/>
    <w:rsid w:val="00AD0BFA"/>
    <w:rsid w:val="00AD0FD1"/>
    <w:rsid w:val="00AD1328"/>
    <w:rsid w:val="00AD1500"/>
    <w:rsid w:val="00AD21F4"/>
    <w:rsid w:val="00AD2298"/>
    <w:rsid w:val="00AD2414"/>
    <w:rsid w:val="00AD2477"/>
    <w:rsid w:val="00AD2D47"/>
    <w:rsid w:val="00AD2E08"/>
    <w:rsid w:val="00AD2FDE"/>
    <w:rsid w:val="00AD33FE"/>
    <w:rsid w:val="00AD36A4"/>
    <w:rsid w:val="00AD37A4"/>
    <w:rsid w:val="00AD387E"/>
    <w:rsid w:val="00AD3A59"/>
    <w:rsid w:val="00AD3C76"/>
    <w:rsid w:val="00AD3E87"/>
    <w:rsid w:val="00AD3FCE"/>
    <w:rsid w:val="00AD4016"/>
    <w:rsid w:val="00AD487D"/>
    <w:rsid w:val="00AD4D3C"/>
    <w:rsid w:val="00AD510E"/>
    <w:rsid w:val="00AD5116"/>
    <w:rsid w:val="00AD537A"/>
    <w:rsid w:val="00AD5A19"/>
    <w:rsid w:val="00AD5D89"/>
    <w:rsid w:val="00AD6274"/>
    <w:rsid w:val="00AD63FF"/>
    <w:rsid w:val="00AD64BD"/>
    <w:rsid w:val="00AD64DA"/>
    <w:rsid w:val="00AD6967"/>
    <w:rsid w:val="00AD69D2"/>
    <w:rsid w:val="00AD6D86"/>
    <w:rsid w:val="00AD6DA0"/>
    <w:rsid w:val="00AD6E4F"/>
    <w:rsid w:val="00AD6E89"/>
    <w:rsid w:val="00AD737C"/>
    <w:rsid w:val="00AD76A7"/>
    <w:rsid w:val="00AD774C"/>
    <w:rsid w:val="00AD79E1"/>
    <w:rsid w:val="00AD7CCE"/>
    <w:rsid w:val="00AE012A"/>
    <w:rsid w:val="00AE0270"/>
    <w:rsid w:val="00AE0609"/>
    <w:rsid w:val="00AE07A9"/>
    <w:rsid w:val="00AE0A4B"/>
    <w:rsid w:val="00AE1150"/>
    <w:rsid w:val="00AE1217"/>
    <w:rsid w:val="00AE1646"/>
    <w:rsid w:val="00AE1878"/>
    <w:rsid w:val="00AE1B1D"/>
    <w:rsid w:val="00AE1D1C"/>
    <w:rsid w:val="00AE1DDE"/>
    <w:rsid w:val="00AE1F43"/>
    <w:rsid w:val="00AE20AB"/>
    <w:rsid w:val="00AE24C7"/>
    <w:rsid w:val="00AE2BFB"/>
    <w:rsid w:val="00AE2E78"/>
    <w:rsid w:val="00AE2F01"/>
    <w:rsid w:val="00AE32F7"/>
    <w:rsid w:val="00AE36A4"/>
    <w:rsid w:val="00AE3E81"/>
    <w:rsid w:val="00AE4304"/>
    <w:rsid w:val="00AE4402"/>
    <w:rsid w:val="00AE44DB"/>
    <w:rsid w:val="00AE4CFD"/>
    <w:rsid w:val="00AE5433"/>
    <w:rsid w:val="00AE5E51"/>
    <w:rsid w:val="00AE5FEA"/>
    <w:rsid w:val="00AE61E9"/>
    <w:rsid w:val="00AE63B2"/>
    <w:rsid w:val="00AE6A35"/>
    <w:rsid w:val="00AE6D11"/>
    <w:rsid w:val="00AE6EE3"/>
    <w:rsid w:val="00AE70FB"/>
    <w:rsid w:val="00AE728C"/>
    <w:rsid w:val="00AE74D8"/>
    <w:rsid w:val="00AE74F4"/>
    <w:rsid w:val="00AE772E"/>
    <w:rsid w:val="00AE7CA9"/>
    <w:rsid w:val="00AF012F"/>
    <w:rsid w:val="00AF03E9"/>
    <w:rsid w:val="00AF0810"/>
    <w:rsid w:val="00AF0F35"/>
    <w:rsid w:val="00AF0F95"/>
    <w:rsid w:val="00AF108B"/>
    <w:rsid w:val="00AF1264"/>
    <w:rsid w:val="00AF14ED"/>
    <w:rsid w:val="00AF1678"/>
    <w:rsid w:val="00AF18C2"/>
    <w:rsid w:val="00AF18C6"/>
    <w:rsid w:val="00AF1C5E"/>
    <w:rsid w:val="00AF1E06"/>
    <w:rsid w:val="00AF1FE7"/>
    <w:rsid w:val="00AF268B"/>
    <w:rsid w:val="00AF27DC"/>
    <w:rsid w:val="00AF29F4"/>
    <w:rsid w:val="00AF2C73"/>
    <w:rsid w:val="00AF30B4"/>
    <w:rsid w:val="00AF3210"/>
    <w:rsid w:val="00AF3316"/>
    <w:rsid w:val="00AF35D9"/>
    <w:rsid w:val="00AF389D"/>
    <w:rsid w:val="00AF3B69"/>
    <w:rsid w:val="00AF3C63"/>
    <w:rsid w:val="00AF42B3"/>
    <w:rsid w:val="00AF4354"/>
    <w:rsid w:val="00AF43B3"/>
    <w:rsid w:val="00AF43CF"/>
    <w:rsid w:val="00AF46C6"/>
    <w:rsid w:val="00AF48F2"/>
    <w:rsid w:val="00AF4DE7"/>
    <w:rsid w:val="00AF4E21"/>
    <w:rsid w:val="00AF4F86"/>
    <w:rsid w:val="00AF527B"/>
    <w:rsid w:val="00AF582B"/>
    <w:rsid w:val="00AF5D2C"/>
    <w:rsid w:val="00AF5D76"/>
    <w:rsid w:val="00AF5FAB"/>
    <w:rsid w:val="00AF6187"/>
    <w:rsid w:val="00AF61A8"/>
    <w:rsid w:val="00AF6B52"/>
    <w:rsid w:val="00AF7019"/>
    <w:rsid w:val="00AF7804"/>
    <w:rsid w:val="00B00237"/>
    <w:rsid w:val="00B003D9"/>
    <w:rsid w:val="00B00460"/>
    <w:rsid w:val="00B005F1"/>
    <w:rsid w:val="00B008C2"/>
    <w:rsid w:val="00B01172"/>
    <w:rsid w:val="00B012A2"/>
    <w:rsid w:val="00B01C76"/>
    <w:rsid w:val="00B01D07"/>
    <w:rsid w:val="00B021F7"/>
    <w:rsid w:val="00B02278"/>
    <w:rsid w:val="00B02E33"/>
    <w:rsid w:val="00B02F57"/>
    <w:rsid w:val="00B0319A"/>
    <w:rsid w:val="00B032BD"/>
    <w:rsid w:val="00B03573"/>
    <w:rsid w:val="00B036DD"/>
    <w:rsid w:val="00B03836"/>
    <w:rsid w:val="00B03C1D"/>
    <w:rsid w:val="00B03D41"/>
    <w:rsid w:val="00B03EED"/>
    <w:rsid w:val="00B03F56"/>
    <w:rsid w:val="00B04137"/>
    <w:rsid w:val="00B04368"/>
    <w:rsid w:val="00B04D2B"/>
    <w:rsid w:val="00B04E73"/>
    <w:rsid w:val="00B04FC7"/>
    <w:rsid w:val="00B0505D"/>
    <w:rsid w:val="00B05707"/>
    <w:rsid w:val="00B05816"/>
    <w:rsid w:val="00B05874"/>
    <w:rsid w:val="00B05C61"/>
    <w:rsid w:val="00B05FD8"/>
    <w:rsid w:val="00B0601C"/>
    <w:rsid w:val="00B062FD"/>
    <w:rsid w:val="00B06856"/>
    <w:rsid w:val="00B06B5E"/>
    <w:rsid w:val="00B06CCB"/>
    <w:rsid w:val="00B06DE3"/>
    <w:rsid w:val="00B06EF8"/>
    <w:rsid w:val="00B070CC"/>
    <w:rsid w:val="00B077B8"/>
    <w:rsid w:val="00B078B4"/>
    <w:rsid w:val="00B07F06"/>
    <w:rsid w:val="00B10241"/>
    <w:rsid w:val="00B10428"/>
    <w:rsid w:val="00B1084F"/>
    <w:rsid w:val="00B109E8"/>
    <w:rsid w:val="00B11251"/>
    <w:rsid w:val="00B114C2"/>
    <w:rsid w:val="00B114FA"/>
    <w:rsid w:val="00B11607"/>
    <w:rsid w:val="00B1192A"/>
    <w:rsid w:val="00B11BE0"/>
    <w:rsid w:val="00B12156"/>
    <w:rsid w:val="00B1268A"/>
    <w:rsid w:val="00B128E5"/>
    <w:rsid w:val="00B12A3E"/>
    <w:rsid w:val="00B12AF3"/>
    <w:rsid w:val="00B12B3A"/>
    <w:rsid w:val="00B12BA5"/>
    <w:rsid w:val="00B135CD"/>
    <w:rsid w:val="00B1368E"/>
    <w:rsid w:val="00B1385C"/>
    <w:rsid w:val="00B13C11"/>
    <w:rsid w:val="00B13DEF"/>
    <w:rsid w:val="00B14025"/>
    <w:rsid w:val="00B140EB"/>
    <w:rsid w:val="00B143E5"/>
    <w:rsid w:val="00B149D5"/>
    <w:rsid w:val="00B14D2E"/>
    <w:rsid w:val="00B14E8D"/>
    <w:rsid w:val="00B15197"/>
    <w:rsid w:val="00B1525D"/>
    <w:rsid w:val="00B155D3"/>
    <w:rsid w:val="00B15776"/>
    <w:rsid w:val="00B15BDC"/>
    <w:rsid w:val="00B16086"/>
    <w:rsid w:val="00B16366"/>
    <w:rsid w:val="00B16541"/>
    <w:rsid w:val="00B16574"/>
    <w:rsid w:val="00B16C22"/>
    <w:rsid w:val="00B16C50"/>
    <w:rsid w:val="00B16CC3"/>
    <w:rsid w:val="00B16E3E"/>
    <w:rsid w:val="00B17095"/>
    <w:rsid w:val="00B170C3"/>
    <w:rsid w:val="00B171A2"/>
    <w:rsid w:val="00B171C1"/>
    <w:rsid w:val="00B1723C"/>
    <w:rsid w:val="00B17A93"/>
    <w:rsid w:val="00B17CD0"/>
    <w:rsid w:val="00B17E61"/>
    <w:rsid w:val="00B20125"/>
    <w:rsid w:val="00B20C0D"/>
    <w:rsid w:val="00B20E27"/>
    <w:rsid w:val="00B20F78"/>
    <w:rsid w:val="00B2113E"/>
    <w:rsid w:val="00B212EA"/>
    <w:rsid w:val="00B213A6"/>
    <w:rsid w:val="00B21707"/>
    <w:rsid w:val="00B219C4"/>
    <w:rsid w:val="00B21BAA"/>
    <w:rsid w:val="00B21DC4"/>
    <w:rsid w:val="00B22024"/>
    <w:rsid w:val="00B222EA"/>
    <w:rsid w:val="00B22481"/>
    <w:rsid w:val="00B22AB4"/>
    <w:rsid w:val="00B22B2E"/>
    <w:rsid w:val="00B22BD3"/>
    <w:rsid w:val="00B22E7B"/>
    <w:rsid w:val="00B22EB1"/>
    <w:rsid w:val="00B22F11"/>
    <w:rsid w:val="00B22FEC"/>
    <w:rsid w:val="00B234D5"/>
    <w:rsid w:val="00B2351E"/>
    <w:rsid w:val="00B236AF"/>
    <w:rsid w:val="00B239F0"/>
    <w:rsid w:val="00B24446"/>
    <w:rsid w:val="00B24942"/>
    <w:rsid w:val="00B249EC"/>
    <w:rsid w:val="00B24E38"/>
    <w:rsid w:val="00B24F51"/>
    <w:rsid w:val="00B25D00"/>
    <w:rsid w:val="00B2601C"/>
    <w:rsid w:val="00B2654A"/>
    <w:rsid w:val="00B267B3"/>
    <w:rsid w:val="00B26989"/>
    <w:rsid w:val="00B269C6"/>
    <w:rsid w:val="00B26BAE"/>
    <w:rsid w:val="00B26DED"/>
    <w:rsid w:val="00B27407"/>
    <w:rsid w:val="00B27412"/>
    <w:rsid w:val="00B2750B"/>
    <w:rsid w:val="00B27534"/>
    <w:rsid w:val="00B279F1"/>
    <w:rsid w:val="00B27C9F"/>
    <w:rsid w:val="00B27D44"/>
    <w:rsid w:val="00B27F34"/>
    <w:rsid w:val="00B27FC3"/>
    <w:rsid w:val="00B30069"/>
    <w:rsid w:val="00B301BF"/>
    <w:rsid w:val="00B302BA"/>
    <w:rsid w:val="00B3042B"/>
    <w:rsid w:val="00B30B89"/>
    <w:rsid w:val="00B30C26"/>
    <w:rsid w:val="00B30FEA"/>
    <w:rsid w:val="00B3129E"/>
    <w:rsid w:val="00B31A6F"/>
    <w:rsid w:val="00B31C15"/>
    <w:rsid w:val="00B320E2"/>
    <w:rsid w:val="00B321C1"/>
    <w:rsid w:val="00B325F8"/>
    <w:rsid w:val="00B32888"/>
    <w:rsid w:val="00B32A6A"/>
    <w:rsid w:val="00B33095"/>
    <w:rsid w:val="00B3315A"/>
    <w:rsid w:val="00B3321A"/>
    <w:rsid w:val="00B332B7"/>
    <w:rsid w:val="00B33698"/>
    <w:rsid w:val="00B34A24"/>
    <w:rsid w:val="00B34E8E"/>
    <w:rsid w:val="00B34EE8"/>
    <w:rsid w:val="00B35016"/>
    <w:rsid w:val="00B350D4"/>
    <w:rsid w:val="00B35C41"/>
    <w:rsid w:val="00B35C78"/>
    <w:rsid w:val="00B36309"/>
    <w:rsid w:val="00B36A1E"/>
    <w:rsid w:val="00B37256"/>
    <w:rsid w:val="00B3776E"/>
    <w:rsid w:val="00B378B5"/>
    <w:rsid w:val="00B37DED"/>
    <w:rsid w:val="00B400D9"/>
    <w:rsid w:val="00B405AD"/>
    <w:rsid w:val="00B406D7"/>
    <w:rsid w:val="00B40BBF"/>
    <w:rsid w:val="00B40C48"/>
    <w:rsid w:val="00B4149C"/>
    <w:rsid w:val="00B414A4"/>
    <w:rsid w:val="00B417FE"/>
    <w:rsid w:val="00B41BDB"/>
    <w:rsid w:val="00B41FC4"/>
    <w:rsid w:val="00B4222A"/>
    <w:rsid w:val="00B42353"/>
    <w:rsid w:val="00B4254F"/>
    <w:rsid w:val="00B4287B"/>
    <w:rsid w:val="00B428A6"/>
    <w:rsid w:val="00B42F41"/>
    <w:rsid w:val="00B4319B"/>
    <w:rsid w:val="00B4333E"/>
    <w:rsid w:val="00B434B4"/>
    <w:rsid w:val="00B4395F"/>
    <w:rsid w:val="00B43B8D"/>
    <w:rsid w:val="00B43F87"/>
    <w:rsid w:val="00B44397"/>
    <w:rsid w:val="00B44543"/>
    <w:rsid w:val="00B4481E"/>
    <w:rsid w:val="00B44C27"/>
    <w:rsid w:val="00B44EA6"/>
    <w:rsid w:val="00B450A7"/>
    <w:rsid w:val="00B4512A"/>
    <w:rsid w:val="00B45168"/>
    <w:rsid w:val="00B4524E"/>
    <w:rsid w:val="00B45DCA"/>
    <w:rsid w:val="00B4622F"/>
    <w:rsid w:val="00B463FC"/>
    <w:rsid w:val="00B4649E"/>
    <w:rsid w:val="00B4675D"/>
    <w:rsid w:val="00B469BE"/>
    <w:rsid w:val="00B46B90"/>
    <w:rsid w:val="00B46EB9"/>
    <w:rsid w:val="00B47636"/>
    <w:rsid w:val="00B4763C"/>
    <w:rsid w:val="00B4765E"/>
    <w:rsid w:val="00B476A4"/>
    <w:rsid w:val="00B478BB"/>
    <w:rsid w:val="00B47943"/>
    <w:rsid w:val="00B479C7"/>
    <w:rsid w:val="00B47A8F"/>
    <w:rsid w:val="00B47FB3"/>
    <w:rsid w:val="00B50426"/>
    <w:rsid w:val="00B50A2C"/>
    <w:rsid w:val="00B50F7F"/>
    <w:rsid w:val="00B51159"/>
    <w:rsid w:val="00B51260"/>
    <w:rsid w:val="00B514D2"/>
    <w:rsid w:val="00B514D6"/>
    <w:rsid w:val="00B51879"/>
    <w:rsid w:val="00B51A86"/>
    <w:rsid w:val="00B5296B"/>
    <w:rsid w:val="00B529E7"/>
    <w:rsid w:val="00B52CC4"/>
    <w:rsid w:val="00B53634"/>
    <w:rsid w:val="00B53818"/>
    <w:rsid w:val="00B5396F"/>
    <w:rsid w:val="00B53ABA"/>
    <w:rsid w:val="00B53C7F"/>
    <w:rsid w:val="00B53C92"/>
    <w:rsid w:val="00B53E54"/>
    <w:rsid w:val="00B549C4"/>
    <w:rsid w:val="00B54BD9"/>
    <w:rsid w:val="00B54F9D"/>
    <w:rsid w:val="00B55034"/>
    <w:rsid w:val="00B555E0"/>
    <w:rsid w:val="00B55B29"/>
    <w:rsid w:val="00B55DC7"/>
    <w:rsid w:val="00B55E4F"/>
    <w:rsid w:val="00B560DC"/>
    <w:rsid w:val="00B560F8"/>
    <w:rsid w:val="00B56187"/>
    <w:rsid w:val="00B5622B"/>
    <w:rsid w:val="00B56517"/>
    <w:rsid w:val="00B56633"/>
    <w:rsid w:val="00B56760"/>
    <w:rsid w:val="00B56829"/>
    <w:rsid w:val="00B5690D"/>
    <w:rsid w:val="00B57024"/>
    <w:rsid w:val="00B57DB4"/>
    <w:rsid w:val="00B57E9C"/>
    <w:rsid w:val="00B6021F"/>
    <w:rsid w:val="00B60BD4"/>
    <w:rsid w:val="00B60C6A"/>
    <w:rsid w:val="00B60DC6"/>
    <w:rsid w:val="00B60EE3"/>
    <w:rsid w:val="00B610ED"/>
    <w:rsid w:val="00B61128"/>
    <w:rsid w:val="00B61B20"/>
    <w:rsid w:val="00B61CC9"/>
    <w:rsid w:val="00B61D06"/>
    <w:rsid w:val="00B61DFB"/>
    <w:rsid w:val="00B62276"/>
    <w:rsid w:val="00B626F1"/>
    <w:rsid w:val="00B62FD6"/>
    <w:rsid w:val="00B6316B"/>
    <w:rsid w:val="00B63760"/>
    <w:rsid w:val="00B639ED"/>
    <w:rsid w:val="00B63C6E"/>
    <w:rsid w:val="00B64449"/>
    <w:rsid w:val="00B647D2"/>
    <w:rsid w:val="00B6485D"/>
    <w:rsid w:val="00B64CCC"/>
    <w:rsid w:val="00B6550D"/>
    <w:rsid w:val="00B66166"/>
    <w:rsid w:val="00B664BB"/>
    <w:rsid w:val="00B66665"/>
    <w:rsid w:val="00B66898"/>
    <w:rsid w:val="00B66D23"/>
    <w:rsid w:val="00B66E36"/>
    <w:rsid w:val="00B66F28"/>
    <w:rsid w:val="00B6738C"/>
    <w:rsid w:val="00B67454"/>
    <w:rsid w:val="00B6760D"/>
    <w:rsid w:val="00B679C7"/>
    <w:rsid w:val="00B67A86"/>
    <w:rsid w:val="00B67AB3"/>
    <w:rsid w:val="00B67D51"/>
    <w:rsid w:val="00B70041"/>
    <w:rsid w:val="00B70495"/>
    <w:rsid w:val="00B70514"/>
    <w:rsid w:val="00B70822"/>
    <w:rsid w:val="00B718C3"/>
    <w:rsid w:val="00B71A78"/>
    <w:rsid w:val="00B71B6A"/>
    <w:rsid w:val="00B71DA2"/>
    <w:rsid w:val="00B71EE6"/>
    <w:rsid w:val="00B7203E"/>
    <w:rsid w:val="00B7241F"/>
    <w:rsid w:val="00B724E5"/>
    <w:rsid w:val="00B7287F"/>
    <w:rsid w:val="00B728B2"/>
    <w:rsid w:val="00B731E8"/>
    <w:rsid w:val="00B7342A"/>
    <w:rsid w:val="00B734E3"/>
    <w:rsid w:val="00B73854"/>
    <w:rsid w:val="00B73C62"/>
    <w:rsid w:val="00B73C84"/>
    <w:rsid w:val="00B73EAC"/>
    <w:rsid w:val="00B740F3"/>
    <w:rsid w:val="00B74158"/>
    <w:rsid w:val="00B7419B"/>
    <w:rsid w:val="00B74465"/>
    <w:rsid w:val="00B745B2"/>
    <w:rsid w:val="00B74A30"/>
    <w:rsid w:val="00B75605"/>
    <w:rsid w:val="00B75B06"/>
    <w:rsid w:val="00B762BC"/>
    <w:rsid w:val="00B762E7"/>
    <w:rsid w:val="00B76371"/>
    <w:rsid w:val="00B76572"/>
    <w:rsid w:val="00B76681"/>
    <w:rsid w:val="00B769C5"/>
    <w:rsid w:val="00B76FEA"/>
    <w:rsid w:val="00B76FEB"/>
    <w:rsid w:val="00B77060"/>
    <w:rsid w:val="00B7742F"/>
    <w:rsid w:val="00B774CD"/>
    <w:rsid w:val="00B779C3"/>
    <w:rsid w:val="00B77AD2"/>
    <w:rsid w:val="00B77BF9"/>
    <w:rsid w:val="00B77FC7"/>
    <w:rsid w:val="00B8006C"/>
    <w:rsid w:val="00B80191"/>
    <w:rsid w:val="00B801A1"/>
    <w:rsid w:val="00B802BF"/>
    <w:rsid w:val="00B8145E"/>
    <w:rsid w:val="00B8162F"/>
    <w:rsid w:val="00B81634"/>
    <w:rsid w:val="00B81A0C"/>
    <w:rsid w:val="00B81F44"/>
    <w:rsid w:val="00B81FF3"/>
    <w:rsid w:val="00B8248E"/>
    <w:rsid w:val="00B824CE"/>
    <w:rsid w:val="00B82721"/>
    <w:rsid w:val="00B82773"/>
    <w:rsid w:val="00B83136"/>
    <w:rsid w:val="00B831A7"/>
    <w:rsid w:val="00B8333F"/>
    <w:rsid w:val="00B839A0"/>
    <w:rsid w:val="00B83C2E"/>
    <w:rsid w:val="00B84243"/>
    <w:rsid w:val="00B843C3"/>
    <w:rsid w:val="00B84B61"/>
    <w:rsid w:val="00B8505F"/>
    <w:rsid w:val="00B8506E"/>
    <w:rsid w:val="00B85983"/>
    <w:rsid w:val="00B85D3D"/>
    <w:rsid w:val="00B85DDF"/>
    <w:rsid w:val="00B861D9"/>
    <w:rsid w:val="00B862BA"/>
    <w:rsid w:val="00B86400"/>
    <w:rsid w:val="00B86420"/>
    <w:rsid w:val="00B86A2E"/>
    <w:rsid w:val="00B8712F"/>
    <w:rsid w:val="00B8790F"/>
    <w:rsid w:val="00B901DA"/>
    <w:rsid w:val="00B901F8"/>
    <w:rsid w:val="00B90BA9"/>
    <w:rsid w:val="00B9105A"/>
    <w:rsid w:val="00B91547"/>
    <w:rsid w:val="00B91603"/>
    <w:rsid w:val="00B91605"/>
    <w:rsid w:val="00B91637"/>
    <w:rsid w:val="00B91790"/>
    <w:rsid w:val="00B9179B"/>
    <w:rsid w:val="00B9264C"/>
    <w:rsid w:val="00B92780"/>
    <w:rsid w:val="00B9299F"/>
    <w:rsid w:val="00B929F0"/>
    <w:rsid w:val="00B92BDF"/>
    <w:rsid w:val="00B930AF"/>
    <w:rsid w:val="00B9369C"/>
    <w:rsid w:val="00B93772"/>
    <w:rsid w:val="00B93A36"/>
    <w:rsid w:val="00B93B01"/>
    <w:rsid w:val="00B9419C"/>
    <w:rsid w:val="00B94424"/>
    <w:rsid w:val="00B948C6"/>
    <w:rsid w:val="00B94B30"/>
    <w:rsid w:val="00B94E4F"/>
    <w:rsid w:val="00B953A4"/>
    <w:rsid w:val="00B95762"/>
    <w:rsid w:val="00B95969"/>
    <w:rsid w:val="00B95CC6"/>
    <w:rsid w:val="00B95F9D"/>
    <w:rsid w:val="00B962B5"/>
    <w:rsid w:val="00B96594"/>
    <w:rsid w:val="00B965BE"/>
    <w:rsid w:val="00B96BCD"/>
    <w:rsid w:val="00B96E26"/>
    <w:rsid w:val="00B97097"/>
    <w:rsid w:val="00B97731"/>
    <w:rsid w:val="00B97778"/>
    <w:rsid w:val="00B97F95"/>
    <w:rsid w:val="00BA01E1"/>
    <w:rsid w:val="00BA09B0"/>
    <w:rsid w:val="00BA0B4D"/>
    <w:rsid w:val="00BA1385"/>
    <w:rsid w:val="00BA14B0"/>
    <w:rsid w:val="00BA15B6"/>
    <w:rsid w:val="00BA1976"/>
    <w:rsid w:val="00BA1E88"/>
    <w:rsid w:val="00BA207D"/>
    <w:rsid w:val="00BA2902"/>
    <w:rsid w:val="00BA31AA"/>
    <w:rsid w:val="00BA42D7"/>
    <w:rsid w:val="00BA4368"/>
    <w:rsid w:val="00BA4637"/>
    <w:rsid w:val="00BA49A7"/>
    <w:rsid w:val="00BA4B21"/>
    <w:rsid w:val="00BA508E"/>
    <w:rsid w:val="00BA5DCD"/>
    <w:rsid w:val="00BA68D3"/>
    <w:rsid w:val="00BA6D37"/>
    <w:rsid w:val="00BA74A2"/>
    <w:rsid w:val="00BA7AEE"/>
    <w:rsid w:val="00BA7BBF"/>
    <w:rsid w:val="00BA7D65"/>
    <w:rsid w:val="00BA7EFA"/>
    <w:rsid w:val="00BB00B3"/>
    <w:rsid w:val="00BB07CA"/>
    <w:rsid w:val="00BB09EC"/>
    <w:rsid w:val="00BB0DAB"/>
    <w:rsid w:val="00BB1115"/>
    <w:rsid w:val="00BB11FB"/>
    <w:rsid w:val="00BB13ED"/>
    <w:rsid w:val="00BB1813"/>
    <w:rsid w:val="00BB25B7"/>
    <w:rsid w:val="00BB2EA2"/>
    <w:rsid w:val="00BB3073"/>
    <w:rsid w:val="00BB3456"/>
    <w:rsid w:val="00BB3546"/>
    <w:rsid w:val="00BB3AD7"/>
    <w:rsid w:val="00BB3B8E"/>
    <w:rsid w:val="00BB3EA4"/>
    <w:rsid w:val="00BB41CF"/>
    <w:rsid w:val="00BB44F8"/>
    <w:rsid w:val="00BB45F0"/>
    <w:rsid w:val="00BB4B2D"/>
    <w:rsid w:val="00BB4D84"/>
    <w:rsid w:val="00BB50CC"/>
    <w:rsid w:val="00BB56EB"/>
    <w:rsid w:val="00BB5E09"/>
    <w:rsid w:val="00BB6091"/>
    <w:rsid w:val="00BB66E6"/>
    <w:rsid w:val="00BB6B4F"/>
    <w:rsid w:val="00BB6B75"/>
    <w:rsid w:val="00BB7210"/>
    <w:rsid w:val="00BB73C0"/>
    <w:rsid w:val="00BB74DD"/>
    <w:rsid w:val="00BB7886"/>
    <w:rsid w:val="00BB78EC"/>
    <w:rsid w:val="00BB7C7E"/>
    <w:rsid w:val="00BB7DB6"/>
    <w:rsid w:val="00BC0287"/>
    <w:rsid w:val="00BC0B5C"/>
    <w:rsid w:val="00BC0EB4"/>
    <w:rsid w:val="00BC125F"/>
    <w:rsid w:val="00BC1274"/>
    <w:rsid w:val="00BC1918"/>
    <w:rsid w:val="00BC1950"/>
    <w:rsid w:val="00BC1B97"/>
    <w:rsid w:val="00BC1DD9"/>
    <w:rsid w:val="00BC28B7"/>
    <w:rsid w:val="00BC2D25"/>
    <w:rsid w:val="00BC31B2"/>
    <w:rsid w:val="00BC322C"/>
    <w:rsid w:val="00BC33B2"/>
    <w:rsid w:val="00BC348D"/>
    <w:rsid w:val="00BC3920"/>
    <w:rsid w:val="00BC3B7C"/>
    <w:rsid w:val="00BC4165"/>
    <w:rsid w:val="00BC4B45"/>
    <w:rsid w:val="00BC53A0"/>
    <w:rsid w:val="00BC5516"/>
    <w:rsid w:val="00BC7B57"/>
    <w:rsid w:val="00BC7D20"/>
    <w:rsid w:val="00BC7D60"/>
    <w:rsid w:val="00BD0254"/>
    <w:rsid w:val="00BD05AA"/>
    <w:rsid w:val="00BD074F"/>
    <w:rsid w:val="00BD09FC"/>
    <w:rsid w:val="00BD0E01"/>
    <w:rsid w:val="00BD0EA9"/>
    <w:rsid w:val="00BD1060"/>
    <w:rsid w:val="00BD12EB"/>
    <w:rsid w:val="00BD12EF"/>
    <w:rsid w:val="00BD1866"/>
    <w:rsid w:val="00BD1E07"/>
    <w:rsid w:val="00BD200E"/>
    <w:rsid w:val="00BD2674"/>
    <w:rsid w:val="00BD2C1C"/>
    <w:rsid w:val="00BD2E66"/>
    <w:rsid w:val="00BD2E6D"/>
    <w:rsid w:val="00BD2F3C"/>
    <w:rsid w:val="00BD2FAD"/>
    <w:rsid w:val="00BD311A"/>
    <w:rsid w:val="00BD3728"/>
    <w:rsid w:val="00BD3B05"/>
    <w:rsid w:val="00BD3BD1"/>
    <w:rsid w:val="00BD3D9E"/>
    <w:rsid w:val="00BD3F80"/>
    <w:rsid w:val="00BD4072"/>
    <w:rsid w:val="00BD40A2"/>
    <w:rsid w:val="00BD4669"/>
    <w:rsid w:val="00BD47DB"/>
    <w:rsid w:val="00BD4900"/>
    <w:rsid w:val="00BD4925"/>
    <w:rsid w:val="00BD4BC8"/>
    <w:rsid w:val="00BD4F87"/>
    <w:rsid w:val="00BD5478"/>
    <w:rsid w:val="00BD591D"/>
    <w:rsid w:val="00BD5DD2"/>
    <w:rsid w:val="00BD5EC3"/>
    <w:rsid w:val="00BD5F58"/>
    <w:rsid w:val="00BD602A"/>
    <w:rsid w:val="00BD6881"/>
    <w:rsid w:val="00BD6942"/>
    <w:rsid w:val="00BD6C10"/>
    <w:rsid w:val="00BD6C42"/>
    <w:rsid w:val="00BD705A"/>
    <w:rsid w:val="00BD7F78"/>
    <w:rsid w:val="00BE069D"/>
    <w:rsid w:val="00BE0802"/>
    <w:rsid w:val="00BE0811"/>
    <w:rsid w:val="00BE097E"/>
    <w:rsid w:val="00BE115F"/>
    <w:rsid w:val="00BE194B"/>
    <w:rsid w:val="00BE19F8"/>
    <w:rsid w:val="00BE1B05"/>
    <w:rsid w:val="00BE1D73"/>
    <w:rsid w:val="00BE1DE8"/>
    <w:rsid w:val="00BE2101"/>
    <w:rsid w:val="00BE2209"/>
    <w:rsid w:val="00BE2368"/>
    <w:rsid w:val="00BE23DE"/>
    <w:rsid w:val="00BE24D7"/>
    <w:rsid w:val="00BE2F15"/>
    <w:rsid w:val="00BE32EA"/>
    <w:rsid w:val="00BE349B"/>
    <w:rsid w:val="00BE39C0"/>
    <w:rsid w:val="00BE3A06"/>
    <w:rsid w:val="00BE3D71"/>
    <w:rsid w:val="00BE4734"/>
    <w:rsid w:val="00BE49E5"/>
    <w:rsid w:val="00BE4B55"/>
    <w:rsid w:val="00BE5218"/>
    <w:rsid w:val="00BE5219"/>
    <w:rsid w:val="00BE54C9"/>
    <w:rsid w:val="00BE576D"/>
    <w:rsid w:val="00BE64CA"/>
    <w:rsid w:val="00BE66DA"/>
    <w:rsid w:val="00BE6837"/>
    <w:rsid w:val="00BE689C"/>
    <w:rsid w:val="00BE692B"/>
    <w:rsid w:val="00BE6BE4"/>
    <w:rsid w:val="00BE7110"/>
    <w:rsid w:val="00BE759A"/>
    <w:rsid w:val="00BE77AC"/>
    <w:rsid w:val="00BE7A33"/>
    <w:rsid w:val="00BE7DF4"/>
    <w:rsid w:val="00BE7E3C"/>
    <w:rsid w:val="00BE7F1F"/>
    <w:rsid w:val="00BF046E"/>
    <w:rsid w:val="00BF0903"/>
    <w:rsid w:val="00BF0E42"/>
    <w:rsid w:val="00BF11BA"/>
    <w:rsid w:val="00BF1315"/>
    <w:rsid w:val="00BF1AC5"/>
    <w:rsid w:val="00BF2411"/>
    <w:rsid w:val="00BF297E"/>
    <w:rsid w:val="00BF2CCC"/>
    <w:rsid w:val="00BF2F5D"/>
    <w:rsid w:val="00BF32B4"/>
    <w:rsid w:val="00BF35A5"/>
    <w:rsid w:val="00BF3E12"/>
    <w:rsid w:val="00BF41AF"/>
    <w:rsid w:val="00BF41F3"/>
    <w:rsid w:val="00BF41F4"/>
    <w:rsid w:val="00BF48C7"/>
    <w:rsid w:val="00BF48FC"/>
    <w:rsid w:val="00BF4F0F"/>
    <w:rsid w:val="00BF5A67"/>
    <w:rsid w:val="00BF60BE"/>
    <w:rsid w:val="00BF6330"/>
    <w:rsid w:val="00BF6547"/>
    <w:rsid w:val="00BF69D3"/>
    <w:rsid w:val="00BF6DB0"/>
    <w:rsid w:val="00BF6E72"/>
    <w:rsid w:val="00BF71AD"/>
    <w:rsid w:val="00BF7B4B"/>
    <w:rsid w:val="00BF7C8D"/>
    <w:rsid w:val="00BF7E8C"/>
    <w:rsid w:val="00C00207"/>
    <w:rsid w:val="00C0023E"/>
    <w:rsid w:val="00C00243"/>
    <w:rsid w:val="00C00322"/>
    <w:rsid w:val="00C004C1"/>
    <w:rsid w:val="00C006B2"/>
    <w:rsid w:val="00C00843"/>
    <w:rsid w:val="00C00F52"/>
    <w:rsid w:val="00C010D9"/>
    <w:rsid w:val="00C011AE"/>
    <w:rsid w:val="00C01265"/>
    <w:rsid w:val="00C0136F"/>
    <w:rsid w:val="00C01D39"/>
    <w:rsid w:val="00C01E16"/>
    <w:rsid w:val="00C0204C"/>
    <w:rsid w:val="00C0239D"/>
    <w:rsid w:val="00C023BF"/>
    <w:rsid w:val="00C02824"/>
    <w:rsid w:val="00C02B72"/>
    <w:rsid w:val="00C02F0F"/>
    <w:rsid w:val="00C02FB6"/>
    <w:rsid w:val="00C030E4"/>
    <w:rsid w:val="00C03131"/>
    <w:rsid w:val="00C032E8"/>
    <w:rsid w:val="00C03453"/>
    <w:rsid w:val="00C03529"/>
    <w:rsid w:val="00C03BFB"/>
    <w:rsid w:val="00C040A1"/>
    <w:rsid w:val="00C0437A"/>
    <w:rsid w:val="00C04796"/>
    <w:rsid w:val="00C04EA7"/>
    <w:rsid w:val="00C04F05"/>
    <w:rsid w:val="00C050E2"/>
    <w:rsid w:val="00C05121"/>
    <w:rsid w:val="00C052A8"/>
    <w:rsid w:val="00C057A6"/>
    <w:rsid w:val="00C0598D"/>
    <w:rsid w:val="00C05B4B"/>
    <w:rsid w:val="00C061D0"/>
    <w:rsid w:val="00C061F8"/>
    <w:rsid w:val="00C06583"/>
    <w:rsid w:val="00C067C9"/>
    <w:rsid w:val="00C06E71"/>
    <w:rsid w:val="00C07425"/>
    <w:rsid w:val="00C077EE"/>
    <w:rsid w:val="00C078AA"/>
    <w:rsid w:val="00C07BBA"/>
    <w:rsid w:val="00C10097"/>
    <w:rsid w:val="00C1021B"/>
    <w:rsid w:val="00C1082B"/>
    <w:rsid w:val="00C109CF"/>
    <w:rsid w:val="00C10A86"/>
    <w:rsid w:val="00C1164A"/>
    <w:rsid w:val="00C11798"/>
    <w:rsid w:val="00C11A68"/>
    <w:rsid w:val="00C11CBC"/>
    <w:rsid w:val="00C11D61"/>
    <w:rsid w:val="00C11D62"/>
    <w:rsid w:val="00C12025"/>
    <w:rsid w:val="00C1258F"/>
    <w:rsid w:val="00C12D47"/>
    <w:rsid w:val="00C12EE4"/>
    <w:rsid w:val="00C133CB"/>
    <w:rsid w:val="00C140E7"/>
    <w:rsid w:val="00C143BB"/>
    <w:rsid w:val="00C14476"/>
    <w:rsid w:val="00C14641"/>
    <w:rsid w:val="00C146AE"/>
    <w:rsid w:val="00C1482F"/>
    <w:rsid w:val="00C1526B"/>
    <w:rsid w:val="00C15413"/>
    <w:rsid w:val="00C156B7"/>
    <w:rsid w:val="00C15CA6"/>
    <w:rsid w:val="00C15DEB"/>
    <w:rsid w:val="00C15E00"/>
    <w:rsid w:val="00C15EE3"/>
    <w:rsid w:val="00C15EF7"/>
    <w:rsid w:val="00C15F32"/>
    <w:rsid w:val="00C15F48"/>
    <w:rsid w:val="00C15F5B"/>
    <w:rsid w:val="00C160B3"/>
    <w:rsid w:val="00C162CC"/>
    <w:rsid w:val="00C16306"/>
    <w:rsid w:val="00C1640A"/>
    <w:rsid w:val="00C16773"/>
    <w:rsid w:val="00C168EA"/>
    <w:rsid w:val="00C16ADD"/>
    <w:rsid w:val="00C16BE4"/>
    <w:rsid w:val="00C16C53"/>
    <w:rsid w:val="00C1712E"/>
    <w:rsid w:val="00C171D3"/>
    <w:rsid w:val="00C177D9"/>
    <w:rsid w:val="00C17A93"/>
    <w:rsid w:val="00C17F36"/>
    <w:rsid w:val="00C20170"/>
    <w:rsid w:val="00C20808"/>
    <w:rsid w:val="00C2095B"/>
    <w:rsid w:val="00C2113C"/>
    <w:rsid w:val="00C21586"/>
    <w:rsid w:val="00C21739"/>
    <w:rsid w:val="00C21B70"/>
    <w:rsid w:val="00C22330"/>
    <w:rsid w:val="00C224C4"/>
    <w:rsid w:val="00C22825"/>
    <w:rsid w:val="00C22A29"/>
    <w:rsid w:val="00C22B0B"/>
    <w:rsid w:val="00C22D8D"/>
    <w:rsid w:val="00C22F31"/>
    <w:rsid w:val="00C22FC0"/>
    <w:rsid w:val="00C232FF"/>
    <w:rsid w:val="00C238B3"/>
    <w:rsid w:val="00C2391E"/>
    <w:rsid w:val="00C23A23"/>
    <w:rsid w:val="00C23B7D"/>
    <w:rsid w:val="00C23DDB"/>
    <w:rsid w:val="00C24376"/>
    <w:rsid w:val="00C24C8A"/>
    <w:rsid w:val="00C250FE"/>
    <w:rsid w:val="00C2535B"/>
    <w:rsid w:val="00C257C6"/>
    <w:rsid w:val="00C25861"/>
    <w:rsid w:val="00C259CA"/>
    <w:rsid w:val="00C25A69"/>
    <w:rsid w:val="00C25B94"/>
    <w:rsid w:val="00C25E4B"/>
    <w:rsid w:val="00C25FFA"/>
    <w:rsid w:val="00C26226"/>
    <w:rsid w:val="00C26377"/>
    <w:rsid w:val="00C264E6"/>
    <w:rsid w:val="00C2663A"/>
    <w:rsid w:val="00C266F6"/>
    <w:rsid w:val="00C26A1F"/>
    <w:rsid w:val="00C26E0F"/>
    <w:rsid w:val="00C273F6"/>
    <w:rsid w:val="00C27C4B"/>
    <w:rsid w:val="00C306FD"/>
    <w:rsid w:val="00C30881"/>
    <w:rsid w:val="00C31495"/>
    <w:rsid w:val="00C318A1"/>
    <w:rsid w:val="00C3193E"/>
    <w:rsid w:val="00C31955"/>
    <w:rsid w:val="00C320A9"/>
    <w:rsid w:val="00C32378"/>
    <w:rsid w:val="00C324D4"/>
    <w:rsid w:val="00C325CC"/>
    <w:rsid w:val="00C32E91"/>
    <w:rsid w:val="00C33738"/>
    <w:rsid w:val="00C338D7"/>
    <w:rsid w:val="00C33D4A"/>
    <w:rsid w:val="00C34206"/>
    <w:rsid w:val="00C34360"/>
    <w:rsid w:val="00C34798"/>
    <w:rsid w:val="00C34A7A"/>
    <w:rsid w:val="00C352AB"/>
    <w:rsid w:val="00C360DD"/>
    <w:rsid w:val="00C36145"/>
    <w:rsid w:val="00C362E3"/>
    <w:rsid w:val="00C3632D"/>
    <w:rsid w:val="00C36458"/>
    <w:rsid w:val="00C367D3"/>
    <w:rsid w:val="00C367FD"/>
    <w:rsid w:val="00C36898"/>
    <w:rsid w:val="00C36BDF"/>
    <w:rsid w:val="00C36EA4"/>
    <w:rsid w:val="00C3708F"/>
    <w:rsid w:val="00C37481"/>
    <w:rsid w:val="00C37D23"/>
    <w:rsid w:val="00C37DE4"/>
    <w:rsid w:val="00C37E05"/>
    <w:rsid w:val="00C40470"/>
    <w:rsid w:val="00C409C2"/>
    <w:rsid w:val="00C409F3"/>
    <w:rsid w:val="00C40CCB"/>
    <w:rsid w:val="00C40CE0"/>
    <w:rsid w:val="00C40EDF"/>
    <w:rsid w:val="00C41916"/>
    <w:rsid w:val="00C41A3B"/>
    <w:rsid w:val="00C41D89"/>
    <w:rsid w:val="00C42181"/>
    <w:rsid w:val="00C42194"/>
    <w:rsid w:val="00C421FC"/>
    <w:rsid w:val="00C42398"/>
    <w:rsid w:val="00C424F8"/>
    <w:rsid w:val="00C425D9"/>
    <w:rsid w:val="00C42765"/>
    <w:rsid w:val="00C429FE"/>
    <w:rsid w:val="00C42B7A"/>
    <w:rsid w:val="00C42C1C"/>
    <w:rsid w:val="00C42D6E"/>
    <w:rsid w:val="00C42E8E"/>
    <w:rsid w:val="00C43041"/>
    <w:rsid w:val="00C43070"/>
    <w:rsid w:val="00C4328B"/>
    <w:rsid w:val="00C4334A"/>
    <w:rsid w:val="00C437DC"/>
    <w:rsid w:val="00C4381E"/>
    <w:rsid w:val="00C4385D"/>
    <w:rsid w:val="00C43A41"/>
    <w:rsid w:val="00C43FDB"/>
    <w:rsid w:val="00C444CC"/>
    <w:rsid w:val="00C4471C"/>
    <w:rsid w:val="00C44EA0"/>
    <w:rsid w:val="00C44F0B"/>
    <w:rsid w:val="00C44FF9"/>
    <w:rsid w:val="00C453D9"/>
    <w:rsid w:val="00C45739"/>
    <w:rsid w:val="00C45A66"/>
    <w:rsid w:val="00C45C50"/>
    <w:rsid w:val="00C45D99"/>
    <w:rsid w:val="00C4609A"/>
    <w:rsid w:val="00C46117"/>
    <w:rsid w:val="00C4611F"/>
    <w:rsid w:val="00C462C3"/>
    <w:rsid w:val="00C462E4"/>
    <w:rsid w:val="00C46839"/>
    <w:rsid w:val="00C46AE7"/>
    <w:rsid w:val="00C470ED"/>
    <w:rsid w:val="00C47105"/>
    <w:rsid w:val="00C47366"/>
    <w:rsid w:val="00C4779B"/>
    <w:rsid w:val="00C47FFC"/>
    <w:rsid w:val="00C50335"/>
    <w:rsid w:val="00C5035E"/>
    <w:rsid w:val="00C50E15"/>
    <w:rsid w:val="00C50F8B"/>
    <w:rsid w:val="00C51202"/>
    <w:rsid w:val="00C517A4"/>
    <w:rsid w:val="00C51D93"/>
    <w:rsid w:val="00C51E12"/>
    <w:rsid w:val="00C52171"/>
    <w:rsid w:val="00C522C1"/>
    <w:rsid w:val="00C5245C"/>
    <w:rsid w:val="00C52BF4"/>
    <w:rsid w:val="00C532AB"/>
    <w:rsid w:val="00C534A0"/>
    <w:rsid w:val="00C53A20"/>
    <w:rsid w:val="00C53AE8"/>
    <w:rsid w:val="00C53BD0"/>
    <w:rsid w:val="00C53D30"/>
    <w:rsid w:val="00C53E14"/>
    <w:rsid w:val="00C543B6"/>
    <w:rsid w:val="00C546AD"/>
    <w:rsid w:val="00C5520D"/>
    <w:rsid w:val="00C55A7D"/>
    <w:rsid w:val="00C55AB3"/>
    <w:rsid w:val="00C55CE1"/>
    <w:rsid w:val="00C56794"/>
    <w:rsid w:val="00C568A3"/>
    <w:rsid w:val="00C56A63"/>
    <w:rsid w:val="00C56AC4"/>
    <w:rsid w:val="00C56C70"/>
    <w:rsid w:val="00C5705F"/>
    <w:rsid w:val="00C57351"/>
    <w:rsid w:val="00C5750D"/>
    <w:rsid w:val="00C57850"/>
    <w:rsid w:val="00C578D0"/>
    <w:rsid w:val="00C57AC0"/>
    <w:rsid w:val="00C6064A"/>
    <w:rsid w:val="00C608CE"/>
    <w:rsid w:val="00C60DDE"/>
    <w:rsid w:val="00C6109D"/>
    <w:rsid w:val="00C61614"/>
    <w:rsid w:val="00C61691"/>
    <w:rsid w:val="00C616E2"/>
    <w:rsid w:val="00C61840"/>
    <w:rsid w:val="00C61B49"/>
    <w:rsid w:val="00C62113"/>
    <w:rsid w:val="00C62134"/>
    <w:rsid w:val="00C6230D"/>
    <w:rsid w:val="00C6267A"/>
    <w:rsid w:val="00C627C5"/>
    <w:rsid w:val="00C6299D"/>
    <w:rsid w:val="00C62B07"/>
    <w:rsid w:val="00C62C14"/>
    <w:rsid w:val="00C63DD7"/>
    <w:rsid w:val="00C63DF3"/>
    <w:rsid w:val="00C64854"/>
    <w:rsid w:val="00C64B7C"/>
    <w:rsid w:val="00C65293"/>
    <w:rsid w:val="00C653A6"/>
    <w:rsid w:val="00C65C7E"/>
    <w:rsid w:val="00C65CA1"/>
    <w:rsid w:val="00C65F14"/>
    <w:rsid w:val="00C66885"/>
    <w:rsid w:val="00C66A44"/>
    <w:rsid w:val="00C66AC3"/>
    <w:rsid w:val="00C66CB6"/>
    <w:rsid w:val="00C66EED"/>
    <w:rsid w:val="00C670A2"/>
    <w:rsid w:val="00C676B5"/>
    <w:rsid w:val="00C67880"/>
    <w:rsid w:val="00C70064"/>
    <w:rsid w:val="00C703BF"/>
    <w:rsid w:val="00C70792"/>
    <w:rsid w:val="00C70C73"/>
    <w:rsid w:val="00C70D8D"/>
    <w:rsid w:val="00C70E1C"/>
    <w:rsid w:val="00C70EB6"/>
    <w:rsid w:val="00C713A0"/>
    <w:rsid w:val="00C71645"/>
    <w:rsid w:val="00C7167A"/>
    <w:rsid w:val="00C7178F"/>
    <w:rsid w:val="00C71FDC"/>
    <w:rsid w:val="00C72AE2"/>
    <w:rsid w:val="00C72C1E"/>
    <w:rsid w:val="00C732E6"/>
    <w:rsid w:val="00C73583"/>
    <w:rsid w:val="00C736F0"/>
    <w:rsid w:val="00C737B9"/>
    <w:rsid w:val="00C73A9B"/>
    <w:rsid w:val="00C744C8"/>
    <w:rsid w:val="00C74B7E"/>
    <w:rsid w:val="00C74C7D"/>
    <w:rsid w:val="00C74FE4"/>
    <w:rsid w:val="00C7551E"/>
    <w:rsid w:val="00C7561F"/>
    <w:rsid w:val="00C7569E"/>
    <w:rsid w:val="00C7569F"/>
    <w:rsid w:val="00C7573C"/>
    <w:rsid w:val="00C7579F"/>
    <w:rsid w:val="00C75B30"/>
    <w:rsid w:val="00C75C69"/>
    <w:rsid w:val="00C75E13"/>
    <w:rsid w:val="00C761DA"/>
    <w:rsid w:val="00C765CA"/>
    <w:rsid w:val="00C76AEE"/>
    <w:rsid w:val="00C76D78"/>
    <w:rsid w:val="00C7715B"/>
    <w:rsid w:val="00C775D6"/>
    <w:rsid w:val="00C776FB"/>
    <w:rsid w:val="00C7779D"/>
    <w:rsid w:val="00C77967"/>
    <w:rsid w:val="00C77A73"/>
    <w:rsid w:val="00C77E70"/>
    <w:rsid w:val="00C80590"/>
    <w:rsid w:val="00C807C0"/>
    <w:rsid w:val="00C80A11"/>
    <w:rsid w:val="00C80AF0"/>
    <w:rsid w:val="00C81035"/>
    <w:rsid w:val="00C81443"/>
    <w:rsid w:val="00C815BF"/>
    <w:rsid w:val="00C81905"/>
    <w:rsid w:val="00C81E12"/>
    <w:rsid w:val="00C82040"/>
    <w:rsid w:val="00C8205C"/>
    <w:rsid w:val="00C824DD"/>
    <w:rsid w:val="00C826CF"/>
    <w:rsid w:val="00C82B6A"/>
    <w:rsid w:val="00C83062"/>
    <w:rsid w:val="00C8349D"/>
    <w:rsid w:val="00C83948"/>
    <w:rsid w:val="00C839AC"/>
    <w:rsid w:val="00C83A9E"/>
    <w:rsid w:val="00C83C5B"/>
    <w:rsid w:val="00C83F29"/>
    <w:rsid w:val="00C840EB"/>
    <w:rsid w:val="00C84351"/>
    <w:rsid w:val="00C84465"/>
    <w:rsid w:val="00C849AD"/>
    <w:rsid w:val="00C84BB4"/>
    <w:rsid w:val="00C84ED4"/>
    <w:rsid w:val="00C85425"/>
    <w:rsid w:val="00C8548C"/>
    <w:rsid w:val="00C857C6"/>
    <w:rsid w:val="00C857EA"/>
    <w:rsid w:val="00C85B01"/>
    <w:rsid w:val="00C85FDA"/>
    <w:rsid w:val="00C86ED5"/>
    <w:rsid w:val="00C87250"/>
    <w:rsid w:val="00C87280"/>
    <w:rsid w:val="00C87314"/>
    <w:rsid w:val="00C87E93"/>
    <w:rsid w:val="00C90247"/>
    <w:rsid w:val="00C90274"/>
    <w:rsid w:val="00C903D3"/>
    <w:rsid w:val="00C90C56"/>
    <w:rsid w:val="00C90D2B"/>
    <w:rsid w:val="00C90EDF"/>
    <w:rsid w:val="00C90F6F"/>
    <w:rsid w:val="00C91125"/>
    <w:rsid w:val="00C91151"/>
    <w:rsid w:val="00C91824"/>
    <w:rsid w:val="00C91ECC"/>
    <w:rsid w:val="00C92068"/>
    <w:rsid w:val="00C924F2"/>
    <w:rsid w:val="00C927B3"/>
    <w:rsid w:val="00C928C6"/>
    <w:rsid w:val="00C92A44"/>
    <w:rsid w:val="00C92D61"/>
    <w:rsid w:val="00C93439"/>
    <w:rsid w:val="00C937BC"/>
    <w:rsid w:val="00C9398A"/>
    <w:rsid w:val="00C939BF"/>
    <w:rsid w:val="00C93BA6"/>
    <w:rsid w:val="00C93E1F"/>
    <w:rsid w:val="00C93E38"/>
    <w:rsid w:val="00C93FAF"/>
    <w:rsid w:val="00C94047"/>
    <w:rsid w:val="00C94185"/>
    <w:rsid w:val="00C94254"/>
    <w:rsid w:val="00C944D5"/>
    <w:rsid w:val="00C945BA"/>
    <w:rsid w:val="00C9477D"/>
    <w:rsid w:val="00C95417"/>
    <w:rsid w:val="00C95422"/>
    <w:rsid w:val="00C954B8"/>
    <w:rsid w:val="00C95543"/>
    <w:rsid w:val="00C9569B"/>
    <w:rsid w:val="00C95796"/>
    <w:rsid w:val="00C95834"/>
    <w:rsid w:val="00C95CC0"/>
    <w:rsid w:val="00C96177"/>
    <w:rsid w:val="00C965E1"/>
    <w:rsid w:val="00C967AF"/>
    <w:rsid w:val="00C96A4D"/>
    <w:rsid w:val="00C9700F"/>
    <w:rsid w:val="00C971A2"/>
    <w:rsid w:val="00C97227"/>
    <w:rsid w:val="00C977AF"/>
    <w:rsid w:val="00CA00ED"/>
    <w:rsid w:val="00CA05A0"/>
    <w:rsid w:val="00CA05BD"/>
    <w:rsid w:val="00CA07B0"/>
    <w:rsid w:val="00CA0890"/>
    <w:rsid w:val="00CA08EB"/>
    <w:rsid w:val="00CA09C2"/>
    <w:rsid w:val="00CA0FF0"/>
    <w:rsid w:val="00CA14A3"/>
    <w:rsid w:val="00CA1544"/>
    <w:rsid w:val="00CA1829"/>
    <w:rsid w:val="00CA195A"/>
    <w:rsid w:val="00CA1B26"/>
    <w:rsid w:val="00CA1C0A"/>
    <w:rsid w:val="00CA1E11"/>
    <w:rsid w:val="00CA1E65"/>
    <w:rsid w:val="00CA219D"/>
    <w:rsid w:val="00CA25B7"/>
    <w:rsid w:val="00CA2B30"/>
    <w:rsid w:val="00CA30B6"/>
    <w:rsid w:val="00CA31BC"/>
    <w:rsid w:val="00CA3A0A"/>
    <w:rsid w:val="00CA3D3C"/>
    <w:rsid w:val="00CA3DF9"/>
    <w:rsid w:val="00CA3F33"/>
    <w:rsid w:val="00CA49EF"/>
    <w:rsid w:val="00CA4A2B"/>
    <w:rsid w:val="00CA4BA9"/>
    <w:rsid w:val="00CA4CF7"/>
    <w:rsid w:val="00CA4CFB"/>
    <w:rsid w:val="00CA51EB"/>
    <w:rsid w:val="00CA5227"/>
    <w:rsid w:val="00CA576C"/>
    <w:rsid w:val="00CA5A61"/>
    <w:rsid w:val="00CA5DF9"/>
    <w:rsid w:val="00CA6172"/>
    <w:rsid w:val="00CA61A0"/>
    <w:rsid w:val="00CA63C3"/>
    <w:rsid w:val="00CA6415"/>
    <w:rsid w:val="00CA64E1"/>
    <w:rsid w:val="00CA690E"/>
    <w:rsid w:val="00CA6B09"/>
    <w:rsid w:val="00CA6DAD"/>
    <w:rsid w:val="00CA6F79"/>
    <w:rsid w:val="00CA77E4"/>
    <w:rsid w:val="00CA7EC7"/>
    <w:rsid w:val="00CB02C1"/>
    <w:rsid w:val="00CB0EDA"/>
    <w:rsid w:val="00CB0EFF"/>
    <w:rsid w:val="00CB1449"/>
    <w:rsid w:val="00CB1BCE"/>
    <w:rsid w:val="00CB2395"/>
    <w:rsid w:val="00CB26AF"/>
    <w:rsid w:val="00CB26FD"/>
    <w:rsid w:val="00CB2A8A"/>
    <w:rsid w:val="00CB2D29"/>
    <w:rsid w:val="00CB2D65"/>
    <w:rsid w:val="00CB2F4B"/>
    <w:rsid w:val="00CB3724"/>
    <w:rsid w:val="00CB3822"/>
    <w:rsid w:val="00CB43AA"/>
    <w:rsid w:val="00CB4A58"/>
    <w:rsid w:val="00CB543F"/>
    <w:rsid w:val="00CB5533"/>
    <w:rsid w:val="00CB5548"/>
    <w:rsid w:val="00CB5ABD"/>
    <w:rsid w:val="00CB5B40"/>
    <w:rsid w:val="00CB5D5D"/>
    <w:rsid w:val="00CB5EDB"/>
    <w:rsid w:val="00CB64C9"/>
    <w:rsid w:val="00CB64CD"/>
    <w:rsid w:val="00CB6836"/>
    <w:rsid w:val="00CB6A63"/>
    <w:rsid w:val="00CB6E4F"/>
    <w:rsid w:val="00CB6E93"/>
    <w:rsid w:val="00CB7515"/>
    <w:rsid w:val="00CB7746"/>
    <w:rsid w:val="00CB77E0"/>
    <w:rsid w:val="00CB79DC"/>
    <w:rsid w:val="00CB7BCE"/>
    <w:rsid w:val="00CB7BD9"/>
    <w:rsid w:val="00CC0340"/>
    <w:rsid w:val="00CC0393"/>
    <w:rsid w:val="00CC0816"/>
    <w:rsid w:val="00CC0B8C"/>
    <w:rsid w:val="00CC0D7C"/>
    <w:rsid w:val="00CC0F75"/>
    <w:rsid w:val="00CC1198"/>
    <w:rsid w:val="00CC13FD"/>
    <w:rsid w:val="00CC1616"/>
    <w:rsid w:val="00CC19AD"/>
    <w:rsid w:val="00CC1BB6"/>
    <w:rsid w:val="00CC1E38"/>
    <w:rsid w:val="00CC1E96"/>
    <w:rsid w:val="00CC1ED8"/>
    <w:rsid w:val="00CC1FF2"/>
    <w:rsid w:val="00CC2173"/>
    <w:rsid w:val="00CC2839"/>
    <w:rsid w:val="00CC2BDC"/>
    <w:rsid w:val="00CC2D20"/>
    <w:rsid w:val="00CC3256"/>
    <w:rsid w:val="00CC3497"/>
    <w:rsid w:val="00CC371D"/>
    <w:rsid w:val="00CC3C0C"/>
    <w:rsid w:val="00CC3E56"/>
    <w:rsid w:val="00CC411C"/>
    <w:rsid w:val="00CC423D"/>
    <w:rsid w:val="00CC4290"/>
    <w:rsid w:val="00CC439B"/>
    <w:rsid w:val="00CC4932"/>
    <w:rsid w:val="00CC4E9F"/>
    <w:rsid w:val="00CC4F9A"/>
    <w:rsid w:val="00CC50D7"/>
    <w:rsid w:val="00CC51D7"/>
    <w:rsid w:val="00CC56ED"/>
    <w:rsid w:val="00CC5A34"/>
    <w:rsid w:val="00CC5B74"/>
    <w:rsid w:val="00CC60FA"/>
    <w:rsid w:val="00CC6716"/>
    <w:rsid w:val="00CC6811"/>
    <w:rsid w:val="00CC6880"/>
    <w:rsid w:val="00CC6A71"/>
    <w:rsid w:val="00CC6FA7"/>
    <w:rsid w:val="00CC7832"/>
    <w:rsid w:val="00CC7A82"/>
    <w:rsid w:val="00CC7F9A"/>
    <w:rsid w:val="00CD0A3C"/>
    <w:rsid w:val="00CD0BF7"/>
    <w:rsid w:val="00CD11E5"/>
    <w:rsid w:val="00CD12BC"/>
    <w:rsid w:val="00CD1724"/>
    <w:rsid w:val="00CD189A"/>
    <w:rsid w:val="00CD1D46"/>
    <w:rsid w:val="00CD1F4C"/>
    <w:rsid w:val="00CD24A6"/>
    <w:rsid w:val="00CD3858"/>
    <w:rsid w:val="00CD3C53"/>
    <w:rsid w:val="00CD4619"/>
    <w:rsid w:val="00CD4824"/>
    <w:rsid w:val="00CD5486"/>
    <w:rsid w:val="00CD5AE4"/>
    <w:rsid w:val="00CD6744"/>
    <w:rsid w:val="00CD6764"/>
    <w:rsid w:val="00CD6A4B"/>
    <w:rsid w:val="00CD6A92"/>
    <w:rsid w:val="00CD6BF3"/>
    <w:rsid w:val="00CD6F57"/>
    <w:rsid w:val="00CD6FFA"/>
    <w:rsid w:val="00CD708C"/>
    <w:rsid w:val="00CD754E"/>
    <w:rsid w:val="00CD756C"/>
    <w:rsid w:val="00CD7E89"/>
    <w:rsid w:val="00CD7EA0"/>
    <w:rsid w:val="00CD7F87"/>
    <w:rsid w:val="00CE0097"/>
    <w:rsid w:val="00CE0A06"/>
    <w:rsid w:val="00CE0A42"/>
    <w:rsid w:val="00CE0C4A"/>
    <w:rsid w:val="00CE0D60"/>
    <w:rsid w:val="00CE0DDD"/>
    <w:rsid w:val="00CE15D6"/>
    <w:rsid w:val="00CE17DF"/>
    <w:rsid w:val="00CE1C20"/>
    <w:rsid w:val="00CE1D32"/>
    <w:rsid w:val="00CE2216"/>
    <w:rsid w:val="00CE2580"/>
    <w:rsid w:val="00CE2738"/>
    <w:rsid w:val="00CE2C87"/>
    <w:rsid w:val="00CE35A3"/>
    <w:rsid w:val="00CE3656"/>
    <w:rsid w:val="00CE3DDC"/>
    <w:rsid w:val="00CE404E"/>
    <w:rsid w:val="00CE4137"/>
    <w:rsid w:val="00CE41C7"/>
    <w:rsid w:val="00CE4327"/>
    <w:rsid w:val="00CE4669"/>
    <w:rsid w:val="00CE4833"/>
    <w:rsid w:val="00CE48D2"/>
    <w:rsid w:val="00CE4EAE"/>
    <w:rsid w:val="00CE534E"/>
    <w:rsid w:val="00CE56AD"/>
    <w:rsid w:val="00CE56FD"/>
    <w:rsid w:val="00CE5811"/>
    <w:rsid w:val="00CE66B8"/>
    <w:rsid w:val="00CE6CC6"/>
    <w:rsid w:val="00CE7079"/>
    <w:rsid w:val="00CE715B"/>
    <w:rsid w:val="00CE7204"/>
    <w:rsid w:val="00CE73CA"/>
    <w:rsid w:val="00CE73EE"/>
    <w:rsid w:val="00CE7A5B"/>
    <w:rsid w:val="00CE7C97"/>
    <w:rsid w:val="00CE7DD6"/>
    <w:rsid w:val="00CE7E82"/>
    <w:rsid w:val="00CF002B"/>
    <w:rsid w:val="00CF046A"/>
    <w:rsid w:val="00CF10E6"/>
    <w:rsid w:val="00CF18C4"/>
    <w:rsid w:val="00CF1A38"/>
    <w:rsid w:val="00CF1E17"/>
    <w:rsid w:val="00CF219B"/>
    <w:rsid w:val="00CF2266"/>
    <w:rsid w:val="00CF284A"/>
    <w:rsid w:val="00CF2A71"/>
    <w:rsid w:val="00CF2F3B"/>
    <w:rsid w:val="00CF3B5C"/>
    <w:rsid w:val="00CF4536"/>
    <w:rsid w:val="00CF4ABD"/>
    <w:rsid w:val="00CF4B31"/>
    <w:rsid w:val="00CF4E5E"/>
    <w:rsid w:val="00CF4F19"/>
    <w:rsid w:val="00CF4F2B"/>
    <w:rsid w:val="00CF513F"/>
    <w:rsid w:val="00CF562C"/>
    <w:rsid w:val="00CF584A"/>
    <w:rsid w:val="00CF6580"/>
    <w:rsid w:val="00CF6738"/>
    <w:rsid w:val="00CF687A"/>
    <w:rsid w:val="00CF6A15"/>
    <w:rsid w:val="00CF7109"/>
    <w:rsid w:val="00CF75E4"/>
    <w:rsid w:val="00CF78F4"/>
    <w:rsid w:val="00CF7C1F"/>
    <w:rsid w:val="00CF7FD8"/>
    <w:rsid w:val="00D005C5"/>
    <w:rsid w:val="00D006BF"/>
    <w:rsid w:val="00D0098A"/>
    <w:rsid w:val="00D00A73"/>
    <w:rsid w:val="00D00DAD"/>
    <w:rsid w:val="00D00DBA"/>
    <w:rsid w:val="00D01189"/>
    <w:rsid w:val="00D01792"/>
    <w:rsid w:val="00D01D60"/>
    <w:rsid w:val="00D02252"/>
    <w:rsid w:val="00D02574"/>
    <w:rsid w:val="00D028BA"/>
    <w:rsid w:val="00D02920"/>
    <w:rsid w:val="00D0295F"/>
    <w:rsid w:val="00D02A2B"/>
    <w:rsid w:val="00D03160"/>
    <w:rsid w:val="00D031A3"/>
    <w:rsid w:val="00D0331D"/>
    <w:rsid w:val="00D03391"/>
    <w:rsid w:val="00D0359B"/>
    <w:rsid w:val="00D03D93"/>
    <w:rsid w:val="00D03DC9"/>
    <w:rsid w:val="00D0483A"/>
    <w:rsid w:val="00D04949"/>
    <w:rsid w:val="00D04AC7"/>
    <w:rsid w:val="00D04C46"/>
    <w:rsid w:val="00D05193"/>
    <w:rsid w:val="00D0519D"/>
    <w:rsid w:val="00D0535F"/>
    <w:rsid w:val="00D05673"/>
    <w:rsid w:val="00D05A44"/>
    <w:rsid w:val="00D05EFC"/>
    <w:rsid w:val="00D06452"/>
    <w:rsid w:val="00D0650D"/>
    <w:rsid w:val="00D0699C"/>
    <w:rsid w:val="00D06BAE"/>
    <w:rsid w:val="00D06F4C"/>
    <w:rsid w:val="00D076BB"/>
    <w:rsid w:val="00D079B6"/>
    <w:rsid w:val="00D10296"/>
    <w:rsid w:val="00D10B7F"/>
    <w:rsid w:val="00D1128B"/>
    <w:rsid w:val="00D113B8"/>
    <w:rsid w:val="00D113C8"/>
    <w:rsid w:val="00D11793"/>
    <w:rsid w:val="00D11876"/>
    <w:rsid w:val="00D11AFC"/>
    <w:rsid w:val="00D11C81"/>
    <w:rsid w:val="00D11DFF"/>
    <w:rsid w:val="00D11F4B"/>
    <w:rsid w:val="00D11F65"/>
    <w:rsid w:val="00D1251C"/>
    <w:rsid w:val="00D1278A"/>
    <w:rsid w:val="00D128C2"/>
    <w:rsid w:val="00D12A4E"/>
    <w:rsid w:val="00D12DC7"/>
    <w:rsid w:val="00D131A8"/>
    <w:rsid w:val="00D1388A"/>
    <w:rsid w:val="00D13A73"/>
    <w:rsid w:val="00D13D6B"/>
    <w:rsid w:val="00D13E3C"/>
    <w:rsid w:val="00D141B4"/>
    <w:rsid w:val="00D1420C"/>
    <w:rsid w:val="00D143D9"/>
    <w:rsid w:val="00D1451D"/>
    <w:rsid w:val="00D1497A"/>
    <w:rsid w:val="00D14BAF"/>
    <w:rsid w:val="00D14BFD"/>
    <w:rsid w:val="00D14D7A"/>
    <w:rsid w:val="00D1529C"/>
    <w:rsid w:val="00D1564B"/>
    <w:rsid w:val="00D158B0"/>
    <w:rsid w:val="00D15C3B"/>
    <w:rsid w:val="00D16328"/>
    <w:rsid w:val="00D16737"/>
    <w:rsid w:val="00D16915"/>
    <w:rsid w:val="00D16D5E"/>
    <w:rsid w:val="00D16ED4"/>
    <w:rsid w:val="00D1719E"/>
    <w:rsid w:val="00D171FF"/>
    <w:rsid w:val="00D1778A"/>
    <w:rsid w:val="00D17994"/>
    <w:rsid w:val="00D17A91"/>
    <w:rsid w:val="00D17BB4"/>
    <w:rsid w:val="00D17D29"/>
    <w:rsid w:val="00D2007F"/>
    <w:rsid w:val="00D2072C"/>
    <w:rsid w:val="00D20A85"/>
    <w:rsid w:val="00D2113C"/>
    <w:rsid w:val="00D211B6"/>
    <w:rsid w:val="00D213EB"/>
    <w:rsid w:val="00D21BC5"/>
    <w:rsid w:val="00D21D37"/>
    <w:rsid w:val="00D220F9"/>
    <w:rsid w:val="00D22997"/>
    <w:rsid w:val="00D23408"/>
    <w:rsid w:val="00D234E9"/>
    <w:rsid w:val="00D235D9"/>
    <w:rsid w:val="00D2391F"/>
    <w:rsid w:val="00D23940"/>
    <w:rsid w:val="00D23C0C"/>
    <w:rsid w:val="00D23D89"/>
    <w:rsid w:val="00D2482A"/>
    <w:rsid w:val="00D24E2E"/>
    <w:rsid w:val="00D24F57"/>
    <w:rsid w:val="00D25223"/>
    <w:rsid w:val="00D25587"/>
    <w:rsid w:val="00D25BFD"/>
    <w:rsid w:val="00D25D87"/>
    <w:rsid w:val="00D26182"/>
    <w:rsid w:val="00D2630C"/>
    <w:rsid w:val="00D26549"/>
    <w:rsid w:val="00D2668D"/>
    <w:rsid w:val="00D2704D"/>
    <w:rsid w:val="00D2756C"/>
    <w:rsid w:val="00D276C3"/>
    <w:rsid w:val="00D27C62"/>
    <w:rsid w:val="00D30008"/>
    <w:rsid w:val="00D302D2"/>
    <w:rsid w:val="00D30BE0"/>
    <w:rsid w:val="00D30CAC"/>
    <w:rsid w:val="00D312D7"/>
    <w:rsid w:val="00D3144A"/>
    <w:rsid w:val="00D31618"/>
    <w:rsid w:val="00D3184F"/>
    <w:rsid w:val="00D318A9"/>
    <w:rsid w:val="00D31E1C"/>
    <w:rsid w:val="00D3255B"/>
    <w:rsid w:val="00D32570"/>
    <w:rsid w:val="00D32813"/>
    <w:rsid w:val="00D32AC8"/>
    <w:rsid w:val="00D32B77"/>
    <w:rsid w:val="00D32C26"/>
    <w:rsid w:val="00D32DB8"/>
    <w:rsid w:val="00D33146"/>
    <w:rsid w:val="00D3331A"/>
    <w:rsid w:val="00D33507"/>
    <w:rsid w:val="00D3360D"/>
    <w:rsid w:val="00D33734"/>
    <w:rsid w:val="00D33DBE"/>
    <w:rsid w:val="00D34200"/>
    <w:rsid w:val="00D34283"/>
    <w:rsid w:val="00D349A5"/>
    <w:rsid w:val="00D34A7B"/>
    <w:rsid w:val="00D3534B"/>
    <w:rsid w:val="00D354CF"/>
    <w:rsid w:val="00D3576C"/>
    <w:rsid w:val="00D357ED"/>
    <w:rsid w:val="00D35E0A"/>
    <w:rsid w:val="00D36589"/>
    <w:rsid w:val="00D367F1"/>
    <w:rsid w:val="00D36BB0"/>
    <w:rsid w:val="00D36CAF"/>
    <w:rsid w:val="00D36D86"/>
    <w:rsid w:val="00D36EEC"/>
    <w:rsid w:val="00D37763"/>
    <w:rsid w:val="00D379D6"/>
    <w:rsid w:val="00D37CAB"/>
    <w:rsid w:val="00D37DC6"/>
    <w:rsid w:val="00D4044F"/>
    <w:rsid w:val="00D40C7F"/>
    <w:rsid w:val="00D40D32"/>
    <w:rsid w:val="00D4112C"/>
    <w:rsid w:val="00D418B1"/>
    <w:rsid w:val="00D41FA2"/>
    <w:rsid w:val="00D42734"/>
    <w:rsid w:val="00D42D91"/>
    <w:rsid w:val="00D42DBD"/>
    <w:rsid w:val="00D42E68"/>
    <w:rsid w:val="00D430AF"/>
    <w:rsid w:val="00D43281"/>
    <w:rsid w:val="00D4341D"/>
    <w:rsid w:val="00D4346E"/>
    <w:rsid w:val="00D43503"/>
    <w:rsid w:val="00D4382E"/>
    <w:rsid w:val="00D43D08"/>
    <w:rsid w:val="00D440F3"/>
    <w:rsid w:val="00D44221"/>
    <w:rsid w:val="00D442FB"/>
    <w:rsid w:val="00D44356"/>
    <w:rsid w:val="00D445CB"/>
    <w:rsid w:val="00D447E3"/>
    <w:rsid w:val="00D44A83"/>
    <w:rsid w:val="00D44F5B"/>
    <w:rsid w:val="00D450FE"/>
    <w:rsid w:val="00D452C1"/>
    <w:rsid w:val="00D452D6"/>
    <w:rsid w:val="00D45697"/>
    <w:rsid w:val="00D45ED6"/>
    <w:rsid w:val="00D45F5F"/>
    <w:rsid w:val="00D464D7"/>
    <w:rsid w:val="00D464F5"/>
    <w:rsid w:val="00D47392"/>
    <w:rsid w:val="00D4764C"/>
    <w:rsid w:val="00D4783E"/>
    <w:rsid w:val="00D478B8"/>
    <w:rsid w:val="00D47C9F"/>
    <w:rsid w:val="00D47EF2"/>
    <w:rsid w:val="00D502D6"/>
    <w:rsid w:val="00D50356"/>
    <w:rsid w:val="00D5038C"/>
    <w:rsid w:val="00D504AB"/>
    <w:rsid w:val="00D50AD9"/>
    <w:rsid w:val="00D50C06"/>
    <w:rsid w:val="00D50F24"/>
    <w:rsid w:val="00D51051"/>
    <w:rsid w:val="00D51240"/>
    <w:rsid w:val="00D51542"/>
    <w:rsid w:val="00D51AB5"/>
    <w:rsid w:val="00D51DBF"/>
    <w:rsid w:val="00D51F59"/>
    <w:rsid w:val="00D521E4"/>
    <w:rsid w:val="00D52418"/>
    <w:rsid w:val="00D5268A"/>
    <w:rsid w:val="00D52C6B"/>
    <w:rsid w:val="00D53383"/>
    <w:rsid w:val="00D535EC"/>
    <w:rsid w:val="00D53602"/>
    <w:rsid w:val="00D53D3B"/>
    <w:rsid w:val="00D54064"/>
    <w:rsid w:val="00D54134"/>
    <w:rsid w:val="00D542AA"/>
    <w:rsid w:val="00D543BB"/>
    <w:rsid w:val="00D5468F"/>
    <w:rsid w:val="00D547F0"/>
    <w:rsid w:val="00D553ED"/>
    <w:rsid w:val="00D55625"/>
    <w:rsid w:val="00D55701"/>
    <w:rsid w:val="00D560E6"/>
    <w:rsid w:val="00D564B6"/>
    <w:rsid w:val="00D56794"/>
    <w:rsid w:val="00D56BB6"/>
    <w:rsid w:val="00D57186"/>
    <w:rsid w:val="00D571D3"/>
    <w:rsid w:val="00D57361"/>
    <w:rsid w:val="00D5741E"/>
    <w:rsid w:val="00D57597"/>
    <w:rsid w:val="00D57635"/>
    <w:rsid w:val="00D5779B"/>
    <w:rsid w:val="00D57B9C"/>
    <w:rsid w:val="00D57CEC"/>
    <w:rsid w:val="00D57EA7"/>
    <w:rsid w:val="00D57F48"/>
    <w:rsid w:val="00D60348"/>
    <w:rsid w:val="00D607B4"/>
    <w:rsid w:val="00D60D8D"/>
    <w:rsid w:val="00D60F66"/>
    <w:rsid w:val="00D61162"/>
    <w:rsid w:val="00D61201"/>
    <w:rsid w:val="00D612BA"/>
    <w:rsid w:val="00D61522"/>
    <w:rsid w:val="00D61776"/>
    <w:rsid w:val="00D617A3"/>
    <w:rsid w:val="00D61A7B"/>
    <w:rsid w:val="00D61C6E"/>
    <w:rsid w:val="00D61E34"/>
    <w:rsid w:val="00D622B5"/>
    <w:rsid w:val="00D62920"/>
    <w:rsid w:val="00D62927"/>
    <w:rsid w:val="00D6293B"/>
    <w:rsid w:val="00D629EA"/>
    <w:rsid w:val="00D62A63"/>
    <w:rsid w:val="00D62AD9"/>
    <w:rsid w:val="00D63055"/>
    <w:rsid w:val="00D63B4F"/>
    <w:rsid w:val="00D63BBB"/>
    <w:rsid w:val="00D63F06"/>
    <w:rsid w:val="00D64321"/>
    <w:rsid w:val="00D64355"/>
    <w:rsid w:val="00D6543B"/>
    <w:rsid w:val="00D65447"/>
    <w:rsid w:val="00D65FDF"/>
    <w:rsid w:val="00D66B1F"/>
    <w:rsid w:val="00D66C99"/>
    <w:rsid w:val="00D66D4A"/>
    <w:rsid w:val="00D66E60"/>
    <w:rsid w:val="00D66EDF"/>
    <w:rsid w:val="00D66EE0"/>
    <w:rsid w:val="00D6718B"/>
    <w:rsid w:val="00D6777C"/>
    <w:rsid w:val="00D67906"/>
    <w:rsid w:val="00D70596"/>
    <w:rsid w:val="00D70597"/>
    <w:rsid w:val="00D705EA"/>
    <w:rsid w:val="00D70BFE"/>
    <w:rsid w:val="00D7119E"/>
    <w:rsid w:val="00D714AA"/>
    <w:rsid w:val="00D714B8"/>
    <w:rsid w:val="00D715B1"/>
    <w:rsid w:val="00D7176D"/>
    <w:rsid w:val="00D71780"/>
    <w:rsid w:val="00D71809"/>
    <w:rsid w:val="00D71A35"/>
    <w:rsid w:val="00D71AEC"/>
    <w:rsid w:val="00D72569"/>
    <w:rsid w:val="00D72788"/>
    <w:rsid w:val="00D72AE9"/>
    <w:rsid w:val="00D72B2D"/>
    <w:rsid w:val="00D72F7D"/>
    <w:rsid w:val="00D72FCB"/>
    <w:rsid w:val="00D73CE9"/>
    <w:rsid w:val="00D74683"/>
    <w:rsid w:val="00D74AEF"/>
    <w:rsid w:val="00D74E1D"/>
    <w:rsid w:val="00D751A5"/>
    <w:rsid w:val="00D7554D"/>
    <w:rsid w:val="00D75652"/>
    <w:rsid w:val="00D75BBF"/>
    <w:rsid w:val="00D75C6A"/>
    <w:rsid w:val="00D75E7D"/>
    <w:rsid w:val="00D75F0A"/>
    <w:rsid w:val="00D7606E"/>
    <w:rsid w:val="00D763F6"/>
    <w:rsid w:val="00D7649F"/>
    <w:rsid w:val="00D7654D"/>
    <w:rsid w:val="00D765D7"/>
    <w:rsid w:val="00D766C9"/>
    <w:rsid w:val="00D76AFD"/>
    <w:rsid w:val="00D77405"/>
    <w:rsid w:val="00D77B8B"/>
    <w:rsid w:val="00D77C19"/>
    <w:rsid w:val="00D77E3B"/>
    <w:rsid w:val="00D8034F"/>
    <w:rsid w:val="00D80672"/>
    <w:rsid w:val="00D806E7"/>
    <w:rsid w:val="00D8081A"/>
    <w:rsid w:val="00D80982"/>
    <w:rsid w:val="00D80BBE"/>
    <w:rsid w:val="00D80FB0"/>
    <w:rsid w:val="00D81062"/>
    <w:rsid w:val="00D8133E"/>
    <w:rsid w:val="00D81E53"/>
    <w:rsid w:val="00D820D8"/>
    <w:rsid w:val="00D82369"/>
    <w:rsid w:val="00D827BD"/>
    <w:rsid w:val="00D82825"/>
    <w:rsid w:val="00D829C7"/>
    <w:rsid w:val="00D82C1A"/>
    <w:rsid w:val="00D82DDE"/>
    <w:rsid w:val="00D83061"/>
    <w:rsid w:val="00D83085"/>
    <w:rsid w:val="00D832BA"/>
    <w:rsid w:val="00D83347"/>
    <w:rsid w:val="00D838F0"/>
    <w:rsid w:val="00D83AF7"/>
    <w:rsid w:val="00D83D47"/>
    <w:rsid w:val="00D83EDA"/>
    <w:rsid w:val="00D85144"/>
    <w:rsid w:val="00D851B2"/>
    <w:rsid w:val="00D855E4"/>
    <w:rsid w:val="00D86700"/>
    <w:rsid w:val="00D867C4"/>
    <w:rsid w:val="00D869CF"/>
    <w:rsid w:val="00D86A39"/>
    <w:rsid w:val="00D86B65"/>
    <w:rsid w:val="00D86D1C"/>
    <w:rsid w:val="00D86DCC"/>
    <w:rsid w:val="00D874B9"/>
    <w:rsid w:val="00D87668"/>
    <w:rsid w:val="00D8775D"/>
    <w:rsid w:val="00D879E3"/>
    <w:rsid w:val="00D87A9A"/>
    <w:rsid w:val="00D901F4"/>
    <w:rsid w:val="00D90413"/>
    <w:rsid w:val="00D905D8"/>
    <w:rsid w:val="00D90653"/>
    <w:rsid w:val="00D917A3"/>
    <w:rsid w:val="00D91F7C"/>
    <w:rsid w:val="00D92A36"/>
    <w:rsid w:val="00D92B70"/>
    <w:rsid w:val="00D92FDA"/>
    <w:rsid w:val="00D930D4"/>
    <w:rsid w:val="00D93311"/>
    <w:rsid w:val="00D9335F"/>
    <w:rsid w:val="00D936C9"/>
    <w:rsid w:val="00D9384F"/>
    <w:rsid w:val="00D93AB4"/>
    <w:rsid w:val="00D93E8B"/>
    <w:rsid w:val="00D94126"/>
    <w:rsid w:val="00D943C5"/>
    <w:rsid w:val="00D946C1"/>
    <w:rsid w:val="00D947C2"/>
    <w:rsid w:val="00D9494D"/>
    <w:rsid w:val="00D94B4C"/>
    <w:rsid w:val="00D94E4B"/>
    <w:rsid w:val="00D956DF"/>
    <w:rsid w:val="00D95774"/>
    <w:rsid w:val="00D95926"/>
    <w:rsid w:val="00D95A6C"/>
    <w:rsid w:val="00D95B74"/>
    <w:rsid w:val="00D95B88"/>
    <w:rsid w:val="00D95D10"/>
    <w:rsid w:val="00D95E92"/>
    <w:rsid w:val="00D95FDF"/>
    <w:rsid w:val="00D967FD"/>
    <w:rsid w:val="00D969E6"/>
    <w:rsid w:val="00D969EE"/>
    <w:rsid w:val="00D974B7"/>
    <w:rsid w:val="00D97516"/>
    <w:rsid w:val="00D975D0"/>
    <w:rsid w:val="00D97CFB"/>
    <w:rsid w:val="00DA0081"/>
    <w:rsid w:val="00DA03BC"/>
    <w:rsid w:val="00DA0859"/>
    <w:rsid w:val="00DA09FB"/>
    <w:rsid w:val="00DA0B48"/>
    <w:rsid w:val="00DA0D14"/>
    <w:rsid w:val="00DA16C4"/>
    <w:rsid w:val="00DA1792"/>
    <w:rsid w:val="00DA1A2F"/>
    <w:rsid w:val="00DA1A41"/>
    <w:rsid w:val="00DA1AA5"/>
    <w:rsid w:val="00DA1D69"/>
    <w:rsid w:val="00DA1E77"/>
    <w:rsid w:val="00DA2489"/>
    <w:rsid w:val="00DA25CE"/>
    <w:rsid w:val="00DA28CE"/>
    <w:rsid w:val="00DA2B49"/>
    <w:rsid w:val="00DA30DF"/>
    <w:rsid w:val="00DA3435"/>
    <w:rsid w:val="00DA382B"/>
    <w:rsid w:val="00DA42A2"/>
    <w:rsid w:val="00DA440D"/>
    <w:rsid w:val="00DA47AD"/>
    <w:rsid w:val="00DA4857"/>
    <w:rsid w:val="00DA4A61"/>
    <w:rsid w:val="00DA4CDD"/>
    <w:rsid w:val="00DA51E3"/>
    <w:rsid w:val="00DA5461"/>
    <w:rsid w:val="00DA54A8"/>
    <w:rsid w:val="00DA5656"/>
    <w:rsid w:val="00DA5914"/>
    <w:rsid w:val="00DA5C93"/>
    <w:rsid w:val="00DA636E"/>
    <w:rsid w:val="00DA63F0"/>
    <w:rsid w:val="00DA6FEC"/>
    <w:rsid w:val="00DA72EF"/>
    <w:rsid w:val="00DA74BB"/>
    <w:rsid w:val="00DA78E5"/>
    <w:rsid w:val="00DA7A9B"/>
    <w:rsid w:val="00DA7E44"/>
    <w:rsid w:val="00DA7F81"/>
    <w:rsid w:val="00DB02B8"/>
    <w:rsid w:val="00DB063E"/>
    <w:rsid w:val="00DB0925"/>
    <w:rsid w:val="00DB093F"/>
    <w:rsid w:val="00DB0A20"/>
    <w:rsid w:val="00DB0A37"/>
    <w:rsid w:val="00DB0D67"/>
    <w:rsid w:val="00DB1243"/>
    <w:rsid w:val="00DB12DB"/>
    <w:rsid w:val="00DB147E"/>
    <w:rsid w:val="00DB1593"/>
    <w:rsid w:val="00DB17F7"/>
    <w:rsid w:val="00DB20C7"/>
    <w:rsid w:val="00DB20FF"/>
    <w:rsid w:val="00DB2198"/>
    <w:rsid w:val="00DB24E2"/>
    <w:rsid w:val="00DB2A51"/>
    <w:rsid w:val="00DB30F3"/>
    <w:rsid w:val="00DB3350"/>
    <w:rsid w:val="00DB3429"/>
    <w:rsid w:val="00DB3D84"/>
    <w:rsid w:val="00DB4168"/>
    <w:rsid w:val="00DB41F2"/>
    <w:rsid w:val="00DB4337"/>
    <w:rsid w:val="00DB48C5"/>
    <w:rsid w:val="00DB4BC7"/>
    <w:rsid w:val="00DB510C"/>
    <w:rsid w:val="00DB510F"/>
    <w:rsid w:val="00DB530C"/>
    <w:rsid w:val="00DB56C9"/>
    <w:rsid w:val="00DB5AE2"/>
    <w:rsid w:val="00DB5C91"/>
    <w:rsid w:val="00DB6C33"/>
    <w:rsid w:val="00DB74A0"/>
    <w:rsid w:val="00DB7578"/>
    <w:rsid w:val="00DB7B5E"/>
    <w:rsid w:val="00DB7D5B"/>
    <w:rsid w:val="00DB7FD4"/>
    <w:rsid w:val="00DC0BC6"/>
    <w:rsid w:val="00DC1083"/>
    <w:rsid w:val="00DC1760"/>
    <w:rsid w:val="00DC19AB"/>
    <w:rsid w:val="00DC20E0"/>
    <w:rsid w:val="00DC23D4"/>
    <w:rsid w:val="00DC2BD2"/>
    <w:rsid w:val="00DC37D6"/>
    <w:rsid w:val="00DC451C"/>
    <w:rsid w:val="00DC4783"/>
    <w:rsid w:val="00DC4BEF"/>
    <w:rsid w:val="00DC4D88"/>
    <w:rsid w:val="00DC5972"/>
    <w:rsid w:val="00DC5BAB"/>
    <w:rsid w:val="00DC5C00"/>
    <w:rsid w:val="00DC6104"/>
    <w:rsid w:val="00DC64F2"/>
    <w:rsid w:val="00DC668A"/>
    <w:rsid w:val="00DC66E9"/>
    <w:rsid w:val="00DC7148"/>
    <w:rsid w:val="00DC723F"/>
    <w:rsid w:val="00DC74F7"/>
    <w:rsid w:val="00DC7960"/>
    <w:rsid w:val="00DC79E5"/>
    <w:rsid w:val="00DD017C"/>
    <w:rsid w:val="00DD01C3"/>
    <w:rsid w:val="00DD0226"/>
    <w:rsid w:val="00DD0BC1"/>
    <w:rsid w:val="00DD0BCA"/>
    <w:rsid w:val="00DD15A3"/>
    <w:rsid w:val="00DD1817"/>
    <w:rsid w:val="00DD1B74"/>
    <w:rsid w:val="00DD1E25"/>
    <w:rsid w:val="00DD1E7E"/>
    <w:rsid w:val="00DD214F"/>
    <w:rsid w:val="00DD252F"/>
    <w:rsid w:val="00DD2752"/>
    <w:rsid w:val="00DD2B93"/>
    <w:rsid w:val="00DD2D1B"/>
    <w:rsid w:val="00DD2E12"/>
    <w:rsid w:val="00DD36F1"/>
    <w:rsid w:val="00DD3BFC"/>
    <w:rsid w:val="00DD3D07"/>
    <w:rsid w:val="00DD4128"/>
    <w:rsid w:val="00DD41B3"/>
    <w:rsid w:val="00DD453B"/>
    <w:rsid w:val="00DD4A2D"/>
    <w:rsid w:val="00DD4F62"/>
    <w:rsid w:val="00DD4FF9"/>
    <w:rsid w:val="00DD52F8"/>
    <w:rsid w:val="00DD56CF"/>
    <w:rsid w:val="00DD5878"/>
    <w:rsid w:val="00DD5AF5"/>
    <w:rsid w:val="00DD5CC1"/>
    <w:rsid w:val="00DD5E87"/>
    <w:rsid w:val="00DD600F"/>
    <w:rsid w:val="00DD601C"/>
    <w:rsid w:val="00DD6613"/>
    <w:rsid w:val="00DD69C9"/>
    <w:rsid w:val="00DD6B2A"/>
    <w:rsid w:val="00DD76A7"/>
    <w:rsid w:val="00DD791C"/>
    <w:rsid w:val="00DD7CF3"/>
    <w:rsid w:val="00DE0131"/>
    <w:rsid w:val="00DE0139"/>
    <w:rsid w:val="00DE0360"/>
    <w:rsid w:val="00DE0450"/>
    <w:rsid w:val="00DE0DFE"/>
    <w:rsid w:val="00DE0E38"/>
    <w:rsid w:val="00DE0E61"/>
    <w:rsid w:val="00DE15AF"/>
    <w:rsid w:val="00DE1844"/>
    <w:rsid w:val="00DE1921"/>
    <w:rsid w:val="00DE199B"/>
    <w:rsid w:val="00DE1BBF"/>
    <w:rsid w:val="00DE1E95"/>
    <w:rsid w:val="00DE1EA7"/>
    <w:rsid w:val="00DE220F"/>
    <w:rsid w:val="00DE2CEA"/>
    <w:rsid w:val="00DE35B2"/>
    <w:rsid w:val="00DE3621"/>
    <w:rsid w:val="00DE364B"/>
    <w:rsid w:val="00DE3912"/>
    <w:rsid w:val="00DE3DA0"/>
    <w:rsid w:val="00DE43DC"/>
    <w:rsid w:val="00DE4498"/>
    <w:rsid w:val="00DE451D"/>
    <w:rsid w:val="00DE46D0"/>
    <w:rsid w:val="00DE480C"/>
    <w:rsid w:val="00DE485C"/>
    <w:rsid w:val="00DE4A28"/>
    <w:rsid w:val="00DE4A84"/>
    <w:rsid w:val="00DE4CC0"/>
    <w:rsid w:val="00DE4FDF"/>
    <w:rsid w:val="00DE517B"/>
    <w:rsid w:val="00DE5530"/>
    <w:rsid w:val="00DE59E8"/>
    <w:rsid w:val="00DE5FA6"/>
    <w:rsid w:val="00DE6106"/>
    <w:rsid w:val="00DE643F"/>
    <w:rsid w:val="00DE6522"/>
    <w:rsid w:val="00DE6888"/>
    <w:rsid w:val="00DE6C9B"/>
    <w:rsid w:val="00DE6E8F"/>
    <w:rsid w:val="00DE75DF"/>
    <w:rsid w:val="00DE769A"/>
    <w:rsid w:val="00DE76AA"/>
    <w:rsid w:val="00DE7E68"/>
    <w:rsid w:val="00DF03E2"/>
    <w:rsid w:val="00DF0475"/>
    <w:rsid w:val="00DF04E0"/>
    <w:rsid w:val="00DF090E"/>
    <w:rsid w:val="00DF0E83"/>
    <w:rsid w:val="00DF0FC3"/>
    <w:rsid w:val="00DF12A4"/>
    <w:rsid w:val="00DF16E3"/>
    <w:rsid w:val="00DF1D03"/>
    <w:rsid w:val="00DF1EF5"/>
    <w:rsid w:val="00DF1F91"/>
    <w:rsid w:val="00DF204F"/>
    <w:rsid w:val="00DF2474"/>
    <w:rsid w:val="00DF24A8"/>
    <w:rsid w:val="00DF2567"/>
    <w:rsid w:val="00DF289D"/>
    <w:rsid w:val="00DF28AA"/>
    <w:rsid w:val="00DF297A"/>
    <w:rsid w:val="00DF3011"/>
    <w:rsid w:val="00DF32CA"/>
    <w:rsid w:val="00DF3742"/>
    <w:rsid w:val="00DF3AFD"/>
    <w:rsid w:val="00DF3B2F"/>
    <w:rsid w:val="00DF3E7D"/>
    <w:rsid w:val="00DF3EA4"/>
    <w:rsid w:val="00DF3F67"/>
    <w:rsid w:val="00DF4212"/>
    <w:rsid w:val="00DF4215"/>
    <w:rsid w:val="00DF42E1"/>
    <w:rsid w:val="00DF4B0A"/>
    <w:rsid w:val="00DF4BC5"/>
    <w:rsid w:val="00DF4E56"/>
    <w:rsid w:val="00DF5228"/>
    <w:rsid w:val="00DF5451"/>
    <w:rsid w:val="00DF56FF"/>
    <w:rsid w:val="00DF5748"/>
    <w:rsid w:val="00DF5C16"/>
    <w:rsid w:val="00DF6002"/>
    <w:rsid w:val="00DF628E"/>
    <w:rsid w:val="00DF6BBD"/>
    <w:rsid w:val="00DF6BCB"/>
    <w:rsid w:val="00DF6BF2"/>
    <w:rsid w:val="00DF6E63"/>
    <w:rsid w:val="00DF7074"/>
    <w:rsid w:val="00E00990"/>
    <w:rsid w:val="00E00A1C"/>
    <w:rsid w:val="00E00AB5"/>
    <w:rsid w:val="00E00B81"/>
    <w:rsid w:val="00E00C6E"/>
    <w:rsid w:val="00E00FF8"/>
    <w:rsid w:val="00E01CD3"/>
    <w:rsid w:val="00E02199"/>
    <w:rsid w:val="00E025CB"/>
    <w:rsid w:val="00E027A5"/>
    <w:rsid w:val="00E0299D"/>
    <w:rsid w:val="00E02AF7"/>
    <w:rsid w:val="00E02F48"/>
    <w:rsid w:val="00E033AD"/>
    <w:rsid w:val="00E0385F"/>
    <w:rsid w:val="00E039C8"/>
    <w:rsid w:val="00E039D8"/>
    <w:rsid w:val="00E0431D"/>
    <w:rsid w:val="00E0464B"/>
    <w:rsid w:val="00E0481F"/>
    <w:rsid w:val="00E04AAE"/>
    <w:rsid w:val="00E04BD8"/>
    <w:rsid w:val="00E04CE3"/>
    <w:rsid w:val="00E05242"/>
    <w:rsid w:val="00E05301"/>
    <w:rsid w:val="00E05B43"/>
    <w:rsid w:val="00E05D10"/>
    <w:rsid w:val="00E05FB1"/>
    <w:rsid w:val="00E0606F"/>
    <w:rsid w:val="00E0643A"/>
    <w:rsid w:val="00E07181"/>
    <w:rsid w:val="00E07724"/>
    <w:rsid w:val="00E07840"/>
    <w:rsid w:val="00E07952"/>
    <w:rsid w:val="00E07F8C"/>
    <w:rsid w:val="00E10202"/>
    <w:rsid w:val="00E102DE"/>
    <w:rsid w:val="00E103EC"/>
    <w:rsid w:val="00E10642"/>
    <w:rsid w:val="00E10D8B"/>
    <w:rsid w:val="00E10E72"/>
    <w:rsid w:val="00E11D28"/>
    <w:rsid w:val="00E12055"/>
    <w:rsid w:val="00E128A8"/>
    <w:rsid w:val="00E12EB6"/>
    <w:rsid w:val="00E12F54"/>
    <w:rsid w:val="00E130BC"/>
    <w:rsid w:val="00E13211"/>
    <w:rsid w:val="00E132C7"/>
    <w:rsid w:val="00E1362C"/>
    <w:rsid w:val="00E13631"/>
    <w:rsid w:val="00E13CFF"/>
    <w:rsid w:val="00E13EC2"/>
    <w:rsid w:val="00E13EEB"/>
    <w:rsid w:val="00E13F28"/>
    <w:rsid w:val="00E140B0"/>
    <w:rsid w:val="00E1421A"/>
    <w:rsid w:val="00E14288"/>
    <w:rsid w:val="00E143CF"/>
    <w:rsid w:val="00E14456"/>
    <w:rsid w:val="00E1499A"/>
    <w:rsid w:val="00E14E05"/>
    <w:rsid w:val="00E14F35"/>
    <w:rsid w:val="00E157F0"/>
    <w:rsid w:val="00E16056"/>
    <w:rsid w:val="00E16363"/>
    <w:rsid w:val="00E163B1"/>
    <w:rsid w:val="00E16548"/>
    <w:rsid w:val="00E166A1"/>
    <w:rsid w:val="00E16766"/>
    <w:rsid w:val="00E16805"/>
    <w:rsid w:val="00E16CDB"/>
    <w:rsid w:val="00E16CF2"/>
    <w:rsid w:val="00E170B3"/>
    <w:rsid w:val="00E170FD"/>
    <w:rsid w:val="00E1742B"/>
    <w:rsid w:val="00E17502"/>
    <w:rsid w:val="00E17954"/>
    <w:rsid w:val="00E17BE6"/>
    <w:rsid w:val="00E17D97"/>
    <w:rsid w:val="00E2011E"/>
    <w:rsid w:val="00E20407"/>
    <w:rsid w:val="00E204B3"/>
    <w:rsid w:val="00E205BA"/>
    <w:rsid w:val="00E2097D"/>
    <w:rsid w:val="00E20988"/>
    <w:rsid w:val="00E209EF"/>
    <w:rsid w:val="00E20D27"/>
    <w:rsid w:val="00E20D2E"/>
    <w:rsid w:val="00E20EFE"/>
    <w:rsid w:val="00E210F4"/>
    <w:rsid w:val="00E215A7"/>
    <w:rsid w:val="00E2198C"/>
    <w:rsid w:val="00E21F59"/>
    <w:rsid w:val="00E22624"/>
    <w:rsid w:val="00E22669"/>
    <w:rsid w:val="00E22A36"/>
    <w:rsid w:val="00E22DB5"/>
    <w:rsid w:val="00E230C5"/>
    <w:rsid w:val="00E2321A"/>
    <w:rsid w:val="00E24296"/>
    <w:rsid w:val="00E24E6D"/>
    <w:rsid w:val="00E25E23"/>
    <w:rsid w:val="00E26274"/>
    <w:rsid w:val="00E26297"/>
    <w:rsid w:val="00E26301"/>
    <w:rsid w:val="00E263FC"/>
    <w:rsid w:val="00E266AF"/>
    <w:rsid w:val="00E2687A"/>
    <w:rsid w:val="00E2760E"/>
    <w:rsid w:val="00E27640"/>
    <w:rsid w:val="00E2796B"/>
    <w:rsid w:val="00E279BD"/>
    <w:rsid w:val="00E27E49"/>
    <w:rsid w:val="00E30117"/>
    <w:rsid w:val="00E30A67"/>
    <w:rsid w:val="00E30B1F"/>
    <w:rsid w:val="00E30B7F"/>
    <w:rsid w:val="00E30E28"/>
    <w:rsid w:val="00E310D5"/>
    <w:rsid w:val="00E311AE"/>
    <w:rsid w:val="00E313B7"/>
    <w:rsid w:val="00E3151E"/>
    <w:rsid w:val="00E3173A"/>
    <w:rsid w:val="00E318A8"/>
    <w:rsid w:val="00E31C25"/>
    <w:rsid w:val="00E31CA4"/>
    <w:rsid w:val="00E31E34"/>
    <w:rsid w:val="00E32260"/>
    <w:rsid w:val="00E322F7"/>
    <w:rsid w:val="00E3266E"/>
    <w:rsid w:val="00E32843"/>
    <w:rsid w:val="00E32B6C"/>
    <w:rsid w:val="00E33213"/>
    <w:rsid w:val="00E33245"/>
    <w:rsid w:val="00E333FC"/>
    <w:rsid w:val="00E33491"/>
    <w:rsid w:val="00E33B0D"/>
    <w:rsid w:val="00E33EEC"/>
    <w:rsid w:val="00E33F58"/>
    <w:rsid w:val="00E3440A"/>
    <w:rsid w:val="00E3482B"/>
    <w:rsid w:val="00E34F2A"/>
    <w:rsid w:val="00E34F50"/>
    <w:rsid w:val="00E35020"/>
    <w:rsid w:val="00E3547E"/>
    <w:rsid w:val="00E35784"/>
    <w:rsid w:val="00E35B18"/>
    <w:rsid w:val="00E362C0"/>
    <w:rsid w:val="00E36505"/>
    <w:rsid w:val="00E365B4"/>
    <w:rsid w:val="00E365BD"/>
    <w:rsid w:val="00E36ABB"/>
    <w:rsid w:val="00E36BA0"/>
    <w:rsid w:val="00E37420"/>
    <w:rsid w:val="00E375D0"/>
    <w:rsid w:val="00E376BA"/>
    <w:rsid w:val="00E377E7"/>
    <w:rsid w:val="00E378AD"/>
    <w:rsid w:val="00E37933"/>
    <w:rsid w:val="00E37ED8"/>
    <w:rsid w:val="00E410B0"/>
    <w:rsid w:val="00E4173C"/>
    <w:rsid w:val="00E41788"/>
    <w:rsid w:val="00E41A1F"/>
    <w:rsid w:val="00E421CA"/>
    <w:rsid w:val="00E42A0B"/>
    <w:rsid w:val="00E42A30"/>
    <w:rsid w:val="00E42C27"/>
    <w:rsid w:val="00E42C46"/>
    <w:rsid w:val="00E42ED4"/>
    <w:rsid w:val="00E437A7"/>
    <w:rsid w:val="00E43B90"/>
    <w:rsid w:val="00E448F4"/>
    <w:rsid w:val="00E45326"/>
    <w:rsid w:val="00E454B8"/>
    <w:rsid w:val="00E456EB"/>
    <w:rsid w:val="00E459E9"/>
    <w:rsid w:val="00E45D4D"/>
    <w:rsid w:val="00E45E69"/>
    <w:rsid w:val="00E46172"/>
    <w:rsid w:val="00E463C2"/>
    <w:rsid w:val="00E463CF"/>
    <w:rsid w:val="00E473EE"/>
    <w:rsid w:val="00E50184"/>
    <w:rsid w:val="00E50665"/>
    <w:rsid w:val="00E5075D"/>
    <w:rsid w:val="00E507D6"/>
    <w:rsid w:val="00E508E2"/>
    <w:rsid w:val="00E50B42"/>
    <w:rsid w:val="00E50E64"/>
    <w:rsid w:val="00E510D4"/>
    <w:rsid w:val="00E51270"/>
    <w:rsid w:val="00E5128E"/>
    <w:rsid w:val="00E51292"/>
    <w:rsid w:val="00E51347"/>
    <w:rsid w:val="00E51618"/>
    <w:rsid w:val="00E51625"/>
    <w:rsid w:val="00E5170C"/>
    <w:rsid w:val="00E51C42"/>
    <w:rsid w:val="00E52090"/>
    <w:rsid w:val="00E52557"/>
    <w:rsid w:val="00E52BCB"/>
    <w:rsid w:val="00E52BFB"/>
    <w:rsid w:val="00E52C7C"/>
    <w:rsid w:val="00E52D01"/>
    <w:rsid w:val="00E52D6B"/>
    <w:rsid w:val="00E52FE5"/>
    <w:rsid w:val="00E53451"/>
    <w:rsid w:val="00E53B58"/>
    <w:rsid w:val="00E54312"/>
    <w:rsid w:val="00E543D0"/>
    <w:rsid w:val="00E54415"/>
    <w:rsid w:val="00E547EF"/>
    <w:rsid w:val="00E55318"/>
    <w:rsid w:val="00E55CB4"/>
    <w:rsid w:val="00E55DA1"/>
    <w:rsid w:val="00E5605D"/>
    <w:rsid w:val="00E564E0"/>
    <w:rsid w:val="00E5650F"/>
    <w:rsid w:val="00E5652C"/>
    <w:rsid w:val="00E566D2"/>
    <w:rsid w:val="00E56707"/>
    <w:rsid w:val="00E56D7B"/>
    <w:rsid w:val="00E56EDE"/>
    <w:rsid w:val="00E56EFA"/>
    <w:rsid w:val="00E57214"/>
    <w:rsid w:val="00E57787"/>
    <w:rsid w:val="00E57C75"/>
    <w:rsid w:val="00E57E38"/>
    <w:rsid w:val="00E604E9"/>
    <w:rsid w:val="00E6089E"/>
    <w:rsid w:val="00E609A6"/>
    <w:rsid w:val="00E60DE6"/>
    <w:rsid w:val="00E61115"/>
    <w:rsid w:val="00E6121F"/>
    <w:rsid w:val="00E615AA"/>
    <w:rsid w:val="00E6171A"/>
    <w:rsid w:val="00E618FF"/>
    <w:rsid w:val="00E61F9C"/>
    <w:rsid w:val="00E6244F"/>
    <w:rsid w:val="00E62A5B"/>
    <w:rsid w:val="00E62B07"/>
    <w:rsid w:val="00E62FB0"/>
    <w:rsid w:val="00E63158"/>
    <w:rsid w:val="00E631F2"/>
    <w:rsid w:val="00E636D7"/>
    <w:rsid w:val="00E640D3"/>
    <w:rsid w:val="00E6452A"/>
    <w:rsid w:val="00E64710"/>
    <w:rsid w:val="00E64C30"/>
    <w:rsid w:val="00E64D1A"/>
    <w:rsid w:val="00E64DE3"/>
    <w:rsid w:val="00E6529C"/>
    <w:rsid w:val="00E6547D"/>
    <w:rsid w:val="00E65B8B"/>
    <w:rsid w:val="00E65BBA"/>
    <w:rsid w:val="00E65BCD"/>
    <w:rsid w:val="00E65E52"/>
    <w:rsid w:val="00E65ED8"/>
    <w:rsid w:val="00E66524"/>
    <w:rsid w:val="00E66D66"/>
    <w:rsid w:val="00E66D75"/>
    <w:rsid w:val="00E672FA"/>
    <w:rsid w:val="00E67360"/>
    <w:rsid w:val="00E6736A"/>
    <w:rsid w:val="00E67601"/>
    <w:rsid w:val="00E67915"/>
    <w:rsid w:val="00E67920"/>
    <w:rsid w:val="00E679FF"/>
    <w:rsid w:val="00E67BDC"/>
    <w:rsid w:val="00E67BFF"/>
    <w:rsid w:val="00E70332"/>
    <w:rsid w:val="00E70371"/>
    <w:rsid w:val="00E706C7"/>
    <w:rsid w:val="00E70981"/>
    <w:rsid w:val="00E70995"/>
    <w:rsid w:val="00E70A9B"/>
    <w:rsid w:val="00E70D97"/>
    <w:rsid w:val="00E711C0"/>
    <w:rsid w:val="00E715C8"/>
    <w:rsid w:val="00E71674"/>
    <w:rsid w:val="00E71C63"/>
    <w:rsid w:val="00E71C69"/>
    <w:rsid w:val="00E71F27"/>
    <w:rsid w:val="00E723D0"/>
    <w:rsid w:val="00E724B3"/>
    <w:rsid w:val="00E72736"/>
    <w:rsid w:val="00E727BD"/>
    <w:rsid w:val="00E728EA"/>
    <w:rsid w:val="00E7319E"/>
    <w:rsid w:val="00E736E1"/>
    <w:rsid w:val="00E73715"/>
    <w:rsid w:val="00E73A77"/>
    <w:rsid w:val="00E73DC7"/>
    <w:rsid w:val="00E7413A"/>
    <w:rsid w:val="00E7417D"/>
    <w:rsid w:val="00E7423C"/>
    <w:rsid w:val="00E74393"/>
    <w:rsid w:val="00E74553"/>
    <w:rsid w:val="00E749F8"/>
    <w:rsid w:val="00E74B31"/>
    <w:rsid w:val="00E74C1C"/>
    <w:rsid w:val="00E74E23"/>
    <w:rsid w:val="00E74FCD"/>
    <w:rsid w:val="00E7542C"/>
    <w:rsid w:val="00E75B2A"/>
    <w:rsid w:val="00E75BF2"/>
    <w:rsid w:val="00E75EED"/>
    <w:rsid w:val="00E767EB"/>
    <w:rsid w:val="00E7695C"/>
    <w:rsid w:val="00E76C55"/>
    <w:rsid w:val="00E76D60"/>
    <w:rsid w:val="00E7700D"/>
    <w:rsid w:val="00E774F1"/>
    <w:rsid w:val="00E77826"/>
    <w:rsid w:val="00E77AC1"/>
    <w:rsid w:val="00E77BF0"/>
    <w:rsid w:val="00E8039E"/>
    <w:rsid w:val="00E809AA"/>
    <w:rsid w:val="00E80D8D"/>
    <w:rsid w:val="00E80EEC"/>
    <w:rsid w:val="00E814BE"/>
    <w:rsid w:val="00E8157B"/>
    <w:rsid w:val="00E815EA"/>
    <w:rsid w:val="00E817CE"/>
    <w:rsid w:val="00E8195D"/>
    <w:rsid w:val="00E81B0B"/>
    <w:rsid w:val="00E81B83"/>
    <w:rsid w:val="00E81DEB"/>
    <w:rsid w:val="00E822E8"/>
    <w:rsid w:val="00E82AE2"/>
    <w:rsid w:val="00E82C59"/>
    <w:rsid w:val="00E831F1"/>
    <w:rsid w:val="00E832EA"/>
    <w:rsid w:val="00E83496"/>
    <w:rsid w:val="00E8379D"/>
    <w:rsid w:val="00E83ED5"/>
    <w:rsid w:val="00E8439C"/>
    <w:rsid w:val="00E84437"/>
    <w:rsid w:val="00E8455F"/>
    <w:rsid w:val="00E8489F"/>
    <w:rsid w:val="00E84FB7"/>
    <w:rsid w:val="00E85105"/>
    <w:rsid w:val="00E85391"/>
    <w:rsid w:val="00E85447"/>
    <w:rsid w:val="00E85569"/>
    <w:rsid w:val="00E85A25"/>
    <w:rsid w:val="00E85EA7"/>
    <w:rsid w:val="00E85EC2"/>
    <w:rsid w:val="00E86367"/>
    <w:rsid w:val="00E86726"/>
    <w:rsid w:val="00E86B36"/>
    <w:rsid w:val="00E87147"/>
    <w:rsid w:val="00E87259"/>
    <w:rsid w:val="00E872AC"/>
    <w:rsid w:val="00E87578"/>
    <w:rsid w:val="00E87BCC"/>
    <w:rsid w:val="00E87C05"/>
    <w:rsid w:val="00E87E4E"/>
    <w:rsid w:val="00E904DD"/>
    <w:rsid w:val="00E9050F"/>
    <w:rsid w:val="00E906DA"/>
    <w:rsid w:val="00E908ED"/>
    <w:rsid w:val="00E90946"/>
    <w:rsid w:val="00E90B36"/>
    <w:rsid w:val="00E90CFA"/>
    <w:rsid w:val="00E90DCB"/>
    <w:rsid w:val="00E91018"/>
    <w:rsid w:val="00E91189"/>
    <w:rsid w:val="00E91C7B"/>
    <w:rsid w:val="00E9284D"/>
    <w:rsid w:val="00E929C4"/>
    <w:rsid w:val="00E92B68"/>
    <w:rsid w:val="00E92D5B"/>
    <w:rsid w:val="00E92E44"/>
    <w:rsid w:val="00E93165"/>
    <w:rsid w:val="00E93614"/>
    <w:rsid w:val="00E94054"/>
    <w:rsid w:val="00E945B3"/>
    <w:rsid w:val="00E94DD6"/>
    <w:rsid w:val="00E94EDC"/>
    <w:rsid w:val="00E95550"/>
    <w:rsid w:val="00E95593"/>
    <w:rsid w:val="00E955BA"/>
    <w:rsid w:val="00E95690"/>
    <w:rsid w:val="00E95BB7"/>
    <w:rsid w:val="00E95DED"/>
    <w:rsid w:val="00E95FD9"/>
    <w:rsid w:val="00E96775"/>
    <w:rsid w:val="00E96A13"/>
    <w:rsid w:val="00E96B43"/>
    <w:rsid w:val="00E97DE9"/>
    <w:rsid w:val="00EA0697"/>
    <w:rsid w:val="00EA0A82"/>
    <w:rsid w:val="00EA0EEB"/>
    <w:rsid w:val="00EA1627"/>
    <w:rsid w:val="00EA18BD"/>
    <w:rsid w:val="00EA1C9D"/>
    <w:rsid w:val="00EA1ED0"/>
    <w:rsid w:val="00EA28ED"/>
    <w:rsid w:val="00EA2999"/>
    <w:rsid w:val="00EA2BFB"/>
    <w:rsid w:val="00EA30F6"/>
    <w:rsid w:val="00EA31C1"/>
    <w:rsid w:val="00EA33B8"/>
    <w:rsid w:val="00EA34CC"/>
    <w:rsid w:val="00EA3A6B"/>
    <w:rsid w:val="00EA3BEE"/>
    <w:rsid w:val="00EA43E1"/>
    <w:rsid w:val="00EA48D3"/>
    <w:rsid w:val="00EA4D81"/>
    <w:rsid w:val="00EA543C"/>
    <w:rsid w:val="00EA563E"/>
    <w:rsid w:val="00EA569F"/>
    <w:rsid w:val="00EA57FB"/>
    <w:rsid w:val="00EA5B50"/>
    <w:rsid w:val="00EA5B67"/>
    <w:rsid w:val="00EA68ED"/>
    <w:rsid w:val="00EA6A7F"/>
    <w:rsid w:val="00EA6D24"/>
    <w:rsid w:val="00EA7136"/>
    <w:rsid w:val="00EA7461"/>
    <w:rsid w:val="00EA7747"/>
    <w:rsid w:val="00EA7D98"/>
    <w:rsid w:val="00EB02C3"/>
    <w:rsid w:val="00EB073A"/>
    <w:rsid w:val="00EB076B"/>
    <w:rsid w:val="00EB10DC"/>
    <w:rsid w:val="00EB11A5"/>
    <w:rsid w:val="00EB15A0"/>
    <w:rsid w:val="00EB1639"/>
    <w:rsid w:val="00EB1AD6"/>
    <w:rsid w:val="00EB1D81"/>
    <w:rsid w:val="00EB1D90"/>
    <w:rsid w:val="00EB20A1"/>
    <w:rsid w:val="00EB30D5"/>
    <w:rsid w:val="00EB31ED"/>
    <w:rsid w:val="00EB34D6"/>
    <w:rsid w:val="00EB35A4"/>
    <w:rsid w:val="00EB375F"/>
    <w:rsid w:val="00EB3D20"/>
    <w:rsid w:val="00EB40E8"/>
    <w:rsid w:val="00EB4336"/>
    <w:rsid w:val="00EB4527"/>
    <w:rsid w:val="00EB46D8"/>
    <w:rsid w:val="00EB47CE"/>
    <w:rsid w:val="00EB47D4"/>
    <w:rsid w:val="00EB484F"/>
    <w:rsid w:val="00EB4AE5"/>
    <w:rsid w:val="00EB5660"/>
    <w:rsid w:val="00EB5ABC"/>
    <w:rsid w:val="00EB5B12"/>
    <w:rsid w:val="00EB5E43"/>
    <w:rsid w:val="00EB5EE9"/>
    <w:rsid w:val="00EB60C7"/>
    <w:rsid w:val="00EB611C"/>
    <w:rsid w:val="00EB62B0"/>
    <w:rsid w:val="00EB6376"/>
    <w:rsid w:val="00EB6456"/>
    <w:rsid w:val="00EB673F"/>
    <w:rsid w:val="00EB6892"/>
    <w:rsid w:val="00EB69E2"/>
    <w:rsid w:val="00EB6CC1"/>
    <w:rsid w:val="00EB7204"/>
    <w:rsid w:val="00EB7562"/>
    <w:rsid w:val="00EB765D"/>
    <w:rsid w:val="00EB7F10"/>
    <w:rsid w:val="00EC0E48"/>
    <w:rsid w:val="00EC1325"/>
    <w:rsid w:val="00EC148F"/>
    <w:rsid w:val="00EC14A0"/>
    <w:rsid w:val="00EC1530"/>
    <w:rsid w:val="00EC15F9"/>
    <w:rsid w:val="00EC16CD"/>
    <w:rsid w:val="00EC1911"/>
    <w:rsid w:val="00EC23BC"/>
    <w:rsid w:val="00EC23C5"/>
    <w:rsid w:val="00EC2541"/>
    <w:rsid w:val="00EC2563"/>
    <w:rsid w:val="00EC25C6"/>
    <w:rsid w:val="00EC3158"/>
    <w:rsid w:val="00EC3276"/>
    <w:rsid w:val="00EC3708"/>
    <w:rsid w:val="00EC3862"/>
    <w:rsid w:val="00EC387A"/>
    <w:rsid w:val="00EC398C"/>
    <w:rsid w:val="00EC3A17"/>
    <w:rsid w:val="00EC3EC7"/>
    <w:rsid w:val="00EC3FCD"/>
    <w:rsid w:val="00EC47A9"/>
    <w:rsid w:val="00EC4AFC"/>
    <w:rsid w:val="00EC4C16"/>
    <w:rsid w:val="00EC4FF7"/>
    <w:rsid w:val="00EC5373"/>
    <w:rsid w:val="00EC57FB"/>
    <w:rsid w:val="00EC58FF"/>
    <w:rsid w:val="00EC595D"/>
    <w:rsid w:val="00EC598D"/>
    <w:rsid w:val="00EC5FEC"/>
    <w:rsid w:val="00EC67CA"/>
    <w:rsid w:val="00EC68FF"/>
    <w:rsid w:val="00EC6A7B"/>
    <w:rsid w:val="00EC71F5"/>
    <w:rsid w:val="00ED030C"/>
    <w:rsid w:val="00ED0546"/>
    <w:rsid w:val="00ED0757"/>
    <w:rsid w:val="00ED07BC"/>
    <w:rsid w:val="00ED0B23"/>
    <w:rsid w:val="00ED0E38"/>
    <w:rsid w:val="00ED1425"/>
    <w:rsid w:val="00ED18F0"/>
    <w:rsid w:val="00ED19AD"/>
    <w:rsid w:val="00ED1FE2"/>
    <w:rsid w:val="00ED2318"/>
    <w:rsid w:val="00ED24F2"/>
    <w:rsid w:val="00ED2986"/>
    <w:rsid w:val="00ED2C23"/>
    <w:rsid w:val="00ED2E55"/>
    <w:rsid w:val="00ED3074"/>
    <w:rsid w:val="00ED32C6"/>
    <w:rsid w:val="00ED357E"/>
    <w:rsid w:val="00ED3996"/>
    <w:rsid w:val="00ED3BBC"/>
    <w:rsid w:val="00ED4980"/>
    <w:rsid w:val="00ED4A0D"/>
    <w:rsid w:val="00ED5467"/>
    <w:rsid w:val="00ED573F"/>
    <w:rsid w:val="00ED60D7"/>
    <w:rsid w:val="00ED623B"/>
    <w:rsid w:val="00ED6577"/>
    <w:rsid w:val="00ED6B6B"/>
    <w:rsid w:val="00ED6C4D"/>
    <w:rsid w:val="00ED713F"/>
    <w:rsid w:val="00ED75C7"/>
    <w:rsid w:val="00ED7BCB"/>
    <w:rsid w:val="00ED7CC2"/>
    <w:rsid w:val="00ED7DBE"/>
    <w:rsid w:val="00ED7DF0"/>
    <w:rsid w:val="00EE0461"/>
    <w:rsid w:val="00EE08F3"/>
    <w:rsid w:val="00EE0A0F"/>
    <w:rsid w:val="00EE0B94"/>
    <w:rsid w:val="00EE0ED1"/>
    <w:rsid w:val="00EE0EF6"/>
    <w:rsid w:val="00EE0F84"/>
    <w:rsid w:val="00EE11AC"/>
    <w:rsid w:val="00EE17B9"/>
    <w:rsid w:val="00EE19C8"/>
    <w:rsid w:val="00EE1C9D"/>
    <w:rsid w:val="00EE23E2"/>
    <w:rsid w:val="00EE24E1"/>
    <w:rsid w:val="00EE33D9"/>
    <w:rsid w:val="00EE350D"/>
    <w:rsid w:val="00EE3944"/>
    <w:rsid w:val="00EE399F"/>
    <w:rsid w:val="00EE3AE1"/>
    <w:rsid w:val="00EE3DF2"/>
    <w:rsid w:val="00EE3F24"/>
    <w:rsid w:val="00EE4162"/>
    <w:rsid w:val="00EE450A"/>
    <w:rsid w:val="00EE4917"/>
    <w:rsid w:val="00EE4D5D"/>
    <w:rsid w:val="00EE560E"/>
    <w:rsid w:val="00EE5F06"/>
    <w:rsid w:val="00EE645D"/>
    <w:rsid w:val="00EE6477"/>
    <w:rsid w:val="00EE67A3"/>
    <w:rsid w:val="00EE73B1"/>
    <w:rsid w:val="00EE76BD"/>
    <w:rsid w:val="00EE7908"/>
    <w:rsid w:val="00EE7DDE"/>
    <w:rsid w:val="00EE7E52"/>
    <w:rsid w:val="00EF0036"/>
    <w:rsid w:val="00EF00CC"/>
    <w:rsid w:val="00EF0511"/>
    <w:rsid w:val="00EF0534"/>
    <w:rsid w:val="00EF06AF"/>
    <w:rsid w:val="00EF0A54"/>
    <w:rsid w:val="00EF11F9"/>
    <w:rsid w:val="00EF1A3F"/>
    <w:rsid w:val="00EF2024"/>
    <w:rsid w:val="00EF24E9"/>
    <w:rsid w:val="00EF26F9"/>
    <w:rsid w:val="00EF2A14"/>
    <w:rsid w:val="00EF2A54"/>
    <w:rsid w:val="00EF2A6E"/>
    <w:rsid w:val="00EF2B97"/>
    <w:rsid w:val="00EF30C5"/>
    <w:rsid w:val="00EF32C9"/>
    <w:rsid w:val="00EF34A2"/>
    <w:rsid w:val="00EF3526"/>
    <w:rsid w:val="00EF3632"/>
    <w:rsid w:val="00EF3771"/>
    <w:rsid w:val="00EF3A43"/>
    <w:rsid w:val="00EF4C15"/>
    <w:rsid w:val="00EF4DE9"/>
    <w:rsid w:val="00EF5735"/>
    <w:rsid w:val="00EF58E5"/>
    <w:rsid w:val="00EF5F1B"/>
    <w:rsid w:val="00EF64EA"/>
    <w:rsid w:val="00EF66CC"/>
    <w:rsid w:val="00EF677D"/>
    <w:rsid w:val="00EF67D4"/>
    <w:rsid w:val="00EF6B3D"/>
    <w:rsid w:val="00EF6E20"/>
    <w:rsid w:val="00EF6F83"/>
    <w:rsid w:val="00EF721E"/>
    <w:rsid w:val="00EF747F"/>
    <w:rsid w:val="00EF75CD"/>
    <w:rsid w:val="00EF75CE"/>
    <w:rsid w:val="00EF7713"/>
    <w:rsid w:val="00EF7A08"/>
    <w:rsid w:val="00EF7EC3"/>
    <w:rsid w:val="00F00303"/>
    <w:rsid w:val="00F00562"/>
    <w:rsid w:val="00F00954"/>
    <w:rsid w:val="00F013FF"/>
    <w:rsid w:val="00F01BB8"/>
    <w:rsid w:val="00F01EAA"/>
    <w:rsid w:val="00F02429"/>
    <w:rsid w:val="00F02BA4"/>
    <w:rsid w:val="00F02DA1"/>
    <w:rsid w:val="00F02FE0"/>
    <w:rsid w:val="00F03545"/>
    <w:rsid w:val="00F03E7E"/>
    <w:rsid w:val="00F0403D"/>
    <w:rsid w:val="00F04088"/>
    <w:rsid w:val="00F040A1"/>
    <w:rsid w:val="00F0478A"/>
    <w:rsid w:val="00F04A89"/>
    <w:rsid w:val="00F04AB2"/>
    <w:rsid w:val="00F054AB"/>
    <w:rsid w:val="00F05803"/>
    <w:rsid w:val="00F0581D"/>
    <w:rsid w:val="00F05D91"/>
    <w:rsid w:val="00F0612C"/>
    <w:rsid w:val="00F0630E"/>
    <w:rsid w:val="00F063B9"/>
    <w:rsid w:val="00F064AB"/>
    <w:rsid w:val="00F06831"/>
    <w:rsid w:val="00F06BC7"/>
    <w:rsid w:val="00F06FA7"/>
    <w:rsid w:val="00F0764D"/>
    <w:rsid w:val="00F079B5"/>
    <w:rsid w:val="00F100F6"/>
    <w:rsid w:val="00F101FD"/>
    <w:rsid w:val="00F102E1"/>
    <w:rsid w:val="00F10330"/>
    <w:rsid w:val="00F104F2"/>
    <w:rsid w:val="00F10F43"/>
    <w:rsid w:val="00F111B4"/>
    <w:rsid w:val="00F111BF"/>
    <w:rsid w:val="00F111FF"/>
    <w:rsid w:val="00F1143C"/>
    <w:rsid w:val="00F12223"/>
    <w:rsid w:val="00F1254F"/>
    <w:rsid w:val="00F12CA3"/>
    <w:rsid w:val="00F12F90"/>
    <w:rsid w:val="00F12FB0"/>
    <w:rsid w:val="00F13241"/>
    <w:rsid w:val="00F13556"/>
    <w:rsid w:val="00F13906"/>
    <w:rsid w:val="00F13A36"/>
    <w:rsid w:val="00F13B0F"/>
    <w:rsid w:val="00F13BC0"/>
    <w:rsid w:val="00F13F22"/>
    <w:rsid w:val="00F14019"/>
    <w:rsid w:val="00F140F4"/>
    <w:rsid w:val="00F14373"/>
    <w:rsid w:val="00F143BC"/>
    <w:rsid w:val="00F14548"/>
    <w:rsid w:val="00F14682"/>
    <w:rsid w:val="00F14C22"/>
    <w:rsid w:val="00F14E77"/>
    <w:rsid w:val="00F152D9"/>
    <w:rsid w:val="00F158F6"/>
    <w:rsid w:val="00F15A21"/>
    <w:rsid w:val="00F15C57"/>
    <w:rsid w:val="00F16117"/>
    <w:rsid w:val="00F1615D"/>
    <w:rsid w:val="00F162A0"/>
    <w:rsid w:val="00F16A44"/>
    <w:rsid w:val="00F172B1"/>
    <w:rsid w:val="00F17476"/>
    <w:rsid w:val="00F17A41"/>
    <w:rsid w:val="00F17A68"/>
    <w:rsid w:val="00F17D6C"/>
    <w:rsid w:val="00F2074A"/>
    <w:rsid w:val="00F208CF"/>
    <w:rsid w:val="00F213DF"/>
    <w:rsid w:val="00F21558"/>
    <w:rsid w:val="00F21BD4"/>
    <w:rsid w:val="00F21CB2"/>
    <w:rsid w:val="00F21D9C"/>
    <w:rsid w:val="00F21F8B"/>
    <w:rsid w:val="00F22130"/>
    <w:rsid w:val="00F22BC8"/>
    <w:rsid w:val="00F22CE1"/>
    <w:rsid w:val="00F22EE5"/>
    <w:rsid w:val="00F23392"/>
    <w:rsid w:val="00F2396C"/>
    <w:rsid w:val="00F23AB7"/>
    <w:rsid w:val="00F23F68"/>
    <w:rsid w:val="00F2419E"/>
    <w:rsid w:val="00F24293"/>
    <w:rsid w:val="00F242D3"/>
    <w:rsid w:val="00F247E6"/>
    <w:rsid w:val="00F24C3B"/>
    <w:rsid w:val="00F25AEF"/>
    <w:rsid w:val="00F25B72"/>
    <w:rsid w:val="00F25BB0"/>
    <w:rsid w:val="00F25C65"/>
    <w:rsid w:val="00F25C75"/>
    <w:rsid w:val="00F25C7B"/>
    <w:rsid w:val="00F26210"/>
    <w:rsid w:val="00F26348"/>
    <w:rsid w:val="00F26633"/>
    <w:rsid w:val="00F268D3"/>
    <w:rsid w:val="00F269D5"/>
    <w:rsid w:val="00F26A0B"/>
    <w:rsid w:val="00F2758E"/>
    <w:rsid w:val="00F30099"/>
    <w:rsid w:val="00F30227"/>
    <w:rsid w:val="00F302D1"/>
    <w:rsid w:val="00F30F1D"/>
    <w:rsid w:val="00F30F2B"/>
    <w:rsid w:val="00F3116E"/>
    <w:rsid w:val="00F318B8"/>
    <w:rsid w:val="00F31A0A"/>
    <w:rsid w:val="00F31D8C"/>
    <w:rsid w:val="00F31E4C"/>
    <w:rsid w:val="00F31FE8"/>
    <w:rsid w:val="00F322D7"/>
    <w:rsid w:val="00F323C5"/>
    <w:rsid w:val="00F32C43"/>
    <w:rsid w:val="00F331BF"/>
    <w:rsid w:val="00F33F2E"/>
    <w:rsid w:val="00F3442C"/>
    <w:rsid w:val="00F345E6"/>
    <w:rsid w:val="00F34702"/>
    <w:rsid w:val="00F3470D"/>
    <w:rsid w:val="00F34973"/>
    <w:rsid w:val="00F34B3B"/>
    <w:rsid w:val="00F3508F"/>
    <w:rsid w:val="00F352FB"/>
    <w:rsid w:val="00F353BD"/>
    <w:rsid w:val="00F354F9"/>
    <w:rsid w:val="00F357C8"/>
    <w:rsid w:val="00F35819"/>
    <w:rsid w:val="00F35BE0"/>
    <w:rsid w:val="00F3635E"/>
    <w:rsid w:val="00F3653A"/>
    <w:rsid w:val="00F36960"/>
    <w:rsid w:val="00F36C5C"/>
    <w:rsid w:val="00F36DBF"/>
    <w:rsid w:val="00F36E8D"/>
    <w:rsid w:val="00F36EC7"/>
    <w:rsid w:val="00F375B0"/>
    <w:rsid w:val="00F37640"/>
    <w:rsid w:val="00F37C71"/>
    <w:rsid w:val="00F37E35"/>
    <w:rsid w:val="00F37EB4"/>
    <w:rsid w:val="00F401A9"/>
    <w:rsid w:val="00F404E3"/>
    <w:rsid w:val="00F4081D"/>
    <w:rsid w:val="00F40BBD"/>
    <w:rsid w:val="00F4105A"/>
    <w:rsid w:val="00F41386"/>
    <w:rsid w:val="00F419E9"/>
    <w:rsid w:val="00F41B32"/>
    <w:rsid w:val="00F4258F"/>
    <w:rsid w:val="00F428C2"/>
    <w:rsid w:val="00F42AE4"/>
    <w:rsid w:val="00F42C3D"/>
    <w:rsid w:val="00F42EB8"/>
    <w:rsid w:val="00F4333C"/>
    <w:rsid w:val="00F4387E"/>
    <w:rsid w:val="00F43AD6"/>
    <w:rsid w:val="00F43AE0"/>
    <w:rsid w:val="00F43C2A"/>
    <w:rsid w:val="00F4496B"/>
    <w:rsid w:val="00F45997"/>
    <w:rsid w:val="00F45BD1"/>
    <w:rsid w:val="00F45C29"/>
    <w:rsid w:val="00F45D50"/>
    <w:rsid w:val="00F45F56"/>
    <w:rsid w:val="00F46278"/>
    <w:rsid w:val="00F4660E"/>
    <w:rsid w:val="00F46943"/>
    <w:rsid w:val="00F46B0A"/>
    <w:rsid w:val="00F47215"/>
    <w:rsid w:val="00F476BC"/>
    <w:rsid w:val="00F47730"/>
    <w:rsid w:val="00F477D1"/>
    <w:rsid w:val="00F47BA8"/>
    <w:rsid w:val="00F47BC1"/>
    <w:rsid w:val="00F47CFD"/>
    <w:rsid w:val="00F47DFC"/>
    <w:rsid w:val="00F47F57"/>
    <w:rsid w:val="00F5034F"/>
    <w:rsid w:val="00F5043C"/>
    <w:rsid w:val="00F50547"/>
    <w:rsid w:val="00F50651"/>
    <w:rsid w:val="00F5074C"/>
    <w:rsid w:val="00F50E0E"/>
    <w:rsid w:val="00F51047"/>
    <w:rsid w:val="00F51233"/>
    <w:rsid w:val="00F52345"/>
    <w:rsid w:val="00F52E32"/>
    <w:rsid w:val="00F5328A"/>
    <w:rsid w:val="00F534F9"/>
    <w:rsid w:val="00F5368B"/>
    <w:rsid w:val="00F53BE1"/>
    <w:rsid w:val="00F54419"/>
    <w:rsid w:val="00F54476"/>
    <w:rsid w:val="00F54510"/>
    <w:rsid w:val="00F546FB"/>
    <w:rsid w:val="00F547F1"/>
    <w:rsid w:val="00F54ACF"/>
    <w:rsid w:val="00F54B10"/>
    <w:rsid w:val="00F54D9A"/>
    <w:rsid w:val="00F5543A"/>
    <w:rsid w:val="00F554BE"/>
    <w:rsid w:val="00F556F5"/>
    <w:rsid w:val="00F55910"/>
    <w:rsid w:val="00F55955"/>
    <w:rsid w:val="00F5597F"/>
    <w:rsid w:val="00F55A34"/>
    <w:rsid w:val="00F5610D"/>
    <w:rsid w:val="00F5662F"/>
    <w:rsid w:val="00F56B09"/>
    <w:rsid w:val="00F56C40"/>
    <w:rsid w:val="00F56EC9"/>
    <w:rsid w:val="00F56F2D"/>
    <w:rsid w:val="00F5712B"/>
    <w:rsid w:val="00F5780F"/>
    <w:rsid w:val="00F57D16"/>
    <w:rsid w:val="00F57FB1"/>
    <w:rsid w:val="00F60118"/>
    <w:rsid w:val="00F607A6"/>
    <w:rsid w:val="00F60858"/>
    <w:rsid w:val="00F60C4A"/>
    <w:rsid w:val="00F60C96"/>
    <w:rsid w:val="00F60E58"/>
    <w:rsid w:val="00F612C8"/>
    <w:rsid w:val="00F615FA"/>
    <w:rsid w:val="00F61DEC"/>
    <w:rsid w:val="00F621C3"/>
    <w:rsid w:val="00F62B9D"/>
    <w:rsid w:val="00F62C54"/>
    <w:rsid w:val="00F62CAD"/>
    <w:rsid w:val="00F6346D"/>
    <w:rsid w:val="00F6351B"/>
    <w:rsid w:val="00F63526"/>
    <w:rsid w:val="00F63585"/>
    <w:rsid w:val="00F63777"/>
    <w:rsid w:val="00F638AB"/>
    <w:rsid w:val="00F63A0D"/>
    <w:rsid w:val="00F63A8F"/>
    <w:rsid w:val="00F63B96"/>
    <w:rsid w:val="00F6426D"/>
    <w:rsid w:val="00F6463F"/>
    <w:rsid w:val="00F6475C"/>
    <w:rsid w:val="00F6511E"/>
    <w:rsid w:val="00F65323"/>
    <w:rsid w:val="00F6555C"/>
    <w:rsid w:val="00F6561A"/>
    <w:rsid w:val="00F65724"/>
    <w:rsid w:val="00F657C8"/>
    <w:rsid w:val="00F66243"/>
    <w:rsid w:val="00F667CA"/>
    <w:rsid w:val="00F6706A"/>
    <w:rsid w:val="00F671C0"/>
    <w:rsid w:val="00F6725F"/>
    <w:rsid w:val="00F675E3"/>
    <w:rsid w:val="00F70092"/>
    <w:rsid w:val="00F70337"/>
    <w:rsid w:val="00F705A8"/>
    <w:rsid w:val="00F708C7"/>
    <w:rsid w:val="00F709B1"/>
    <w:rsid w:val="00F70BD0"/>
    <w:rsid w:val="00F70D6E"/>
    <w:rsid w:val="00F7169B"/>
    <w:rsid w:val="00F7179E"/>
    <w:rsid w:val="00F7189D"/>
    <w:rsid w:val="00F71AEA"/>
    <w:rsid w:val="00F7245E"/>
    <w:rsid w:val="00F72787"/>
    <w:rsid w:val="00F72A99"/>
    <w:rsid w:val="00F72F2F"/>
    <w:rsid w:val="00F7358C"/>
    <w:rsid w:val="00F736A9"/>
    <w:rsid w:val="00F7386D"/>
    <w:rsid w:val="00F73ECF"/>
    <w:rsid w:val="00F73F9C"/>
    <w:rsid w:val="00F73FDD"/>
    <w:rsid w:val="00F74305"/>
    <w:rsid w:val="00F746C0"/>
    <w:rsid w:val="00F748B9"/>
    <w:rsid w:val="00F74BA5"/>
    <w:rsid w:val="00F74D02"/>
    <w:rsid w:val="00F750A5"/>
    <w:rsid w:val="00F751B2"/>
    <w:rsid w:val="00F75A42"/>
    <w:rsid w:val="00F75D90"/>
    <w:rsid w:val="00F75EE0"/>
    <w:rsid w:val="00F75FED"/>
    <w:rsid w:val="00F7611F"/>
    <w:rsid w:val="00F76233"/>
    <w:rsid w:val="00F76D4C"/>
    <w:rsid w:val="00F7712A"/>
    <w:rsid w:val="00F77190"/>
    <w:rsid w:val="00F77198"/>
    <w:rsid w:val="00F77D31"/>
    <w:rsid w:val="00F77F85"/>
    <w:rsid w:val="00F80243"/>
    <w:rsid w:val="00F8030A"/>
    <w:rsid w:val="00F80A4F"/>
    <w:rsid w:val="00F80A90"/>
    <w:rsid w:val="00F81404"/>
    <w:rsid w:val="00F81BC9"/>
    <w:rsid w:val="00F81EBE"/>
    <w:rsid w:val="00F82551"/>
    <w:rsid w:val="00F82D81"/>
    <w:rsid w:val="00F82DE8"/>
    <w:rsid w:val="00F832F8"/>
    <w:rsid w:val="00F833DF"/>
    <w:rsid w:val="00F83823"/>
    <w:rsid w:val="00F83AE2"/>
    <w:rsid w:val="00F83BF3"/>
    <w:rsid w:val="00F83E2F"/>
    <w:rsid w:val="00F849C3"/>
    <w:rsid w:val="00F84AAE"/>
    <w:rsid w:val="00F84B1E"/>
    <w:rsid w:val="00F85345"/>
    <w:rsid w:val="00F85A15"/>
    <w:rsid w:val="00F85BED"/>
    <w:rsid w:val="00F85C71"/>
    <w:rsid w:val="00F8621E"/>
    <w:rsid w:val="00F86E9E"/>
    <w:rsid w:val="00F86EFF"/>
    <w:rsid w:val="00F86F3A"/>
    <w:rsid w:val="00F87281"/>
    <w:rsid w:val="00F87661"/>
    <w:rsid w:val="00F878B5"/>
    <w:rsid w:val="00F87AF4"/>
    <w:rsid w:val="00F87AFE"/>
    <w:rsid w:val="00F87CDE"/>
    <w:rsid w:val="00F87F26"/>
    <w:rsid w:val="00F9023F"/>
    <w:rsid w:val="00F904F1"/>
    <w:rsid w:val="00F90826"/>
    <w:rsid w:val="00F90831"/>
    <w:rsid w:val="00F90F23"/>
    <w:rsid w:val="00F914E7"/>
    <w:rsid w:val="00F91606"/>
    <w:rsid w:val="00F9162D"/>
    <w:rsid w:val="00F91697"/>
    <w:rsid w:val="00F91785"/>
    <w:rsid w:val="00F91FF5"/>
    <w:rsid w:val="00F92172"/>
    <w:rsid w:val="00F9297E"/>
    <w:rsid w:val="00F92BB5"/>
    <w:rsid w:val="00F92E1F"/>
    <w:rsid w:val="00F92FAB"/>
    <w:rsid w:val="00F934EF"/>
    <w:rsid w:val="00F93635"/>
    <w:rsid w:val="00F9363A"/>
    <w:rsid w:val="00F937DE"/>
    <w:rsid w:val="00F93DBE"/>
    <w:rsid w:val="00F94228"/>
    <w:rsid w:val="00F94252"/>
    <w:rsid w:val="00F9425C"/>
    <w:rsid w:val="00F9450C"/>
    <w:rsid w:val="00F94721"/>
    <w:rsid w:val="00F94B76"/>
    <w:rsid w:val="00F94CE5"/>
    <w:rsid w:val="00F94E89"/>
    <w:rsid w:val="00F95123"/>
    <w:rsid w:val="00F951EE"/>
    <w:rsid w:val="00F95855"/>
    <w:rsid w:val="00F9589E"/>
    <w:rsid w:val="00F95C7F"/>
    <w:rsid w:val="00F95EEB"/>
    <w:rsid w:val="00F95F96"/>
    <w:rsid w:val="00F96504"/>
    <w:rsid w:val="00F9759E"/>
    <w:rsid w:val="00FA011F"/>
    <w:rsid w:val="00FA0849"/>
    <w:rsid w:val="00FA09E8"/>
    <w:rsid w:val="00FA10F5"/>
    <w:rsid w:val="00FA11E3"/>
    <w:rsid w:val="00FA1349"/>
    <w:rsid w:val="00FA13BB"/>
    <w:rsid w:val="00FA18AA"/>
    <w:rsid w:val="00FA19A7"/>
    <w:rsid w:val="00FA1B92"/>
    <w:rsid w:val="00FA253C"/>
    <w:rsid w:val="00FA294B"/>
    <w:rsid w:val="00FA29FF"/>
    <w:rsid w:val="00FA2BBA"/>
    <w:rsid w:val="00FA307C"/>
    <w:rsid w:val="00FA3214"/>
    <w:rsid w:val="00FA334D"/>
    <w:rsid w:val="00FA384F"/>
    <w:rsid w:val="00FA399C"/>
    <w:rsid w:val="00FA3C2C"/>
    <w:rsid w:val="00FA3C6D"/>
    <w:rsid w:val="00FA3DDB"/>
    <w:rsid w:val="00FA5650"/>
    <w:rsid w:val="00FA5E0C"/>
    <w:rsid w:val="00FA65C5"/>
    <w:rsid w:val="00FA6917"/>
    <w:rsid w:val="00FA6D6D"/>
    <w:rsid w:val="00FA71BE"/>
    <w:rsid w:val="00FA788C"/>
    <w:rsid w:val="00FA7DDC"/>
    <w:rsid w:val="00FA7E61"/>
    <w:rsid w:val="00FB0100"/>
    <w:rsid w:val="00FB0507"/>
    <w:rsid w:val="00FB07DA"/>
    <w:rsid w:val="00FB0876"/>
    <w:rsid w:val="00FB091B"/>
    <w:rsid w:val="00FB0B10"/>
    <w:rsid w:val="00FB0F05"/>
    <w:rsid w:val="00FB165B"/>
    <w:rsid w:val="00FB1BC1"/>
    <w:rsid w:val="00FB20C0"/>
    <w:rsid w:val="00FB2FAC"/>
    <w:rsid w:val="00FB37B5"/>
    <w:rsid w:val="00FB3A62"/>
    <w:rsid w:val="00FB3AB7"/>
    <w:rsid w:val="00FB4E3A"/>
    <w:rsid w:val="00FB4F27"/>
    <w:rsid w:val="00FB4FD5"/>
    <w:rsid w:val="00FB5202"/>
    <w:rsid w:val="00FB54BC"/>
    <w:rsid w:val="00FB552A"/>
    <w:rsid w:val="00FB58AB"/>
    <w:rsid w:val="00FB5BEB"/>
    <w:rsid w:val="00FB5C28"/>
    <w:rsid w:val="00FB6037"/>
    <w:rsid w:val="00FB6757"/>
    <w:rsid w:val="00FB6E5E"/>
    <w:rsid w:val="00FB700C"/>
    <w:rsid w:val="00FC01DE"/>
    <w:rsid w:val="00FC037E"/>
    <w:rsid w:val="00FC03CB"/>
    <w:rsid w:val="00FC0536"/>
    <w:rsid w:val="00FC06A1"/>
    <w:rsid w:val="00FC10D1"/>
    <w:rsid w:val="00FC1CBE"/>
    <w:rsid w:val="00FC2280"/>
    <w:rsid w:val="00FC2444"/>
    <w:rsid w:val="00FC2BE4"/>
    <w:rsid w:val="00FC3942"/>
    <w:rsid w:val="00FC3B50"/>
    <w:rsid w:val="00FC3BE0"/>
    <w:rsid w:val="00FC3C2B"/>
    <w:rsid w:val="00FC45A0"/>
    <w:rsid w:val="00FC46F7"/>
    <w:rsid w:val="00FC4A9D"/>
    <w:rsid w:val="00FC4BB7"/>
    <w:rsid w:val="00FC50F8"/>
    <w:rsid w:val="00FC54E6"/>
    <w:rsid w:val="00FC56AA"/>
    <w:rsid w:val="00FC5A03"/>
    <w:rsid w:val="00FC5A0E"/>
    <w:rsid w:val="00FC5B4A"/>
    <w:rsid w:val="00FC5D62"/>
    <w:rsid w:val="00FC6668"/>
    <w:rsid w:val="00FC6679"/>
    <w:rsid w:val="00FC6BDE"/>
    <w:rsid w:val="00FC702C"/>
    <w:rsid w:val="00FC712D"/>
    <w:rsid w:val="00FC733C"/>
    <w:rsid w:val="00FC7621"/>
    <w:rsid w:val="00FC762D"/>
    <w:rsid w:val="00FC7ABA"/>
    <w:rsid w:val="00FC7B55"/>
    <w:rsid w:val="00FC7D65"/>
    <w:rsid w:val="00FD00F9"/>
    <w:rsid w:val="00FD0207"/>
    <w:rsid w:val="00FD0366"/>
    <w:rsid w:val="00FD0509"/>
    <w:rsid w:val="00FD0639"/>
    <w:rsid w:val="00FD07AA"/>
    <w:rsid w:val="00FD0849"/>
    <w:rsid w:val="00FD0C76"/>
    <w:rsid w:val="00FD0DCA"/>
    <w:rsid w:val="00FD1112"/>
    <w:rsid w:val="00FD130F"/>
    <w:rsid w:val="00FD1694"/>
    <w:rsid w:val="00FD1D6D"/>
    <w:rsid w:val="00FD1EF1"/>
    <w:rsid w:val="00FD25C8"/>
    <w:rsid w:val="00FD298A"/>
    <w:rsid w:val="00FD2CEC"/>
    <w:rsid w:val="00FD2E79"/>
    <w:rsid w:val="00FD352D"/>
    <w:rsid w:val="00FD3539"/>
    <w:rsid w:val="00FD38C4"/>
    <w:rsid w:val="00FD3EA7"/>
    <w:rsid w:val="00FD420F"/>
    <w:rsid w:val="00FD454E"/>
    <w:rsid w:val="00FD4702"/>
    <w:rsid w:val="00FD49B8"/>
    <w:rsid w:val="00FD4ED3"/>
    <w:rsid w:val="00FD55F4"/>
    <w:rsid w:val="00FD5AFD"/>
    <w:rsid w:val="00FD5D40"/>
    <w:rsid w:val="00FD5F33"/>
    <w:rsid w:val="00FD5FCF"/>
    <w:rsid w:val="00FD620E"/>
    <w:rsid w:val="00FD62FA"/>
    <w:rsid w:val="00FD64A9"/>
    <w:rsid w:val="00FD6560"/>
    <w:rsid w:val="00FD68F2"/>
    <w:rsid w:val="00FD6D20"/>
    <w:rsid w:val="00FD741E"/>
    <w:rsid w:val="00FD75C5"/>
    <w:rsid w:val="00FD7715"/>
    <w:rsid w:val="00FD7AFC"/>
    <w:rsid w:val="00FD7CFF"/>
    <w:rsid w:val="00FD7DB3"/>
    <w:rsid w:val="00FD7ED1"/>
    <w:rsid w:val="00FD7F65"/>
    <w:rsid w:val="00FE089D"/>
    <w:rsid w:val="00FE0C82"/>
    <w:rsid w:val="00FE10D7"/>
    <w:rsid w:val="00FE189E"/>
    <w:rsid w:val="00FE19E8"/>
    <w:rsid w:val="00FE1ACE"/>
    <w:rsid w:val="00FE1CC2"/>
    <w:rsid w:val="00FE1D21"/>
    <w:rsid w:val="00FE1D42"/>
    <w:rsid w:val="00FE211E"/>
    <w:rsid w:val="00FE28A3"/>
    <w:rsid w:val="00FE3965"/>
    <w:rsid w:val="00FE3B6D"/>
    <w:rsid w:val="00FE3B96"/>
    <w:rsid w:val="00FE4139"/>
    <w:rsid w:val="00FE436C"/>
    <w:rsid w:val="00FE4752"/>
    <w:rsid w:val="00FE4802"/>
    <w:rsid w:val="00FE4BCF"/>
    <w:rsid w:val="00FE5163"/>
    <w:rsid w:val="00FE55AC"/>
    <w:rsid w:val="00FE560A"/>
    <w:rsid w:val="00FE5A8C"/>
    <w:rsid w:val="00FE5C27"/>
    <w:rsid w:val="00FE60B2"/>
    <w:rsid w:val="00FE63DA"/>
    <w:rsid w:val="00FE6650"/>
    <w:rsid w:val="00FE68C2"/>
    <w:rsid w:val="00FE7500"/>
    <w:rsid w:val="00FE76BC"/>
    <w:rsid w:val="00FE7A1E"/>
    <w:rsid w:val="00FF000F"/>
    <w:rsid w:val="00FF0323"/>
    <w:rsid w:val="00FF035B"/>
    <w:rsid w:val="00FF07A9"/>
    <w:rsid w:val="00FF0D2C"/>
    <w:rsid w:val="00FF1074"/>
    <w:rsid w:val="00FF12BD"/>
    <w:rsid w:val="00FF1748"/>
    <w:rsid w:val="00FF2B61"/>
    <w:rsid w:val="00FF2C8A"/>
    <w:rsid w:val="00FF2EDE"/>
    <w:rsid w:val="00FF41CA"/>
    <w:rsid w:val="00FF4473"/>
    <w:rsid w:val="00FF449F"/>
    <w:rsid w:val="00FF465A"/>
    <w:rsid w:val="00FF4BEA"/>
    <w:rsid w:val="00FF4F32"/>
    <w:rsid w:val="00FF4F67"/>
    <w:rsid w:val="00FF5455"/>
    <w:rsid w:val="00FF54D9"/>
    <w:rsid w:val="00FF5762"/>
    <w:rsid w:val="00FF5906"/>
    <w:rsid w:val="00FF5DBB"/>
    <w:rsid w:val="00FF6010"/>
    <w:rsid w:val="00FF6B0F"/>
    <w:rsid w:val="00FF6B47"/>
    <w:rsid w:val="00FF6C5D"/>
    <w:rsid w:val="00FF7174"/>
    <w:rsid w:val="00FF7344"/>
    <w:rsid w:val="00FF7B81"/>
    <w:rsid w:val="00FF7BB6"/>
    <w:rsid w:val="00FF7E2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1B44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67">
    <w:lsdException w:name="Normal" w:semiHidden="0" w:uiPriority="34"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w:uiPriority="14" w:qFormat="1"/>
    <w:lsdException w:name="List Number" w:uiPriority="13" w:qFormat="1"/>
    <w:lsdException w:name="List Bullet 2" w:qFormat="1"/>
    <w:lsdException w:name="List Bullet 3" w:qFormat="1"/>
    <w:lsdException w:name="List Bullet 4" w:uiPriority="14"/>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Signature" w:uiPriority="0"/>
    <w:lsdException w:name="Default Paragraph Font" w:uiPriority="1"/>
    <w:lsdException w:name="Body Text" w:uiPriority="0" w:qFormat="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taskaitos_tesktas"/>
    <w:uiPriority w:val="34"/>
    <w:qFormat/>
    <w:rsid w:val="002C503C"/>
    <w:pPr>
      <w:spacing w:after="0"/>
    </w:pPr>
    <w:rPr>
      <w:rFonts w:ascii="Cambria" w:eastAsia="Arial" w:hAnsi="Cambria" w:cs="Times New Roman"/>
      <w:color w:val="000000"/>
      <w:sz w:val="22"/>
      <w:szCs w:val="21"/>
      <w:lang w:val="lt-LT"/>
    </w:rPr>
  </w:style>
  <w:style w:type="paragraph" w:styleId="Heading1">
    <w:name w:val="heading 1"/>
    <w:aliases w:val="Section,Heading 1 (nevda),H1,Headline 1,h1,Hoofdstuk,Section Heading,A MAJOR/BOLD,Heading 1 CFMU,Para 1,l1,Head 1 (Chapter heading),Head 1,Head 11,Head 12,Head 111,Head 13,Head 112,Head 14,Head 113,Head 15,Head 114,Head 16,Head 115,Head 17,t1"/>
    <w:basedOn w:val="Normal"/>
    <w:next w:val="BodyText"/>
    <w:link w:val="Heading1Char"/>
    <w:uiPriority w:val="99"/>
    <w:qFormat/>
    <w:rsid w:val="00E86367"/>
    <w:pPr>
      <w:keepNext/>
      <w:keepLines/>
      <w:spacing w:after="40" w:line="240" w:lineRule="auto"/>
      <w:outlineLvl w:val="0"/>
    </w:pPr>
    <w:rPr>
      <w:rFonts w:asciiTheme="majorHAnsi" w:eastAsiaTheme="majorEastAsia" w:hAnsiTheme="majorHAnsi" w:cstheme="majorBidi"/>
      <w:b/>
      <w:bCs/>
      <w:i/>
      <w:sz w:val="32"/>
      <w:szCs w:val="28"/>
      <w:lang w:val="en-GB"/>
    </w:rPr>
  </w:style>
  <w:style w:type="paragraph" w:styleId="Heading2">
    <w:name w:val="heading 2"/>
    <w:aliases w:val="Title Header2,Heading 2 (nevda),H2,Headline 2,h2,2,headi,heading2,h21,h22,21,l2,kopregel 2,HD2,Heading 2 Hidden,Proposal,Level 2 Heading,Numbered indent 2,ni2,Hanging 2 Indent,numbered indent 2,exercise,Heading 2 substyle,Heading 2 CFMU,Para 2"/>
    <w:basedOn w:val="Normal"/>
    <w:next w:val="BodyText"/>
    <w:link w:val="Heading2Char"/>
    <w:uiPriority w:val="99"/>
    <w:unhideWhenUsed/>
    <w:qFormat/>
    <w:rsid w:val="00E86367"/>
    <w:pPr>
      <w:keepNext/>
      <w:keepLines/>
      <w:spacing w:after="40" w:line="240" w:lineRule="auto"/>
      <w:outlineLvl w:val="1"/>
    </w:pPr>
    <w:rPr>
      <w:rFonts w:asciiTheme="majorHAnsi" w:eastAsiaTheme="majorEastAsia" w:hAnsiTheme="majorHAnsi" w:cstheme="majorBidi"/>
      <w:b/>
      <w:bCs/>
      <w:i/>
      <w:sz w:val="24"/>
      <w:szCs w:val="26"/>
      <w:lang w:val="en-GB"/>
    </w:rPr>
  </w:style>
  <w:style w:type="paragraph" w:styleId="Heading3">
    <w:name w:val="heading 3"/>
    <w:aliases w:val="TES_Skyrius 1.1.1.,Kap.1.1.1 Char,Kap.1.1.1,A3,Heading 3 (nevda),H3,Section Header3,Sub-Clause Paragraph,Diagrama14,Sub-Clause Paragraph Diagrama,Section Header3 Diagrama,Antraštė 31"/>
    <w:basedOn w:val="Normal"/>
    <w:next w:val="BodyText"/>
    <w:link w:val="Heading3Char"/>
    <w:uiPriority w:val="99"/>
    <w:unhideWhenUsed/>
    <w:qFormat/>
    <w:rsid w:val="00E86367"/>
    <w:pPr>
      <w:keepNext/>
      <w:keepLines/>
      <w:spacing w:after="40" w:line="240" w:lineRule="auto"/>
      <w:outlineLvl w:val="2"/>
    </w:pPr>
    <w:rPr>
      <w:rFonts w:asciiTheme="majorHAnsi" w:eastAsiaTheme="majorEastAsia" w:hAnsiTheme="majorHAnsi" w:cstheme="majorBidi"/>
      <w:bCs/>
      <w:i/>
      <w:sz w:val="24"/>
      <w:lang w:val="en-GB"/>
    </w:rPr>
  </w:style>
  <w:style w:type="paragraph" w:styleId="Heading4">
    <w:name w:val="heading 4"/>
    <w:aliases w:val="Heading 4 (nevda),H4,Sub-Clause Sub-paragraph,Heading 4 Char Char Char Char,Antraštė 41, Sub-Clause Sub-paragraph"/>
    <w:basedOn w:val="Normal"/>
    <w:next w:val="BodyText"/>
    <w:link w:val="Heading4Char"/>
    <w:uiPriority w:val="99"/>
    <w:unhideWhenUsed/>
    <w:qFormat/>
    <w:rsid w:val="00E86367"/>
    <w:pPr>
      <w:keepNext/>
      <w:keepLines/>
      <w:spacing w:after="40" w:line="240" w:lineRule="auto"/>
      <w:outlineLvl w:val="3"/>
    </w:pPr>
    <w:rPr>
      <w:rFonts w:asciiTheme="majorHAnsi" w:eastAsiaTheme="majorEastAsia" w:hAnsiTheme="majorHAnsi" w:cstheme="majorBidi"/>
      <w:bCs/>
      <w:i/>
      <w:iCs/>
      <w:lang w:val="en-GB"/>
    </w:rPr>
  </w:style>
  <w:style w:type="paragraph" w:styleId="Heading5">
    <w:name w:val="heading 5"/>
    <w:aliases w:val="Lentelems,H5"/>
    <w:basedOn w:val="Normal"/>
    <w:next w:val="BodyText"/>
    <w:link w:val="Heading5Char"/>
    <w:uiPriority w:val="99"/>
    <w:unhideWhenUsed/>
    <w:qFormat/>
    <w:rsid w:val="00E86367"/>
    <w:pPr>
      <w:keepNext/>
      <w:keepLines/>
      <w:spacing w:after="40" w:line="240" w:lineRule="auto"/>
      <w:outlineLvl w:val="4"/>
    </w:pPr>
    <w:rPr>
      <w:rFonts w:asciiTheme="majorHAnsi" w:eastAsiaTheme="majorEastAsia" w:hAnsiTheme="majorHAnsi" w:cstheme="majorBidi"/>
      <w:lang w:val="en-GB"/>
    </w:rPr>
  </w:style>
  <w:style w:type="paragraph" w:styleId="Heading6">
    <w:name w:val="heading 6"/>
    <w:aliases w:val="Paveikslams"/>
    <w:basedOn w:val="Normal"/>
    <w:next w:val="Normal"/>
    <w:link w:val="Heading6Char"/>
    <w:uiPriority w:val="99"/>
    <w:unhideWhenUsed/>
    <w:qFormat/>
    <w:rsid w:val="00E86367"/>
    <w:pPr>
      <w:keepNext/>
      <w:keepLines/>
      <w:spacing w:after="40" w:line="240" w:lineRule="auto"/>
      <w:outlineLvl w:val="5"/>
    </w:pPr>
    <w:rPr>
      <w:rFonts w:asciiTheme="majorHAnsi" w:eastAsiaTheme="majorEastAsia" w:hAnsiTheme="majorHAnsi" w:cstheme="majorBidi"/>
      <w:iCs/>
      <w:lang w:val="en-GB"/>
    </w:rPr>
  </w:style>
  <w:style w:type="paragraph" w:styleId="Heading7">
    <w:name w:val="heading 7"/>
    <w:basedOn w:val="Normal"/>
    <w:next w:val="Normal"/>
    <w:link w:val="Heading7Char"/>
    <w:uiPriority w:val="99"/>
    <w:unhideWhenUsed/>
    <w:qFormat/>
    <w:rsid w:val="00E86367"/>
    <w:pPr>
      <w:keepNext/>
      <w:keepLines/>
      <w:spacing w:after="40" w:line="240" w:lineRule="auto"/>
      <w:outlineLvl w:val="6"/>
    </w:pPr>
    <w:rPr>
      <w:rFonts w:asciiTheme="majorHAnsi" w:eastAsiaTheme="majorEastAsia" w:hAnsiTheme="majorHAnsi" w:cstheme="majorBidi"/>
      <w:iCs/>
      <w:lang w:val="en-GB"/>
    </w:rPr>
  </w:style>
  <w:style w:type="paragraph" w:styleId="Heading8">
    <w:name w:val="heading 8"/>
    <w:basedOn w:val="Normal"/>
    <w:next w:val="Normal"/>
    <w:link w:val="Heading8Char"/>
    <w:uiPriority w:val="99"/>
    <w:unhideWhenUsed/>
    <w:qFormat/>
    <w:rsid w:val="00E86367"/>
    <w:pPr>
      <w:keepNext/>
      <w:keepLines/>
      <w:spacing w:after="40" w:line="240" w:lineRule="auto"/>
      <w:outlineLvl w:val="7"/>
    </w:pPr>
    <w:rPr>
      <w:rFonts w:asciiTheme="majorHAnsi" w:eastAsiaTheme="majorEastAsia" w:hAnsiTheme="majorHAnsi" w:cstheme="majorBidi"/>
      <w:lang w:val="en-GB"/>
    </w:rPr>
  </w:style>
  <w:style w:type="paragraph" w:styleId="Heading9">
    <w:name w:val="heading 9"/>
    <w:basedOn w:val="Normal"/>
    <w:next w:val="Normal"/>
    <w:link w:val="Heading9Char"/>
    <w:uiPriority w:val="99"/>
    <w:unhideWhenUsed/>
    <w:qFormat/>
    <w:rsid w:val="00E86367"/>
    <w:pPr>
      <w:keepNext/>
      <w:keepLines/>
      <w:spacing w:after="40" w:line="240" w:lineRule="auto"/>
      <w:outlineLvl w:val="8"/>
    </w:pPr>
    <w:rPr>
      <w:rFonts w:asciiTheme="majorHAnsi" w:eastAsiaTheme="majorEastAsia" w:hAnsiTheme="majorHAnsi" w:cstheme="majorBid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86367"/>
    <w:rPr>
      <w:lang w:val="en-GB"/>
    </w:rPr>
  </w:style>
  <w:style w:type="character" w:customStyle="1" w:styleId="BodyTextChar">
    <w:name w:val="Body Text Char"/>
    <w:basedOn w:val="DefaultParagraphFont"/>
    <w:link w:val="BodyText"/>
    <w:rsid w:val="00E86367"/>
  </w:style>
  <w:style w:type="paragraph" w:customStyle="1" w:styleId="BodySingle">
    <w:name w:val="Body Single"/>
    <w:basedOn w:val="BodyText"/>
    <w:link w:val="BodySingleChar"/>
    <w:uiPriority w:val="1"/>
    <w:qFormat/>
    <w:rsid w:val="00E86367"/>
  </w:style>
  <w:style w:type="paragraph" w:styleId="Header">
    <w:name w:val="header"/>
    <w:aliases w:val="Viršutinis kolontitulas Diagrama1,Viršutinis kolontitulas Diagrama Diagrama1,Char Diagrama Diagrama1,Viršutinis kolontitulas Diagrama Diagrama Diagrama,Char Diagrama Diagrama Diagrama,Char Diagrama1,Char,Char Diagrama,En-tête-1,En-tête-2,hd"/>
    <w:basedOn w:val="Normal"/>
    <w:link w:val="HeaderChar"/>
    <w:uiPriority w:val="99"/>
    <w:unhideWhenUsed/>
    <w:qFormat/>
    <w:rsid w:val="00E86367"/>
    <w:pPr>
      <w:tabs>
        <w:tab w:val="center" w:pos="4536"/>
        <w:tab w:val="right" w:pos="9866"/>
      </w:tabs>
      <w:spacing w:line="240" w:lineRule="auto"/>
    </w:pPr>
    <w:rPr>
      <w:rFonts w:asciiTheme="minorHAnsi" w:hAnsiTheme="minorHAnsi"/>
      <w:sz w:val="18"/>
      <w:lang w:val="en-GB"/>
    </w:rPr>
  </w:style>
  <w:style w:type="character" w:customStyle="1" w:styleId="BodySingleChar">
    <w:name w:val="Body Single Char"/>
    <w:basedOn w:val="BodyTextChar"/>
    <w:link w:val="BodySingle"/>
    <w:uiPriority w:val="1"/>
    <w:rsid w:val="00E86367"/>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1"/>
    <w:basedOn w:val="DefaultParagraphFont"/>
    <w:link w:val="Header"/>
    <w:uiPriority w:val="99"/>
    <w:rsid w:val="00E86367"/>
    <w:rPr>
      <w:rFonts w:asciiTheme="minorHAnsi" w:hAnsiTheme="minorHAnsi"/>
      <w:sz w:val="18"/>
    </w:rPr>
  </w:style>
  <w:style w:type="paragraph" w:styleId="Footer">
    <w:name w:val="footer"/>
    <w:aliases w:val="|| Footer"/>
    <w:basedOn w:val="Normal"/>
    <w:link w:val="FooterChar"/>
    <w:uiPriority w:val="99"/>
    <w:unhideWhenUsed/>
    <w:rsid w:val="00E86367"/>
    <w:pPr>
      <w:tabs>
        <w:tab w:val="center" w:pos="4536"/>
        <w:tab w:val="right" w:pos="9866"/>
      </w:tabs>
      <w:spacing w:line="240" w:lineRule="auto"/>
    </w:pPr>
    <w:rPr>
      <w:rFonts w:asciiTheme="minorHAnsi" w:hAnsiTheme="minorHAnsi"/>
      <w:sz w:val="18"/>
      <w:lang w:val="en-GB"/>
    </w:rPr>
  </w:style>
  <w:style w:type="character" w:customStyle="1" w:styleId="FooterChar">
    <w:name w:val="Footer Char"/>
    <w:aliases w:val="|| Footer Char"/>
    <w:basedOn w:val="DefaultParagraphFont"/>
    <w:link w:val="Footer"/>
    <w:uiPriority w:val="99"/>
    <w:rsid w:val="00E86367"/>
    <w:rPr>
      <w:rFonts w:asciiTheme="minorHAnsi" w:hAnsiTheme="minorHAnsi"/>
      <w:sz w:val="18"/>
    </w:rPr>
  </w:style>
  <w:style w:type="character" w:customStyle="1" w:styleId="Heading1Char">
    <w:name w:val="Heading 1 Char"/>
    <w:aliases w:val="Section Char,Heading 1 (nevda) Char,H1 Char,Headline 1 Char,h1 Char,Hoofdstuk Char,Section Heading Char,A MAJOR/BOLD Char,Heading 1 CFMU Char,Para 1 Char,l1 Char,Head 1 (Chapter heading) Char,Head 1 Char,Head 11 Char,Head 12 Char,t1 Char"/>
    <w:basedOn w:val="DefaultParagraphFont"/>
    <w:link w:val="Heading1"/>
    <w:uiPriority w:val="99"/>
    <w:rsid w:val="00E86367"/>
    <w:rPr>
      <w:rFonts w:asciiTheme="majorHAnsi" w:eastAsiaTheme="majorEastAsia" w:hAnsiTheme="majorHAnsi" w:cstheme="majorBidi"/>
      <w:b/>
      <w:bCs/>
      <w:i/>
      <w:color w:val="000000"/>
      <w:sz w:val="32"/>
      <w:szCs w:val="28"/>
    </w:rPr>
  </w:style>
  <w:style w:type="character" w:customStyle="1" w:styleId="Heading2Char">
    <w:name w:val="Heading 2 Char"/>
    <w:aliases w:val="Title Header2 Char,Heading 2 (nevda) Char,H2 Char,Headline 2 Char,h2 Char,2 Char,headi Char,heading2 Char,h21 Char,h22 Char,21 Char,l2 Char,kopregel 2 Char,HD2 Char,Heading 2 Hidden Char,Proposal Char,Level 2 Heading Char,ni2 Char"/>
    <w:basedOn w:val="DefaultParagraphFont"/>
    <w:link w:val="Heading2"/>
    <w:uiPriority w:val="99"/>
    <w:rsid w:val="00E86367"/>
    <w:rPr>
      <w:rFonts w:asciiTheme="majorHAnsi" w:eastAsiaTheme="majorEastAsia" w:hAnsiTheme="majorHAnsi" w:cstheme="majorBidi"/>
      <w:b/>
      <w:bCs/>
      <w:i/>
      <w:sz w:val="24"/>
      <w:szCs w:val="26"/>
    </w:rPr>
  </w:style>
  <w:style w:type="character" w:customStyle="1" w:styleId="Heading3Char">
    <w:name w:val="Heading 3 Char"/>
    <w:aliases w:val="TES_Skyrius 1.1.1. Char,Kap.1.1.1 Char Char,Kap.1.1.1 Char1,A3 Char,Heading 3 (nevda) Char,H3 Char,Section Header3 Char,Sub-Clause Paragraph Char,Diagrama14 Char,Sub-Clause Paragraph Diagrama Char,Section Header3 Diagrama Char"/>
    <w:basedOn w:val="DefaultParagraphFont"/>
    <w:link w:val="Heading3"/>
    <w:uiPriority w:val="99"/>
    <w:rsid w:val="00E86367"/>
    <w:rPr>
      <w:rFonts w:asciiTheme="majorHAnsi" w:eastAsiaTheme="majorEastAsia" w:hAnsiTheme="majorHAnsi" w:cstheme="majorBidi"/>
      <w:bCs/>
      <w:i/>
      <w:sz w:val="24"/>
    </w:rPr>
  </w:style>
  <w:style w:type="character" w:customStyle="1" w:styleId="Heading4Char">
    <w:name w:val="Heading 4 Char"/>
    <w:aliases w:val="Heading 4 (nevda) Char,H4 Char,Sub-Clause Sub-paragraph Char,Heading 4 Char Char Char Char Char,Antraštė 41 Char, Sub-Clause Sub-paragraph Char"/>
    <w:basedOn w:val="DefaultParagraphFont"/>
    <w:link w:val="Heading4"/>
    <w:uiPriority w:val="99"/>
    <w:rsid w:val="00E86367"/>
    <w:rPr>
      <w:rFonts w:asciiTheme="majorHAnsi" w:eastAsiaTheme="majorEastAsia" w:hAnsiTheme="majorHAnsi" w:cstheme="majorBidi"/>
      <w:bCs/>
      <w:i/>
      <w:iCs/>
    </w:rPr>
  </w:style>
  <w:style w:type="character" w:customStyle="1" w:styleId="Heading5Char">
    <w:name w:val="Heading 5 Char"/>
    <w:aliases w:val="Lentelems Char,H5 Char"/>
    <w:basedOn w:val="DefaultParagraphFont"/>
    <w:link w:val="Heading5"/>
    <w:uiPriority w:val="99"/>
    <w:rsid w:val="00E86367"/>
    <w:rPr>
      <w:rFonts w:asciiTheme="majorHAnsi" w:eastAsiaTheme="majorEastAsia" w:hAnsiTheme="majorHAnsi" w:cstheme="majorBidi"/>
    </w:rPr>
  </w:style>
  <w:style w:type="paragraph" w:styleId="Title">
    <w:name w:val="Title"/>
    <w:basedOn w:val="Normal"/>
    <w:next w:val="Subtitle"/>
    <w:link w:val="TitleChar"/>
    <w:uiPriority w:val="10"/>
    <w:qFormat/>
    <w:rsid w:val="00E86367"/>
    <w:pPr>
      <w:spacing w:line="240" w:lineRule="auto"/>
    </w:pPr>
    <w:rPr>
      <w:rFonts w:asciiTheme="majorHAnsi" w:eastAsiaTheme="majorEastAsia" w:hAnsiTheme="majorHAnsi" w:cstheme="majorBidi"/>
      <w:b/>
      <w:i/>
      <w:spacing w:val="5"/>
      <w:kern w:val="28"/>
      <w:sz w:val="56"/>
      <w:szCs w:val="52"/>
      <w:lang w:val="en-GB"/>
    </w:rPr>
  </w:style>
  <w:style w:type="character" w:customStyle="1" w:styleId="TitleChar">
    <w:name w:val="Title Char"/>
    <w:basedOn w:val="DefaultParagraphFont"/>
    <w:link w:val="Title"/>
    <w:uiPriority w:val="10"/>
    <w:rsid w:val="00E86367"/>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E86367"/>
    <w:pPr>
      <w:spacing w:before="480"/>
      <w:outlineLvl w:val="9"/>
    </w:pPr>
    <w:rPr>
      <w:lang w:val="en-US"/>
    </w:rPr>
  </w:style>
  <w:style w:type="paragraph" w:styleId="Subtitle">
    <w:name w:val="Subtitle"/>
    <w:basedOn w:val="Normal"/>
    <w:next w:val="BodyText"/>
    <w:link w:val="SubtitleChar"/>
    <w:uiPriority w:val="11"/>
    <w:qFormat/>
    <w:rsid w:val="00E86367"/>
    <w:pPr>
      <w:numPr>
        <w:ilvl w:val="1"/>
      </w:numPr>
      <w:spacing w:after="1200" w:line="240" w:lineRule="auto"/>
    </w:pPr>
    <w:rPr>
      <w:rFonts w:asciiTheme="majorHAnsi" w:eastAsiaTheme="majorEastAsia" w:hAnsiTheme="majorHAnsi" w:cstheme="majorBidi"/>
      <w:iCs/>
      <w:spacing w:val="15"/>
      <w:sz w:val="40"/>
      <w:szCs w:val="24"/>
      <w:lang w:val="en-GB"/>
    </w:rPr>
  </w:style>
  <w:style w:type="character" w:customStyle="1" w:styleId="SubtitleChar">
    <w:name w:val="Subtitle Char"/>
    <w:basedOn w:val="DefaultParagraphFont"/>
    <w:link w:val="Subtitle"/>
    <w:uiPriority w:val="11"/>
    <w:rsid w:val="00E86367"/>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E86367"/>
    <w:pPr>
      <w:spacing w:after="100"/>
    </w:pPr>
    <w:rPr>
      <w:lang w:val="en-GB"/>
    </w:rPr>
  </w:style>
  <w:style w:type="paragraph" w:styleId="TOC2">
    <w:name w:val="toc 2"/>
    <w:basedOn w:val="Normal"/>
    <w:next w:val="Normal"/>
    <w:autoRedefine/>
    <w:uiPriority w:val="39"/>
    <w:unhideWhenUsed/>
    <w:rsid w:val="00E86367"/>
    <w:pPr>
      <w:spacing w:after="100"/>
      <w:ind w:left="200"/>
    </w:pPr>
    <w:rPr>
      <w:lang w:val="en-GB"/>
    </w:rPr>
  </w:style>
  <w:style w:type="paragraph" w:styleId="TOC3">
    <w:name w:val="toc 3"/>
    <w:basedOn w:val="Normal"/>
    <w:next w:val="Normal"/>
    <w:autoRedefine/>
    <w:uiPriority w:val="39"/>
    <w:unhideWhenUsed/>
    <w:rsid w:val="00C8349D"/>
    <w:pPr>
      <w:tabs>
        <w:tab w:val="left" w:pos="1320"/>
        <w:tab w:val="right" w:leader="dot" w:pos="10194"/>
      </w:tabs>
      <w:spacing w:after="100"/>
      <w:ind w:left="400"/>
      <w:jc w:val="both"/>
    </w:pPr>
    <w:rPr>
      <w:lang w:val="en-GB"/>
    </w:rPr>
  </w:style>
  <w:style w:type="character" w:styleId="Hyperlink">
    <w:name w:val="Hyperlink"/>
    <w:basedOn w:val="DefaultParagraphFont"/>
    <w:uiPriority w:val="99"/>
    <w:unhideWhenUsed/>
    <w:rsid w:val="00E86367"/>
    <w:rPr>
      <w:color w:val="DC6900" w:themeColor="hyperlink"/>
      <w:u w:val="single"/>
    </w:rPr>
  </w:style>
  <w:style w:type="paragraph" w:styleId="BalloonText">
    <w:name w:val="Balloon Text"/>
    <w:basedOn w:val="Normal"/>
    <w:link w:val="BalloonTextChar"/>
    <w:uiPriority w:val="99"/>
    <w:semiHidden/>
    <w:unhideWhenUsed/>
    <w:rsid w:val="00E86367"/>
    <w:pPr>
      <w:spacing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86367"/>
    <w:rPr>
      <w:rFonts w:ascii="Tahoma" w:hAnsi="Tahoma" w:cs="Tahoma"/>
      <w:sz w:val="16"/>
      <w:szCs w:val="16"/>
    </w:rPr>
  </w:style>
  <w:style w:type="paragraph" w:styleId="ListBullet">
    <w:name w:val="List Bullet"/>
    <w:basedOn w:val="Normal"/>
    <w:uiPriority w:val="14"/>
    <w:unhideWhenUsed/>
    <w:qFormat/>
    <w:rsid w:val="00E86367"/>
    <w:pPr>
      <w:numPr>
        <w:numId w:val="1"/>
      </w:numPr>
      <w:contextualSpacing/>
    </w:pPr>
    <w:rPr>
      <w:lang w:val="en-GB"/>
    </w:rPr>
  </w:style>
  <w:style w:type="numbering" w:customStyle="1" w:styleId="PwCListBullets1">
    <w:name w:val="PwC List Bullets 1"/>
    <w:uiPriority w:val="99"/>
    <w:rsid w:val="00E86367"/>
    <w:pPr>
      <w:numPr>
        <w:numId w:val="1"/>
      </w:numPr>
    </w:pPr>
  </w:style>
  <w:style w:type="numbering" w:customStyle="1" w:styleId="PwCListNumbers1">
    <w:name w:val="PwC List Numbers 1"/>
    <w:uiPriority w:val="99"/>
    <w:rsid w:val="00E86367"/>
    <w:pPr>
      <w:numPr>
        <w:numId w:val="2"/>
      </w:numPr>
    </w:pPr>
  </w:style>
  <w:style w:type="paragraph" w:styleId="ListNumber">
    <w:name w:val="List Number"/>
    <w:basedOn w:val="Normal"/>
    <w:uiPriority w:val="13"/>
    <w:unhideWhenUsed/>
    <w:qFormat/>
    <w:rsid w:val="00E86367"/>
    <w:pPr>
      <w:numPr>
        <w:numId w:val="3"/>
      </w:numPr>
      <w:contextualSpacing/>
    </w:pPr>
    <w:rPr>
      <w:lang w:val="en-GB"/>
    </w:rPr>
  </w:style>
  <w:style w:type="paragraph" w:styleId="ListBullet2">
    <w:name w:val="List Bullet 2"/>
    <w:basedOn w:val="Normal"/>
    <w:uiPriority w:val="99"/>
    <w:unhideWhenUsed/>
    <w:qFormat/>
    <w:rsid w:val="00E86367"/>
    <w:pPr>
      <w:numPr>
        <w:ilvl w:val="1"/>
        <w:numId w:val="1"/>
      </w:numPr>
      <w:contextualSpacing/>
    </w:pPr>
    <w:rPr>
      <w:lang w:val="en-GB"/>
    </w:rPr>
  </w:style>
  <w:style w:type="paragraph" w:styleId="ListBullet3">
    <w:name w:val="List Bullet 3"/>
    <w:basedOn w:val="Normal"/>
    <w:uiPriority w:val="99"/>
    <w:unhideWhenUsed/>
    <w:qFormat/>
    <w:rsid w:val="00E86367"/>
    <w:pPr>
      <w:numPr>
        <w:ilvl w:val="2"/>
        <w:numId w:val="1"/>
      </w:numPr>
      <w:contextualSpacing/>
    </w:pPr>
    <w:rPr>
      <w:lang w:val="en-GB"/>
    </w:rPr>
  </w:style>
  <w:style w:type="paragraph" w:styleId="ListBullet4">
    <w:name w:val="List Bullet 4"/>
    <w:basedOn w:val="Normal"/>
    <w:uiPriority w:val="14"/>
    <w:unhideWhenUsed/>
    <w:rsid w:val="00E86367"/>
    <w:pPr>
      <w:numPr>
        <w:ilvl w:val="3"/>
        <w:numId w:val="1"/>
      </w:numPr>
      <w:contextualSpacing/>
    </w:pPr>
    <w:rPr>
      <w:lang w:val="en-GB"/>
    </w:rPr>
  </w:style>
  <w:style w:type="paragraph" w:styleId="ListBullet5">
    <w:name w:val="List Bullet 5"/>
    <w:basedOn w:val="Normal"/>
    <w:uiPriority w:val="99"/>
    <w:unhideWhenUsed/>
    <w:rsid w:val="00E86367"/>
    <w:pPr>
      <w:numPr>
        <w:ilvl w:val="4"/>
        <w:numId w:val="1"/>
      </w:numPr>
      <w:contextualSpacing/>
    </w:pPr>
    <w:rPr>
      <w:lang w:val="en-GB"/>
    </w:rPr>
  </w:style>
  <w:style w:type="paragraph" w:styleId="ListNumber2">
    <w:name w:val="List Number 2"/>
    <w:basedOn w:val="Normal"/>
    <w:uiPriority w:val="13"/>
    <w:unhideWhenUsed/>
    <w:qFormat/>
    <w:rsid w:val="00E86367"/>
    <w:pPr>
      <w:numPr>
        <w:ilvl w:val="1"/>
        <w:numId w:val="3"/>
      </w:numPr>
      <w:contextualSpacing/>
    </w:pPr>
    <w:rPr>
      <w:lang w:val="en-GB"/>
    </w:rPr>
  </w:style>
  <w:style w:type="paragraph" w:styleId="ListNumber3">
    <w:name w:val="List Number 3"/>
    <w:basedOn w:val="Normal"/>
    <w:uiPriority w:val="13"/>
    <w:unhideWhenUsed/>
    <w:qFormat/>
    <w:rsid w:val="00E86367"/>
    <w:pPr>
      <w:numPr>
        <w:ilvl w:val="2"/>
        <w:numId w:val="3"/>
      </w:numPr>
      <w:contextualSpacing/>
    </w:pPr>
    <w:rPr>
      <w:lang w:val="en-GB"/>
    </w:rPr>
  </w:style>
  <w:style w:type="paragraph" w:styleId="ListNumber4">
    <w:name w:val="List Number 4"/>
    <w:basedOn w:val="Normal"/>
    <w:uiPriority w:val="13"/>
    <w:semiHidden/>
    <w:unhideWhenUsed/>
    <w:rsid w:val="00E86367"/>
    <w:pPr>
      <w:numPr>
        <w:ilvl w:val="3"/>
        <w:numId w:val="3"/>
      </w:numPr>
      <w:contextualSpacing/>
    </w:pPr>
    <w:rPr>
      <w:lang w:val="en-GB"/>
    </w:rPr>
  </w:style>
  <w:style w:type="paragraph" w:styleId="ListNumber5">
    <w:name w:val="List Number 5"/>
    <w:basedOn w:val="Normal"/>
    <w:uiPriority w:val="13"/>
    <w:semiHidden/>
    <w:unhideWhenUsed/>
    <w:rsid w:val="00E86367"/>
    <w:pPr>
      <w:numPr>
        <w:ilvl w:val="4"/>
        <w:numId w:val="3"/>
      </w:numPr>
      <w:contextualSpacing/>
    </w:pPr>
    <w:rPr>
      <w:lang w:val="en-GB"/>
    </w:rPr>
  </w:style>
  <w:style w:type="paragraph" w:styleId="List">
    <w:name w:val="List"/>
    <w:basedOn w:val="Normal"/>
    <w:uiPriority w:val="99"/>
    <w:semiHidden/>
    <w:unhideWhenUsed/>
    <w:rsid w:val="00E86367"/>
    <w:pPr>
      <w:ind w:left="567" w:hanging="567"/>
      <w:contextualSpacing/>
    </w:pPr>
    <w:rPr>
      <w:lang w:val="en-GB"/>
    </w:rPr>
  </w:style>
  <w:style w:type="paragraph" w:styleId="List2">
    <w:name w:val="List 2"/>
    <w:basedOn w:val="Normal"/>
    <w:uiPriority w:val="99"/>
    <w:semiHidden/>
    <w:unhideWhenUsed/>
    <w:rsid w:val="00E86367"/>
    <w:pPr>
      <w:ind w:left="1134" w:hanging="567"/>
      <w:contextualSpacing/>
    </w:pPr>
    <w:rPr>
      <w:lang w:val="en-GB"/>
    </w:rPr>
  </w:style>
  <w:style w:type="paragraph" w:styleId="ListContinue">
    <w:name w:val="List Continue"/>
    <w:basedOn w:val="Normal"/>
    <w:uiPriority w:val="14"/>
    <w:unhideWhenUsed/>
    <w:qFormat/>
    <w:rsid w:val="00E86367"/>
    <w:pPr>
      <w:spacing w:after="120"/>
      <w:ind w:left="567"/>
      <w:contextualSpacing/>
    </w:pPr>
    <w:rPr>
      <w:lang w:val="en-GB"/>
    </w:rPr>
  </w:style>
  <w:style w:type="paragraph" w:styleId="ListContinue2">
    <w:name w:val="List Continue 2"/>
    <w:basedOn w:val="Normal"/>
    <w:uiPriority w:val="14"/>
    <w:unhideWhenUsed/>
    <w:qFormat/>
    <w:rsid w:val="00E86367"/>
    <w:pPr>
      <w:spacing w:after="120"/>
      <w:ind w:left="1134"/>
      <w:contextualSpacing/>
    </w:pPr>
    <w:rPr>
      <w:lang w:val="en-GB"/>
    </w:rPr>
  </w:style>
  <w:style w:type="paragraph" w:styleId="ListContinue3">
    <w:name w:val="List Continue 3"/>
    <w:basedOn w:val="Normal"/>
    <w:uiPriority w:val="14"/>
    <w:unhideWhenUsed/>
    <w:qFormat/>
    <w:rsid w:val="00E86367"/>
    <w:pPr>
      <w:spacing w:after="120"/>
      <w:ind w:left="1701"/>
      <w:contextualSpacing/>
    </w:pPr>
    <w:rPr>
      <w:lang w:val="en-GB"/>
    </w:rPr>
  </w:style>
  <w:style w:type="paragraph" w:styleId="ListContinue4">
    <w:name w:val="List Continue 4"/>
    <w:basedOn w:val="Normal"/>
    <w:uiPriority w:val="14"/>
    <w:semiHidden/>
    <w:unhideWhenUsed/>
    <w:rsid w:val="00E86367"/>
    <w:pPr>
      <w:spacing w:after="120"/>
      <w:ind w:left="2268"/>
      <w:contextualSpacing/>
    </w:pPr>
    <w:rPr>
      <w:lang w:val="en-GB"/>
    </w:rPr>
  </w:style>
  <w:style w:type="paragraph" w:styleId="ListContinue5">
    <w:name w:val="List Continue 5"/>
    <w:basedOn w:val="Normal"/>
    <w:uiPriority w:val="14"/>
    <w:semiHidden/>
    <w:unhideWhenUsed/>
    <w:rsid w:val="00E86367"/>
    <w:pPr>
      <w:spacing w:after="120"/>
      <w:ind w:left="2835"/>
      <w:contextualSpacing/>
    </w:pPr>
    <w:rPr>
      <w:lang w:val="en-GB"/>
    </w:rPr>
  </w:style>
  <w:style w:type="paragraph" w:styleId="List3">
    <w:name w:val="List 3"/>
    <w:basedOn w:val="Normal"/>
    <w:uiPriority w:val="99"/>
    <w:semiHidden/>
    <w:unhideWhenUsed/>
    <w:rsid w:val="00E86367"/>
    <w:pPr>
      <w:ind w:left="1701" w:hanging="567"/>
      <w:contextualSpacing/>
    </w:pPr>
    <w:rPr>
      <w:lang w:val="en-GB"/>
    </w:rPr>
  </w:style>
  <w:style w:type="paragraph" w:styleId="List4">
    <w:name w:val="List 4"/>
    <w:basedOn w:val="Normal"/>
    <w:uiPriority w:val="99"/>
    <w:semiHidden/>
    <w:unhideWhenUsed/>
    <w:rsid w:val="00E86367"/>
    <w:pPr>
      <w:ind w:left="2268" w:hanging="567"/>
      <w:contextualSpacing/>
    </w:pPr>
    <w:rPr>
      <w:lang w:val="en-GB"/>
    </w:rPr>
  </w:style>
  <w:style w:type="paragraph" w:styleId="List5">
    <w:name w:val="List 5"/>
    <w:basedOn w:val="Normal"/>
    <w:uiPriority w:val="99"/>
    <w:semiHidden/>
    <w:unhideWhenUsed/>
    <w:rsid w:val="00E86367"/>
    <w:pPr>
      <w:ind w:left="2835" w:hanging="567"/>
      <w:contextualSpacing/>
    </w:pPr>
    <w:rPr>
      <w:lang w:val="en-GB"/>
    </w:rPr>
  </w:style>
  <w:style w:type="table" w:styleId="TableGrid">
    <w:name w:val="Table Grid"/>
    <w:aliases w:val="Smart Text Table"/>
    <w:basedOn w:val="TableNormal"/>
    <w:uiPriority w:val="59"/>
    <w:rsid w:val="00E863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Text">
    <w:name w:val="PwC Table Text"/>
    <w:basedOn w:val="TableNormal"/>
    <w:uiPriority w:val="99"/>
    <w:qFormat/>
    <w:rsid w:val="00E86367"/>
    <w:pPr>
      <w:spacing w:before="60" w:after="60" w:line="240" w:lineRule="auto"/>
    </w:pPr>
    <w:tblPr>
      <w:tblStyleRowBandSize w:val="1"/>
      <w:tblBorders>
        <w:insideH w:val="dotted" w:sz="4" w:space="0" w:color="DC6900" w:themeColor="text2"/>
      </w:tblBorders>
    </w:tblPr>
    <w:tblStylePr w:type="firstRow">
      <w:rPr>
        <w:b/>
      </w:rPr>
      <w:tblPr/>
      <w:tcPr>
        <w:tcBorders>
          <w:top w:val="single" w:sz="6" w:space="0" w:color="DC6900" w:themeColor="text2"/>
          <w:bottom w:val="single" w:sz="6" w:space="0" w:color="DC6900" w:themeColor="text2"/>
        </w:tcBorders>
      </w:tcPr>
    </w:tblStylePr>
    <w:tblStylePr w:type="lastRow">
      <w:rPr>
        <w:b/>
      </w:rPr>
      <w:tblPr/>
      <w:tcPr>
        <w:tcBorders>
          <w:top w:val="single" w:sz="6" w:space="0" w:color="DC6900" w:themeColor="text2"/>
          <w:bottom w:val="single" w:sz="6" w:space="0" w:color="DC6900" w:themeColor="text2"/>
        </w:tcBorders>
      </w:tcPr>
    </w:tblStylePr>
    <w:tblStylePr w:type="band1Horz">
      <w:tblPr/>
      <w:tcPr>
        <w:tcBorders>
          <w:bottom w:val="nil"/>
        </w:tcBorders>
      </w:tcPr>
    </w:tblStylePr>
  </w:style>
  <w:style w:type="character" w:customStyle="1" w:styleId="Heading6Char">
    <w:name w:val="Heading 6 Char"/>
    <w:aliases w:val="Paveikslams Char"/>
    <w:basedOn w:val="DefaultParagraphFont"/>
    <w:link w:val="Heading6"/>
    <w:uiPriority w:val="99"/>
    <w:rsid w:val="00E86367"/>
    <w:rPr>
      <w:rFonts w:asciiTheme="majorHAnsi" w:eastAsiaTheme="majorEastAsia" w:hAnsiTheme="majorHAnsi" w:cstheme="majorBidi"/>
      <w:iCs/>
    </w:rPr>
  </w:style>
  <w:style w:type="character" w:customStyle="1" w:styleId="Heading7Char">
    <w:name w:val="Heading 7 Char"/>
    <w:basedOn w:val="DefaultParagraphFont"/>
    <w:link w:val="Heading7"/>
    <w:uiPriority w:val="99"/>
    <w:rsid w:val="00E86367"/>
    <w:rPr>
      <w:rFonts w:asciiTheme="majorHAnsi" w:eastAsiaTheme="majorEastAsia" w:hAnsiTheme="majorHAnsi" w:cstheme="majorBidi"/>
      <w:iCs/>
    </w:rPr>
  </w:style>
  <w:style w:type="character" w:customStyle="1" w:styleId="Heading8Char">
    <w:name w:val="Heading 8 Char"/>
    <w:basedOn w:val="DefaultParagraphFont"/>
    <w:link w:val="Heading8"/>
    <w:uiPriority w:val="99"/>
    <w:rsid w:val="00E86367"/>
    <w:rPr>
      <w:rFonts w:asciiTheme="majorHAnsi" w:eastAsiaTheme="majorEastAsia" w:hAnsiTheme="majorHAnsi" w:cstheme="majorBidi"/>
    </w:rPr>
  </w:style>
  <w:style w:type="character" w:customStyle="1" w:styleId="Heading9Char">
    <w:name w:val="Heading 9 Char"/>
    <w:basedOn w:val="DefaultParagraphFont"/>
    <w:link w:val="Heading9"/>
    <w:uiPriority w:val="99"/>
    <w:rsid w:val="00E86367"/>
    <w:rPr>
      <w:rFonts w:asciiTheme="majorHAnsi" w:eastAsiaTheme="majorEastAsia" w:hAnsiTheme="majorHAnsi" w:cstheme="majorBidi"/>
      <w:iCs/>
    </w:rPr>
  </w:style>
  <w:style w:type="table" w:styleId="MediumShading2-Accent3">
    <w:name w:val="Medium Shading 2 Accent 3"/>
    <w:basedOn w:val="TableNormal"/>
    <w:uiPriority w:val="64"/>
    <w:rsid w:val="00E863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86367"/>
    <w:pPr>
      <w:spacing w:after="0" w:line="240" w:lineRule="auto"/>
    </w:pPr>
    <w:tblPr>
      <w:tblStyleRowBandSize w:val="1"/>
      <w:tblStyleColBandSize w:val="1"/>
      <w:tblBorders>
        <w:top w:val="single" w:sz="8" w:space="0" w:color="E0301E" w:themeColor="accent6"/>
        <w:left w:val="single" w:sz="8" w:space="0" w:color="E0301E" w:themeColor="accent6"/>
        <w:bottom w:val="single" w:sz="8" w:space="0" w:color="E0301E" w:themeColor="accent6"/>
        <w:right w:val="single" w:sz="8" w:space="0" w:color="E0301E" w:themeColor="accent6"/>
      </w:tblBorders>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customStyle="1" w:styleId="NoParagraphStyle">
    <w:name w:val="[No Paragraph Style]"/>
    <w:rsid w:val="008915B2"/>
    <w:pPr>
      <w:autoSpaceDE w:val="0"/>
      <w:autoSpaceDN w:val="0"/>
      <w:adjustRightInd w:val="0"/>
      <w:spacing w:after="0" w:line="288" w:lineRule="auto"/>
      <w:textAlignment w:val="center"/>
    </w:pPr>
    <w:rPr>
      <w:rFonts w:ascii="Times New Roman" w:eastAsia="Arial" w:hAnsi="Times New Roman" w:cs="Times New Roman"/>
      <w:color w:val="000000"/>
      <w:sz w:val="24"/>
      <w:szCs w:val="24"/>
      <w:lang w:val="en-US"/>
    </w:rPr>
  </w:style>
  <w:style w:type="paragraph" w:customStyle="1" w:styleId="PwCAddress">
    <w:name w:val="PwC Address"/>
    <w:basedOn w:val="Normal"/>
    <w:link w:val="PwCAddressChar"/>
    <w:uiPriority w:val="99"/>
    <w:qFormat/>
    <w:rsid w:val="008915B2"/>
    <w:pPr>
      <w:spacing w:line="200" w:lineRule="atLeast"/>
    </w:pPr>
    <w:rPr>
      <w:i/>
      <w:noProof/>
      <w:color w:val="auto"/>
      <w:sz w:val="18"/>
      <w:szCs w:val="22"/>
      <w:lang w:val="en-GB" w:eastAsia="en-GB"/>
    </w:rPr>
  </w:style>
  <w:style w:type="character" w:customStyle="1" w:styleId="PwCAddressChar">
    <w:name w:val="PwC Address Char"/>
    <w:link w:val="PwCAddress"/>
    <w:uiPriority w:val="99"/>
    <w:rsid w:val="008915B2"/>
    <w:rPr>
      <w:rFonts w:eastAsia="Arial" w:cs="Times New Roman"/>
      <w:i/>
      <w:noProof/>
      <w:sz w:val="18"/>
      <w:szCs w:val="22"/>
      <w:lang w:eastAsia="en-GB"/>
    </w:rPr>
  </w:style>
  <w:style w:type="character" w:styleId="Strong">
    <w:name w:val="Strong"/>
    <w:qFormat/>
    <w:rsid w:val="008A593F"/>
    <w:rPr>
      <w:b/>
      <w:bCs/>
    </w:rPr>
  </w:style>
  <w:style w:type="paragraph" w:customStyle="1" w:styleId="1Heading">
    <w:name w:val="1 Heading"/>
    <w:basedOn w:val="Normal"/>
    <w:link w:val="1HeadingChar"/>
    <w:uiPriority w:val="99"/>
    <w:qFormat/>
    <w:rsid w:val="008A593F"/>
    <w:pPr>
      <w:keepNext/>
      <w:keepLines/>
      <w:spacing w:before="360" w:after="480"/>
      <w:outlineLvl w:val="0"/>
    </w:pPr>
    <w:rPr>
      <w:rFonts w:eastAsia="Times New Roman"/>
      <w:b/>
      <w:bCs/>
      <w:i/>
      <w:color w:val="auto"/>
      <w:sz w:val="32"/>
      <w:szCs w:val="32"/>
      <w:lang w:val="en-GB"/>
    </w:rPr>
  </w:style>
  <w:style w:type="character" w:customStyle="1" w:styleId="1HeadingChar">
    <w:name w:val="1 Heading Char"/>
    <w:link w:val="1Heading"/>
    <w:uiPriority w:val="99"/>
    <w:rsid w:val="008A593F"/>
    <w:rPr>
      <w:rFonts w:eastAsia="Times New Roman" w:cs="Times New Roman"/>
      <w:b/>
      <w:bCs/>
      <w:i/>
      <w:sz w:val="32"/>
      <w:szCs w:val="32"/>
    </w:rPr>
  </w:style>
  <w:style w:type="paragraph" w:styleId="Signature">
    <w:name w:val="Signature"/>
    <w:basedOn w:val="Normal"/>
    <w:next w:val="Normal"/>
    <w:link w:val="SignatureChar"/>
    <w:rsid w:val="000F253C"/>
    <w:pPr>
      <w:keepNext/>
      <w:spacing w:before="360" w:after="800" w:line="240" w:lineRule="auto"/>
    </w:pPr>
    <w:rPr>
      <w:rFonts w:ascii="Times New Roman" w:eastAsia="Times New Roman" w:hAnsi="Times New Roman"/>
      <w:color w:val="auto"/>
      <w:spacing w:val="-5"/>
      <w:sz w:val="24"/>
      <w:szCs w:val="20"/>
      <w:lang w:val="en-US"/>
    </w:rPr>
  </w:style>
  <w:style w:type="character" w:customStyle="1" w:styleId="SignatureChar">
    <w:name w:val="Signature Char"/>
    <w:basedOn w:val="DefaultParagraphFont"/>
    <w:link w:val="Signature"/>
    <w:rsid w:val="000F253C"/>
    <w:rPr>
      <w:rFonts w:ascii="Times New Roman" w:eastAsia="Times New Roman" w:hAnsi="Times New Roman" w:cs="Times New Roman"/>
      <w:spacing w:val="-5"/>
      <w:sz w:val="24"/>
      <w:lang w:val="en-US"/>
    </w:rPr>
  </w:style>
  <w:style w:type="paragraph" w:customStyle="1" w:styleId="CharChar">
    <w:name w:val="Char Char"/>
    <w:basedOn w:val="Normal"/>
    <w:rsid w:val="000F253C"/>
    <w:pPr>
      <w:spacing w:after="160" w:line="240" w:lineRule="exact"/>
    </w:pPr>
    <w:rPr>
      <w:rFonts w:ascii="Tahoma" w:eastAsia="Times New Roman" w:hAnsi="Tahoma"/>
      <w:color w:val="auto"/>
      <w:szCs w:val="20"/>
      <w:lang w:val="en-US"/>
    </w:rPr>
  </w:style>
  <w:style w:type="paragraph" w:styleId="ListParagraph">
    <w:name w:val="List Paragraph"/>
    <w:aliases w:val="List Paragraph21,Lentele,Table of contents numbered,ERP-List Paragraph,List Paragraph1,List Paragraph11,Bullet EY,List Paragraph2,Bullet,List Paragraph3,Paragraph,List Paragraph Red,Numbering,lp1,Bullet 1,Use Case List Paragraph"/>
    <w:basedOn w:val="Normal"/>
    <w:link w:val="ListParagraphChar"/>
    <w:uiPriority w:val="34"/>
    <w:unhideWhenUsed/>
    <w:qFormat/>
    <w:rsid w:val="004947BC"/>
    <w:pPr>
      <w:ind w:left="720"/>
      <w:contextualSpacing/>
    </w:pPr>
    <w:rPr>
      <w:lang w:val="en-GB"/>
    </w:rPr>
  </w:style>
  <w:style w:type="table" w:styleId="LightList-Accent5">
    <w:name w:val="Light List Accent 5"/>
    <w:basedOn w:val="TableNormal"/>
    <w:uiPriority w:val="61"/>
    <w:rsid w:val="00ED07BC"/>
    <w:pPr>
      <w:spacing w:after="0" w:line="240" w:lineRule="auto"/>
    </w:pPr>
    <w:tblPr>
      <w:tblStyleRowBandSize w:val="1"/>
      <w:tblStyleColBandSize w:val="1"/>
      <w:tblBorders>
        <w:top w:val="single" w:sz="8" w:space="0" w:color="A32020" w:themeColor="accent5"/>
        <w:left w:val="single" w:sz="8" w:space="0" w:color="A32020" w:themeColor="accent5"/>
        <w:bottom w:val="single" w:sz="8" w:space="0" w:color="A32020" w:themeColor="accent5"/>
        <w:right w:val="single" w:sz="8" w:space="0" w:color="A32020" w:themeColor="accent5"/>
      </w:tblBorders>
    </w:tblPr>
    <w:tblStylePr w:type="firstRow">
      <w:pPr>
        <w:spacing w:before="0" w:after="0" w:line="240" w:lineRule="auto"/>
      </w:pPr>
      <w:rPr>
        <w:b/>
        <w:bCs/>
        <w:color w:val="FFFFFF" w:themeColor="background1"/>
      </w:rPr>
      <w:tblPr/>
      <w:tcPr>
        <w:shd w:val="clear" w:color="auto" w:fill="A32020" w:themeFill="accent5"/>
      </w:tcPr>
    </w:tblStylePr>
    <w:tblStylePr w:type="lastRow">
      <w:pPr>
        <w:spacing w:before="0" w:after="0" w:line="240" w:lineRule="auto"/>
      </w:pPr>
      <w:rPr>
        <w:b/>
        <w:bCs/>
      </w:rPr>
      <w:tblPr/>
      <w:tcPr>
        <w:tcBorders>
          <w:top w:val="double" w:sz="6" w:space="0" w:color="A32020" w:themeColor="accent5"/>
          <w:left w:val="single" w:sz="8" w:space="0" w:color="A32020" w:themeColor="accent5"/>
          <w:bottom w:val="single" w:sz="8" w:space="0" w:color="A32020" w:themeColor="accent5"/>
          <w:right w:val="single" w:sz="8" w:space="0" w:color="A32020" w:themeColor="accent5"/>
        </w:tcBorders>
      </w:tcPr>
    </w:tblStylePr>
    <w:tblStylePr w:type="firstCol">
      <w:rPr>
        <w:b/>
        <w:bCs/>
      </w:rPr>
    </w:tblStylePr>
    <w:tblStylePr w:type="lastCol">
      <w:rPr>
        <w:b/>
        <w:bCs/>
      </w:rPr>
    </w:tblStylePr>
    <w:tblStylePr w:type="band1Vert">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tblStylePr w:type="band1Horz">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style>
  <w:style w:type="table" w:styleId="LightList-Accent4">
    <w:name w:val="Light List Accent 4"/>
    <w:basedOn w:val="TableNormal"/>
    <w:uiPriority w:val="61"/>
    <w:rsid w:val="00DD01C3"/>
    <w:pPr>
      <w:spacing w:after="0" w:line="240" w:lineRule="auto"/>
    </w:pPr>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styleId="LightList-Accent2">
    <w:name w:val="Light List Accent 2"/>
    <w:basedOn w:val="TableNormal"/>
    <w:uiPriority w:val="61"/>
    <w:rsid w:val="00395A26"/>
    <w:pPr>
      <w:spacing w:after="0" w:line="240" w:lineRule="auto"/>
    </w:pPr>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tblBorders>
    </w:tblPr>
    <w:tblStylePr w:type="firstRow">
      <w:pPr>
        <w:spacing w:before="0" w:after="0" w:line="240" w:lineRule="auto"/>
      </w:pPr>
      <w:rPr>
        <w:b/>
        <w:bCs/>
        <w:color w:val="FFFFFF" w:themeColor="background1"/>
      </w:rPr>
      <w:tblPr/>
      <w:tcPr>
        <w:shd w:val="clear" w:color="auto" w:fill="FFB600" w:themeFill="accent2"/>
      </w:tcPr>
    </w:tblStylePr>
    <w:tblStylePr w:type="lastRow">
      <w:pPr>
        <w:spacing w:before="0" w:after="0" w:line="240" w:lineRule="auto"/>
      </w:pPr>
      <w:rPr>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tcBorders>
      </w:tcPr>
    </w:tblStylePr>
    <w:tblStylePr w:type="firstCol">
      <w:rPr>
        <w:b/>
        <w:bCs/>
      </w:rPr>
    </w:tblStylePr>
    <w:tblStylePr w:type="lastCol">
      <w:rPr>
        <w:b/>
        <w:bCs/>
      </w:r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style>
  <w:style w:type="table" w:customStyle="1" w:styleId="LightList-Accent11">
    <w:name w:val="Light List - Accent 11"/>
    <w:basedOn w:val="TableNormal"/>
    <w:uiPriority w:val="61"/>
    <w:rsid w:val="00395A26"/>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styleId="CommentReference">
    <w:name w:val="annotation reference"/>
    <w:basedOn w:val="DefaultParagraphFont"/>
    <w:uiPriority w:val="99"/>
    <w:semiHidden/>
    <w:unhideWhenUsed/>
    <w:rsid w:val="00B549C4"/>
    <w:rPr>
      <w:sz w:val="16"/>
      <w:szCs w:val="16"/>
    </w:rPr>
  </w:style>
  <w:style w:type="paragraph" w:styleId="CommentText">
    <w:name w:val="annotation text"/>
    <w:basedOn w:val="Normal"/>
    <w:link w:val="CommentTextChar"/>
    <w:uiPriority w:val="99"/>
    <w:unhideWhenUsed/>
    <w:rsid w:val="00B549C4"/>
    <w:pPr>
      <w:spacing w:line="240" w:lineRule="auto"/>
    </w:pPr>
    <w:rPr>
      <w:szCs w:val="20"/>
      <w:lang w:val="en-GB"/>
    </w:rPr>
  </w:style>
  <w:style w:type="character" w:customStyle="1" w:styleId="CommentTextChar">
    <w:name w:val="Comment Text Char"/>
    <w:basedOn w:val="DefaultParagraphFont"/>
    <w:link w:val="CommentText"/>
    <w:uiPriority w:val="99"/>
    <w:rsid w:val="00B549C4"/>
    <w:rPr>
      <w:rFonts w:eastAsia="Arial" w:cs="Times New Roman"/>
      <w:color w:val="000000"/>
    </w:rPr>
  </w:style>
  <w:style w:type="paragraph" w:styleId="CommentSubject">
    <w:name w:val="annotation subject"/>
    <w:basedOn w:val="CommentText"/>
    <w:next w:val="CommentText"/>
    <w:link w:val="CommentSubjectChar"/>
    <w:uiPriority w:val="99"/>
    <w:semiHidden/>
    <w:unhideWhenUsed/>
    <w:rsid w:val="00B549C4"/>
    <w:rPr>
      <w:b/>
      <w:bCs/>
    </w:rPr>
  </w:style>
  <w:style w:type="character" w:customStyle="1" w:styleId="CommentSubjectChar">
    <w:name w:val="Comment Subject Char"/>
    <w:basedOn w:val="CommentTextChar"/>
    <w:link w:val="CommentSubject"/>
    <w:uiPriority w:val="99"/>
    <w:semiHidden/>
    <w:rsid w:val="00B549C4"/>
    <w:rPr>
      <w:rFonts w:eastAsia="Arial" w:cs="Times New Roman"/>
      <w:b/>
      <w:bCs/>
      <w:color w:val="000000"/>
    </w:rPr>
  </w:style>
  <w:style w:type="paragraph" w:styleId="Caption">
    <w:name w:val="caption"/>
    <w:aliases w:val="Pav.,• Caption,Table caption,paveikslas,Paveikslo pavadinimas,TabelOverskrift"/>
    <w:basedOn w:val="Normal"/>
    <w:next w:val="Normal"/>
    <w:link w:val="CaptionChar"/>
    <w:uiPriority w:val="35"/>
    <w:unhideWhenUsed/>
    <w:qFormat/>
    <w:rsid w:val="00B114FA"/>
    <w:pPr>
      <w:spacing w:before="120" w:after="120" w:line="240" w:lineRule="auto"/>
      <w:jc w:val="center"/>
    </w:pPr>
    <w:rPr>
      <w:rFonts w:eastAsia="Times New Roman"/>
      <w:b/>
      <w:bCs/>
      <w:i/>
      <w:color w:val="808080" w:themeColor="background2" w:themeShade="80"/>
      <w:szCs w:val="20"/>
      <w:lang w:eastAsia="lt-LT"/>
    </w:rPr>
  </w:style>
  <w:style w:type="character" w:customStyle="1" w:styleId="ListParagraphChar">
    <w:name w:val="List Paragraph Char"/>
    <w:aliases w:val="List Paragraph21 Char,Lentele Char,Table of contents numbered Char,ERP-List Paragraph Char,List Paragraph1 Char,List Paragraph11 Char,Bullet EY Char,List Paragraph2 Char,Bullet Char,List Paragraph3 Char,Paragraph Char,Numbering Char"/>
    <w:link w:val="ListParagraph"/>
    <w:uiPriority w:val="34"/>
    <w:locked/>
    <w:rsid w:val="00490830"/>
    <w:rPr>
      <w:rFonts w:eastAsia="Arial" w:cs="Times New Roman"/>
      <w:color w:val="000000"/>
      <w:szCs w:val="21"/>
    </w:rPr>
  </w:style>
  <w:style w:type="paragraph" w:customStyle="1" w:styleId="TEKSTAS">
    <w:name w:val="TEKSTAS"/>
    <w:basedOn w:val="Normal"/>
    <w:rsid w:val="00AC4AA8"/>
    <w:pPr>
      <w:spacing w:before="120" w:after="120" w:line="240" w:lineRule="auto"/>
    </w:pPr>
    <w:rPr>
      <w:rFonts w:ascii="Arial" w:eastAsia="MS Mincho" w:hAnsi="Arial" w:cs="Arial"/>
      <w:color w:val="auto"/>
      <w:szCs w:val="22"/>
      <w:lang w:eastAsia="ja-JP"/>
    </w:rPr>
  </w:style>
  <w:style w:type="character" w:styleId="Emphasis">
    <w:name w:val="Emphasis"/>
    <w:basedOn w:val="DefaultParagraphFont"/>
    <w:uiPriority w:val="20"/>
    <w:qFormat/>
    <w:rsid w:val="00AC4AA8"/>
    <w:rPr>
      <w:i/>
      <w:iCs/>
    </w:rPr>
  </w:style>
  <w:style w:type="paragraph" w:customStyle="1" w:styleId="bullettrumpi">
    <w:name w:val="bullet trumpi"/>
    <w:basedOn w:val="Normal"/>
    <w:rsid w:val="00AC4AA8"/>
    <w:pPr>
      <w:numPr>
        <w:numId w:val="5"/>
      </w:numPr>
      <w:spacing w:line="240" w:lineRule="auto"/>
    </w:pPr>
    <w:rPr>
      <w:rFonts w:ascii="Times New Roman" w:eastAsia="Times New Roman" w:hAnsi="Times New Roman"/>
      <w:color w:val="auto"/>
      <w:sz w:val="24"/>
      <w:szCs w:val="24"/>
      <w:lang w:eastAsia="lt-LT"/>
    </w:rPr>
  </w:style>
  <w:style w:type="table" w:customStyle="1" w:styleId="PwCTableFigures">
    <w:name w:val="PwC Table Figures"/>
    <w:basedOn w:val="TableNormal"/>
    <w:uiPriority w:val="99"/>
    <w:qFormat/>
    <w:rsid w:val="00AC4AA8"/>
    <w:pPr>
      <w:tabs>
        <w:tab w:val="decimal" w:pos="1134"/>
      </w:tabs>
      <w:spacing w:before="60" w:after="60" w:line="240" w:lineRule="auto"/>
    </w:pPr>
    <w:rPr>
      <w:rFonts w:asciiTheme="minorHAnsi" w:hAnsiTheme="minorHAnsi"/>
    </w:rPr>
    <w:tblPr>
      <w:tblBorders>
        <w:insideH w:val="dotted" w:sz="4" w:space="0" w:color="DC6900" w:themeColor="text2"/>
      </w:tblBorders>
    </w:tblPr>
    <w:tblStylePr w:type="firstRow">
      <w:rPr>
        <w:b/>
      </w:rPr>
      <w:tblPr/>
      <w:tcPr>
        <w:tcBorders>
          <w:top w:val="single" w:sz="6" w:space="0" w:color="DC6900" w:themeColor="text2"/>
          <w:left w:val="nil"/>
          <w:bottom w:val="single" w:sz="6" w:space="0" w:color="DC690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DC6900" w:themeColor="text2"/>
          <w:left w:val="nil"/>
          <w:bottom w:val="single" w:sz="6" w:space="0" w:color="DC6900" w:themeColor="text2"/>
          <w:right w:val="nil"/>
          <w:insideH w:val="nil"/>
          <w:insideV w:val="nil"/>
          <w:tl2br w:val="nil"/>
          <w:tr2bl w:val="nil"/>
        </w:tcBorders>
      </w:tcPr>
    </w:tblStylePr>
  </w:style>
  <w:style w:type="paragraph" w:customStyle="1" w:styleId="Pastraipa">
    <w:name w:val="Pastraipa"/>
    <w:basedOn w:val="Normal"/>
    <w:link w:val="PastraipaChar"/>
    <w:rsid w:val="00393AEC"/>
    <w:pPr>
      <w:keepNext/>
      <w:keepLines/>
      <w:spacing w:before="120" w:after="120" w:line="240" w:lineRule="auto"/>
    </w:pPr>
    <w:rPr>
      <w:rFonts w:ascii="Arial" w:eastAsia="Times New Roman" w:hAnsi="Arial"/>
      <w:b/>
      <w:color w:val="auto"/>
      <w:szCs w:val="24"/>
      <w:lang w:eastAsia="lt-LT"/>
    </w:rPr>
  </w:style>
  <w:style w:type="character" w:customStyle="1" w:styleId="PastraipaChar">
    <w:name w:val="Pastraipa Char"/>
    <w:basedOn w:val="DefaultParagraphFont"/>
    <w:link w:val="Pastraipa"/>
    <w:rsid w:val="00393AEC"/>
    <w:rPr>
      <w:rFonts w:ascii="Arial" w:eastAsia="Times New Roman" w:hAnsi="Arial" w:cs="Times New Roman"/>
      <w:b/>
      <w:szCs w:val="24"/>
      <w:lang w:val="lt-LT" w:eastAsia="lt-LT"/>
    </w:rPr>
  </w:style>
  <w:style w:type="numbering" w:customStyle="1" w:styleId="StyleBulleted7pt">
    <w:name w:val="Style Bulleted 7 pt"/>
    <w:basedOn w:val="NoList"/>
    <w:rsid w:val="00393AEC"/>
    <w:pPr>
      <w:numPr>
        <w:numId w:val="6"/>
      </w:numPr>
    </w:pPr>
  </w:style>
  <w:style w:type="paragraph" w:customStyle="1" w:styleId="Pas-pagrindinis">
    <w:name w:val="Pas-pagrindinis"/>
    <w:basedOn w:val="Normal"/>
    <w:rsid w:val="00393AEC"/>
    <w:pPr>
      <w:spacing w:before="120" w:after="60" w:line="240" w:lineRule="auto"/>
      <w:ind w:left="2268"/>
    </w:pPr>
    <w:rPr>
      <w:rFonts w:ascii="Times New Roman" w:eastAsia="Times New Roman" w:hAnsi="Times New Roman"/>
      <w:color w:val="auto"/>
      <w:szCs w:val="20"/>
      <w:lang w:eastAsia="en-GB"/>
    </w:rPr>
  </w:style>
  <w:style w:type="table" w:customStyle="1" w:styleId="LightList-Accent12">
    <w:name w:val="Light List - Accent 12"/>
    <w:basedOn w:val="TableNormal"/>
    <w:uiPriority w:val="61"/>
    <w:rsid w:val="00393AEC"/>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customStyle="1" w:styleId="CaptionChar">
    <w:name w:val="Caption Char"/>
    <w:aliases w:val="Pav. Char,• Caption Char,Table caption Char,paveikslas Char,Paveikslo pavadinimas Char,TabelOverskrift Char"/>
    <w:basedOn w:val="DefaultParagraphFont"/>
    <w:link w:val="Caption"/>
    <w:uiPriority w:val="35"/>
    <w:rsid w:val="00B114FA"/>
    <w:rPr>
      <w:rFonts w:eastAsia="Times New Roman" w:cs="Times New Roman"/>
      <w:b/>
      <w:bCs/>
      <w:i/>
      <w:color w:val="808080" w:themeColor="background2" w:themeShade="80"/>
      <w:lang w:val="lt-LT" w:eastAsia="lt-LT"/>
    </w:rPr>
  </w:style>
  <w:style w:type="table" w:customStyle="1" w:styleId="LightList-Accent18">
    <w:name w:val="Light List - Accent 18"/>
    <w:basedOn w:val="TableNormal"/>
    <w:next w:val="LightList-Accent1"/>
    <w:uiPriority w:val="61"/>
    <w:rsid w:val="00315FB5"/>
    <w:pPr>
      <w:spacing w:after="0" w:line="240" w:lineRule="auto"/>
    </w:pPr>
    <w:tblPr>
      <w:tblStyleRowBandSize w:val="1"/>
      <w:tblStyleColBandSize w:val="1"/>
      <w:tblBorders>
        <w:top w:val="single" w:sz="8" w:space="0" w:color="968C6D"/>
        <w:left w:val="single" w:sz="8" w:space="0" w:color="968C6D"/>
        <w:bottom w:val="single" w:sz="8" w:space="0" w:color="968C6D"/>
        <w:right w:val="single" w:sz="8" w:space="0" w:color="968C6D"/>
      </w:tblBorders>
    </w:tblPr>
    <w:tblStylePr w:type="firstRow">
      <w:pPr>
        <w:spacing w:before="0" w:after="0" w:line="240" w:lineRule="auto"/>
      </w:pPr>
      <w:rPr>
        <w:b/>
        <w:bCs/>
        <w:color w:val="FFFFFF"/>
      </w:rPr>
      <w:tblPr/>
      <w:tcPr>
        <w:shd w:val="clear" w:color="auto" w:fill="968C6D"/>
      </w:tcPr>
    </w:tblStylePr>
    <w:tblStylePr w:type="lastRow">
      <w:pPr>
        <w:spacing w:before="0" w:after="0" w:line="240" w:lineRule="auto"/>
      </w:pPr>
      <w:rPr>
        <w:b/>
        <w:bCs/>
      </w:rPr>
      <w:tblPr/>
      <w:tcPr>
        <w:tcBorders>
          <w:top w:val="double" w:sz="6" w:space="0" w:color="968C6D"/>
          <w:left w:val="single" w:sz="8" w:space="0" w:color="968C6D"/>
          <w:bottom w:val="single" w:sz="8" w:space="0" w:color="968C6D"/>
          <w:right w:val="single" w:sz="8" w:space="0" w:color="968C6D"/>
        </w:tcBorders>
      </w:tcPr>
    </w:tblStylePr>
    <w:tblStylePr w:type="firstCol">
      <w:rPr>
        <w:b/>
        <w:bCs/>
      </w:rPr>
    </w:tblStylePr>
    <w:tblStylePr w:type="lastCol">
      <w:rPr>
        <w:b/>
        <w:bCs/>
      </w:rPr>
    </w:tblStylePr>
    <w:tblStylePr w:type="band1Vert">
      <w:tblPr/>
      <w:tcPr>
        <w:tcBorders>
          <w:top w:val="single" w:sz="8" w:space="0" w:color="968C6D"/>
          <w:left w:val="single" w:sz="8" w:space="0" w:color="968C6D"/>
          <w:bottom w:val="single" w:sz="8" w:space="0" w:color="968C6D"/>
          <w:right w:val="single" w:sz="8" w:space="0" w:color="968C6D"/>
        </w:tcBorders>
      </w:tcPr>
    </w:tblStylePr>
    <w:tblStylePr w:type="band1Horz">
      <w:tblPr/>
      <w:tcPr>
        <w:tcBorders>
          <w:top w:val="single" w:sz="8" w:space="0" w:color="968C6D"/>
          <w:left w:val="single" w:sz="8" w:space="0" w:color="968C6D"/>
          <w:bottom w:val="single" w:sz="8" w:space="0" w:color="968C6D"/>
          <w:right w:val="single" w:sz="8" w:space="0" w:color="968C6D"/>
        </w:tcBorders>
      </w:tcPr>
    </w:tblStylePr>
  </w:style>
  <w:style w:type="table" w:styleId="LightList-Accent1">
    <w:name w:val="Light List Accent 1"/>
    <w:basedOn w:val="TableNormal"/>
    <w:uiPriority w:val="61"/>
    <w:rsid w:val="00315FB5"/>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paragraph" w:customStyle="1" w:styleId="BulletedListundernumpara">
    <w:name w:val="Bulleted List under num para"/>
    <w:basedOn w:val="Normal"/>
    <w:rsid w:val="004A0385"/>
    <w:pPr>
      <w:numPr>
        <w:numId w:val="7"/>
      </w:numPr>
      <w:tabs>
        <w:tab w:val="left" w:pos="1267"/>
      </w:tabs>
      <w:spacing w:before="120" w:line="240" w:lineRule="exact"/>
      <w:jc w:val="both"/>
    </w:pPr>
    <w:rPr>
      <w:rFonts w:ascii="Times New Roman" w:eastAsia="Times New Roman" w:hAnsi="Times New Roman"/>
      <w:color w:val="auto"/>
      <w:szCs w:val="20"/>
      <w:lang w:val="en-US"/>
    </w:rPr>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Footnote4"/>
    <w:basedOn w:val="Normal"/>
    <w:link w:val="FootnoteTextChar"/>
    <w:uiPriority w:val="99"/>
    <w:unhideWhenUsed/>
    <w:rsid w:val="007A3F87"/>
    <w:pPr>
      <w:spacing w:line="240" w:lineRule="auto"/>
    </w:pPr>
    <w:rPr>
      <w:rFonts w:eastAsiaTheme="minorHAnsi" w:cstheme="minorBidi"/>
      <w:noProof/>
      <w:color w:val="auto"/>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7A3F87"/>
    <w:rPr>
      <w:noProof/>
      <w:lang w:val="lt-LT"/>
    </w:rPr>
  </w:style>
  <w:style w:type="character" w:styleId="FootnoteReference">
    <w:name w:val="footnote reference"/>
    <w:aliases w:val="BVI fnr,Footnote symbol,Voetnootverwijzing,Times 10 Point,Exposant 3 Point,Footnote Reference Number,Footnote anchor,Footnote reference number,Footnote number,fr,Footnotemark,FR,Footnotemark1,Footnotemark2,FR1,Footnotemark3,FR2,Ref,o"/>
    <w:basedOn w:val="DefaultParagraphFont"/>
    <w:link w:val="SUPERSChar"/>
    <w:uiPriority w:val="99"/>
    <w:unhideWhenUsed/>
    <w:rsid w:val="007A3F87"/>
    <w:rPr>
      <w:vertAlign w:val="superscript"/>
    </w:rPr>
  </w:style>
  <w:style w:type="paragraph" w:styleId="BlockText">
    <w:name w:val="Block Text"/>
    <w:basedOn w:val="Normal"/>
    <w:rsid w:val="000B41E9"/>
    <w:pPr>
      <w:spacing w:line="240" w:lineRule="auto"/>
      <w:ind w:left="1440" w:right="142"/>
    </w:pPr>
    <w:rPr>
      <w:rFonts w:ascii="Times New Roman" w:eastAsia="Times New Roman" w:hAnsi="Times New Roman"/>
      <w:color w:val="auto"/>
      <w:sz w:val="24"/>
      <w:szCs w:val="20"/>
    </w:rPr>
  </w:style>
  <w:style w:type="paragraph" w:styleId="NormalWeb">
    <w:name w:val="Normal (Web)"/>
    <w:basedOn w:val="Normal"/>
    <w:uiPriority w:val="99"/>
    <w:unhideWhenUsed/>
    <w:rsid w:val="008E204E"/>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Text">
    <w:name w:val="Text"/>
    <w:basedOn w:val="Normal"/>
    <w:link w:val="TextChar"/>
    <w:uiPriority w:val="99"/>
    <w:qFormat/>
    <w:rsid w:val="00CC3497"/>
    <w:pPr>
      <w:tabs>
        <w:tab w:val="left" w:pos="9600"/>
      </w:tabs>
      <w:spacing w:after="240" w:line="276" w:lineRule="auto"/>
      <w:ind w:left="505" w:right="74"/>
      <w:jc w:val="both"/>
    </w:pPr>
    <w:rPr>
      <w:rFonts w:eastAsiaTheme="minorEastAsia" w:cstheme="minorBidi"/>
      <w:noProof/>
      <w:color w:val="auto"/>
      <w:sz w:val="24"/>
      <w:szCs w:val="22"/>
      <w:lang w:eastAsia="lt-LT"/>
    </w:rPr>
  </w:style>
  <w:style w:type="character" w:customStyle="1" w:styleId="TextChar">
    <w:name w:val="Text Char"/>
    <w:basedOn w:val="DefaultParagraphFont"/>
    <w:link w:val="Text"/>
    <w:uiPriority w:val="99"/>
    <w:rsid w:val="00CC3497"/>
    <w:rPr>
      <w:rFonts w:ascii="Cambria" w:eastAsiaTheme="minorEastAsia" w:hAnsi="Cambria"/>
      <w:noProof/>
      <w:sz w:val="24"/>
      <w:szCs w:val="22"/>
      <w:lang w:val="lt-LT" w:eastAsia="lt-LT"/>
    </w:rPr>
  </w:style>
  <w:style w:type="paragraph" w:customStyle="1" w:styleId="text-15-str">
    <w:name w:val="text-15-str"/>
    <w:basedOn w:val="Normal"/>
    <w:rsid w:val="00B514D2"/>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SLONormal">
    <w:name w:val="SLO Normal"/>
    <w:qFormat/>
    <w:rsid w:val="006A25C5"/>
    <w:pPr>
      <w:spacing w:before="120" w:after="120" w:line="240" w:lineRule="auto"/>
      <w:jc w:val="both"/>
    </w:pPr>
    <w:rPr>
      <w:rFonts w:ascii="Times New Roman" w:eastAsia="Times New Roman" w:hAnsi="Times New Roman" w:cs="Times New Roman"/>
      <w:kern w:val="24"/>
      <w:sz w:val="22"/>
      <w:szCs w:val="24"/>
    </w:rPr>
  </w:style>
  <w:style w:type="paragraph" w:customStyle="1" w:styleId="TESALaukelis">
    <w:name w:val="TES_ALaukelis"/>
    <w:basedOn w:val="Normal"/>
    <w:autoRedefine/>
    <w:uiPriority w:val="99"/>
    <w:rsid w:val="004A6A25"/>
    <w:pPr>
      <w:spacing w:before="120" w:after="120" w:line="240" w:lineRule="auto"/>
    </w:pPr>
    <w:rPr>
      <w:rFonts w:eastAsiaTheme="majorEastAsia" w:cstheme="majorBidi"/>
      <w:b/>
      <w:color w:val="FFFFFF" w:themeColor="background1"/>
      <w:spacing w:val="5"/>
      <w:kern w:val="28"/>
      <w:sz w:val="32"/>
      <w:szCs w:val="32"/>
    </w:rPr>
  </w:style>
  <w:style w:type="paragraph" w:customStyle="1" w:styleId="TESpaveikslopavadinimas">
    <w:name w:val="TES_paveikslo pavadinimas"/>
    <w:basedOn w:val="Normal"/>
    <w:link w:val="TESpaveikslopavadinimasChar"/>
    <w:qFormat/>
    <w:rsid w:val="007878E3"/>
    <w:pPr>
      <w:spacing w:before="120" w:after="240" w:line="240" w:lineRule="auto"/>
      <w:ind w:left="360"/>
      <w:jc w:val="center"/>
    </w:pPr>
    <w:rPr>
      <w:rFonts w:ascii="Calibri" w:eastAsiaTheme="minorHAnsi" w:hAnsi="Calibri" w:cs="Miriam"/>
      <w:b/>
      <w:iCs/>
      <w:color w:val="6B7487"/>
      <w:szCs w:val="18"/>
    </w:rPr>
  </w:style>
  <w:style w:type="character" w:customStyle="1" w:styleId="TESpaveikslopavadinimasChar">
    <w:name w:val="TES_paveikslo pavadinimas Char"/>
    <w:basedOn w:val="DefaultParagraphFont"/>
    <w:link w:val="TESpaveikslopavadinimas"/>
    <w:rsid w:val="007878E3"/>
    <w:rPr>
      <w:rFonts w:ascii="Calibri" w:hAnsi="Calibri" w:cs="Miriam"/>
      <w:b/>
      <w:iCs/>
      <w:color w:val="6B7487"/>
      <w:szCs w:val="18"/>
      <w:lang w:val="lt-LT"/>
    </w:rPr>
  </w:style>
  <w:style w:type="paragraph" w:customStyle="1" w:styleId="SUPERSChar">
    <w:name w:val="SUPERS Char"/>
    <w:aliases w:val="EN Footnote Reference Char"/>
    <w:basedOn w:val="Normal"/>
    <w:link w:val="FootnoteReference"/>
    <w:uiPriority w:val="99"/>
    <w:rsid w:val="007878E3"/>
    <w:pPr>
      <w:spacing w:after="160" w:line="240" w:lineRule="exact"/>
    </w:pPr>
    <w:rPr>
      <w:rFonts w:eastAsiaTheme="minorHAnsi" w:cstheme="minorBidi"/>
      <w:color w:val="auto"/>
      <w:szCs w:val="20"/>
      <w:vertAlign w:val="superscript"/>
      <w:lang w:val="en-GB"/>
    </w:rPr>
  </w:style>
  <w:style w:type="paragraph" w:styleId="EndnoteText">
    <w:name w:val="endnote text"/>
    <w:basedOn w:val="Normal"/>
    <w:link w:val="EndnoteTextChar"/>
    <w:uiPriority w:val="99"/>
    <w:semiHidden/>
    <w:unhideWhenUsed/>
    <w:rsid w:val="00600C44"/>
    <w:pPr>
      <w:spacing w:line="240" w:lineRule="auto"/>
    </w:pPr>
    <w:rPr>
      <w:szCs w:val="20"/>
      <w:lang w:val="en-GB"/>
    </w:rPr>
  </w:style>
  <w:style w:type="character" w:customStyle="1" w:styleId="EndnoteTextChar">
    <w:name w:val="Endnote Text Char"/>
    <w:basedOn w:val="DefaultParagraphFont"/>
    <w:link w:val="EndnoteText"/>
    <w:uiPriority w:val="99"/>
    <w:semiHidden/>
    <w:rsid w:val="00600C44"/>
    <w:rPr>
      <w:rFonts w:eastAsia="Arial" w:cs="Times New Roman"/>
      <w:color w:val="000000"/>
    </w:rPr>
  </w:style>
  <w:style w:type="character" w:styleId="EndnoteReference">
    <w:name w:val="endnote reference"/>
    <w:basedOn w:val="DefaultParagraphFont"/>
    <w:uiPriority w:val="99"/>
    <w:semiHidden/>
    <w:unhideWhenUsed/>
    <w:rsid w:val="00600C44"/>
    <w:rPr>
      <w:vertAlign w:val="superscript"/>
    </w:rPr>
  </w:style>
  <w:style w:type="numbering" w:customStyle="1" w:styleId="Style3">
    <w:name w:val="Style3"/>
    <w:basedOn w:val="NoList"/>
    <w:rsid w:val="005B5209"/>
    <w:pPr>
      <w:numPr>
        <w:numId w:val="8"/>
      </w:numPr>
    </w:pPr>
  </w:style>
  <w:style w:type="character" w:customStyle="1" w:styleId="Antrat1Diagrama">
    <w:name w:val="Antraštė 1 Diagrama"/>
    <w:basedOn w:val="DefaultParagraphFont"/>
    <w:rsid w:val="007D620B"/>
    <w:rPr>
      <w:rFonts w:ascii="Times New Roman" w:eastAsia="Times New Roman" w:hAnsi="Times New Roman" w:cs="Times New Roman"/>
      <w:sz w:val="24"/>
      <w:szCs w:val="20"/>
      <w:lang w:eastAsia="en-US"/>
    </w:rPr>
  </w:style>
  <w:style w:type="paragraph" w:customStyle="1" w:styleId="BlockText2">
    <w:name w:val="Block Text 2"/>
    <w:basedOn w:val="Normal"/>
    <w:uiPriority w:val="99"/>
    <w:qFormat/>
    <w:rsid w:val="00BA6D37"/>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240" w:line="240" w:lineRule="auto"/>
      <w:ind w:left="227" w:right="227"/>
    </w:pPr>
    <w:rPr>
      <w:rFonts w:eastAsiaTheme="minorHAnsi" w:cstheme="minorBidi"/>
      <w:i/>
      <w:color w:val="FFFFFF" w:themeColor="background2"/>
      <w:sz w:val="48"/>
      <w:szCs w:val="48"/>
      <w:lang w:val="en-GB"/>
    </w:rPr>
  </w:style>
  <w:style w:type="table" w:customStyle="1" w:styleId="PwCTable1">
    <w:name w:val="PwC Table 1"/>
    <w:basedOn w:val="TableNormal"/>
    <w:uiPriority w:val="99"/>
    <w:qFormat/>
    <w:rsid w:val="00BA6D37"/>
    <w:pPr>
      <w:spacing w:after="0" w:line="240" w:lineRule="auto"/>
    </w:pPr>
    <w:rPr>
      <w:rFonts w:ascii="Arial" w:eastAsia="Arial" w:hAnsi="Arial" w:cs="Times New Roman"/>
      <w:sz w:val="18"/>
      <w:szCs w:val="22"/>
      <w:lang w:val="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Bahnschrift" w:hAnsi="Bahnschrift"/>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BodyText1">
    <w:name w:val="Body Text1"/>
    <w:basedOn w:val="Normal"/>
    <w:link w:val="BodytextChar0"/>
    <w:uiPriority w:val="99"/>
    <w:rsid w:val="00BA6D37"/>
    <w:pPr>
      <w:autoSpaceDE w:val="0"/>
      <w:autoSpaceDN w:val="0"/>
      <w:adjustRightInd w:val="0"/>
      <w:spacing w:after="180" w:line="260" w:lineRule="atLeast"/>
      <w:textAlignment w:val="center"/>
    </w:pPr>
    <w:rPr>
      <w:rFonts w:eastAsia="MS Mincho" w:cs="Georgia"/>
      <w:szCs w:val="20"/>
      <w:lang w:val="en-US"/>
    </w:rPr>
  </w:style>
  <w:style w:type="paragraph" w:customStyle="1" w:styleId="ListBullet6">
    <w:name w:val="List Bullet 6"/>
    <w:basedOn w:val="ListBullet5"/>
    <w:qFormat/>
    <w:rsid w:val="00C45A66"/>
    <w:pPr>
      <w:numPr>
        <w:ilvl w:val="0"/>
        <w:numId w:val="0"/>
      </w:numPr>
      <w:tabs>
        <w:tab w:val="num" w:pos="2381"/>
      </w:tabs>
      <w:spacing w:before="60" w:after="60"/>
      <w:ind w:left="2381" w:hanging="396"/>
    </w:pPr>
    <w:rPr>
      <w:rFonts w:asciiTheme="minorHAnsi" w:eastAsiaTheme="minorEastAsia" w:hAnsiTheme="minorHAnsi" w:cstheme="minorBidi"/>
      <w:color w:val="auto"/>
      <w:szCs w:val="22"/>
      <w:lang w:val="en-US"/>
    </w:rPr>
  </w:style>
  <w:style w:type="paragraph" w:customStyle="1" w:styleId="ListBullet7">
    <w:name w:val="List Bullet 7"/>
    <w:basedOn w:val="ListBullet6"/>
    <w:qFormat/>
    <w:rsid w:val="00C45A66"/>
    <w:pPr>
      <w:tabs>
        <w:tab w:val="clear" w:pos="2381"/>
        <w:tab w:val="num" w:pos="2778"/>
      </w:tabs>
      <w:ind w:left="2778" w:hanging="397"/>
    </w:pPr>
  </w:style>
  <w:style w:type="paragraph" w:customStyle="1" w:styleId="ListBullet8">
    <w:name w:val="List Bullet 8"/>
    <w:basedOn w:val="ListBullet7"/>
    <w:qFormat/>
    <w:rsid w:val="00C45A66"/>
    <w:pPr>
      <w:tabs>
        <w:tab w:val="clear" w:pos="2778"/>
        <w:tab w:val="num" w:pos="3175"/>
      </w:tabs>
      <w:ind w:left="3175"/>
    </w:pPr>
  </w:style>
  <w:style w:type="paragraph" w:customStyle="1" w:styleId="ListBullet9">
    <w:name w:val="List Bullet 9"/>
    <w:basedOn w:val="ListBullet8"/>
    <w:qFormat/>
    <w:rsid w:val="00C45A66"/>
    <w:pPr>
      <w:tabs>
        <w:tab w:val="clear" w:pos="3175"/>
        <w:tab w:val="num" w:pos="3572"/>
      </w:tabs>
      <w:ind w:left="3572"/>
    </w:pPr>
  </w:style>
  <w:style w:type="character" w:customStyle="1" w:styleId="BodytextChar0">
    <w:name w:val="Body text Char"/>
    <w:link w:val="BodyText1"/>
    <w:uiPriority w:val="99"/>
    <w:rsid w:val="00C45A66"/>
    <w:rPr>
      <w:rFonts w:eastAsia="MS Mincho" w:cs="Georgia"/>
      <w:color w:val="000000"/>
      <w:lang w:val="en-US"/>
    </w:rPr>
  </w:style>
  <w:style w:type="table" w:customStyle="1" w:styleId="VPVILentele1">
    <w:name w:val="VPVI Lentele 1"/>
    <w:basedOn w:val="TableGrid"/>
    <w:uiPriority w:val="99"/>
    <w:rsid w:val="00046954"/>
    <w:pPr>
      <w:spacing w:line="276" w:lineRule="auto"/>
      <w:contextualSpacing/>
    </w:pPr>
    <w:rPr>
      <w:rFonts w:asciiTheme="minorHAnsi" w:eastAsiaTheme="minorEastAsia" w:hAnsiTheme="minorHAns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76" w:lineRule="auto"/>
        <w:jc w:val="center"/>
      </w:pPr>
      <w:rPr>
        <w:rFonts w:asciiTheme="minorHAnsi" w:hAnsiTheme="minorHAnsi"/>
        <w:b/>
        <w:sz w:val="22"/>
      </w:rPr>
      <w:tblPr/>
      <w:tcPr>
        <w:shd w:val="clear" w:color="auto" w:fill="00505E"/>
      </w:tcPr>
    </w:tblStylePr>
    <w:tblStylePr w:type="lastRow">
      <w:pPr>
        <w:wordWrap/>
        <w:spacing w:beforeLines="0" w:before="0" w:beforeAutospacing="0" w:afterLines="0" w:after="0" w:afterAutospacing="0" w:line="276" w:lineRule="auto"/>
        <w:ind w:leftChars="0" w:left="0" w:rightChars="0" w:right="0"/>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firstCol">
      <w:pPr>
        <w:wordWrap/>
        <w:spacing w:line="276" w:lineRule="auto"/>
        <w:jc w:val="left"/>
      </w:pPr>
      <w:rPr>
        <w:rFonts w:asciiTheme="minorHAnsi" w:hAnsiTheme="minorHAnsi"/>
      </w:rPr>
    </w:tblStylePr>
    <w:tblStylePr w:type="lastCol">
      <w:pPr>
        <w:wordWrap/>
        <w:spacing w:line="276" w:lineRule="auto"/>
        <w:jc w:val="left"/>
      </w:pPr>
      <w:rPr>
        <w:rFonts w:asciiTheme="minorHAnsi" w:hAnsiTheme="minorHAnsi"/>
      </w:rPr>
    </w:tblStylePr>
    <w:tblStylePr w:type="band1Vert">
      <w:pPr>
        <w:jc w:val="left"/>
      </w:pPr>
      <w:rPr>
        <w:rFonts w:asciiTheme="minorHAnsi" w:hAnsiTheme="minorHAnsi"/>
      </w:rPr>
    </w:tblStylePr>
    <w:tblStylePr w:type="band2Vert">
      <w:pPr>
        <w:jc w:val="left"/>
      </w:pPr>
      <w:rPr>
        <w:rFonts w:asciiTheme="minorHAnsi" w:hAnsiTheme="minorHAnsi"/>
      </w:rPr>
    </w:tblStylePr>
    <w:tblStylePr w:type="band1Horz">
      <w:pPr>
        <w:wordWrap/>
        <w:spacing w:beforeLines="0" w:before="0" w:beforeAutospacing="0" w:afterLines="0" w:after="0" w:afterAutospacing="0" w:line="276" w:lineRule="auto"/>
        <w:jc w:val="left"/>
      </w:pPr>
      <w:rPr>
        <w:rFonts w:asciiTheme="minorHAnsi" w:hAnsiTheme="minorHAnsi"/>
        <w:b w:val="0"/>
        <w:sz w:val="20"/>
      </w:rPr>
      <w:tblPr/>
      <w:tcPr>
        <w:shd w:val="clear" w:color="auto" w:fill="F6E2A3"/>
      </w:tcPr>
    </w:tblStylePr>
    <w:tblStylePr w:type="band2Horz">
      <w:pPr>
        <w:wordWrap/>
        <w:spacing w:beforeLines="0" w:before="0" w:beforeAutospacing="0" w:afterLines="0" w:after="0" w:afterAutospacing="0" w:line="276" w:lineRule="auto"/>
        <w:ind w:firstLineChars="0" w:firstLine="0"/>
        <w:jc w:val="left"/>
      </w:pPr>
      <w:rPr>
        <w:rFonts w:asciiTheme="minorHAnsi" w:hAnsiTheme="minorHAnsi"/>
        <w:b w:val="0"/>
        <w:sz w:val="20"/>
      </w:rPr>
    </w:tblStylePr>
    <w:tblStylePr w:type="neCell">
      <w:pPr>
        <w:wordWrap/>
        <w:spacing w:beforeLines="0" w:before="0" w:beforeAutospacing="0" w:afterLines="0" w:after="0" w:afterAutospacing="0" w:line="276" w:lineRule="auto"/>
        <w:contextualSpacing/>
        <w:jc w:val="center"/>
      </w:pPr>
      <w:rPr>
        <w:rFonts w:asciiTheme="minorHAnsi" w:hAnsiTheme="minorHAnsi"/>
        <w:sz w:val="22"/>
      </w:rPr>
    </w:tblStylePr>
    <w:tblStylePr w:type="nwCell">
      <w:pPr>
        <w:jc w:val="left"/>
      </w:pPr>
      <w:rPr>
        <w:rFonts w:asciiTheme="minorHAnsi" w:hAnsiTheme="minorHAnsi"/>
      </w:rPr>
    </w:tblStylePr>
    <w:tblStylePr w:type="seCell">
      <w:pPr>
        <w:jc w:val="left"/>
      </w:pPr>
      <w:rPr>
        <w:rFonts w:asciiTheme="minorHAnsi" w:hAnsiTheme="minorHAnsi"/>
        <w:sz w:val="18"/>
      </w:rPr>
    </w:tblStylePr>
    <w:tblStylePr w:type="swCell">
      <w:pPr>
        <w:jc w:val="left"/>
      </w:pPr>
      <w:rPr>
        <w:rFonts w:asciiTheme="minorHAnsi" w:hAnsiTheme="minorHAnsi"/>
        <w:sz w:val="18"/>
      </w:rPr>
    </w:tblStylePr>
  </w:style>
  <w:style w:type="character" w:customStyle="1" w:styleId="UnresolvedMention1">
    <w:name w:val="Unresolved Mention1"/>
    <w:basedOn w:val="DefaultParagraphFont"/>
    <w:uiPriority w:val="99"/>
    <w:semiHidden/>
    <w:unhideWhenUsed/>
    <w:rsid w:val="009A32AE"/>
    <w:rPr>
      <w:color w:val="605E5C"/>
      <w:shd w:val="clear" w:color="auto" w:fill="E1DFDD"/>
    </w:rPr>
  </w:style>
  <w:style w:type="paragraph" w:customStyle="1" w:styleId="Default">
    <w:name w:val="Default"/>
    <w:rsid w:val="0038251D"/>
    <w:pPr>
      <w:autoSpaceDE w:val="0"/>
      <w:autoSpaceDN w:val="0"/>
      <w:adjustRightInd w:val="0"/>
      <w:spacing w:after="0" w:line="240" w:lineRule="auto"/>
    </w:pPr>
    <w:rPr>
      <w:rFonts w:ascii="Calibri" w:hAnsi="Calibri" w:cs="Calibri"/>
      <w:color w:val="000000"/>
      <w:sz w:val="24"/>
      <w:szCs w:val="24"/>
    </w:rPr>
  </w:style>
  <w:style w:type="table" w:customStyle="1" w:styleId="ListTable4-Accent31">
    <w:name w:val="List Table 4 - Accent 31"/>
    <w:basedOn w:val="TableNormal"/>
    <w:next w:val="ListTable4Accent3"/>
    <w:uiPriority w:val="49"/>
    <w:rsid w:val="0004751F"/>
    <w:pPr>
      <w:spacing w:after="0" w:line="240" w:lineRule="auto"/>
    </w:pPr>
    <w:rPr>
      <w:rFonts w:ascii="Calibri" w:hAnsi="Calibri"/>
      <w:sz w:val="22"/>
      <w:szCs w:val="22"/>
    </w:rPr>
    <w:tblPr>
      <w:tblStyleRowBandSize w:val="1"/>
      <w:tblStyleColBandSize w:val="1"/>
      <w:tblBorders>
        <w:top w:val="single" w:sz="4" w:space="0" w:color="98D8CE"/>
        <w:left w:val="single" w:sz="4" w:space="0" w:color="98D8CE"/>
        <w:bottom w:val="single" w:sz="4" w:space="0" w:color="98D8CE"/>
        <w:right w:val="single" w:sz="4" w:space="0" w:color="98D8CE"/>
        <w:insideH w:val="single" w:sz="4" w:space="0" w:color="98D8CE"/>
      </w:tblBorders>
    </w:tblPr>
    <w:tblStylePr w:type="firstRow">
      <w:rPr>
        <w:b/>
        <w:bCs/>
        <w:color w:val="FFFFFF"/>
      </w:rPr>
      <w:tblPr/>
      <w:tcPr>
        <w:tcBorders>
          <w:top w:val="single" w:sz="4" w:space="0" w:color="55BFAE"/>
          <w:left w:val="single" w:sz="4" w:space="0" w:color="55BFAE"/>
          <w:bottom w:val="single" w:sz="4" w:space="0" w:color="55BFAE"/>
          <w:right w:val="single" w:sz="4" w:space="0" w:color="55BFAE"/>
          <w:insideH w:val="nil"/>
        </w:tcBorders>
        <w:shd w:val="clear" w:color="auto" w:fill="55BFAE"/>
      </w:tcPr>
    </w:tblStylePr>
    <w:tblStylePr w:type="lastRow">
      <w:rPr>
        <w:b/>
        <w:bCs/>
      </w:rPr>
      <w:tblPr/>
      <w:tcPr>
        <w:tcBorders>
          <w:top w:val="double" w:sz="4" w:space="0" w:color="98D8CE"/>
        </w:tcBorders>
      </w:tcPr>
    </w:tblStylePr>
    <w:tblStylePr w:type="firstCol">
      <w:rPr>
        <w:b/>
        <w:bCs/>
      </w:rPr>
    </w:tblStylePr>
    <w:tblStylePr w:type="lastCol">
      <w:rPr>
        <w:b/>
        <w:bCs/>
      </w:rPr>
    </w:tblStylePr>
    <w:tblStylePr w:type="band1Vert">
      <w:tblPr/>
      <w:tcPr>
        <w:shd w:val="clear" w:color="auto" w:fill="DCF2EE"/>
      </w:tcPr>
    </w:tblStylePr>
    <w:tblStylePr w:type="band1Horz">
      <w:tblPr/>
      <w:tcPr>
        <w:shd w:val="clear" w:color="auto" w:fill="DCF2EE"/>
      </w:tcPr>
    </w:tblStylePr>
  </w:style>
  <w:style w:type="table" w:customStyle="1" w:styleId="ListTable4Accent3">
    <w:name w:val="List Table 4 Accent 3"/>
    <w:basedOn w:val="TableNormal"/>
    <w:uiPriority w:val="49"/>
    <w:rsid w:val="0004751F"/>
    <w:pPr>
      <w:spacing w:after="0" w:line="240" w:lineRule="auto"/>
    </w:pPr>
    <w:tblPr>
      <w:tblStyleRowBandSize w:val="1"/>
      <w:tblStyleColBandSize w:val="1"/>
      <w:tblBorders>
        <w:top w:val="single" w:sz="4" w:space="0" w:color="C55753" w:themeColor="accent3" w:themeTint="99"/>
        <w:left w:val="single" w:sz="4" w:space="0" w:color="C55753" w:themeColor="accent3" w:themeTint="99"/>
        <w:bottom w:val="single" w:sz="4" w:space="0" w:color="C55753" w:themeColor="accent3" w:themeTint="99"/>
        <w:right w:val="single" w:sz="4" w:space="0" w:color="C55753" w:themeColor="accent3" w:themeTint="99"/>
        <w:insideH w:val="single" w:sz="4" w:space="0" w:color="C55753" w:themeColor="accent3" w:themeTint="99"/>
      </w:tblBorders>
    </w:tblPr>
    <w:tblStylePr w:type="firstRow">
      <w:rPr>
        <w:b/>
        <w:bCs/>
        <w:color w:val="FFFFFF" w:themeColor="background1"/>
      </w:rPr>
      <w:tblPr/>
      <w:tcPr>
        <w:tcBorders>
          <w:top w:val="single" w:sz="4" w:space="0" w:color="602320" w:themeColor="accent3"/>
          <w:left w:val="single" w:sz="4" w:space="0" w:color="602320" w:themeColor="accent3"/>
          <w:bottom w:val="single" w:sz="4" w:space="0" w:color="602320" w:themeColor="accent3"/>
          <w:right w:val="single" w:sz="4" w:space="0" w:color="602320" w:themeColor="accent3"/>
          <w:insideH w:val="nil"/>
        </w:tcBorders>
        <w:shd w:val="clear" w:color="auto" w:fill="602320" w:themeFill="accent3"/>
      </w:tcPr>
    </w:tblStylePr>
    <w:tblStylePr w:type="lastRow">
      <w:rPr>
        <w:b/>
        <w:bCs/>
      </w:rPr>
      <w:tblPr/>
      <w:tcPr>
        <w:tcBorders>
          <w:top w:val="double" w:sz="4" w:space="0" w:color="C55753" w:themeColor="accent3" w:themeTint="99"/>
        </w:tcBorders>
      </w:tcPr>
    </w:tblStylePr>
    <w:tblStylePr w:type="firstCol">
      <w:rPr>
        <w:b/>
        <w:bCs/>
      </w:rPr>
    </w:tblStylePr>
    <w:tblStylePr w:type="lastCol">
      <w:rPr>
        <w:b/>
        <w:bCs/>
      </w:rPr>
    </w:tblStylePr>
    <w:tblStylePr w:type="band1Vert">
      <w:tblPr/>
      <w:tcPr>
        <w:shd w:val="clear" w:color="auto" w:fill="EBC7C5" w:themeFill="accent3" w:themeFillTint="33"/>
      </w:tcPr>
    </w:tblStylePr>
    <w:tblStylePr w:type="band1Horz">
      <w:tblPr/>
      <w:tcPr>
        <w:shd w:val="clear" w:color="auto" w:fill="EBC7C5" w:themeFill="accent3" w:themeFillTint="33"/>
      </w:tcPr>
    </w:tblStylePr>
  </w:style>
  <w:style w:type="paragraph" w:styleId="TableofFigures">
    <w:name w:val="table of figures"/>
    <w:basedOn w:val="Normal"/>
    <w:next w:val="Normal"/>
    <w:uiPriority w:val="99"/>
    <w:unhideWhenUsed/>
    <w:rsid w:val="00F35819"/>
    <w:rPr>
      <w:rFonts w:ascii="Times New Roman" w:hAnsi="Times New Roman"/>
      <w:sz w:val="24"/>
      <w:lang w:val="en-GB"/>
    </w:rPr>
  </w:style>
  <w:style w:type="paragraph" w:customStyle="1" w:styleId="Lent">
    <w:name w:val="Lent."/>
    <w:basedOn w:val="Caption"/>
    <w:link w:val="LentChar"/>
    <w:uiPriority w:val="34"/>
    <w:qFormat/>
    <w:rsid w:val="00910E7F"/>
    <w:pPr>
      <w:jc w:val="left"/>
    </w:pPr>
  </w:style>
  <w:style w:type="paragraph" w:customStyle="1" w:styleId="Lentelestekstas">
    <w:name w:val="Lenteles_tekstas"/>
    <w:basedOn w:val="Normal"/>
    <w:link w:val="LentelestekstasChar"/>
    <w:uiPriority w:val="34"/>
    <w:qFormat/>
    <w:rsid w:val="00C744C8"/>
    <w:pPr>
      <w:spacing w:line="240" w:lineRule="auto"/>
    </w:pPr>
    <w:rPr>
      <w:sz w:val="20"/>
      <w:lang w:val="en-GB"/>
    </w:rPr>
  </w:style>
  <w:style w:type="character" w:customStyle="1" w:styleId="LentChar">
    <w:name w:val="Lent. Char"/>
    <w:basedOn w:val="CaptionChar"/>
    <w:link w:val="Lent"/>
    <w:uiPriority w:val="34"/>
    <w:rsid w:val="00910E7F"/>
    <w:rPr>
      <w:rFonts w:ascii="Cambria" w:eastAsia="Times New Roman" w:hAnsi="Cambria" w:cs="Times New Roman"/>
      <w:b/>
      <w:bCs/>
      <w:i/>
      <w:color w:val="808080" w:themeColor="background2" w:themeShade="80"/>
      <w:sz w:val="22"/>
      <w:lang w:val="lt-LT" w:eastAsia="lt-LT"/>
    </w:rPr>
  </w:style>
  <w:style w:type="character" w:customStyle="1" w:styleId="LentelestekstasChar">
    <w:name w:val="Lenteles_tekstas Char"/>
    <w:basedOn w:val="DefaultParagraphFont"/>
    <w:link w:val="Lentelestekstas"/>
    <w:uiPriority w:val="34"/>
    <w:rsid w:val="00C744C8"/>
    <w:rPr>
      <w:rFonts w:ascii="Cambria" w:eastAsia="Arial" w:hAnsi="Cambria" w:cs="Times New Roman"/>
      <w:color w:val="000000"/>
      <w:szCs w:val="21"/>
    </w:rPr>
  </w:style>
  <w:style w:type="table" w:customStyle="1" w:styleId="GridTable5Dark-Accent31">
    <w:name w:val="Grid Table 5 Dark - Accent 31"/>
    <w:basedOn w:val="TableNormal"/>
    <w:next w:val="GridTable5DarkAccent3"/>
    <w:uiPriority w:val="50"/>
    <w:rsid w:val="00C761DA"/>
    <w:pPr>
      <w:spacing w:after="0" w:line="240" w:lineRule="auto"/>
    </w:pPr>
    <w:rPr>
      <w:rFonts w:ascii="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CF2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5BF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5BF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5BF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5BFAE"/>
      </w:tcPr>
    </w:tblStylePr>
    <w:tblStylePr w:type="band1Vert">
      <w:tblPr/>
      <w:tcPr>
        <w:shd w:val="clear" w:color="auto" w:fill="BAE5DE"/>
      </w:tcPr>
    </w:tblStylePr>
    <w:tblStylePr w:type="band1Horz">
      <w:tblPr/>
      <w:tcPr>
        <w:shd w:val="clear" w:color="auto" w:fill="BAE5DE"/>
      </w:tcPr>
    </w:tblStylePr>
  </w:style>
  <w:style w:type="table" w:customStyle="1" w:styleId="GridTable5DarkAccent3">
    <w:name w:val="Grid Table 5 Dark Accent 3"/>
    <w:basedOn w:val="TableNormal"/>
    <w:uiPriority w:val="50"/>
    <w:rsid w:val="00C76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7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23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23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23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2320" w:themeFill="accent3"/>
      </w:tcPr>
    </w:tblStylePr>
    <w:tblStylePr w:type="band1Vert">
      <w:tblPr/>
      <w:tcPr>
        <w:shd w:val="clear" w:color="auto" w:fill="D88F8C" w:themeFill="accent3" w:themeFillTint="66"/>
      </w:tcPr>
    </w:tblStylePr>
    <w:tblStylePr w:type="band1Horz">
      <w:tblPr/>
      <w:tcPr>
        <w:shd w:val="clear" w:color="auto" w:fill="D88F8C" w:themeFill="accent3" w:themeFillTint="66"/>
      </w:tcPr>
    </w:tblStylePr>
  </w:style>
  <w:style w:type="paragraph" w:customStyle="1" w:styleId="TESlentelspavadinimas">
    <w:name w:val="TES_lentelės pavadinimas"/>
    <w:basedOn w:val="Normal"/>
    <w:link w:val="TESlentelspavadinimasChar"/>
    <w:autoRedefine/>
    <w:uiPriority w:val="99"/>
    <w:qFormat/>
    <w:rsid w:val="00631BA6"/>
    <w:pPr>
      <w:spacing w:line="240" w:lineRule="auto"/>
    </w:pPr>
    <w:rPr>
      <w:rFonts w:ascii="Times New Roman" w:eastAsiaTheme="minorHAnsi" w:hAnsi="Times New Roman"/>
      <w:bCs/>
      <w:i/>
      <w:noProof/>
      <w:color w:val="000000" w:themeColor="text1"/>
      <w:sz w:val="20"/>
      <w:szCs w:val="20"/>
    </w:rPr>
  </w:style>
  <w:style w:type="character" w:customStyle="1" w:styleId="TESlentelspavadinimasChar">
    <w:name w:val="TES_lentelės pavadinimas Char"/>
    <w:basedOn w:val="DefaultParagraphFont"/>
    <w:link w:val="TESlentelspavadinimas"/>
    <w:uiPriority w:val="99"/>
    <w:rsid w:val="00631BA6"/>
    <w:rPr>
      <w:rFonts w:ascii="Times New Roman" w:hAnsi="Times New Roman" w:cs="Times New Roman"/>
      <w:bCs/>
      <w:i/>
      <w:noProof/>
      <w:color w:val="000000" w:themeColor="text1"/>
      <w:lang w:val="lt-LT"/>
    </w:rPr>
  </w:style>
  <w:style w:type="paragraph" w:customStyle="1" w:styleId="TESPaaikinimai">
    <w:name w:val="TES_Paaiškinimai"/>
    <w:basedOn w:val="Normal"/>
    <w:autoRedefine/>
    <w:uiPriority w:val="99"/>
    <w:qFormat/>
    <w:rsid w:val="00AD6DA0"/>
    <w:pPr>
      <w:spacing w:before="60" w:line="240" w:lineRule="auto"/>
    </w:pPr>
    <w:rPr>
      <w:rFonts w:ascii="Times New Roman" w:eastAsia="Calibri" w:hAnsi="Times New Roman"/>
      <w:i/>
      <w:color w:val="6B7487"/>
      <w:kern w:val="36"/>
      <w:sz w:val="20"/>
      <w:szCs w:val="20"/>
    </w:rPr>
  </w:style>
  <w:style w:type="character" w:styleId="FollowedHyperlink">
    <w:name w:val="FollowedHyperlink"/>
    <w:basedOn w:val="DefaultParagraphFont"/>
    <w:uiPriority w:val="99"/>
    <w:semiHidden/>
    <w:unhideWhenUsed/>
    <w:rsid w:val="0009004D"/>
    <w:rPr>
      <w:color w:val="DC6900" w:themeColor="followedHyperlink"/>
      <w:u w:val="single"/>
    </w:rPr>
  </w:style>
  <w:style w:type="paragraph" w:customStyle="1" w:styleId="Nenumeruojamosantrastes">
    <w:name w:val="• Nenumeruojamos antrastes"/>
    <w:next w:val="Normal"/>
    <w:link w:val="NenumeruojamosantrastesChar"/>
    <w:qFormat/>
    <w:rsid w:val="00526623"/>
    <w:pPr>
      <w:pageBreakBefore/>
      <w:widowControl w:val="0"/>
      <w:pBdr>
        <w:bottom w:val="single" w:sz="8" w:space="1" w:color="4181B6"/>
      </w:pBdr>
      <w:spacing w:before="120" w:line="240" w:lineRule="auto"/>
    </w:pPr>
    <w:rPr>
      <w:rFonts w:asciiTheme="majorHAnsi" w:eastAsia="Times New Roman" w:hAnsiTheme="majorHAnsi" w:cs="Times New Roman"/>
      <w:b/>
      <w:bCs/>
      <w:caps/>
      <w:color w:val="4181B6"/>
      <w:kern w:val="32"/>
      <w:sz w:val="28"/>
      <w:szCs w:val="32"/>
      <w:lang w:val="lt-LT" w:eastAsia="lt-LT"/>
    </w:rPr>
  </w:style>
  <w:style w:type="character" w:customStyle="1" w:styleId="NenumeruojamosantrastesChar">
    <w:name w:val="• Nenumeruojamos antrastes Char"/>
    <w:basedOn w:val="DefaultParagraphFont"/>
    <w:link w:val="Nenumeruojamosantrastes"/>
    <w:rsid w:val="00526623"/>
    <w:rPr>
      <w:rFonts w:asciiTheme="majorHAnsi" w:eastAsia="Times New Roman" w:hAnsiTheme="majorHAnsi" w:cs="Times New Roman"/>
      <w:b/>
      <w:bCs/>
      <w:caps/>
      <w:color w:val="4181B6"/>
      <w:kern w:val="32"/>
      <w:sz w:val="28"/>
      <w:szCs w:val="32"/>
      <w:lang w:val="lt-LT" w:eastAsia="lt-LT"/>
    </w:rPr>
  </w:style>
  <w:style w:type="paragraph" w:customStyle="1" w:styleId="Pagrindinispaprastastekstas">
    <w:name w:val="• Pagrindinis paprastas tekstas"/>
    <w:basedOn w:val="Normal"/>
    <w:link w:val="PagrindinispaprastastekstasChar"/>
    <w:qFormat/>
    <w:rsid w:val="00785090"/>
    <w:pPr>
      <w:spacing w:line="240" w:lineRule="auto"/>
      <w:jc w:val="both"/>
    </w:pPr>
    <w:rPr>
      <w:rFonts w:asciiTheme="majorHAnsi" w:eastAsia="Times New Roman" w:hAnsiTheme="majorHAnsi"/>
      <w:color w:val="auto"/>
      <w:szCs w:val="24"/>
    </w:rPr>
  </w:style>
  <w:style w:type="character" w:customStyle="1" w:styleId="PagrindinispaprastastekstasChar">
    <w:name w:val="• Pagrindinis paprastas tekstas Char"/>
    <w:link w:val="Pagrindinispaprastastekstas"/>
    <w:rsid w:val="00785090"/>
    <w:rPr>
      <w:rFonts w:asciiTheme="majorHAnsi" w:eastAsia="Times New Roman" w:hAnsiTheme="majorHAnsi" w:cs="Times New Roman"/>
      <w:sz w:val="22"/>
      <w:szCs w:val="24"/>
      <w:lang w:val="lt-LT"/>
    </w:rPr>
  </w:style>
  <w:style w:type="paragraph" w:customStyle="1" w:styleId="Antrastes2">
    <w:name w:val="• Antrastes_2"/>
    <w:basedOn w:val="Normal"/>
    <w:next w:val="Pagrindinispaprastastekstas"/>
    <w:link w:val="Antrastes2Char"/>
    <w:qFormat/>
    <w:rsid w:val="00486902"/>
    <w:pPr>
      <w:widowControl w:val="0"/>
      <w:pBdr>
        <w:bottom w:val="single" w:sz="8" w:space="1" w:color="4181B6"/>
      </w:pBdr>
      <w:spacing w:before="360" w:after="240" w:line="240" w:lineRule="auto"/>
      <w:ind w:left="576" w:hanging="576"/>
      <w:outlineLvl w:val="1"/>
    </w:pPr>
    <w:rPr>
      <w:rFonts w:eastAsia="Times New Roman"/>
      <w:b/>
      <w:bCs/>
      <w:caps/>
      <w:color w:val="4181B6"/>
      <w:kern w:val="32"/>
      <w:sz w:val="28"/>
      <w:szCs w:val="32"/>
      <w:lang w:val="en-US"/>
    </w:rPr>
  </w:style>
  <w:style w:type="character" w:customStyle="1" w:styleId="Antrastes2Char">
    <w:name w:val="• Antrastes_2 Char"/>
    <w:basedOn w:val="Heading2Char"/>
    <w:link w:val="Antrastes2"/>
    <w:rsid w:val="00486902"/>
    <w:rPr>
      <w:rFonts w:ascii="Cambria" w:eastAsia="Times New Roman" w:hAnsi="Cambria" w:cs="Times New Roman"/>
      <w:b/>
      <w:bCs/>
      <w:i w:val="0"/>
      <w:caps/>
      <w:color w:val="4181B6"/>
      <w:kern w:val="32"/>
      <w:sz w:val="28"/>
      <w:szCs w:val="32"/>
      <w:lang w:val="en-US"/>
    </w:rPr>
  </w:style>
  <w:style w:type="paragraph" w:customStyle="1" w:styleId="Antrastes31">
    <w:name w:val="• Antrastes_31"/>
    <w:basedOn w:val="Antrastes2"/>
    <w:next w:val="Pagrindinispaprastastekstas"/>
    <w:qFormat/>
    <w:rsid w:val="001E341C"/>
    <w:pPr>
      <w:numPr>
        <w:ilvl w:val="2"/>
        <w:numId w:val="5"/>
      </w:numPr>
      <w:pBdr>
        <w:bottom w:val="none" w:sz="0" w:space="0" w:color="auto"/>
      </w:pBdr>
      <w:jc w:val="both"/>
      <w:outlineLvl w:val="2"/>
    </w:pPr>
    <w:rPr>
      <w:caps w:val="0"/>
    </w:rPr>
  </w:style>
  <w:style w:type="paragraph" w:customStyle="1" w:styleId="msonormal0">
    <w:name w:val="msonormal"/>
    <w:basedOn w:val="Normal"/>
    <w:rsid w:val="0034168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xl65">
    <w:name w:val="xl65"/>
    <w:basedOn w:val="Normal"/>
    <w:rsid w:val="0034168D"/>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6">
    <w:name w:val="xl66"/>
    <w:basedOn w:val="Normal"/>
    <w:rsid w:val="0034168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7">
    <w:name w:val="xl67"/>
    <w:basedOn w:val="Normal"/>
    <w:rsid w:val="0034168D"/>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8">
    <w:name w:val="xl68"/>
    <w:basedOn w:val="Normal"/>
    <w:rsid w:val="0034168D"/>
    <w:pP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69">
    <w:name w:val="xl6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0">
    <w:name w:val="xl70"/>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1">
    <w:name w:val="xl71"/>
    <w:basedOn w:val="Normal"/>
    <w:rsid w:val="0034168D"/>
    <w:pPr>
      <w:pBdr>
        <w:top w:val="single" w:sz="8"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2">
    <w:name w:val="xl72"/>
    <w:basedOn w:val="Normal"/>
    <w:rsid w:val="0034168D"/>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3">
    <w:name w:val="xl73"/>
    <w:basedOn w:val="Normal"/>
    <w:rsid w:val="0034168D"/>
    <w:pPr>
      <w:pBdr>
        <w:top w:val="single" w:sz="4"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4">
    <w:name w:val="xl74"/>
    <w:basedOn w:val="Normal"/>
    <w:rsid w:val="0034168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5">
    <w:name w:val="xl75"/>
    <w:basedOn w:val="Normal"/>
    <w:rsid w:val="0034168D"/>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6">
    <w:name w:val="xl7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7">
    <w:name w:val="xl77"/>
    <w:basedOn w:val="Normal"/>
    <w:rsid w:val="00341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8">
    <w:name w:val="xl78"/>
    <w:basedOn w:val="Normal"/>
    <w:rsid w:val="0034168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2">
    <w:name w:val="xl82"/>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3">
    <w:name w:val="xl83"/>
    <w:basedOn w:val="Normal"/>
    <w:rsid w:val="0034168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4">
    <w:name w:val="xl8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5">
    <w:name w:val="xl8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7">
    <w:name w:val="xl87"/>
    <w:basedOn w:val="Normal"/>
    <w:rsid w:val="0034168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8">
    <w:name w:val="xl88"/>
    <w:basedOn w:val="Normal"/>
    <w:rsid w:val="003416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9">
    <w:name w:val="xl89"/>
    <w:basedOn w:val="Normal"/>
    <w:rsid w:val="0034168D"/>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0">
    <w:name w:val="xl90"/>
    <w:basedOn w:val="Normal"/>
    <w:rsid w:val="0034168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1">
    <w:name w:val="xl91"/>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2">
    <w:name w:val="xl92"/>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3">
    <w:name w:val="xl93"/>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4">
    <w:name w:val="xl9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5">
    <w:name w:val="xl9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6">
    <w:name w:val="xl9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character" w:customStyle="1" w:styleId="UnresolvedMention2">
    <w:name w:val="Unresolved Mention2"/>
    <w:basedOn w:val="DefaultParagraphFont"/>
    <w:uiPriority w:val="99"/>
    <w:semiHidden/>
    <w:unhideWhenUsed/>
    <w:rsid w:val="00D430AF"/>
    <w:rPr>
      <w:color w:val="605E5C"/>
      <w:shd w:val="clear" w:color="auto" w:fill="E1DFDD"/>
    </w:rPr>
  </w:style>
  <w:style w:type="paragraph" w:styleId="Revision">
    <w:name w:val="Revision"/>
    <w:hidden/>
    <w:uiPriority w:val="99"/>
    <w:semiHidden/>
    <w:rsid w:val="00D1388A"/>
    <w:pPr>
      <w:spacing w:after="0" w:line="240" w:lineRule="auto"/>
    </w:pPr>
    <w:rPr>
      <w:rFonts w:ascii="Cambria" w:eastAsia="Arial" w:hAnsi="Cambria" w:cs="Times New Roman"/>
      <w:color w:val="000000"/>
      <w:sz w:val="22"/>
      <w:szCs w:val="21"/>
    </w:rPr>
  </w:style>
  <w:style w:type="paragraph" w:customStyle="1" w:styleId="PART1Skyrelis">
    <w:name w:val="PART 1 Skyrelis"/>
    <w:basedOn w:val="Heading4"/>
    <w:link w:val="PART1SkyrelisChar"/>
    <w:rsid w:val="008D0AC7"/>
    <w:pPr>
      <w:spacing w:before="360" w:after="360"/>
      <w:outlineLvl w:val="9"/>
    </w:pPr>
    <w:rPr>
      <w:b/>
      <w:i w:val="0"/>
      <w:iCs w:val="0"/>
      <w:color w:val="auto"/>
      <w:kern w:val="36"/>
      <w:sz w:val="28"/>
      <w:szCs w:val="24"/>
      <w:u w:val="single" w:color="EA0D00"/>
      <w:lang w:val="lt-LT"/>
    </w:rPr>
  </w:style>
  <w:style w:type="character" w:customStyle="1" w:styleId="PART1SkyrelisChar">
    <w:name w:val="PART 1 Skyrelis Char"/>
    <w:basedOn w:val="DefaultParagraphFont"/>
    <w:link w:val="PART1Skyrelis"/>
    <w:rsid w:val="008D0AC7"/>
    <w:rPr>
      <w:rFonts w:asciiTheme="majorHAnsi" w:eastAsiaTheme="majorEastAsia" w:hAnsiTheme="majorHAnsi" w:cstheme="majorBidi"/>
      <w:b/>
      <w:bCs/>
      <w:kern w:val="36"/>
      <w:sz w:val="28"/>
      <w:szCs w:val="24"/>
      <w:u w:val="single" w:color="EA0D00"/>
      <w:lang w:val="lt-LT"/>
    </w:rPr>
  </w:style>
  <w:style w:type="paragraph" w:styleId="TOC4">
    <w:name w:val="toc 4"/>
    <w:basedOn w:val="Normal"/>
    <w:next w:val="Normal"/>
    <w:autoRedefine/>
    <w:uiPriority w:val="39"/>
    <w:unhideWhenUsed/>
    <w:rsid w:val="00D83D47"/>
    <w:pPr>
      <w:spacing w:after="100" w:line="259" w:lineRule="auto"/>
      <w:ind w:left="660"/>
    </w:pPr>
    <w:rPr>
      <w:rFonts w:asciiTheme="minorHAnsi" w:eastAsiaTheme="minorEastAsia" w:hAnsiTheme="minorHAnsi" w:cstheme="minorBidi"/>
      <w:color w:val="auto"/>
      <w:szCs w:val="22"/>
      <w:lang w:val="en-US"/>
    </w:rPr>
  </w:style>
  <w:style w:type="paragraph" w:styleId="TOC5">
    <w:name w:val="toc 5"/>
    <w:basedOn w:val="Normal"/>
    <w:next w:val="Normal"/>
    <w:autoRedefine/>
    <w:uiPriority w:val="39"/>
    <w:unhideWhenUsed/>
    <w:rsid w:val="00D83D47"/>
    <w:pPr>
      <w:spacing w:after="100" w:line="259" w:lineRule="auto"/>
      <w:ind w:left="880"/>
    </w:pPr>
    <w:rPr>
      <w:rFonts w:asciiTheme="minorHAnsi" w:eastAsiaTheme="minorEastAsia" w:hAnsiTheme="minorHAnsi" w:cstheme="minorBidi"/>
      <w:color w:val="auto"/>
      <w:szCs w:val="22"/>
      <w:lang w:val="en-US"/>
    </w:rPr>
  </w:style>
  <w:style w:type="paragraph" w:styleId="TOC6">
    <w:name w:val="toc 6"/>
    <w:basedOn w:val="Normal"/>
    <w:next w:val="Normal"/>
    <w:autoRedefine/>
    <w:uiPriority w:val="39"/>
    <w:unhideWhenUsed/>
    <w:rsid w:val="00D83D47"/>
    <w:pPr>
      <w:spacing w:after="100" w:line="259" w:lineRule="auto"/>
      <w:ind w:left="1100"/>
    </w:pPr>
    <w:rPr>
      <w:rFonts w:asciiTheme="minorHAnsi" w:eastAsiaTheme="minorEastAsia" w:hAnsiTheme="minorHAnsi" w:cstheme="minorBidi"/>
      <w:color w:val="auto"/>
      <w:szCs w:val="22"/>
      <w:lang w:val="en-US"/>
    </w:rPr>
  </w:style>
  <w:style w:type="paragraph" w:styleId="TOC7">
    <w:name w:val="toc 7"/>
    <w:basedOn w:val="Normal"/>
    <w:next w:val="Normal"/>
    <w:autoRedefine/>
    <w:uiPriority w:val="39"/>
    <w:unhideWhenUsed/>
    <w:rsid w:val="00D83D47"/>
    <w:pPr>
      <w:spacing w:after="100" w:line="259" w:lineRule="auto"/>
      <w:ind w:left="1320"/>
    </w:pPr>
    <w:rPr>
      <w:rFonts w:asciiTheme="minorHAnsi" w:eastAsiaTheme="minorEastAsia" w:hAnsiTheme="minorHAnsi" w:cstheme="minorBidi"/>
      <w:color w:val="auto"/>
      <w:szCs w:val="22"/>
      <w:lang w:val="en-US"/>
    </w:rPr>
  </w:style>
  <w:style w:type="paragraph" w:styleId="TOC8">
    <w:name w:val="toc 8"/>
    <w:basedOn w:val="Normal"/>
    <w:next w:val="Normal"/>
    <w:autoRedefine/>
    <w:uiPriority w:val="39"/>
    <w:unhideWhenUsed/>
    <w:rsid w:val="00D83D47"/>
    <w:pPr>
      <w:spacing w:after="100" w:line="259" w:lineRule="auto"/>
      <w:ind w:left="1540"/>
    </w:pPr>
    <w:rPr>
      <w:rFonts w:asciiTheme="minorHAnsi" w:eastAsiaTheme="minorEastAsia" w:hAnsiTheme="minorHAnsi" w:cstheme="minorBidi"/>
      <w:color w:val="auto"/>
      <w:szCs w:val="22"/>
      <w:lang w:val="en-US"/>
    </w:rPr>
  </w:style>
  <w:style w:type="paragraph" w:styleId="TOC9">
    <w:name w:val="toc 9"/>
    <w:basedOn w:val="Normal"/>
    <w:next w:val="Normal"/>
    <w:autoRedefine/>
    <w:uiPriority w:val="39"/>
    <w:unhideWhenUsed/>
    <w:rsid w:val="00D83D47"/>
    <w:pPr>
      <w:spacing w:after="100" w:line="259" w:lineRule="auto"/>
      <w:ind w:left="1760"/>
    </w:pPr>
    <w:rPr>
      <w:rFonts w:asciiTheme="minorHAnsi" w:eastAsiaTheme="minorEastAsia" w:hAnsiTheme="minorHAnsi" w:cstheme="minorBidi"/>
      <w:color w:val="auto"/>
      <w:szCs w:val="22"/>
      <w:lang w:val="en-US"/>
    </w:rPr>
  </w:style>
  <w:style w:type="character" w:customStyle="1" w:styleId="UnresolvedMention3">
    <w:name w:val="Unresolved Mention3"/>
    <w:basedOn w:val="DefaultParagraphFont"/>
    <w:uiPriority w:val="99"/>
    <w:semiHidden/>
    <w:unhideWhenUsed/>
    <w:rsid w:val="00D83D47"/>
    <w:rPr>
      <w:color w:val="605E5C"/>
      <w:shd w:val="clear" w:color="auto" w:fill="E1DFDD"/>
    </w:rPr>
  </w:style>
  <w:style w:type="paragraph" w:customStyle="1" w:styleId="m1028870689664953594msolistparagraph">
    <w:name w:val="m_1028870689664953594msolistparagraph"/>
    <w:basedOn w:val="Normal"/>
    <w:rsid w:val="0023674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m8056748291939642756msolistparagraph">
    <w:name w:val="m_8056748291939642756msolistparagraph"/>
    <w:basedOn w:val="Normal"/>
    <w:rsid w:val="003C6AFB"/>
    <w:pPr>
      <w:spacing w:before="100" w:beforeAutospacing="1" w:after="100" w:afterAutospacing="1" w:line="240" w:lineRule="auto"/>
    </w:pPr>
    <w:rPr>
      <w:rFonts w:ascii="Times New Roman" w:eastAsia="Times New Roman" w:hAnsi="Times New Roman"/>
      <w:color w:val="auto"/>
      <w:sz w:val="24"/>
      <w:szCs w:val="24"/>
      <w:lang w:val="en-US"/>
    </w:rPr>
  </w:style>
  <w:style w:type="character" w:customStyle="1" w:styleId="UnresolvedMention4">
    <w:name w:val="Unresolved Mention4"/>
    <w:basedOn w:val="DefaultParagraphFont"/>
    <w:uiPriority w:val="99"/>
    <w:semiHidden/>
    <w:unhideWhenUsed/>
    <w:rsid w:val="00F657C8"/>
    <w:rPr>
      <w:color w:val="605E5C"/>
      <w:shd w:val="clear" w:color="auto" w:fill="E1DFDD"/>
    </w:rPr>
  </w:style>
  <w:style w:type="character" w:customStyle="1" w:styleId="UnresolvedMention5">
    <w:name w:val="Unresolved Mention5"/>
    <w:basedOn w:val="DefaultParagraphFont"/>
    <w:uiPriority w:val="99"/>
    <w:semiHidden/>
    <w:unhideWhenUsed/>
    <w:rsid w:val="007C25DD"/>
    <w:rPr>
      <w:color w:val="605E5C"/>
      <w:shd w:val="clear" w:color="auto" w:fill="E1DFDD"/>
    </w:rPr>
  </w:style>
  <w:style w:type="character" w:customStyle="1" w:styleId="UnresolvedMention6">
    <w:name w:val="Unresolved Mention6"/>
    <w:basedOn w:val="DefaultParagraphFont"/>
    <w:uiPriority w:val="99"/>
    <w:semiHidden/>
    <w:unhideWhenUsed/>
    <w:rsid w:val="003E53FA"/>
    <w:rPr>
      <w:color w:val="605E5C"/>
      <w:shd w:val="clear" w:color="auto" w:fill="E1DFDD"/>
    </w:rPr>
  </w:style>
  <w:style w:type="character" w:customStyle="1" w:styleId="UnresolvedMention7">
    <w:name w:val="Unresolved Mention7"/>
    <w:basedOn w:val="DefaultParagraphFont"/>
    <w:uiPriority w:val="99"/>
    <w:semiHidden/>
    <w:unhideWhenUsed/>
    <w:rsid w:val="00B724E5"/>
    <w:rPr>
      <w:color w:val="605E5C"/>
      <w:shd w:val="clear" w:color="auto" w:fill="E1DFDD"/>
    </w:rPr>
  </w:style>
  <w:style w:type="paragraph" w:customStyle="1" w:styleId="eca-sr-box-title">
    <w:name w:val="eca-sr-box-title"/>
    <w:basedOn w:val="Normal"/>
    <w:rsid w:val="008168BE"/>
    <w:pPr>
      <w:spacing w:before="100" w:beforeAutospacing="1" w:after="100" w:afterAutospacing="1" w:line="240" w:lineRule="auto"/>
    </w:pPr>
    <w:rPr>
      <w:rFonts w:ascii="Times New Roman" w:eastAsia="Times New Roman" w:hAnsi="Times New Roman"/>
      <w:color w:val="auto"/>
      <w:sz w:val="24"/>
      <w:szCs w:val="24"/>
      <w:lang w:eastAsia="lt-LT"/>
    </w:rPr>
  </w:style>
  <w:style w:type="character" w:customStyle="1" w:styleId="UnresolvedMention8">
    <w:name w:val="Unresolved Mention8"/>
    <w:basedOn w:val="DefaultParagraphFont"/>
    <w:uiPriority w:val="99"/>
    <w:semiHidden/>
    <w:unhideWhenUsed/>
    <w:rsid w:val="006B5DCC"/>
    <w:rPr>
      <w:color w:val="605E5C"/>
      <w:shd w:val="clear" w:color="auto" w:fill="E1DFDD"/>
    </w:rPr>
  </w:style>
  <w:style w:type="paragraph" w:customStyle="1" w:styleId="CM1">
    <w:name w:val="CM1"/>
    <w:basedOn w:val="Default"/>
    <w:next w:val="Default"/>
    <w:uiPriority w:val="99"/>
    <w:rsid w:val="00FC5D62"/>
    <w:rPr>
      <w:rFonts w:ascii="EUAlbertina" w:hAnsi="EUAlbertina" w:cstheme="minorBidi"/>
      <w:color w:val="auto"/>
      <w:lang w:val="lt-LT"/>
    </w:rPr>
  </w:style>
  <w:style w:type="paragraph" w:customStyle="1" w:styleId="CM3">
    <w:name w:val="CM3"/>
    <w:basedOn w:val="Default"/>
    <w:next w:val="Default"/>
    <w:uiPriority w:val="99"/>
    <w:rsid w:val="00FC5D62"/>
    <w:rPr>
      <w:rFonts w:ascii="EUAlbertina" w:hAnsi="EUAlbertina" w:cstheme="minorBidi"/>
      <w:color w:val="auto"/>
      <w:lang w:val="lt-LT"/>
    </w:rPr>
  </w:style>
  <w:style w:type="character" w:customStyle="1" w:styleId="UnresolvedMention9">
    <w:name w:val="Unresolved Mention9"/>
    <w:basedOn w:val="DefaultParagraphFont"/>
    <w:uiPriority w:val="99"/>
    <w:semiHidden/>
    <w:unhideWhenUsed/>
    <w:rsid w:val="00307BAC"/>
    <w:rPr>
      <w:color w:val="605E5C"/>
      <w:shd w:val="clear" w:color="auto" w:fill="E1DFDD"/>
    </w:rPr>
  </w:style>
  <w:style w:type="character" w:customStyle="1" w:styleId="UnresolvedMention10">
    <w:name w:val="Unresolved Mention10"/>
    <w:basedOn w:val="DefaultParagraphFont"/>
    <w:uiPriority w:val="99"/>
    <w:semiHidden/>
    <w:unhideWhenUsed/>
    <w:rsid w:val="00563EC0"/>
    <w:rPr>
      <w:color w:val="605E5C"/>
      <w:shd w:val="clear" w:color="auto" w:fill="E1DFDD"/>
    </w:rPr>
  </w:style>
  <w:style w:type="character" w:customStyle="1" w:styleId="UnresolvedMention11">
    <w:name w:val="Unresolved Mention11"/>
    <w:basedOn w:val="DefaultParagraphFont"/>
    <w:uiPriority w:val="99"/>
    <w:semiHidden/>
    <w:unhideWhenUsed/>
    <w:rsid w:val="008E1F13"/>
    <w:rPr>
      <w:color w:val="605E5C"/>
      <w:shd w:val="clear" w:color="auto" w:fill="E1DFDD"/>
    </w:rPr>
  </w:style>
  <w:style w:type="character" w:customStyle="1" w:styleId="UnresolvedMention12">
    <w:name w:val="Unresolved Mention12"/>
    <w:basedOn w:val="DefaultParagraphFont"/>
    <w:uiPriority w:val="99"/>
    <w:semiHidden/>
    <w:unhideWhenUsed/>
    <w:rsid w:val="00A71B95"/>
    <w:rPr>
      <w:color w:val="605E5C"/>
      <w:shd w:val="clear" w:color="auto" w:fill="E1DFDD"/>
    </w:rPr>
  </w:style>
  <w:style w:type="character" w:styleId="PlaceholderText">
    <w:name w:val="Placeholder Text"/>
    <w:basedOn w:val="DefaultParagraphFont"/>
    <w:uiPriority w:val="99"/>
    <w:semiHidden/>
    <w:rsid w:val="00812095"/>
    <w:rPr>
      <w:color w:val="808080"/>
    </w:rPr>
  </w:style>
  <w:style w:type="character" w:customStyle="1" w:styleId="UnresolvedMention13">
    <w:name w:val="Unresolved Mention13"/>
    <w:basedOn w:val="DefaultParagraphFont"/>
    <w:uiPriority w:val="99"/>
    <w:semiHidden/>
    <w:unhideWhenUsed/>
    <w:rsid w:val="00D5468F"/>
    <w:rPr>
      <w:color w:val="605E5C"/>
      <w:shd w:val="clear" w:color="auto" w:fill="E1DFDD"/>
    </w:rPr>
  </w:style>
  <w:style w:type="character" w:customStyle="1" w:styleId="UnresolvedMention14">
    <w:name w:val="Unresolved Mention14"/>
    <w:basedOn w:val="DefaultParagraphFont"/>
    <w:uiPriority w:val="99"/>
    <w:semiHidden/>
    <w:unhideWhenUsed/>
    <w:rsid w:val="006319A3"/>
    <w:rPr>
      <w:color w:val="605E5C"/>
      <w:shd w:val="clear" w:color="auto" w:fill="E1DFDD"/>
    </w:rPr>
  </w:style>
  <w:style w:type="character" w:customStyle="1" w:styleId="UnresolvedMention15">
    <w:name w:val="Unresolved Mention15"/>
    <w:basedOn w:val="DefaultParagraphFont"/>
    <w:uiPriority w:val="99"/>
    <w:semiHidden/>
    <w:unhideWhenUsed/>
    <w:rsid w:val="00D55701"/>
    <w:rPr>
      <w:color w:val="605E5C"/>
      <w:shd w:val="clear" w:color="auto" w:fill="E1DFDD"/>
    </w:rPr>
  </w:style>
  <w:style w:type="character" w:customStyle="1" w:styleId="UnresolvedMention16">
    <w:name w:val="Unresolved Mention16"/>
    <w:basedOn w:val="DefaultParagraphFont"/>
    <w:uiPriority w:val="99"/>
    <w:semiHidden/>
    <w:unhideWhenUsed/>
    <w:rsid w:val="00D80FB0"/>
    <w:rPr>
      <w:color w:val="605E5C"/>
      <w:shd w:val="clear" w:color="auto" w:fill="E1DFDD"/>
    </w:rPr>
  </w:style>
  <w:style w:type="character" w:customStyle="1" w:styleId="UnresolvedMention17">
    <w:name w:val="Unresolved Mention17"/>
    <w:basedOn w:val="DefaultParagraphFont"/>
    <w:uiPriority w:val="99"/>
    <w:semiHidden/>
    <w:unhideWhenUsed/>
    <w:rsid w:val="00BA7AEE"/>
    <w:rPr>
      <w:color w:val="605E5C"/>
      <w:shd w:val="clear" w:color="auto" w:fill="E1DFDD"/>
    </w:rPr>
  </w:style>
  <w:style w:type="character" w:customStyle="1" w:styleId="UnresolvedMention18">
    <w:name w:val="Unresolved Mention18"/>
    <w:basedOn w:val="DefaultParagraphFont"/>
    <w:uiPriority w:val="99"/>
    <w:semiHidden/>
    <w:unhideWhenUsed/>
    <w:rsid w:val="00470BF7"/>
    <w:rPr>
      <w:color w:val="605E5C"/>
      <w:shd w:val="clear" w:color="auto" w:fill="E1DFDD"/>
    </w:rPr>
  </w:style>
  <w:style w:type="character" w:customStyle="1" w:styleId="UnresolvedMention">
    <w:name w:val="Unresolved Mention"/>
    <w:basedOn w:val="DefaultParagraphFont"/>
    <w:uiPriority w:val="99"/>
    <w:semiHidden/>
    <w:unhideWhenUsed/>
    <w:rsid w:val="00C367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67">
    <w:lsdException w:name="Normal" w:semiHidden="0" w:uiPriority="34"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w:uiPriority="14" w:qFormat="1"/>
    <w:lsdException w:name="List Number" w:uiPriority="13" w:qFormat="1"/>
    <w:lsdException w:name="List Bullet 2" w:qFormat="1"/>
    <w:lsdException w:name="List Bullet 3" w:qFormat="1"/>
    <w:lsdException w:name="List Bullet 4" w:uiPriority="14"/>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Signature" w:uiPriority="0"/>
    <w:lsdException w:name="Default Paragraph Font" w:uiPriority="1"/>
    <w:lsdException w:name="Body Text" w:uiPriority="0" w:qFormat="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taskaitos_tesktas"/>
    <w:uiPriority w:val="34"/>
    <w:qFormat/>
    <w:rsid w:val="002C503C"/>
    <w:pPr>
      <w:spacing w:after="0"/>
    </w:pPr>
    <w:rPr>
      <w:rFonts w:ascii="Cambria" w:eastAsia="Arial" w:hAnsi="Cambria" w:cs="Times New Roman"/>
      <w:color w:val="000000"/>
      <w:sz w:val="22"/>
      <w:szCs w:val="21"/>
      <w:lang w:val="lt-LT"/>
    </w:rPr>
  </w:style>
  <w:style w:type="paragraph" w:styleId="Heading1">
    <w:name w:val="heading 1"/>
    <w:aliases w:val="Section,Heading 1 (nevda),H1,Headline 1,h1,Hoofdstuk,Section Heading,A MAJOR/BOLD,Heading 1 CFMU,Para 1,l1,Head 1 (Chapter heading),Head 1,Head 11,Head 12,Head 111,Head 13,Head 112,Head 14,Head 113,Head 15,Head 114,Head 16,Head 115,Head 17,t1"/>
    <w:basedOn w:val="Normal"/>
    <w:next w:val="BodyText"/>
    <w:link w:val="Heading1Char"/>
    <w:uiPriority w:val="99"/>
    <w:qFormat/>
    <w:rsid w:val="00E86367"/>
    <w:pPr>
      <w:keepNext/>
      <w:keepLines/>
      <w:spacing w:after="40" w:line="240" w:lineRule="auto"/>
      <w:outlineLvl w:val="0"/>
    </w:pPr>
    <w:rPr>
      <w:rFonts w:asciiTheme="majorHAnsi" w:eastAsiaTheme="majorEastAsia" w:hAnsiTheme="majorHAnsi" w:cstheme="majorBidi"/>
      <w:b/>
      <w:bCs/>
      <w:i/>
      <w:sz w:val="32"/>
      <w:szCs w:val="28"/>
      <w:lang w:val="en-GB"/>
    </w:rPr>
  </w:style>
  <w:style w:type="paragraph" w:styleId="Heading2">
    <w:name w:val="heading 2"/>
    <w:aliases w:val="Title Header2,Heading 2 (nevda),H2,Headline 2,h2,2,headi,heading2,h21,h22,21,l2,kopregel 2,HD2,Heading 2 Hidden,Proposal,Level 2 Heading,Numbered indent 2,ni2,Hanging 2 Indent,numbered indent 2,exercise,Heading 2 substyle,Heading 2 CFMU,Para 2"/>
    <w:basedOn w:val="Normal"/>
    <w:next w:val="BodyText"/>
    <w:link w:val="Heading2Char"/>
    <w:uiPriority w:val="99"/>
    <w:unhideWhenUsed/>
    <w:qFormat/>
    <w:rsid w:val="00E86367"/>
    <w:pPr>
      <w:keepNext/>
      <w:keepLines/>
      <w:spacing w:after="40" w:line="240" w:lineRule="auto"/>
      <w:outlineLvl w:val="1"/>
    </w:pPr>
    <w:rPr>
      <w:rFonts w:asciiTheme="majorHAnsi" w:eastAsiaTheme="majorEastAsia" w:hAnsiTheme="majorHAnsi" w:cstheme="majorBidi"/>
      <w:b/>
      <w:bCs/>
      <w:i/>
      <w:sz w:val="24"/>
      <w:szCs w:val="26"/>
      <w:lang w:val="en-GB"/>
    </w:rPr>
  </w:style>
  <w:style w:type="paragraph" w:styleId="Heading3">
    <w:name w:val="heading 3"/>
    <w:aliases w:val="TES_Skyrius 1.1.1.,Kap.1.1.1 Char,Kap.1.1.1,A3,Heading 3 (nevda),H3,Section Header3,Sub-Clause Paragraph,Diagrama14,Sub-Clause Paragraph Diagrama,Section Header3 Diagrama,Antraštė 31"/>
    <w:basedOn w:val="Normal"/>
    <w:next w:val="BodyText"/>
    <w:link w:val="Heading3Char"/>
    <w:uiPriority w:val="99"/>
    <w:unhideWhenUsed/>
    <w:qFormat/>
    <w:rsid w:val="00E86367"/>
    <w:pPr>
      <w:keepNext/>
      <w:keepLines/>
      <w:spacing w:after="40" w:line="240" w:lineRule="auto"/>
      <w:outlineLvl w:val="2"/>
    </w:pPr>
    <w:rPr>
      <w:rFonts w:asciiTheme="majorHAnsi" w:eastAsiaTheme="majorEastAsia" w:hAnsiTheme="majorHAnsi" w:cstheme="majorBidi"/>
      <w:bCs/>
      <w:i/>
      <w:sz w:val="24"/>
      <w:lang w:val="en-GB"/>
    </w:rPr>
  </w:style>
  <w:style w:type="paragraph" w:styleId="Heading4">
    <w:name w:val="heading 4"/>
    <w:aliases w:val="Heading 4 (nevda),H4,Sub-Clause Sub-paragraph,Heading 4 Char Char Char Char,Antraštė 41, Sub-Clause Sub-paragraph"/>
    <w:basedOn w:val="Normal"/>
    <w:next w:val="BodyText"/>
    <w:link w:val="Heading4Char"/>
    <w:uiPriority w:val="99"/>
    <w:unhideWhenUsed/>
    <w:qFormat/>
    <w:rsid w:val="00E86367"/>
    <w:pPr>
      <w:keepNext/>
      <w:keepLines/>
      <w:spacing w:after="40" w:line="240" w:lineRule="auto"/>
      <w:outlineLvl w:val="3"/>
    </w:pPr>
    <w:rPr>
      <w:rFonts w:asciiTheme="majorHAnsi" w:eastAsiaTheme="majorEastAsia" w:hAnsiTheme="majorHAnsi" w:cstheme="majorBidi"/>
      <w:bCs/>
      <w:i/>
      <w:iCs/>
      <w:lang w:val="en-GB"/>
    </w:rPr>
  </w:style>
  <w:style w:type="paragraph" w:styleId="Heading5">
    <w:name w:val="heading 5"/>
    <w:aliases w:val="Lentelems,H5"/>
    <w:basedOn w:val="Normal"/>
    <w:next w:val="BodyText"/>
    <w:link w:val="Heading5Char"/>
    <w:uiPriority w:val="99"/>
    <w:unhideWhenUsed/>
    <w:qFormat/>
    <w:rsid w:val="00E86367"/>
    <w:pPr>
      <w:keepNext/>
      <w:keepLines/>
      <w:spacing w:after="40" w:line="240" w:lineRule="auto"/>
      <w:outlineLvl w:val="4"/>
    </w:pPr>
    <w:rPr>
      <w:rFonts w:asciiTheme="majorHAnsi" w:eastAsiaTheme="majorEastAsia" w:hAnsiTheme="majorHAnsi" w:cstheme="majorBidi"/>
      <w:lang w:val="en-GB"/>
    </w:rPr>
  </w:style>
  <w:style w:type="paragraph" w:styleId="Heading6">
    <w:name w:val="heading 6"/>
    <w:aliases w:val="Paveikslams"/>
    <w:basedOn w:val="Normal"/>
    <w:next w:val="Normal"/>
    <w:link w:val="Heading6Char"/>
    <w:uiPriority w:val="99"/>
    <w:unhideWhenUsed/>
    <w:qFormat/>
    <w:rsid w:val="00E86367"/>
    <w:pPr>
      <w:keepNext/>
      <w:keepLines/>
      <w:spacing w:after="40" w:line="240" w:lineRule="auto"/>
      <w:outlineLvl w:val="5"/>
    </w:pPr>
    <w:rPr>
      <w:rFonts w:asciiTheme="majorHAnsi" w:eastAsiaTheme="majorEastAsia" w:hAnsiTheme="majorHAnsi" w:cstheme="majorBidi"/>
      <w:iCs/>
      <w:lang w:val="en-GB"/>
    </w:rPr>
  </w:style>
  <w:style w:type="paragraph" w:styleId="Heading7">
    <w:name w:val="heading 7"/>
    <w:basedOn w:val="Normal"/>
    <w:next w:val="Normal"/>
    <w:link w:val="Heading7Char"/>
    <w:uiPriority w:val="99"/>
    <w:unhideWhenUsed/>
    <w:qFormat/>
    <w:rsid w:val="00E86367"/>
    <w:pPr>
      <w:keepNext/>
      <w:keepLines/>
      <w:spacing w:after="40" w:line="240" w:lineRule="auto"/>
      <w:outlineLvl w:val="6"/>
    </w:pPr>
    <w:rPr>
      <w:rFonts w:asciiTheme="majorHAnsi" w:eastAsiaTheme="majorEastAsia" w:hAnsiTheme="majorHAnsi" w:cstheme="majorBidi"/>
      <w:iCs/>
      <w:lang w:val="en-GB"/>
    </w:rPr>
  </w:style>
  <w:style w:type="paragraph" w:styleId="Heading8">
    <w:name w:val="heading 8"/>
    <w:basedOn w:val="Normal"/>
    <w:next w:val="Normal"/>
    <w:link w:val="Heading8Char"/>
    <w:uiPriority w:val="99"/>
    <w:unhideWhenUsed/>
    <w:qFormat/>
    <w:rsid w:val="00E86367"/>
    <w:pPr>
      <w:keepNext/>
      <w:keepLines/>
      <w:spacing w:after="40" w:line="240" w:lineRule="auto"/>
      <w:outlineLvl w:val="7"/>
    </w:pPr>
    <w:rPr>
      <w:rFonts w:asciiTheme="majorHAnsi" w:eastAsiaTheme="majorEastAsia" w:hAnsiTheme="majorHAnsi" w:cstheme="majorBidi"/>
      <w:lang w:val="en-GB"/>
    </w:rPr>
  </w:style>
  <w:style w:type="paragraph" w:styleId="Heading9">
    <w:name w:val="heading 9"/>
    <w:basedOn w:val="Normal"/>
    <w:next w:val="Normal"/>
    <w:link w:val="Heading9Char"/>
    <w:uiPriority w:val="99"/>
    <w:unhideWhenUsed/>
    <w:qFormat/>
    <w:rsid w:val="00E86367"/>
    <w:pPr>
      <w:keepNext/>
      <w:keepLines/>
      <w:spacing w:after="40" w:line="240" w:lineRule="auto"/>
      <w:outlineLvl w:val="8"/>
    </w:pPr>
    <w:rPr>
      <w:rFonts w:asciiTheme="majorHAnsi" w:eastAsiaTheme="majorEastAsia" w:hAnsiTheme="majorHAnsi" w:cstheme="majorBid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86367"/>
    <w:rPr>
      <w:lang w:val="en-GB"/>
    </w:rPr>
  </w:style>
  <w:style w:type="character" w:customStyle="1" w:styleId="BodyTextChar">
    <w:name w:val="Body Text Char"/>
    <w:basedOn w:val="DefaultParagraphFont"/>
    <w:link w:val="BodyText"/>
    <w:rsid w:val="00E86367"/>
  </w:style>
  <w:style w:type="paragraph" w:customStyle="1" w:styleId="BodySingle">
    <w:name w:val="Body Single"/>
    <w:basedOn w:val="BodyText"/>
    <w:link w:val="BodySingleChar"/>
    <w:uiPriority w:val="1"/>
    <w:qFormat/>
    <w:rsid w:val="00E86367"/>
  </w:style>
  <w:style w:type="paragraph" w:styleId="Header">
    <w:name w:val="header"/>
    <w:aliases w:val="Viršutinis kolontitulas Diagrama1,Viršutinis kolontitulas Diagrama Diagrama1,Char Diagrama Diagrama1,Viršutinis kolontitulas Diagrama Diagrama Diagrama,Char Diagrama Diagrama Diagrama,Char Diagrama1,Char,Char Diagrama,En-tête-1,En-tête-2,hd"/>
    <w:basedOn w:val="Normal"/>
    <w:link w:val="HeaderChar"/>
    <w:uiPriority w:val="99"/>
    <w:unhideWhenUsed/>
    <w:qFormat/>
    <w:rsid w:val="00E86367"/>
    <w:pPr>
      <w:tabs>
        <w:tab w:val="center" w:pos="4536"/>
        <w:tab w:val="right" w:pos="9866"/>
      </w:tabs>
      <w:spacing w:line="240" w:lineRule="auto"/>
    </w:pPr>
    <w:rPr>
      <w:rFonts w:asciiTheme="minorHAnsi" w:hAnsiTheme="minorHAnsi"/>
      <w:sz w:val="18"/>
      <w:lang w:val="en-GB"/>
    </w:rPr>
  </w:style>
  <w:style w:type="character" w:customStyle="1" w:styleId="BodySingleChar">
    <w:name w:val="Body Single Char"/>
    <w:basedOn w:val="BodyTextChar"/>
    <w:link w:val="BodySingle"/>
    <w:uiPriority w:val="1"/>
    <w:rsid w:val="00E86367"/>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1"/>
    <w:basedOn w:val="DefaultParagraphFont"/>
    <w:link w:val="Header"/>
    <w:uiPriority w:val="99"/>
    <w:rsid w:val="00E86367"/>
    <w:rPr>
      <w:rFonts w:asciiTheme="minorHAnsi" w:hAnsiTheme="minorHAnsi"/>
      <w:sz w:val="18"/>
    </w:rPr>
  </w:style>
  <w:style w:type="paragraph" w:styleId="Footer">
    <w:name w:val="footer"/>
    <w:aliases w:val="|| Footer"/>
    <w:basedOn w:val="Normal"/>
    <w:link w:val="FooterChar"/>
    <w:uiPriority w:val="99"/>
    <w:unhideWhenUsed/>
    <w:rsid w:val="00E86367"/>
    <w:pPr>
      <w:tabs>
        <w:tab w:val="center" w:pos="4536"/>
        <w:tab w:val="right" w:pos="9866"/>
      </w:tabs>
      <w:spacing w:line="240" w:lineRule="auto"/>
    </w:pPr>
    <w:rPr>
      <w:rFonts w:asciiTheme="minorHAnsi" w:hAnsiTheme="minorHAnsi"/>
      <w:sz w:val="18"/>
      <w:lang w:val="en-GB"/>
    </w:rPr>
  </w:style>
  <w:style w:type="character" w:customStyle="1" w:styleId="FooterChar">
    <w:name w:val="Footer Char"/>
    <w:aliases w:val="|| Footer Char"/>
    <w:basedOn w:val="DefaultParagraphFont"/>
    <w:link w:val="Footer"/>
    <w:uiPriority w:val="99"/>
    <w:rsid w:val="00E86367"/>
    <w:rPr>
      <w:rFonts w:asciiTheme="minorHAnsi" w:hAnsiTheme="minorHAnsi"/>
      <w:sz w:val="18"/>
    </w:rPr>
  </w:style>
  <w:style w:type="character" w:customStyle="1" w:styleId="Heading1Char">
    <w:name w:val="Heading 1 Char"/>
    <w:aliases w:val="Section Char,Heading 1 (nevda) Char,H1 Char,Headline 1 Char,h1 Char,Hoofdstuk Char,Section Heading Char,A MAJOR/BOLD Char,Heading 1 CFMU Char,Para 1 Char,l1 Char,Head 1 (Chapter heading) Char,Head 1 Char,Head 11 Char,Head 12 Char,t1 Char"/>
    <w:basedOn w:val="DefaultParagraphFont"/>
    <w:link w:val="Heading1"/>
    <w:uiPriority w:val="99"/>
    <w:rsid w:val="00E86367"/>
    <w:rPr>
      <w:rFonts w:asciiTheme="majorHAnsi" w:eastAsiaTheme="majorEastAsia" w:hAnsiTheme="majorHAnsi" w:cstheme="majorBidi"/>
      <w:b/>
      <w:bCs/>
      <w:i/>
      <w:color w:val="000000"/>
      <w:sz w:val="32"/>
      <w:szCs w:val="28"/>
    </w:rPr>
  </w:style>
  <w:style w:type="character" w:customStyle="1" w:styleId="Heading2Char">
    <w:name w:val="Heading 2 Char"/>
    <w:aliases w:val="Title Header2 Char,Heading 2 (nevda) Char,H2 Char,Headline 2 Char,h2 Char,2 Char,headi Char,heading2 Char,h21 Char,h22 Char,21 Char,l2 Char,kopregel 2 Char,HD2 Char,Heading 2 Hidden Char,Proposal Char,Level 2 Heading Char,ni2 Char"/>
    <w:basedOn w:val="DefaultParagraphFont"/>
    <w:link w:val="Heading2"/>
    <w:uiPriority w:val="99"/>
    <w:rsid w:val="00E86367"/>
    <w:rPr>
      <w:rFonts w:asciiTheme="majorHAnsi" w:eastAsiaTheme="majorEastAsia" w:hAnsiTheme="majorHAnsi" w:cstheme="majorBidi"/>
      <w:b/>
      <w:bCs/>
      <w:i/>
      <w:sz w:val="24"/>
      <w:szCs w:val="26"/>
    </w:rPr>
  </w:style>
  <w:style w:type="character" w:customStyle="1" w:styleId="Heading3Char">
    <w:name w:val="Heading 3 Char"/>
    <w:aliases w:val="TES_Skyrius 1.1.1. Char,Kap.1.1.1 Char Char,Kap.1.1.1 Char1,A3 Char,Heading 3 (nevda) Char,H3 Char,Section Header3 Char,Sub-Clause Paragraph Char,Diagrama14 Char,Sub-Clause Paragraph Diagrama Char,Section Header3 Diagrama Char"/>
    <w:basedOn w:val="DefaultParagraphFont"/>
    <w:link w:val="Heading3"/>
    <w:uiPriority w:val="99"/>
    <w:rsid w:val="00E86367"/>
    <w:rPr>
      <w:rFonts w:asciiTheme="majorHAnsi" w:eastAsiaTheme="majorEastAsia" w:hAnsiTheme="majorHAnsi" w:cstheme="majorBidi"/>
      <w:bCs/>
      <w:i/>
      <w:sz w:val="24"/>
    </w:rPr>
  </w:style>
  <w:style w:type="character" w:customStyle="1" w:styleId="Heading4Char">
    <w:name w:val="Heading 4 Char"/>
    <w:aliases w:val="Heading 4 (nevda) Char,H4 Char,Sub-Clause Sub-paragraph Char,Heading 4 Char Char Char Char Char,Antraštė 41 Char, Sub-Clause Sub-paragraph Char"/>
    <w:basedOn w:val="DefaultParagraphFont"/>
    <w:link w:val="Heading4"/>
    <w:uiPriority w:val="99"/>
    <w:rsid w:val="00E86367"/>
    <w:rPr>
      <w:rFonts w:asciiTheme="majorHAnsi" w:eastAsiaTheme="majorEastAsia" w:hAnsiTheme="majorHAnsi" w:cstheme="majorBidi"/>
      <w:bCs/>
      <w:i/>
      <w:iCs/>
    </w:rPr>
  </w:style>
  <w:style w:type="character" w:customStyle="1" w:styleId="Heading5Char">
    <w:name w:val="Heading 5 Char"/>
    <w:aliases w:val="Lentelems Char,H5 Char"/>
    <w:basedOn w:val="DefaultParagraphFont"/>
    <w:link w:val="Heading5"/>
    <w:uiPriority w:val="99"/>
    <w:rsid w:val="00E86367"/>
    <w:rPr>
      <w:rFonts w:asciiTheme="majorHAnsi" w:eastAsiaTheme="majorEastAsia" w:hAnsiTheme="majorHAnsi" w:cstheme="majorBidi"/>
    </w:rPr>
  </w:style>
  <w:style w:type="paragraph" w:styleId="Title">
    <w:name w:val="Title"/>
    <w:basedOn w:val="Normal"/>
    <w:next w:val="Subtitle"/>
    <w:link w:val="TitleChar"/>
    <w:uiPriority w:val="10"/>
    <w:qFormat/>
    <w:rsid w:val="00E86367"/>
    <w:pPr>
      <w:spacing w:line="240" w:lineRule="auto"/>
    </w:pPr>
    <w:rPr>
      <w:rFonts w:asciiTheme="majorHAnsi" w:eastAsiaTheme="majorEastAsia" w:hAnsiTheme="majorHAnsi" w:cstheme="majorBidi"/>
      <w:b/>
      <w:i/>
      <w:spacing w:val="5"/>
      <w:kern w:val="28"/>
      <w:sz w:val="56"/>
      <w:szCs w:val="52"/>
      <w:lang w:val="en-GB"/>
    </w:rPr>
  </w:style>
  <w:style w:type="character" w:customStyle="1" w:styleId="TitleChar">
    <w:name w:val="Title Char"/>
    <w:basedOn w:val="DefaultParagraphFont"/>
    <w:link w:val="Title"/>
    <w:uiPriority w:val="10"/>
    <w:rsid w:val="00E86367"/>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E86367"/>
    <w:pPr>
      <w:spacing w:before="480"/>
      <w:outlineLvl w:val="9"/>
    </w:pPr>
    <w:rPr>
      <w:lang w:val="en-US"/>
    </w:rPr>
  </w:style>
  <w:style w:type="paragraph" w:styleId="Subtitle">
    <w:name w:val="Subtitle"/>
    <w:basedOn w:val="Normal"/>
    <w:next w:val="BodyText"/>
    <w:link w:val="SubtitleChar"/>
    <w:uiPriority w:val="11"/>
    <w:qFormat/>
    <w:rsid w:val="00E86367"/>
    <w:pPr>
      <w:numPr>
        <w:ilvl w:val="1"/>
      </w:numPr>
      <w:spacing w:after="1200" w:line="240" w:lineRule="auto"/>
    </w:pPr>
    <w:rPr>
      <w:rFonts w:asciiTheme="majorHAnsi" w:eastAsiaTheme="majorEastAsia" w:hAnsiTheme="majorHAnsi" w:cstheme="majorBidi"/>
      <w:iCs/>
      <w:spacing w:val="15"/>
      <w:sz w:val="40"/>
      <w:szCs w:val="24"/>
      <w:lang w:val="en-GB"/>
    </w:rPr>
  </w:style>
  <w:style w:type="character" w:customStyle="1" w:styleId="SubtitleChar">
    <w:name w:val="Subtitle Char"/>
    <w:basedOn w:val="DefaultParagraphFont"/>
    <w:link w:val="Subtitle"/>
    <w:uiPriority w:val="11"/>
    <w:rsid w:val="00E86367"/>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E86367"/>
    <w:pPr>
      <w:spacing w:after="100"/>
    </w:pPr>
    <w:rPr>
      <w:lang w:val="en-GB"/>
    </w:rPr>
  </w:style>
  <w:style w:type="paragraph" w:styleId="TOC2">
    <w:name w:val="toc 2"/>
    <w:basedOn w:val="Normal"/>
    <w:next w:val="Normal"/>
    <w:autoRedefine/>
    <w:uiPriority w:val="39"/>
    <w:unhideWhenUsed/>
    <w:rsid w:val="00E86367"/>
    <w:pPr>
      <w:spacing w:after="100"/>
      <w:ind w:left="200"/>
    </w:pPr>
    <w:rPr>
      <w:lang w:val="en-GB"/>
    </w:rPr>
  </w:style>
  <w:style w:type="paragraph" w:styleId="TOC3">
    <w:name w:val="toc 3"/>
    <w:basedOn w:val="Normal"/>
    <w:next w:val="Normal"/>
    <w:autoRedefine/>
    <w:uiPriority w:val="39"/>
    <w:unhideWhenUsed/>
    <w:rsid w:val="00C8349D"/>
    <w:pPr>
      <w:tabs>
        <w:tab w:val="left" w:pos="1320"/>
        <w:tab w:val="right" w:leader="dot" w:pos="10194"/>
      </w:tabs>
      <w:spacing w:after="100"/>
      <w:ind w:left="400"/>
      <w:jc w:val="both"/>
    </w:pPr>
    <w:rPr>
      <w:lang w:val="en-GB"/>
    </w:rPr>
  </w:style>
  <w:style w:type="character" w:styleId="Hyperlink">
    <w:name w:val="Hyperlink"/>
    <w:basedOn w:val="DefaultParagraphFont"/>
    <w:uiPriority w:val="99"/>
    <w:unhideWhenUsed/>
    <w:rsid w:val="00E86367"/>
    <w:rPr>
      <w:color w:val="DC6900" w:themeColor="hyperlink"/>
      <w:u w:val="single"/>
    </w:rPr>
  </w:style>
  <w:style w:type="paragraph" w:styleId="BalloonText">
    <w:name w:val="Balloon Text"/>
    <w:basedOn w:val="Normal"/>
    <w:link w:val="BalloonTextChar"/>
    <w:uiPriority w:val="99"/>
    <w:semiHidden/>
    <w:unhideWhenUsed/>
    <w:rsid w:val="00E86367"/>
    <w:pPr>
      <w:spacing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86367"/>
    <w:rPr>
      <w:rFonts w:ascii="Tahoma" w:hAnsi="Tahoma" w:cs="Tahoma"/>
      <w:sz w:val="16"/>
      <w:szCs w:val="16"/>
    </w:rPr>
  </w:style>
  <w:style w:type="paragraph" w:styleId="ListBullet">
    <w:name w:val="List Bullet"/>
    <w:basedOn w:val="Normal"/>
    <w:uiPriority w:val="14"/>
    <w:unhideWhenUsed/>
    <w:qFormat/>
    <w:rsid w:val="00E86367"/>
    <w:pPr>
      <w:numPr>
        <w:numId w:val="1"/>
      </w:numPr>
      <w:contextualSpacing/>
    </w:pPr>
    <w:rPr>
      <w:lang w:val="en-GB"/>
    </w:rPr>
  </w:style>
  <w:style w:type="numbering" w:customStyle="1" w:styleId="PwCListBullets1">
    <w:name w:val="PwC List Bullets 1"/>
    <w:uiPriority w:val="99"/>
    <w:rsid w:val="00E86367"/>
    <w:pPr>
      <w:numPr>
        <w:numId w:val="1"/>
      </w:numPr>
    </w:pPr>
  </w:style>
  <w:style w:type="numbering" w:customStyle="1" w:styleId="PwCListNumbers1">
    <w:name w:val="PwC List Numbers 1"/>
    <w:uiPriority w:val="99"/>
    <w:rsid w:val="00E86367"/>
    <w:pPr>
      <w:numPr>
        <w:numId w:val="2"/>
      </w:numPr>
    </w:pPr>
  </w:style>
  <w:style w:type="paragraph" w:styleId="ListNumber">
    <w:name w:val="List Number"/>
    <w:basedOn w:val="Normal"/>
    <w:uiPriority w:val="13"/>
    <w:unhideWhenUsed/>
    <w:qFormat/>
    <w:rsid w:val="00E86367"/>
    <w:pPr>
      <w:numPr>
        <w:numId w:val="3"/>
      </w:numPr>
      <w:contextualSpacing/>
    </w:pPr>
    <w:rPr>
      <w:lang w:val="en-GB"/>
    </w:rPr>
  </w:style>
  <w:style w:type="paragraph" w:styleId="ListBullet2">
    <w:name w:val="List Bullet 2"/>
    <w:basedOn w:val="Normal"/>
    <w:uiPriority w:val="99"/>
    <w:unhideWhenUsed/>
    <w:qFormat/>
    <w:rsid w:val="00E86367"/>
    <w:pPr>
      <w:numPr>
        <w:ilvl w:val="1"/>
        <w:numId w:val="1"/>
      </w:numPr>
      <w:contextualSpacing/>
    </w:pPr>
    <w:rPr>
      <w:lang w:val="en-GB"/>
    </w:rPr>
  </w:style>
  <w:style w:type="paragraph" w:styleId="ListBullet3">
    <w:name w:val="List Bullet 3"/>
    <w:basedOn w:val="Normal"/>
    <w:uiPriority w:val="99"/>
    <w:unhideWhenUsed/>
    <w:qFormat/>
    <w:rsid w:val="00E86367"/>
    <w:pPr>
      <w:numPr>
        <w:ilvl w:val="2"/>
        <w:numId w:val="1"/>
      </w:numPr>
      <w:contextualSpacing/>
    </w:pPr>
    <w:rPr>
      <w:lang w:val="en-GB"/>
    </w:rPr>
  </w:style>
  <w:style w:type="paragraph" w:styleId="ListBullet4">
    <w:name w:val="List Bullet 4"/>
    <w:basedOn w:val="Normal"/>
    <w:uiPriority w:val="14"/>
    <w:unhideWhenUsed/>
    <w:rsid w:val="00E86367"/>
    <w:pPr>
      <w:numPr>
        <w:ilvl w:val="3"/>
        <w:numId w:val="1"/>
      </w:numPr>
      <w:contextualSpacing/>
    </w:pPr>
    <w:rPr>
      <w:lang w:val="en-GB"/>
    </w:rPr>
  </w:style>
  <w:style w:type="paragraph" w:styleId="ListBullet5">
    <w:name w:val="List Bullet 5"/>
    <w:basedOn w:val="Normal"/>
    <w:uiPriority w:val="99"/>
    <w:unhideWhenUsed/>
    <w:rsid w:val="00E86367"/>
    <w:pPr>
      <w:numPr>
        <w:ilvl w:val="4"/>
        <w:numId w:val="1"/>
      </w:numPr>
      <w:contextualSpacing/>
    </w:pPr>
    <w:rPr>
      <w:lang w:val="en-GB"/>
    </w:rPr>
  </w:style>
  <w:style w:type="paragraph" w:styleId="ListNumber2">
    <w:name w:val="List Number 2"/>
    <w:basedOn w:val="Normal"/>
    <w:uiPriority w:val="13"/>
    <w:unhideWhenUsed/>
    <w:qFormat/>
    <w:rsid w:val="00E86367"/>
    <w:pPr>
      <w:numPr>
        <w:ilvl w:val="1"/>
        <w:numId w:val="3"/>
      </w:numPr>
      <w:contextualSpacing/>
    </w:pPr>
    <w:rPr>
      <w:lang w:val="en-GB"/>
    </w:rPr>
  </w:style>
  <w:style w:type="paragraph" w:styleId="ListNumber3">
    <w:name w:val="List Number 3"/>
    <w:basedOn w:val="Normal"/>
    <w:uiPriority w:val="13"/>
    <w:unhideWhenUsed/>
    <w:qFormat/>
    <w:rsid w:val="00E86367"/>
    <w:pPr>
      <w:numPr>
        <w:ilvl w:val="2"/>
        <w:numId w:val="3"/>
      </w:numPr>
      <w:contextualSpacing/>
    </w:pPr>
    <w:rPr>
      <w:lang w:val="en-GB"/>
    </w:rPr>
  </w:style>
  <w:style w:type="paragraph" w:styleId="ListNumber4">
    <w:name w:val="List Number 4"/>
    <w:basedOn w:val="Normal"/>
    <w:uiPriority w:val="13"/>
    <w:semiHidden/>
    <w:unhideWhenUsed/>
    <w:rsid w:val="00E86367"/>
    <w:pPr>
      <w:numPr>
        <w:ilvl w:val="3"/>
        <w:numId w:val="3"/>
      </w:numPr>
      <w:contextualSpacing/>
    </w:pPr>
    <w:rPr>
      <w:lang w:val="en-GB"/>
    </w:rPr>
  </w:style>
  <w:style w:type="paragraph" w:styleId="ListNumber5">
    <w:name w:val="List Number 5"/>
    <w:basedOn w:val="Normal"/>
    <w:uiPriority w:val="13"/>
    <w:semiHidden/>
    <w:unhideWhenUsed/>
    <w:rsid w:val="00E86367"/>
    <w:pPr>
      <w:numPr>
        <w:ilvl w:val="4"/>
        <w:numId w:val="3"/>
      </w:numPr>
      <w:contextualSpacing/>
    </w:pPr>
    <w:rPr>
      <w:lang w:val="en-GB"/>
    </w:rPr>
  </w:style>
  <w:style w:type="paragraph" w:styleId="List">
    <w:name w:val="List"/>
    <w:basedOn w:val="Normal"/>
    <w:uiPriority w:val="99"/>
    <w:semiHidden/>
    <w:unhideWhenUsed/>
    <w:rsid w:val="00E86367"/>
    <w:pPr>
      <w:ind w:left="567" w:hanging="567"/>
      <w:contextualSpacing/>
    </w:pPr>
    <w:rPr>
      <w:lang w:val="en-GB"/>
    </w:rPr>
  </w:style>
  <w:style w:type="paragraph" w:styleId="List2">
    <w:name w:val="List 2"/>
    <w:basedOn w:val="Normal"/>
    <w:uiPriority w:val="99"/>
    <w:semiHidden/>
    <w:unhideWhenUsed/>
    <w:rsid w:val="00E86367"/>
    <w:pPr>
      <w:ind w:left="1134" w:hanging="567"/>
      <w:contextualSpacing/>
    </w:pPr>
    <w:rPr>
      <w:lang w:val="en-GB"/>
    </w:rPr>
  </w:style>
  <w:style w:type="paragraph" w:styleId="ListContinue">
    <w:name w:val="List Continue"/>
    <w:basedOn w:val="Normal"/>
    <w:uiPriority w:val="14"/>
    <w:unhideWhenUsed/>
    <w:qFormat/>
    <w:rsid w:val="00E86367"/>
    <w:pPr>
      <w:spacing w:after="120"/>
      <w:ind w:left="567"/>
      <w:contextualSpacing/>
    </w:pPr>
    <w:rPr>
      <w:lang w:val="en-GB"/>
    </w:rPr>
  </w:style>
  <w:style w:type="paragraph" w:styleId="ListContinue2">
    <w:name w:val="List Continue 2"/>
    <w:basedOn w:val="Normal"/>
    <w:uiPriority w:val="14"/>
    <w:unhideWhenUsed/>
    <w:qFormat/>
    <w:rsid w:val="00E86367"/>
    <w:pPr>
      <w:spacing w:after="120"/>
      <w:ind w:left="1134"/>
      <w:contextualSpacing/>
    </w:pPr>
    <w:rPr>
      <w:lang w:val="en-GB"/>
    </w:rPr>
  </w:style>
  <w:style w:type="paragraph" w:styleId="ListContinue3">
    <w:name w:val="List Continue 3"/>
    <w:basedOn w:val="Normal"/>
    <w:uiPriority w:val="14"/>
    <w:unhideWhenUsed/>
    <w:qFormat/>
    <w:rsid w:val="00E86367"/>
    <w:pPr>
      <w:spacing w:after="120"/>
      <w:ind w:left="1701"/>
      <w:contextualSpacing/>
    </w:pPr>
    <w:rPr>
      <w:lang w:val="en-GB"/>
    </w:rPr>
  </w:style>
  <w:style w:type="paragraph" w:styleId="ListContinue4">
    <w:name w:val="List Continue 4"/>
    <w:basedOn w:val="Normal"/>
    <w:uiPriority w:val="14"/>
    <w:semiHidden/>
    <w:unhideWhenUsed/>
    <w:rsid w:val="00E86367"/>
    <w:pPr>
      <w:spacing w:after="120"/>
      <w:ind w:left="2268"/>
      <w:contextualSpacing/>
    </w:pPr>
    <w:rPr>
      <w:lang w:val="en-GB"/>
    </w:rPr>
  </w:style>
  <w:style w:type="paragraph" w:styleId="ListContinue5">
    <w:name w:val="List Continue 5"/>
    <w:basedOn w:val="Normal"/>
    <w:uiPriority w:val="14"/>
    <w:semiHidden/>
    <w:unhideWhenUsed/>
    <w:rsid w:val="00E86367"/>
    <w:pPr>
      <w:spacing w:after="120"/>
      <w:ind w:left="2835"/>
      <w:contextualSpacing/>
    </w:pPr>
    <w:rPr>
      <w:lang w:val="en-GB"/>
    </w:rPr>
  </w:style>
  <w:style w:type="paragraph" w:styleId="List3">
    <w:name w:val="List 3"/>
    <w:basedOn w:val="Normal"/>
    <w:uiPriority w:val="99"/>
    <w:semiHidden/>
    <w:unhideWhenUsed/>
    <w:rsid w:val="00E86367"/>
    <w:pPr>
      <w:ind w:left="1701" w:hanging="567"/>
      <w:contextualSpacing/>
    </w:pPr>
    <w:rPr>
      <w:lang w:val="en-GB"/>
    </w:rPr>
  </w:style>
  <w:style w:type="paragraph" w:styleId="List4">
    <w:name w:val="List 4"/>
    <w:basedOn w:val="Normal"/>
    <w:uiPriority w:val="99"/>
    <w:semiHidden/>
    <w:unhideWhenUsed/>
    <w:rsid w:val="00E86367"/>
    <w:pPr>
      <w:ind w:left="2268" w:hanging="567"/>
      <w:contextualSpacing/>
    </w:pPr>
    <w:rPr>
      <w:lang w:val="en-GB"/>
    </w:rPr>
  </w:style>
  <w:style w:type="paragraph" w:styleId="List5">
    <w:name w:val="List 5"/>
    <w:basedOn w:val="Normal"/>
    <w:uiPriority w:val="99"/>
    <w:semiHidden/>
    <w:unhideWhenUsed/>
    <w:rsid w:val="00E86367"/>
    <w:pPr>
      <w:ind w:left="2835" w:hanging="567"/>
      <w:contextualSpacing/>
    </w:pPr>
    <w:rPr>
      <w:lang w:val="en-GB"/>
    </w:rPr>
  </w:style>
  <w:style w:type="table" w:styleId="TableGrid">
    <w:name w:val="Table Grid"/>
    <w:aliases w:val="Smart Text Table"/>
    <w:basedOn w:val="TableNormal"/>
    <w:uiPriority w:val="59"/>
    <w:rsid w:val="00E863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Text">
    <w:name w:val="PwC Table Text"/>
    <w:basedOn w:val="TableNormal"/>
    <w:uiPriority w:val="99"/>
    <w:qFormat/>
    <w:rsid w:val="00E86367"/>
    <w:pPr>
      <w:spacing w:before="60" w:after="60" w:line="240" w:lineRule="auto"/>
    </w:pPr>
    <w:tblPr>
      <w:tblStyleRowBandSize w:val="1"/>
      <w:tblBorders>
        <w:insideH w:val="dotted" w:sz="4" w:space="0" w:color="DC6900" w:themeColor="text2"/>
      </w:tblBorders>
    </w:tblPr>
    <w:tblStylePr w:type="firstRow">
      <w:rPr>
        <w:b/>
      </w:rPr>
      <w:tblPr/>
      <w:tcPr>
        <w:tcBorders>
          <w:top w:val="single" w:sz="6" w:space="0" w:color="DC6900" w:themeColor="text2"/>
          <w:bottom w:val="single" w:sz="6" w:space="0" w:color="DC6900" w:themeColor="text2"/>
        </w:tcBorders>
      </w:tcPr>
    </w:tblStylePr>
    <w:tblStylePr w:type="lastRow">
      <w:rPr>
        <w:b/>
      </w:rPr>
      <w:tblPr/>
      <w:tcPr>
        <w:tcBorders>
          <w:top w:val="single" w:sz="6" w:space="0" w:color="DC6900" w:themeColor="text2"/>
          <w:bottom w:val="single" w:sz="6" w:space="0" w:color="DC6900" w:themeColor="text2"/>
        </w:tcBorders>
      </w:tcPr>
    </w:tblStylePr>
    <w:tblStylePr w:type="band1Horz">
      <w:tblPr/>
      <w:tcPr>
        <w:tcBorders>
          <w:bottom w:val="nil"/>
        </w:tcBorders>
      </w:tcPr>
    </w:tblStylePr>
  </w:style>
  <w:style w:type="character" w:customStyle="1" w:styleId="Heading6Char">
    <w:name w:val="Heading 6 Char"/>
    <w:aliases w:val="Paveikslams Char"/>
    <w:basedOn w:val="DefaultParagraphFont"/>
    <w:link w:val="Heading6"/>
    <w:uiPriority w:val="99"/>
    <w:rsid w:val="00E86367"/>
    <w:rPr>
      <w:rFonts w:asciiTheme="majorHAnsi" w:eastAsiaTheme="majorEastAsia" w:hAnsiTheme="majorHAnsi" w:cstheme="majorBidi"/>
      <w:iCs/>
    </w:rPr>
  </w:style>
  <w:style w:type="character" w:customStyle="1" w:styleId="Heading7Char">
    <w:name w:val="Heading 7 Char"/>
    <w:basedOn w:val="DefaultParagraphFont"/>
    <w:link w:val="Heading7"/>
    <w:uiPriority w:val="99"/>
    <w:rsid w:val="00E86367"/>
    <w:rPr>
      <w:rFonts w:asciiTheme="majorHAnsi" w:eastAsiaTheme="majorEastAsia" w:hAnsiTheme="majorHAnsi" w:cstheme="majorBidi"/>
      <w:iCs/>
    </w:rPr>
  </w:style>
  <w:style w:type="character" w:customStyle="1" w:styleId="Heading8Char">
    <w:name w:val="Heading 8 Char"/>
    <w:basedOn w:val="DefaultParagraphFont"/>
    <w:link w:val="Heading8"/>
    <w:uiPriority w:val="99"/>
    <w:rsid w:val="00E86367"/>
    <w:rPr>
      <w:rFonts w:asciiTheme="majorHAnsi" w:eastAsiaTheme="majorEastAsia" w:hAnsiTheme="majorHAnsi" w:cstheme="majorBidi"/>
    </w:rPr>
  </w:style>
  <w:style w:type="character" w:customStyle="1" w:styleId="Heading9Char">
    <w:name w:val="Heading 9 Char"/>
    <w:basedOn w:val="DefaultParagraphFont"/>
    <w:link w:val="Heading9"/>
    <w:uiPriority w:val="99"/>
    <w:rsid w:val="00E86367"/>
    <w:rPr>
      <w:rFonts w:asciiTheme="majorHAnsi" w:eastAsiaTheme="majorEastAsia" w:hAnsiTheme="majorHAnsi" w:cstheme="majorBidi"/>
      <w:iCs/>
    </w:rPr>
  </w:style>
  <w:style w:type="table" w:styleId="MediumShading2-Accent3">
    <w:name w:val="Medium Shading 2 Accent 3"/>
    <w:basedOn w:val="TableNormal"/>
    <w:uiPriority w:val="64"/>
    <w:rsid w:val="00E863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86367"/>
    <w:pPr>
      <w:spacing w:after="0" w:line="240" w:lineRule="auto"/>
    </w:pPr>
    <w:tblPr>
      <w:tblStyleRowBandSize w:val="1"/>
      <w:tblStyleColBandSize w:val="1"/>
      <w:tblBorders>
        <w:top w:val="single" w:sz="8" w:space="0" w:color="E0301E" w:themeColor="accent6"/>
        <w:left w:val="single" w:sz="8" w:space="0" w:color="E0301E" w:themeColor="accent6"/>
        <w:bottom w:val="single" w:sz="8" w:space="0" w:color="E0301E" w:themeColor="accent6"/>
        <w:right w:val="single" w:sz="8" w:space="0" w:color="E0301E" w:themeColor="accent6"/>
      </w:tblBorders>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customStyle="1" w:styleId="NoParagraphStyle">
    <w:name w:val="[No Paragraph Style]"/>
    <w:rsid w:val="008915B2"/>
    <w:pPr>
      <w:autoSpaceDE w:val="0"/>
      <w:autoSpaceDN w:val="0"/>
      <w:adjustRightInd w:val="0"/>
      <w:spacing w:after="0" w:line="288" w:lineRule="auto"/>
      <w:textAlignment w:val="center"/>
    </w:pPr>
    <w:rPr>
      <w:rFonts w:ascii="Times New Roman" w:eastAsia="Arial" w:hAnsi="Times New Roman" w:cs="Times New Roman"/>
      <w:color w:val="000000"/>
      <w:sz w:val="24"/>
      <w:szCs w:val="24"/>
      <w:lang w:val="en-US"/>
    </w:rPr>
  </w:style>
  <w:style w:type="paragraph" w:customStyle="1" w:styleId="PwCAddress">
    <w:name w:val="PwC Address"/>
    <w:basedOn w:val="Normal"/>
    <w:link w:val="PwCAddressChar"/>
    <w:uiPriority w:val="99"/>
    <w:qFormat/>
    <w:rsid w:val="008915B2"/>
    <w:pPr>
      <w:spacing w:line="200" w:lineRule="atLeast"/>
    </w:pPr>
    <w:rPr>
      <w:i/>
      <w:noProof/>
      <w:color w:val="auto"/>
      <w:sz w:val="18"/>
      <w:szCs w:val="22"/>
      <w:lang w:val="en-GB" w:eastAsia="en-GB"/>
    </w:rPr>
  </w:style>
  <w:style w:type="character" w:customStyle="1" w:styleId="PwCAddressChar">
    <w:name w:val="PwC Address Char"/>
    <w:link w:val="PwCAddress"/>
    <w:uiPriority w:val="99"/>
    <w:rsid w:val="008915B2"/>
    <w:rPr>
      <w:rFonts w:eastAsia="Arial" w:cs="Times New Roman"/>
      <w:i/>
      <w:noProof/>
      <w:sz w:val="18"/>
      <w:szCs w:val="22"/>
      <w:lang w:eastAsia="en-GB"/>
    </w:rPr>
  </w:style>
  <w:style w:type="character" w:styleId="Strong">
    <w:name w:val="Strong"/>
    <w:qFormat/>
    <w:rsid w:val="008A593F"/>
    <w:rPr>
      <w:b/>
      <w:bCs/>
    </w:rPr>
  </w:style>
  <w:style w:type="paragraph" w:customStyle="1" w:styleId="1Heading">
    <w:name w:val="1 Heading"/>
    <w:basedOn w:val="Normal"/>
    <w:link w:val="1HeadingChar"/>
    <w:uiPriority w:val="99"/>
    <w:qFormat/>
    <w:rsid w:val="008A593F"/>
    <w:pPr>
      <w:keepNext/>
      <w:keepLines/>
      <w:spacing w:before="360" w:after="480"/>
      <w:outlineLvl w:val="0"/>
    </w:pPr>
    <w:rPr>
      <w:rFonts w:eastAsia="Times New Roman"/>
      <w:b/>
      <w:bCs/>
      <w:i/>
      <w:color w:val="auto"/>
      <w:sz w:val="32"/>
      <w:szCs w:val="32"/>
      <w:lang w:val="en-GB"/>
    </w:rPr>
  </w:style>
  <w:style w:type="character" w:customStyle="1" w:styleId="1HeadingChar">
    <w:name w:val="1 Heading Char"/>
    <w:link w:val="1Heading"/>
    <w:uiPriority w:val="99"/>
    <w:rsid w:val="008A593F"/>
    <w:rPr>
      <w:rFonts w:eastAsia="Times New Roman" w:cs="Times New Roman"/>
      <w:b/>
      <w:bCs/>
      <w:i/>
      <w:sz w:val="32"/>
      <w:szCs w:val="32"/>
    </w:rPr>
  </w:style>
  <w:style w:type="paragraph" w:styleId="Signature">
    <w:name w:val="Signature"/>
    <w:basedOn w:val="Normal"/>
    <w:next w:val="Normal"/>
    <w:link w:val="SignatureChar"/>
    <w:rsid w:val="000F253C"/>
    <w:pPr>
      <w:keepNext/>
      <w:spacing w:before="360" w:after="800" w:line="240" w:lineRule="auto"/>
    </w:pPr>
    <w:rPr>
      <w:rFonts w:ascii="Times New Roman" w:eastAsia="Times New Roman" w:hAnsi="Times New Roman"/>
      <w:color w:val="auto"/>
      <w:spacing w:val="-5"/>
      <w:sz w:val="24"/>
      <w:szCs w:val="20"/>
      <w:lang w:val="en-US"/>
    </w:rPr>
  </w:style>
  <w:style w:type="character" w:customStyle="1" w:styleId="SignatureChar">
    <w:name w:val="Signature Char"/>
    <w:basedOn w:val="DefaultParagraphFont"/>
    <w:link w:val="Signature"/>
    <w:rsid w:val="000F253C"/>
    <w:rPr>
      <w:rFonts w:ascii="Times New Roman" w:eastAsia="Times New Roman" w:hAnsi="Times New Roman" w:cs="Times New Roman"/>
      <w:spacing w:val="-5"/>
      <w:sz w:val="24"/>
      <w:lang w:val="en-US"/>
    </w:rPr>
  </w:style>
  <w:style w:type="paragraph" w:customStyle="1" w:styleId="CharChar">
    <w:name w:val="Char Char"/>
    <w:basedOn w:val="Normal"/>
    <w:rsid w:val="000F253C"/>
    <w:pPr>
      <w:spacing w:after="160" w:line="240" w:lineRule="exact"/>
    </w:pPr>
    <w:rPr>
      <w:rFonts w:ascii="Tahoma" w:eastAsia="Times New Roman" w:hAnsi="Tahoma"/>
      <w:color w:val="auto"/>
      <w:szCs w:val="20"/>
      <w:lang w:val="en-US"/>
    </w:rPr>
  </w:style>
  <w:style w:type="paragraph" w:styleId="ListParagraph">
    <w:name w:val="List Paragraph"/>
    <w:aliases w:val="List Paragraph21,Lentele,Table of contents numbered,ERP-List Paragraph,List Paragraph1,List Paragraph11,Bullet EY,List Paragraph2,Bullet,List Paragraph3,Paragraph,List Paragraph Red,Numbering,lp1,Bullet 1,Use Case List Paragraph"/>
    <w:basedOn w:val="Normal"/>
    <w:link w:val="ListParagraphChar"/>
    <w:uiPriority w:val="34"/>
    <w:unhideWhenUsed/>
    <w:qFormat/>
    <w:rsid w:val="004947BC"/>
    <w:pPr>
      <w:ind w:left="720"/>
      <w:contextualSpacing/>
    </w:pPr>
    <w:rPr>
      <w:lang w:val="en-GB"/>
    </w:rPr>
  </w:style>
  <w:style w:type="table" w:styleId="LightList-Accent5">
    <w:name w:val="Light List Accent 5"/>
    <w:basedOn w:val="TableNormal"/>
    <w:uiPriority w:val="61"/>
    <w:rsid w:val="00ED07BC"/>
    <w:pPr>
      <w:spacing w:after="0" w:line="240" w:lineRule="auto"/>
    </w:pPr>
    <w:tblPr>
      <w:tblStyleRowBandSize w:val="1"/>
      <w:tblStyleColBandSize w:val="1"/>
      <w:tblBorders>
        <w:top w:val="single" w:sz="8" w:space="0" w:color="A32020" w:themeColor="accent5"/>
        <w:left w:val="single" w:sz="8" w:space="0" w:color="A32020" w:themeColor="accent5"/>
        <w:bottom w:val="single" w:sz="8" w:space="0" w:color="A32020" w:themeColor="accent5"/>
        <w:right w:val="single" w:sz="8" w:space="0" w:color="A32020" w:themeColor="accent5"/>
      </w:tblBorders>
    </w:tblPr>
    <w:tblStylePr w:type="firstRow">
      <w:pPr>
        <w:spacing w:before="0" w:after="0" w:line="240" w:lineRule="auto"/>
      </w:pPr>
      <w:rPr>
        <w:b/>
        <w:bCs/>
        <w:color w:val="FFFFFF" w:themeColor="background1"/>
      </w:rPr>
      <w:tblPr/>
      <w:tcPr>
        <w:shd w:val="clear" w:color="auto" w:fill="A32020" w:themeFill="accent5"/>
      </w:tcPr>
    </w:tblStylePr>
    <w:tblStylePr w:type="lastRow">
      <w:pPr>
        <w:spacing w:before="0" w:after="0" w:line="240" w:lineRule="auto"/>
      </w:pPr>
      <w:rPr>
        <w:b/>
        <w:bCs/>
      </w:rPr>
      <w:tblPr/>
      <w:tcPr>
        <w:tcBorders>
          <w:top w:val="double" w:sz="6" w:space="0" w:color="A32020" w:themeColor="accent5"/>
          <w:left w:val="single" w:sz="8" w:space="0" w:color="A32020" w:themeColor="accent5"/>
          <w:bottom w:val="single" w:sz="8" w:space="0" w:color="A32020" w:themeColor="accent5"/>
          <w:right w:val="single" w:sz="8" w:space="0" w:color="A32020" w:themeColor="accent5"/>
        </w:tcBorders>
      </w:tcPr>
    </w:tblStylePr>
    <w:tblStylePr w:type="firstCol">
      <w:rPr>
        <w:b/>
        <w:bCs/>
      </w:rPr>
    </w:tblStylePr>
    <w:tblStylePr w:type="lastCol">
      <w:rPr>
        <w:b/>
        <w:bCs/>
      </w:rPr>
    </w:tblStylePr>
    <w:tblStylePr w:type="band1Vert">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tblStylePr w:type="band1Horz">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style>
  <w:style w:type="table" w:styleId="LightList-Accent4">
    <w:name w:val="Light List Accent 4"/>
    <w:basedOn w:val="TableNormal"/>
    <w:uiPriority w:val="61"/>
    <w:rsid w:val="00DD01C3"/>
    <w:pPr>
      <w:spacing w:after="0" w:line="240" w:lineRule="auto"/>
    </w:pPr>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styleId="LightList-Accent2">
    <w:name w:val="Light List Accent 2"/>
    <w:basedOn w:val="TableNormal"/>
    <w:uiPriority w:val="61"/>
    <w:rsid w:val="00395A26"/>
    <w:pPr>
      <w:spacing w:after="0" w:line="240" w:lineRule="auto"/>
    </w:pPr>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tblBorders>
    </w:tblPr>
    <w:tblStylePr w:type="firstRow">
      <w:pPr>
        <w:spacing w:before="0" w:after="0" w:line="240" w:lineRule="auto"/>
      </w:pPr>
      <w:rPr>
        <w:b/>
        <w:bCs/>
        <w:color w:val="FFFFFF" w:themeColor="background1"/>
      </w:rPr>
      <w:tblPr/>
      <w:tcPr>
        <w:shd w:val="clear" w:color="auto" w:fill="FFB600" w:themeFill="accent2"/>
      </w:tcPr>
    </w:tblStylePr>
    <w:tblStylePr w:type="lastRow">
      <w:pPr>
        <w:spacing w:before="0" w:after="0" w:line="240" w:lineRule="auto"/>
      </w:pPr>
      <w:rPr>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tcBorders>
      </w:tcPr>
    </w:tblStylePr>
    <w:tblStylePr w:type="firstCol">
      <w:rPr>
        <w:b/>
        <w:bCs/>
      </w:rPr>
    </w:tblStylePr>
    <w:tblStylePr w:type="lastCol">
      <w:rPr>
        <w:b/>
        <w:bCs/>
      </w:r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style>
  <w:style w:type="table" w:customStyle="1" w:styleId="LightList-Accent11">
    <w:name w:val="Light List - Accent 11"/>
    <w:basedOn w:val="TableNormal"/>
    <w:uiPriority w:val="61"/>
    <w:rsid w:val="00395A26"/>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styleId="CommentReference">
    <w:name w:val="annotation reference"/>
    <w:basedOn w:val="DefaultParagraphFont"/>
    <w:uiPriority w:val="99"/>
    <w:semiHidden/>
    <w:unhideWhenUsed/>
    <w:rsid w:val="00B549C4"/>
    <w:rPr>
      <w:sz w:val="16"/>
      <w:szCs w:val="16"/>
    </w:rPr>
  </w:style>
  <w:style w:type="paragraph" w:styleId="CommentText">
    <w:name w:val="annotation text"/>
    <w:basedOn w:val="Normal"/>
    <w:link w:val="CommentTextChar"/>
    <w:uiPriority w:val="99"/>
    <w:unhideWhenUsed/>
    <w:rsid w:val="00B549C4"/>
    <w:pPr>
      <w:spacing w:line="240" w:lineRule="auto"/>
    </w:pPr>
    <w:rPr>
      <w:szCs w:val="20"/>
      <w:lang w:val="en-GB"/>
    </w:rPr>
  </w:style>
  <w:style w:type="character" w:customStyle="1" w:styleId="CommentTextChar">
    <w:name w:val="Comment Text Char"/>
    <w:basedOn w:val="DefaultParagraphFont"/>
    <w:link w:val="CommentText"/>
    <w:uiPriority w:val="99"/>
    <w:rsid w:val="00B549C4"/>
    <w:rPr>
      <w:rFonts w:eastAsia="Arial" w:cs="Times New Roman"/>
      <w:color w:val="000000"/>
    </w:rPr>
  </w:style>
  <w:style w:type="paragraph" w:styleId="CommentSubject">
    <w:name w:val="annotation subject"/>
    <w:basedOn w:val="CommentText"/>
    <w:next w:val="CommentText"/>
    <w:link w:val="CommentSubjectChar"/>
    <w:uiPriority w:val="99"/>
    <w:semiHidden/>
    <w:unhideWhenUsed/>
    <w:rsid w:val="00B549C4"/>
    <w:rPr>
      <w:b/>
      <w:bCs/>
    </w:rPr>
  </w:style>
  <w:style w:type="character" w:customStyle="1" w:styleId="CommentSubjectChar">
    <w:name w:val="Comment Subject Char"/>
    <w:basedOn w:val="CommentTextChar"/>
    <w:link w:val="CommentSubject"/>
    <w:uiPriority w:val="99"/>
    <w:semiHidden/>
    <w:rsid w:val="00B549C4"/>
    <w:rPr>
      <w:rFonts w:eastAsia="Arial" w:cs="Times New Roman"/>
      <w:b/>
      <w:bCs/>
      <w:color w:val="000000"/>
    </w:rPr>
  </w:style>
  <w:style w:type="paragraph" w:styleId="Caption">
    <w:name w:val="caption"/>
    <w:aliases w:val="Pav.,• Caption,Table caption,paveikslas,Paveikslo pavadinimas,TabelOverskrift"/>
    <w:basedOn w:val="Normal"/>
    <w:next w:val="Normal"/>
    <w:link w:val="CaptionChar"/>
    <w:uiPriority w:val="35"/>
    <w:unhideWhenUsed/>
    <w:qFormat/>
    <w:rsid w:val="00B114FA"/>
    <w:pPr>
      <w:spacing w:before="120" w:after="120" w:line="240" w:lineRule="auto"/>
      <w:jc w:val="center"/>
    </w:pPr>
    <w:rPr>
      <w:rFonts w:eastAsia="Times New Roman"/>
      <w:b/>
      <w:bCs/>
      <w:i/>
      <w:color w:val="808080" w:themeColor="background2" w:themeShade="80"/>
      <w:szCs w:val="20"/>
      <w:lang w:eastAsia="lt-LT"/>
    </w:rPr>
  </w:style>
  <w:style w:type="character" w:customStyle="1" w:styleId="ListParagraphChar">
    <w:name w:val="List Paragraph Char"/>
    <w:aliases w:val="List Paragraph21 Char,Lentele Char,Table of contents numbered Char,ERP-List Paragraph Char,List Paragraph1 Char,List Paragraph11 Char,Bullet EY Char,List Paragraph2 Char,Bullet Char,List Paragraph3 Char,Paragraph Char,Numbering Char"/>
    <w:link w:val="ListParagraph"/>
    <w:uiPriority w:val="34"/>
    <w:locked/>
    <w:rsid w:val="00490830"/>
    <w:rPr>
      <w:rFonts w:eastAsia="Arial" w:cs="Times New Roman"/>
      <w:color w:val="000000"/>
      <w:szCs w:val="21"/>
    </w:rPr>
  </w:style>
  <w:style w:type="paragraph" w:customStyle="1" w:styleId="TEKSTAS">
    <w:name w:val="TEKSTAS"/>
    <w:basedOn w:val="Normal"/>
    <w:rsid w:val="00AC4AA8"/>
    <w:pPr>
      <w:spacing w:before="120" w:after="120" w:line="240" w:lineRule="auto"/>
    </w:pPr>
    <w:rPr>
      <w:rFonts w:ascii="Arial" w:eastAsia="MS Mincho" w:hAnsi="Arial" w:cs="Arial"/>
      <w:color w:val="auto"/>
      <w:szCs w:val="22"/>
      <w:lang w:eastAsia="ja-JP"/>
    </w:rPr>
  </w:style>
  <w:style w:type="character" w:styleId="Emphasis">
    <w:name w:val="Emphasis"/>
    <w:basedOn w:val="DefaultParagraphFont"/>
    <w:uiPriority w:val="20"/>
    <w:qFormat/>
    <w:rsid w:val="00AC4AA8"/>
    <w:rPr>
      <w:i/>
      <w:iCs/>
    </w:rPr>
  </w:style>
  <w:style w:type="paragraph" w:customStyle="1" w:styleId="bullettrumpi">
    <w:name w:val="bullet trumpi"/>
    <w:basedOn w:val="Normal"/>
    <w:rsid w:val="00AC4AA8"/>
    <w:pPr>
      <w:numPr>
        <w:numId w:val="5"/>
      </w:numPr>
      <w:spacing w:line="240" w:lineRule="auto"/>
    </w:pPr>
    <w:rPr>
      <w:rFonts w:ascii="Times New Roman" w:eastAsia="Times New Roman" w:hAnsi="Times New Roman"/>
      <w:color w:val="auto"/>
      <w:sz w:val="24"/>
      <w:szCs w:val="24"/>
      <w:lang w:eastAsia="lt-LT"/>
    </w:rPr>
  </w:style>
  <w:style w:type="table" w:customStyle="1" w:styleId="PwCTableFigures">
    <w:name w:val="PwC Table Figures"/>
    <w:basedOn w:val="TableNormal"/>
    <w:uiPriority w:val="99"/>
    <w:qFormat/>
    <w:rsid w:val="00AC4AA8"/>
    <w:pPr>
      <w:tabs>
        <w:tab w:val="decimal" w:pos="1134"/>
      </w:tabs>
      <w:spacing w:before="60" w:after="60" w:line="240" w:lineRule="auto"/>
    </w:pPr>
    <w:rPr>
      <w:rFonts w:asciiTheme="minorHAnsi" w:hAnsiTheme="minorHAnsi"/>
    </w:rPr>
    <w:tblPr>
      <w:tblBorders>
        <w:insideH w:val="dotted" w:sz="4" w:space="0" w:color="DC6900" w:themeColor="text2"/>
      </w:tblBorders>
    </w:tblPr>
    <w:tblStylePr w:type="firstRow">
      <w:rPr>
        <w:b/>
      </w:rPr>
      <w:tblPr/>
      <w:tcPr>
        <w:tcBorders>
          <w:top w:val="single" w:sz="6" w:space="0" w:color="DC6900" w:themeColor="text2"/>
          <w:left w:val="nil"/>
          <w:bottom w:val="single" w:sz="6" w:space="0" w:color="DC690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DC6900" w:themeColor="text2"/>
          <w:left w:val="nil"/>
          <w:bottom w:val="single" w:sz="6" w:space="0" w:color="DC6900" w:themeColor="text2"/>
          <w:right w:val="nil"/>
          <w:insideH w:val="nil"/>
          <w:insideV w:val="nil"/>
          <w:tl2br w:val="nil"/>
          <w:tr2bl w:val="nil"/>
        </w:tcBorders>
      </w:tcPr>
    </w:tblStylePr>
  </w:style>
  <w:style w:type="paragraph" w:customStyle="1" w:styleId="Pastraipa">
    <w:name w:val="Pastraipa"/>
    <w:basedOn w:val="Normal"/>
    <w:link w:val="PastraipaChar"/>
    <w:rsid w:val="00393AEC"/>
    <w:pPr>
      <w:keepNext/>
      <w:keepLines/>
      <w:spacing w:before="120" w:after="120" w:line="240" w:lineRule="auto"/>
    </w:pPr>
    <w:rPr>
      <w:rFonts w:ascii="Arial" w:eastAsia="Times New Roman" w:hAnsi="Arial"/>
      <w:b/>
      <w:color w:val="auto"/>
      <w:szCs w:val="24"/>
      <w:lang w:eastAsia="lt-LT"/>
    </w:rPr>
  </w:style>
  <w:style w:type="character" w:customStyle="1" w:styleId="PastraipaChar">
    <w:name w:val="Pastraipa Char"/>
    <w:basedOn w:val="DefaultParagraphFont"/>
    <w:link w:val="Pastraipa"/>
    <w:rsid w:val="00393AEC"/>
    <w:rPr>
      <w:rFonts w:ascii="Arial" w:eastAsia="Times New Roman" w:hAnsi="Arial" w:cs="Times New Roman"/>
      <w:b/>
      <w:szCs w:val="24"/>
      <w:lang w:val="lt-LT" w:eastAsia="lt-LT"/>
    </w:rPr>
  </w:style>
  <w:style w:type="numbering" w:customStyle="1" w:styleId="StyleBulleted7pt">
    <w:name w:val="Style Bulleted 7 pt"/>
    <w:basedOn w:val="NoList"/>
    <w:rsid w:val="00393AEC"/>
    <w:pPr>
      <w:numPr>
        <w:numId w:val="6"/>
      </w:numPr>
    </w:pPr>
  </w:style>
  <w:style w:type="paragraph" w:customStyle="1" w:styleId="Pas-pagrindinis">
    <w:name w:val="Pas-pagrindinis"/>
    <w:basedOn w:val="Normal"/>
    <w:rsid w:val="00393AEC"/>
    <w:pPr>
      <w:spacing w:before="120" w:after="60" w:line="240" w:lineRule="auto"/>
      <w:ind w:left="2268"/>
    </w:pPr>
    <w:rPr>
      <w:rFonts w:ascii="Times New Roman" w:eastAsia="Times New Roman" w:hAnsi="Times New Roman"/>
      <w:color w:val="auto"/>
      <w:szCs w:val="20"/>
      <w:lang w:eastAsia="en-GB"/>
    </w:rPr>
  </w:style>
  <w:style w:type="table" w:customStyle="1" w:styleId="LightList-Accent12">
    <w:name w:val="Light List - Accent 12"/>
    <w:basedOn w:val="TableNormal"/>
    <w:uiPriority w:val="61"/>
    <w:rsid w:val="00393AEC"/>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customStyle="1" w:styleId="CaptionChar">
    <w:name w:val="Caption Char"/>
    <w:aliases w:val="Pav. Char,• Caption Char,Table caption Char,paveikslas Char,Paveikslo pavadinimas Char,TabelOverskrift Char"/>
    <w:basedOn w:val="DefaultParagraphFont"/>
    <w:link w:val="Caption"/>
    <w:uiPriority w:val="35"/>
    <w:rsid w:val="00B114FA"/>
    <w:rPr>
      <w:rFonts w:eastAsia="Times New Roman" w:cs="Times New Roman"/>
      <w:b/>
      <w:bCs/>
      <w:i/>
      <w:color w:val="808080" w:themeColor="background2" w:themeShade="80"/>
      <w:lang w:val="lt-LT" w:eastAsia="lt-LT"/>
    </w:rPr>
  </w:style>
  <w:style w:type="table" w:customStyle="1" w:styleId="LightList-Accent18">
    <w:name w:val="Light List - Accent 18"/>
    <w:basedOn w:val="TableNormal"/>
    <w:next w:val="LightList-Accent1"/>
    <w:uiPriority w:val="61"/>
    <w:rsid w:val="00315FB5"/>
    <w:pPr>
      <w:spacing w:after="0" w:line="240" w:lineRule="auto"/>
    </w:pPr>
    <w:tblPr>
      <w:tblStyleRowBandSize w:val="1"/>
      <w:tblStyleColBandSize w:val="1"/>
      <w:tblBorders>
        <w:top w:val="single" w:sz="8" w:space="0" w:color="968C6D"/>
        <w:left w:val="single" w:sz="8" w:space="0" w:color="968C6D"/>
        <w:bottom w:val="single" w:sz="8" w:space="0" w:color="968C6D"/>
        <w:right w:val="single" w:sz="8" w:space="0" w:color="968C6D"/>
      </w:tblBorders>
    </w:tblPr>
    <w:tblStylePr w:type="firstRow">
      <w:pPr>
        <w:spacing w:before="0" w:after="0" w:line="240" w:lineRule="auto"/>
      </w:pPr>
      <w:rPr>
        <w:b/>
        <w:bCs/>
        <w:color w:val="FFFFFF"/>
      </w:rPr>
      <w:tblPr/>
      <w:tcPr>
        <w:shd w:val="clear" w:color="auto" w:fill="968C6D"/>
      </w:tcPr>
    </w:tblStylePr>
    <w:tblStylePr w:type="lastRow">
      <w:pPr>
        <w:spacing w:before="0" w:after="0" w:line="240" w:lineRule="auto"/>
      </w:pPr>
      <w:rPr>
        <w:b/>
        <w:bCs/>
      </w:rPr>
      <w:tblPr/>
      <w:tcPr>
        <w:tcBorders>
          <w:top w:val="double" w:sz="6" w:space="0" w:color="968C6D"/>
          <w:left w:val="single" w:sz="8" w:space="0" w:color="968C6D"/>
          <w:bottom w:val="single" w:sz="8" w:space="0" w:color="968C6D"/>
          <w:right w:val="single" w:sz="8" w:space="0" w:color="968C6D"/>
        </w:tcBorders>
      </w:tcPr>
    </w:tblStylePr>
    <w:tblStylePr w:type="firstCol">
      <w:rPr>
        <w:b/>
        <w:bCs/>
      </w:rPr>
    </w:tblStylePr>
    <w:tblStylePr w:type="lastCol">
      <w:rPr>
        <w:b/>
        <w:bCs/>
      </w:rPr>
    </w:tblStylePr>
    <w:tblStylePr w:type="band1Vert">
      <w:tblPr/>
      <w:tcPr>
        <w:tcBorders>
          <w:top w:val="single" w:sz="8" w:space="0" w:color="968C6D"/>
          <w:left w:val="single" w:sz="8" w:space="0" w:color="968C6D"/>
          <w:bottom w:val="single" w:sz="8" w:space="0" w:color="968C6D"/>
          <w:right w:val="single" w:sz="8" w:space="0" w:color="968C6D"/>
        </w:tcBorders>
      </w:tcPr>
    </w:tblStylePr>
    <w:tblStylePr w:type="band1Horz">
      <w:tblPr/>
      <w:tcPr>
        <w:tcBorders>
          <w:top w:val="single" w:sz="8" w:space="0" w:color="968C6D"/>
          <w:left w:val="single" w:sz="8" w:space="0" w:color="968C6D"/>
          <w:bottom w:val="single" w:sz="8" w:space="0" w:color="968C6D"/>
          <w:right w:val="single" w:sz="8" w:space="0" w:color="968C6D"/>
        </w:tcBorders>
      </w:tcPr>
    </w:tblStylePr>
  </w:style>
  <w:style w:type="table" w:styleId="LightList-Accent1">
    <w:name w:val="Light List Accent 1"/>
    <w:basedOn w:val="TableNormal"/>
    <w:uiPriority w:val="61"/>
    <w:rsid w:val="00315FB5"/>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paragraph" w:customStyle="1" w:styleId="BulletedListundernumpara">
    <w:name w:val="Bulleted List under num para"/>
    <w:basedOn w:val="Normal"/>
    <w:rsid w:val="004A0385"/>
    <w:pPr>
      <w:numPr>
        <w:numId w:val="7"/>
      </w:numPr>
      <w:tabs>
        <w:tab w:val="left" w:pos="1267"/>
      </w:tabs>
      <w:spacing w:before="120" w:line="240" w:lineRule="exact"/>
      <w:jc w:val="both"/>
    </w:pPr>
    <w:rPr>
      <w:rFonts w:ascii="Times New Roman" w:eastAsia="Times New Roman" w:hAnsi="Times New Roman"/>
      <w:color w:val="auto"/>
      <w:szCs w:val="20"/>
      <w:lang w:val="en-US"/>
    </w:rPr>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Footnote4"/>
    <w:basedOn w:val="Normal"/>
    <w:link w:val="FootnoteTextChar"/>
    <w:uiPriority w:val="99"/>
    <w:unhideWhenUsed/>
    <w:rsid w:val="007A3F87"/>
    <w:pPr>
      <w:spacing w:line="240" w:lineRule="auto"/>
    </w:pPr>
    <w:rPr>
      <w:rFonts w:eastAsiaTheme="minorHAnsi" w:cstheme="minorBidi"/>
      <w:noProof/>
      <w:color w:val="auto"/>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7A3F87"/>
    <w:rPr>
      <w:noProof/>
      <w:lang w:val="lt-LT"/>
    </w:rPr>
  </w:style>
  <w:style w:type="character" w:styleId="FootnoteReference">
    <w:name w:val="footnote reference"/>
    <w:aliases w:val="BVI fnr,Footnote symbol,Voetnootverwijzing,Times 10 Point,Exposant 3 Point,Footnote Reference Number,Footnote anchor,Footnote reference number,Footnote number,fr,Footnotemark,FR,Footnotemark1,Footnotemark2,FR1,Footnotemark3,FR2,Ref,o"/>
    <w:basedOn w:val="DefaultParagraphFont"/>
    <w:link w:val="SUPERSChar"/>
    <w:uiPriority w:val="99"/>
    <w:unhideWhenUsed/>
    <w:rsid w:val="007A3F87"/>
    <w:rPr>
      <w:vertAlign w:val="superscript"/>
    </w:rPr>
  </w:style>
  <w:style w:type="paragraph" w:styleId="BlockText">
    <w:name w:val="Block Text"/>
    <w:basedOn w:val="Normal"/>
    <w:rsid w:val="000B41E9"/>
    <w:pPr>
      <w:spacing w:line="240" w:lineRule="auto"/>
      <w:ind w:left="1440" w:right="142"/>
    </w:pPr>
    <w:rPr>
      <w:rFonts w:ascii="Times New Roman" w:eastAsia="Times New Roman" w:hAnsi="Times New Roman"/>
      <w:color w:val="auto"/>
      <w:sz w:val="24"/>
      <w:szCs w:val="20"/>
    </w:rPr>
  </w:style>
  <w:style w:type="paragraph" w:styleId="NormalWeb">
    <w:name w:val="Normal (Web)"/>
    <w:basedOn w:val="Normal"/>
    <w:uiPriority w:val="99"/>
    <w:unhideWhenUsed/>
    <w:rsid w:val="008E204E"/>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Text">
    <w:name w:val="Text"/>
    <w:basedOn w:val="Normal"/>
    <w:link w:val="TextChar"/>
    <w:uiPriority w:val="99"/>
    <w:qFormat/>
    <w:rsid w:val="00CC3497"/>
    <w:pPr>
      <w:tabs>
        <w:tab w:val="left" w:pos="9600"/>
      </w:tabs>
      <w:spacing w:after="240" w:line="276" w:lineRule="auto"/>
      <w:ind w:left="505" w:right="74"/>
      <w:jc w:val="both"/>
    </w:pPr>
    <w:rPr>
      <w:rFonts w:eastAsiaTheme="minorEastAsia" w:cstheme="minorBidi"/>
      <w:noProof/>
      <w:color w:val="auto"/>
      <w:sz w:val="24"/>
      <w:szCs w:val="22"/>
      <w:lang w:eastAsia="lt-LT"/>
    </w:rPr>
  </w:style>
  <w:style w:type="character" w:customStyle="1" w:styleId="TextChar">
    <w:name w:val="Text Char"/>
    <w:basedOn w:val="DefaultParagraphFont"/>
    <w:link w:val="Text"/>
    <w:uiPriority w:val="99"/>
    <w:rsid w:val="00CC3497"/>
    <w:rPr>
      <w:rFonts w:ascii="Cambria" w:eastAsiaTheme="minorEastAsia" w:hAnsi="Cambria"/>
      <w:noProof/>
      <w:sz w:val="24"/>
      <w:szCs w:val="22"/>
      <w:lang w:val="lt-LT" w:eastAsia="lt-LT"/>
    </w:rPr>
  </w:style>
  <w:style w:type="paragraph" w:customStyle="1" w:styleId="text-15-str">
    <w:name w:val="text-15-str"/>
    <w:basedOn w:val="Normal"/>
    <w:rsid w:val="00B514D2"/>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SLONormal">
    <w:name w:val="SLO Normal"/>
    <w:qFormat/>
    <w:rsid w:val="006A25C5"/>
    <w:pPr>
      <w:spacing w:before="120" w:after="120" w:line="240" w:lineRule="auto"/>
      <w:jc w:val="both"/>
    </w:pPr>
    <w:rPr>
      <w:rFonts w:ascii="Times New Roman" w:eastAsia="Times New Roman" w:hAnsi="Times New Roman" w:cs="Times New Roman"/>
      <w:kern w:val="24"/>
      <w:sz w:val="22"/>
      <w:szCs w:val="24"/>
    </w:rPr>
  </w:style>
  <w:style w:type="paragraph" w:customStyle="1" w:styleId="TESALaukelis">
    <w:name w:val="TES_ALaukelis"/>
    <w:basedOn w:val="Normal"/>
    <w:autoRedefine/>
    <w:uiPriority w:val="99"/>
    <w:rsid w:val="004A6A25"/>
    <w:pPr>
      <w:spacing w:before="120" w:after="120" w:line="240" w:lineRule="auto"/>
    </w:pPr>
    <w:rPr>
      <w:rFonts w:eastAsiaTheme="majorEastAsia" w:cstheme="majorBidi"/>
      <w:b/>
      <w:color w:val="FFFFFF" w:themeColor="background1"/>
      <w:spacing w:val="5"/>
      <w:kern w:val="28"/>
      <w:sz w:val="32"/>
      <w:szCs w:val="32"/>
    </w:rPr>
  </w:style>
  <w:style w:type="paragraph" w:customStyle="1" w:styleId="TESpaveikslopavadinimas">
    <w:name w:val="TES_paveikslo pavadinimas"/>
    <w:basedOn w:val="Normal"/>
    <w:link w:val="TESpaveikslopavadinimasChar"/>
    <w:qFormat/>
    <w:rsid w:val="007878E3"/>
    <w:pPr>
      <w:spacing w:before="120" w:after="240" w:line="240" w:lineRule="auto"/>
      <w:ind w:left="360"/>
      <w:jc w:val="center"/>
    </w:pPr>
    <w:rPr>
      <w:rFonts w:ascii="Calibri" w:eastAsiaTheme="minorHAnsi" w:hAnsi="Calibri" w:cs="Miriam"/>
      <w:b/>
      <w:iCs/>
      <w:color w:val="6B7487"/>
      <w:szCs w:val="18"/>
    </w:rPr>
  </w:style>
  <w:style w:type="character" w:customStyle="1" w:styleId="TESpaveikslopavadinimasChar">
    <w:name w:val="TES_paveikslo pavadinimas Char"/>
    <w:basedOn w:val="DefaultParagraphFont"/>
    <w:link w:val="TESpaveikslopavadinimas"/>
    <w:rsid w:val="007878E3"/>
    <w:rPr>
      <w:rFonts w:ascii="Calibri" w:hAnsi="Calibri" w:cs="Miriam"/>
      <w:b/>
      <w:iCs/>
      <w:color w:val="6B7487"/>
      <w:szCs w:val="18"/>
      <w:lang w:val="lt-LT"/>
    </w:rPr>
  </w:style>
  <w:style w:type="paragraph" w:customStyle="1" w:styleId="SUPERSChar">
    <w:name w:val="SUPERS Char"/>
    <w:aliases w:val="EN Footnote Reference Char"/>
    <w:basedOn w:val="Normal"/>
    <w:link w:val="FootnoteReference"/>
    <w:uiPriority w:val="99"/>
    <w:rsid w:val="007878E3"/>
    <w:pPr>
      <w:spacing w:after="160" w:line="240" w:lineRule="exact"/>
    </w:pPr>
    <w:rPr>
      <w:rFonts w:eastAsiaTheme="minorHAnsi" w:cstheme="minorBidi"/>
      <w:color w:val="auto"/>
      <w:szCs w:val="20"/>
      <w:vertAlign w:val="superscript"/>
      <w:lang w:val="en-GB"/>
    </w:rPr>
  </w:style>
  <w:style w:type="paragraph" w:styleId="EndnoteText">
    <w:name w:val="endnote text"/>
    <w:basedOn w:val="Normal"/>
    <w:link w:val="EndnoteTextChar"/>
    <w:uiPriority w:val="99"/>
    <w:semiHidden/>
    <w:unhideWhenUsed/>
    <w:rsid w:val="00600C44"/>
    <w:pPr>
      <w:spacing w:line="240" w:lineRule="auto"/>
    </w:pPr>
    <w:rPr>
      <w:szCs w:val="20"/>
      <w:lang w:val="en-GB"/>
    </w:rPr>
  </w:style>
  <w:style w:type="character" w:customStyle="1" w:styleId="EndnoteTextChar">
    <w:name w:val="Endnote Text Char"/>
    <w:basedOn w:val="DefaultParagraphFont"/>
    <w:link w:val="EndnoteText"/>
    <w:uiPriority w:val="99"/>
    <w:semiHidden/>
    <w:rsid w:val="00600C44"/>
    <w:rPr>
      <w:rFonts w:eastAsia="Arial" w:cs="Times New Roman"/>
      <w:color w:val="000000"/>
    </w:rPr>
  </w:style>
  <w:style w:type="character" w:styleId="EndnoteReference">
    <w:name w:val="endnote reference"/>
    <w:basedOn w:val="DefaultParagraphFont"/>
    <w:uiPriority w:val="99"/>
    <w:semiHidden/>
    <w:unhideWhenUsed/>
    <w:rsid w:val="00600C44"/>
    <w:rPr>
      <w:vertAlign w:val="superscript"/>
    </w:rPr>
  </w:style>
  <w:style w:type="numbering" w:customStyle="1" w:styleId="Style3">
    <w:name w:val="Style3"/>
    <w:basedOn w:val="NoList"/>
    <w:rsid w:val="005B5209"/>
    <w:pPr>
      <w:numPr>
        <w:numId w:val="8"/>
      </w:numPr>
    </w:pPr>
  </w:style>
  <w:style w:type="character" w:customStyle="1" w:styleId="Antrat1Diagrama">
    <w:name w:val="Antraštė 1 Diagrama"/>
    <w:basedOn w:val="DefaultParagraphFont"/>
    <w:rsid w:val="007D620B"/>
    <w:rPr>
      <w:rFonts w:ascii="Times New Roman" w:eastAsia="Times New Roman" w:hAnsi="Times New Roman" w:cs="Times New Roman"/>
      <w:sz w:val="24"/>
      <w:szCs w:val="20"/>
      <w:lang w:eastAsia="en-US"/>
    </w:rPr>
  </w:style>
  <w:style w:type="paragraph" w:customStyle="1" w:styleId="BlockText2">
    <w:name w:val="Block Text 2"/>
    <w:basedOn w:val="Normal"/>
    <w:uiPriority w:val="99"/>
    <w:qFormat/>
    <w:rsid w:val="00BA6D37"/>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240" w:line="240" w:lineRule="auto"/>
      <w:ind w:left="227" w:right="227"/>
    </w:pPr>
    <w:rPr>
      <w:rFonts w:eastAsiaTheme="minorHAnsi" w:cstheme="minorBidi"/>
      <w:i/>
      <w:color w:val="FFFFFF" w:themeColor="background2"/>
      <w:sz w:val="48"/>
      <w:szCs w:val="48"/>
      <w:lang w:val="en-GB"/>
    </w:rPr>
  </w:style>
  <w:style w:type="table" w:customStyle="1" w:styleId="PwCTable1">
    <w:name w:val="PwC Table 1"/>
    <w:basedOn w:val="TableNormal"/>
    <w:uiPriority w:val="99"/>
    <w:qFormat/>
    <w:rsid w:val="00BA6D37"/>
    <w:pPr>
      <w:spacing w:after="0" w:line="240" w:lineRule="auto"/>
    </w:pPr>
    <w:rPr>
      <w:rFonts w:ascii="Arial" w:eastAsia="Arial" w:hAnsi="Arial" w:cs="Times New Roman"/>
      <w:sz w:val="18"/>
      <w:szCs w:val="22"/>
      <w:lang w:val="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Bahnschrift" w:hAnsi="Bahnschrift"/>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BodyText1">
    <w:name w:val="Body Text1"/>
    <w:basedOn w:val="Normal"/>
    <w:link w:val="BodytextChar0"/>
    <w:uiPriority w:val="99"/>
    <w:rsid w:val="00BA6D37"/>
    <w:pPr>
      <w:autoSpaceDE w:val="0"/>
      <w:autoSpaceDN w:val="0"/>
      <w:adjustRightInd w:val="0"/>
      <w:spacing w:after="180" w:line="260" w:lineRule="atLeast"/>
      <w:textAlignment w:val="center"/>
    </w:pPr>
    <w:rPr>
      <w:rFonts w:eastAsia="MS Mincho" w:cs="Georgia"/>
      <w:szCs w:val="20"/>
      <w:lang w:val="en-US"/>
    </w:rPr>
  </w:style>
  <w:style w:type="paragraph" w:customStyle="1" w:styleId="ListBullet6">
    <w:name w:val="List Bullet 6"/>
    <w:basedOn w:val="ListBullet5"/>
    <w:qFormat/>
    <w:rsid w:val="00C45A66"/>
    <w:pPr>
      <w:numPr>
        <w:ilvl w:val="0"/>
        <w:numId w:val="0"/>
      </w:numPr>
      <w:tabs>
        <w:tab w:val="num" w:pos="2381"/>
      </w:tabs>
      <w:spacing w:before="60" w:after="60"/>
      <w:ind w:left="2381" w:hanging="396"/>
    </w:pPr>
    <w:rPr>
      <w:rFonts w:asciiTheme="minorHAnsi" w:eastAsiaTheme="minorEastAsia" w:hAnsiTheme="minorHAnsi" w:cstheme="minorBidi"/>
      <w:color w:val="auto"/>
      <w:szCs w:val="22"/>
      <w:lang w:val="en-US"/>
    </w:rPr>
  </w:style>
  <w:style w:type="paragraph" w:customStyle="1" w:styleId="ListBullet7">
    <w:name w:val="List Bullet 7"/>
    <w:basedOn w:val="ListBullet6"/>
    <w:qFormat/>
    <w:rsid w:val="00C45A66"/>
    <w:pPr>
      <w:tabs>
        <w:tab w:val="clear" w:pos="2381"/>
        <w:tab w:val="num" w:pos="2778"/>
      </w:tabs>
      <w:ind w:left="2778" w:hanging="397"/>
    </w:pPr>
  </w:style>
  <w:style w:type="paragraph" w:customStyle="1" w:styleId="ListBullet8">
    <w:name w:val="List Bullet 8"/>
    <w:basedOn w:val="ListBullet7"/>
    <w:qFormat/>
    <w:rsid w:val="00C45A66"/>
    <w:pPr>
      <w:tabs>
        <w:tab w:val="clear" w:pos="2778"/>
        <w:tab w:val="num" w:pos="3175"/>
      </w:tabs>
      <w:ind w:left="3175"/>
    </w:pPr>
  </w:style>
  <w:style w:type="paragraph" w:customStyle="1" w:styleId="ListBullet9">
    <w:name w:val="List Bullet 9"/>
    <w:basedOn w:val="ListBullet8"/>
    <w:qFormat/>
    <w:rsid w:val="00C45A66"/>
    <w:pPr>
      <w:tabs>
        <w:tab w:val="clear" w:pos="3175"/>
        <w:tab w:val="num" w:pos="3572"/>
      </w:tabs>
      <w:ind w:left="3572"/>
    </w:pPr>
  </w:style>
  <w:style w:type="character" w:customStyle="1" w:styleId="BodytextChar0">
    <w:name w:val="Body text Char"/>
    <w:link w:val="BodyText1"/>
    <w:uiPriority w:val="99"/>
    <w:rsid w:val="00C45A66"/>
    <w:rPr>
      <w:rFonts w:eastAsia="MS Mincho" w:cs="Georgia"/>
      <w:color w:val="000000"/>
      <w:lang w:val="en-US"/>
    </w:rPr>
  </w:style>
  <w:style w:type="table" w:customStyle="1" w:styleId="VPVILentele1">
    <w:name w:val="VPVI Lentele 1"/>
    <w:basedOn w:val="TableGrid"/>
    <w:uiPriority w:val="99"/>
    <w:rsid w:val="00046954"/>
    <w:pPr>
      <w:spacing w:line="276" w:lineRule="auto"/>
      <w:contextualSpacing/>
    </w:pPr>
    <w:rPr>
      <w:rFonts w:asciiTheme="minorHAnsi" w:eastAsiaTheme="minorEastAsia" w:hAnsiTheme="minorHAns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76" w:lineRule="auto"/>
        <w:jc w:val="center"/>
      </w:pPr>
      <w:rPr>
        <w:rFonts w:asciiTheme="minorHAnsi" w:hAnsiTheme="minorHAnsi"/>
        <w:b/>
        <w:sz w:val="22"/>
      </w:rPr>
      <w:tblPr/>
      <w:tcPr>
        <w:shd w:val="clear" w:color="auto" w:fill="00505E"/>
      </w:tcPr>
    </w:tblStylePr>
    <w:tblStylePr w:type="lastRow">
      <w:pPr>
        <w:wordWrap/>
        <w:spacing w:beforeLines="0" w:before="0" w:beforeAutospacing="0" w:afterLines="0" w:after="0" w:afterAutospacing="0" w:line="276" w:lineRule="auto"/>
        <w:ind w:leftChars="0" w:left="0" w:rightChars="0" w:right="0"/>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firstCol">
      <w:pPr>
        <w:wordWrap/>
        <w:spacing w:line="276" w:lineRule="auto"/>
        <w:jc w:val="left"/>
      </w:pPr>
      <w:rPr>
        <w:rFonts w:asciiTheme="minorHAnsi" w:hAnsiTheme="minorHAnsi"/>
      </w:rPr>
    </w:tblStylePr>
    <w:tblStylePr w:type="lastCol">
      <w:pPr>
        <w:wordWrap/>
        <w:spacing w:line="276" w:lineRule="auto"/>
        <w:jc w:val="left"/>
      </w:pPr>
      <w:rPr>
        <w:rFonts w:asciiTheme="minorHAnsi" w:hAnsiTheme="minorHAnsi"/>
      </w:rPr>
    </w:tblStylePr>
    <w:tblStylePr w:type="band1Vert">
      <w:pPr>
        <w:jc w:val="left"/>
      </w:pPr>
      <w:rPr>
        <w:rFonts w:asciiTheme="minorHAnsi" w:hAnsiTheme="minorHAnsi"/>
      </w:rPr>
    </w:tblStylePr>
    <w:tblStylePr w:type="band2Vert">
      <w:pPr>
        <w:jc w:val="left"/>
      </w:pPr>
      <w:rPr>
        <w:rFonts w:asciiTheme="minorHAnsi" w:hAnsiTheme="minorHAnsi"/>
      </w:rPr>
    </w:tblStylePr>
    <w:tblStylePr w:type="band1Horz">
      <w:pPr>
        <w:wordWrap/>
        <w:spacing w:beforeLines="0" w:before="0" w:beforeAutospacing="0" w:afterLines="0" w:after="0" w:afterAutospacing="0" w:line="276" w:lineRule="auto"/>
        <w:jc w:val="left"/>
      </w:pPr>
      <w:rPr>
        <w:rFonts w:asciiTheme="minorHAnsi" w:hAnsiTheme="minorHAnsi"/>
        <w:b w:val="0"/>
        <w:sz w:val="20"/>
      </w:rPr>
      <w:tblPr/>
      <w:tcPr>
        <w:shd w:val="clear" w:color="auto" w:fill="F6E2A3"/>
      </w:tcPr>
    </w:tblStylePr>
    <w:tblStylePr w:type="band2Horz">
      <w:pPr>
        <w:wordWrap/>
        <w:spacing w:beforeLines="0" w:before="0" w:beforeAutospacing="0" w:afterLines="0" w:after="0" w:afterAutospacing="0" w:line="276" w:lineRule="auto"/>
        <w:ind w:firstLineChars="0" w:firstLine="0"/>
        <w:jc w:val="left"/>
      </w:pPr>
      <w:rPr>
        <w:rFonts w:asciiTheme="minorHAnsi" w:hAnsiTheme="minorHAnsi"/>
        <w:b w:val="0"/>
        <w:sz w:val="20"/>
      </w:rPr>
    </w:tblStylePr>
    <w:tblStylePr w:type="neCell">
      <w:pPr>
        <w:wordWrap/>
        <w:spacing w:beforeLines="0" w:before="0" w:beforeAutospacing="0" w:afterLines="0" w:after="0" w:afterAutospacing="0" w:line="276" w:lineRule="auto"/>
        <w:contextualSpacing/>
        <w:jc w:val="center"/>
      </w:pPr>
      <w:rPr>
        <w:rFonts w:asciiTheme="minorHAnsi" w:hAnsiTheme="minorHAnsi"/>
        <w:sz w:val="22"/>
      </w:rPr>
    </w:tblStylePr>
    <w:tblStylePr w:type="nwCell">
      <w:pPr>
        <w:jc w:val="left"/>
      </w:pPr>
      <w:rPr>
        <w:rFonts w:asciiTheme="minorHAnsi" w:hAnsiTheme="minorHAnsi"/>
      </w:rPr>
    </w:tblStylePr>
    <w:tblStylePr w:type="seCell">
      <w:pPr>
        <w:jc w:val="left"/>
      </w:pPr>
      <w:rPr>
        <w:rFonts w:asciiTheme="minorHAnsi" w:hAnsiTheme="minorHAnsi"/>
        <w:sz w:val="18"/>
      </w:rPr>
    </w:tblStylePr>
    <w:tblStylePr w:type="swCell">
      <w:pPr>
        <w:jc w:val="left"/>
      </w:pPr>
      <w:rPr>
        <w:rFonts w:asciiTheme="minorHAnsi" w:hAnsiTheme="minorHAnsi"/>
        <w:sz w:val="18"/>
      </w:rPr>
    </w:tblStylePr>
  </w:style>
  <w:style w:type="character" w:customStyle="1" w:styleId="UnresolvedMention1">
    <w:name w:val="Unresolved Mention1"/>
    <w:basedOn w:val="DefaultParagraphFont"/>
    <w:uiPriority w:val="99"/>
    <w:semiHidden/>
    <w:unhideWhenUsed/>
    <w:rsid w:val="009A32AE"/>
    <w:rPr>
      <w:color w:val="605E5C"/>
      <w:shd w:val="clear" w:color="auto" w:fill="E1DFDD"/>
    </w:rPr>
  </w:style>
  <w:style w:type="paragraph" w:customStyle="1" w:styleId="Default">
    <w:name w:val="Default"/>
    <w:rsid w:val="0038251D"/>
    <w:pPr>
      <w:autoSpaceDE w:val="0"/>
      <w:autoSpaceDN w:val="0"/>
      <w:adjustRightInd w:val="0"/>
      <w:spacing w:after="0" w:line="240" w:lineRule="auto"/>
    </w:pPr>
    <w:rPr>
      <w:rFonts w:ascii="Calibri" w:hAnsi="Calibri" w:cs="Calibri"/>
      <w:color w:val="000000"/>
      <w:sz w:val="24"/>
      <w:szCs w:val="24"/>
    </w:rPr>
  </w:style>
  <w:style w:type="table" w:customStyle="1" w:styleId="ListTable4-Accent31">
    <w:name w:val="List Table 4 - Accent 31"/>
    <w:basedOn w:val="TableNormal"/>
    <w:next w:val="ListTable4Accent3"/>
    <w:uiPriority w:val="49"/>
    <w:rsid w:val="0004751F"/>
    <w:pPr>
      <w:spacing w:after="0" w:line="240" w:lineRule="auto"/>
    </w:pPr>
    <w:rPr>
      <w:rFonts w:ascii="Calibri" w:hAnsi="Calibri"/>
      <w:sz w:val="22"/>
      <w:szCs w:val="22"/>
    </w:rPr>
    <w:tblPr>
      <w:tblStyleRowBandSize w:val="1"/>
      <w:tblStyleColBandSize w:val="1"/>
      <w:tblBorders>
        <w:top w:val="single" w:sz="4" w:space="0" w:color="98D8CE"/>
        <w:left w:val="single" w:sz="4" w:space="0" w:color="98D8CE"/>
        <w:bottom w:val="single" w:sz="4" w:space="0" w:color="98D8CE"/>
        <w:right w:val="single" w:sz="4" w:space="0" w:color="98D8CE"/>
        <w:insideH w:val="single" w:sz="4" w:space="0" w:color="98D8CE"/>
      </w:tblBorders>
    </w:tblPr>
    <w:tblStylePr w:type="firstRow">
      <w:rPr>
        <w:b/>
        <w:bCs/>
        <w:color w:val="FFFFFF"/>
      </w:rPr>
      <w:tblPr/>
      <w:tcPr>
        <w:tcBorders>
          <w:top w:val="single" w:sz="4" w:space="0" w:color="55BFAE"/>
          <w:left w:val="single" w:sz="4" w:space="0" w:color="55BFAE"/>
          <w:bottom w:val="single" w:sz="4" w:space="0" w:color="55BFAE"/>
          <w:right w:val="single" w:sz="4" w:space="0" w:color="55BFAE"/>
          <w:insideH w:val="nil"/>
        </w:tcBorders>
        <w:shd w:val="clear" w:color="auto" w:fill="55BFAE"/>
      </w:tcPr>
    </w:tblStylePr>
    <w:tblStylePr w:type="lastRow">
      <w:rPr>
        <w:b/>
        <w:bCs/>
      </w:rPr>
      <w:tblPr/>
      <w:tcPr>
        <w:tcBorders>
          <w:top w:val="double" w:sz="4" w:space="0" w:color="98D8CE"/>
        </w:tcBorders>
      </w:tcPr>
    </w:tblStylePr>
    <w:tblStylePr w:type="firstCol">
      <w:rPr>
        <w:b/>
        <w:bCs/>
      </w:rPr>
    </w:tblStylePr>
    <w:tblStylePr w:type="lastCol">
      <w:rPr>
        <w:b/>
        <w:bCs/>
      </w:rPr>
    </w:tblStylePr>
    <w:tblStylePr w:type="band1Vert">
      <w:tblPr/>
      <w:tcPr>
        <w:shd w:val="clear" w:color="auto" w:fill="DCF2EE"/>
      </w:tcPr>
    </w:tblStylePr>
    <w:tblStylePr w:type="band1Horz">
      <w:tblPr/>
      <w:tcPr>
        <w:shd w:val="clear" w:color="auto" w:fill="DCF2EE"/>
      </w:tcPr>
    </w:tblStylePr>
  </w:style>
  <w:style w:type="table" w:customStyle="1" w:styleId="ListTable4Accent3">
    <w:name w:val="List Table 4 Accent 3"/>
    <w:basedOn w:val="TableNormal"/>
    <w:uiPriority w:val="49"/>
    <w:rsid w:val="0004751F"/>
    <w:pPr>
      <w:spacing w:after="0" w:line="240" w:lineRule="auto"/>
    </w:pPr>
    <w:tblPr>
      <w:tblStyleRowBandSize w:val="1"/>
      <w:tblStyleColBandSize w:val="1"/>
      <w:tblBorders>
        <w:top w:val="single" w:sz="4" w:space="0" w:color="C55753" w:themeColor="accent3" w:themeTint="99"/>
        <w:left w:val="single" w:sz="4" w:space="0" w:color="C55753" w:themeColor="accent3" w:themeTint="99"/>
        <w:bottom w:val="single" w:sz="4" w:space="0" w:color="C55753" w:themeColor="accent3" w:themeTint="99"/>
        <w:right w:val="single" w:sz="4" w:space="0" w:color="C55753" w:themeColor="accent3" w:themeTint="99"/>
        <w:insideH w:val="single" w:sz="4" w:space="0" w:color="C55753" w:themeColor="accent3" w:themeTint="99"/>
      </w:tblBorders>
    </w:tblPr>
    <w:tblStylePr w:type="firstRow">
      <w:rPr>
        <w:b/>
        <w:bCs/>
        <w:color w:val="FFFFFF" w:themeColor="background1"/>
      </w:rPr>
      <w:tblPr/>
      <w:tcPr>
        <w:tcBorders>
          <w:top w:val="single" w:sz="4" w:space="0" w:color="602320" w:themeColor="accent3"/>
          <w:left w:val="single" w:sz="4" w:space="0" w:color="602320" w:themeColor="accent3"/>
          <w:bottom w:val="single" w:sz="4" w:space="0" w:color="602320" w:themeColor="accent3"/>
          <w:right w:val="single" w:sz="4" w:space="0" w:color="602320" w:themeColor="accent3"/>
          <w:insideH w:val="nil"/>
        </w:tcBorders>
        <w:shd w:val="clear" w:color="auto" w:fill="602320" w:themeFill="accent3"/>
      </w:tcPr>
    </w:tblStylePr>
    <w:tblStylePr w:type="lastRow">
      <w:rPr>
        <w:b/>
        <w:bCs/>
      </w:rPr>
      <w:tblPr/>
      <w:tcPr>
        <w:tcBorders>
          <w:top w:val="double" w:sz="4" w:space="0" w:color="C55753" w:themeColor="accent3" w:themeTint="99"/>
        </w:tcBorders>
      </w:tcPr>
    </w:tblStylePr>
    <w:tblStylePr w:type="firstCol">
      <w:rPr>
        <w:b/>
        <w:bCs/>
      </w:rPr>
    </w:tblStylePr>
    <w:tblStylePr w:type="lastCol">
      <w:rPr>
        <w:b/>
        <w:bCs/>
      </w:rPr>
    </w:tblStylePr>
    <w:tblStylePr w:type="band1Vert">
      <w:tblPr/>
      <w:tcPr>
        <w:shd w:val="clear" w:color="auto" w:fill="EBC7C5" w:themeFill="accent3" w:themeFillTint="33"/>
      </w:tcPr>
    </w:tblStylePr>
    <w:tblStylePr w:type="band1Horz">
      <w:tblPr/>
      <w:tcPr>
        <w:shd w:val="clear" w:color="auto" w:fill="EBC7C5" w:themeFill="accent3" w:themeFillTint="33"/>
      </w:tcPr>
    </w:tblStylePr>
  </w:style>
  <w:style w:type="paragraph" w:styleId="TableofFigures">
    <w:name w:val="table of figures"/>
    <w:basedOn w:val="Normal"/>
    <w:next w:val="Normal"/>
    <w:uiPriority w:val="99"/>
    <w:unhideWhenUsed/>
    <w:rsid w:val="00F35819"/>
    <w:rPr>
      <w:rFonts w:ascii="Times New Roman" w:hAnsi="Times New Roman"/>
      <w:sz w:val="24"/>
      <w:lang w:val="en-GB"/>
    </w:rPr>
  </w:style>
  <w:style w:type="paragraph" w:customStyle="1" w:styleId="Lent">
    <w:name w:val="Lent."/>
    <w:basedOn w:val="Caption"/>
    <w:link w:val="LentChar"/>
    <w:uiPriority w:val="34"/>
    <w:qFormat/>
    <w:rsid w:val="00910E7F"/>
    <w:pPr>
      <w:jc w:val="left"/>
    </w:pPr>
  </w:style>
  <w:style w:type="paragraph" w:customStyle="1" w:styleId="Lentelestekstas">
    <w:name w:val="Lenteles_tekstas"/>
    <w:basedOn w:val="Normal"/>
    <w:link w:val="LentelestekstasChar"/>
    <w:uiPriority w:val="34"/>
    <w:qFormat/>
    <w:rsid w:val="00C744C8"/>
    <w:pPr>
      <w:spacing w:line="240" w:lineRule="auto"/>
    </w:pPr>
    <w:rPr>
      <w:sz w:val="20"/>
      <w:lang w:val="en-GB"/>
    </w:rPr>
  </w:style>
  <w:style w:type="character" w:customStyle="1" w:styleId="LentChar">
    <w:name w:val="Lent. Char"/>
    <w:basedOn w:val="CaptionChar"/>
    <w:link w:val="Lent"/>
    <w:uiPriority w:val="34"/>
    <w:rsid w:val="00910E7F"/>
    <w:rPr>
      <w:rFonts w:ascii="Cambria" w:eastAsia="Times New Roman" w:hAnsi="Cambria" w:cs="Times New Roman"/>
      <w:b/>
      <w:bCs/>
      <w:i/>
      <w:color w:val="808080" w:themeColor="background2" w:themeShade="80"/>
      <w:sz w:val="22"/>
      <w:lang w:val="lt-LT" w:eastAsia="lt-LT"/>
    </w:rPr>
  </w:style>
  <w:style w:type="character" w:customStyle="1" w:styleId="LentelestekstasChar">
    <w:name w:val="Lenteles_tekstas Char"/>
    <w:basedOn w:val="DefaultParagraphFont"/>
    <w:link w:val="Lentelestekstas"/>
    <w:uiPriority w:val="34"/>
    <w:rsid w:val="00C744C8"/>
    <w:rPr>
      <w:rFonts w:ascii="Cambria" w:eastAsia="Arial" w:hAnsi="Cambria" w:cs="Times New Roman"/>
      <w:color w:val="000000"/>
      <w:szCs w:val="21"/>
    </w:rPr>
  </w:style>
  <w:style w:type="table" w:customStyle="1" w:styleId="GridTable5Dark-Accent31">
    <w:name w:val="Grid Table 5 Dark - Accent 31"/>
    <w:basedOn w:val="TableNormal"/>
    <w:next w:val="GridTable5DarkAccent3"/>
    <w:uiPriority w:val="50"/>
    <w:rsid w:val="00C761DA"/>
    <w:pPr>
      <w:spacing w:after="0" w:line="240" w:lineRule="auto"/>
    </w:pPr>
    <w:rPr>
      <w:rFonts w:ascii="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CF2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5BF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5BF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5BF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5BFAE"/>
      </w:tcPr>
    </w:tblStylePr>
    <w:tblStylePr w:type="band1Vert">
      <w:tblPr/>
      <w:tcPr>
        <w:shd w:val="clear" w:color="auto" w:fill="BAE5DE"/>
      </w:tcPr>
    </w:tblStylePr>
    <w:tblStylePr w:type="band1Horz">
      <w:tblPr/>
      <w:tcPr>
        <w:shd w:val="clear" w:color="auto" w:fill="BAE5DE"/>
      </w:tcPr>
    </w:tblStylePr>
  </w:style>
  <w:style w:type="table" w:customStyle="1" w:styleId="GridTable5DarkAccent3">
    <w:name w:val="Grid Table 5 Dark Accent 3"/>
    <w:basedOn w:val="TableNormal"/>
    <w:uiPriority w:val="50"/>
    <w:rsid w:val="00C76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7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23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23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23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2320" w:themeFill="accent3"/>
      </w:tcPr>
    </w:tblStylePr>
    <w:tblStylePr w:type="band1Vert">
      <w:tblPr/>
      <w:tcPr>
        <w:shd w:val="clear" w:color="auto" w:fill="D88F8C" w:themeFill="accent3" w:themeFillTint="66"/>
      </w:tcPr>
    </w:tblStylePr>
    <w:tblStylePr w:type="band1Horz">
      <w:tblPr/>
      <w:tcPr>
        <w:shd w:val="clear" w:color="auto" w:fill="D88F8C" w:themeFill="accent3" w:themeFillTint="66"/>
      </w:tcPr>
    </w:tblStylePr>
  </w:style>
  <w:style w:type="paragraph" w:customStyle="1" w:styleId="TESlentelspavadinimas">
    <w:name w:val="TES_lentelės pavadinimas"/>
    <w:basedOn w:val="Normal"/>
    <w:link w:val="TESlentelspavadinimasChar"/>
    <w:autoRedefine/>
    <w:uiPriority w:val="99"/>
    <w:qFormat/>
    <w:rsid w:val="00631BA6"/>
    <w:pPr>
      <w:spacing w:line="240" w:lineRule="auto"/>
    </w:pPr>
    <w:rPr>
      <w:rFonts w:ascii="Times New Roman" w:eastAsiaTheme="minorHAnsi" w:hAnsi="Times New Roman"/>
      <w:bCs/>
      <w:i/>
      <w:noProof/>
      <w:color w:val="000000" w:themeColor="text1"/>
      <w:sz w:val="20"/>
      <w:szCs w:val="20"/>
    </w:rPr>
  </w:style>
  <w:style w:type="character" w:customStyle="1" w:styleId="TESlentelspavadinimasChar">
    <w:name w:val="TES_lentelės pavadinimas Char"/>
    <w:basedOn w:val="DefaultParagraphFont"/>
    <w:link w:val="TESlentelspavadinimas"/>
    <w:uiPriority w:val="99"/>
    <w:rsid w:val="00631BA6"/>
    <w:rPr>
      <w:rFonts w:ascii="Times New Roman" w:hAnsi="Times New Roman" w:cs="Times New Roman"/>
      <w:bCs/>
      <w:i/>
      <w:noProof/>
      <w:color w:val="000000" w:themeColor="text1"/>
      <w:lang w:val="lt-LT"/>
    </w:rPr>
  </w:style>
  <w:style w:type="paragraph" w:customStyle="1" w:styleId="TESPaaikinimai">
    <w:name w:val="TES_Paaiškinimai"/>
    <w:basedOn w:val="Normal"/>
    <w:autoRedefine/>
    <w:uiPriority w:val="99"/>
    <w:qFormat/>
    <w:rsid w:val="00AD6DA0"/>
    <w:pPr>
      <w:spacing w:before="60" w:line="240" w:lineRule="auto"/>
    </w:pPr>
    <w:rPr>
      <w:rFonts w:ascii="Times New Roman" w:eastAsia="Calibri" w:hAnsi="Times New Roman"/>
      <w:i/>
      <w:color w:val="6B7487"/>
      <w:kern w:val="36"/>
      <w:sz w:val="20"/>
      <w:szCs w:val="20"/>
    </w:rPr>
  </w:style>
  <w:style w:type="character" w:styleId="FollowedHyperlink">
    <w:name w:val="FollowedHyperlink"/>
    <w:basedOn w:val="DefaultParagraphFont"/>
    <w:uiPriority w:val="99"/>
    <w:semiHidden/>
    <w:unhideWhenUsed/>
    <w:rsid w:val="0009004D"/>
    <w:rPr>
      <w:color w:val="DC6900" w:themeColor="followedHyperlink"/>
      <w:u w:val="single"/>
    </w:rPr>
  </w:style>
  <w:style w:type="paragraph" w:customStyle="1" w:styleId="Nenumeruojamosantrastes">
    <w:name w:val="• Nenumeruojamos antrastes"/>
    <w:next w:val="Normal"/>
    <w:link w:val="NenumeruojamosantrastesChar"/>
    <w:qFormat/>
    <w:rsid w:val="00526623"/>
    <w:pPr>
      <w:pageBreakBefore/>
      <w:widowControl w:val="0"/>
      <w:pBdr>
        <w:bottom w:val="single" w:sz="8" w:space="1" w:color="4181B6"/>
      </w:pBdr>
      <w:spacing w:before="120" w:line="240" w:lineRule="auto"/>
    </w:pPr>
    <w:rPr>
      <w:rFonts w:asciiTheme="majorHAnsi" w:eastAsia="Times New Roman" w:hAnsiTheme="majorHAnsi" w:cs="Times New Roman"/>
      <w:b/>
      <w:bCs/>
      <w:caps/>
      <w:color w:val="4181B6"/>
      <w:kern w:val="32"/>
      <w:sz w:val="28"/>
      <w:szCs w:val="32"/>
      <w:lang w:val="lt-LT" w:eastAsia="lt-LT"/>
    </w:rPr>
  </w:style>
  <w:style w:type="character" w:customStyle="1" w:styleId="NenumeruojamosantrastesChar">
    <w:name w:val="• Nenumeruojamos antrastes Char"/>
    <w:basedOn w:val="DefaultParagraphFont"/>
    <w:link w:val="Nenumeruojamosantrastes"/>
    <w:rsid w:val="00526623"/>
    <w:rPr>
      <w:rFonts w:asciiTheme="majorHAnsi" w:eastAsia="Times New Roman" w:hAnsiTheme="majorHAnsi" w:cs="Times New Roman"/>
      <w:b/>
      <w:bCs/>
      <w:caps/>
      <w:color w:val="4181B6"/>
      <w:kern w:val="32"/>
      <w:sz w:val="28"/>
      <w:szCs w:val="32"/>
      <w:lang w:val="lt-LT" w:eastAsia="lt-LT"/>
    </w:rPr>
  </w:style>
  <w:style w:type="paragraph" w:customStyle="1" w:styleId="Pagrindinispaprastastekstas">
    <w:name w:val="• Pagrindinis paprastas tekstas"/>
    <w:basedOn w:val="Normal"/>
    <w:link w:val="PagrindinispaprastastekstasChar"/>
    <w:qFormat/>
    <w:rsid w:val="00785090"/>
    <w:pPr>
      <w:spacing w:line="240" w:lineRule="auto"/>
      <w:jc w:val="both"/>
    </w:pPr>
    <w:rPr>
      <w:rFonts w:asciiTheme="majorHAnsi" w:eastAsia="Times New Roman" w:hAnsiTheme="majorHAnsi"/>
      <w:color w:val="auto"/>
      <w:szCs w:val="24"/>
    </w:rPr>
  </w:style>
  <w:style w:type="character" w:customStyle="1" w:styleId="PagrindinispaprastastekstasChar">
    <w:name w:val="• Pagrindinis paprastas tekstas Char"/>
    <w:link w:val="Pagrindinispaprastastekstas"/>
    <w:rsid w:val="00785090"/>
    <w:rPr>
      <w:rFonts w:asciiTheme="majorHAnsi" w:eastAsia="Times New Roman" w:hAnsiTheme="majorHAnsi" w:cs="Times New Roman"/>
      <w:sz w:val="22"/>
      <w:szCs w:val="24"/>
      <w:lang w:val="lt-LT"/>
    </w:rPr>
  </w:style>
  <w:style w:type="paragraph" w:customStyle="1" w:styleId="Antrastes2">
    <w:name w:val="• Antrastes_2"/>
    <w:basedOn w:val="Normal"/>
    <w:next w:val="Pagrindinispaprastastekstas"/>
    <w:link w:val="Antrastes2Char"/>
    <w:qFormat/>
    <w:rsid w:val="00486902"/>
    <w:pPr>
      <w:widowControl w:val="0"/>
      <w:pBdr>
        <w:bottom w:val="single" w:sz="8" w:space="1" w:color="4181B6"/>
      </w:pBdr>
      <w:spacing w:before="360" w:after="240" w:line="240" w:lineRule="auto"/>
      <w:ind w:left="576" w:hanging="576"/>
      <w:outlineLvl w:val="1"/>
    </w:pPr>
    <w:rPr>
      <w:rFonts w:eastAsia="Times New Roman"/>
      <w:b/>
      <w:bCs/>
      <w:caps/>
      <w:color w:val="4181B6"/>
      <w:kern w:val="32"/>
      <w:sz w:val="28"/>
      <w:szCs w:val="32"/>
      <w:lang w:val="en-US"/>
    </w:rPr>
  </w:style>
  <w:style w:type="character" w:customStyle="1" w:styleId="Antrastes2Char">
    <w:name w:val="• Antrastes_2 Char"/>
    <w:basedOn w:val="Heading2Char"/>
    <w:link w:val="Antrastes2"/>
    <w:rsid w:val="00486902"/>
    <w:rPr>
      <w:rFonts w:ascii="Cambria" w:eastAsia="Times New Roman" w:hAnsi="Cambria" w:cs="Times New Roman"/>
      <w:b/>
      <w:bCs/>
      <w:i w:val="0"/>
      <w:caps/>
      <w:color w:val="4181B6"/>
      <w:kern w:val="32"/>
      <w:sz w:val="28"/>
      <w:szCs w:val="32"/>
      <w:lang w:val="en-US"/>
    </w:rPr>
  </w:style>
  <w:style w:type="paragraph" w:customStyle="1" w:styleId="Antrastes31">
    <w:name w:val="• Antrastes_31"/>
    <w:basedOn w:val="Antrastes2"/>
    <w:next w:val="Pagrindinispaprastastekstas"/>
    <w:qFormat/>
    <w:rsid w:val="001E341C"/>
    <w:pPr>
      <w:numPr>
        <w:ilvl w:val="2"/>
        <w:numId w:val="5"/>
      </w:numPr>
      <w:pBdr>
        <w:bottom w:val="none" w:sz="0" w:space="0" w:color="auto"/>
      </w:pBdr>
      <w:jc w:val="both"/>
      <w:outlineLvl w:val="2"/>
    </w:pPr>
    <w:rPr>
      <w:caps w:val="0"/>
    </w:rPr>
  </w:style>
  <w:style w:type="paragraph" w:customStyle="1" w:styleId="msonormal0">
    <w:name w:val="msonormal"/>
    <w:basedOn w:val="Normal"/>
    <w:rsid w:val="0034168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xl65">
    <w:name w:val="xl65"/>
    <w:basedOn w:val="Normal"/>
    <w:rsid w:val="0034168D"/>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6">
    <w:name w:val="xl66"/>
    <w:basedOn w:val="Normal"/>
    <w:rsid w:val="0034168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7">
    <w:name w:val="xl67"/>
    <w:basedOn w:val="Normal"/>
    <w:rsid w:val="0034168D"/>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8">
    <w:name w:val="xl68"/>
    <w:basedOn w:val="Normal"/>
    <w:rsid w:val="0034168D"/>
    <w:pP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69">
    <w:name w:val="xl6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0">
    <w:name w:val="xl70"/>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1">
    <w:name w:val="xl71"/>
    <w:basedOn w:val="Normal"/>
    <w:rsid w:val="0034168D"/>
    <w:pPr>
      <w:pBdr>
        <w:top w:val="single" w:sz="8"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2">
    <w:name w:val="xl72"/>
    <w:basedOn w:val="Normal"/>
    <w:rsid w:val="0034168D"/>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3">
    <w:name w:val="xl73"/>
    <w:basedOn w:val="Normal"/>
    <w:rsid w:val="0034168D"/>
    <w:pPr>
      <w:pBdr>
        <w:top w:val="single" w:sz="4"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4">
    <w:name w:val="xl74"/>
    <w:basedOn w:val="Normal"/>
    <w:rsid w:val="0034168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5">
    <w:name w:val="xl75"/>
    <w:basedOn w:val="Normal"/>
    <w:rsid w:val="0034168D"/>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6">
    <w:name w:val="xl7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7">
    <w:name w:val="xl77"/>
    <w:basedOn w:val="Normal"/>
    <w:rsid w:val="00341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8">
    <w:name w:val="xl78"/>
    <w:basedOn w:val="Normal"/>
    <w:rsid w:val="0034168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2">
    <w:name w:val="xl82"/>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3">
    <w:name w:val="xl83"/>
    <w:basedOn w:val="Normal"/>
    <w:rsid w:val="0034168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4">
    <w:name w:val="xl8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5">
    <w:name w:val="xl8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7">
    <w:name w:val="xl87"/>
    <w:basedOn w:val="Normal"/>
    <w:rsid w:val="0034168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8">
    <w:name w:val="xl88"/>
    <w:basedOn w:val="Normal"/>
    <w:rsid w:val="003416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9">
    <w:name w:val="xl89"/>
    <w:basedOn w:val="Normal"/>
    <w:rsid w:val="0034168D"/>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0">
    <w:name w:val="xl90"/>
    <w:basedOn w:val="Normal"/>
    <w:rsid w:val="0034168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1">
    <w:name w:val="xl91"/>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2">
    <w:name w:val="xl92"/>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3">
    <w:name w:val="xl93"/>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4">
    <w:name w:val="xl9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5">
    <w:name w:val="xl9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6">
    <w:name w:val="xl9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character" w:customStyle="1" w:styleId="UnresolvedMention2">
    <w:name w:val="Unresolved Mention2"/>
    <w:basedOn w:val="DefaultParagraphFont"/>
    <w:uiPriority w:val="99"/>
    <w:semiHidden/>
    <w:unhideWhenUsed/>
    <w:rsid w:val="00D430AF"/>
    <w:rPr>
      <w:color w:val="605E5C"/>
      <w:shd w:val="clear" w:color="auto" w:fill="E1DFDD"/>
    </w:rPr>
  </w:style>
  <w:style w:type="paragraph" w:styleId="Revision">
    <w:name w:val="Revision"/>
    <w:hidden/>
    <w:uiPriority w:val="99"/>
    <w:semiHidden/>
    <w:rsid w:val="00D1388A"/>
    <w:pPr>
      <w:spacing w:after="0" w:line="240" w:lineRule="auto"/>
    </w:pPr>
    <w:rPr>
      <w:rFonts w:ascii="Cambria" w:eastAsia="Arial" w:hAnsi="Cambria" w:cs="Times New Roman"/>
      <w:color w:val="000000"/>
      <w:sz w:val="22"/>
      <w:szCs w:val="21"/>
    </w:rPr>
  </w:style>
  <w:style w:type="paragraph" w:customStyle="1" w:styleId="PART1Skyrelis">
    <w:name w:val="PART 1 Skyrelis"/>
    <w:basedOn w:val="Heading4"/>
    <w:link w:val="PART1SkyrelisChar"/>
    <w:rsid w:val="008D0AC7"/>
    <w:pPr>
      <w:spacing w:before="360" w:after="360"/>
      <w:outlineLvl w:val="9"/>
    </w:pPr>
    <w:rPr>
      <w:b/>
      <w:i w:val="0"/>
      <w:iCs w:val="0"/>
      <w:color w:val="auto"/>
      <w:kern w:val="36"/>
      <w:sz w:val="28"/>
      <w:szCs w:val="24"/>
      <w:u w:val="single" w:color="EA0D00"/>
      <w:lang w:val="lt-LT"/>
    </w:rPr>
  </w:style>
  <w:style w:type="character" w:customStyle="1" w:styleId="PART1SkyrelisChar">
    <w:name w:val="PART 1 Skyrelis Char"/>
    <w:basedOn w:val="DefaultParagraphFont"/>
    <w:link w:val="PART1Skyrelis"/>
    <w:rsid w:val="008D0AC7"/>
    <w:rPr>
      <w:rFonts w:asciiTheme="majorHAnsi" w:eastAsiaTheme="majorEastAsia" w:hAnsiTheme="majorHAnsi" w:cstheme="majorBidi"/>
      <w:b/>
      <w:bCs/>
      <w:kern w:val="36"/>
      <w:sz w:val="28"/>
      <w:szCs w:val="24"/>
      <w:u w:val="single" w:color="EA0D00"/>
      <w:lang w:val="lt-LT"/>
    </w:rPr>
  </w:style>
  <w:style w:type="paragraph" w:styleId="TOC4">
    <w:name w:val="toc 4"/>
    <w:basedOn w:val="Normal"/>
    <w:next w:val="Normal"/>
    <w:autoRedefine/>
    <w:uiPriority w:val="39"/>
    <w:unhideWhenUsed/>
    <w:rsid w:val="00D83D47"/>
    <w:pPr>
      <w:spacing w:after="100" w:line="259" w:lineRule="auto"/>
      <w:ind w:left="660"/>
    </w:pPr>
    <w:rPr>
      <w:rFonts w:asciiTheme="minorHAnsi" w:eastAsiaTheme="minorEastAsia" w:hAnsiTheme="minorHAnsi" w:cstheme="minorBidi"/>
      <w:color w:val="auto"/>
      <w:szCs w:val="22"/>
      <w:lang w:val="en-US"/>
    </w:rPr>
  </w:style>
  <w:style w:type="paragraph" w:styleId="TOC5">
    <w:name w:val="toc 5"/>
    <w:basedOn w:val="Normal"/>
    <w:next w:val="Normal"/>
    <w:autoRedefine/>
    <w:uiPriority w:val="39"/>
    <w:unhideWhenUsed/>
    <w:rsid w:val="00D83D47"/>
    <w:pPr>
      <w:spacing w:after="100" w:line="259" w:lineRule="auto"/>
      <w:ind w:left="880"/>
    </w:pPr>
    <w:rPr>
      <w:rFonts w:asciiTheme="minorHAnsi" w:eastAsiaTheme="minorEastAsia" w:hAnsiTheme="minorHAnsi" w:cstheme="minorBidi"/>
      <w:color w:val="auto"/>
      <w:szCs w:val="22"/>
      <w:lang w:val="en-US"/>
    </w:rPr>
  </w:style>
  <w:style w:type="paragraph" w:styleId="TOC6">
    <w:name w:val="toc 6"/>
    <w:basedOn w:val="Normal"/>
    <w:next w:val="Normal"/>
    <w:autoRedefine/>
    <w:uiPriority w:val="39"/>
    <w:unhideWhenUsed/>
    <w:rsid w:val="00D83D47"/>
    <w:pPr>
      <w:spacing w:after="100" w:line="259" w:lineRule="auto"/>
      <w:ind w:left="1100"/>
    </w:pPr>
    <w:rPr>
      <w:rFonts w:asciiTheme="minorHAnsi" w:eastAsiaTheme="minorEastAsia" w:hAnsiTheme="minorHAnsi" w:cstheme="minorBidi"/>
      <w:color w:val="auto"/>
      <w:szCs w:val="22"/>
      <w:lang w:val="en-US"/>
    </w:rPr>
  </w:style>
  <w:style w:type="paragraph" w:styleId="TOC7">
    <w:name w:val="toc 7"/>
    <w:basedOn w:val="Normal"/>
    <w:next w:val="Normal"/>
    <w:autoRedefine/>
    <w:uiPriority w:val="39"/>
    <w:unhideWhenUsed/>
    <w:rsid w:val="00D83D47"/>
    <w:pPr>
      <w:spacing w:after="100" w:line="259" w:lineRule="auto"/>
      <w:ind w:left="1320"/>
    </w:pPr>
    <w:rPr>
      <w:rFonts w:asciiTheme="minorHAnsi" w:eastAsiaTheme="minorEastAsia" w:hAnsiTheme="minorHAnsi" w:cstheme="minorBidi"/>
      <w:color w:val="auto"/>
      <w:szCs w:val="22"/>
      <w:lang w:val="en-US"/>
    </w:rPr>
  </w:style>
  <w:style w:type="paragraph" w:styleId="TOC8">
    <w:name w:val="toc 8"/>
    <w:basedOn w:val="Normal"/>
    <w:next w:val="Normal"/>
    <w:autoRedefine/>
    <w:uiPriority w:val="39"/>
    <w:unhideWhenUsed/>
    <w:rsid w:val="00D83D47"/>
    <w:pPr>
      <w:spacing w:after="100" w:line="259" w:lineRule="auto"/>
      <w:ind w:left="1540"/>
    </w:pPr>
    <w:rPr>
      <w:rFonts w:asciiTheme="minorHAnsi" w:eastAsiaTheme="minorEastAsia" w:hAnsiTheme="minorHAnsi" w:cstheme="minorBidi"/>
      <w:color w:val="auto"/>
      <w:szCs w:val="22"/>
      <w:lang w:val="en-US"/>
    </w:rPr>
  </w:style>
  <w:style w:type="paragraph" w:styleId="TOC9">
    <w:name w:val="toc 9"/>
    <w:basedOn w:val="Normal"/>
    <w:next w:val="Normal"/>
    <w:autoRedefine/>
    <w:uiPriority w:val="39"/>
    <w:unhideWhenUsed/>
    <w:rsid w:val="00D83D47"/>
    <w:pPr>
      <w:spacing w:after="100" w:line="259" w:lineRule="auto"/>
      <w:ind w:left="1760"/>
    </w:pPr>
    <w:rPr>
      <w:rFonts w:asciiTheme="minorHAnsi" w:eastAsiaTheme="minorEastAsia" w:hAnsiTheme="minorHAnsi" w:cstheme="minorBidi"/>
      <w:color w:val="auto"/>
      <w:szCs w:val="22"/>
      <w:lang w:val="en-US"/>
    </w:rPr>
  </w:style>
  <w:style w:type="character" w:customStyle="1" w:styleId="UnresolvedMention3">
    <w:name w:val="Unresolved Mention3"/>
    <w:basedOn w:val="DefaultParagraphFont"/>
    <w:uiPriority w:val="99"/>
    <w:semiHidden/>
    <w:unhideWhenUsed/>
    <w:rsid w:val="00D83D47"/>
    <w:rPr>
      <w:color w:val="605E5C"/>
      <w:shd w:val="clear" w:color="auto" w:fill="E1DFDD"/>
    </w:rPr>
  </w:style>
  <w:style w:type="paragraph" w:customStyle="1" w:styleId="m1028870689664953594msolistparagraph">
    <w:name w:val="m_1028870689664953594msolistparagraph"/>
    <w:basedOn w:val="Normal"/>
    <w:rsid w:val="0023674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m8056748291939642756msolistparagraph">
    <w:name w:val="m_8056748291939642756msolistparagraph"/>
    <w:basedOn w:val="Normal"/>
    <w:rsid w:val="003C6AFB"/>
    <w:pPr>
      <w:spacing w:before="100" w:beforeAutospacing="1" w:after="100" w:afterAutospacing="1" w:line="240" w:lineRule="auto"/>
    </w:pPr>
    <w:rPr>
      <w:rFonts w:ascii="Times New Roman" w:eastAsia="Times New Roman" w:hAnsi="Times New Roman"/>
      <w:color w:val="auto"/>
      <w:sz w:val="24"/>
      <w:szCs w:val="24"/>
      <w:lang w:val="en-US"/>
    </w:rPr>
  </w:style>
  <w:style w:type="character" w:customStyle="1" w:styleId="UnresolvedMention4">
    <w:name w:val="Unresolved Mention4"/>
    <w:basedOn w:val="DefaultParagraphFont"/>
    <w:uiPriority w:val="99"/>
    <w:semiHidden/>
    <w:unhideWhenUsed/>
    <w:rsid w:val="00F657C8"/>
    <w:rPr>
      <w:color w:val="605E5C"/>
      <w:shd w:val="clear" w:color="auto" w:fill="E1DFDD"/>
    </w:rPr>
  </w:style>
  <w:style w:type="character" w:customStyle="1" w:styleId="UnresolvedMention5">
    <w:name w:val="Unresolved Mention5"/>
    <w:basedOn w:val="DefaultParagraphFont"/>
    <w:uiPriority w:val="99"/>
    <w:semiHidden/>
    <w:unhideWhenUsed/>
    <w:rsid w:val="007C25DD"/>
    <w:rPr>
      <w:color w:val="605E5C"/>
      <w:shd w:val="clear" w:color="auto" w:fill="E1DFDD"/>
    </w:rPr>
  </w:style>
  <w:style w:type="character" w:customStyle="1" w:styleId="UnresolvedMention6">
    <w:name w:val="Unresolved Mention6"/>
    <w:basedOn w:val="DefaultParagraphFont"/>
    <w:uiPriority w:val="99"/>
    <w:semiHidden/>
    <w:unhideWhenUsed/>
    <w:rsid w:val="003E53FA"/>
    <w:rPr>
      <w:color w:val="605E5C"/>
      <w:shd w:val="clear" w:color="auto" w:fill="E1DFDD"/>
    </w:rPr>
  </w:style>
  <w:style w:type="character" w:customStyle="1" w:styleId="UnresolvedMention7">
    <w:name w:val="Unresolved Mention7"/>
    <w:basedOn w:val="DefaultParagraphFont"/>
    <w:uiPriority w:val="99"/>
    <w:semiHidden/>
    <w:unhideWhenUsed/>
    <w:rsid w:val="00B724E5"/>
    <w:rPr>
      <w:color w:val="605E5C"/>
      <w:shd w:val="clear" w:color="auto" w:fill="E1DFDD"/>
    </w:rPr>
  </w:style>
  <w:style w:type="paragraph" w:customStyle="1" w:styleId="eca-sr-box-title">
    <w:name w:val="eca-sr-box-title"/>
    <w:basedOn w:val="Normal"/>
    <w:rsid w:val="008168BE"/>
    <w:pPr>
      <w:spacing w:before="100" w:beforeAutospacing="1" w:after="100" w:afterAutospacing="1" w:line="240" w:lineRule="auto"/>
    </w:pPr>
    <w:rPr>
      <w:rFonts w:ascii="Times New Roman" w:eastAsia="Times New Roman" w:hAnsi="Times New Roman"/>
      <w:color w:val="auto"/>
      <w:sz w:val="24"/>
      <w:szCs w:val="24"/>
      <w:lang w:eastAsia="lt-LT"/>
    </w:rPr>
  </w:style>
  <w:style w:type="character" w:customStyle="1" w:styleId="UnresolvedMention8">
    <w:name w:val="Unresolved Mention8"/>
    <w:basedOn w:val="DefaultParagraphFont"/>
    <w:uiPriority w:val="99"/>
    <w:semiHidden/>
    <w:unhideWhenUsed/>
    <w:rsid w:val="006B5DCC"/>
    <w:rPr>
      <w:color w:val="605E5C"/>
      <w:shd w:val="clear" w:color="auto" w:fill="E1DFDD"/>
    </w:rPr>
  </w:style>
  <w:style w:type="paragraph" w:customStyle="1" w:styleId="CM1">
    <w:name w:val="CM1"/>
    <w:basedOn w:val="Default"/>
    <w:next w:val="Default"/>
    <w:uiPriority w:val="99"/>
    <w:rsid w:val="00FC5D62"/>
    <w:rPr>
      <w:rFonts w:ascii="EUAlbertina" w:hAnsi="EUAlbertina" w:cstheme="minorBidi"/>
      <w:color w:val="auto"/>
      <w:lang w:val="lt-LT"/>
    </w:rPr>
  </w:style>
  <w:style w:type="paragraph" w:customStyle="1" w:styleId="CM3">
    <w:name w:val="CM3"/>
    <w:basedOn w:val="Default"/>
    <w:next w:val="Default"/>
    <w:uiPriority w:val="99"/>
    <w:rsid w:val="00FC5D62"/>
    <w:rPr>
      <w:rFonts w:ascii="EUAlbertina" w:hAnsi="EUAlbertina" w:cstheme="minorBidi"/>
      <w:color w:val="auto"/>
      <w:lang w:val="lt-LT"/>
    </w:rPr>
  </w:style>
  <w:style w:type="character" w:customStyle="1" w:styleId="UnresolvedMention9">
    <w:name w:val="Unresolved Mention9"/>
    <w:basedOn w:val="DefaultParagraphFont"/>
    <w:uiPriority w:val="99"/>
    <w:semiHidden/>
    <w:unhideWhenUsed/>
    <w:rsid w:val="00307BAC"/>
    <w:rPr>
      <w:color w:val="605E5C"/>
      <w:shd w:val="clear" w:color="auto" w:fill="E1DFDD"/>
    </w:rPr>
  </w:style>
  <w:style w:type="character" w:customStyle="1" w:styleId="UnresolvedMention10">
    <w:name w:val="Unresolved Mention10"/>
    <w:basedOn w:val="DefaultParagraphFont"/>
    <w:uiPriority w:val="99"/>
    <w:semiHidden/>
    <w:unhideWhenUsed/>
    <w:rsid w:val="00563EC0"/>
    <w:rPr>
      <w:color w:val="605E5C"/>
      <w:shd w:val="clear" w:color="auto" w:fill="E1DFDD"/>
    </w:rPr>
  </w:style>
  <w:style w:type="character" w:customStyle="1" w:styleId="UnresolvedMention11">
    <w:name w:val="Unresolved Mention11"/>
    <w:basedOn w:val="DefaultParagraphFont"/>
    <w:uiPriority w:val="99"/>
    <w:semiHidden/>
    <w:unhideWhenUsed/>
    <w:rsid w:val="008E1F13"/>
    <w:rPr>
      <w:color w:val="605E5C"/>
      <w:shd w:val="clear" w:color="auto" w:fill="E1DFDD"/>
    </w:rPr>
  </w:style>
  <w:style w:type="character" w:customStyle="1" w:styleId="UnresolvedMention12">
    <w:name w:val="Unresolved Mention12"/>
    <w:basedOn w:val="DefaultParagraphFont"/>
    <w:uiPriority w:val="99"/>
    <w:semiHidden/>
    <w:unhideWhenUsed/>
    <w:rsid w:val="00A71B95"/>
    <w:rPr>
      <w:color w:val="605E5C"/>
      <w:shd w:val="clear" w:color="auto" w:fill="E1DFDD"/>
    </w:rPr>
  </w:style>
  <w:style w:type="character" w:styleId="PlaceholderText">
    <w:name w:val="Placeholder Text"/>
    <w:basedOn w:val="DefaultParagraphFont"/>
    <w:uiPriority w:val="99"/>
    <w:semiHidden/>
    <w:rsid w:val="00812095"/>
    <w:rPr>
      <w:color w:val="808080"/>
    </w:rPr>
  </w:style>
  <w:style w:type="character" w:customStyle="1" w:styleId="UnresolvedMention13">
    <w:name w:val="Unresolved Mention13"/>
    <w:basedOn w:val="DefaultParagraphFont"/>
    <w:uiPriority w:val="99"/>
    <w:semiHidden/>
    <w:unhideWhenUsed/>
    <w:rsid w:val="00D5468F"/>
    <w:rPr>
      <w:color w:val="605E5C"/>
      <w:shd w:val="clear" w:color="auto" w:fill="E1DFDD"/>
    </w:rPr>
  </w:style>
  <w:style w:type="character" w:customStyle="1" w:styleId="UnresolvedMention14">
    <w:name w:val="Unresolved Mention14"/>
    <w:basedOn w:val="DefaultParagraphFont"/>
    <w:uiPriority w:val="99"/>
    <w:semiHidden/>
    <w:unhideWhenUsed/>
    <w:rsid w:val="006319A3"/>
    <w:rPr>
      <w:color w:val="605E5C"/>
      <w:shd w:val="clear" w:color="auto" w:fill="E1DFDD"/>
    </w:rPr>
  </w:style>
  <w:style w:type="character" w:customStyle="1" w:styleId="UnresolvedMention15">
    <w:name w:val="Unresolved Mention15"/>
    <w:basedOn w:val="DefaultParagraphFont"/>
    <w:uiPriority w:val="99"/>
    <w:semiHidden/>
    <w:unhideWhenUsed/>
    <w:rsid w:val="00D55701"/>
    <w:rPr>
      <w:color w:val="605E5C"/>
      <w:shd w:val="clear" w:color="auto" w:fill="E1DFDD"/>
    </w:rPr>
  </w:style>
  <w:style w:type="character" w:customStyle="1" w:styleId="UnresolvedMention16">
    <w:name w:val="Unresolved Mention16"/>
    <w:basedOn w:val="DefaultParagraphFont"/>
    <w:uiPriority w:val="99"/>
    <w:semiHidden/>
    <w:unhideWhenUsed/>
    <w:rsid w:val="00D80FB0"/>
    <w:rPr>
      <w:color w:val="605E5C"/>
      <w:shd w:val="clear" w:color="auto" w:fill="E1DFDD"/>
    </w:rPr>
  </w:style>
  <w:style w:type="character" w:customStyle="1" w:styleId="UnresolvedMention17">
    <w:name w:val="Unresolved Mention17"/>
    <w:basedOn w:val="DefaultParagraphFont"/>
    <w:uiPriority w:val="99"/>
    <w:semiHidden/>
    <w:unhideWhenUsed/>
    <w:rsid w:val="00BA7AEE"/>
    <w:rPr>
      <w:color w:val="605E5C"/>
      <w:shd w:val="clear" w:color="auto" w:fill="E1DFDD"/>
    </w:rPr>
  </w:style>
  <w:style w:type="character" w:customStyle="1" w:styleId="UnresolvedMention18">
    <w:name w:val="Unresolved Mention18"/>
    <w:basedOn w:val="DefaultParagraphFont"/>
    <w:uiPriority w:val="99"/>
    <w:semiHidden/>
    <w:unhideWhenUsed/>
    <w:rsid w:val="00470BF7"/>
    <w:rPr>
      <w:color w:val="605E5C"/>
      <w:shd w:val="clear" w:color="auto" w:fill="E1DFDD"/>
    </w:rPr>
  </w:style>
  <w:style w:type="character" w:customStyle="1" w:styleId="UnresolvedMention">
    <w:name w:val="Unresolved Mention"/>
    <w:basedOn w:val="DefaultParagraphFont"/>
    <w:uiPriority w:val="99"/>
    <w:semiHidden/>
    <w:unhideWhenUsed/>
    <w:rsid w:val="00C36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241">
      <w:bodyDiv w:val="1"/>
      <w:marLeft w:val="0"/>
      <w:marRight w:val="0"/>
      <w:marTop w:val="0"/>
      <w:marBottom w:val="0"/>
      <w:divBdr>
        <w:top w:val="none" w:sz="0" w:space="0" w:color="auto"/>
        <w:left w:val="none" w:sz="0" w:space="0" w:color="auto"/>
        <w:bottom w:val="none" w:sz="0" w:space="0" w:color="auto"/>
        <w:right w:val="none" w:sz="0" w:space="0" w:color="auto"/>
      </w:divBdr>
    </w:div>
    <w:div w:id="9378693">
      <w:bodyDiv w:val="1"/>
      <w:marLeft w:val="0"/>
      <w:marRight w:val="0"/>
      <w:marTop w:val="0"/>
      <w:marBottom w:val="0"/>
      <w:divBdr>
        <w:top w:val="none" w:sz="0" w:space="0" w:color="auto"/>
        <w:left w:val="none" w:sz="0" w:space="0" w:color="auto"/>
        <w:bottom w:val="none" w:sz="0" w:space="0" w:color="auto"/>
        <w:right w:val="none" w:sz="0" w:space="0" w:color="auto"/>
      </w:divBdr>
    </w:div>
    <w:div w:id="15812273">
      <w:bodyDiv w:val="1"/>
      <w:marLeft w:val="0"/>
      <w:marRight w:val="0"/>
      <w:marTop w:val="0"/>
      <w:marBottom w:val="0"/>
      <w:divBdr>
        <w:top w:val="none" w:sz="0" w:space="0" w:color="auto"/>
        <w:left w:val="none" w:sz="0" w:space="0" w:color="auto"/>
        <w:bottom w:val="none" w:sz="0" w:space="0" w:color="auto"/>
        <w:right w:val="none" w:sz="0" w:space="0" w:color="auto"/>
      </w:divBdr>
    </w:div>
    <w:div w:id="30346785">
      <w:bodyDiv w:val="1"/>
      <w:marLeft w:val="0"/>
      <w:marRight w:val="0"/>
      <w:marTop w:val="0"/>
      <w:marBottom w:val="0"/>
      <w:divBdr>
        <w:top w:val="none" w:sz="0" w:space="0" w:color="auto"/>
        <w:left w:val="none" w:sz="0" w:space="0" w:color="auto"/>
        <w:bottom w:val="none" w:sz="0" w:space="0" w:color="auto"/>
        <w:right w:val="none" w:sz="0" w:space="0" w:color="auto"/>
      </w:divBdr>
    </w:div>
    <w:div w:id="49813071">
      <w:bodyDiv w:val="1"/>
      <w:marLeft w:val="0"/>
      <w:marRight w:val="0"/>
      <w:marTop w:val="0"/>
      <w:marBottom w:val="0"/>
      <w:divBdr>
        <w:top w:val="none" w:sz="0" w:space="0" w:color="auto"/>
        <w:left w:val="none" w:sz="0" w:space="0" w:color="auto"/>
        <w:bottom w:val="none" w:sz="0" w:space="0" w:color="auto"/>
        <w:right w:val="none" w:sz="0" w:space="0" w:color="auto"/>
      </w:divBdr>
    </w:div>
    <w:div w:id="55394213">
      <w:bodyDiv w:val="1"/>
      <w:marLeft w:val="0"/>
      <w:marRight w:val="0"/>
      <w:marTop w:val="0"/>
      <w:marBottom w:val="0"/>
      <w:divBdr>
        <w:top w:val="none" w:sz="0" w:space="0" w:color="auto"/>
        <w:left w:val="none" w:sz="0" w:space="0" w:color="auto"/>
        <w:bottom w:val="none" w:sz="0" w:space="0" w:color="auto"/>
        <w:right w:val="none" w:sz="0" w:space="0" w:color="auto"/>
      </w:divBdr>
    </w:div>
    <w:div w:id="57478135">
      <w:bodyDiv w:val="1"/>
      <w:marLeft w:val="0"/>
      <w:marRight w:val="0"/>
      <w:marTop w:val="0"/>
      <w:marBottom w:val="0"/>
      <w:divBdr>
        <w:top w:val="none" w:sz="0" w:space="0" w:color="auto"/>
        <w:left w:val="none" w:sz="0" w:space="0" w:color="auto"/>
        <w:bottom w:val="none" w:sz="0" w:space="0" w:color="auto"/>
        <w:right w:val="none" w:sz="0" w:space="0" w:color="auto"/>
      </w:divBdr>
    </w:div>
    <w:div w:id="57554557">
      <w:bodyDiv w:val="1"/>
      <w:marLeft w:val="0"/>
      <w:marRight w:val="0"/>
      <w:marTop w:val="0"/>
      <w:marBottom w:val="0"/>
      <w:divBdr>
        <w:top w:val="none" w:sz="0" w:space="0" w:color="auto"/>
        <w:left w:val="none" w:sz="0" w:space="0" w:color="auto"/>
        <w:bottom w:val="none" w:sz="0" w:space="0" w:color="auto"/>
        <w:right w:val="none" w:sz="0" w:space="0" w:color="auto"/>
      </w:divBdr>
      <w:divsChild>
        <w:div w:id="1265960907">
          <w:marLeft w:val="274"/>
          <w:marRight w:val="0"/>
          <w:marTop w:val="0"/>
          <w:marBottom w:val="0"/>
          <w:divBdr>
            <w:top w:val="none" w:sz="0" w:space="0" w:color="auto"/>
            <w:left w:val="none" w:sz="0" w:space="0" w:color="auto"/>
            <w:bottom w:val="none" w:sz="0" w:space="0" w:color="auto"/>
            <w:right w:val="none" w:sz="0" w:space="0" w:color="auto"/>
          </w:divBdr>
        </w:div>
      </w:divsChild>
    </w:div>
    <w:div w:id="58480663">
      <w:bodyDiv w:val="1"/>
      <w:marLeft w:val="0"/>
      <w:marRight w:val="0"/>
      <w:marTop w:val="0"/>
      <w:marBottom w:val="0"/>
      <w:divBdr>
        <w:top w:val="none" w:sz="0" w:space="0" w:color="auto"/>
        <w:left w:val="none" w:sz="0" w:space="0" w:color="auto"/>
        <w:bottom w:val="none" w:sz="0" w:space="0" w:color="auto"/>
        <w:right w:val="none" w:sz="0" w:space="0" w:color="auto"/>
      </w:divBdr>
    </w:div>
    <w:div w:id="59912657">
      <w:bodyDiv w:val="1"/>
      <w:marLeft w:val="0"/>
      <w:marRight w:val="0"/>
      <w:marTop w:val="0"/>
      <w:marBottom w:val="0"/>
      <w:divBdr>
        <w:top w:val="none" w:sz="0" w:space="0" w:color="auto"/>
        <w:left w:val="none" w:sz="0" w:space="0" w:color="auto"/>
        <w:bottom w:val="none" w:sz="0" w:space="0" w:color="auto"/>
        <w:right w:val="none" w:sz="0" w:space="0" w:color="auto"/>
      </w:divBdr>
    </w:div>
    <w:div w:id="63458319">
      <w:bodyDiv w:val="1"/>
      <w:marLeft w:val="0"/>
      <w:marRight w:val="0"/>
      <w:marTop w:val="0"/>
      <w:marBottom w:val="0"/>
      <w:divBdr>
        <w:top w:val="none" w:sz="0" w:space="0" w:color="auto"/>
        <w:left w:val="none" w:sz="0" w:space="0" w:color="auto"/>
        <w:bottom w:val="none" w:sz="0" w:space="0" w:color="auto"/>
        <w:right w:val="none" w:sz="0" w:space="0" w:color="auto"/>
      </w:divBdr>
    </w:div>
    <w:div w:id="76096842">
      <w:bodyDiv w:val="1"/>
      <w:marLeft w:val="0"/>
      <w:marRight w:val="0"/>
      <w:marTop w:val="0"/>
      <w:marBottom w:val="0"/>
      <w:divBdr>
        <w:top w:val="none" w:sz="0" w:space="0" w:color="auto"/>
        <w:left w:val="none" w:sz="0" w:space="0" w:color="auto"/>
        <w:bottom w:val="none" w:sz="0" w:space="0" w:color="auto"/>
        <w:right w:val="none" w:sz="0" w:space="0" w:color="auto"/>
      </w:divBdr>
    </w:div>
    <w:div w:id="78646450">
      <w:bodyDiv w:val="1"/>
      <w:marLeft w:val="0"/>
      <w:marRight w:val="0"/>
      <w:marTop w:val="0"/>
      <w:marBottom w:val="0"/>
      <w:divBdr>
        <w:top w:val="none" w:sz="0" w:space="0" w:color="auto"/>
        <w:left w:val="none" w:sz="0" w:space="0" w:color="auto"/>
        <w:bottom w:val="none" w:sz="0" w:space="0" w:color="auto"/>
        <w:right w:val="none" w:sz="0" w:space="0" w:color="auto"/>
      </w:divBdr>
    </w:div>
    <w:div w:id="81219919">
      <w:bodyDiv w:val="1"/>
      <w:marLeft w:val="0"/>
      <w:marRight w:val="0"/>
      <w:marTop w:val="0"/>
      <w:marBottom w:val="0"/>
      <w:divBdr>
        <w:top w:val="none" w:sz="0" w:space="0" w:color="auto"/>
        <w:left w:val="none" w:sz="0" w:space="0" w:color="auto"/>
        <w:bottom w:val="none" w:sz="0" w:space="0" w:color="auto"/>
        <w:right w:val="none" w:sz="0" w:space="0" w:color="auto"/>
      </w:divBdr>
    </w:div>
    <w:div w:id="86778804">
      <w:bodyDiv w:val="1"/>
      <w:marLeft w:val="0"/>
      <w:marRight w:val="0"/>
      <w:marTop w:val="0"/>
      <w:marBottom w:val="0"/>
      <w:divBdr>
        <w:top w:val="none" w:sz="0" w:space="0" w:color="auto"/>
        <w:left w:val="none" w:sz="0" w:space="0" w:color="auto"/>
        <w:bottom w:val="none" w:sz="0" w:space="0" w:color="auto"/>
        <w:right w:val="none" w:sz="0" w:space="0" w:color="auto"/>
      </w:divBdr>
    </w:div>
    <w:div w:id="95638329">
      <w:bodyDiv w:val="1"/>
      <w:marLeft w:val="0"/>
      <w:marRight w:val="0"/>
      <w:marTop w:val="0"/>
      <w:marBottom w:val="0"/>
      <w:divBdr>
        <w:top w:val="none" w:sz="0" w:space="0" w:color="auto"/>
        <w:left w:val="none" w:sz="0" w:space="0" w:color="auto"/>
        <w:bottom w:val="none" w:sz="0" w:space="0" w:color="auto"/>
        <w:right w:val="none" w:sz="0" w:space="0" w:color="auto"/>
      </w:divBdr>
    </w:div>
    <w:div w:id="97410805">
      <w:bodyDiv w:val="1"/>
      <w:marLeft w:val="0"/>
      <w:marRight w:val="0"/>
      <w:marTop w:val="0"/>
      <w:marBottom w:val="0"/>
      <w:divBdr>
        <w:top w:val="none" w:sz="0" w:space="0" w:color="auto"/>
        <w:left w:val="none" w:sz="0" w:space="0" w:color="auto"/>
        <w:bottom w:val="none" w:sz="0" w:space="0" w:color="auto"/>
        <w:right w:val="none" w:sz="0" w:space="0" w:color="auto"/>
      </w:divBdr>
    </w:div>
    <w:div w:id="112752082">
      <w:bodyDiv w:val="1"/>
      <w:marLeft w:val="0"/>
      <w:marRight w:val="0"/>
      <w:marTop w:val="0"/>
      <w:marBottom w:val="0"/>
      <w:divBdr>
        <w:top w:val="none" w:sz="0" w:space="0" w:color="auto"/>
        <w:left w:val="none" w:sz="0" w:space="0" w:color="auto"/>
        <w:bottom w:val="none" w:sz="0" w:space="0" w:color="auto"/>
        <w:right w:val="none" w:sz="0" w:space="0" w:color="auto"/>
      </w:divBdr>
    </w:div>
    <w:div w:id="116919278">
      <w:bodyDiv w:val="1"/>
      <w:marLeft w:val="0"/>
      <w:marRight w:val="0"/>
      <w:marTop w:val="0"/>
      <w:marBottom w:val="0"/>
      <w:divBdr>
        <w:top w:val="none" w:sz="0" w:space="0" w:color="auto"/>
        <w:left w:val="none" w:sz="0" w:space="0" w:color="auto"/>
        <w:bottom w:val="none" w:sz="0" w:space="0" w:color="auto"/>
        <w:right w:val="none" w:sz="0" w:space="0" w:color="auto"/>
      </w:divBdr>
    </w:div>
    <w:div w:id="122382558">
      <w:bodyDiv w:val="1"/>
      <w:marLeft w:val="0"/>
      <w:marRight w:val="0"/>
      <w:marTop w:val="0"/>
      <w:marBottom w:val="0"/>
      <w:divBdr>
        <w:top w:val="none" w:sz="0" w:space="0" w:color="auto"/>
        <w:left w:val="none" w:sz="0" w:space="0" w:color="auto"/>
        <w:bottom w:val="none" w:sz="0" w:space="0" w:color="auto"/>
        <w:right w:val="none" w:sz="0" w:space="0" w:color="auto"/>
      </w:divBdr>
    </w:div>
    <w:div w:id="133566883">
      <w:bodyDiv w:val="1"/>
      <w:marLeft w:val="0"/>
      <w:marRight w:val="0"/>
      <w:marTop w:val="0"/>
      <w:marBottom w:val="0"/>
      <w:divBdr>
        <w:top w:val="none" w:sz="0" w:space="0" w:color="auto"/>
        <w:left w:val="none" w:sz="0" w:space="0" w:color="auto"/>
        <w:bottom w:val="none" w:sz="0" w:space="0" w:color="auto"/>
        <w:right w:val="none" w:sz="0" w:space="0" w:color="auto"/>
      </w:divBdr>
    </w:div>
    <w:div w:id="133915090">
      <w:bodyDiv w:val="1"/>
      <w:marLeft w:val="0"/>
      <w:marRight w:val="0"/>
      <w:marTop w:val="0"/>
      <w:marBottom w:val="0"/>
      <w:divBdr>
        <w:top w:val="none" w:sz="0" w:space="0" w:color="auto"/>
        <w:left w:val="none" w:sz="0" w:space="0" w:color="auto"/>
        <w:bottom w:val="none" w:sz="0" w:space="0" w:color="auto"/>
        <w:right w:val="none" w:sz="0" w:space="0" w:color="auto"/>
      </w:divBdr>
    </w:div>
    <w:div w:id="142505869">
      <w:bodyDiv w:val="1"/>
      <w:marLeft w:val="0"/>
      <w:marRight w:val="0"/>
      <w:marTop w:val="0"/>
      <w:marBottom w:val="0"/>
      <w:divBdr>
        <w:top w:val="none" w:sz="0" w:space="0" w:color="auto"/>
        <w:left w:val="none" w:sz="0" w:space="0" w:color="auto"/>
        <w:bottom w:val="none" w:sz="0" w:space="0" w:color="auto"/>
        <w:right w:val="none" w:sz="0" w:space="0" w:color="auto"/>
      </w:divBdr>
    </w:div>
    <w:div w:id="168565940">
      <w:bodyDiv w:val="1"/>
      <w:marLeft w:val="0"/>
      <w:marRight w:val="0"/>
      <w:marTop w:val="0"/>
      <w:marBottom w:val="0"/>
      <w:divBdr>
        <w:top w:val="none" w:sz="0" w:space="0" w:color="auto"/>
        <w:left w:val="none" w:sz="0" w:space="0" w:color="auto"/>
        <w:bottom w:val="none" w:sz="0" w:space="0" w:color="auto"/>
        <w:right w:val="none" w:sz="0" w:space="0" w:color="auto"/>
      </w:divBdr>
    </w:div>
    <w:div w:id="174343612">
      <w:bodyDiv w:val="1"/>
      <w:marLeft w:val="0"/>
      <w:marRight w:val="0"/>
      <w:marTop w:val="0"/>
      <w:marBottom w:val="0"/>
      <w:divBdr>
        <w:top w:val="none" w:sz="0" w:space="0" w:color="auto"/>
        <w:left w:val="none" w:sz="0" w:space="0" w:color="auto"/>
        <w:bottom w:val="none" w:sz="0" w:space="0" w:color="auto"/>
        <w:right w:val="none" w:sz="0" w:space="0" w:color="auto"/>
      </w:divBdr>
    </w:div>
    <w:div w:id="177547233">
      <w:bodyDiv w:val="1"/>
      <w:marLeft w:val="0"/>
      <w:marRight w:val="0"/>
      <w:marTop w:val="0"/>
      <w:marBottom w:val="0"/>
      <w:divBdr>
        <w:top w:val="none" w:sz="0" w:space="0" w:color="auto"/>
        <w:left w:val="none" w:sz="0" w:space="0" w:color="auto"/>
        <w:bottom w:val="none" w:sz="0" w:space="0" w:color="auto"/>
        <w:right w:val="none" w:sz="0" w:space="0" w:color="auto"/>
      </w:divBdr>
    </w:div>
    <w:div w:id="178130874">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sChild>
        <w:div w:id="587806735">
          <w:marLeft w:val="446"/>
          <w:marRight w:val="0"/>
          <w:marTop w:val="120"/>
          <w:marBottom w:val="120"/>
          <w:divBdr>
            <w:top w:val="none" w:sz="0" w:space="0" w:color="auto"/>
            <w:left w:val="none" w:sz="0" w:space="0" w:color="auto"/>
            <w:bottom w:val="none" w:sz="0" w:space="0" w:color="auto"/>
            <w:right w:val="none" w:sz="0" w:space="0" w:color="auto"/>
          </w:divBdr>
        </w:div>
        <w:div w:id="832574058">
          <w:marLeft w:val="446"/>
          <w:marRight w:val="0"/>
          <w:marTop w:val="120"/>
          <w:marBottom w:val="120"/>
          <w:divBdr>
            <w:top w:val="none" w:sz="0" w:space="0" w:color="auto"/>
            <w:left w:val="none" w:sz="0" w:space="0" w:color="auto"/>
            <w:bottom w:val="none" w:sz="0" w:space="0" w:color="auto"/>
            <w:right w:val="none" w:sz="0" w:space="0" w:color="auto"/>
          </w:divBdr>
        </w:div>
        <w:div w:id="985430502">
          <w:marLeft w:val="446"/>
          <w:marRight w:val="0"/>
          <w:marTop w:val="120"/>
          <w:marBottom w:val="120"/>
          <w:divBdr>
            <w:top w:val="none" w:sz="0" w:space="0" w:color="auto"/>
            <w:left w:val="none" w:sz="0" w:space="0" w:color="auto"/>
            <w:bottom w:val="none" w:sz="0" w:space="0" w:color="auto"/>
            <w:right w:val="none" w:sz="0" w:space="0" w:color="auto"/>
          </w:divBdr>
        </w:div>
        <w:div w:id="1431121302">
          <w:marLeft w:val="446"/>
          <w:marRight w:val="0"/>
          <w:marTop w:val="120"/>
          <w:marBottom w:val="120"/>
          <w:divBdr>
            <w:top w:val="none" w:sz="0" w:space="0" w:color="auto"/>
            <w:left w:val="none" w:sz="0" w:space="0" w:color="auto"/>
            <w:bottom w:val="none" w:sz="0" w:space="0" w:color="auto"/>
            <w:right w:val="none" w:sz="0" w:space="0" w:color="auto"/>
          </w:divBdr>
        </w:div>
        <w:div w:id="1453670099">
          <w:marLeft w:val="446"/>
          <w:marRight w:val="0"/>
          <w:marTop w:val="120"/>
          <w:marBottom w:val="120"/>
          <w:divBdr>
            <w:top w:val="none" w:sz="0" w:space="0" w:color="auto"/>
            <w:left w:val="none" w:sz="0" w:space="0" w:color="auto"/>
            <w:bottom w:val="none" w:sz="0" w:space="0" w:color="auto"/>
            <w:right w:val="none" w:sz="0" w:space="0" w:color="auto"/>
          </w:divBdr>
        </w:div>
        <w:div w:id="1900243994">
          <w:marLeft w:val="446"/>
          <w:marRight w:val="0"/>
          <w:marTop w:val="120"/>
          <w:marBottom w:val="120"/>
          <w:divBdr>
            <w:top w:val="none" w:sz="0" w:space="0" w:color="auto"/>
            <w:left w:val="none" w:sz="0" w:space="0" w:color="auto"/>
            <w:bottom w:val="none" w:sz="0" w:space="0" w:color="auto"/>
            <w:right w:val="none" w:sz="0" w:space="0" w:color="auto"/>
          </w:divBdr>
        </w:div>
      </w:divsChild>
    </w:div>
    <w:div w:id="189034748">
      <w:bodyDiv w:val="1"/>
      <w:marLeft w:val="0"/>
      <w:marRight w:val="0"/>
      <w:marTop w:val="0"/>
      <w:marBottom w:val="0"/>
      <w:divBdr>
        <w:top w:val="none" w:sz="0" w:space="0" w:color="auto"/>
        <w:left w:val="none" w:sz="0" w:space="0" w:color="auto"/>
        <w:bottom w:val="none" w:sz="0" w:space="0" w:color="auto"/>
        <w:right w:val="none" w:sz="0" w:space="0" w:color="auto"/>
      </w:divBdr>
    </w:div>
    <w:div w:id="191115164">
      <w:bodyDiv w:val="1"/>
      <w:marLeft w:val="0"/>
      <w:marRight w:val="0"/>
      <w:marTop w:val="0"/>
      <w:marBottom w:val="0"/>
      <w:divBdr>
        <w:top w:val="none" w:sz="0" w:space="0" w:color="auto"/>
        <w:left w:val="none" w:sz="0" w:space="0" w:color="auto"/>
        <w:bottom w:val="none" w:sz="0" w:space="0" w:color="auto"/>
        <w:right w:val="none" w:sz="0" w:space="0" w:color="auto"/>
      </w:divBdr>
    </w:div>
    <w:div w:id="200217318">
      <w:bodyDiv w:val="1"/>
      <w:marLeft w:val="0"/>
      <w:marRight w:val="0"/>
      <w:marTop w:val="0"/>
      <w:marBottom w:val="0"/>
      <w:divBdr>
        <w:top w:val="none" w:sz="0" w:space="0" w:color="auto"/>
        <w:left w:val="none" w:sz="0" w:space="0" w:color="auto"/>
        <w:bottom w:val="none" w:sz="0" w:space="0" w:color="auto"/>
        <w:right w:val="none" w:sz="0" w:space="0" w:color="auto"/>
      </w:divBdr>
    </w:div>
    <w:div w:id="209849137">
      <w:bodyDiv w:val="1"/>
      <w:marLeft w:val="0"/>
      <w:marRight w:val="0"/>
      <w:marTop w:val="0"/>
      <w:marBottom w:val="0"/>
      <w:divBdr>
        <w:top w:val="none" w:sz="0" w:space="0" w:color="auto"/>
        <w:left w:val="none" w:sz="0" w:space="0" w:color="auto"/>
        <w:bottom w:val="none" w:sz="0" w:space="0" w:color="auto"/>
        <w:right w:val="none" w:sz="0" w:space="0" w:color="auto"/>
      </w:divBdr>
    </w:div>
    <w:div w:id="214509771">
      <w:bodyDiv w:val="1"/>
      <w:marLeft w:val="0"/>
      <w:marRight w:val="0"/>
      <w:marTop w:val="0"/>
      <w:marBottom w:val="0"/>
      <w:divBdr>
        <w:top w:val="none" w:sz="0" w:space="0" w:color="auto"/>
        <w:left w:val="none" w:sz="0" w:space="0" w:color="auto"/>
        <w:bottom w:val="none" w:sz="0" w:space="0" w:color="auto"/>
        <w:right w:val="none" w:sz="0" w:space="0" w:color="auto"/>
      </w:divBdr>
    </w:div>
    <w:div w:id="224806778">
      <w:bodyDiv w:val="1"/>
      <w:marLeft w:val="0"/>
      <w:marRight w:val="0"/>
      <w:marTop w:val="0"/>
      <w:marBottom w:val="0"/>
      <w:divBdr>
        <w:top w:val="none" w:sz="0" w:space="0" w:color="auto"/>
        <w:left w:val="none" w:sz="0" w:space="0" w:color="auto"/>
        <w:bottom w:val="none" w:sz="0" w:space="0" w:color="auto"/>
        <w:right w:val="none" w:sz="0" w:space="0" w:color="auto"/>
      </w:divBdr>
      <w:divsChild>
        <w:div w:id="83654861">
          <w:marLeft w:val="0"/>
          <w:marRight w:val="0"/>
          <w:marTop w:val="0"/>
          <w:marBottom w:val="0"/>
          <w:divBdr>
            <w:top w:val="none" w:sz="0" w:space="0" w:color="auto"/>
            <w:left w:val="none" w:sz="0" w:space="0" w:color="auto"/>
            <w:bottom w:val="none" w:sz="0" w:space="0" w:color="auto"/>
            <w:right w:val="none" w:sz="0" w:space="0" w:color="auto"/>
          </w:divBdr>
        </w:div>
        <w:div w:id="184950699">
          <w:marLeft w:val="0"/>
          <w:marRight w:val="0"/>
          <w:marTop w:val="0"/>
          <w:marBottom w:val="0"/>
          <w:divBdr>
            <w:top w:val="none" w:sz="0" w:space="0" w:color="auto"/>
            <w:left w:val="none" w:sz="0" w:space="0" w:color="auto"/>
            <w:bottom w:val="none" w:sz="0" w:space="0" w:color="auto"/>
            <w:right w:val="none" w:sz="0" w:space="0" w:color="auto"/>
          </w:divBdr>
        </w:div>
        <w:div w:id="658578243">
          <w:marLeft w:val="0"/>
          <w:marRight w:val="0"/>
          <w:marTop w:val="0"/>
          <w:marBottom w:val="0"/>
          <w:divBdr>
            <w:top w:val="none" w:sz="0" w:space="0" w:color="auto"/>
            <w:left w:val="none" w:sz="0" w:space="0" w:color="auto"/>
            <w:bottom w:val="none" w:sz="0" w:space="0" w:color="auto"/>
            <w:right w:val="none" w:sz="0" w:space="0" w:color="auto"/>
          </w:divBdr>
        </w:div>
        <w:div w:id="858272093">
          <w:marLeft w:val="0"/>
          <w:marRight w:val="0"/>
          <w:marTop w:val="0"/>
          <w:marBottom w:val="0"/>
          <w:divBdr>
            <w:top w:val="none" w:sz="0" w:space="0" w:color="auto"/>
            <w:left w:val="none" w:sz="0" w:space="0" w:color="auto"/>
            <w:bottom w:val="none" w:sz="0" w:space="0" w:color="auto"/>
            <w:right w:val="none" w:sz="0" w:space="0" w:color="auto"/>
          </w:divBdr>
        </w:div>
        <w:div w:id="1520074057">
          <w:marLeft w:val="0"/>
          <w:marRight w:val="0"/>
          <w:marTop w:val="0"/>
          <w:marBottom w:val="0"/>
          <w:divBdr>
            <w:top w:val="none" w:sz="0" w:space="0" w:color="auto"/>
            <w:left w:val="none" w:sz="0" w:space="0" w:color="auto"/>
            <w:bottom w:val="none" w:sz="0" w:space="0" w:color="auto"/>
            <w:right w:val="none" w:sz="0" w:space="0" w:color="auto"/>
          </w:divBdr>
        </w:div>
        <w:div w:id="1678921968">
          <w:marLeft w:val="0"/>
          <w:marRight w:val="0"/>
          <w:marTop w:val="0"/>
          <w:marBottom w:val="0"/>
          <w:divBdr>
            <w:top w:val="none" w:sz="0" w:space="0" w:color="auto"/>
            <w:left w:val="none" w:sz="0" w:space="0" w:color="auto"/>
            <w:bottom w:val="none" w:sz="0" w:space="0" w:color="auto"/>
            <w:right w:val="none" w:sz="0" w:space="0" w:color="auto"/>
          </w:divBdr>
        </w:div>
      </w:divsChild>
    </w:div>
    <w:div w:id="289483056">
      <w:bodyDiv w:val="1"/>
      <w:marLeft w:val="0"/>
      <w:marRight w:val="0"/>
      <w:marTop w:val="0"/>
      <w:marBottom w:val="0"/>
      <w:divBdr>
        <w:top w:val="none" w:sz="0" w:space="0" w:color="auto"/>
        <w:left w:val="none" w:sz="0" w:space="0" w:color="auto"/>
        <w:bottom w:val="none" w:sz="0" w:space="0" w:color="auto"/>
        <w:right w:val="none" w:sz="0" w:space="0" w:color="auto"/>
      </w:divBdr>
    </w:div>
    <w:div w:id="294331069">
      <w:bodyDiv w:val="1"/>
      <w:marLeft w:val="0"/>
      <w:marRight w:val="0"/>
      <w:marTop w:val="0"/>
      <w:marBottom w:val="0"/>
      <w:divBdr>
        <w:top w:val="none" w:sz="0" w:space="0" w:color="auto"/>
        <w:left w:val="none" w:sz="0" w:space="0" w:color="auto"/>
        <w:bottom w:val="none" w:sz="0" w:space="0" w:color="auto"/>
        <w:right w:val="none" w:sz="0" w:space="0" w:color="auto"/>
      </w:divBdr>
    </w:div>
    <w:div w:id="297074918">
      <w:bodyDiv w:val="1"/>
      <w:marLeft w:val="0"/>
      <w:marRight w:val="0"/>
      <w:marTop w:val="0"/>
      <w:marBottom w:val="0"/>
      <w:divBdr>
        <w:top w:val="none" w:sz="0" w:space="0" w:color="auto"/>
        <w:left w:val="none" w:sz="0" w:space="0" w:color="auto"/>
        <w:bottom w:val="none" w:sz="0" w:space="0" w:color="auto"/>
        <w:right w:val="none" w:sz="0" w:space="0" w:color="auto"/>
      </w:divBdr>
      <w:divsChild>
        <w:div w:id="425461711">
          <w:marLeft w:val="0"/>
          <w:marRight w:val="0"/>
          <w:marTop w:val="0"/>
          <w:marBottom w:val="0"/>
          <w:divBdr>
            <w:top w:val="none" w:sz="0" w:space="0" w:color="auto"/>
            <w:left w:val="none" w:sz="0" w:space="0" w:color="auto"/>
            <w:bottom w:val="none" w:sz="0" w:space="0" w:color="auto"/>
            <w:right w:val="none" w:sz="0" w:space="0" w:color="auto"/>
          </w:divBdr>
          <w:divsChild>
            <w:div w:id="153646050">
              <w:marLeft w:val="0"/>
              <w:marRight w:val="0"/>
              <w:marTop w:val="0"/>
              <w:marBottom w:val="0"/>
              <w:divBdr>
                <w:top w:val="none" w:sz="0" w:space="0" w:color="auto"/>
                <w:left w:val="none" w:sz="0" w:space="0" w:color="auto"/>
                <w:bottom w:val="none" w:sz="0" w:space="0" w:color="auto"/>
                <w:right w:val="none" w:sz="0" w:space="0" w:color="auto"/>
              </w:divBdr>
            </w:div>
            <w:div w:id="173542037">
              <w:marLeft w:val="0"/>
              <w:marRight w:val="0"/>
              <w:marTop w:val="0"/>
              <w:marBottom w:val="0"/>
              <w:divBdr>
                <w:top w:val="none" w:sz="0" w:space="0" w:color="auto"/>
                <w:left w:val="none" w:sz="0" w:space="0" w:color="auto"/>
                <w:bottom w:val="none" w:sz="0" w:space="0" w:color="auto"/>
                <w:right w:val="none" w:sz="0" w:space="0" w:color="auto"/>
              </w:divBdr>
            </w:div>
            <w:div w:id="182980929">
              <w:marLeft w:val="0"/>
              <w:marRight w:val="0"/>
              <w:marTop w:val="0"/>
              <w:marBottom w:val="0"/>
              <w:divBdr>
                <w:top w:val="none" w:sz="0" w:space="0" w:color="auto"/>
                <w:left w:val="none" w:sz="0" w:space="0" w:color="auto"/>
                <w:bottom w:val="none" w:sz="0" w:space="0" w:color="auto"/>
                <w:right w:val="none" w:sz="0" w:space="0" w:color="auto"/>
              </w:divBdr>
            </w:div>
            <w:div w:id="774903535">
              <w:marLeft w:val="0"/>
              <w:marRight w:val="0"/>
              <w:marTop w:val="0"/>
              <w:marBottom w:val="0"/>
              <w:divBdr>
                <w:top w:val="none" w:sz="0" w:space="0" w:color="auto"/>
                <w:left w:val="none" w:sz="0" w:space="0" w:color="auto"/>
                <w:bottom w:val="none" w:sz="0" w:space="0" w:color="auto"/>
                <w:right w:val="none" w:sz="0" w:space="0" w:color="auto"/>
              </w:divBdr>
            </w:div>
            <w:div w:id="1098673455">
              <w:marLeft w:val="0"/>
              <w:marRight w:val="0"/>
              <w:marTop w:val="0"/>
              <w:marBottom w:val="0"/>
              <w:divBdr>
                <w:top w:val="none" w:sz="0" w:space="0" w:color="auto"/>
                <w:left w:val="none" w:sz="0" w:space="0" w:color="auto"/>
                <w:bottom w:val="none" w:sz="0" w:space="0" w:color="auto"/>
                <w:right w:val="none" w:sz="0" w:space="0" w:color="auto"/>
              </w:divBdr>
            </w:div>
            <w:div w:id="1185480915">
              <w:marLeft w:val="0"/>
              <w:marRight w:val="0"/>
              <w:marTop w:val="0"/>
              <w:marBottom w:val="0"/>
              <w:divBdr>
                <w:top w:val="none" w:sz="0" w:space="0" w:color="auto"/>
                <w:left w:val="none" w:sz="0" w:space="0" w:color="auto"/>
                <w:bottom w:val="none" w:sz="0" w:space="0" w:color="auto"/>
                <w:right w:val="none" w:sz="0" w:space="0" w:color="auto"/>
              </w:divBdr>
            </w:div>
            <w:div w:id="1257665582">
              <w:marLeft w:val="0"/>
              <w:marRight w:val="0"/>
              <w:marTop w:val="0"/>
              <w:marBottom w:val="0"/>
              <w:divBdr>
                <w:top w:val="none" w:sz="0" w:space="0" w:color="auto"/>
                <w:left w:val="none" w:sz="0" w:space="0" w:color="auto"/>
                <w:bottom w:val="none" w:sz="0" w:space="0" w:color="auto"/>
                <w:right w:val="none" w:sz="0" w:space="0" w:color="auto"/>
              </w:divBdr>
            </w:div>
            <w:div w:id="1309824413">
              <w:marLeft w:val="0"/>
              <w:marRight w:val="0"/>
              <w:marTop w:val="0"/>
              <w:marBottom w:val="0"/>
              <w:divBdr>
                <w:top w:val="none" w:sz="0" w:space="0" w:color="auto"/>
                <w:left w:val="none" w:sz="0" w:space="0" w:color="auto"/>
                <w:bottom w:val="none" w:sz="0" w:space="0" w:color="auto"/>
                <w:right w:val="none" w:sz="0" w:space="0" w:color="auto"/>
              </w:divBdr>
            </w:div>
            <w:div w:id="1591542030">
              <w:marLeft w:val="0"/>
              <w:marRight w:val="0"/>
              <w:marTop w:val="0"/>
              <w:marBottom w:val="0"/>
              <w:divBdr>
                <w:top w:val="none" w:sz="0" w:space="0" w:color="auto"/>
                <w:left w:val="none" w:sz="0" w:space="0" w:color="auto"/>
                <w:bottom w:val="none" w:sz="0" w:space="0" w:color="auto"/>
                <w:right w:val="none" w:sz="0" w:space="0" w:color="auto"/>
              </w:divBdr>
            </w:div>
            <w:div w:id="1778911579">
              <w:marLeft w:val="0"/>
              <w:marRight w:val="0"/>
              <w:marTop w:val="0"/>
              <w:marBottom w:val="0"/>
              <w:divBdr>
                <w:top w:val="none" w:sz="0" w:space="0" w:color="auto"/>
                <w:left w:val="none" w:sz="0" w:space="0" w:color="auto"/>
                <w:bottom w:val="none" w:sz="0" w:space="0" w:color="auto"/>
                <w:right w:val="none" w:sz="0" w:space="0" w:color="auto"/>
              </w:divBdr>
            </w:div>
            <w:div w:id="1791393774">
              <w:marLeft w:val="0"/>
              <w:marRight w:val="0"/>
              <w:marTop w:val="0"/>
              <w:marBottom w:val="0"/>
              <w:divBdr>
                <w:top w:val="none" w:sz="0" w:space="0" w:color="auto"/>
                <w:left w:val="none" w:sz="0" w:space="0" w:color="auto"/>
                <w:bottom w:val="none" w:sz="0" w:space="0" w:color="auto"/>
                <w:right w:val="none" w:sz="0" w:space="0" w:color="auto"/>
              </w:divBdr>
            </w:div>
            <w:div w:id="1810591575">
              <w:marLeft w:val="0"/>
              <w:marRight w:val="0"/>
              <w:marTop w:val="0"/>
              <w:marBottom w:val="0"/>
              <w:divBdr>
                <w:top w:val="none" w:sz="0" w:space="0" w:color="auto"/>
                <w:left w:val="none" w:sz="0" w:space="0" w:color="auto"/>
                <w:bottom w:val="none" w:sz="0" w:space="0" w:color="auto"/>
                <w:right w:val="none" w:sz="0" w:space="0" w:color="auto"/>
              </w:divBdr>
            </w:div>
            <w:div w:id="1892686248">
              <w:marLeft w:val="0"/>
              <w:marRight w:val="0"/>
              <w:marTop w:val="0"/>
              <w:marBottom w:val="0"/>
              <w:divBdr>
                <w:top w:val="none" w:sz="0" w:space="0" w:color="auto"/>
                <w:left w:val="none" w:sz="0" w:space="0" w:color="auto"/>
                <w:bottom w:val="none" w:sz="0" w:space="0" w:color="auto"/>
                <w:right w:val="none" w:sz="0" w:space="0" w:color="auto"/>
              </w:divBdr>
            </w:div>
            <w:div w:id="2031250780">
              <w:marLeft w:val="0"/>
              <w:marRight w:val="0"/>
              <w:marTop w:val="0"/>
              <w:marBottom w:val="0"/>
              <w:divBdr>
                <w:top w:val="none" w:sz="0" w:space="0" w:color="auto"/>
                <w:left w:val="none" w:sz="0" w:space="0" w:color="auto"/>
                <w:bottom w:val="none" w:sz="0" w:space="0" w:color="auto"/>
                <w:right w:val="none" w:sz="0" w:space="0" w:color="auto"/>
              </w:divBdr>
            </w:div>
            <w:div w:id="2045013689">
              <w:marLeft w:val="0"/>
              <w:marRight w:val="0"/>
              <w:marTop w:val="0"/>
              <w:marBottom w:val="0"/>
              <w:divBdr>
                <w:top w:val="none" w:sz="0" w:space="0" w:color="auto"/>
                <w:left w:val="none" w:sz="0" w:space="0" w:color="auto"/>
                <w:bottom w:val="none" w:sz="0" w:space="0" w:color="auto"/>
                <w:right w:val="none" w:sz="0" w:space="0" w:color="auto"/>
              </w:divBdr>
            </w:div>
          </w:divsChild>
        </w:div>
        <w:div w:id="1330206864">
          <w:marLeft w:val="0"/>
          <w:marRight w:val="0"/>
          <w:marTop w:val="0"/>
          <w:marBottom w:val="0"/>
          <w:divBdr>
            <w:top w:val="none" w:sz="0" w:space="0" w:color="auto"/>
            <w:left w:val="none" w:sz="0" w:space="0" w:color="auto"/>
            <w:bottom w:val="none" w:sz="0" w:space="0" w:color="auto"/>
            <w:right w:val="none" w:sz="0" w:space="0" w:color="auto"/>
          </w:divBdr>
        </w:div>
      </w:divsChild>
    </w:div>
    <w:div w:id="314653914">
      <w:bodyDiv w:val="1"/>
      <w:marLeft w:val="0"/>
      <w:marRight w:val="0"/>
      <w:marTop w:val="0"/>
      <w:marBottom w:val="0"/>
      <w:divBdr>
        <w:top w:val="none" w:sz="0" w:space="0" w:color="auto"/>
        <w:left w:val="none" w:sz="0" w:space="0" w:color="auto"/>
        <w:bottom w:val="none" w:sz="0" w:space="0" w:color="auto"/>
        <w:right w:val="none" w:sz="0" w:space="0" w:color="auto"/>
      </w:divBdr>
      <w:divsChild>
        <w:div w:id="1044135681">
          <w:marLeft w:val="274"/>
          <w:marRight w:val="0"/>
          <w:marTop w:val="0"/>
          <w:marBottom w:val="0"/>
          <w:divBdr>
            <w:top w:val="none" w:sz="0" w:space="0" w:color="auto"/>
            <w:left w:val="none" w:sz="0" w:space="0" w:color="auto"/>
            <w:bottom w:val="none" w:sz="0" w:space="0" w:color="auto"/>
            <w:right w:val="none" w:sz="0" w:space="0" w:color="auto"/>
          </w:divBdr>
        </w:div>
      </w:divsChild>
    </w:div>
    <w:div w:id="314724165">
      <w:bodyDiv w:val="1"/>
      <w:marLeft w:val="0"/>
      <w:marRight w:val="0"/>
      <w:marTop w:val="0"/>
      <w:marBottom w:val="0"/>
      <w:divBdr>
        <w:top w:val="none" w:sz="0" w:space="0" w:color="auto"/>
        <w:left w:val="none" w:sz="0" w:space="0" w:color="auto"/>
        <w:bottom w:val="none" w:sz="0" w:space="0" w:color="auto"/>
        <w:right w:val="none" w:sz="0" w:space="0" w:color="auto"/>
      </w:divBdr>
    </w:div>
    <w:div w:id="318995512">
      <w:bodyDiv w:val="1"/>
      <w:marLeft w:val="0"/>
      <w:marRight w:val="0"/>
      <w:marTop w:val="0"/>
      <w:marBottom w:val="0"/>
      <w:divBdr>
        <w:top w:val="none" w:sz="0" w:space="0" w:color="auto"/>
        <w:left w:val="none" w:sz="0" w:space="0" w:color="auto"/>
        <w:bottom w:val="none" w:sz="0" w:space="0" w:color="auto"/>
        <w:right w:val="none" w:sz="0" w:space="0" w:color="auto"/>
      </w:divBdr>
    </w:div>
    <w:div w:id="328170414">
      <w:bodyDiv w:val="1"/>
      <w:marLeft w:val="0"/>
      <w:marRight w:val="0"/>
      <w:marTop w:val="0"/>
      <w:marBottom w:val="0"/>
      <w:divBdr>
        <w:top w:val="none" w:sz="0" w:space="0" w:color="auto"/>
        <w:left w:val="none" w:sz="0" w:space="0" w:color="auto"/>
        <w:bottom w:val="none" w:sz="0" w:space="0" w:color="auto"/>
        <w:right w:val="none" w:sz="0" w:space="0" w:color="auto"/>
      </w:divBdr>
    </w:div>
    <w:div w:id="329717576">
      <w:bodyDiv w:val="1"/>
      <w:marLeft w:val="0"/>
      <w:marRight w:val="0"/>
      <w:marTop w:val="0"/>
      <w:marBottom w:val="0"/>
      <w:divBdr>
        <w:top w:val="none" w:sz="0" w:space="0" w:color="auto"/>
        <w:left w:val="none" w:sz="0" w:space="0" w:color="auto"/>
        <w:bottom w:val="none" w:sz="0" w:space="0" w:color="auto"/>
        <w:right w:val="none" w:sz="0" w:space="0" w:color="auto"/>
      </w:divBdr>
    </w:div>
    <w:div w:id="330060920">
      <w:bodyDiv w:val="1"/>
      <w:marLeft w:val="0"/>
      <w:marRight w:val="0"/>
      <w:marTop w:val="0"/>
      <w:marBottom w:val="0"/>
      <w:divBdr>
        <w:top w:val="none" w:sz="0" w:space="0" w:color="auto"/>
        <w:left w:val="none" w:sz="0" w:space="0" w:color="auto"/>
        <w:bottom w:val="none" w:sz="0" w:space="0" w:color="auto"/>
        <w:right w:val="none" w:sz="0" w:space="0" w:color="auto"/>
      </w:divBdr>
    </w:div>
    <w:div w:id="337542682">
      <w:bodyDiv w:val="1"/>
      <w:marLeft w:val="0"/>
      <w:marRight w:val="0"/>
      <w:marTop w:val="0"/>
      <w:marBottom w:val="0"/>
      <w:divBdr>
        <w:top w:val="none" w:sz="0" w:space="0" w:color="auto"/>
        <w:left w:val="none" w:sz="0" w:space="0" w:color="auto"/>
        <w:bottom w:val="none" w:sz="0" w:space="0" w:color="auto"/>
        <w:right w:val="none" w:sz="0" w:space="0" w:color="auto"/>
      </w:divBdr>
    </w:div>
    <w:div w:id="354427076">
      <w:bodyDiv w:val="1"/>
      <w:marLeft w:val="0"/>
      <w:marRight w:val="0"/>
      <w:marTop w:val="0"/>
      <w:marBottom w:val="0"/>
      <w:divBdr>
        <w:top w:val="none" w:sz="0" w:space="0" w:color="auto"/>
        <w:left w:val="none" w:sz="0" w:space="0" w:color="auto"/>
        <w:bottom w:val="none" w:sz="0" w:space="0" w:color="auto"/>
        <w:right w:val="none" w:sz="0" w:space="0" w:color="auto"/>
      </w:divBdr>
    </w:div>
    <w:div w:id="354964821">
      <w:bodyDiv w:val="1"/>
      <w:marLeft w:val="0"/>
      <w:marRight w:val="0"/>
      <w:marTop w:val="0"/>
      <w:marBottom w:val="0"/>
      <w:divBdr>
        <w:top w:val="none" w:sz="0" w:space="0" w:color="auto"/>
        <w:left w:val="none" w:sz="0" w:space="0" w:color="auto"/>
        <w:bottom w:val="none" w:sz="0" w:space="0" w:color="auto"/>
        <w:right w:val="none" w:sz="0" w:space="0" w:color="auto"/>
      </w:divBdr>
    </w:div>
    <w:div w:id="358357719">
      <w:bodyDiv w:val="1"/>
      <w:marLeft w:val="0"/>
      <w:marRight w:val="0"/>
      <w:marTop w:val="0"/>
      <w:marBottom w:val="0"/>
      <w:divBdr>
        <w:top w:val="none" w:sz="0" w:space="0" w:color="auto"/>
        <w:left w:val="none" w:sz="0" w:space="0" w:color="auto"/>
        <w:bottom w:val="none" w:sz="0" w:space="0" w:color="auto"/>
        <w:right w:val="none" w:sz="0" w:space="0" w:color="auto"/>
      </w:divBdr>
    </w:div>
    <w:div w:id="360710868">
      <w:bodyDiv w:val="1"/>
      <w:marLeft w:val="0"/>
      <w:marRight w:val="0"/>
      <w:marTop w:val="0"/>
      <w:marBottom w:val="0"/>
      <w:divBdr>
        <w:top w:val="none" w:sz="0" w:space="0" w:color="auto"/>
        <w:left w:val="none" w:sz="0" w:space="0" w:color="auto"/>
        <w:bottom w:val="none" w:sz="0" w:space="0" w:color="auto"/>
        <w:right w:val="none" w:sz="0" w:space="0" w:color="auto"/>
      </w:divBdr>
    </w:div>
    <w:div w:id="387461219">
      <w:bodyDiv w:val="1"/>
      <w:marLeft w:val="0"/>
      <w:marRight w:val="0"/>
      <w:marTop w:val="0"/>
      <w:marBottom w:val="0"/>
      <w:divBdr>
        <w:top w:val="none" w:sz="0" w:space="0" w:color="auto"/>
        <w:left w:val="none" w:sz="0" w:space="0" w:color="auto"/>
        <w:bottom w:val="none" w:sz="0" w:space="0" w:color="auto"/>
        <w:right w:val="none" w:sz="0" w:space="0" w:color="auto"/>
      </w:divBdr>
    </w:div>
    <w:div w:id="397173635">
      <w:bodyDiv w:val="1"/>
      <w:marLeft w:val="0"/>
      <w:marRight w:val="0"/>
      <w:marTop w:val="0"/>
      <w:marBottom w:val="0"/>
      <w:divBdr>
        <w:top w:val="none" w:sz="0" w:space="0" w:color="auto"/>
        <w:left w:val="none" w:sz="0" w:space="0" w:color="auto"/>
        <w:bottom w:val="none" w:sz="0" w:space="0" w:color="auto"/>
        <w:right w:val="none" w:sz="0" w:space="0" w:color="auto"/>
      </w:divBdr>
    </w:div>
    <w:div w:id="397367547">
      <w:bodyDiv w:val="1"/>
      <w:marLeft w:val="0"/>
      <w:marRight w:val="0"/>
      <w:marTop w:val="0"/>
      <w:marBottom w:val="0"/>
      <w:divBdr>
        <w:top w:val="none" w:sz="0" w:space="0" w:color="auto"/>
        <w:left w:val="none" w:sz="0" w:space="0" w:color="auto"/>
        <w:bottom w:val="none" w:sz="0" w:space="0" w:color="auto"/>
        <w:right w:val="none" w:sz="0" w:space="0" w:color="auto"/>
      </w:divBdr>
    </w:div>
    <w:div w:id="398748589">
      <w:bodyDiv w:val="1"/>
      <w:marLeft w:val="0"/>
      <w:marRight w:val="0"/>
      <w:marTop w:val="0"/>
      <w:marBottom w:val="0"/>
      <w:divBdr>
        <w:top w:val="none" w:sz="0" w:space="0" w:color="auto"/>
        <w:left w:val="none" w:sz="0" w:space="0" w:color="auto"/>
        <w:bottom w:val="none" w:sz="0" w:space="0" w:color="auto"/>
        <w:right w:val="none" w:sz="0" w:space="0" w:color="auto"/>
      </w:divBdr>
    </w:div>
    <w:div w:id="413208056">
      <w:bodyDiv w:val="1"/>
      <w:marLeft w:val="0"/>
      <w:marRight w:val="0"/>
      <w:marTop w:val="0"/>
      <w:marBottom w:val="0"/>
      <w:divBdr>
        <w:top w:val="none" w:sz="0" w:space="0" w:color="auto"/>
        <w:left w:val="none" w:sz="0" w:space="0" w:color="auto"/>
        <w:bottom w:val="none" w:sz="0" w:space="0" w:color="auto"/>
        <w:right w:val="none" w:sz="0" w:space="0" w:color="auto"/>
      </w:divBdr>
    </w:div>
    <w:div w:id="419369571">
      <w:bodyDiv w:val="1"/>
      <w:marLeft w:val="0"/>
      <w:marRight w:val="0"/>
      <w:marTop w:val="0"/>
      <w:marBottom w:val="0"/>
      <w:divBdr>
        <w:top w:val="none" w:sz="0" w:space="0" w:color="auto"/>
        <w:left w:val="none" w:sz="0" w:space="0" w:color="auto"/>
        <w:bottom w:val="none" w:sz="0" w:space="0" w:color="auto"/>
        <w:right w:val="none" w:sz="0" w:space="0" w:color="auto"/>
      </w:divBdr>
    </w:div>
    <w:div w:id="419837660">
      <w:bodyDiv w:val="1"/>
      <w:marLeft w:val="0"/>
      <w:marRight w:val="0"/>
      <w:marTop w:val="0"/>
      <w:marBottom w:val="0"/>
      <w:divBdr>
        <w:top w:val="none" w:sz="0" w:space="0" w:color="auto"/>
        <w:left w:val="none" w:sz="0" w:space="0" w:color="auto"/>
        <w:bottom w:val="none" w:sz="0" w:space="0" w:color="auto"/>
        <w:right w:val="none" w:sz="0" w:space="0" w:color="auto"/>
      </w:divBdr>
    </w:div>
    <w:div w:id="420107627">
      <w:bodyDiv w:val="1"/>
      <w:marLeft w:val="0"/>
      <w:marRight w:val="0"/>
      <w:marTop w:val="0"/>
      <w:marBottom w:val="0"/>
      <w:divBdr>
        <w:top w:val="none" w:sz="0" w:space="0" w:color="auto"/>
        <w:left w:val="none" w:sz="0" w:space="0" w:color="auto"/>
        <w:bottom w:val="none" w:sz="0" w:space="0" w:color="auto"/>
        <w:right w:val="none" w:sz="0" w:space="0" w:color="auto"/>
      </w:divBdr>
    </w:div>
    <w:div w:id="433014924">
      <w:bodyDiv w:val="1"/>
      <w:marLeft w:val="0"/>
      <w:marRight w:val="0"/>
      <w:marTop w:val="0"/>
      <w:marBottom w:val="0"/>
      <w:divBdr>
        <w:top w:val="none" w:sz="0" w:space="0" w:color="auto"/>
        <w:left w:val="none" w:sz="0" w:space="0" w:color="auto"/>
        <w:bottom w:val="none" w:sz="0" w:space="0" w:color="auto"/>
        <w:right w:val="none" w:sz="0" w:space="0" w:color="auto"/>
      </w:divBdr>
    </w:div>
    <w:div w:id="434448967">
      <w:bodyDiv w:val="1"/>
      <w:marLeft w:val="0"/>
      <w:marRight w:val="0"/>
      <w:marTop w:val="0"/>
      <w:marBottom w:val="0"/>
      <w:divBdr>
        <w:top w:val="none" w:sz="0" w:space="0" w:color="auto"/>
        <w:left w:val="none" w:sz="0" w:space="0" w:color="auto"/>
        <w:bottom w:val="none" w:sz="0" w:space="0" w:color="auto"/>
        <w:right w:val="none" w:sz="0" w:space="0" w:color="auto"/>
      </w:divBdr>
    </w:div>
    <w:div w:id="440954328">
      <w:bodyDiv w:val="1"/>
      <w:marLeft w:val="0"/>
      <w:marRight w:val="0"/>
      <w:marTop w:val="0"/>
      <w:marBottom w:val="0"/>
      <w:divBdr>
        <w:top w:val="none" w:sz="0" w:space="0" w:color="auto"/>
        <w:left w:val="none" w:sz="0" w:space="0" w:color="auto"/>
        <w:bottom w:val="none" w:sz="0" w:space="0" w:color="auto"/>
        <w:right w:val="none" w:sz="0" w:space="0" w:color="auto"/>
      </w:divBdr>
    </w:div>
    <w:div w:id="441804600">
      <w:bodyDiv w:val="1"/>
      <w:marLeft w:val="0"/>
      <w:marRight w:val="0"/>
      <w:marTop w:val="0"/>
      <w:marBottom w:val="0"/>
      <w:divBdr>
        <w:top w:val="none" w:sz="0" w:space="0" w:color="auto"/>
        <w:left w:val="none" w:sz="0" w:space="0" w:color="auto"/>
        <w:bottom w:val="none" w:sz="0" w:space="0" w:color="auto"/>
        <w:right w:val="none" w:sz="0" w:space="0" w:color="auto"/>
      </w:divBdr>
    </w:div>
    <w:div w:id="447548584">
      <w:bodyDiv w:val="1"/>
      <w:marLeft w:val="0"/>
      <w:marRight w:val="0"/>
      <w:marTop w:val="0"/>
      <w:marBottom w:val="0"/>
      <w:divBdr>
        <w:top w:val="none" w:sz="0" w:space="0" w:color="auto"/>
        <w:left w:val="none" w:sz="0" w:space="0" w:color="auto"/>
        <w:bottom w:val="none" w:sz="0" w:space="0" w:color="auto"/>
        <w:right w:val="none" w:sz="0" w:space="0" w:color="auto"/>
      </w:divBdr>
    </w:div>
    <w:div w:id="450442641">
      <w:bodyDiv w:val="1"/>
      <w:marLeft w:val="0"/>
      <w:marRight w:val="0"/>
      <w:marTop w:val="0"/>
      <w:marBottom w:val="0"/>
      <w:divBdr>
        <w:top w:val="none" w:sz="0" w:space="0" w:color="auto"/>
        <w:left w:val="none" w:sz="0" w:space="0" w:color="auto"/>
        <w:bottom w:val="none" w:sz="0" w:space="0" w:color="auto"/>
        <w:right w:val="none" w:sz="0" w:space="0" w:color="auto"/>
      </w:divBdr>
    </w:div>
    <w:div w:id="451360419">
      <w:bodyDiv w:val="1"/>
      <w:marLeft w:val="0"/>
      <w:marRight w:val="0"/>
      <w:marTop w:val="0"/>
      <w:marBottom w:val="0"/>
      <w:divBdr>
        <w:top w:val="none" w:sz="0" w:space="0" w:color="auto"/>
        <w:left w:val="none" w:sz="0" w:space="0" w:color="auto"/>
        <w:bottom w:val="none" w:sz="0" w:space="0" w:color="auto"/>
        <w:right w:val="none" w:sz="0" w:space="0" w:color="auto"/>
      </w:divBdr>
      <w:divsChild>
        <w:div w:id="2003464918">
          <w:marLeft w:val="0"/>
          <w:marRight w:val="0"/>
          <w:marTop w:val="480"/>
          <w:marBottom w:val="0"/>
          <w:divBdr>
            <w:top w:val="none" w:sz="0" w:space="0" w:color="auto"/>
            <w:left w:val="none" w:sz="0" w:space="0" w:color="auto"/>
            <w:bottom w:val="none" w:sz="0" w:space="0" w:color="auto"/>
            <w:right w:val="none" w:sz="0" w:space="0" w:color="auto"/>
          </w:divBdr>
        </w:div>
      </w:divsChild>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53520983">
      <w:bodyDiv w:val="1"/>
      <w:marLeft w:val="0"/>
      <w:marRight w:val="0"/>
      <w:marTop w:val="0"/>
      <w:marBottom w:val="0"/>
      <w:divBdr>
        <w:top w:val="none" w:sz="0" w:space="0" w:color="auto"/>
        <w:left w:val="none" w:sz="0" w:space="0" w:color="auto"/>
        <w:bottom w:val="none" w:sz="0" w:space="0" w:color="auto"/>
        <w:right w:val="none" w:sz="0" w:space="0" w:color="auto"/>
      </w:divBdr>
    </w:div>
    <w:div w:id="454956516">
      <w:bodyDiv w:val="1"/>
      <w:marLeft w:val="0"/>
      <w:marRight w:val="0"/>
      <w:marTop w:val="0"/>
      <w:marBottom w:val="0"/>
      <w:divBdr>
        <w:top w:val="none" w:sz="0" w:space="0" w:color="auto"/>
        <w:left w:val="none" w:sz="0" w:space="0" w:color="auto"/>
        <w:bottom w:val="none" w:sz="0" w:space="0" w:color="auto"/>
        <w:right w:val="none" w:sz="0" w:space="0" w:color="auto"/>
      </w:divBdr>
    </w:div>
    <w:div w:id="468090551">
      <w:bodyDiv w:val="1"/>
      <w:marLeft w:val="0"/>
      <w:marRight w:val="0"/>
      <w:marTop w:val="0"/>
      <w:marBottom w:val="0"/>
      <w:divBdr>
        <w:top w:val="none" w:sz="0" w:space="0" w:color="auto"/>
        <w:left w:val="none" w:sz="0" w:space="0" w:color="auto"/>
        <w:bottom w:val="none" w:sz="0" w:space="0" w:color="auto"/>
        <w:right w:val="none" w:sz="0" w:space="0" w:color="auto"/>
      </w:divBdr>
    </w:div>
    <w:div w:id="474374814">
      <w:bodyDiv w:val="1"/>
      <w:marLeft w:val="0"/>
      <w:marRight w:val="0"/>
      <w:marTop w:val="0"/>
      <w:marBottom w:val="0"/>
      <w:divBdr>
        <w:top w:val="none" w:sz="0" w:space="0" w:color="auto"/>
        <w:left w:val="none" w:sz="0" w:space="0" w:color="auto"/>
        <w:bottom w:val="none" w:sz="0" w:space="0" w:color="auto"/>
        <w:right w:val="none" w:sz="0" w:space="0" w:color="auto"/>
      </w:divBdr>
    </w:div>
    <w:div w:id="476150771">
      <w:bodyDiv w:val="1"/>
      <w:marLeft w:val="0"/>
      <w:marRight w:val="0"/>
      <w:marTop w:val="0"/>
      <w:marBottom w:val="0"/>
      <w:divBdr>
        <w:top w:val="none" w:sz="0" w:space="0" w:color="auto"/>
        <w:left w:val="none" w:sz="0" w:space="0" w:color="auto"/>
        <w:bottom w:val="none" w:sz="0" w:space="0" w:color="auto"/>
        <w:right w:val="none" w:sz="0" w:space="0" w:color="auto"/>
      </w:divBdr>
    </w:div>
    <w:div w:id="484469127">
      <w:bodyDiv w:val="1"/>
      <w:marLeft w:val="0"/>
      <w:marRight w:val="0"/>
      <w:marTop w:val="0"/>
      <w:marBottom w:val="0"/>
      <w:divBdr>
        <w:top w:val="none" w:sz="0" w:space="0" w:color="auto"/>
        <w:left w:val="none" w:sz="0" w:space="0" w:color="auto"/>
        <w:bottom w:val="none" w:sz="0" w:space="0" w:color="auto"/>
        <w:right w:val="none" w:sz="0" w:space="0" w:color="auto"/>
      </w:divBdr>
    </w:div>
    <w:div w:id="490803392">
      <w:bodyDiv w:val="1"/>
      <w:marLeft w:val="0"/>
      <w:marRight w:val="0"/>
      <w:marTop w:val="0"/>
      <w:marBottom w:val="0"/>
      <w:divBdr>
        <w:top w:val="none" w:sz="0" w:space="0" w:color="auto"/>
        <w:left w:val="none" w:sz="0" w:space="0" w:color="auto"/>
        <w:bottom w:val="none" w:sz="0" w:space="0" w:color="auto"/>
        <w:right w:val="none" w:sz="0" w:space="0" w:color="auto"/>
      </w:divBdr>
    </w:div>
    <w:div w:id="501049668">
      <w:bodyDiv w:val="1"/>
      <w:marLeft w:val="0"/>
      <w:marRight w:val="0"/>
      <w:marTop w:val="0"/>
      <w:marBottom w:val="0"/>
      <w:divBdr>
        <w:top w:val="none" w:sz="0" w:space="0" w:color="auto"/>
        <w:left w:val="none" w:sz="0" w:space="0" w:color="auto"/>
        <w:bottom w:val="none" w:sz="0" w:space="0" w:color="auto"/>
        <w:right w:val="none" w:sz="0" w:space="0" w:color="auto"/>
      </w:divBdr>
    </w:div>
    <w:div w:id="503394838">
      <w:bodyDiv w:val="1"/>
      <w:marLeft w:val="0"/>
      <w:marRight w:val="0"/>
      <w:marTop w:val="0"/>
      <w:marBottom w:val="0"/>
      <w:divBdr>
        <w:top w:val="none" w:sz="0" w:space="0" w:color="auto"/>
        <w:left w:val="none" w:sz="0" w:space="0" w:color="auto"/>
        <w:bottom w:val="none" w:sz="0" w:space="0" w:color="auto"/>
        <w:right w:val="none" w:sz="0" w:space="0" w:color="auto"/>
      </w:divBdr>
    </w:div>
    <w:div w:id="508788510">
      <w:bodyDiv w:val="1"/>
      <w:marLeft w:val="0"/>
      <w:marRight w:val="0"/>
      <w:marTop w:val="0"/>
      <w:marBottom w:val="0"/>
      <w:divBdr>
        <w:top w:val="none" w:sz="0" w:space="0" w:color="auto"/>
        <w:left w:val="none" w:sz="0" w:space="0" w:color="auto"/>
        <w:bottom w:val="none" w:sz="0" w:space="0" w:color="auto"/>
        <w:right w:val="none" w:sz="0" w:space="0" w:color="auto"/>
      </w:divBdr>
    </w:div>
    <w:div w:id="509493165">
      <w:bodyDiv w:val="1"/>
      <w:marLeft w:val="0"/>
      <w:marRight w:val="0"/>
      <w:marTop w:val="0"/>
      <w:marBottom w:val="0"/>
      <w:divBdr>
        <w:top w:val="none" w:sz="0" w:space="0" w:color="auto"/>
        <w:left w:val="none" w:sz="0" w:space="0" w:color="auto"/>
        <w:bottom w:val="none" w:sz="0" w:space="0" w:color="auto"/>
        <w:right w:val="none" w:sz="0" w:space="0" w:color="auto"/>
      </w:divBdr>
    </w:div>
    <w:div w:id="519046100">
      <w:bodyDiv w:val="1"/>
      <w:marLeft w:val="0"/>
      <w:marRight w:val="0"/>
      <w:marTop w:val="0"/>
      <w:marBottom w:val="0"/>
      <w:divBdr>
        <w:top w:val="none" w:sz="0" w:space="0" w:color="auto"/>
        <w:left w:val="none" w:sz="0" w:space="0" w:color="auto"/>
        <w:bottom w:val="none" w:sz="0" w:space="0" w:color="auto"/>
        <w:right w:val="none" w:sz="0" w:space="0" w:color="auto"/>
      </w:divBdr>
    </w:div>
    <w:div w:id="521668264">
      <w:bodyDiv w:val="1"/>
      <w:marLeft w:val="0"/>
      <w:marRight w:val="0"/>
      <w:marTop w:val="0"/>
      <w:marBottom w:val="0"/>
      <w:divBdr>
        <w:top w:val="none" w:sz="0" w:space="0" w:color="auto"/>
        <w:left w:val="none" w:sz="0" w:space="0" w:color="auto"/>
        <w:bottom w:val="none" w:sz="0" w:space="0" w:color="auto"/>
        <w:right w:val="none" w:sz="0" w:space="0" w:color="auto"/>
      </w:divBdr>
    </w:div>
    <w:div w:id="525099285">
      <w:bodyDiv w:val="1"/>
      <w:marLeft w:val="0"/>
      <w:marRight w:val="0"/>
      <w:marTop w:val="0"/>
      <w:marBottom w:val="0"/>
      <w:divBdr>
        <w:top w:val="none" w:sz="0" w:space="0" w:color="auto"/>
        <w:left w:val="none" w:sz="0" w:space="0" w:color="auto"/>
        <w:bottom w:val="none" w:sz="0" w:space="0" w:color="auto"/>
        <w:right w:val="none" w:sz="0" w:space="0" w:color="auto"/>
      </w:divBdr>
    </w:div>
    <w:div w:id="553737041">
      <w:bodyDiv w:val="1"/>
      <w:marLeft w:val="0"/>
      <w:marRight w:val="0"/>
      <w:marTop w:val="0"/>
      <w:marBottom w:val="0"/>
      <w:divBdr>
        <w:top w:val="none" w:sz="0" w:space="0" w:color="auto"/>
        <w:left w:val="none" w:sz="0" w:space="0" w:color="auto"/>
        <w:bottom w:val="none" w:sz="0" w:space="0" w:color="auto"/>
        <w:right w:val="none" w:sz="0" w:space="0" w:color="auto"/>
      </w:divBdr>
    </w:div>
    <w:div w:id="555511765">
      <w:bodyDiv w:val="1"/>
      <w:marLeft w:val="0"/>
      <w:marRight w:val="0"/>
      <w:marTop w:val="0"/>
      <w:marBottom w:val="0"/>
      <w:divBdr>
        <w:top w:val="none" w:sz="0" w:space="0" w:color="auto"/>
        <w:left w:val="none" w:sz="0" w:space="0" w:color="auto"/>
        <w:bottom w:val="none" w:sz="0" w:space="0" w:color="auto"/>
        <w:right w:val="none" w:sz="0" w:space="0" w:color="auto"/>
      </w:divBdr>
    </w:div>
    <w:div w:id="566913014">
      <w:bodyDiv w:val="1"/>
      <w:marLeft w:val="0"/>
      <w:marRight w:val="0"/>
      <w:marTop w:val="0"/>
      <w:marBottom w:val="0"/>
      <w:divBdr>
        <w:top w:val="none" w:sz="0" w:space="0" w:color="auto"/>
        <w:left w:val="none" w:sz="0" w:space="0" w:color="auto"/>
        <w:bottom w:val="none" w:sz="0" w:space="0" w:color="auto"/>
        <w:right w:val="none" w:sz="0" w:space="0" w:color="auto"/>
      </w:divBdr>
    </w:div>
    <w:div w:id="567804797">
      <w:bodyDiv w:val="1"/>
      <w:marLeft w:val="0"/>
      <w:marRight w:val="0"/>
      <w:marTop w:val="0"/>
      <w:marBottom w:val="0"/>
      <w:divBdr>
        <w:top w:val="none" w:sz="0" w:space="0" w:color="auto"/>
        <w:left w:val="none" w:sz="0" w:space="0" w:color="auto"/>
        <w:bottom w:val="none" w:sz="0" w:space="0" w:color="auto"/>
        <w:right w:val="none" w:sz="0" w:space="0" w:color="auto"/>
      </w:divBdr>
    </w:div>
    <w:div w:id="568002085">
      <w:bodyDiv w:val="1"/>
      <w:marLeft w:val="0"/>
      <w:marRight w:val="0"/>
      <w:marTop w:val="0"/>
      <w:marBottom w:val="0"/>
      <w:divBdr>
        <w:top w:val="none" w:sz="0" w:space="0" w:color="auto"/>
        <w:left w:val="none" w:sz="0" w:space="0" w:color="auto"/>
        <w:bottom w:val="none" w:sz="0" w:space="0" w:color="auto"/>
        <w:right w:val="none" w:sz="0" w:space="0" w:color="auto"/>
      </w:divBdr>
    </w:div>
    <w:div w:id="569195080">
      <w:bodyDiv w:val="1"/>
      <w:marLeft w:val="0"/>
      <w:marRight w:val="0"/>
      <w:marTop w:val="0"/>
      <w:marBottom w:val="0"/>
      <w:divBdr>
        <w:top w:val="none" w:sz="0" w:space="0" w:color="auto"/>
        <w:left w:val="none" w:sz="0" w:space="0" w:color="auto"/>
        <w:bottom w:val="none" w:sz="0" w:space="0" w:color="auto"/>
        <w:right w:val="none" w:sz="0" w:space="0" w:color="auto"/>
      </w:divBdr>
    </w:div>
    <w:div w:id="570700683">
      <w:bodyDiv w:val="1"/>
      <w:marLeft w:val="0"/>
      <w:marRight w:val="0"/>
      <w:marTop w:val="0"/>
      <w:marBottom w:val="0"/>
      <w:divBdr>
        <w:top w:val="none" w:sz="0" w:space="0" w:color="auto"/>
        <w:left w:val="none" w:sz="0" w:space="0" w:color="auto"/>
        <w:bottom w:val="none" w:sz="0" w:space="0" w:color="auto"/>
        <w:right w:val="none" w:sz="0" w:space="0" w:color="auto"/>
      </w:divBdr>
      <w:divsChild>
        <w:div w:id="1834298899">
          <w:marLeft w:val="274"/>
          <w:marRight w:val="0"/>
          <w:marTop w:val="0"/>
          <w:marBottom w:val="0"/>
          <w:divBdr>
            <w:top w:val="none" w:sz="0" w:space="0" w:color="auto"/>
            <w:left w:val="none" w:sz="0" w:space="0" w:color="auto"/>
            <w:bottom w:val="none" w:sz="0" w:space="0" w:color="auto"/>
            <w:right w:val="none" w:sz="0" w:space="0" w:color="auto"/>
          </w:divBdr>
        </w:div>
      </w:divsChild>
    </w:div>
    <w:div w:id="571545188">
      <w:bodyDiv w:val="1"/>
      <w:marLeft w:val="0"/>
      <w:marRight w:val="0"/>
      <w:marTop w:val="0"/>
      <w:marBottom w:val="0"/>
      <w:divBdr>
        <w:top w:val="none" w:sz="0" w:space="0" w:color="auto"/>
        <w:left w:val="none" w:sz="0" w:space="0" w:color="auto"/>
        <w:bottom w:val="none" w:sz="0" w:space="0" w:color="auto"/>
        <w:right w:val="none" w:sz="0" w:space="0" w:color="auto"/>
      </w:divBdr>
    </w:div>
    <w:div w:id="573441378">
      <w:bodyDiv w:val="1"/>
      <w:marLeft w:val="0"/>
      <w:marRight w:val="0"/>
      <w:marTop w:val="0"/>
      <w:marBottom w:val="0"/>
      <w:divBdr>
        <w:top w:val="none" w:sz="0" w:space="0" w:color="auto"/>
        <w:left w:val="none" w:sz="0" w:space="0" w:color="auto"/>
        <w:bottom w:val="none" w:sz="0" w:space="0" w:color="auto"/>
        <w:right w:val="none" w:sz="0" w:space="0" w:color="auto"/>
      </w:divBdr>
    </w:div>
    <w:div w:id="581455613">
      <w:bodyDiv w:val="1"/>
      <w:marLeft w:val="0"/>
      <w:marRight w:val="0"/>
      <w:marTop w:val="0"/>
      <w:marBottom w:val="0"/>
      <w:divBdr>
        <w:top w:val="none" w:sz="0" w:space="0" w:color="auto"/>
        <w:left w:val="none" w:sz="0" w:space="0" w:color="auto"/>
        <w:bottom w:val="none" w:sz="0" w:space="0" w:color="auto"/>
        <w:right w:val="none" w:sz="0" w:space="0" w:color="auto"/>
      </w:divBdr>
    </w:div>
    <w:div w:id="582490728">
      <w:bodyDiv w:val="1"/>
      <w:marLeft w:val="0"/>
      <w:marRight w:val="0"/>
      <w:marTop w:val="0"/>
      <w:marBottom w:val="0"/>
      <w:divBdr>
        <w:top w:val="none" w:sz="0" w:space="0" w:color="auto"/>
        <w:left w:val="none" w:sz="0" w:space="0" w:color="auto"/>
        <w:bottom w:val="none" w:sz="0" w:space="0" w:color="auto"/>
        <w:right w:val="none" w:sz="0" w:space="0" w:color="auto"/>
      </w:divBdr>
    </w:div>
    <w:div w:id="586117523">
      <w:bodyDiv w:val="1"/>
      <w:marLeft w:val="0"/>
      <w:marRight w:val="0"/>
      <w:marTop w:val="0"/>
      <w:marBottom w:val="0"/>
      <w:divBdr>
        <w:top w:val="none" w:sz="0" w:space="0" w:color="auto"/>
        <w:left w:val="none" w:sz="0" w:space="0" w:color="auto"/>
        <w:bottom w:val="none" w:sz="0" w:space="0" w:color="auto"/>
        <w:right w:val="none" w:sz="0" w:space="0" w:color="auto"/>
      </w:divBdr>
    </w:div>
    <w:div w:id="586764494">
      <w:bodyDiv w:val="1"/>
      <w:marLeft w:val="0"/>
      <w:marRight w:val="0"/>
      <w:marTop w:val="0"/>
      <w:marBottom w:val="0"/>
      <w:divBdr>
        <w:top w:val="none" w:sz="0" w:space="0" w:color="auto"/>
        <w:left w:val="none" w:sz="0" w:space="0" w:color="auto"/>
        <w:bottom w:val="none" w:sz="0" w:space="0" w:color="auto"/>
        <w:right w:val="none" w:sz="0" w:space="0" w:color="auto"/>
      </w:divBdr>
    </w:div>
    <w:div w:id="618533988">
      <w:bodyDiv w:val="1"/>
      <w:marLeft w:val="0"/>
      <w:marRight w:val="0"/>
      <w:marTop w:val="0"/>
      <w:marBottom w:val="0"/>
      <w:divBdr>
        <w:top w:val="none" w:sz="0" w:space="0" w:color="auto"/>
        <w:left w:val="none" w:sz="0" w:space="0" w:color="auto"/>
        <w:bottom w:val="none" w:sz="0" w:space="0" w:color="auto"/>
        <w:right w:val="none" w:sz="0" w:space="0" w:color="auto"/>
      </w:divBdr>
    </w:div>
    <w:div w:id="624852435">
      <w:bodyDiv w:val="1"/>
      <w:marLeft w:val="0"/>
      <w:marRight w:val="0"/>
      <w:marTop w:val="0"/>
      <w:marBottom w:val="0"/>
      <w:divBdr>
        <w:top w:val="none" w:sz="0" w:space="0" w:color="auto"/>
        <w:left w:val="none" w:sz="0" w:space="0" w:color="auto"/>
        <w:bottom w:val="none" w:sz="0" w:space="0" w:color="auto"/>
        <w:right w:val="none" w:sz="0" w:space="0" w:color="auto"/>
      </w:divBdr>
    </w:div>
    <w:div w:id="626350015">
      <w:bodyDiv w:val="1"/>
      <w:marLeft w:val="0"/>
      <w:marRight w:val="0"/>
      <w:marTop w:val="0"/>
      <w:marBottom w:val="0"/>
      <w:divBdr>
        <w:top w:val="none" w:sz="0" w:space="0" w:color="auto"/>
        <w:left w:val="none" w:sz="0" w:space="0" w:color="auto"/>
        <w:bottom w:val="none" w:sz="0" w:space="0" w:color="auto"/>
        <w:right w:val="none" w:sz="0" w:space="0" w:color="auto"/>
      </w:divBdr>
    </w:div>
    <w:div w:id="632368851">
      <w:bodyDiv w:val="1"/>
      <w:marLeft w:val="0"/>
      <w:marRight w:val="0"/>
      <w:marTop w:val="0"/>
      <w:marBottom w:val="0"/>
      <w:divBdr>
        <w:top w:val="none" w:sz="0" w:space="0" w:color="auto"/>
        <w:left w:val="none" w:sz="0" w:space="0" w:color="auto"/>
        <w:bottom w:val="none" w:sz="0" w:space="0" w:color="auto"/>
        <w:right w:val="none" w:sz="0" w:space="0" w:color="auto"/>
      </w:divBdr>
    </w:div>
    <w:div w:id="632715445">
      <w:bodyDiv w:val="1"/>
      <w:marLeft w:val="0"/>
      <w:marRight w:val="0"/>
      <w:marTop w:val="0"/>
      <w:marBottom w:val="0"/>
      <w:divBdr>
        <w:top w:val="none" w:sz="0" w:space="0" w:color="auto"/>
        <w:left w:val="none" w:sz="0" w:space="0" w:color="auto"/>
        <w:bottom w:val="none" w:sz="0" w:space="0" w:color="auto"/>
        <w:right w:val="none" w:sz="0" w:space="0" w:color="auto"/>
      </w:divBdr>
    </w:div>
    <w:div w:id="643045292">
      <w:bodyDiv w:val="1"/>
      <w:marLeft w:val="0"/>
      <w:marRight w:val="0"/>
      <w:marTop w:val="0"/>
      <w:marBottom w:val="0"/>
      <w:divBdr>
        <w:top w:val="none" w:sz="0" w:space="0" w:color="auto"/>
        <w:left w:val="none" w:sz="0" w:space="0" w:color="auto"/>
        <w:bottom w:val="none" w:sz="0" w:space="0" w:color="auto"/>
        <w:right w:val="none" w:sz="0" w:space="0" w:color="auto"/>
      </w:divBdr>
    </w:div>
    <w:div w:id="674456765">
      <w:bodyDiv w:val="1"/>
      <w:marLeft w:val="0"/>
      <w:marRight w:val="0"/>
      <w:marTop w:val="0"/>
      <w:marBottom w:val="0"/>
      <w:divBdr>
        <w:top w:val="none" w:sz="0" w:space="0" w:color="auto"/>
        <w:left w:val="none" w:sz="0" w:space="0" w:color="auto"/>
        <w:bottom w:val="none" w:sz="0" w:space="0" w:color="auto"/>
        <w:right w:val="none" w:sz="0" w:space="0" w:color="auto"/>
      </w:divBdr>
    </w:div>
    <w:div w:id="685670168">
      <w:bodyDiv w:val="1"/>
      <w:marLeft w:val="0"/>
      <w:marRight w:val="0"/>
      <w:marTop w:val="0"/>
      <w:marBottom w:val="0"/>
      <w:divBdr>
        <w:top w:val="none" w:sz="0" w:space="0" w:color="auto"/>
        <w:left w:val="none" w:sz="0" w:space="0" w:color="auto"/>
        <w:bottom w:val="none" w:sz="0" w:space="0" w:color="auto"/>
        <w:right w:val="none" w:sz="0" w:space="0" w:color="auto"/>
      </w:divBdr>
    </w:div>
    <w:div w:id="698311350">
      <w:bodyDiv w:val="1"/>
      <w:marLeft w:val="0"/>
      <w:marRight w:val="0"/>
      <w:marTop w:val="0"/>
      <w:marBottom w:val="0"/>
      <w:divBdr>
        <w:top w:val="none" w:sz="0" w:space="0" w:color="auto"/>
        <w:left w:val="none" w:sz="0" w:space="0" w:color="auto"/>
        <w:bottom w:val="none" w:sz="0" w:space="0" w:color="auto"/>
        <w:right w:val="none" w:sz="0" w:space="0" w:color="auto"/>
      </w:divBdr>
    </w:div>
    <w:div w:id="703362935">
      <w:bodyDiv w:val="1"/>
      <w:marLeft w:val="0"/>
      <w:marRight w:val="0"/>
      <w:marTop w:val="0"/>
      <w:marBottom w:val="0"/>
      <w:divBdr>
        <w:top w:val="none" w:sz="0" w:space="0" w:color="auto"/>
        <w:left w:val="none" w:sz="0" w:space="0" w:color="auto"/>
        <w:bottom w:val="none" w:sz="0" w:space="0" w:color="auto"/>
        <w:right w:val="none" w:sz="0" w:space="0" w:color="auto"/>
      </w:divBdr>
    </w:div>
    <w:div w:id="710113343">
      <w:bodyDiv w:val="1"/>
      <w:marLeft w:val="0"/>
      <w:marRight w:val="0"/>
      <w:marTop w:val="0"/>
      <w:marBottom w:val="0"/>
      <w:divBdr>
        <w:top w:val="none" w:sz="0" w:space="0" w:color="auto"/>
        <w:left w:val="none" w:sz="0" w:space="0" w:color="auto"/>
        <w:bottom w:val="none" w:sz="0" w:space="0" w:color="auto"/>
        <w:right w:val="none" w:sz="0" w:space="0" w:color="auto"/>
      </w:divBdr>
      <w:divsChild>
        <w:div w:id="1545169665">
          <w:marLeft w:val="274"/>
          <w:marRight w:val="0"/>
          <w:marTop w:val="0"/>
          <w:marBottom w:val="0"/>
          <w:divBdr>
            <w:top w:val="none" w:sz="0" w:space="0" w:color="auto"/>
            <w:left w:val="none" w:sz="0" w:space="0" w:color="auto"/>
            <w:bottom w:val="none" w:sz="0" w:space="0" w:color="auto"/>
            <w:right w:val="none" w:sz="0" w:space="0" w:color="auto"/>
          </w:divBdr>
        </w:div>
      </w:divsChild>
    </w:div>
    <w:div w:id="710150280">
      <w:bodyDiv w:val="1"/>
      <w:marLeft w:val="0"/>
      <w:marRight w:val="0"/>
      <w:marTop w:val="0"/>
      <w:marBottom w:val="0"/>
      <w:divBdr>
        <w:top w:val="none" w:sz="0" w:space="0" w:color="auto"/>
        <w:left w:val="none" w:sz="0" w:space="0" w:color="auto"/>
        <w:bottom w:val="none" w:sz="0" w:space="0" w:color="auto"/>
        <w:right w:val="none" w:sz="0" w:space="0" w:color="auto"/>
      </w:divBdr>
    </w:div>
    <w:div w:id="715199605">
      <w:bodyDiv w:val="1"/>
      <w:marLeft w:val="0"/>
      <w:marRight w:val="0"/>
      <w:marTop w:val="0"/>
      <w:marBottom w:val="0"/>
      <w:divBdr>
        <w:top w:val="none" w:sz="0" w:space="0" w:color="auto"/>
        <w:left w:val="none" w:sz="0" w:space="0" w:color="auto"/>
        <w:bottom w:val="none" w:sz="0" w:space="0" w:color="auto"/>
        <w:right w:val="none" w:sz="0" w:space="0" w:color="auto"/>
      </w:divBdr>
    </w:div>
    <w:div w:id="715542117">
      <w:bodyDiv w:val="1"/>
      <w:marLeft w:val="0"/>
      <w:marRight w:val="0"/>
      <w:marTop w:val="0"/>
      <w:marBottom w:val="0"/>
      <w:divBdr>
        <w:top w:val="none" w:sz="0" w:space="0" w:color="auto"/>
        <w:left w:val="none" w:sz="0" w:space="0" w:color="auto"/>
        <w:bottom w:val="none" w:sz="0" w:space="0" w:color="auto"/>
        <w:right w:val="none" w:sz="0" w:space="0" w:color="auto"/>
      </w:divBdr>
      <w:divsChild>
        <w:div w:id="162090055">
          <w:marLeft w:val="850"/>
          <w:marRight w:val="0"/>
          <w:marTop w:val="0"/>
          <w:marBottom w:val="120"/>
          <w:divBdr>
            <w:top w:val="none" w:sz="0" w:space="0" w:color="auto"/>
            <w:left w:val="none" w:sz="0" w:space="0" w:color="auto"/>
            <w:bottom w:val="none" w:sz="0" w:space="0" w:color="auto"/>
            <w:right w:val="none" w:sz="0" w:space="0" w:color="auto"/>
          </w:divBdr>
        </w:div>
        <w:div w:id="217713199">
          <w:marLeft w:val="850"/>
          <w:marRight w:val="0"/>
          <w:marTop w:val="0"/>
          <w:marBottom w:val="120"/>
          <w:divBdr>
            <w:top w:val="none" w:sz="0" w:space="0" w:color="auto"/>
            <w:left w:val="none" w:sz="0" w:space="0" w:color="auto"/>
            <w:bottom w:val="none" w:sz="0" w:space="0" w:color="auto"/>
            <w:right w:val="none" w:sz="0" w:space="0" w:color="auto"/>
          </w:divBdr>
        </w:div>
        <w:div w:id="464200202">
          <w:marLeft w:val="274"/>
          <w:marRight w:val="0"/>
          <w:marTop w:val="0"/>
          <w:marBottom w:val="120"/>
          <w:divBdr>
            <w:top w:val="none" w:sz="0" w:space="0" w:color="auto"/>
            <w:left w:val="none" w:sz="0" w:space="0" w:color="auto"/>
            <w:bottom w:val="none" w:sz="0" w:space="0" w:color="auto"/>
            <w:right w:val="none" w:sz="0" w:space="0" w:color="auto"/>
          </w:divBdr>
        </w:div>
        <w:div w:id="523131050">
          <w:marLeft w:val="850"/>
          <w:marRight w:val="0"/>
          <w:marTop w:val="0"/>
          <w:marBottom w:val="120"/>
          <w:divBdr>
            <w:top w:val="none" w:sz="0" w:space="0" w:color="auto"/>
            <w:left w:val="none" w:sz="0" w:space="0" w:color="auto"/>
            <w:bottom w:val="none" w:sz="0" w:space="0" w:color="auto"/>
            <w:right w:val="none" w:sz="0" w:space="0" w:color="auto"/>
          </w:divBdr>
        </w:div>
        <w:div w:id="1290278696">
          <w:marLeft w:val="274"/>
          <w:marRight w:val="0"/>
          <w:marTop w:val="0"/>
          <w:marBottom w:val="120"/>
          <w:divBdr>
            <w:top w:val="none" w:sz="0" w:space="0" w:color="auto"/>
            <w:left w:val="none" w:sz="0" w:space="0" w:color="auto"/>
            <w:bottom w:val="none" w:sz="0" w:space="0" w:color="auto"/>
            <w:right w:val="none" w:sz="0" w:space="0" w:color="auto"/>
          </w:divBdr>
        </w:div>
        <w:div w:id="1306205094">
          <w:marLeft w:val="274"/>
          <w:marRight w:val="0"/>
          <w:marTop w:val="0"/>
          <w:marBottom w:val="120"/>
          <w:divBdr>
            <w:top w:val="none" w:sz="0" w:space="0" w:color="auto"/>
            <w:left w:val="none" w:sz="0" w:space="0" w:color="auto"/>
            <w:bottom w:val="none" w:sz="0" w:space="0" w:color="auto"/>
            <w:right w:val="none" w:sz="0" w:space="0" w:color="auto"/>
          </w:divBdr>
        </w:div>
        <w:div w:id="1344817051">
          <w:marLeft w:val="274"/>
          <w:marRight w:val="0"/>
          <w:marTop w:val="0"/>
          <w:marBottom w:val="120"/>
          <w:divBdr>
            <w:top w:val="none" w:sz="0" w:space="0" w:color="auto"/>
            <w:left w:val="none" w:sz="0" w:space="0" w:color="auto"/>
            <w:bottom w:val="none" w:sz="0" w:space="0" w:color="auto"/>
            <w:right w:val="none" w:sz="0" w:space="0" w:color="auto"/>
          </w:divBdr>
        </w:div>
        <w:div w:id="1746877492">
          <w:marLeft w:val="850"/>
          <w:marRight w:val="0"/>
          <w:marTop w:val="0"/>
          <w:marBottom w:val="120"/>
          <w:divBdr>
            <w:top w:val="none" w:sz="0" w:space="0" w:color="auto"/>
            <w:left w:val="none" w:sz="0" w:space="0" w:color="auto"/>
            <w:bottom w:val="none" w:sz="0" w:space="0" w:color="auto"/>
            <w:right w:val="none" w:sz="0" w:space="0" w:color="auto"/>
          </w:divBdr>
        </w:div>
        <w:div w:id="1943143370">
          <w:marLeft w:val="274"/>
          <w:marRight w:val="0"/>
          <w:marTop w:val="0"/>
          <w:marBottom w:val="120"/>
          <w:divBdr>
            <w:top w:val="none" w:sz="0" w:space="0" w:color="auto"/>
            <w:left w:val="none" w:sz="0" w:space="0" w:color="auto"/>
            <w:bottom w:val="none" w:sz="0" w:space="0" w:color="auto"/>
            <w:right w:val="none" w:sz="0" w:space="0" w:color="auto"/>
          </w:divBdr>
        </w:div>
      </w:divsChild>
    </w:div>
    <w:div w:id="722143471">
      <w:bodyDiv w:val="1"/>
      <w:marLeft w:val="0"/>
      <w:marRight w:val="0"/>
      <w:marTop w:val="0"/>
      <w:marBottom w:val="0"/>
      <w:divBdr>
        <w:top w:val="none" w:sz="0" w:space="0" w:color="auto"/>
        <w:left w:val="none" w:sz="0" w:space="0" w:color="auto"/>
        <w:bottom w:val="none" w:sz="0" w:space="0" w:color="auto"/>
        <w:right w:val="none" w:sz="0" w:space="0" w:color="auto"/>
      </w:divBdr>
    </w:div>
    <w:div w:id="743379483">
      <w:bodyDiv w:val="1"/>
      <w:marLeft w:val="0"/>
      <w:marRight w:val="0"/>
      <w:marTop w:val="0"/>
      <w:marBottom w:val="0"/>
      <w:divBdr>
        <w:top w:val="none" w:sz="0" w:space="0" w:color="auto"/>
        <w:left w:val="none" w:sz="0" w:space="0" w:color="auto"/>
        <w:bottom w:val="none" w:sz="0" w:space="0" w:color="auto"/>
        <w:right w:val="none" w:sz="0" w:space="0" w:color="auto"/>
      </w:divBdr>
    </w:div>
    <w:div w:id="747457045">
      <w:bodyDiv w:val="1"/>
      <w:marLeft w:val="0"/>
      <w:marRight w:val="0"/>
      <w:marTop w:val="0"/>
      <w:marBottom w:val="0"/>
      <w:divBdr>
        <w:top w:val="none" w:sz="0" w:space="0" w:color="auto"/>
        <w:left w:val="none" w:sz="0" w:space="0" w:color="auto"/>
        <w:bottom w:val="none" w:sz="0" w:space="0" w:color="auto"/>
        <w:right w:val="none" w:sz="0" w:space="0" w:color="auto"/>
      </w:divBdr>
    </w:div>
    <w:div w:id="765342605">
      <w:bodyDiv w:val="1"/>
      <w:marLeft w:val="0"/>
      <w:marRight w:val="0"/>
      <w:marTop w:val="0"/>
      <w:marBottom w:val="0"/>
      <w:divBdr>
        <w:top w:val="none" w:sz="0" w:space="0" w:color="auto"/>
        <w:left w:val="none" w:sz="0" w:space="0" w:color="auto"/>
        <w:bottom w:val="none" w:sz="0" w:space="0" w:color="auto"/>
        <w:right w:val="none" w:sz="0" w:space="0" w:color="auto"/>
      </w:divBdr>
    </w:div>
    <w:div w:id="772896096">
      <w:bodyDiv w:val="1"/>
      <w:marLeft w:val="0"/>
      <w:marRight w:val="0"/>
      <w:marTop w:val="0"/>
      <w:marBottom w:val="0"/>
      <w:divBdr>
        <w:top w:val="none" w:sz="0" w:space="0" w:color="auto"/>
        <w:left w:val="none" w:sz="0" w:space="0" w:color="auto"/>
        <w:bottom w:val="none" w:sz="0" w:space="0" w:color="auto"/>
        <w:right w:val="none" w:sz="0" w:space="0" w:color="auto"/>
      </w:divBdr>
    </w:div>
    <w:div w:id="813764451">
      <w:bodyDiv w:val="1"/>
      <w:marLeft w:val="0"/>
      <w:marRight w:val="0"/>
      <w:marTop w:val="0"/>
      <w:marBottom w:val="0"/>
      <w:divBdr>
        <w:top w:val="none" w:sz="0" w:space="0" w:color="auto"/>
        <w:left w:val="none" w:sz="0" w:space="0" w:color="auto"/>
        <w:bottom w:val="none" w:sz="0" w:space="0" w:color="auto"/>
        <w:right w:val="none" w:sz="0" w:space="0" w:color="auto"/>
      </w:divBdr>
    </w:div>
    <w:div w:id="816185354">
      <w:bodyDiv w:val="1"/>
      <w:marLeft w:val="0"/>
      <w:marRight w:val="0"/>
      <w:marTop w:val="0"/>
      <w:marBottom w:val="0"/>
      <w:divBdr>
        <w:top w:val="none" w:sz="0" w:space="0" w:color="auto"/>
        <w:left w:val="none" w:sz="0" w:space="0" w:color="auto"/>
        <w:bottom w:val="none" w:sz="0" w:space="0" w:color="auto"/>
        <w:right w:val="none" w:sz="0" w:space="0" w:color="auto"/>
      </w:divBdr>
    </w:div>
    <w:div w:id="824318298">
      <w:bodyDiv w:val="1"/>
      <w:marLeft w:val="0"/>
      <w:marRight w:val="0"/>
      <w:marTop w:val="0"/>
      <w:marBottom w:val="0"/>
      <w:divBdr>
        <w:top w:val="none" w:sz="0" w:space="0" w:color="auto"/>
        <w:left w:val="none" w:sz="0" w:space="0" w:color="auto"/>
        <w:bottom w:val="none" w:sz="0" w:space="0" w:color="auto"/>
        <w:right w:val="none" w:sz="0" w:space="0" w:color="auto"/>
      </w:divBdr>
    </w:div>
    <w:div w:id="829441118">
      <w:bodyDiv w:val="1"/>
      <w:marLeft w:val="0"/>
      <w:marRight w:val="0"/>
      <w:marTop w:val="0"/>
      <w:marBottom w:val="0"/>
      <w:divBdr>
        <w:top w:val="none" w:sz="0" w:space="0" w:color="auto"/>
        <w:left w:val="none" w:sz="0" w:space="0" w:color="auto"/>
        <w:bottom w:val="none" w:sz="0" w:space="0" w:color="auto"/>
        <w:right w:val="none" w:sz="0" w:space="0" w:color="auto"/>
      </w:divBdr>
    </w:div>
    <w:div w:id="835193905">
      <w:bodyDiv w:val="1"/>
      <w:marLeft w:val="0"/>
      <w:marRight w:val="0"/>
      <w:marTop w:val="0"/>
      <w:marBottom w:val="0"/>
      <w:divBdr>
        <w:top w:val="none" w:sz="0" w:space="0" w:color="auto"/>
        <w:left w:val="none" w:sz="0" w:space="0" w:color="auto"/>
        <w:bottom w:val="none" w:sz="0" w:space="0" w:color="auto"/>
        <w:right w:val="none" w:sz="0" w:space="0" w:color="auto"/>
      </w:divBdr>
    </w:div>
    <w:div w:id="835460496">
      <w:bodyDiv w:val="1"/>
      <w:marLeft w:val="0"/>
      <w:marRight w:val="0"/>
      <w:marTop w:val="0"/>
      <w:marBottom w:val="0"/>
      <w:divBdr>
        <w:top w:val="none" w:sz="0" w:space="0" w:color="auto"/>
        <w:left w:val="none" w:sz="0" w:space="0" w:color="auto"/>
        <w:bottom w:val="none" w:sz="0" w:space="0" w:color="auto"/>
        <w:right w:val="none" w:sz="0" w:space="0" w:color="auto"/>
      </w:divBdr>
    </w:div>
    <w:div w:id="843009695">
      <w:bodyDiv w:val="1"/>
      <w:marLeft w:val="0"/>
      <w:marRight w:val="0"/>
      <w:marTop w:val="0"/>
      <w:marBottom w:val="0"/>
      <w:divBdr>
        <w:top w:val="none" w:sz="0" w:space="0" w:color="auto"/>
        <w:left w:val="none" w:sz="0" w:space="0" w:color="auto"/>
        <w:bottom w:val="none" w:sz="0" w:space="0" w:color="auto"/>
        <w:right w:val="none" w:sz="0" w:space="0" w:color="auto"/>
      </w:divBdr>
      <w:divsChild>
        <w:div w:id="357505811">
          <w:marLeft w:val="274"/>
          <w:marRight w:val="0"/>
          <w:marTop w:val="0"/>
          <w:marBottom w:val="0"/>
          <w:divBdr>
            <w:top w:val="none" w:sz="0" w:space="0" w:color="auto"/>
            <w:left w:val="none" w:sz="0" w:space="0" w:color="auto"/>
            <w:bottom w:val="none" w:sz="0" w:space="0" w:color="auto"/>
            <w:right w:val="none" w:sz="0" w:space="0" w:color="auto"/>
          </w:divBdr>
        </w:div>
      </w:divsChild>
    </w:div>
    <w:div w:id="843251830">
      <w:bodyDiv w:val="1"/>
      <w:marLeft w:val="0"/>
      <w:marRight w:val="0"/>
      <w:marTop w:val="0"/>
      <w:marBottom w:val="0"/>
      <w:divBdr>
        <w:top w:val="none" w:sz="0" w:space="0" w:color="auto"/>
        <w:left w:val="none" w:sz="0" w:space="0" w:color="auto"/>
        <w:bottom w:val="none" w:sz="0" w:space="0" w:color="auto"/>
        <w:right w:val="none" w:sz="0" w:space="0" w:color="auto"/>
      </w:divBdr>
    </w:div>
    <w:div w:id="845170433">
      <w:bodyDiv w:val="1"/>
      <w:marLeft w:val="0"/>
      <w:marRight w:val="0"/>
      <w:marTop w:val="0"/>
      <w:marBottom w:val="0"/>
      <w:divBdr>
        <w:top w:val="none" w:sz="0" w:space="0" w:color="auto"/>
        <w:left w:val="none" w:sz="0" w:space="0" w:color="auto"/>
        <w:bottom w:val="none" w:sz="0" w:space="0" w:color="auto"/>
        <w:right w:val="none" w:sz="0" w:space="0" w:color="auto"/>
      </w:divBdr>
    </w:div>
    <w:div w:id="846939115">
      <w:bodyDiv w:val="1"/>
      <w:marLeft w:val="0"/>
      <w:marRight w:val="0"/>
      <w:marTop w:val="0"/>
      <w:marBottom w:val="0"/>
      <w:divBdr>
        <w:top w:val="none" w:sz="0" w:space="0" w:color="auto"/>
        <w:left w:val="none" w:sz="0" w:space="0" w:color="auto"/>
        <w:bottom w:val="none" w:sz="0" w:space="0" w:color="auto"/>
        <w:right w:val="none" w:sz="0" w:space="0" w:color="auto"/>
      </w:divBdr>
    </w:div>
    <w:div w:id="849369193">
      <w:bodyDiv w:val="1"/>
      <w:marLeft w:val="0"/>
      <w:marRight w:val="0"/>
      <w:marTop w:val="0"/>
      <w:marBottom w:val="0"/>
      <w:divBdr>
        <w:top w:val="none" w:sz="0" w:space="0" w:color="auto"/>
        <w:left w:val="none" w:sz="0" w:space="0" w:color="auto"/>
        <w:bottom w:val="none" w:sz="0" w:space="0" w:color="auto"/>
        <w:right w:val="none" w:sz="0" w:space="0" w:color="auto"/>
      </w:divBdr>
      <w:divsChild>
        <w:div w:id="765465369">
          <w:marLeft w:val="259"/>
          <w:marRight w:val="0"/>
          <w:marTop w:val="0"/>
          <w:marBottom w:val="120"/>
          <w:divBdr>
            <w:top w:val="none" w:sz="0" w:space="0" w:color="auto"/>
            <w:left w:val="none" w:sz="0" w:space="0" w:color="auto"/>
            <w:bottom w:val="none" w:sz="0" w:space="0" w:color="auto"/>
            <w:right w:val="none" w:sz="0" w:space="0" w:color="auto"/>
          </w:divBdr>
        </w:div>
        <w:div w:id="1810515901">
          <w:marLeft w:val="259"/>
          <w:marRight w:val="0"/>
          <w:marTop w:val="0"/>
          <w:marBottom w:val="120"/>
          <w:divBdr>
            <w:top w:val="none" w:sz="0" w:space="0" w:color="auto"/>
            <w:left w:val="none" w:sz="0" w:space="0" w:color="auto"/>
            <w:bottom w:val="none" w:sz="0" w:space="0" w:color="auto"/>
            <w:right w:val="none" w:sz="0" w:space="0" w:color="auto"/>
          </w:divBdr>
        </w:div>
      </w:divsChild>
    </w:div>
    <w:div w:id="866020494">
      <w:bodyDiv w:val="1"/>
      <w:marLeft w:val="0"/>
      <w:marRight w:val="0"/>
      <w:marTop w:val="0"/>
      <w:marBottom w:val="0"/>
      <w:divBdr>
        <w:top w:val="none" w:sz="0" w:space="0" w:color="auto"/>
        <w:left w:val="none" w:sz="0" w:space="0" w:color="auto"/>
        <w:bottom w:val="none" w:sz="0" w:space="0" w:color="auto"/>
        <w:right w:val="none" w:sz="0" w:space="0" w:color="auto"/>
      </w:divBdr>
    </w:div>
    <w:div w:id="877084336">
      <w:bodyDiv w:val="1"/>
      <w:marLeft w:val="0"/>
      <w:marRight w:val="0"/>
      <w:marTop w:val="0"/>
      <w:marBottom w:val="0"/>
      <w:divBdr>
        <w:top w:val="none" w:sz="0" w:space="0" w:color="auto"/>
        <w:left w:val="none" w:sz="0" w:space="0" w:color="auto"/>
        <w:bottom w:val="none" w:sz="0" w:space="0" w:color="auto"/>
        <w:right w:val="none" w:sz="0" w:space="0" w:color="auto"/>
      </w:divBdr>
    </w:div>
    <w:div w:id="889851517">
      <w:bodyDiv w:val="1"/>
      <w:marLeft w:val="0"/>
      <w:marRight w:val="0"/>
      <w:marTop w:val="0"/>
      <w:marBottom w:val="0"/>
      <w:divBdr>
        <w:top w:val="none" w:sz="0" w:space="0" w:color="auto"/>
        <w:left w:val="none" w:sz="0" w:space="0" w:color="auto"/>
        <w:bottom w:val="none" w:sz="0" w:space="0" w:color="auto"/>
        <w:right w:val="none" w:sz="0" w:space="0" w:color="auto"/>
      </w:divBdr>
    </w:div>
    <w:div w:id="896628785">
      <w:bodyDiv w:val="1"/>
      <w:marLeft w:val="0"/>
      <w:marRight w:val="0"/>
      <w:marTop w:val="0"/>
      <w:marBottom w:val="0"/>
      <w:divBdr>
        <w:top w:val="none" w:sz="0" w:space="0" w:color="auto"/>
        <w:left w:val="none" w:sz="0" w:space="0" w:color="auto"/>
        <w:bottom w:val="none" w:sz="0" w:space="0" w:color="auto"/>
        <w:right w:val="none" w:sz="0" w:space="0" w:color="auto"/>
      </w:divBdr>
    </w:div>
    <w:div w:id="910509557">
      <w:bodyDiv w:val="1"/>
      <w:marLeft w:val="0"/>
      <w:marRight w:val="0"/>
      <w:marTop w:val="0"/>
      <w:marBottom w:val="0"/>
      <w:divBdr>
        <w:top w:val="none" w:sz="0" w:space="0" w:color="auto"/>
        <w:left w:val="none" w:sz="0" w:space="0" w:color="auto"/>
        <w:bottom w:val="none" w:sz="0" w:space="0" w:color="auto"/>
        <w:right w:val="none" w:sz="0" w:space="0" w:color="auto"/>
      </w:divBdr>
    </w:div>
    <w:div w:id="928345564">
      <w:bodyDiv w:val="1"/>
      <w:marLeft w:val="0"/>
      <w:marRight w:val="0"/>
      <w:marTop w:val="0"/>
      <w:marBottom w:val="0"/>
      <w:divBdr>
        <w:top w:val="none" w:sz="0" w:space="0" w:color="auto"/>
        <w:left w:val="none" w:sz="0" w:space="0" w:color="auto"/>
        <w:bottom w:val="none" w:sz="0" w:space="0" w:color="auto"/>
        <w:right w:val="none" w:sz="0" w:space="0" w:color="auto"/>
      </w:divBdr>
    </w:div>
    <w:div w:id="934746435">
      <w:bodyDiv w:val="1"/>
      <w:marLeft w:val="0"/>
      <w:marRight w:val="0"/>
      <w:marTop w:val="0"/>
      <w:marBottom w:val="0"/>
      <w:divBdr>
        <w:top w:val="none" w:sz="0" w:space="0" w:color="auto"/>
        <w:left w:val="none" w:sz="0" w:space="0" w:color="auto"/>
        <w:bottom w:val="none" w:sz="0" w:space="0" w:color="auto"/>
        <w:right w:val="none" w:sz="0" w:space="0" w:color="auto"/>
      </w:divBdr>
    </w:div>
    <w:div w:id="937636043">
      <w:bodyDiv w:val="1"/>
      <w:marLeft w:val="0"/>
      <w:marRight w:val="0"/>
      <w:marTop w:val="0"/>
      <w:marBottom w:val="0"/>
      <w:divBdr>
        <w:top w:val="none" w:sz="0" w:space="0" w:color="auto"/>
        <w:left w:val="none" w:sz="0" w:space="0" w:color="auto"/>
        <w:bottom w:val="none" w:sz="0" w:space="0" w:color="auto"/>
        <w:right w:val="none" w:sz="0" w:space="0" w:color="auto"/>
      </w:divBdr>
    </w:div>
    <w:div w:id="942499292">
      <w:bodyDiv w:val="1"/>
      <w:marLeft w:val="0"/>
      <w:marRight w:val="0"/>
      <w:marTop w:val="0"/>
      <w:marBottom w:val="0"/>
      <w:divBdr>
        <w:top w:val="none" w:sz="0" w:space="0" w:color="auto"/>
        <w:left w:val="none" w:sz="0" w:space="0" w:color="auto"/>
        <w:bottom w:val="none" w:sz="0" w:space="0" w:color="auto"/>
        <w:right w:val="none" w:sz="0" w:space="0" w:color="auto"/>
      </w:divBdr>
    </w:div>
    <w:div w:id="945843921">
      <w:bodyDiv w:val="1"/>
      <w:marLeft w:val="0"/>
      <w:marRight w:val="0"/>
      <w:marTop w:val="0"/>
      <w:marBottom w:val="0"/>
      <w:divBdr>
        <w:top w:val="none" w:sz="0" w:space="0" w:color="auto"/>
        <w:left w:val="none" w:sz="0" w:space="0" w:color="auto"/>
        <w:bottom w:val="none" w:sz="0" w:space="0" w:color="auto"/>
        <w:right w:val="none" w:sz="0" w:space="0" w:color="auto"/>
      </w:divBdr>
    </w:div>
    <w:div w:id="947127126">
      <w:bodyDiv w:val="1"/>
      <w:marLeft w:val="0"/>
      <w:marRight w:val="0"/>
      <w:marTop w:val="0"/>
      <w:marBottom w:val="0"/>
      <w:divBdr>
        <w:top w:val="none" w:sz="0" w:space="0" w:color="auto"/>
        <w:left w:val="none" w:sz="0" w:space="0" w:color="auto"/>
        <w:bottom w:val="none" w:sz="0" w:space="0" w:color="auto"/>
        <w:right w:val="none" w:sz="0" w:space="0" w:color="auto"/>
      </w:divBdr>
    </w:div>
    <w:div w:id="952710534">
      <w:bodyDiv w:val="1"/>
      <w:marLeft w:val="0"/>
      <w:marRight w:val="0"/>
      <w:marTop w:val="0"/>
      <w:marBottom w:val="0"/>
      <w:divBdr>
        <w:top w:val="none" w:sz="0" w:space="0" w:color="auto"/>
        <w:left w:val="none" w:sz="0" w:space="0" w:color="auto"/>
        <w:bottom w:val="none" w:sz="0" w:space="0" w:color="auto"/>
        <w:right w:val="none" w:sz="0" w:space="0" w:color="auto"/>
      </w:divBdr>
    </w:div>
    <w:div w:id="954292089">
      <w:bodyDiv w:val="1"/>
      <w:marLeft w:val="0"/>
      <w:marRight w:val="0"/>
      <w:marTop w:val="0"/>
      <w:marBottom w:val="0"/>
      <w:divBdr>
        <w:top w:val="none" w:sz="0" w:space="0" w:color="auto"/>
        <w:left w:val="none" w:sz="0" w:space="0" w:color="auto"/>
        <w:bottom w:val="none" w:sz="0" w:space="0" w:color="auto"/>
        <w:right w:val="none" w:sz="0" w:space="0" w:color="auto"/>
      </w:divBdr>
    </w:div>
    <w:div w:id="964234144">
      <w:bodyDiv w:val="1"/>
      <w:marLeft w:val="0"/>
      <w:marRight w:val="0"/>
      <w:marTop w:val="0"/>
      <w:marBottom w:val="0"/>
      <w:divBdr>
        <w:top w:val="none" w:sz="0" w:space="0" w:color="auto"/>
        <w:left w:val="none" w:sz="0" w:space="0" w:color="auto"/>
        <w:bottom w:val="none" w:sz="0" w:space="0" w:color="auto"/>
        <w:right w:val="none" w:sz="0" w:space="0" w:color="auto"/>
      </w:divBdr>
    </w:div>
    <w:div w:id="968322619">
      <w:bodyDiv w:val="1"/>
      <w:marLeft w:val="0"/>
      <w:marRight w:val="0"/>
      <w:marTop w:val="0"/>
      <w:marBottom w:val="0"/>
      <w:divBdr>
        <w:top w:val="none" w:sz="0" w:space="0" w:color="auto"/>
        <w:left w:val="none" w:sz="0" w:space="0" w:color="auto"/>
        <w:bottom w:val="none" w:sz="0" w:space="0" w:color="auto"/>
        <w:right w:val="none" w:sz="0" w:space="0" w:color="auto"/>
      </w:divBdr>
    </w:div>
    <w:div w:id="980766910">
      <w:bodyDiv w:val="1"/>
      <w:marLeft w:val="0"/>
      <w:marRight w:val="0"/>
      <w:marTop w:val="0"/>
      <w:marBottom w:val="0"/>
      <w:divBdr>
        <w:top w:val="none" w:sz="0" w:space="0" w:color="auto"/>
        <w:left w:val="none" w:sz="0" w:space="0" w:color="auto"/>
        <w:bottom w:val="none" w:sz="0" w:space="0" w:color="auto"/>
        <w:right w:val="none" w:sz="0" w:space="0" w:color="auto"/>
      </w:divBdr>
      <w:divsChild>
        <w:div w:id="591206394">
          <w:marLeft w:val="0"/>
          <w:marRight w:val="0"/>
          <w:marTop w:val="0"/>
          <w:marBottom w:val="0"/>
          <w:divBdr>
            <w:top w:val="none" w:sz="0" w:space="0" w:color="auto"/>
            <w:left w:val="none" w:sz="0" w:space="0" w:color="auto"/>
            <w:bottom w:val="none" w:sz="0" w:space="0" w:color="auto"/>
            <w:right w:val="none" w:sz="0" w:space="0" w:color="auto"/>
          </w:divBdr>
        </w:div>
        <w:div w:id="1835535215">
          <w:marLeft w:val="0"/>
          <w:marRight w:val="0"/>
          <w:marTop w:val="0"/>
          <w:marBottom w:val="0"/>
          <w:divBdr>
            <w:top w:val="none" w:sz="0" w:space="0" w:color="auto"/>
            <w:left w:val="none" w:sz="0" w:space="0" w:color="auto"/>
            <w:bottom w:val="none" w:sz="0" w:space="0" w:color="auto"/>
            <w:right w:val="none" w:sz="0" w:space="0" w:color="auto"/>
          </w:divBdr>
        </w:div>
      </w:divsChild>
    </w:div>
    <w:div w:id="985087733">
      <w:bodyDiv w:val="1"/>
      <w:marLeft w:val="0"/>
      <w:marRight w:val="0"/>
      <w:marTop w:val="0"/>
      <w:marBottom w:val="0"/>
      <w:divBdr>
        <w:top w:val="none" w:sz="0" w:space="0" w:color="auto"/>
        <w:left w:val="none" w:sz="0" w:space="0" w:color="auto"/>
        <w:bottom w:val="none" w:sz="0" w:space="0" w:color="auto"/>
        <w:right w:val="none" w:sz="0" w:space="0" w:color="auto"/>
      </w:divBdr>
    </w:div>
    <w:div w:id="989404760">
      <w:bodyDiv w:val="1"/>
      <w:marLeft w:val="0"/>
      <w:marRight w:val="0"/>
      <w:marTop w:val="0"/>
      <w:marBottom w:val="0"/>
      <w:divBdr>
        <w:top w:val="none" w:sz="0" w:space="0" w:color="auto"/>
        <w:left w:val="none" w:sz="0" w:space="0" w:color="auto"/>
        <w:bottom w:val="none" w:sz="0" w:space="0" w:color="auto"/>
        <w:right w:val="none" w:sz="0" w:space="0" w:color="auto"/>
      </w:divBdr>
    </w:div>
    <w:div w:id="995719043">
      <w:bodyDiv w:val="1"/>
      <w:marLeft w:val="0"/>
      <w:marRight w:val="0"/>
      <w:marTop w:val="0"/>
      <w:marBottom w:val="0"/>
      <w:divBdr>
        <w:top w:val="none" w:sz="0" w:space="0" w:color="auto"/>
        <w:left w:val="none" w:sz="0" w:space="0" w:color="auto"/>
        <w:bottom w:val="none" w:sz="0" w:space="0" w:color="auto"/>
        <w:right w:val="none" w:sz="0" w:space="0" w:color="auto"/>
      </w:divBdr>
    </w:div>
    <w:div w:id="996686748">
      <w:bodyDiv w:val="1"/>
      <w:marLeft w:val="0"/>
      <w:marRight w:val="0"/>
      <w:marTop w:val="0"/>
      <w:marBottom w:val="0"/>
      <w:divBdr>
        <w:top w:val="none" w:sz="0" w:space="0" w:color="auto"/>
        <w:left w:val="none" w:sz="0" w:space="0" w:color="auto"/>
        <w:bottom w:val="none" w:sz="0" w:space="0" w:color="auto"/>
        <w:right w:val="none" w:sz="0" w:space="0" w:color="auto"/>
      </w:divBdr>
    </w:div>
    <w:div w:id="998508709">
      <w:bodyDiv w:val="1"/>
      <w:marLeft w:val="0"/>
      <w:marRight w:val="0"/>
      <w:marTop w:val="0"/>
      <w:marBottom w:val="0"/>
      <w:divBdr>
        <w:top w:val="none" w:sz="0" w:space="0" w:color="auto"/>
        <w:left w:val="none" w:sz="0" w:space="0" w:color="auto"/>
        <w:bottom w:val="none" w:sz="0" w:space="0" w:color="auto"/>
        <w:right w:val="none" w:sz="0" w:space="0" w:color="auto"/>
      </w:divBdr>
    </w:div>
    <w:div w:id="1002661835">
      <w:bodyDiv w:val="1"/>
      <w:marLeft w:val="0"/>
      <w:marRight w:val="0"/>
      <w:marTop w:val="0"/>
      <w:marBottom w:val="0"/>
      <w:divBdr>
        <w:top w:val="none" w:sz="0" w:space="0" w:color="auto"/>
        <w:left w:val="none" w:sz="0" w:space="0" w:color="auto"/>
        <w:bottom w:val="none" w:sz="0" w:space="0" w:color="auto"/>
        <w:right w:val="none" w:sz="0" w:space="0" w:color="auto"/>
      </w:divBdr>
    </w:div>
    <w:div w:id="1007901318">
      <w:bodyDiv w:val="1"/>
      <w:marLeft w:val="0"/>
      <w:marRight w:val="0"/>
      <w:marTop w:val="0"/>
      <w:marBottom w:val="0"/>
      <w:divBdr>
        <w:top w:val="none" w:sz="0" w:space="0" w:color="auto"/>
        <w:left w:val="none" w:sz="0" w:space="0" w:color="auto"/>
        <w:bottom w:val="none" w:sz="0" w:space="0" w:color="auto"/>
        <w:right w:val="none" w:sz="0" w:space="0" w:color="auto"/>
      </w:divBdr>
    </w:div>
    <w:div w:id="1016538235">
      <w:bodyDiv w:val="1"/>
      <w:marLeft w:val="0"/>
      <w:marRight w:val="0"/>
      <w:marTop w:val="0"/>
      <w:marBottom w:val="0"/>
      <w:divBdr>
        <w:top w:val="none" w:sz="0" w:space="0" w:color="auto"/>
        <w:left w:val="none" w:sz="0" w:space="0" w:color="auto"/>
        <w:bottom w:val="none" w:sz="0" w:space="0" w:color="auto"/>
        <w:right w:val="none" w:sz="0" w:space="0" w:color="auto"/>
      </w:divBdr>
    </w:div>
    <w:div w:id="1019283219">
      <w:bodyDiv w:val="1"/>
      <w:marLeft w:val="0"/>
      <w:marRight w:val="0"/>
      <w:marTop w:val="0"/>
      <w:marBottom w:val="0"/>
      <w:divBdr>
        <w:top w:val="none" w:sz="0" w:space="0" w:color="auto"/>
        <w:left w:val="none" w:sz="0" w:space="0" w:color="auto"/>
        <w:bottom w:val="none" w:sz="0" w:space="0" w:color="auto"/>
        <w:right w:val="none" w:sz="0" w:space="0" w:color="auto"/>
      </w:divBdr>
    </w:div>
    <w:div w:id="1036201740">
      <w:bodyDiv w:val="1"/>
      <w:marLeft w:val="0"/>
      <w:marRight w:val="0"/>
      <w:marTop w:val="0"/>
      <w:marBottom w:val="0"/>
      <w:divBdr>
        <w:top w:val="none" w:sz="0" w:space="0" w:color="auto"/>
        <w:left w:val="none" w:sz="0" w:space="0" w:color="auto"/>
        <w:bottom w:val="none" w:sz="0" w:space="0" w:color="auto"/>
        <w:right w:val="none" w:sz="0" w:space="0" w:color="auto"/>
      </w:divBdr>
    </w:div>
    <w:div w:id="1038310355">
      <w:bodyDiv w:val="1"/>
      <w:marLeft w:val="0"/>
      <w:marRight w:val="0"/>
      <w:marTop w:val="0"/>
      <w:marBottom w:val="0"/>
      <w:divBdr>
        <w:top w:val="none" w:sz="0" w:space="0" w:color="auto"/>
        <w:left w:val="none" w:sz="0" w:space="0" w:color="auto"/>
        <w:bottom w:val="none" w:sz="0" w:space="0" w:color="auto"/>
        <w:right w:val="none" w:sz="0" w:space="0" w:color="auto"/>
      </w:divBdr>
    </w:div>
    <w:div w:id="1040202041">
      <w:bodyDiv w:val="1"/>
      <w:marLeft w:val="0"/>
      <w:marRight w:val="0"/>
      <w:marTop w:val="0"/>
      <w:marBottom w:val="0"/>
      <w:divBdr>
        <w:top w:val="none" w:sz="0" w:space="0" w:color="auto"/>
        <w:left w:val="none" w:sz="0" w:space="0" w:color="auto"/>
        <w:bottom w:val="none" w:sz="0" w:space="0" w:color="auto"/>
        <w:right w:val="none" w:sz="0" w:space="0" w:color="auto"/>
      </w:divBdr>
    </w:div>
    <w:div w:id="1041712864">
      <w:bodyDiv w:val="1"/>
      <w:marLeft w:val="0"/>
      <w:marRight w:val="0"/>
      <w:marTop w:val="0"/>
      <w:marBottom w:val="0"/>
      <w:divBdr>
        <w:top w:val="none" w:sz="0" w:space="0" w:color="auto"/>
        <w:left w:val="none" w:sz="0" w:space="0" w:color="auto"/>
        <w:bottom w:val="none" w:sz="0" w:space="0" w:color="auto"/>
        <w:right w:val="none" w:sz="0" w:space="0" w:color="auto"/>
      </w:divBdr>
    </w:div>
    <w:div w:id="1046219767">
      <w:bodyDiv w:val="1"/>
      <w:marLeft w:val="0"/>
      <w:marRight w:val="0"/>
      <w:marTop w:val="0"/>
      <w:marBottom w:val="0"/>
      <w:divBdr>
        <w:top w:val="none" w:sz="0" w:space="0" w:color="auto"/>
        <w:left w:val="none" w:sz="0" w:space="0" w:color="auto"/>
        <w:bottom w:val="none" w:sz="0" w:space="0" w:color="auto"/>
        <w:right w:val="none" w:sz="0" w:space="0" w:color="auto"/>
      </w:divBdr>
    </w:div>
    <w:div w:id="1050570178">
      <w:bodyDiv w:val="1"/>
      <w:marLeft w:val="0"/>
      <w:marRight w:val="0"/>
      <w:marTop w:val="0"/>
      <w:marBottom w:val="0"/>
      <w:divBdr>
        <w:top w:val="none" w:sz="0" w:space="0" w:color="auto"/>
        <w:left w:val="none" w:sz="0" w:space="0" w:color="auto"/>
        <w:bottom w:val="none" w:sz="0" w:space="0" w:color="auto"/>
        <w:right w:val="none" w:sz="0" w:space="0" w:color="auto"/>
      </w:divBdr>
    </w:div>
    <w:div w:id="1050880983">
      <w:bodyDiv w:val="1"/>
      <w:marLeft w:val="0"/>
      <w:marRight w:val="0"/>
      <w:marTop w:val="0"/>
      <w:marBottom w:val="0"/>
      <w:divBdr>
        <w:top w:val="none" w:sz="0" w:space="0" w:color="auto"/>
        <w:left w:val="none" w:sz="0" w:space="0" w:color="auto"/>
        <w:bottom w:val="none" w:sz="0" w:space="0" w:color="auto"/>
        <w:right w:val="none" w:sz="0" w:space="0" w:color="auto"/>
      </w:divBdr>
    </w:div>
    <w:div w:id="1054543702">
      <w:bodyDiv w:val="1"/>
      <w:marLeft w:val="0"/>
      <w:marRight w:val="0"/>
      <w:marTop w:val="0"/>
      <w:marBottom w:val="0"/>
      <w:divBdr>
        <w:top w:val="none" w:sz="0" w:space="0" w:color="auto"/>
        <w:left w:val="none" w:sz="0" w:space="0" w:color="auto"/>
        <w:bottom w:val="none" w:sz="0" w:space="0" w:color="auto"/>
        <w:right w:val="none" w:sz="0" w:space="0" w:color="auto"/>
      </w:divBdr>
    </w:div>
    <w:div w:id="1067148482">
      <w:bodyDiv w:val="1"/>
      <w:marLeft w:val="0"/>
      <w:marRight w:val="0"/>
      <w:marTop w:val="0"/>
      <w:marBottom w:val="0"/>
      <w:divBdr>
        <w:top w:val="none" w:sz="0" w:space="0" w:color="auto"/>
        <w:left w:val="none" w:sz="0" w:space="0" w:color="auto"/>
        <w:bottom w:val="none" w:sz="0" w:space="0" w:color="auto"/>
        <w:right w:val="none" w:sz="0" w:space="0" w:color="auto"/>
      </w:divBdr>
    </w:div>
    <w:div w:id="1072386834">
      <w:bodyDiv w:val="1"/>
      <w:marLeft w:val="0"/>
      <w:marRight w:val="0"/>
      <w:marTop w:val="0"/>
      <w:marBottom w:val="0"/>
      <w:divBdr>
        <w:top w:val="none" w:sz="0" w:space="0" w:color="auto"/>
        <w:left w:val="none" w:sz="0" w:space="0" w:color="auto"/>
        <w:bottom w:val="none" w:sz="0" w:space="0" w:color="auto"/>
        <w:right w:val="none" w:sz="0" w:space="0" w:color="auto"/>
      </w:divBdr>
    </w:div>
    <w:div w:id="1072703118">
      <w:bodyDiv w:val="1"/>
      <w:marLeft w:val="0"/>
      <w:marRight w:val="0"/>
      <w:marTop w:val="0"/>
      <w:marBottom w:val="0"/>
      <w:divBdr>
        <w:top w:val="none" w:sz="0" w:space="0" w:color="auto"/>
        <w:left w:val="none" w:sz="0" w:space="0" w:color="auto"/>
        <w:bottom w:val="none" w:sz="0" w:space="0" w:color="auto"/>
        <w:right w:val="none" w:sz="0" w:space="0" w:color="auto"/>
      </w:divBdr>
    </w:div>
    <w:div w:id="1083838413">
      <w:bodyDiv w:val="1"/>
      <w:marLeft w:val="0"/>
      <w:marRight w:val="0"/>
      <w:marTop w:val="0"/>
      <w:marBottom w:val="0"/>
      <w:divBdr>
        <w:top w:val="none" w:sz="0" w:space="0" w:color="auto"/>
        <w:left w:val="none" w:sz="0" w:space="0" w:color="auto"/>
        <w:bottom w:val="none" w:sz="0" w:space="0" w:color="auto"/>
        <w:right w:val="none" w:sz="0" w:space="0" w:color="auto"/>
      </w:divBdr>
    </w:div>
    <w:div w:id="1084230963">
      <w:bodyDiv w:val="1"/>
      <w:marLeft w:val="0"/>
      <w:marRight w:val="0"/>
      <w:marTop w:val="0"/>
      <w:marBottom w:val="0"/>
      <w:divBdr>
        <w:top w:val="none" w:sz="0" w:space="0" w:color="auto"/>
        <w:left w:val="none" w:sz="0" w:space="0" w:color="auto"/>
        <w:bottom w:val="none" w:sz="0" w:space="0" w:color="auto"/>
        <w:right w:val="none" w:sz="0" w:space="0" w:color="auto"/>
      </w:divBdr>
    </w:div>
    <w:div w:id="1090273370">
      <w:bodyDiv w:val="1"/>
      <w:marLeft w:val="0"/>
      <w:marRight w:val="0"/>
      <w:marTop w:val="0"/>
      <w:marBottom w:val="0"/>
      <w:divBdr>
        <w:top w:val="none" w:sz="0" w:space="0" w:color="auto"/>
        <w:left w:val="none" w:sz="0" w:space="0" w:color="auto"/>
        <w:bottom w:val="none" w:sz="0" w:space="0" w:color="auto"/>
        <w:right w:val="none" w:sz="0" w:space="0" w:color="auto"/>
      </w:divBdr>
    </w:div>
    <w:div w:id="1093816732">
      <w:bodyDiv w:val="1"/>
      <w:marLeft w:val="0"/>
      <w:marRight w:val="0"/>
      <w:marTop w:val="0"/>
      <w:marBottom w:val="0"/>
      <w:divBdr>
        <w:top w:val="none" w:sz="0" w:space="0" w:color="auto"/>
        <w:left w:val="none" w:sz="0" w:space="0" w:color="auto"/>
        <w:bottom w:val="none" w:sz="0" w:space="0" w:color="auto"/>
        <w:right w:val="none" w:sz="0" w:space="0" w:color="auto"/>
      </w:divBdr>
    </w:div>
    <w:div w:id="1098059935">
      <w:bodyDiv w:val="1"/>
      <w:marLeft w:val="0"/>
      <w:marRight w:val="0"/>
      <w:marTop w:val="0"/>
      <w:marBottom w:val="0"/>
      <w:divBdr>
        <w:top w:val="none" w:sz="0" w:space="0" w:color="auto"/>
        <w:left w:val="none" w:sz="0" w:space="0" w:color="auto"/>
        <w:bottom w:val="none" w:sz="0" w:space="0" w:color="auto"/>
        <w:right w:val="none" w:sz="0" w:space="0" w:color="auto"/>
      </w:divBdr>
    </w:div>
    <w:div w:id="1110396447">
      <w:bodyDiv w:val="1"/>
      <w:marLeft w:val="0"/>
      <w:marRight w:val="0"/>
      <w:marTop w:val="0"/>
      <w:marBottom w:val="0"/>
      <w:divBdr>
        <w:top w:val="none" w:sz="0" w:space="0" w:color="auto"/>
        <w:left w:val="none" w:sz="0" w:space="0" w:color="auto"/>
        <w:bottom w:val="none" w:sz="0" w:space="0" w:color="auto"/>
        <w:right w:val="none" w:sz="0" w:space="0" w:color="auto"/>
      </w:divBdr>
    </w:div>
    <w:div w:id="1120223243">
      <w:bodyDiv w:val="1"/>
      <w:marLeft w:val="0"/>
      <w:marRight w:val="0"/>
      <w:marTop w:val="0"/>
      <w:marBottom w:val="0"/>
      <w:divBdr>
        <w:top w:val="none" w:sz="0" w:space="0" w:color="auto"/>
        <w:left w:val="none" w:sz="0" w:space="0" w:color="auto"/>
        <w:bottom w:val="none" w:sz="0" w:space="0" w:color="auto"/>
        <w:right w:val="none" w:sz="0" w:space="0" w:color="auto"/>
      </w:divBdr>
    </w:div>
    <w:div w:id="1128282649">
      <w:bodyDiv w:val="1"/>
      <w:marLeft w:val="0"/>
      <w:marRight w:val="0"/>
      <w:marTop w:val="0"/>
      <w:marBottom w:val="0"/>
      <w:divBdr>
        <w:top w:val="none" w:sz="0" w:space="0" w:color="auto"/>
        <w:left w:val="none" w:sz="0" w:space="0" w:color="auto"/>
        <w:bottom w:val="none" w:sz="0" w:space="0" w:color="auto"/>
        <w:right w:val="none" w:sz="0" w:space="0" w:color="auto"/>
      </w:divBdr>
    </w:div>
    <w:div w:id="1133250177">
      <w:bodyDiv w:val="1"/>
      <w:marLeft w:val="0"/>
      <w:marRight w:val="0"/>
      <w:marTop w:val="0"/>
      <w:marBottom w:val="0"/>
      <w:divBdr>
        <w:top w:val="none" w:sz="0" w:space="0" w:color="auto"/>
        <w:left w:val="none" w:sz="0" w:space="0" w:color="auto"/>
        <w:bottom w:val="none" w:sz="0" w:space="0" w:color="auto"/>
        <w:right w:val="none" w:sz="0" w:space="0" w:color="auto"/>
      </w:divBdr>
    </w:div>
    <w:div w:id="1136097642">
      <w:bodyDiv w:val="1"/>
      <w:marLeft w:val="0"/>
      <w:marRight w:val="0"/>
      <w:marTop w:val="0"/>
      <w:marBottom w:val="0"/>
      <w:divBdr>
        <w:top w:val="none" w:sz="0" w:space="0" w:color="auto"/>
        <w:left w:val="none" w:sz="0" w:space="0" w:color="auto"/>
        <w:bottom w:val="none" w:sz="0" w:space="0" w:color="auto"/>
        <w:right w:val="none" w:sz="0" w:space="0" w:color="auto"/>
      </w:divBdr>
    </w:div>
    <w:div w:id="1137604944">
      <w:bodyDiv w:val="1"/>
      <w:marLeft w:val="0"/>
      <w:marRight w:val="0"/>
      <w:marTop w:val="0"/>
      <w:marBottom w:val="0"/>
      <w:divBdr>
        <w:top w:val="none" w:sz="0" w:space="0" w:color="auto"/>
        <w:left w:val="none" w:sz="0" w:space="0" w:color="auto"/>
        <w:bottom w:val="none" w:sz="0" w:space="0" w:color="auto"/>
        <w:right w:val="none" w:sz="0" w:space="0" w:color="auto"/>
      </w:divBdr>
    </w:div>
    <w:div w:id="1137796134">
      <w:bodyDiv w:val="1"/>
      <w:marLeft w:val="0"/>
      <w:marRight w:val="0"/>
      <w:marTop w:val="0"/>
      <w:marBottom w:val="0"/>
      <w:divBdr>
        <w:top w:val="none" w:sz="0" w:space="0" w:color="auto"/>
        <w:left w:val="none" w:sz="0" w:space="0" w:color="auto"/>
        <w:bottom w:val="none" w:sz="0" w:space="0" w:color="auto"/>
        <w:right w:val="none" w:sz="0" w:space="0" w:color="auto"/>
      </w:divBdr>
    </w:div>
    <w:div w:id="1142236567">
      <w:bodyDiv w:val="1"/>
      <w:marLeft w:val="0"/>
      <w:marRight w:val="0"/>
      <w:marTop w:val="0"/>
      <w:marBottom w:val="0"/>
      <w:divBdr>
        <w:top w:val="none" w:sz="0" w:space="0" w:color="auto"/>
        <w:left w:val="none" w:sz="0" w:space="0" w:color="auto"/>
        <w:bottom w:val="none" w:sz="0" w:space="0" w:color="auto"/>
        <w:right w:val="none" w:sz="0" w:space="0" w:color="auto"/>
      </w:divBdr>
      <w:divsChild>
        <w:div w:id="334839874">
          <w:marLeft w:val="274"/>
          <w:marRight w:val="0"/>
          <w:marTop w:val="0"/>
          <w:marBottom w:val="120"/>
          <w:divBdr>
            <w:top w:val="none" w:sz="0" w:space="0" w:color="auto"/>
            <w:left w:val="none" w:sz="0" w:space="0" w:color="auto"/>
            <w:bottom w:val="none" w:sz="0" w:space="0" w:color="auto"/>
            <w:right w:val="none" w:sz="0" w:space="0" w:color="auto"/>
          </w:divBdr>
        </w:div>
        <w:div w:id="441152401">
          <w:marLeft w:val="274"/>
          <w:marRight w:val="0"/>
          <w:marTop w:val="0"/>
          <w:marBottom w:val="120"/>
          <w:divBdr>
            <w:top w:val="none" w:sz="0" w:space="0" w:color="auto"/>
            <w:left w:val="none" w:sz="0" w:space="0" w:color="auto"/>
            <w:bottom w:val="none" w:sz="0" w:space="0" w:color="auto"/>
            <w:right w:val="none" w:sz="0" w:space="0" w:color="auto"/>
          </w:divBdr>
        </w:div>
        <w:div w:id="1501391259">
          <w:marLeft w:val="274"/>
          <w:marRight w:val="0"/>
          <w:marTop w:val="0"/>
          <w:marBottom w:val="120"/>
          <w:divBdr>
            <w:top w:val="none" w:sz="0" w:space="0" w:color="auto"/>
            <w:left w:val="none" w:sz="0" w:space="0" w:color="auto"/>
            <w:bottom w:val="none" w:sz="0" w:space="0" w:color="auto"/>
            <w:right w:val="none" w:sz="0" w:space="0" w:color="auto"/>
          </w:divBdr>
        </w:div>
      </w:divsChild>
    </w:div>
    <w:div w:id="1145899276">
      <w:bodyDiv w:val="1"/>
      <w:marLeft w:val="0"/>
      <w:marRight w:val="0"/>
      <w:marTop w:val="0"/>
      <w:marBottom w:val="0"/>
      <w:divBdr>
        <w:top w:val="none" w:sz="0" w:space="0" w:color="auto"/>
        <w:left w:val="none" w:sz="0" w:space="0" w:color="auto"/>
        <w:bottom w:val="none" w:sz="0" w:space="0" w:color="auto"/>
        <w:right w:val="none" w:sz="0" w:space="0" w:color="auto"/>
      </w:divBdr>
    </w:div>
    <w:div w:id="1155487130">
      <w:bodyDiv w:val="1"/>
      <w:marLeft w:val="0"/>
      <w:marRight w:val="0"/>
      <w:marTop w:val="0"/>
      <w:marBottom w:val="0"/>
      <w:divBdr>
        <w:top w:val="none" w:sz="0" w:space="0" w:color="auto"/>
        <w:left w:val="none" w:sz="0" w:space="0" w:color="auto"/>
        <w:bottom w:val="none" w:sz="0" w:space="0" w:color="auto"/>
        <w:right w:val="none" w:sz="0" w:space="0" w:color="auto"/>
      </w:divBdr>
    </w:div>
    <w:div w:id="1155603325">
      <w:bodyDiv w:val="1"/>
      <w:marLeft w:val="0"/>
      <w:marRight w:val="0"/>
      <w:marTop w:val="0"/>
      <w:marBottom w:val="0"/>
      <w:divBdr>
        <w:top w:val="none" w:sz="0" w:space="0" w:color="auto"/>
        <w:left w:val="none" w:sz="0" w:space="0" w:color="auto"/>
        <w:bottom w:val="none" w:sz="0" w:space="0" w:color="auto"/>
        <w:right w:val="none" w:sz="0" w:space="0" w:color="auto"/>
      </w:divBdr>
    </w:div>
    <w:div w:id="1161895797">
      <w:bodyDiv w:val="1"/>
      <w:marLeft w:val="0"/>
      <w:marRight w:val="0"/>
      <w:marTop w:val="0"/>
      <w:marBottom w:val="0"/>
      <w:divBdr>
        <w:top w:val="none" w:sz="0" w:space="0" w:color="auto"/>
        <w:left w:val="none" w:sz="0" w:space="0" w:color="auto"/>
        <w:bottom w:val="none" w:sz="0" w:space="0" w:color="auto"/>
        <w:right w:val="none" w:sz="0" w:space="0" w:color="auto"/>
      </w:divBdr>
    </w:div>
    <w:div w:id="1162163787">
      <w:bodyDiv w:val="1"/>
      <w:marLeft w:val="0"/>
      <w:marRight w:val="0"/>
      <w:marTop w:val="0"/>
      <w:marBottom w:val="0"/>
      <w:divBdr>
        <w:top w:val="none" w:sz="0" w:space="0" w:color="auto"/>
        <w:left w:val="none" w:sz="0" w:space="0" w:color="auto"/>
        <w:bottom w:val="none" w:sz="0" w:space="0" w:color="auto"/>
        <w:right w:val="none" w:sz="0" w:space="0" w:color="auto"/>
      </w:divBdr>
    </w:div>
    <w:div w:id="1163469833">
      <w:bodyDiv w:val="1"/>
      <w:marLeft w:val="0"/>
      <w:marRight w:val="0"/>
      <w:marTop w:val="0"/>
      <w:marBottom w:val="0"/>
      <w:divBdr>
        <w:top w:val="none" w:sz="0" w:space="0" w:color="auto"/>
        <w:left w:val="none" w:sz="0" w:space="0" w:color="auto"/>
        <w:bottom w:val="none" w:sz="0" w:space="0" w:color="auto"/>
        <w:right w:val="none" w:sz="0" w:space="0" w:color="auto"/>
      </w:divBdr>
    </w:div>
    <w:div w:id="1170414666">
      <w:bodyDiv w:val="1"/>
      <w:marLeft w:val="0"/>
      <w:marRight w:val="0"/>
      <w:marTop w:val="0"/>
      <w:marBottom w:val="0"/>
      <w:divBdr>
        <w:top w:val="none" w:sz="0" w:space="0" w:color="auto"/>
        <w:left w:val="none" w:sz="0" w:space="0" w:color="auto"/>
        <w:bottom w:val="none" w:sz="0" w:space="0" w:color="auto"/>
        <w:right w:val="none" w:sz="0" w:space="0" w:color="auto"/>
      </w:divBdr>
    </w:div>
    <w:div w:id="1174684225">
      <w:bodyDiv w:val="1"/>
      <w:marLeft w:val="0"/>
      <w:marRight w:val="0"/>
      <w:marTop w:val="0"/>
      <w:marBottom w:val="0"/>
      <w:divBdr>
        <w:top w:val="none" w:sz="0" w:space="0" w:color="auto"/>
        <w:left w:val="none" w:sz="0" w:space="0" w:color="auto"/>
        <w:bottom w:val="none" w:sz="0" w:space="0" w:color="auto"/>
        <w:right w:val="none" w:sz="0" w:space="0" w:color="auto"/>
      </w:divBdr>
      <w:divsChild>
        <w:div w:id="357858465">
          <w:marLeft w:val="0"/>
          <w:marRight w:val="0"/>
          <w:marTop w:val="0"/>
          <w:marBottom w:val="0"/>
          <w:divBdr>
            <w:top w:val="none" w:sz="0" w:space="0" w:color="auto"/>
            <w:left w:val="none" w:sz="0" w:space="0" w:color="auto"/>
            <w:bottom w:val="none" w:sz="0" w:space="0" w:color="auto"/>
            <w:right w:val="none" w:sz="0" w:space="0" w:color="auto"/>
          </w:divBdr>
        </w:div>
        <w:div w:id="888691958">
          <w:marLeft w:val="0"/>
          <w:marRight w:val="0"/>
          <w:marTop w:val="0"/>
          <w:marBottom w:val="0"/>
          <w:divBdr>
            <w:top w:val="none" w:sz="0" w:space="0" w:color="auto"/>
            <w:left w:val="none" w:sz="0" w:space="0" w:color="auto"/>
            <w:bottom w:val="none" w:sz="0" w:space="0" w:color="auto"/>
            <w:right w:val="none" w:sz="0" w:space="0" w:color="auto"/>
          </w:divBdr>
        </w:div>
        <w:div w:id="1137530028">
          <w:marLeft w:val="0"/>
          <w:marRight w:val="0"/>
          <w:marTop w:val="0"/>
          <w:marBottom w:val="0"/>
          <w:divBdr>
            <w:top w:val="none" w:sz="0" w:space="0" w:color="auto"/>
            <w:left w:val="none" w:sz="0" w:space="0" w:color="auto"/>
            <w:bottom w:val="none" w:sz="0" w:space="0" w:color="auto"/>
            <w:right w:val="none" w:sz="0" w:space="0" w:color="auto"/>
          </w:divBdr>
        </w:div>
        <w:div w:id="1334845464">
          <w:marLeft w:val="0"/>
          <w:marRight w:val="0"/>
          <w:marTop w:val="0"/>
          <w:marBottom w:val="0"/>
          <w:divBdr>
            <w:top w:val="none" w:sz="0" w:space="0" w:color="auto"/>
            <w:left w:val="none" w:sz="0" w:space="0" w:color="auto"/>
            <w:bottom w:val="none" w:sz="0" w:space="0" w:color="auto"/>
            <w:right w:val="none" w:sz="0" w:space="0" w:color="auto"/>
          </w:divBdr>
        </w:div>
        <w:div w:id="1557619520">
          <w:marLeft w:val="0"/>
          <w:marRight w:val="0"/>
          <w:marTop w:val="0"/>
          <w:marBottom w:val="0"/>
          <w:divBdr>
            <w:top w:val="none" w:sz="0" w:space="0" w:color="auto"/>
            <w:left w:val="none" w:sz="0" w:space="0" w:color="auto"/>
            <w:bottom w:val="none" w:sz="0" w:space="0" w:color="auto"/>
            <w:right w:val="none" w:sz="0" w:space="0" w:color="auto"/>
          </w:divBdr>
        </w:div>
        <w:div w:id="1610041394">
          <w:marLeft w:val="0"/>
          <w:marRight w:val="0"/>
          <w:marTop w:val="0"/>
          <w:marBottom w:val="0"/>
          <w:divBdr>
            <w:top w:val="none" w:sz="0" w:space="0" w:color="auto"/>
            <w:left w:val="none" w:sz="0" w:space="0" w:color="auto"/>
            <w:bottom w:val="none" w:sz="0" w:space="0" w:color="auto"/>
            <w:right w:val="none" w:sz="0" w:space="0" w:color="auto"/>
          </w:divBdr>
        </w:div>
        <w:div w:id="1677346111">
          <w:marLeft w:val="0"/>
          <w:marRight w:val="0"/>
          <w:marTop w:val="0"/>
          <w:marBottom w:val="0"/>
          <w:divBdr>
            <w:top w:val="none" w:sz="0" w:space="0" w:color="auto"/>
            <w:left w:val="none" w:sz="0" w:space="0" w:color="auto"/>
            <w:bottom w:val="none" w:sz="0" w:space="0" w:color="auto"/>
            <w:right w:val="none" w:sz="0" w:space="0" w:color="auto"/>
          </w:divBdr>
        </w:div>
        <w:div w:id="1701977950">
          <w:marLeft w:val="0"/>
          <w:marRight w:val="0"/>
          <w:marTop w:val="0"/>
          <w:marBottom w:val="0"/>
          <w:divBdr>
            <w:top w:val="none" w:sz="0" w:space="0" w:color="auto"/>
            <w:left w:val="none" w:sz="0" w:space="0" w:color="auto"/>
            <w:bottom w:val="none" w:sz="0" w:space="0" w:color="auto"/>
            <w:right w:val="none" w:sz="0" w:space="0" w:color="auto"/>
          </w:divBdr>
        </w:div>
        <w:div w:id="2066566265">
          <w:marLeft w:val="0"/>
          <w:marRight w:val="0"/>
          <w:marTop w:val="0"/>
          <w:marBottom w:val="0"/>
          <w:divBdr>
            <w:top w:val="none" w:sz="0" w:space="0" w:color="auto"/>
            <w:left w:val="none" w:sz="0" w:space="0" w:color="auto"/>
            <w:bottom w:val="none" w:sz="0" w:space="0" w:color="auto"/>
            <w:right w:val="none" w:sz="0" w:space="0" w:color="auto"/>
          </w:divBdr>
        </w:div>
      </w:divsChild>
    </w:div>
    <w:div w:id="1193422435">
      <w:bodyDiv w:val="1"/>
      <w:marLeft w:val="0"/>
      <w:marRight w:val="0"/>
      <w:marTop w:val="0"/>
      <w:marBottom w:val="0"/>
      <w:divBdr>
        <w:top w:val="none" w:sz="0" w:space="0" w:color="auto"/>
        <w:left w:val="none" w:sz="0" w:space="0" w:color="auto"/>
        <w:bottom w:val="none" w:sz="0" w:space="0" w:color="auto"/>
        <w:right w:val="none" w:sz="0" w:space="0" w:color="auto"/>
      </w:divBdr>
    </w:div>
    <w:div w:id="1194348789">
      <w:bodyDiv w:val="1"/>
      <w:marLeft w:val="0"/>
      <w:marRight w:val="0"/>
      <w:marTop w:val="0"/>
      <w:marBottom w:val="0"/>
      <w:divBdr>
        <w:top w:val="none" w:sz="0" w:space="0" w:color="auto"/>
        <w:left w:val="none" w:sz="0" w:space="0" w:color="auto"/>
        <w:bottom w:val="none" w:sz="0" w:space="0" w:color="auto"/>
        <w:right w:val="none" w:sz="0" w:space="0" w:color="auto"/>
      </w:divBdr>
    </w:div>
    <w:div w:id="1199976240">
      <w:bodyDiv w:val="1"/>
      <w:marLeft w:val="0"/>
      <w:marRight w:val="0"/>
      <w:marTop w:val="0"/>
      <w:marBottom w:val="0"/>
      <w:divBdr>
        <w:top w:val="none" w:sz="0" w:space="0" w:color="auto"/>
        <w:left w:val="none" w:sz="0" w:space="0" w:color="auto"/>
        <w:bottom w:val="none" w:sz="0" w:space="0" w:color="auto"/>
        <w:right w:val="none" w:sz="0" w:space="0" w:color="auto"/>
      </w:divBdr>
    </w:div>
    <w:div w:id="1200050041">
      <w:bodyDiv w:val="1"/>
      <w:marLeft w:val="0"/>
      <w:marRight w:val="0"/>
      <w:marTop w:val="0"/>
      <w:marBottom w:val="0"/>
      <w:divBdr>
        <w:top w:val="none" w:sz="0" w:space="0" w:color="auto"/>
        <w:left w:val="none" w:sz="0" w:space="0" w:color="auto"/>
        <w:bottom w:val="none" w:sz="0" w:space="0" w:color="auto"/>
        <w:right w:val="none" w:sz="0" w:space="0" w:color="auto"/>
      </w:divBdr>
    </w:div>
    <w:div w:id="1204713918">
      <w:bodyDiv w:val="1"/>
      <w:marLeft w:val="0"/>
      <w:marRight w:val="0"/>
      <w:marTop w:val="0"/>
      <w:marBottom w:val="0"/>
      <w:divBdr>
        <w:top w:val="none" w:sz="0" w:space="0" w:color="auto"/>
        <w:left w:val="none" w:sz="0" w:space="0" w:color="auto"/>
        <w:bottom w:val="none" w:sz="0" w:space="0" w:color="auto"/>
        <w:right w:val="none" w:sz="0" w:space="0" w:color="auto"/>
      </w:divBdr>
    </w:div>
    <w:div w:id="1207915263">
      <w:bodyDiv w:val="1"/>
      <w:marLeft w:val="0"/>
      <w:marRight w:val="0"/>
      <w:marTop w:val="0"/>
      <w:marBottom w:val="0"/>
      <w:divBdr>
        <w:top w:val="none" w:sz="0" w:space="0" w:color="auto"/>
        <w:left w:val="none" w:sz="0" w:space="0" w:color="auto"/>
        <w:bottom w:val="none" w:sz="0" w:space="0" w:color="auto"/>
        <w:right w:val="none" w:sz="0" w:space="0" w:color="auto"/>
      </w:divBdr>
      <w:divsChild>
        <w:div w:id="126629625">
          <w:marLeft w:val="274"/>
          <w:marRight w:val="0"/>
          <w:marTop w:val="0"/>
          <w:marBottom w:val="120"/>
          <w:divBdr>
            <w:top w:val="none" w:sz="0" w:space="0" w:color="auto"/>
            <w:left w:val="none" w:sz="0" w:space="0" w:color="auto"/>
            <w:bottom w:val="none" w:sz="0" w:space="0" w:color="auto"/>
            <w:right w:val="none" w:sz="0" w:space="0" w:color="auto"/>
          </w:divBdr>
        </w:div>
        <w:div w:id="185102040">
          <w:marLeft w:val="274"/>
          <w:marRight w:val="0"/>
          <w:marTop w:val="0"/>
          <w:marBottom w:val="120"/>
          <w:divBdr>
            <w:top w:val="none" w:sz="0" w:space="0" w:color="auto"/>
            <w:left w:val="none" w:sz="0" w:space="0" w:color="auto"/>
            <w:bottom w:val="none" w:sz="0" w:space="0" w:color="auto"/>
            <w:right w:val="none" w:sz="0" w:space="0" w:color="auto"/>
          </w:divBdr>
        </w:div>
        <w:div w:id="312952858">
          <w:marLeft w:val="850"/>
          <w:marRight w:val="0"/>
          <w:marTop w:val="0"/>
          <w:marBottom w:val="120"/>
          <w:divBdr>
            <w:top w:val="none" w:sz="0" w:space="0" w:color="auto"/>
            <w:left w:val="none" w:sz="0" w:space="0" w:color="auto"/>
            <w:bottom w:val="none" w:sz="0" w:space="0" w:color="auto"/>
            <w:right w:val="none" w:sz="0" w:space="0" w:color="auto"/>
          </w:divBdr>
        </w:div>
        <w:div w:id="719399467">
          <w:marLeft w:val="850"/>
          <w:marRight w:val="0"/>
          <w:marTop w:val="0"/>
          <w:marBottom w:val="120"/>
          <w:divBdr>
            <w:top w:val="none" w:sz="0" w:space="0" w:color="auto"/>
            <w:left w:val="none" w:sz="0" w:space="0" w:color="auto"/>
            <w:bottom w:val="none" w:sz="0" w:space="0" w:color="auto"/>
            <w:right w:val="none" w:sz="0" w:space="0" w:color="auto"/>
          </w:divBdr>
        </w:div>
        <w:div w:id="821117540">
          <w:marLeft w:val="274"/>
          <w:marRight w:val="0"/>
          <w:marTop w:val="0"/>
          <w:marBottom w:val="120"/>
          <w:divBdr>
            <w:top w:val="none" w:sz="0" w:space="0" w:color="auto"/>
            <w:left w:val="none" w:sz="0" w:space="0" w:color="auto"/>
            <w:bottom w:val="none" w:sz="0" w:space="0" w:color="auto"/>
            <w:right w:val="none" w:sz="0" w:space="0" w:color="auto"/>
          </w:divBdr>
        </w:div>
        <w:div w:id="1202474484">
          <w:marLeft w:val="850"/>
          <w:marRight w:val="0"/>
          <w:marTop w:val="0"/>
          <w:marBottom w:val="120"/>
          <w:divBdr>
            <w:top w:val="none" w:sz="0" w:space="0" w:color="auto"/>
            <w:left w:val="none" w:sz="0" w:space="0" w:color="auto"/>
            <w:bottom w:val="none" w:sz="0" w:space="0" w:color="auto"/>
            <w:right w:val="none" w:sz="0" w:space="0" w:color="auto"/>
          </w:divBdr>
        </w:div>
        <w:div w:id="1876768118">
          <w:marLeft w:val="274"/>
          <w:marRight w:val="0"/>
          <w:marTop w:val="0"/>
          <w:marBottom w:val="120"/>
          <w:divBdr>
            <w:top w:val="none" w:sz="0" w:space="0" w:color="auto"/>
            <w:left w:val="none" w:sz="0" w:space="0" w:color="auto"/>
            <w:bottom w:val="none" w:sz="0" w:space="0" w:color="auto"/>
            <w:right w:val="none" w:sz="0" w:space="0" w:color="auto"/>
          </w:divBdr>
        </w:div>
        <w:div w:id="1903520047">
          <w:marLeft w:val="850"/>
          <w:marRight w:val="0"/>
          <w:marTop w:val="0"/>
          <w:marBottom w:val="120"/>
          <w:divBdr>
            <w:top w:val="none" w:sz="0" w:space="0" w:color="auto"/>
            <w:left w:val="none" w:sz="0" w:space="0" w:color="auto"/>
            <w:bottom w:val="none" w:sz="0" w:space="0" w:color="auto"/>
            <w:right w:val="none" w:sz="0" w:space="0" w:color="auto"/>
          </w:divBdr>
        </w:div>
        <w:div w:id="1963614251">
          <w:marLeft w:val="274"/>
          <w:marRight w:val="0"/>
          <w:marTop w:val="0"/>
          <w:marBottom w:val="120"/>
          <w:divBdr>
            <w:top w:val="none" w:sz="0" w:space="0" w:color="auto"/>
            <w:left w:val="none" w:sz="0" w:space="0" w:color="auto"/>
            <w:bottom w:val="none" w:sz="0" w:space="0" w:color="auto"/>
            <w:right w:val="none" w:sz="0" w:space="0" w:color="auto"/>
          </w:divBdr>
        </w:div>
      </w:divsChild>
    </w:div>
    <w:div w:id="1208184443">
      <w:bodyDiv w:val="1"/>
      <w:marLeft w:val="0"/>
      <w:marRight w:val="0"/>
      <w:marTop w:val="0"/>
      <w:marBottom w:val="0"/>
      <w:divBdr>
        <w:top w:val="none" w:sz="0" w:space="0" w:color="auto"/>
        <w:left w:val="none" w:sz="0" w:space="0" w:color="auto"/>
        <w:bottom w:val="none" w:sz="0" w:space="0" w:color="auto"/>
        <w:right w:val="none" w:sz="0" w:space="0" w:color="auto"/>
      </w:divBdr>
    </w:div>
    <w:div w:id="1224831314">
      <w:bodyDiv w:val="1"/>
      <w:marLeft w:val="0"/>
      <w:marRight w:val="0"/>
      <w:marTop w:val="0"/>
      <w:marBottom w:val="0"/>
      <w:divBdr>
        <w:top w:val="none" w:sz="0" w:space="0" w:color="auto"/>
        <w:left w:val="none" w:sz="0" w:space="0" w:color="auto"/>
        <w:bottom w:val="none" w:sz="0" w:space="0" w:color="auto"/>
        <w:right w:val="none" w:sz="0" w:space="0" w:color="auto"/>
      </w:divBdr>
    </w:div>
    <w:div w:id="1232038133">
      <w:bodyDiv w:val="1"/>
      <w:marLeft w:val="0"/>
      <w:marRight w:val="0"/>
      <w:marTop w:val="0"/>
      <w:marBottom w:val="0"/>
      <w:divBdr>
        <w:top w:val="none" w:sz="0" w:space="0" w:color="auto"/>
        <w:left w:val="none" w:sz="0" w:space="0" w:color="auto"/>
        <w:bottom w:val="none" w:sz="0" w:space="0" w:color="auto"/>
        <w:right w:val="none" w:sz="0" w:space="0" w:color="auto"/>
      </w:divBdr>
    </w:div>
    <w:div w:id="1233006446">
      <w:bodyDiv w:val="1"/>
      <w:marLeft w:val="0"/>
      <w:marRight w:val="0"/>
      <w:marTop w:val="0"/>
      <w:marBottom w:val="0"/>
      <w:divBdr>
        <w:top w:val="none" w:sz="0" w:space="0" w:color="auto"/>
        <w:left w:val="none" w:sz="0" w:space="0" w:color="auto"/>
        <w:bottom w:val="none" w:sz="0" w:space="0" w:color="auto"/>
        <w:right w:val="none" w:sz="0" w:space="0" w:color="auto"/>
      </w:divBdr>
    </w:div>
    <w:div w:id="1233278358">
      <w:bodyDiv w:val="1"/>
      <w:marLeft w:val="0"/>
      <w:marRight w:val="0"/>
      <w:marTop w:val="0"/>
      <w:marBottom w:val="0"/>
      <w:divBdr>
        <w:top w:val="none" w:sz="0" w:space="0" w:color="auto"/>
        <w:left w:val="none" w:sz="0" w:space="0" w:color="auto"/>
        <w:bottom w:val="none" w:sz="0" w:space="0" w:color="auto"/>
        <w:right w:val="none" w:sz="0" w:space="0" w:color="auto"/>
      </w:divBdr>
    </w:div>
    <w:div w:id="1233664177">
      <w:bodyDiv w:val="1"/>
      <w:marLeft w:val="0"/>
      <w:marRight w:val="0"/>
      <w:marTop w:val="0"/>
      <w:marBottom w:val="0"/>
      <w:divBdr>
        <w:top w:val="none" w:sz="0" w:space="0" w:color="auto"/>
        <w:left w:val="none" w:sz="0" w:space="0" w:color="auto"/>
        <w:bottom w:val="none" w:sz="0" w:space="0" w:color="auto"/>
        <w:right w:val="none" w:sz="0" w:space="0" w:color="auto"/>
      </w:divBdr>
    </w:div>
    <w:div w:id="1234662151">
      <w:bodyDiv w:val="1"/>
      <w:marLeft w:val="0"/>
      <w:marRight w:val="0"/>
      <w:marTop w:val="0"/>
      <w:marBottom w:val="0"/>
      <w:divBdr>
        <w:top w:val="none" w:sz="0" w:space="0" w:color="auto"/>
        <w:left w:val="none" w:sz="0" w:space="0" w:color="auto"/>
        <w:bottom w:val="none" w:sz="0" w:space="0" w:color="auto"/>
        <w:right w:val="none" w:sz="0" w:space="0" w:color="auto"/>
      </w:divBdr>
    </w:div>
    <w:div w:id="1261719191">
      <w:bodyDiv w:val="1"/>
      <w:marLeft w:val="0"/>
      <w:marRight w:val="0"/>
      <w:marTop w:val="0"/>
      <w:marBottom w:val="0"/>
      <w:divBdr>
        <w:top w:val="none" w:sz="0" w:space="0" w:color="auto"/>
        <w:left w:val="none" w:sz="0" w:space="0" w:color="auto"/>
        <w:bottom w:val="none" w:sz="0" w:space="0" w:color="auto"/>
        <w:right w:val="none" w:sz="0" w:space="0" w:color="auto"/>
      </w:divBdr>
    </w:div>
    <w:div w:id="1265921484">
      <w:bodyDiv w:val="1"/>
      <w:marLeft w:val="0"/>
      <w:marRight w:val="0"/>
      <w:marTop w:val="0"/>
      <w:marBottom w:val="0"/>
      <w:divBdr>
        <w:top w:val="none" w:sz="0" w:space="0" w:color="auto"/>
        <w:left w:val="none" w:sz="0" w:space="0" w:color="auto"/>
        <w:bottom w:val="none" w:sz="0" w:space="0" w:color="auto"/>
        <w:right w:val="none" w:sz="0" w:space="0" w:color="auto"/>
      </w:divBdr>
    </w:div>
    <w:div w:id="1269969927">
      <w:bodyDiv w:val="1"/>
      <w:marLeft w:val="0"/>
      <w:marRight w:val="0"/>
      <w:marTop w:val="0"/>
      <w:marBottom w:val="0"/>
      <w:divBdr>
        <w:top w:val="none" w:sz="0" w:space="0" w:color="auto"/>
        <w:left w:val="none" w:sz="0" w:space="0" w:color="auto"/>
        <w:bottom w:val="none" w:sz="0" w:space="0" w:color="auto"/>
        <w:right w:val="none" w:sz="0" w:space="0" w:color="auto"/>
      </w:divBdr>
    </w:div>
    <w:div w:id="1279263435">
      <w:bodyDiv w:val="1"/>
      <w:marLeft w:val="0"/>
      <w:marRight w:val="0"/>
      <w:marTop w:val="0"/>
      <w:marBottom w:val="0"/>
      <w:divBdr>
        <w:top w:val="none" w:sz="0" w:space="0" w:color="auto"/>
        <w:left w:val="none" w:sz="0" w:space="0" w:color="auto"/>
        <w:bottom w:val="none" w:sz="0" w:space="0" w:color="auto"/>
        <w:right w:val="none" w:sz="0" w:space="0" w:color="auto"/>
      </w:divBdr>
    </w:div>
    <w:div w:id="1286548887">
      <w:bodyDiv w:val="1"/>
      <w:marLeft w:val="0"/>
      <w:marRight w:val="0"/>
      <w:marTop w:val="0"/>
      <w:marBottom w:val="0"/>
      <w:divBdr>
        <w:top w:val="none" w:sz="0" w:space="0" w:color="auto"/>
        <w:left w:val="none" w:sz="0" w:space="0" w:color="auto"/>
        <w:bottom w:val="none" w:sz="0" w:space="0" w:color="auto"/>
        <w:right w:val="none" w:sz="0" w:space="0" w:color="auto"/>
      </w:divBdr>
    </w:div>
    <w:div w:id="1295872744">
      <w:bodyDiv w:val="1"/>
      <w:marLeft w:val="0"/>
      <w:marRight w:val="0"/>
      <w:marTop w:val="0"/>
      <w:marBottom w:val="0"/>
      <w:divBdr>
        <w:top w:val="none" w:sz="0" w:space="0" w:color="auto"/>
        <w:left w:val="none" w:sz="0" w:space="0" w:color="auto"/>
        <w:bottom w:val="none" w:sz="0" w:space="0" w:color="auto"/>
        <w:right w:val="none" w:sz="0" w:space="0" w:color="auto"/>
      </w:divBdr>
    </w:div>
    <w:div w:id="1296907126">
      <w:bodyDiv w:val="1"/>
      <w:marLeft w:val="0"/>
      <w:marRight w:val="0"/>
      <w:marTop w:val="0"/>
      <w:marBottom w:val="0"/>
      <w:divBdr>
        <w:top w:val="none" w:sz="0" w:space="0" w:color="auto"/>
        <w:left w:val="none" w:sz="0" w:space="0" w:color="auto"/>
        <w:bottom w:val="none" w:sz="0" w:space="0" w:color="auto"/>
        <w:right w:val="none" w:sz="0" w:space="0" w:color="auto"/>
      </w:divBdr>
    </w:div>
    <w:div w:id="1299610306">
      <w:bodyDiv w:val="1"/>
      <w:marLeft w:val="0"/>
      <w:marRight w:val="0"/>
      <w:marTop w:val="0"/>
      <w:marBottom w:val="0"/>
      <w:divBdr>
        <w:top w:val="none" w:sz="0" w:space="0" w:color="auto"/>
        <w:left w:val="none" w:sz="0" w:space="0" w:color="auto"/>
        <w:bottom w:val="none" w:sz="0" w:space="0" w:color="auto"/>
        <w:right w:val="none" w:sz="0" w:space="0" w:color="auto"/>
      </w:divBdr>
    </w:div>
    <w:div w:id="1301497735">
      <w:bodyDiv w:val="1"/>
      <w:marLeft w:val="0"/>
      <w:marRight w:val="0"/>
      <w:marTop w:val="0"/>
      <w:marBottom w:val="0"/>
      <w:divBdr>
        <w:top w:val="none" w:sz="0" w:space="0" w:color="auto"/>
        <w:left w:val="none" w:sz="0" w:space="0" w:color="auto"/>
        <w:bottom w:val="none" w:sz="0" w:space="0" w:color="auto"/>
        <w:right w:val="none" w:sz="0" w:space="0" w:color="auto"/>
      </w:divBdr>
    </w:div>
    <w:div w:id="1302077056">
      <w:bodyDiv w:val="1"/>
      <w:marLeft w:val="0"/>
      <w:marRight w:val="0"/>
      <w:marTop w:val="0"/>
      <w:marBottom w:val="0"/>
      <w:divBdr>
        <w:top w:val="none" w:sz="0" w:space="0" w:color="auto"/>
        <w:left w:val="none" w:sz="0" w:space="0" w:color="auto"/>
        <w:bottom w:val="none" w:sz="0" w:space="0" w:color="auto"/>
        <w:right w:val="none" w:sz="0" w:space="0" w:color="auto"/>
      </w:divBdr>
    </w:div>
    <w:div w:id="1303343922">
      <w:bodyDiv w:val="1"/>
      <w:marLeft w:val="0"/>
      <w:marRight w:val="0"/>
      <w:marTop w:val="0"/>
      <w:marBottom w:val="0"/>
      <w:divBdr>
        <w:top w:val="none" w:sz="0" w:space="0" w:color="auto"/>
        <w:left w:val="none" w:sz="0" w:space="0" w:color="auto"/>
        <w:bottom w:val="none" w:sz="0" w:space="0" w:color="auto"/>
        <w:right w:val="none" w:sz="0" w:space="0" w:color="auto"/>
      </w:divBdr>
    </w:div>
    <w:div w:id="1324507738">
      <w:bodyDiv w:val="1"/>
      <w:marLeft w:val="0"/>
      <w:marRight w:val="0"/>
      <w:marTop w:val="0"/>
      <w:marBottom w:val="0"/>
      <w:divBdr>
        <w:top w:val="none" w:sz="0" w:space="0" w:color="auto"/>
        <w:left w:val="none" w:sz="0" w:space="0" w:color="auto"/>
        <w:bottom w:val="none" w:sz="0" w:space="0" w:color="auto"/>
        <w:right w:val="none" w:sz="0" w:space="0" w:color="auto"/>
      </w:divBdr>
    </w:div>
    <w:div w:id="1325666198">
      <w:bodyDiv w:val="1"/>
      <w:marLeft w:val="0"/>
      <w:marRight w:val="0"/>
      <w:marTop w:val="0"/>
      <w:marBottom w:val="0"/>
      <w:divBdr>
        <w:top w:val="none" w:sz="0" w:space="0" w:color="auto"/>
        <w:left w:val="none" w:sz="0" w:space="0" w:color="auto"/>
        <w:bottom w:val="none" w:sz="0" w:space="0" w:color="auto"/>
        <w:right w:val="none" w:sz="0" w:space="0" w:color="auto"/>
      </w:divBdr>
    </w:div>
    <w:div w:id="1331324396">
      <w:bodyDiv w:val="1"/>
      <w:marLeft w:val="0"/>
      <w:marRight w:val="0"/>
      <w:marTop w:val="0"/>
      <w:marBottom w:val="0"/>
      <w:divBdr>
        <w:top w:val="none" w:sz="0" w:space="0" w:color="auto"/>
        <w:left w:val="none" w:sz="0" w:space="0" w:color="auto"/>
        <w:bottom w:val="none" w:sz="0" w:space="0" w:color="auto"/>
        <w:right w:val="none" w:sz="0" w:space="0" w:color="auto"/>
      </w:divBdr>
    </w:div>
    <w:div w:id="1337343136">
      <w:bodyDiv w:val="1"/>
      <w:marLeft w:val="0"/>
      <w:marRight w:val="0"/>
      <w:marTop w:val="0"/>
      <w:marBottom w:val="0"/>
      <w:divBdr>
        <w:top w:val="none" w:sz="0" w:space="0" w:color="auto"/>
        <w:left w:val="none" w:sz="0" w:space="0" w:color="auto"/>
        <w:bottom w:val="none" w:sz="0" w:space="0" w:color="auto"/>
        <w:right w:val="none" w:sz="0" w:space="0" w:color="auto"/>
      </w:divBdr>
    </w:div>
    <w:div w:id="1343779581">
      <w:bodyDiv w:val="1"/>
      <w:marLeft w:val="0"/>
      <w:marRight w:val="0"/>
      <w:marTop w:val="0"/>
      <w:marBottom w:val="0"/>
      <w:divBdr>
        <w:top w:val="none" w:sz="0" w:space="0" w:color="auto"/>
        <w:left w:val="none" w:sz="0" w:space="0" w:color="auto"/>
        <w:bottom w:val="none" w:sz="0" w:space="0" w:color="auto"/>
        <w:right w:val="none" w:sz="0" w:space="0" w:color="auto"/>
      </w:divBdr>
    </w:div>
    <w:div w:id="1352075250">
      <w:bodyDiv w:val="1"/>
      <w:marLeft w:val="0"/>
      <w:marRight w:val="0"/>
      <w:marTop w:val="0"/>
      <w:marBottom w:val="0"/>
      <w:divBdr>
        <w:top w:val="none" w:sz="0" w:space="0" w:color="auto"/>
        <w:left w:val="none" w:sz="0" w:space="0" w:color="auto"/>
        <w:bottom w:val="none" w:sz="0" w:space="0" w:color="auto"/>
        <w:right w:val="none" w:sz="0" w:space="0" w:color="auto"/>
      </w:divBdr>
    </w:div>
    <w:div w:id="1353996921">
      <w:bodyDiv w:val="1"/>
      <w:marLeft w:val="0"/>
      <w:marRight w:val="0"/>
      <w:marTop w:val="0"/>
      <w:marBottom w:val="0"/>
      <w:divBdr>
        <w:top w:val="none" w:sz="0" w:space="0" w:color="auto"/>
        <w:left w:val="none" w:sz="0" w:space="0" w:color="auto"/>
        <w:bottom w:val="none" w:sz="0" w:space="0" w:color="auto"/>
        <w:right w:val="none" w:sz="0" w:space="0" w:color="auto"/>
      </w:divBdr>
    </w:div>
    <w:div w:id="1372070033">
      <w:bodyDiv w:val="1"/>
      <w:marLeft w:val="0"/>
      <w:marRight w:val="0"/>
      <w:marTop w:val="0"/>
      <w:marBottom w:val="0"/>
      <w:divBdr>
        <w:top w:val="none" w:sz="0" w:space="0" w:color="auto"/>
        <w:left w:val="none" w:sz="0" w:space="0" w:color="auto"/>
        <w:bottom w:val="none" w:sz="0" w:space="0" w:color="auto"/>
        <w:right w:val="none" w:sz="0" w:space="0" w:color="auto"/>
      </w:divBdr>
    </w:div>
    <w:div w:id="1373338893">
      <w:bodyDiv w:val="1"/>
      <w:marLeft w:val="0"/>
      <w:marRight w:val="0"/>
      <w:marTop w:val="0"/>
      <w:marBottom w:val="0"/>
      <w:divBdr>
        <w:top w:val="none" w:sz="0" w:space="0" w:color="auto"/>
        <w:left w:val="none" w:sz="0" w:space="0" w:color="auto"/>
        <w:bottom w:val="none" w:sz="0" w:space="0" w:color="auto"/>
        <w:right w:val="none" w:sz="0" w:space="0" w:color="auto"/>
      </w:divBdr>
    </w:div>
    <w:div w:id="1375620021">
      <w:bodyDiv w:val="1"/>
      <w:marLeft w:val="0"/>
      <w:marRight w:val="0"/>
      <w:marTop w:val="0"/>
      <w:marBottom w:val="0"/>
      <w:divBdr>
        <w:top w:val="none" w:sz="0" w:space="0" w:color="auto"/>
        <w:left w:val="none" w:sz="0" w:space="0" w:color="auto"/>
        <w:bottom w:val="none" w:sz="0" w:space="0" w:color="auto"/>
        <w:right w:val="none" w:sz="0" w:space="0" w:color="auto"/>
      </w:divBdr>
    </w:div>
    <w:div w:id="1393769952">
      <w:bodyDiv w:val="1"/>
      <w:marLeft w:val="0"/>
      <w:marRight w:val="0"/>
      <w:marTop w:val="0"/>
      <w:marBottom w:val="0"/>
      <w:divBdr>
        <w:top w:val="none" w:sz="0" w:space="0" w:color="auto"/>
        <w:left w:val="none" w:sz="0" w:space="0" w:color="auto"/>
        <w:bottom w:val="none" w:sz="0" w:space="0" w:color="auto"/>
        <w:right w:val="none" w:sz="0" w:space="0" w:color="auto"/>
      </w:divBdr>
    </w:div>
    <w:div w:id="1406227308">
      <w:bodyDiv w:val="1"/>
      <w:marLeft w:val="0"/>
      <w:marRight w:val="0"/>
      <w:marTop w:val="0"/>
      <w:marBottom w:val="0"/>
      <w:divBdr>
        <w:top w:val="none" w:sz="0" w:space="0" w:color="auto"/>
        <w:left w:val="none" w:sz="0" w:space="0" w:color="auto"/>
        <w:bottom w:val="none" w:sz="0" w:space="0" w:color="auto"/>
        <w:right w:val="none" w:sz="0" w:space="0" w:color="auto"/>
      </w:divBdr>
      <w:divsChild>
        <w:div w:id="929463347">
          <w:marLeft w:val="0"/>
          <w:marRight w:val="0"/>
          <w:marTop w:val="0"/>
          <w:marBottom w:val="0"/>
          <w:divBdr>
            <w:top w:val="none" w:sz="0" w:space="0" w:color="auto"/>
            <w:left w:val="none" w:sz="0" w:space="0" w:color="auto"/>
            <w:bottom w:val="none" w:sz="0" w:space="0" w:color="auto"/>
            <w:right w:val="none" w:sz="0" w:space="0" w:color="auto"/>
          </w:divBdr>
        </w:div>
        <w:div w:id="1175651967">
          <w:marLeft w:val="0"/>
          <w:marRight w:val="0"/>
          <w:marTop w:val="0"/>
          <w:marBottom w:val="0"/>
          <w:divBdr>
            <w:top w:val="none" w:sz="0" w:space="0" w:color="auto"/>
            <w:left w:val="none" w:sz="0" w:space="0" w:color="auto"/>
            <w:bottom w:val="none" w:sz="0" w:space="0" w:color="auto"/>
            <w:right w:val="none" w:sz="0" w:space="0" w:color="auto"/>
          </w:divBdr>
        </w:div>
        <w:div w:id="1188956122">
          <w:marLeft w:val="0"/>
          <w:marRight w:val="0"/>
          <w:marTop w:val="0"/>
          <w:marBottom w:val="0"/>
          <w:divBdr>
            <w:top w:val="none" w:sz="0" w:space="0" w:color="auto"/>
            <w:left w:val="none" w:sz="0" w:space="0" w:color="auto"/>
            <w:bottom w:val="none" w:sz="0" w:space="0" w:color="auto"/>
            <w:right w:val="none" w:sz="0" w:space="0" w:color="auto"/>
          </w:divBdr>
        </w:div>
        <w:div w:id="2112239074">
          <w:marLeft w:val="0"/>
          <w:marRight w:val="0"/>
          <w:marTop w:val="0"/>
          <w:marBottom w:val="0"/>
          <w:divBdr>
            <w:top w:val="none" w:sz="0" w:space="0" w:color="auto"/>
            <w:left w:val="none" w:sz="0" w:space="0" w:color="auto"/>
            <w:bottom w:val="none" w:sz="0" w:space="0" w:color="auto"/>
            <w:right w:val="none" w:sz="0" w:space="0" w:color="auto"/>
          </w:divBdr>
        </w:div>
      </w:divsChild>
    </w:div>
    <w:div w:id="1416978205">
      <w:bodyDiv w:val="1"/>
      <w:marLeft w:val="0"/>
      <w:marRight w:val="0"/>
      <w:marTop w:val="0"/>
      <w:marBottom w:val="0"/>
      <w:divBdr>
        <w:top w:val="none" w:sz="0" w:space="0" w:color="auto"/>
        <w:left w:val="none" w:sz="0" w:space="0" w:color="auto"/>
        <w:bottom w:val="none" w:sz="0" w:space="0" w:color="auto"/>
        <w:right w:val="none" w:sz="0" w:space="0" w:color="auto"/>
      </w:divBdr>
    </w:div>
    <w:div w:id="1423064304">
      <w:bodyDiv w:val="1"/>
      <w:marLeft w:val="0"/>
      <w:marRight w:val="0"/>
      <w:marTop w:val="0"/>
      <w:marBottom w:val="0"/>
      <w:divBdr>
        <w:top w:val="none" w:sz="0" w:space="0" w:color="auto"/>
        <w:left w:val="none" w:sz="0" w:space="0" w:color="auto"/>
        <w:bottom w:val="none" w:sz="0" w:space="0" w:color="auto"/>
        <w:right w:val="none" w:sz="0" w:space="0" w:color="auto"/>
      </w:divBdr>
    </w:div>
    <w:div w:id="1427579346">
      <w:bodyDiv w:val="1"/>
      <w:marLeft w:val="0"/>
      <w:marRight w:val="0"/>
      <w:marTop w:val="0"/>
      <w:marBottom w:val="0"/>
      <w:divBdr>
        <w:top w:val="none" w:sz="0" w:space="0" w:color="auto"/>
        <w:left w:val="none" w:sz="0" w:space="0" w:color="auto"/>
        <w:bottom w:val="none" w:sz="0" w:space="0" w:color="auto"/>
        <w:right w:val="none" w:sz="0" w:space="0" w:color="auto"/>
      </w:divBdr>
      <w:divsChild>
        <w:div w:id="371461366">
          <w:marLeft w:val="0"/>
          <w:marRight w:val="0"/>
          <w:marTop w:val="0"/>
          <w:marBottom w:val="0"/>
          <w:divBdr>
            <w:top w:val="none" w:sz="0" w:space="0" w:color="auto"/>
            <w:left w:val="none" w:sz="0" w:space="0" w:color="auto"/>
            <w:bottom w:val="none" w:sz="0" w:space="0" w:color="auto"/>
            <w:right w:val="none" w:sz="0" w:space="0" w:color="auto"/>
          </w:divBdr>
        </w:div>
        <w:div w:id="728070852">
          <w:marLeft w:val="0"/>
          <w:marRight w:val="0"/>
          <w:marTop w:val="0"/>
          <w:marBottom w:val="0"/>
          <w:divBdr>
            <w:top w:val="none" w:sz="0" w:space="0" w:color="auto"/>
            <w:left w:val="none" w:sz="0" w:space="0" w:color="auto"/>
            <w:bottom w:val="none" w:sz="0" w:space="0" w:color="auto"/>
            <w:right w:val="none" w:sz="0" w:space="0" w:color="auto"/>
          </w:divBdr>
        </w:div>
        <w:div w:id="734083926">
          <w:marLeft w:val="0"/>
          <w:marRight w:val="0"/>
          <w:marTop w:val="0"/>
          <w:marBottom w:val="0"/>
          <w:divBdr>
            <w:top w:val="none" w:sz="0" w:space="0" w:color="auto"/>
            <w:left w:val="none" w:sz="0" w:space="0" w:color="auto"/>
            <w:bottom w:val="none" w:sz="0" w:space="0" w:color="auto"/>
            <w:right w:val="none" w:sz="0" w:space="0" w:color="auto"/>
          </w:divBdr>
        </w:div>
        <w:div w:id="754934856">
          <w:marLeft w:val="0"/>
          <w:marRight w:val="0"/>
          <w:marTop w:val="0"/>
          <w:marBottom w:val="0"/>
          <w:divBdr>
            <w:top w:val="none" w:sz="0" w:space="0" w:color="auto"/>
            <w:left w:val="none" w:sz="0" w:space="0" w:color="auto"/>
            <w:bottom w:val="none" w:sz="0" w:space="0" w:color="auto"/>
            <w:right w:val="none" w:sz="0" w:space="0" w:color="auto"/>
          </w:divBdr>
        </w:div>
        <w:div w:id="816454492">
          <w:marLeft w:val="0"/>
          <w:marRight w:val="0"/>
          <w:marTop w:val="0"/>
          <w:marBottom w:val="0"/>
          <w:divBdr>
            <w:top w:val="none" w:sz="0" w:space="0" w:color="auto"/>
            <w:left w:val="none" w:sz="0" w:space="0" w:color="auto"/>
            <w:bottom w:val="none" w:sz="0" w:space="0" w:color="auto"/>
            <w:right w:val="none" w:sz="0" w:space="0" w:color="auto"/>
          </w:divBdr>
        </w:div>
        <w:div w:id="897860017">
          <w:marLeft w:val="0"/>
          <w:marRight w:val="0"/>
          <w:marTop w:val="0"/>
          <w:marBottom w:val="0"/>
          <w:divBdr>
            <w:top w:val="none" w:sz="0" w:space="0" w:color="auto"/>
            <w:left w:val="none" w:sz="0" w:space="0" w:color="auto"/>
            <w:bottom w:val="none" w:sz="0" w:space="0" w:color="auto"/>
            <w:right w:val="none" w:sz="0" w:space="0" w:color="auto"/>
          </w:divBdr>
        </w:div>
        <w:div w:id="1008337022">
          <w:marLeft w:val="0"/>
          <w:marRight w:val="0"/>
          <w:marTop w:val="0"/>
          <w:marBottom w:val="0"/>
          <w:divBdr>
            <w:top w:val="none" w:sz="0" w:space="0" w:color="auto"/>
            <w:left w:val="none" w:sz="0" w:space="0" w:color="auto"/>
            <w:bottom w:val="none" w:sz="0" w:space="0" w:color="auto"/>
            <w:right w:val="none" w:sz="0" w:space="0" w:color="auto"/>
          </w:divBdr>
        </w:div>
        <w:div w:id="1018001248">
          <w:marLeft w:val="0"/>
          <w:marRight w:val="0"/>
          <w:marTop w:val="0"/>
          <w:marBottom w:val="0"/>
          <w:divBdr>
            <w:top w:val="none" w:sz="0" w:space="0" w:color="auto"/>
            <w:left w:val="none" w:sz="0" w:space="0" w:color="auto"/>
            <w:bottom w:val="none" w:sz="0" w:space="0" w:color="auto"/>
            <w:right w:val="none" w:sz="0" w:space="0" w:color="auto"/>
          </w:divBdr>
        </w:div>
        <w:div w:id="1127237671">
          <w:marLeft w:val="0"/>
          <w:marRight w:val="0"/>
          <w:marTop w:val="0"/>
          <w:marBottom w:val="0"/>
          <w:divBdr>
            <w:top w:val="none" w:sz="0" w:space="0" w:color="auto"/>
            <w:left w:val="none" w:sz="0" w:space="0" w:color="auto"/>
            <w:bottom w:val="none" w:sz="0" w:space="0" w:color="auto"/>
            <w:right w:val="none" w:sz="0" w:space="0" w:color="auto"/>
          </w:divBdr>
        </w:div>
        <w:div w:id="1526093624">
          <w:marLeft w:val="0"/>
          <w:marRight w:val="0"/>
          <w:marTop w:val="0"/>
          <w:marBottom w:val="0"/>
          <w:divBdr>
            <w:top w:val="none" w:sz="0" w:space="0" w:color="auto"/>
            <w:left w:val="none" w:sz="0" w:space="0" w:color="auto"/>
            <w:bottom w:val="none" w:sz="0" w:space="0" w:color="auto"/>
            <w:right w:val="none" w:sz="0" w:space="0" w:color="auto"/>
          </w:divBdr>
        </w:div>
        <w:div w:id="1797873545">
          <w:marLeft w:val="0"/>
          <w:marRight w:val="0"/>
          <w:marTop w:val="0"/>
          <w:marBottom w:val="0"/>
          <w:divBdr>
            <w:top w:val="none" w:sz="0" w:space="0" w:color="auto"/>
            <w:left w:val="none" w:sz="0" w:space="0" w:color="auto"/>
            <w:bottom w:val="none" w:sz="0" w:space="0" w:color="auto"/>
            <w:right w:val="none" w:sz="0" w:space="0" w:color="auto"/>
          </w:divBdr>
        </w:div>
        <w:div w:id="2041008578">
          <w:marLeft w:val="0"/>
          <w:marRight w:val="0"/>
          <w:marTop w:val="0"/>
          <w:marBottom w:val="0"/>
          <w:divBdr>
            <w:top w:val="none" w:sz="0" w:space="0" w:color="auto"/>
            <w:left w:val="none" w:sz="0" w:space="0" w:color="auto"/>
            <w:bottom w:val="none" w:sz="0" w:space="0" w:color="auto"/>
            <w:right w:val="none" w:sz="0" w:space="0" w:color="auto"/>
          </w:divBdr>
        </w:div>
      </w:divsChild>
    </w:div>
    <w:div w:id="1434587851">
      <w:bodyDiv w:val="1"/>
      <w:marLeft w:val="0"/>
      <w:marRight w:val="0"/>
      <w:marTop w:val="0"/>
      <w:marBottom w:val="0"/>
      <w:divBdr>
        <w:top w:val="none" w:sz="0" w:space="0" w:color="auto"/>
        <w:left w:val="none" w:sz="0" w:space="0" w:color="auto"/>
        <w:bottom w:val="none" w:sz="0" w:space="0" w:color="auto"/>
        <w:right w:val="none" w:sz="0" w:space="0" w:color="auto"/>
      </w:divBdr>
    </w:div>
    <w:div w:id="1437289344">
      <w:bodyDiv w:val="1"/>
      <w:marLeft w:val="0"/>
      <w:marRight w:val="0"/>
      <w:marTop w:val="0"/>
      <w:marBottom w:val="0"/>
      <w:divBdr>
        <w:top w:val="none" w:sz="0" w:space="0" w:color="auto"/>
        <w:left w:val="none" w:sz="0" w:space="0" w:color="auto"/>
        <w:bottom w:val="none" w:sz="0" w:space="0" w:color="auto"/>
        <w:right w:val="none" w:sz="0" w:space="0" w:color="auto"/>
      </w:divBdr>
    </w:div>
    <w:div w:id="1443184376">
      <w:bodyDiv w:val="1"/>
      <w:marLeft w:val="0"/>
      <w:marRight w:val="0"/>
      <w:marTop w:val="0"/>
      <w:marBottom w:val="0"/>
      <w:divBdr>
        <w:top w:val="none" w:sz="0" w:space="0" w:color="auto"/>
        <w:left w:val="none" w:sz="0" w:space="0" w:color="auto"/>
        <w:bottom w:val="none" w:sz="0" w:space="0" w:color="auto"/>
        <w:right w:val="none" w:sz="0" w:space="0" w:color="auto"/>
      </w:divBdr>
    </w:div>
    <w:div w:id="1448428815">
      <w:bodyDiv w:val="1"/>
      <w:marLeft w:val="0"/>
      <w:marRight w:val="0"/>
      <w:marTop w:val="0"/>
      <w:marBottom w:val="0"/>
      <w:divBdr>
        <w:top w:val="none" w:sz="0" w:space="0" w:color="auto"/>
        <w:left w:val="none" w:sz="0" w:space="0" w:color="auto"/>
        <w:bottom w:val="none" w:sz="0" w:space="0" w:color="auto"/>
        <w:right w:val="none" w:sz="0" w:space="0" w:color="auto"/>
      </w:divBdr>
    </w:div>
    <w:div w:id="1448769935">
      <w:bodyDiv w:val="1"/>
      <w:marLeft w:val="0"/>
      <w:marRight w:val="0"/>
      <w:marTop w:val="0"/>
      <w:marBottom w:val="0"/>
      <w:divBdr>
        <w:top w:val="none" w:sz="0" w:space="0" w:color="auto"/>
        <w:left w:val="none" w:sz="0" w:space="0" w:color="auto"/>
        <w:bottom w:val="none" w:sz="0" w:space="0" w:color="auto"/>
        <w:right w:val="none" w:sz="0" w:space="0" w:color="auto"/>
      </w:divBdr>
    </w:div>
    <w:div w:id="1453550301">
      <w:bodyDiv w:val="1"/>
      <w:marLeft w:val="0"/>
      <w:marRight w:val="0"/>
      <w:marTop w:val="0"/>
      <w:marBottom w:val="0"/>
      <w:divBdr>
        <w:top w:val="none" w:sz="0" w:space="0" w:color="auto"/>
        <w:left w:val="none" w:sz="0" w:space="0" w:color="auto"/>
        <w:bottom w:val="none" w:sz="0" w:space="0" w:color="auto"/>
        <w:right w:val="none" w:sz="0" w:space="0" w:color="auto"/>
      </w:divBdr>
    </w:div>
    <w:div w:id="1463841283">
      <w:bodyDiv w:val="1"/>
      <w:marLeft w:val="0"/>
      <w:marRight w:val="0"/>
      <w:marTop w:val="0"/>
      <w:marBottom w:val="0"/>
      <w:divBdr>
        <w:top w:val="none" w:sz="0" w:space="0" w:color="auto"/>
        <w:left w:val="none" w:sz="0" w:space="0" w:color="auto"/>
        <w:bottom w:val="none" w:sz="0" w:space="0" w:color="auto"/>
        <w:right w:val="none" w:sz="0" w:space="0" w:color="auto"/>
      </w:divBdr>
    </w:div>
    <w:div w:id="1467434329">
      <w:bodyDiv w:val="1"/>
      <w:marLeft w:val="0"/>
      <w:marRight w:val="0"/>
      <w:marTop w:val="0"/>
      <w:marBottom w:val="0"/>
      <w:divBdr>
        <w:top w:val="none" w:sz="0" w:space="0" w:color="auto"/>
        <w:left w:val="none" w:sz="0" w:space="0" w:color="auto"/>
        <w:bottom w:val="none" w:sz="0" w:space="0" w:color="auto"/>
        <w:right w:val="none" w:sz="0" w:space="0" w:color="auto"/>
      </w:divBdr>
    </w:div>
    <w:div w:id="1470056018">
      <w:bodyDiv w:val="1"/>
      <w:marLeft w:val="0"/>
      <w:marRight w:val="0"/>
      <w:marTop w:val="0"/>
      <w:marBottom w:val="0"/>
      <w:divBdr>
        <w:top w:val="none" w:sz="0" w:space="0" w:color="auto"/>
        <w:left w:val="none" w:sz="0" w:space="0" w:color="auto"/>
        <w:bottom w:val="none" w:sz="0" w:space="0" w:color="auto"/>
        <w:right w:val="none" w:sz="0" w:space="0" w:color="auto"/>
      </w:divBdr>
    </w:div>
    <w:div w:id="1478454853">
      <w:bodyDiv w:val="1"/>
      <w:marLeft w:val="0"/>
      <w:marRight w:val="0"/>
      <w:marTop w:val="0"/>
      <w:marBottom w:val="0"/>
      <w:divBdr>
        <w:top w:val="none" w:sz="0" w:space="0" w:color="auto"/>
        <w:left w:val="none" w:sz="0" w:space="0" w:color="auto"/>
        <w:bottom w:val="none" w:sz="0" w:space="0" w:color="auto"/>
        <w:right w:val="none" w:sz="0" w:space="0" w:color="auto"/>
      </w:divBdr>
    </w:div>
    <w:div w:id="1481658204">
      <w:bodyDiv w:val="1"/>
      <w:marLeft w:val="0"/>
      <w:marRight w:val="0"/>
      <w:marTop w:val="0"/>
      <w:marBottom w:val="0"/>
      <w:divBdr>
        <w:top w:val="none" w:sz="0" w:space="0" w:color="auto"/>
        <w:left w:val="none" w:sz="0" w:space="0" w:color="auto"/>
        <w:bottom w:val="none" w:sz="0" w:space="0" w:color="auto"/>
        <w:right w:val="none" w:sz="0" w:space="0" w:color="auto"/>
      </w:divBdr>
      <w:divsChild>
        <w:div w:id="176309375">
          <w:marLeft w:val="446"/>
          <w:marRight w:val="0"/>
          <w:marTop w:val="0"/>
          <w:marBottom w:val="0"/>
          <w:divBdr>
            <w:top w:val="none" w:sz="0" w:space="0" w:color="auto"/>
            <w:left w:val="none" w:sz="0" w:space="0" w:color="auto"/>
            <w:bottom w:val="none" w:sz="0" w:space="0" w:color="auto"/>
            <w:right w:val="none" w:sz="0" w:space="0" w:color="auto"/>
          </w:divBdr>
        </w:div>
        <w:div w:id="334186133">
          <w:marLeft w:val="446"/>
          <w:marRight w:val="0"/>
          <w:marTop w:val="0"/>
          <w:marBottom w:val="0"/>
          <w:divBdr>
            <w:top w:val="none" w:sz="0" w:space="0" w:color="auto"/>
            <w:left w:val="none" w:sz="0" w:space="0" w:color="auto"/>
            <w:bottom w:val="none" w:sz="0" w:space="0" w:color="auto"/>
            <w:right w:val="none" w:sz="0" w:space="0" w:color="auto"/>
          </w:divBdr>
        </w:div>
        <w:div w:id="2062947650">
          <w:marLeft w:val="446"/>
          <w:marRight w:val="0"/>
          <w:marTop w:val="0"/>
          <w:marBottom w:val="0"/>
          <w:divBdr>
            <w:top w:val="none" w:sz="0" w:space="0" w:color="auto"/>
            <w:left w:val="none" w:sz="0" w:space="0" w:color="auto"/>
            <w:bottom w:val="none" w:sz="0" w:space="0" w:color="auto"/>
            <w:right w:val="none" w:sz="0" w:space="0" w:color="auto"/>
          </w:divBdr>
        </w:div>
      </w:divsChild>
    </w:div>
    <w:div w:id="1496073186">
      <w:bodyDiv w:val="1"/>
      <w:marLeft w:val="0"/>
      <w:marRight w:val="0"/>
      <w:marTop w:val="0"/>
      <w:marBottom w:val="0"/>
      <w:divBdr>
        <w:top w:val="none" w:sz="0" w:space="0" w:color="auto"/>
        <w:left w:val="none" w:sz="0" w:space="0" w:color="auto"/>
        <w:bottom w:val="none" w:sz="0" w:space="0" w:color="auto"/>
        <w:right w:val="none" w:sz="0" w:space="0" w:color="auto"/>
      </w:divBdr>
    </w:div>
    <w:div w:id="1497695338">
      <w:bodyDiv w:val="1"/>
      <w:marLeft w:val="0"/>
      <w:marRight w:val="0"/>
      <w:marTop w:val="0"/>
      <w:marBottom w:val="0"/>
      <w:divBdr>
        <w:top w:val="none" w:sz="0" w:space="0" w:color="auto"/>
        <w:left w:val="none" w:sz="0" w:space="0" w:color="auto"/>
        <w:bottom w:val="none" w:sz="0" w:space="0" w:color="auto"/>
        <w:right w:val="none" w:sz="0" w:space="0" w:color="auto"/>
      </w:divBdr>
    </w:div>
    <w:div w:id="1512379460">
      <w:bodyDiv w:val="1"/>
      <w:marLeft w:val="0"/>
      <w:marRight w:val="0"/>
      <w:marTop w:val="0"/>
      <w:marBottom w:val="0"/>
      <w:divBdr>
        <w:top w:val="none" w:sz="0" w:space="0" w:color="auto"/>
        <w:left w:val="none" w:sz="0" w:space="0" w:color="auto"/>
        <w:bottom w:val="none" w:sz="0" w:space="0" w:color="auto"/>
        <w:right w:val="none" w:sz="0" w:space="0" w:color="auto"/>
      </w:divBdr>
    </w:div>
    <w:div w:id="1514680947">
      <w:bodyDiv w:val="1"/>
      <w:marLeft w:val="0"/>
      <w:marRight w:val="0"/>
      <w:marTop w:val="0"/>
      <w:marBottom w:val="0"/>
      <w:divBdr>
        <w:top w:val="none" w:sz="0" w:space="0" w:color="auto"/>
        <w:left w:val="none" w:sz="0" w:space="0" w:color="auto"/>
        <w:bottom w:val="none" w:sz="0" w:space="0" w:color="auto"/>
        <w:right w:val="none" w:sz="0" w:space="0" w:color="auto"/>
      </w:divBdr>
    </w:div>
    <w:div w:id="1519735779">
      <w:bodyDiv w:val="1"/>
      <w:marLeft w:val="0"/>
      <w:marRight w:val="0"/>
      <w:marTop w:val="0"/>
      <w:marBottom w:val="0"/>
      <w:divBdr>
        <w:top w:val="none" w:sz="0" w:space="0" w:color="auto"/>
        <w:left w:val="none" w:sz="0" w:space="0" w:color="auto"/>
        <w:bottom w:val="none" w:sz="0" w:space="0" w:color="auto"/>
        <w:right w:val="none" w:sz="0" w:space="0" w:color="auto"/>
      </w:divBdr>
    </w:div>
    <w:div w:id="1528257813">
      <w:bodyDiv w:val="1"/>
      <w:marLeft w:val="0"/>
      <w:marRight w:val="0"/>
      <w:marTop w:val="0"/>
      <w:marBottom w:val="0"/>
      <w:divBdr>
        <w:top w:val="none" w:sz="0" w:space="0" w:color="auto"/>
        <w:left w:val="none" w:sz="0" w:space="0" w:color="auto"/>
        <w:bottom w:val="none" w:sz="0" w:space="0" w:color="auto"/>
        <w:right w:val="none" w:sz="0" w:space="0" w:color="auto"/>
      </w:divBdr>
    </w:div>
    <w:div w:id="1539314392">
      <w:bodyDiv w:val="1"/>
      <w:marLeft w:val="0"/>
      <w:marRight w:val="0"/>
      <w:marTop w:val="0"/>
      <w:marBottom w:val="0"/>
      <w:divBdr>
        <w:top w:val="none" w:sz="0" w:space="0" w:color="auto"/>
        <w:left w:val="none" w:sz="0" w:space="0" w:color="auto"/>
        <w:bottom w:val="none" w:sz="0" w:space="0" w:color="auto"/>
        <w:right w:val="none" w:sz="0" w:space="0" w:color="auto"/>
      </w:divBdr>
    </w:div>
    <w:div w:id="1551965550">
      <w:bodyDiv w:val="1"/>
      <w:marLeft w:val="0"/>
      <w:marRight w:val="0"/>
      <w:marTop w:val="0"/>
      <w:marBottom w:val="0"/>
      <w:divBdr>
        <w:top w:val="none" w:sz="0" w:space="0" w:color="auto"/>
        <w:left w:val="none" w:sz="0" w:space="0" w:color="auto"/>
        <w:bottom w:val="none" w:sz="0" w:space="0" w:color="auto"/>
        <w:right w:val="none" w:sz="0" w:space="0" w:color="auto"/>
      </w:divBdr>
    </w:div>
    <w:div w:id="1558472845">
      <w:bodyDiv w:val="1"/>
      <w:marLeft w:val="0"/>
      <w:marRight w:val="0"/>
      <w:marTop w:val="0"/>
      <w:marBottom w:val="0"/>
      <w:divBdr>
        <w:top w:val="none" w:sz="0" w:space="0" w:color="auto"/>
        <w:left w:val="none" w:sz="0" w:space="0" w:color="auto"/>
        <w:bottom w:val="none" w:sz="0" w:space="0" w:color="auto"/>
        <w:right w:val="none" w:sz="0" w:space="0" w:color="auto"/>
      </w:divBdr>
    </w:div>
    <w:div w:id="1570842193">
      <w:bodyDiv w:val="1"/>
      <w:marLeft w:val="0"/>
      <w:marRight w:val="0"/>
      <w:marTop w:val="0"/>
      <w:marBottom w:val="0"/>
      <w:divBdr>
        <w:top w:val="none" w:sz="0" w:space="0" w:color="auto"/>
        <w:left w:val="none" w:sz="0" w:space="0" w:color="auto"/>
        <w:bottom w:val="none" w:sz="0" w:space="0" w:color="auto"/>
        <w:right w:val="none" w:sz="0" w:space="0" w:color="auto"/>
      </w:divBdr>
    </w:div>
    <w:div w:id="1576473471">
      <w:bodyDiv w:val="1"/>
      <w:marLeft w:val="0"/>
      <w:marRight w:val="0"/>
      <w:marTop w:val="0"/>
      <w:marBottom w:val="0"/>
      <w:divBdr>
        <w:top w:val="none" w:sz="0" w:space="0" w:color="auto"/>
        <w:left w:val="none" w:sz="0" w:space="0" w:color="auto"/>
        <w:bottom w:val="none" w:sz="0" w:space="0" w:color="auto"/>
        <w:right w:val="none" w:sz="0" w:space="0" w:color="auto"/>
      </w:divBdr>
    </w:div>
    <w:div w:id="1583833932">
      <w:bodyDiv w:val="1"/>
      <w:marLeft w:val="0"/>
      <w:marRight w:val="0"/>
      <w:marTop w:val="0"/>
      <w:marBottom w:val="0"/>
      <w:divBdr>
        <w:top w:val="none" w:sz="0" w:space="0" w:color="auto"/>
        <w:left w:val="none" w:sz="0" w:space="0" w:color="auto"/>
        <w:bottom w:val="none" w:sz="0" w:space="0" w:color="auto"/>
        <w:right w:val="none" w:sz="0" w:space="0" w:color="auto"/>
      </w:divBdr>
    </w:div>
    <w:div w:id="1587109714">
      <w:bodyDiv w:val="1"/>
      <w:marLeft w:val="0"/>
      <w:marRight w:val="0"/>
      <w:marTop w:val="0"/>
      <w:marBottom w:val="0"/>
      <w:divBdr>
        <w:top w:val="none" w:sz="0" w:space="0" w:color="auto"/>
        <w:left w:val="none" w:sz="0" w:space="0" w:color="auto"/>
        <w:bottom w:val="none" w:sz="0" w:space="0" w:color="auto"/>
        <w:right w:val="none" w:sz="0" w:space="0" w:color="auto"/>
      </w:divBdr>
    </w:div>
    <w:div w:id="1587885030">
      <w:bodyDiv w:val="1"/>
      <w:marLeft w:val="0"/>
      <w:marRight w:val="0"/>
      <w:marTop w:val="0"/>
      <w:marBottom w:val="0"/>
      <w:divBdr>
        <w:top w:val="none" w:sz="0" w:space="0" w:color="auto"/>
        <w:left w:val="none" w:sz="0" w:space="0" w:color="auto"/>
        <w:bottom w:val="none" w:sz="0" w:space="0" w:color="auto"/>
        <w:right w:val="none" w:sz="0" w:space="0" w:color="auto"/>
      </w:divBdr>
    </w:div>
    <w:div w:id="1590236768">
      <w:bodyDiv w:val="1"/>
      <w:marLeft w:val="0"/>
      <w:marRight w:val="0"/>
      <w:marTop w:val="0"/>
      <w:marBottom w:val="0"/>
      <w:divBdr>
        <w:top w:val="none" w:sz="0" w:space="0" w:color="auto"/>
        <w:left w:val="none" w:sz="0" w:space="0" w:color="auto"/>
        <w:bottom w:val="none" w:sz="0" w:space="0" w:color="auto"/>
        <w:right w:val="none" w:sz="0" w:space="0" w:color="auto"/>
      </w:divBdr>
    </w:div>
    <w:div w:id="1591543798">
      <w:bodyDiv w:val="1"/>
      <w:marLeft w:val="0"/>
      <w:marRight w:val="0"/>
      <w:marTop w:val="0"/>
      <w:marBottom w:val="0"/>
      <w:divBdr>
        <w:top w:val="none" w:sz="0" w:space="0" w:color="auto"/>
        <w:left w:val="none" w:sz="0" w:space="0" w:color="auto"/>
        <w:bottom w:val="none" w:sz="0" w:space="0" w:color="auto"/>
        <w:right w:val="none" w:sz="0" w:space="0" w:color="auto"/>
      </w:divBdr>
    </w:div>
    <w:div w:id="1593582527">
      <w:bodyDiv w:val="1"/>
      <w:marLeft w:val="0"/>
      <w:marRight w:val="0"/>
      <w:marTop w:val="0"/>
      <w:marBottom w:val="0"/>
      <w:divBdr>
        <w:top w:val="none" w:sz="0" w:space="0" w:color="auto"/>
        <w:left w:val="none" w:sz="0" w:space="0" w:color="auto"/>
        <w:bottom w:val="none" w:sz="0" w:space="0" w:color="auto"/>
        <w:right w:val="none" w:sz="0" w:space="0" w:color="auto"/>
      </w:divBdr>
    </w:div>
    <w:div w:id="1598246811">
      <w:bodyDiv w:val="1"/>
      <w:marLeft w:val="0"/>
      <w:marRight w:val="0"/>
      <w:marTop w:val="0"/>
      <w:marBottom w:val="0"/>
      <w:divBdr>
        <w:top w:val="none" w:sz="0" w:space="0" w:color="auto"/>
        <w:left w:val="none" w:sz="0" w:space="0" w:color="auto"/>
        <w:bottom w:val="none" w:sz="0" w:space="0" w:color="auto"/>
        <w:right w:val="none" w:sz="0" w:space="0" w:color="auto"/>
      </w:divBdr>
    </w:div>
    <w:div w:id="1599630626">
      <w:bodyDiv w:val="1"/>
      <w:marLeft w:val="0"/>
      <w:marRight w:val="0"/>
      <w:marTop w:val="0"/>
      <w:marBottom w:val="0"/>
      <w:divBdr>
        <w:top w:val="none" w:sz="0" w:space="0" w:color="auto"/>
        <w:left w:val="none" w:sz="0" w:space="0" w:color="auto"/>
        <w:bottom w:val="none" w:sz="0" w:space="0" w:color="auto"/>
        <w:right w:val="none" w:sz="0" w:space="0" w:color="auto"/>
      </w:divBdr>
      <w:divsChild>
        <w:div w:id="801003202">
          <w:marLeft w:val="288"/>
          <w:marRight w:val="0"/>
          <w:marTop w:val="0"/>
          <w:marBottom w:val="0"/>
          <w:divBdr>
            <w:top w:val="none" w:sz="0" w:space="0" w:color="auto"/>
            <w:left w:val="none" w:sz="0" w:space="0" w:color="auto"/>
            <w:bottom w:val="none" w:sz="0" w:space="0" w:color="auto"/>
            <w:right w:val="none" w:sz="0" w:space="0" w:color="auto"/>
          </w:divBdr>
        </w:div>
        <w:div w:id="1422528219">
          <w:marLeft w:val="288"/>
          <w:marRight w:val="0"/>
          <w:marTop w:val="0"/>
          <w:marBottom w:val="0"/>
          <w:divBdr>
            <w:top w:val="none" w:sz="0" w:space="0" w:color="auto"/>
            <w:left w:val="none" w:sz="0" w:space="0" w:color="auto"/>
            <w:bottom w:val="none" w:sz="0" w:space="0" w:color="auto"/>
            <w:right w:val="none" w:sz="0" w:space="0" w:color="auto"/>
          </w:divBdr>
        </w:div>
        <w:div w:id="2131823074">
          <w:marLeft w:val="288"/>
          <w:marRight w:val="0"/>
          <w:marTop w:val="0"/>
          <w:marBottom w:val="0"/>
          <w:divBdr>
            <w:top w:val="none" w:sz="0" w:space="0" w:color="auto"/>
            <w:left w:val="none" w:sz="0" w:space="0" w:color="auto"/>
            <w:bottom w:val="none" w:sz="0" w:space="0" w:color="auto"/>
            <w:right w:val="none" w:sz="0" w:space="0" w:color="auto"/>
          </w:divBdr>
        </w:div>
      </w:divsChild>
    </w:div>
    <w:div w:id="1600216388">
      <w:bodyDiv w:val="1"/>
      <w:marLeft w:val="0"/>
      <w:marRight w:val="0"/>
      <w:marTop w:val="0"/>
      <w:marBottom w:val="0"/>
      <w:divBdr>
        <w:top w:val="none" w:sz="0" w:space="0" w:color="auto"/>
        <w:left w:val="none" w:sz="0" w:space="0" w:color="auto"/>
        <w:bottom w:val="none" w:sz="0" w:space="0" w:color="auto"/>
        <w:right w:val="none" w:sz="0" w:space="0" w:color="auto"/>
      </w:divBdr>
    </w:div>
    <w:div w:id="1604724506">
      <w:bodyDiv w:val="1"/>
      <w:marLeft w:val="0"/>
      <w:marRight w:val="0"/>
      <w:marTop w:val="0"/>
      <w:marBottom w:val="0"/>
      <w:divBdr>
        <w:top w:val="none" w:sz="0" w:space="0" w:color="auto"/>
        <w:left w:val="none" w:sz="0" w:space="0" w:color="auto"/>
        <w:bottom w:val="none" w:sz="0" w:space="0" w:color="auto"/>
        <w:right w:val="none" w:sz="0" w:space="0" w:color="auto"/>
      </w:divBdr>
    </w:div>
    <w:div w:id="1604804783">
      <w:bodyDiv w:val="1"/>
      <w:marLeft w:val="0"/>
      <w:marRight w:val="0"/>
      <w:marTop w:val="0"/>
      <w:marBottom w:val="0"/>
      <w:divBdr>
        <w:top w:val="none" w:sz="0" w:space="0" w:color="auto"/>
        <w:left w:val="none" w:sz="0" w:space="0" w:color="auto"/>
        <w:bottom w:val="none" w:sz="0" w:space="0" w:color="auto"/>
        <w:right w:val="none" w:sz="0" w:space="0" w:color="auto"/>
      </w:divBdr>
    </w:div>
    <w:div w:id="1618412003">
      <w:bodyDiv w:val="1"/>
      <w:marLeft w:val="0"/>
      <w:marRight w:val="0"/>
      <w:marTop w:val="0"/>
      <w:marBottom w:val="0"/>
      <w:divBdr>
        <w:top w:val="none" w:sz="0" w:space="0" w:color="auto"/>
        <w:left w:val="none" w:sz="0" w:space="0" w:color="auto"/>
        <w:bottom w:val="none" w:sz="0" w:space="0" w:color="auto"/>
        <w:right w:val="none" w:sz="0" w:space="0" w:color="auto"/>
      </w:divBdr>
    </w:div>
    <w:div w:id="1635677306">
      <w:bodyDiv w:val="1"/>
      <w:marLeft w:val="0"/>
      <w:marRight w:val="0"/>
      <w:marTop w:val="0"/>
      <w:marBottom w:val="0"/>
      <w:divBdr>
        <w:top w:val="none" w:sz="0" w:space="0" w:color="auto"/>
        <w:left w:val="none" w:sz="0" w:space="0" w:color="auto"/>
        <w:bottom w:val="none" w:sz="0" w:space="0" w:color="auto"/>
        <w:right w:val="none" w:sz="0" w:space="0" w:color="auto"/>
      </w:divBdr>
    </w:div>
    <w:div w:id="1637686581">
      <w:bodyDiv w:val="1"/>
      <w:marLeft w:val="0"/>
      <w:marRight w:val="0"/>
      <w:marTop w:val="0"/>
      <w:marBottom w:val="0"/>
      <w:divBdr>
        <w:top w:val="none" w:sz="0" w:space="0" w:color="auto"/>
        <w:left w:val="none" w:sz="0" w:space="0" w:color="auto"/>
        <w:bottom w:val="none" w:sz="0" w:space="0" w:color="auto"/>
        <w:right w:val="none" w:sz="0" w:space="0" w:color="auto"/>
      </w:divBdr>
      <w:divsChild>
        <w:div w:id="692531272">
          <w:marLeft w:val="1181"/>
          <w:marRight w:val="0"/>
          <w:marTop w:val="0"/>
          <w:marBottom w:val="0"/>
          <w:divBdr>
            <w:top w:val="none" w:sz="0" w:space="0" w:color="auto"/>
            <w:left w:val="none" w:sz="0" w:space="0" w:color="auto"/>
            <w:bottom w:val="none" w:sz="0" w:space="0" w:color="auto"/>
            <w:right w:val="none" w:sz="0" w:space="0" w:color="auto"/>
          </w:divBdr>
        </w:div>
        <w:div w:id="932973971">
          <w:marLeft w:val="1181"/>
          <w:marRight w:val="0"/>
          <w:marTop w:val="0"/>
          <w:marBottom w:val="0"/>
          <w:divBdr>
            <w:top w:val="none" w:sz="0" w:space="0" w:color="auto"/>
            <w:left w:val="none" w:sz="0" w:space="0" w:color="auto"/>
            <w:bottom w:val="none" w:sz="0" w:space="0" w:color="auto"/>
            <w:right w:val="none" w:sz="0" w:space="0" w:color="auto"/>
          </w:divBdr>
        </w:div>
        <w:div w:id="1819032617">
          <w:marLeft w:val="547"/>
          <w:marRight w:val="0"/>
          <w:marTop w:val="0"/>
          <w:marBottom w:val="0"/>
          <w:divBdr>
            <w:top w:val="none" w:sz="0" w:space="0" w:color="auto"/>
            <w:left w:val="none" w:sz="0" w:space="0" w:color="auto"/>
            <w:bottom w:val="none" w:sz="0" w:space="0" w:color="auto"/>
            <w:right w:val="none" w:sz="0" w:space="0" w:color="auto"/>
          </w:divBdr>
        </w:div>
        <w:div w:id="2102097140">
          <w:marLeft w:val="1181"/>
          <w:marRight w:val="0"/>
          <w:marTop w:val="0"/>
          <w:marBottom w:val="0"/>
          <w:divBdr>
            <w:top w:val="none" w:sz="0" w:space="0" w:color="auto"/>
            <w:left w:val="none" w:sz="0" w:space="0" w:color="auto"/>
            <w:bottom w:val="none" w:sz="0" w:space="0" w:color="auto"/>
            <w:right w:val="none" w:sz="0" w:space="0" w:color="auto"/>
          </w:divBdr>
        </w:div>
      </w:divsChild>
    </w:div>
    <w:div w:id="1637829260">
      <w:bodyDiv w:val="1"/>
      <w:marLeft w:val="0"/>
      <w:marRight w:val="0"/>
      <w:marTop w:val="0"/>
      <w:marBottom w:val="0"/>
      <w:divBdr>
        <w:top w:val="none" w:sz="0" w:space="0" w:color="auto"/>
        <w:left w:val="none" w:sz="0" w:space="0" w:color="auto"/>
        <w:bottom w:val="none" w:sz="0" w:space="0" w:color="auto"/>
        <w:right w:val="none" w:sz="0" w:space="0" w:color="auto"/>
      </w:divBdr>
    </w:div>
    <w:div w:id="1640646039">
      <w:bodyDiv w:val="1"/>
      <w:marLeft w:val="0"/>
      <w:marRight w:val="0"/>
      <w:marTop w:val="0"/>
      <w:marBottom w:val="0"/>
      <w:divBdr>
        <w:top w:val="none" w:sz="0" w:space="0" w:color="auto"/>
        <w:left w:val="none" w:sz="0" w:space="0" w:color="auto"/>
        <w:bottom w:val="none" w:sz="0" w:space="0" w:color="auto"/>
        <w:right w:val="none" w:sz="0" w:space="0" w:color="auto"/>
      </w:divBdr>
    </w:div>
    <w:div w:id="1651523739">
      <w:bodyDiv w:val="1"/>
      <w:marLeft w:val="0"/>
      <w:marRight w:val="0"/>
      <w:marTop w:val="0"/>
      <w:marBottom w:val="0"/>
      <w:divBdr>
        <w:top w:val="none" w:sz="0" w:space="0" w:color="auto"/>
        <w:left w:val="none" w:sz="0" w:space="0" w:color="auto"/>
        <w:bottom w:val="none" w:sz="0" w:space="0" w:color="auto"/>
        <w:right w:val="none" w:sz="0" w:space="0" w:color="auto"/>
      </w:divBdr>
    </w:div>
    <w:div w:id="1653169805">
      <w:bodyDiv w:val="1"/>
      <w:marLeft w:val="0"/>
      <w:marRight w:val="0"/>
      <w:marTop w:val="0"/>
      <w:marBottom w:val="0"/>
      <w:divBdr>
        <w:top w:val="none" w:sz="0" w:space="0" w:color="auto"/>
        <w:left w:val="none" w:sz="0" w:space="0" w:color="auto"/>
        <w:bottom w:val="none" w:sz="0" w:space="0" w:color="auto"/>
        <w:right w:val="none" w:sz="0" w:space="0" w:color="auto"/>
      </w:divBdr>
    </w:div>
    <w:div w:id="1665350351">
      <w:bodyDiv w:val="1"/>
      <w:marLeft w:val="0"/>
      <w:marRight w:val="0"/>
      <w:marTop w:val="0"/>
      <w:marBottom w:val="0"/>
      <w:divBdr>
        <w:top w:val="none" w:sz="0" w:space="0" w:color="auto"/>
        <w:left w:val="none" w:sz="0" w:space="0" w:color="auto"/>
        <w:bottom w:val="none" w:sz="0" w:space="0" w:color="auto"/>
        <w:right w:val="none" w:sz="0" w:space="0" w:color="auto"/>
      </w:divBdr>
    </w:div>
    <w:div w:id="1668709255">
      <w:bodyDiv w:val="1"/>
      <w:marLeft w:val="0"/>
      <w:marRight w:val="0"/>
      <w:marTop w:val="0"/>
      <w:marBottom w:val="0"/>
      <w:divBdr>
        <w:top w:val="none" w:sz="0" w:space="0" w:color="auto"/>
        <w:left w:val="none" w:sz="0" w:space="0" w:color="auto"/>
        <w:bottom w:val="none" w:sz="0" w:space="0" w:color="auto"/>
        <w:right w:val="none" w:sz="0" w:space="0" w:color="auto"/>
      </w:divBdr>
      <w:divsChild>
        <w:div w:id="1701935489">
          <w:marLeft w:val="274"/>
          <w:marRight w:val="0"/>
          <w:marTop w:val="0"/>
          <w:marBottom w:val="0"/>
          <w:divBdr>
            <w:top w:val="none" w:sz="0" w:space="0" w:color="auto"/>
            <w:left w:val="none" w:sz="0" w:space="0" w:color="auto"/>
            <w:bottom w:val="none" w:sz="0" w:space="0" w:color="auto"/>
            <w:right w:val="none" w:sz="0" w:space="0" w:color="auto"/>
          </w:divBdr>
        </w:div>
      </w:divsChild>
    </w:div>
    <w:div w:id="1670710283">
      <w:bodyDiv w:val="1"/>
      <w:marLeft w:val="0"/>
      <w:marRight w:val="0"/>
      <w:marTop w:val="0"/>
      <w:marBottom w:val="0"/>
      <w:divBdr>
        <w:top w:val="none" w:sz="0" w:space="0" w:color="auto"/>
        <w:left w:val="none" w:sz="0" w:space="0" w:color="auto"/>
        <w:bottom w:val="none" w:sz="0" w:space="0" w:color="auto"/>
        <w:right w:val="none" w:sz="0" w:space="0" w:color="auto"/>
      </w:divBdr>
    </w:div>
    <w:div w:id="1680158115">
      <w:bodyDiv w:val="1"/>
      <w:marLeft w:val="0"/>
      <w:marRight w:val="0"/>
      <w:marTop w:val="0"/>
      <w:marBottom w:val="0"/>
      <w:divBdr>
        <w:top w:val="none" w:sz="0" w:space="0" w:color="auto"/>
        <w:left w:val="none" w:sz="0" w:space="0" w:color="auto"/>
        <w:bottom w:val="none" w:sz="0" w:space="0" w:color="auto"/>
        <w:right w:val="none" w:sz="0" w:space="0" w:color="auto"/>
      </w:divBdr>
    </w:div>
    <w:div w:id="1684210260">
      <w:bodyDiv w:val="1"/>
      <w:marLeft w:val="0"/>
      <w:marRight w:val="0"/>
      <w:marTop w:val="0"/>
      <w:marBottom w:val="0"/>
      <w:divBdr>
        <w:top w:val="none" w:sz="0" w:space="0" w:color="auto"/>
        <w:left w:val="none" w:sz="0" w:space="0" w:color="auto"/>
        <w:bottom w:val="none" w:sz="0" w:space="0" w:color="auto"/>
        <w:right w:val="none" w:sz="0" w:space="0" w:color="auto"/>
      </w:divBdr>
    </w:div>
    <w:div w:id="1691105658">
      <w:bodyDiv w:val="1"/>
      <w:marLeft w:val="0"/>
      <w:marRight w:val="0"/>
      <w:marTop w:val="0"/>
      <w:marBottom w:val="0"/>
      <w:divBdr>
        <w:top w:val="none" w:sz="0" w:space="0" w:color="auto"/>
        <w:left w:val="none" w:sz="0" w:space="0" w:color="auto"/>
        <w:bottom w:val="none" w:sz="0" w:space="0" w:color="auto"/>
        <w:right w:val="none" w:sz="0" w:space="0" w:color="auto"/>
      </w:divBdr>
    </w:div>
    <w:div w:id="1701970497">
      <w:bodyDiv w:val="1"/>
      <w:marLeft w:val="0"/>
      <w:marRight w:val="0"/>
      <w:marTop w:val="0"/>
      <w:marBottom w:val="0"/>
      <w:divBdr>
        <w:top w:val="none" w:sz="0" w:space="0" w:color="auto"/>
        <w:left w:val="none" w:sz="0" w:space="0" w:color="auto"/>
        <w:bottom w:val="none" w:sz="0" w:space="0" w:color="auto"/>
        <w:right w:val="none" w:sz="0" w:space="0" w:color="auto"/>
      </w:divBdr>
    </w:div>
    <w:div w:id="1707833122">
      <w:bodyDiv w:val="1"/>
      <w:marLeft w:val="0"/>
      <w:marRight w:val="0"/>
      <w:marTop w:val="0"/>
      <w:marBottom w:val="0"/>
      <w:divBdr>
        <w:top w:val="none" w:sz="0" w:space="0" w:color="auto"/>
        <w:left w:val="none" w:sz="0" w:space="0" w:color="auto"/>
        <w:bottom w:val="none" w:sz="0" w:space="0" w:color="auto"/>
        <w:right w:val="none" w:sz="0" w:space="0" w:color="auto"/>
      </w:divBdr>
    </w:div>
    <w:div w:id="1714429355">
      <w:bodyDiv w:val="1"/>
      <w:marLeft w:val="0"/>
      <w:marRight w:val="0"/>
      <w:marTop w:val="0"/>
      <w:marBottom w:val="0"/>
      <w:divBdr>
        <w:top w:val="none" w:sz="0" w:space="0" w:color="auto"/>
        <w:left w:val="none" w:sz="0" w:space="0" w:color="auto"/>
        <w:bottom w:val="none" w:sz="0" w:space="0" w:color="auto"/>
        <w:right w:val="none" w:sz="0" w:space="0" w:color="auto"/>
      </w:divBdr>
    </w:div>
    <w:div w:id="1715156729">
      <w:bodyDiv w:val="1"/>
      <w:marLeft w:val="0"/>
      <w:marRight w:val="0"/>
      <w:marTop w:val="0"/>
      <w:marBottom w:val="0"/>
      <w:divBdr>
        <w:top w:val="none" w:sz="0" w:space="0" w:color="auto"/>
        <w:left w:val="none" w:sz="0" w:space="0" w:color="auto"/>
        <w:bottom w:val="none" w:sz="0" w:space="0" w:color="auto"/>
        <w:right w:val="none" w:sz="0" w:space="0" w:color="auto"/>
      </w:divBdr>
    </w:div>
    <w:div w:id="1717388518">
      <w:bodyDiv w:val="1"/>
      <w:marLeft w:val="0"/>
      <w:marRight w:val="0"/>
      <w:marTop w:val="0"/>
      <w:marBottom w:val="0"/>
      <w:divBdr>
        <w:top w:val="none" w:sz="0" w:space="0" w:color="auto"/>
        <w:left w:val="none" w:sz="0" w:space="0" w:color="auto"/>
        <w:bottom w:val="none" w:sz="0" w:space="0" w:color="auto"/>
        <w:right w:val="none" w:sz="0" w:space="0" w:color="auto"/>
      </w:divBdr>
    </w:div>
    <w:div w:id="1718813681">
      <w:bodyDiv w:val="1"/>
      <w:marLeft w:val="0"/>
      <w:marRight w:val="0"/>
      <w:marTop w:val="0"/>
      <w:marBottom w:val="0"/>
      <w:divBdr>
        <w:top w:val="none" w:sz="0" w:space="0" w:color="auto"/>
        <w:left w:val="none" w:sz="0" w:space="0" w:color="auto"/>
        <w:bottom w:val="none" w:sz="0" w:space="0" w:color="auto"/>
        <w:right w:val="none" w:sz="0" w:space="0" w:color="auto"/>
      </w:divBdr>
    </w:div>
    <w:div w:id="1720275284">
      <w:bodyDiv w:val="1"/>
      <w:marLeft w:val="0"/>
      <w:marRight w:val="0"/>
      <w:marTop w:val="0"/>
      <w:marBottom w:val="0"/>
      <w:divBdr>
        <w:top w:val="none" w:sz="0" w:space="0" w:color="auto"/>
        <w:left w:val="none" w:sz="0" w:space="0" w:color="auto"/>
        <w:bottom w:val="none" w:sz="0" w:space="0" w:color="auto"/>
        <w:right w:val="none" w:sz="0" w:space="0" w:color="auto"/>
      </w:divBdr>
    </w:div>
    <w:div w:id="1720786982">
      <w:bodyDiv w:val="1"/>
      <w:marLeft w:val="0"/>
      <w:marRight w:val="0"/>
      <w:marTop w:val="0"/>
      <w:marBottom w:val="0"/>
      <w:divBdr>
        <w:top w:val="none" w:sz="0" w:space="0" w:color="auto"/>
        <w:left w:val="none" w:sz="0" w:space="0" w:color="auto"/>
        <w:bottom w:val="none" w:sz="0" w:space="0" w:color="auto"/>
        <w:right w:val="none" w:sz="0" w:space="0" w:color="auto"/>
      </w:divBdr>
      <w:divsChild>
        <w:div w:id="1797330638">
          <w:marLeft w:val="274"/>
          <w:marRight w:val="0"/>
          <w:marTop w:val="0"/>
          <w:marBottom w:val="0"/>
          <w:divBdr>
            <w:top w:val="none" w:sz="0" w:space="0" w:color="auto"/>
            <w:left w:val="none" w:sz="0" w:space="0" w:color="auto"/>
            <w:bottom w:val="none" w:sz="0" w:space="0" w:color="auto"/>
            <w:right w:val="none" w:sz="0" w:space="0" w:color="auto"/>
          </w:divBdr>
        </w:div>
        <w:div w:id="2089955114">
          <w:marLeft w:val="547"/>
          <w:marRight w:val="0"/>
          <w:marTop w:val="0"/>
          <w:marBottom w:val="0"/>
          <w:divBdr>
            <w:top w:val="none" w:sz="0" w:space="0" w:color="auto"/>
            <w:left w:val="none" w:sz="0" w:space="0" w:color="auto"/>
            <w:bottom w:val="none" w:sz="0" w:space="0" w:color="auto"/>
            <w:right w:val="none" w:sz="0" w:space="0" w:color="auto"/>
          </w:divBdr>
        </w:div>
      </w:divsChild>
    </w:div>
    <w:div w:id="1724209342">
      <w:bodyDiv w:val="1"/>
      <w:marLeft w:val="0"/>
      <w:marRight w:val="0"/>
      <w:marTop w:val="0"/>
      <w:marBottom w:val="0"/>
      <w:divBdr>
        <w:top w:val="none" w:sz="0" w:space="0" w:color="auto"/>
        <w:left w:val="none" w:sz="0" w:space="0" w:color="auto"/>
        <w:bottom w:val="none" w:sz="0" w:space="0" w:color="auto"/>
        <w:right w:val="none" w:sz="0" w:space="0" w:color="auto"/>
      </w:divBdr>
      <w:divsChild>
        <w:div w:id="1045833753">
          <w:marLeft w:val="0"/>
          <w:marRight w:val="0"/>
          <w:marTop w:val="0"/>
          <w:marBottom w:val="0"/>
          <w:divBdr>
            <w:top w:val="none" w:sz="0" w:space="0" w:color="auto"/>
            <w:left w:val="none" w:sz="0" w:space="0" w:color="auto"/>
            <w:bottom w:val="none" w:sz="0" w:space="0" w:color="auto"/>
            <w:right w:val="none" w:sz="0" w:space="0" w:color="auto"/>
          </w:divBdr>
        </w:div>
        <w:div w:id="1411349138">
          <w:marLeft w:val="0"/>
          <w:marRight w:val="0"/>
          <w:marTop w:val="0"/>
          <w:marBottom w:val="0"/>
          <w:divBdr>
            <w:top w:val="none" w:sz="0" w:space="0" w:color="auto"/>
            <w:left w:val="none" w:sz="0" w:space="0" w:color="auto"/>
            <w:bottom w:val="none" w:sz="0" w:space="0" w:color="auto"/>
            <w:right w:val="none" w:sz="0" w:space="0" w:color="auto"/>
          </w:divBdr>
        </w:div>
        <w:div w:id="1513717235">
          <w:marLeft w:val="0"/>
          <w:marRight w:val="0"/>
          <w:marTop w:val="0"/>
          <w:marBottom w:val="0"/>
          <w:divBdr>
            <w:top w:val="none" w:sz="0" w:space="0" w:color="auto"/>
            <w:left w:val="none" w:sz="0" w:space="0" w:color="auto"/>
            <w:bottom w:val="none" w:sz="0" w:space="0" w:color="auto"/>
            <w:right w:val="none" w:sz="0" w:space="0" w:color="auto"/>
          </w:divBdr>
        </w:div>
        <w:div w:id="1602252362">
          <w:marLeft w:val="0"/>
          <w:marRight w:val="0"/>
          <w:marTop w:val="0"/>
          <w:marBottom w:val="0"/>
          <w:divBdr>
            <w:top w:val="none" w:sz="0" w:space="0" w:color="auto"/>
            <w:left w:val="none" w:sz="0" w:space="0" w:color="auto"/>
            <w:bottom w:val="none" w:sz="0" w:space="0" w:color="auto"/>
            <w:right w:val="none" w:sz="0" w:space="0" w:color="auto"/>
          </w:divBdr>
        </w:div>
        <w:div w:id="1833372825">
          <w:marLeft w:val="0"/>
          <w:marRight w:val="0"/>
          <w:marTop w:val="0"/>
          <w:marBottom w:val="0"/>
          <w:divBdr>
            <w:top w:val="none" w:sz="0" w:space="0" w:color="auto"/>
            <w:left w:val="none" w:sz="0" w:space="0" w:color="auto"/>
            <w:bottom w:val="none" w:sz="0" w:space="0" w:color="auto"/>
            <w:right w:val="none" w:sz="0" w:space="0" w:color="auto"/>
          </w:divBdr>
        </w:div>
        <w:div w:id="1953976061">
          <w:marLeft w:val="0"/>
          <w:marRight w:val="0"/>
          <w:marTop w:val="0"/>
          <w:marBottom w:val="0"/>
          <w:divBdr>
            <w:top w:val="none" w:sz="0" w:space="0" w:color="auto"/>
            <w:left w:val="none" w:sz="0" w:space="0" w:color="auto"/>
            <w:bottom w:val="none" w:sz="0" w:space="0" w:color="auto"/>
            <w:right w:val="none" w:sz="0" w:space="0" w:color="auto"/>
          </w:divBdr>
        </w:div>
        <w:div w:id="2011055362">
          <w:marLeft w:val="0"/>
          <w:marRight w:val="0"/>
          <w:marTop w:val="0"/>
          <w:marBottom w:val="0"/>
          <w:divBdr>
            <w:top w:val="none" w:sz="0" w:space="0" w:color="auto"/>
            <w:left w:val="none" w:sz="0" w:space="0" w:color="auto"/>
            <w:bottom w:val="none" w:sz="0" w:space="0" w:color="auto"/>
            <w:right w:val="none" w:sz="0" w:space="0" w:color="auto"/>
          </w:divBdr>
        </w:div>
      </w:divsChild>
    </w:div>
    <w:div w:id="1724209592">
      <w:bodyDiv w:val="1"/>
      <w:marLeft w:val="0"/>
      <w:marRight w:val="0"/>
      <w:marTop w:val="0"/>
      <w:marBottom w:val="0"/>
      <w:divBdr>
        <w:top w:val="none" w:sz="0" w:space="0" w:color="auto"/>
        <w:left w:val="none" w:sz="0" w:space="0" w:color="auto"/>
        <w:bottom w:val="none" w:sz="0" w:space="0" w:color="auto"/>
        <w:right w:val="none" w:sz="0" w:space="0" w:color="auto"/>
      </w:divBdr>
    </w:div>
    <w:div w:id="1726174155">
      <w:bodyDiv w:val="1"/>
      <w:marLeft w:val="0"/>
      <w:marRight w:val="0"/>
      <w:marTop w:val="0"/>
      <w:marBottom w:val="0"/>
      <w:divBdr>
        <w:top w:val="none" w:sz="0" w:space="0" w:color="auto"/>
        <w:left w:val="none" w:sz="0" w:space="0" w:color="auto"/>
        <w:bottom w:val="none" w:sz="0" w:space="0" w:color="auto"/>
        <w:right w:val="none" w:sz="0" w:space="0" w:color="auto"/>
      </w:divBdr>
    </w:div>
    <w:div w:id="1735859813">
      <w:bodyDiv w:val="1"/>
      <w:marLeft w:val="0"/>
      <w:marRight w:val="0"/>
      <w:marTop w:val="0"/>
      <w:marBottom w:val="0"/>
      <w:divBdr>
        <w:top w:val="none" w:sz="0" w:space="0" w:color="auto"/>
        <w:left w:val="none" w:sz="0" w:space="0" w:color="auto"/>
        <w:bottom w:val="none" w:sz="0" w:space="0" w:color="auto"/>
        <w:right w:val="none" w:sz="0" w:space="0" w:color="auto"/>
      </w:divBdr>
    </w:div>
    <w:div w:id="1736126781">
      <w:bodyDiv w:val="1"/>
      <w:marLeft w:val="0"/>
      <w:marRight w:val="0"/>
      <w:marTop w:val="0"/>
      <w:marBottom w:val="0"/>
      <w:divBdr>
        <w:top w:val="none" w:sz="0" w:space="0" w:color="auto"/>
        <w:left w:val="none" w:sz="0" w:space="0" w:color="auto"/>
        <w:bottom w:val="none" w:sz="0" w:space="0" w:color="auto"/>
        <w:right w:val="none" w:sz="0" w:space="0" w:color="auto"/>
      </w:divBdr>
    </w:div>
    <w:div w:id="1743520598">
      <w:bodyDiv w:val="1"/>
      <w:marLeft w:val="0"/>
      <w:marRight w:val="0"/>
      <w:marTop w:val="0"/>
      <w:marBottom w:val="0"/>
      <w:divBdr>
        <w:top w:val="none" w:sz="0" w:space="0" w:color="auto"/>
        <w:left w:val="none" w:sz="0" w:space="0" w:color="auto"/>
        <w:bottom w:val="none" w:sz="0" w:space="0" w:color="auto"/>
        <w:right w:val="none" w:sz="0" w:space="0" w:color="auto"/>
      </w:divBdr>
    </w:div>
    <w:div w:id="1751543451">
      <w:bodyDiv w:val="1"/>
      <w:marLeft w:val="0"/>
      <w:marRight w:val="0"/>
      <w:marTop w:val="0"/>
      <w:marBottom w:val="0"/>
      <w:divBdr>
        <w:top w:val="none" w:sz="0" w:space="0" w:color="auto"/>
        <w:left w:val="none" w:sz="0" w:space="0" w:color="auto"/>
        <w:bottom w:val="none" w:sz="0" w:space="0" w:color="auto"/>
        <w:right w:val="none" w:sz="0" w:space="0" w:color="auto"/>
      </w:divBdr>
    </w:div>
    <w:div w:id="1757484178">
      <w:bodyDiv w:val="1"/>
      <w:marLeft w:val="0"/>
      <w:marRight w:val="0"/>
      <w:marTop w:val="0"/>
      <w:marBottom w:val="0"/>
      <w:divBdr>
        <w:top w:val="none" w:sz="0" w:space="0" w:color="auto"/>
        <w:left w:val="none" w:sz="0" w:space="0" w:color="auto"/>
        <w:bottom w:val="none" w:sz="0" w:space="0" w:color="auto"/>
        <w:right w:val="none" w:sz="0" w:space="0" w:color="auto"/>
      </w:divBdr>
    </w:div>
    <w:div w:id="1759405014">
      <w:bodyDiv w:val="1"/>
      <w:marLeft w:val="0"/>
      <w:marRight w:val="0"/>
      <w:marTop w:val="0"/>
      <w:marBottom w:val="0"/>
      <w:divBdr>
        <w:top w:val="none" w:sz="0" w:space="0" w:color="auto"/>
        <w:left w:val="none" w:sz="0" w:space="0" w:color="auto"/>
        <w:bottom w:val="none" w:sz="0" w:space="0" w:color="auto"/>
        <w:right w:val="none" w:sz="0" w:space="0" w:color="auto"/>
      </w:divBdr>
    </w:div>
    <w:div w:id="1761412190">
      <w:bodyDiv w:val="1"/>
      <w:marLeft w:val="0"/>
      <w:marRight w:val="0"/>
      <w:marTop w:val="0"/>
      <w:marBottom w:val="0"/>
      <w:divBdr>
        <w:top w:val="none" w:sz="0" w:space="0" w:color="auto"/>
        <w:left w:val="none" w:sz="0" w:space="0" w:color="auto"/>
        <w:bottom w:val="none" w:sz="0" w:space="0" w:color="auto"/>
        <w:right w:val="none" w:sz="0" w:space="0" w:color="auto"/>
      </w:divBdr>
    </w:div>
    <w:div w:id="1761561173">
      <w:bodyDiv w:val="1"/>
      <w:marLeft w:val="0"/>
      <w:marRight w:val="0"/>
      <w:marTop w:val="0"/>
      <w:marBottom w:val="0"/>
      <w:divBdr>
        <w:top w:val="none" w:sz="0" w:space="0" w:color="auto"/>
        <w:left w:val="none" w:sz="0" w:space="0" w:color="auto"/>
        <w:bottom w:val="none" w:sz="0" w:space="0" w:color="auto"/>
        <w:right w:val="none" w:sz="0" w:space="0" w:color="auto"/>
      </w:divBdr>
    </w:div>
    <w:div w:id="1778132898">
      <w:bodyDiv w:val="1"/>
      <w:marLeft w:val="0"/>
      <w:marRight w:val="0"/>
      <w:marTop w:val="0"/>
      <w:marBottom w:val="0"/>
      <w:divBdr>
        <w:top w:val="none" w:sz="0" w:space="0" w:color="auto"/>
        <w:left w:val="none" w:sz="0" w:space="0" w:color="auto"/>
        <w:bottom w:val="none" w:sz="0" w:space="0" w:color="auto"/>
        <w:right w:val="none" w:sz="0" w:space="0" w:color="auto"/>
      </w:divBdr>
    </w:div>
    <w:div w:id="1779375682">
      <w:bodyDiv w:val="1"/>
      <w:marLeft w:val="0"/>
      <w:marRight w:val="0"/>
      <w:marTop w:val="0"/>
      <w:marBottom w:val="0"/>
      <w:divBdr>
        <w:top w:val="none" w:sz="0" w:space="0" w:color="auto"/>
        <w:left w:val="none" w:sz="0" w:space="0" w:color="auto"/>
        <w:bottom w:val="none" w:sz="0" w:space="0" w:color="auto"/>
        <w:right w:val="none" w:sz="0" w:space="0" w:color="auto"/>
      </w:divBdr>
      <w:divsChild>
        <w:div w:id="749082425">
          <w:marLeft w:val="288"/>
          <w:marRight w:val="0"/>
          <w:marTop w:val="0"/>
          <w:marBottom w:val="0"/>
          <w:divBdr>
            <w:top w:val="none" w:sz="0" w:space="0" w:color="auto"/>
            <w:left w:val="none" w:sz="0" w:space="0" w:color="auto"/>
            <w:bottom w:val="none" w:sz="0" w:space="0" w:color="auto"/>
            <w:right w:val="none" w:sz="0" w:space="0" w:color="auto"/>
          </w:divBdr>
        </w:div>
        <w:div w:id="1971478690">
          <w:marLeft w:val="288"/>
          <w:marRight w:val="0"/>
          <w:marTop w:val="0"/>
          <w:marBottom w:val="0"/>
          <w:divBdr>
            <w:top w:val="none" w:sz="0" w:space="0" w:color="auto"/>
            <w:left w:val="none" w:sz="0" w:space="0" w:color="auto"/>
            <w:bottom w:val="none" w:sz="0" w:space="0" w:color="auto"/>
            <w:right w:val="none" w:sz="0" w:space="0" w:color="auto"/>
          </w:divBdr>
        </w:div>
      </w:divsChild>
    </w:div>
    <w:div w:id="1785609091">
      <w:bodyDiv w:val="1"/>
      <w:marLeft w:val="0"/>
      <w:marRight w:val="0"/>
      <w:marTop w:val="0"/>
      <w:marBottom w:val="0"/>
      <w:divBdr>
        <w:top w:val="none" w:sz="0" w:space="0" w:color="auto"/>
        <w:left w:val="none" w:sz="0" w:space="0" w:color="auto"/>
        <w:bottom w:val="none" w:sz="0" w:space="0" w:color="auto"/>
        <w:right w:val="none" w:sz="0" w:space="0" w:color="auto"/>
      </w:divBdr>
    </w:div>
    <w:div w:id="1790664615">
      <w:bodyDiv w:val="1"/>
      <w:marLeft w:val="0"/>
      <w:marRight w:val="0"/>
      <w:marTop w:val="0"/>
      <w:marBottom w:val="0"/>
      <w:divBdr>
        <w:top w:val="none" w:sz="0" w:space="0" w:color="auto"/>
        <w:left w:val="none" w:sz="0" w:space="0" w:color="auto"/>
        <w:bottom w:val="none" w:sz="0" w:space="0" w:color="auto"/>
        <w:right w:val="none" w:sz="0" w:space="0" w:color="auto"/>
      </w:divBdr>
    </w:div>
    <w:div w:id="1794203313">
      <w:bodyDiv w:val="1"/>
      <w:marLeft w:val="0"/>
      <w:marRight w:val="0"/>
      <w:marTop w:val="0"/>
      <w:marBottom w:val="0"/>
      <w:divBdr>
        <w:top w:val="none" w:sz="0" w:space="0" w:color="auto"/>
        <w:left w:val="none" w:sz="0" w:space="0" w:color="auto"/>
        <w:bottom w:val="none" w:sz="0" w:space="0" w:color="auto"/>
        <w:right w:val="none" w:sz="0" w:space="0" w:color="auto"/>
      </w:divBdr>
    </w:div>
    <w:div w:id="1798721263">
      <w:bodyDiv w:val="1"/>
      <w:marLeft w:val="0"/>
      <w:marRight w:val="0"/>
      <w:marTop w:val="0"/>
      <w:marBottom w:val="0"/>
      <w:divBdr>
        <w:top w:val="none" w:sz="0" w:space="0" w:color="auto"/>
        <w:left w:val="none" w:sz="0" w:space="0" w:color="auto"/>
        <w:bottom w:val="none" w:sz="0" w:space="0" w:color="auto"/>
        <w:right w:val="none" w:sz="0" w:space="0" w:color="auto"/>
      </w:divBdr>
    </w:div>
    <w:div w:id="1799569337">
      <w:bodyDiv w:val="1"/>
      <w:marLeft w:val="0"/>
      <w:marRight w:val="0"/>
      <w:marTop w:val="0"/>
      <w:marBottom w:val="0"/>
      <w:divBdr>
        <w:top w:val="none" w:sz="0" w:space="0" w:color="auto"/>
        <w:left w:val="none" w:sz="0" w:space="0" w:color="auto"/>
        <w:bottom w:val="none" w:sz="0" w:space="0" w:color="auto"/>
        <w:right w:val="none" w:sz="0" w:space="0" w:color="auto"/>
      </w:divBdr>
    </w:div>
    <w:div w:id="1803421579">
      <w:bodyDiv w:val="1"/>
      <w:marLeft w:val="0"/>
      <w:marRight w:val="0"/>
      <w:marTop w:val="0"/>
      <w:marBottom w:val="0"/>
      <w:divBdr>
        <w:top w:val="none" w:sz="0" w:space="0" w:color="auto"/>
        <w:left w:val="none" w:sz="0" w:space="0" w:color="auto"/>
        <w:bottom w:val="none" w:sz="0" w:space="0" w:color="auto"/>
        <w:right w:val="none" w:sz="0" w:space="0" w:color="auto"/>
      </w:divBdr>
    </w:div>
    <w:div w:id="1814057880">
      <w:bodyDiv w:val="1"/>
      <w:marLeft w:val="0"/>
      <w:marRight w:val="0"/>
      <w:marTop w:val="0"/>
      <w:marBottom w:val="0"/>
      <w:divBdr>
        <w:top w:val="none" w:sz="0" w:space="0" w:color="auto"/>
        <w:left w:val="none" w:sz="0" w:space="0" w:color="auto"/>
        <w:bottom w:val="none" w:sz="0" w:space="0" w:color="auto"/>
        <w:right w:val="none" w:sz="0" w:space="0" w:color="auto"/>
      </w:divBdr>
    </w:div>
    <w:div w:id="1821925215">
      <w:bodyDiv w:val="1"/>
      <w:marLeft w:val="0"/>
      <w:marRight w:val="0"/>
      <w:marTop w:val="0"/>
      <w:marBottom w:val="0"/>
      <w:divBdr>
        <w:top w:val="none" w:sz="0" w:space="0" w:color="auto"/>
        <w:left w:val="none" w:sz="0" w:space="0" w:color="auto"/>
        <w:bottom w:val="none" w:sz="0" w:space="0" w:color="auto"/>
        <w:right w:val="none" w:sz="0" w:space="0" w:color="auto"/>
      </w:divBdr>
    </w:div>
    <w:div w:id="1835874126">
      <w:bodyDiv w:val="1"/>
      <w:marLeft w:val="0"/>
      <w:marRight w:val="0"/>
      <w:marTop w:val="0"/>
      <w:marBottom w:val="0"/>
      <w:divBdr>
        <w:top w:val="none" w:sz="0" w:space="0" w:color="auto"/>
        <w:left w:val="none" w:sz="0" w:space="0" w:color="auto"/>
        <w:bottom w:val="none" w:sz="0" w:space="0" w:color="auto"/>
        <w:right w:val="none" w:sz="0" w:space="0" w:color="auto"/>
      </w:divBdr>
      <w:divsChild>
        <w:div w:id="264196269">
          <w:marLeft w:val="0"/>
          <w:marRight w:val="0"/>
          <w:marTop w:val="0"/>
          <w:marBottom w:val="0"/>
          <w:divBdr>
            <w:top w:val="none" w:sz="0" w:space="0" w:color="auto"/>
            <w:left w:val="none" w:sz="0" w:space="0" w:color="auto"/>
            <w:bottom w:val="none" w:sz="0" w:space="0" w:color="auto"/>
            <w:right w:val="none" w:sz="0" w:space="0" w:color="auto"/>
          </w:divBdr>
        </w:div>
        <w:div w:id="436487800">
          <w:marLeft w:val="0"/>
          <w:marRight w:val="0"/>
          <w:marTop w:val="0"/>
          <w:marBottom w:val="0"/>
          <w:divBdr>
            <w:top w:val="none" w:sz="0" w:space="0" w:color="auto"/>
            <w:left w:val="none" w:sz="0" w:space="0" w:color="auto"/>
            <w:bottom w:val="none" w:sz="0" w:space="0" w:color="auto"/>
            <w:right w:val="none" w:sz="0" w:space="0" w:color="auto"/>
          </w:divBdr>
        </w:div>
        <w:div w:id="721906180">
          <w:marLeft w:val="0"/>
          <w:marRight w:val="0"/>
          <w:marTop w:val="0"/>
          <w:marBottom w:val="0"/>
          <w:divBdr>
            <w:top w:val="none" w:sz="0" w:space="0" w:color="auto"/>
            <w:left w:val="none" w:sz="0" w:space="0" w:color="auto"/>
            <w:bottom w:val="none" w:sz="0" w:space="0" w:color="auto"/>
            <w:right w:val="none" w:sz="0" w:space="0" w:color="auto"/>
          </w:divBdr>
        </w:div>
        <w:div w:id="1059209233">
          <w:marLeft w:val="0"/>
          <w:marRight w:val="0"/>
          <w:marTop w:val="0"/>
          <w:marBottom w:val="0"/>
          <w:divBdr>
            <w:top w:val="none" w:sz="0" w:space="0" w:color="auto"/>
            <w:left w:val="none" w:sz="0" w:space="0" w:color="auto"/>
            <w:bottom w:val="none" w:sz="0" w:space="0" w:color="auto"/>
            <w:right w:val="none" w:sz="0" w:space="0" w:color="auto"/>
          </w:divBdr>
        </w:div>
        <w:div w:id="1120415410">
          <w:marLeft w:val="0"/>
          <w:marRight w:val="0"/>
          <w:marTop w:val="0"/>
          <w:marBottom w:val="0"/>
          <w:divBdr>
            <w:top w:val="none" w:sz="0" w:space="0" w:color="auto"/>
            <w:left w:val="none" w:sz="0" w:space="0" w:color="auto"/>
            <w:bottom w:val="none" w:sz="0" w:space="0" w:color="auto"/>
            <w:right w:val="none" w:sz="0" w:space="0" w:color="auto"/>
          </w:divBdr>
        </w:div>
        <w:div w:id="1888760176">
          <w:marLeft w:val="0"/>
          <w:marRight w:val="0"/>
          <w:marTop w:val="0"/>
          <w:marBottom w:val="0"/>
          <w:divBdr>
            <w:top w:val="none" w:sz="0" w:space="0" w:color="auto"/>
            <w:left w:val="none" w:sz="0" w:space="0" w:color="auto"/>
            <w:bottom w:val="none" w:sz="0" w:space="0" w:color="auto"/>
            <w:right w:val="none" w:sz="0" w:space="0" w:color="auto"/>
          </w:divBdr>
        </w:div>
      </w:divsChild>
    </w:div>
    <w:div w:id="1838232671">
      <w:bodyDiv w:val="1"/>
      <w:marLeft w:val="0"/>
      <w:marRight w:val="0"/>
      <w:marTop w:val="0"/>
      <w:marBottom w:val="0"/>
      <w:divBdr>
        <w:top w:val="none" w:sz="0" w:space="0" w:color="auto"/>
        <w:left w:val="none" w:sz="0" w:space="0" w:color="auto"/>
        <w:bottom w:val="none" w:sz="0" w:space="0" w:color="auto"/>
        <w:right w:val="none" w:sz="0" w:space="0" w:color="auto"/>
      </w:divBdr>
    </w:div>
    <w:div w:id="1846018306">
      <w:bodyDiv w:val="1"/>
      <w:marLeft w:val="0"/>
      <w:marRight w:val="0"/>
      <w:marTop w:val="0"/>
      <w:marBottom w:val="0"/>
      <w:divBdr>
        <w:top w:val="none" w:sz="0" w:space="0" w:color="auto"/>
        <w:left w:val="none" w:sz="0" w:space="0" w:color="auto"/>
        <w:bottom w:val="none" w:sz="0" w:space="0" w:color="auto"/>
        <w:right w:val="none" w:sz="0" w:space="0" w:color="auto"/>
      </w:divBdr>
    </w:div>
    <w:div w:id="1856992385">
      <w:bodyDiv w:val="1"/>
      <w:marLeft w:val="0"/>
      <w:marRight w:val="0"/>
      <w:marTop w:val="0"/>
      <w:marBottom w:val="0"/>
      <w:divBdr>
        <w:top w:val="none" w:sz="0" w:space="0" w:color="auto"/>
        <w:left w:val="none" w:sz="0" w:space="0" w:color="auto"/>
        <w:bottom w:val="none" w:sz="0" w:space="0" w:color="auto"/>
        <w:right w:val="none" w:sz="0" w:space="0" w:color="auto"/>
      </w:divBdr>
      <w:divsChild>
        <w:div w:id="292903659">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407002759">
          <w:marLeft w:val="0"/>
          <w:marRight w:val="0"/>
          <w:marTop w:val="0"/>
          <w:marBottom w:val="0"/>
          <w:divBdr>
            <w:top w:val="none" w:sz="0" w:space="0" w:color="auto"/>
            <w:left w:val="none" w:sz="0" w:space="0" w:color="auto"/>
            <w:bottom w:val="none" w:sz="0" w:space="0" w:color="auto"/>
            <w:right w:val="none" w:sz="0" w:space="0" w:color="auto"/>
          </w:divBdr>
        </w:div>
        <w:div w:id="690448438">
          <w:marLeft w:val="0"/>
          <w:marRight w:val="0"/>
          <w:marTop w:val="0"/>
          <w:marBottom w:val="0"/>
          <w:divBdr>
            <w:top w:val="none" w:sz="0" w:space="0" w:color="auto"/>
            <w:left w:val="none" w:sz="0" w:space="0" w:color="auto"/>
            <w:bottom w:val="none" w:sz="0" w:space="0" w:color="auto"/>
            <w:right w:val="none" w:sz="0" w:space="0" w:color="auto"/>
          </w:divBdr>
        </w:div>
        <w:div w:id="839193990">
          <w:marLeft w:val="0"/>
          <w:marRight w:val="0"/>
          <w:marTop w:val="0"/>
          <w:marBottom w:val="0"/>
          <w:divBdr>
            <w:top w:val="none" w:sz="0" w:space="0" w:color="auto"/>
            <w:left w:val="none" w:sz="0" w:space="0" w:color="auto"/>
            <w:bottom w:val="none" w:sz="0" w:space="0" w:color="auto"/>
            <w:right w:val="none" w:sz="0" w:space="0" w:color="auto"/>
          </w:divBdr>
        </w:div>
        <w:div w:id="1092507006">
          <w:marLeft w:val="0"/>
          <w:marRight w:val="0"/>
          <w:marTop w:val="0"/>
          <w:marBottom w:val="0"/>
          <w:divBdr>
            <w:top w:val="none" w:sz="0" w:space="0" w:color="auto"/>
            <w:left w:val="none" w:sz="0" w:space="0" w:color="auto"/>
            <w:bottom w:val="none" w:sz="0" w:space="0" w:color="auto"/>
            <w:right w:val="none" w:sz="0" w:space="0" w:color="auto"/>
          </w:divBdr>
        </w:div>
        <w:div w:id="1500076681">
          <w:marLeft w:val="0"/>
          <w:marRight w:val="0"/>
          <w:marTop w:val="0"/>
          <w:marBottom w:val="0"/>
          <w:divBdr>
            <w:top w:val="none" w:sz="0" w:space="0" w:color="auto"/>
            <w:left w:val="none" w:sz="0" w:space="0" w:color="auto"/>
            <w:bottom w:val="none" w:sz="0" w:space="0" w:color="auto"/>
            <w:right w:val="none" w:sz="0" w:space="0" w:color="auto"/>
          </w:divBdr>
        </w:div>
        <w:div w:id="1761949337">
          <w:marLeft w:val="0"/>
          <w:marRight w:val="0"/>
          <w:marTop w:val="0"/>
          <w:marBottom w:val="0"/>
          <w:divBdr>
            <w:top w:val="none" w:sz="0" w:space="0" w:color="auto"/>
            <w:left w:val="none" w:sz="0" w:space="0" w:color="auto"/>
            <w:bottom w:val="none" w:sz="0" w:space="0" w:color="auto"/>
            <w:right w:val="none" w:sz="0" w:space="0" w:color="auto"/>
          </w:divBdr>
        </w:div>
        <w:div w:id="1816337265">
          <w:marLeft w:val="0"/>
          <w:marRight w:val="0"/>
          <w:marTop w:val="0"/>
          <w:marBottom w:val="0"/>
          <w:divBdr>
            <w:top w:val="none" w:sz="0" w:space="0" w:color="auto"/>
            <w:left w:val="none" w:sz="0" w:space="0" w:color="auto"/>
            <w:bottom w:val="none" w:sz="0" w:space="0" w:color="auto"/>
            <w:right w:val="none" w:sz="0" w:space="0" w:color="auto"/>
          </w:divBdr>
        </w:div>
        <w:div w:id="2135168837">
          <w:marLeft w:val="0"/>
          <w:marRight w:val="0"/>
          <w:marTop w:val="0"/>
          <w:marBottom w:val="0"/>
          <w:divBdr>
            <w:top w:val="none" w:sz="0" w:space="0" w:color="auto"/>
            <w:left w:val="none" w:sz="0" w:space="0" w:color="auto"/>
            <w:bottom w:val="none" w:sz="0" w:space="0" w:color="auto"/>
            <w:right w:val="none" w:sz="0" w:space="0" w:color="auto"/>
          </w:divBdr>
        </w:div>
      </w:divsChild>
    </w:div>
    <w:div w:id="1864396993">
      <w:bodyDiv w:val="1"/>
      <w:marLeft w:val="0"/>
      <w:marRight w:val="0"/>
      <w:marTop w:val="0"/>
      <w:marBottom w:val="0"/>
      <w:divBdr>
        <w:top w:val="none" w:sz="0" w:space="0" w:color="auto"/>
        <w:left w:val="none" w:sz="0" w:space="0" w:color="auto"/>
        <w:bottom w:val="none" w:sz="0" w:space="0" w:color="auto"/>
        <w:right w:val="none" w:sz="0" w:space="0" w:color="auto"/>
      </w:divBdr>
    </w:div>
    <w:div w:id="1868175975">
      <w:bodyDiv w:val="1"/>
      <w:marLeft w:val="0"/>
      <w:marRight w:val="0"/>
      <w:marTop w:val="0"/>
      <w:marBottom w:val="0"/>
      <w:divBdr>
        <w:top w:val="none" w:sz="0" w:space="0" w:color="auto"/>
        <w:left w:val="none" w:sz="0" w:space="0" w:color="auto"/>
        <w:bottom w:val="none" w:sz="0" w:space="0" w:color="auto"/>
        <w:right w:val="none" w:sz="0" w:space="0" w:color="auto"/>
      </w:divBdr>
    </w:div>
    <w:div w:id="1871647398">
      <w:bodyDiv w:val="1"/>
      <w:marLeft w:val="0"/>
      <w:marRight w:val="0"/>
      <w:marTop w:val="0"/>
      <w:marBottom w:val="0"/>
      <w:divBdr>
        <w:top w:val="none" w:sz="0" w:space="0" w:color="auto"/>
        <w:left w:val="none" w:sz="0" w:space="0" w:color="auto"/>
        <w:bottom w:val="none" w:sz="0" w:space="0" w:color="auto"/>
        <w:right w:val="none" w:sz="0" w:space="0" w:color="auto"/>
      </w:divBdr>
    </w:div>
    <w:div w:id="1878732608">
      <w:bodyDiv w:val="1"/>
      <w:marLeft w:val="0"/>
      <w:marRight w:val="0"/>
      <w:marTop w:val="0"/>
      <w:marBottom w:val="0"/>
      <w:divBdr>
        <w:top w:val="none" w:sz="0" w:space="0" w:color="auto"/>
        <w:left w:val="none" w:sz="0" w:space="0" w:color="auto"/>
        <w:bottom w:val="none" w:sz="0" w:space="0" w:color="auto"/>
        <w:right w:val="none" w:sz="0" w:space="0" w:color="auto"/>
      </w:divBdr>
    </w:div>
    <w:div w:id="1883012784">
      <w:bodyDiv w:val="1"/>
      <w:marLeft w:val="0"/>
      <w:marRight w:val="0"/>
      <w:marTop w:val="0"/>
      <w:marBottom w:val="0"/>
      <w:divBdr>
        <w:top w:val="none" w:sz="0" w:space="0" w:color="auto"/>
        <w:left w:val="none" w:sz="0" w:space="0" w:color="auto"/>
        <w:bottom w:val="none" w:sz="0" w:space="0" w:color="auto"/>
        <w:right w:val="none" w:sz="0" w:space="0" w:color="auto"/>
      </w:divBdr>
    </w:div>
    <w:div w:id="1886334376">
      <w:bodyDiv w:val="1"/>
      <w:marLeft w:val="0"/>
      <w:marRight w:val="0"/>
      <w:marTop w:val="0"/>
      <w:marBottom w:val="0"/>
      <w:divBdr>
        <w:top w:val="none" w:sz="0" w:space="0" w:color="auto"/>
        <w:left w:val="none" w:sz="0" w:space="0" w:color="auto"/>
        <w:bottom w:val="none" w:sz="0" w:space="0" w:color="auto"/>
        <w:right w:val="none" w:sz="0" w:space="0" w:color="auto"/>
      </w:divBdr>
      <w:divsChild>
        <w:div w:id="327174130">
          <w:marLeft w:val="288"/>
          <w:marRight w:val="0"/>
          <w:marTop w:val="0"/>
          <w:marBottom w:val="0"/>
          <w:divBdr>
            <w:top w:val="none" w:sz="0" w:space="0" w:color="auto"/>
            <w:left w:val="none" w:sz="0" w:space="0" w:color="auto"/>
            <w:bottom w:val="none" w:sz="0" w:space="0" w:color="auto"/>
            <w:right w:val="none" w:sz="0" w:space="0" w:color="auto"/>
          </w:divBdr>
        </w:div>
        <w:div w:id="911348631">
          <w:marLeft w:val="288"/>
          <w:marRight w:val="0"/>
          <w:marTop w:val="0"/>
          <w:marBottom w:val="0"/>
          <w:divBdr>
            <w:top w:val="none" w:sz="0" w:space="0" w:color="auto"/>
            <w:left w:val="none" w:sz="0" w:space="0" w:color="auto"/>
            <w:bottom w:val="none" w:sz="0" w:space="0" w:color="auto"/>
            <w:right w:val="none" w:sz="0" w:space="0" w:color="auto"/>
          </w:divBdr>
        </w:div>
        <w:div w:id="1277251392">
          <w:marLeft w:val="288"/>
          <w:marRight w:val="0"/>
          <w:marTop w:val="0"/>
          <w:marBottom w:val="0"/>
          <w:divBdr>
            <w:top w:val="none" w:sz="0" w:space="0" w:color="auto"/>
            <w:left w:val="none" w:sz="0" w:space="0" w:color="auto"/>
            <w:bottom w:val="none" w:sz="0" w:space="0" w:color="auto"/>
            <w:right w:val="none" w:sz="0" w:space="0" w:color="auto"/>
          </w:divBdr>
        </w:div>
      </w:divsChild>
    </w:div>
    <w:div w:id="1892768168">
      <w:bodyDiv w:val="1"/>
      <w:marLeft w:val="0"/>
      <w:marRight w:val="0"/>
      <w:marTop w:val="0"/>
      <w:marBottom w:val="0"/>
      <w:divBdr>
        <w:top w:val="none" w:sz="0" w:space="0" w:color="auto"/>
        <w:left w:val="none" w:sz="0" w:space="0" w:color="auto"/>
        <w:bottom w:val="none" w:sz="0" w:space="0" w:color="auto"/>
        <w:right w:val="none" w:sz="0" w:space="0" w:color="auto"/>
      </w:divBdr>
    </w:div>
    <w:div w:id="1912886486">
      <w:bodyDiv w:val="1"/>
      <w:marLeft w:val="0"/>
      <w:marRight w:val="0"/>
      <w:marTop w:val="0"/>
      <w:marBottom w:val="0"/>
      <w:divBdr>
        <w:top w:val="none" w:sz="0" w:space="0" w:color="auto"/>
        <w:left w:val="none" w:sz="0" w:space="0" w:color="auto"/>
        <w:bottom w:val="none" w:sz="0" w:space="0" w:color="auto"/>
        <w:right w:val="none" w:sz="0" w:space="0" w:color="auto"/>
      </w:divBdr>
    </w:div>
    <w:div w:id="1914469371">
      <w:bodyDiv w:val="1"/>
      <w:marLeft w:val="0"/>
      <w:marRight w:val="0"/>
      <w:marTop w:val="0"/>
      <w:marBottom w:val="0"/>
      <w:divBdr>
        <w:top w:val="none" w:sz="0" w:space="0" w:color="auto"/>
        <w:left w:val="none" w:sz="0" w:space="0" w:color="auto"/>
        <w:bottom w:val="none" w:sz="0" w:space="0" w:color="auto"/>
        <w:right w:val="none" w:sz="0" w:space="0" w:color="auto"/>
      </w:divBdr>
    </w:div>
    <w:div w:id="1916354001">
      <w:bodyDiv w:val="1"/>
      <w:marLeft w:val="0"/>
      <w:marRight w:val="0"/>
      <w:marTop w:val="0"/>
      <w:marBottom w:val="0"/>
      <w:divBdr>
        <w:top w:val="none" w:sz="0" w:space="0" w:color="auto"/>
        <w:left w:val="none" w:sz="0" w:space="0" w:color="auto"/>
        <w:bottom w:val="none" w:sz="0" w:space="0" w:color="auto"/>
        <w:right w:val="none" w:sz="0" w:space="0" w:color="auto"/>
      </w:divBdr>
      <w:divsChild>
        <w:div w:id="1333803585">
          <w:marLeft w:val="274"/>
          <w:marRight w:val="0"/>
          <w:marTop w:val="0"/>
          <w:marBottom w:val="0"/>
          <w:divBdr>
            <w:top w:val="none" w:sz="0" w:space="0" w:color="auto"/>
            <w:left w:val="none" w:sz="0" w:space="0" w:color="auto"/>
            <w:bottom w:val="none" w:sz="0" w:space="0" w:color="auto"/>
            <w:right w:val="none" w:sz="0" w:space="0" w:color="auto"/>
          </w:divBdr>
        </w:div>
      </w:divsChild>
    </w:div>
    <w:div w:id="1925720692">
      <w:bodyDiv w:val="1"/>
      <w:marLeft w:val="0"/>
      <w:marRight w:val="0"/>
      <w:marTop w:val="0"/>
      <w:marBottom w:val="0"/>
      <w:divBdr>
        <w:top w:val="none" w:sz="0" w:space="0" w:color="auto"/>
        <w:left w:val="none" w:sz="0" w:space="0" w:color="auto"/>
        <w:bottom w:val="none" w:sz="0" w:space="0" w:color="auto"/>
        <w:right w:val="none" w:sz="0" w:space="0" w:color="auto"/>
      </w:divBdr>
    </w:div>
    <w:div w:id="1934123231">
      <w:bodyDiv w:val="1"/>
      <w:marLeft w:val="0"/>
      <w:marRight w:val="0"/>
      <w:marTop w:val="0"/>
      <w:marBottom w:val="0"/>
      <w:divBdr>
        <w:top w:val="none" w:sz="0" w:space="0" w:color="auto"/>
        <w:left w:val="none" w:sz="0" w:space="0" w:color="auto"/>
        <w:bottom w:val="none" w:sz="0" w:space="0" w:color="auto"/>
        <w:right w:val="none" w:sz="0" w:space="0" w:color="auto"/>
      </w:divBdr>
    </w:div>
    <w:div w:id="1948389491">
      <w:bodyDiv w:val="1"/>
      <w:marLeft w:val="0"/>
      <w:marRight w:val="0"/>
      <w:marTop w:val="0"/>
      <w:marBottom w:val="0"/>
      <w:divBdr>
        <w:top w:val="none" w:sz="0" w:space="0" w:color="auto"/>
        <w:left w:val="none" w:sz="0" w:space="0" w:color="auto"/>
        <w:bottom w:val="none" w:sz="0" w:space="0" w:color="auto"/>
        <w:right w:val="none" w:sz="0" w:space="0" w:color="auto"/>
      </w:divBdr>
    </w:div>
    <w:div w:id="1967420732">
      <w:bodyDiv w:val="1"/>
      <w:marLeft w:val="0"/>
      <w:marRight w:val="0"/>
      <w:marTop w:val="0"/>
      <w:marBottom w:val="0"/>
      <w:divBdr>
        <w:top w:val="none" w:sz="0" w:space="0" w:color="auto"/>
        <w:left w:val="none" w:sz="0" w:space="0" w:color="auto"/>
        <w:bottom w:val="none" w:sz="0" w:space="0" w:color="auto"/>
        <w:right w:val="none" w:sz="0" w:space="0" w:color="auto"/>
      </w:divBdr>
    </w:div>
    <w:div w:id="1970864498">
      <w:bodyDiv w:val="1"/>
      <w:marLeft w:val="0"/>
      <w:marRight w:val="0"/>
      <w:marTop w:val="0"/>
      <w:marBottom w:val="0"/>
      <w:divBdr>
        <w:top w:val="none" w:sz="0" w:space="0" w:color="auto"/>
        <w:left w:val="none" w:sz="0" w:space="0" w:color="auto"/>
        <w:bottom w:val="none" w:sz="0" w:space="0" w:color="auto"/>
        <w:right w:val="none" w:sz="0" w:space="0" w:color="auto"/>
      </w:divBdr>
    </w:div>
    <w:div w:id="1972665853">
      <w:bodyDiv w:val="1"/>
      <w:marLeft w:val="0"/>
      <w:marRight w:val="0"/>
      <w:marTop w:val="0"/>
      <w:marBottom w:val="0"/>
      <w:divBdr>
        <w:top w:val="none" w:sz="0" w:space="0" w:color="auto"/>
        <w:left w:val="none" w:sz="0" w:space="0" w:color="auto"/>
        <w:bottom w:val="none" w:sz="0" w:space="0" w:color="auto"/>
        <w:right w:val="none" w:sz="0" w:space="0" w:color="auto"/>
      </w:divBdr>
    </w:div>
    <w:div w:id="1974210587">
      <w:bodyDiv w:val="1"/>
      <w:marLeft w:val="0"/>
      <w:marRight w:val="0"/>
      <w:marTop w:val="0"/>
      <w:marBottom w:val="0"/>
      <w:divBdr>
        <w:top w:val="none" w:sz="0" w:space="0" w:color="auto"/>
        <w:left w:val="none" w:sz="0" w:space="0" w:color="auto"/>
        <w:bottom w:val="none" w:sz="0" w:space="0" w:color="auto"/>
        <w:right w:val="none" w:sz="0" w:space="0" w:color="auto"/>
      </w:divBdr>
    </w:div>
    <w:div w:id="1981567735">
      <w:bodyDiv w:val="1"/>
      <w:marLeft w:val="0"/>
      <w:marRight w:val="0"/>
      <w:marTop w:val="0"/>
      <w:marBottom w:val="0"/>
      <w:divBdr>
        <w:top w:val="none" w:sz="0" w:space="0" w:color="auto"/>
        <w:left w:val="none" w:sz="0" w:space="0" w:color="auto"/>
        <w:bottom w:val="none" w:sz="0" w:space="0" w:color="auto"/>
        <w:right w:val="none" w:sz="0" w:space="0" w:color="auto"/>
      </w:divBdr>
    </w:div>
    <w:div w:id="1984312023">
      <w:bodyDiv w:val="1"/>
      <w:marLeft w:val="0"/>
      <w:marRight w:val="0"/>
      <w:marTop w:val="0"/>
      <w:marBottom w:val="0"/>
      <w:divBdr>
        <w:top w:val="none" w:sz="0" w:space="0" w:color="auto"/>
        <w:left w:val="none" w:sz="0" w:space="0" w:color="auto"/>
        <w:bottom w:val="none" w:sz="0" w:space="0" w:color="auto"/>
        <w:right w:val="none" w:sz="0" w:space="0" w:color="auto"/>
      </w:divBdr>
    </w:div>
    <w:div w:id="1986935539">
      <w:bodyDiv w:val="1"/>
      <w:marLeft w:val="0"/>
      <w:marRight w:val="0"/>
      <w:marTop w:val="0"/>
      <w:marBottom w:val="0"/>
      <w:divBdr>
        <w:top w:val="none" w:sz="0" w:space="0" w:color="auto"/>
        <w:left w:val="none" w:sz="0" w:space="0" w:color="auto"/>
        <w:bottom w:val="none" w:sz="0" w:space="0" w:color="auto"/>
        <w:right w:val="none" w:sz="0" w:space="0" w:color="auto"/>
      </w:divBdr>
    </w:div>
    <w:div w:id="1988044598">
      <w:bodyDiv w:val="1"/>
      <w:marLeft w:val="0"/>
      <w:marRight w:val="0"/>
      <w:marTop w:val="0"/>
      <w:marBottom w:val="0"/>
      <w:divBdr>
        <w:top w:val="none" w:sz="0" w:space="0" w:color="auto"/>
        <w:left w:val="none" w:sz="0" w:space="0" w:color="auto"/>
        <w:bottom w:val="none" w:sz="0" w:space="0" w:color="auto"/>
        <w:right w:val="none" w:sz="0" w:space="0" w:color="auto"/>
      </w:divBdr>
    </w:div>
    <w:div w:id="1991203416">
      <w:bodyDiv w:val="1"/>
      <w:marLeft w:val="0"/>
      <w:marRight w:val="0"/>
      <w:marTop w:val="0"/>
      <w:marBottom w:val="0"/>
      <w:divBdr>
        <w:top w:val="none" w:sz="0" w:space="0" w:color="auto"/>
        <w:left w:val="none" w:sz="0" w:space="0" w:color="auto"/>
        <w:bottom w:val="none" w:sz="0" w:space="0" w:color="auto"/>
        <w:right w:val="none" w:sz="0" w:space="0" w:color="auto"/>
      </w:divBdr>
    </w:div>
    <w:div w:id="1998806605">
      <w:bodyDiv w:val="1"/>
      <w:marLeft w:val="0"/>
      <w:marRight w:val="0"/>
      <w:marTop w:val="0"/>
      <w:marBottom w:val="0"/>
      <w:divBdr>
        <w:top w:val="none" w:sz="0" w:space="0" w:color="auto"/>
        <w:left w:val="none" w:sz="0" w:space="0" w:color="auto"/>
        <w:bottom w:val="none" w:sz="0" w:space="0" w:color="auto"/>
        <w:right w:val="none" w:sz="0" w:space="0" w:color="auto"/>
      </w:divBdr>
    </w:div>
    <w:div w:id="2004620463">
      <w:bodyDiv w:val="1"/>
      <w:marLeft w:val="0"/>
      <w:marRight w:val="0"/>
      <w:marTop w:val="0"/>
      <w:marBottom w:val="0"/>
      <w:divBdr>
        <w:top w:val="none" w:sz="0" w:space="0" w:color="auto"/>
        <w:left w:val="none" w:sz="0" w:space="0" w:color="auto"/>
        <w:bottom w:val="none" w:sz="0" w:space="0" w:color="auto"/>
        <w:right w:val="none" w:sz="0" w:space="0" w:color="auto"/>
      </w:divBdr>
    </w:div>
    <w:div w:id="2012759515">
      <w:bodyDiv w:val="1"/>
      <w:marLeft w:val="0"/>
      <w:marRight w:val="0"/>
      <w:marTop w:val="0"/>
      <w:marBottom w:val="0"/>
      <w:divBdr>
        <w:top w:val="none" w:sz="0" w:space="0" w:color="auto"/>
        <w:left w:val="none" w:sz="0" w:space="0" w:color="auto"/>
        <w:bottom w:val="none" w:sz="0" w:space="0" w:color="auto"/>
        <w:right w:val="none" w:sz="0" w:space="0" w:color="auto"/>
      </w:divBdr>
    </w:div>
    <w:div w:id="2021616475">
      <w:bodyDiv w:val="1"/>
      <w:marLeft w:val="0"/>
      <w:marRight w:val="0"/>
      <w:marTop w:val="0"/>
      <w:marBottom w:val="0"/>
      <w:divBdr>
        <w:top w:val="none" w:sz="0" w:space="0" w:color="auto"/>
        <w:left w:val="none" w:sz="0" w:space="0" w:color="auto"/>
        <w:bottom w:val="none" w:sz="0" w:space="0" w:color="auto"/>
        <w:right w:val="none" w:sz="0" w:space="0" w:color="auto"/>
      </w:divBdr>
    </w:div>
    <w:div w:id="2027244295">
      <w:bodyDiv w:val="1"/>
      <w:marLeft w:val="0"/>
      <w:marRight w:val="0"/>
      <w:marTop w:val="0"/>
      <w:marBottom w:val="0"/>
      <w:divBdr>
        <w:top w:val="none" w:sz="0" w:space="0" w:color="auto"/>
        <w:left w:val="none" w:sz="0" w:space="0" w:color="auto"/>
        <w:bottom w:val="none" w:sz="0" w:space="0" w:color="auto"/>
        <w:right w:val="none" w:sz="0" w:space="0" w:color="auto"/>
      </w:divBdr>
    </w:div>
    <w:div w:id="2027558170">
      <w:bodyDiv w:val="1"/>
      <w:marLeft w:val="0"/>
      <w:marRight w:val="0"/>
      <w:marTop w:val="0"/>
      <w:marBottom w:val="0"/>
      <w:divBdr>
        <w:top w:val="none" w:sz="0" w:space="0" w:color="auto"/>
        <w:left w:val="none" w:sz="0" w:space="0" w:color="auto"/>
        <w:bottom w:val="none" w:sz="0" w:space="0" w:color="auto"/>
        <w:right w:val="none" w:sz="0" w:space="0" w:color="auto"/>
      </w:divBdr>
    </w:div>
    <w:div w:id="2028677764">
      <w:bodyDiv w:val="1"/>
      <w:marLeft w:val="0"/>
      <w:marRight w:val="0"/>
      <w:marTop w:val="0"/>
      <w:marBottom w:val="0"/>
      <w:divBdr>
        <w:top w:val="none" w:sz="0" w:space="0" w:color="auto"/>
        <w:left w:val="none" w:sz="0" w:space="0" w:color="auto"/>
        <w:bottom w:val="none" w:sz="0" w:space="0" w:color="auto"/>
        <w:right w:val="none" w:sz="0" w:space="0" w:color="auto"/>
      </w:divBdr>
    </w:div>
    <w:div w:id="2030060355">
      <w:bodyDiv w:val="1"/>
      <w:marLeft w:val="0"/>
      <w:marRight w:val="0"/>
      <w:marTop w:val="0"/>
      <w:marBottom w:val="0"/>
      <w:divBdr>
        <w:top w:val="none" w:sz="0" w:space="0" w:color="auto"/>
        <w:left w:val="none" w:sz="0" w:space="0" w:color="auto"/>
        <w:bottom w:val="none" w:sz="0" w:space="0" w:color="auto"/>
        <w:right w:val="none" w:sz="0" w:space="0" w:color="auto"/>
      </w:divBdr>
    </w:div>
    <w:div w:id="2031255051">
      <w:bodyDiv w:val="1"/>
      <w:marLeft w:val="0"/>
      <w:marRight w:val="0"/>
      <w:marTop w:val="0"/>
      <w:marBottom w:val="0"/>
      <w:divBdr>
        <w:top w:val="none" w:sz="0" w:space="0" w:color="auto"/>
        <w:left w:val="none" w:sz="0" w:space="0" w:color="auto"/>
        <w:bottom w:val="none" w:sz="0" w:space="0" w:color="auto"/>
        <w:right w:val="none" w:sz="0" w:space="0" w:color="auto"/>
      </w:divBdr>
    </w:div>
    <w:div w:id="2032682279">
      <w:bodyDiv w:val="1"/>
      <w:marLeft w:val="0"/>
      <w:marRight w:val="0"/>
      <w:marTop w:val="0"/>
      <w:marBottom w:val="0"/>
      <w:divBdr>
        <w:top w:val="none" w:sz="0" w:space="0" w:color="auto"/>
        <w:left w:val="none" w:sz="0" w:space="0" w:color="auto"/>
        <w:bottom w:val="none" w:sz="0" w:space="0" w:color="auto"/>
        <w:right w:val="none" w:sz="0" w:space="0" w:color="auto"/>
      </w:divBdr>
    </w:div>
    <w:div w:id="2036156926">
      <w:bodyDiv w:val="1"/>
      <w:marLeft w:val="0"/>
      <w:marRight w:val="0"/>
      <w:marTop w:val="0"/>
      <w:marBottom w:val="0"/>
      <w:divBdr>
        <w:top w:val="none" w:sz="0" w:space="0" w:color="auto"/>
        <w:left w:val="none" w:sz="0" w:space="0" w:color="auto"/>
        <w:bottom w:val="none" w:sz="0" w:space="0" w:color="auto"/>
        <w:right w:val="none" w:sz="0" w:space="0" w:color="auto"/>
      </w:divBdr>
      <w:divsChild>
        <w:div w:id="28074339">
          <w:marLeft w:val="0"/>
          <w:marRight w:val="0"/>
          <w:marTop w:val="0"/>
          <w:marBottom w:val="0"/>
          <w:divBdr>
            <w:top w:val="none" w:sz="0" w:space="0" w:color="auto"/>
            <w:left w:val="none" w:sz="0" w:space="0" w:color="auto"/>
            <w:bottom w:val="none" w:sz="0" w:space="0" w:color="auto"/>
            <w:right w:val="none" w:sz="0" w:space="0" w:color="auto"/>
          </w:divBdr>
        </w:div>
        <w:div w:id="42292534">
          <w:marLeft w:val="0"/>
          <w:marRight w:val="0"/>
          <w:marTop w:val="0"/>
          <w:marBottom w:val="0"/>
          <w:divBdr>
            <w:top w:val="none" w:sz="0" w:space="0" w:color="auto"/>
            <w:left w:val="none" w:sz="0" w:space="0" w:color="auto"/>
            <w:bottom w:val="none" w:sz="0" w:space="0" w:color="auto"/>
            <w:right w:val="none" w:sz="0" w:space="0" w:color="auto"/>
          </w:divBdr>
        </w:div>
        <w:div w:id="44716112">
          <w:marLeft w:val="0"/>
          <w:marRight w:val="0"/>
          <w:marTop w:val="0"/>
          <w:marBottom w:val="0"/>
          <w:divBdr>
            <w:top w:val="none" w:sz="0" w:space="0" w:color="auto"/>
            <w:left w:val="none" w:sz="0" w:space="0" w:color="auto"/>
            <w:bottom w:val="none" w:sz="0" w:space="0" w:color="auto"/>
            <w:right w:val="none" w:sz="0" w:space="0" w:color="auto"/>
          </w:divBdr>
        </w:div>
        <w:div w:id="58669904">
          <w:marLeft w:val="0"/>
          <w:marRight w:val="0"/>
          <w:marTop w:val="0"/>
          <w:marBottom w:val="0"/>
          <w:divBdr>
            <w:top w:val="none" w:sz="0" w:space="0" w:color="auto"/>
            <w:left w:val="none" w:sz="0" w:space="0" w:color="auto"/>
            <w:bottom w:val="none" w:sz="0" w:space="0" w:color="auto"/>
            <w:right w:val="none" w:sz="0" w:space="0" w:color="auto"/>
          </w:divBdr>
        </w:div>
        <w:div w:id="75714782">
          <w:marLeft w:val="0"/>
          <w:marRight w:val="0"/>
          <w:marTop w:val="0"/>
          <w:marBottom w:val="0"/>
          <w:divBdr>
            <w:top w:val="none" w:sz="0" w:space="0" w:color="auto"/>
            <w:left w:val="none" w:sz="0" w:space="0" w:color="auto"/>
            <w:bottom w:val="none" w:sz="0" w:space="0" w:color="auto"/>
            <w:right w:val="none" w:sz="0" w:space="0" w:color="auto"/>
          </w:divBdr>
        </w:div>
        <w:div w:id="76945158">
          <w:marLeft w:val="0"/>
          <w:marRight w:val="0"/>
          <w:marTop w:val="0"/>
          <w:marBottom w:val="0"/>
          <w:divBdr>
            <w:top w:val="none" w:sz="0" w:space="0" w:color="auto"/>
            <w:left w:val="none" w:sz="0" w:space="0" w:color="auto"/>
            <w:bottom w:val="none" w:sz="0" w:space="0" w:color="auto"/>
            <w:right w:val="none" w:sz="0" w:space="0" w:color="auto"/>
          </w:divBdr>
        </w:div>
        <w:div w:id="97063871">
          <w:marLeft w:val="0"/>
          <w:marRight w:val="0"/>
          <w:marTop w:val="0"/>
          <w:marBottom w:val="0"/>
          <w:divBdr>
            <w:top w:val="none" w:sz="0" w:space="0" w:color="auto"/>
            <w:left w:val="none" w:sz="0" w:space="0" w:color="auto"/>
            <w:bottom w:val="none" w:sz="0" w:space="0" w:color="auto"/>
            <w:right w:val="none" w:sz="0" w:space="0" w:color="auto"/>
          </w:divBdr>
        </w:div>
        <w:div w:id="106849100">
          <w:marLeft w:val="0"/>
          <w:marRight w:val="0"/>
          <w:marTop w:val="0"/>
          <w:marBottom w:val="0"/>
          <w:divBdr>
            <w:top w:val="none" w:sz="0" w:space="0" w:color="auto"/>
            <w:left w:val="none" w:sz="0" w:space="0" w:color="auto"/>
            <w:bottom w:val="none" w:sz="0" w:space="0" w:color="auto"/>
            <w:right w:val="none" w:sz="0" w:space="0" w:color="auto"/>
          </w:divBdr>
        </w:div>
        <w:div w:id="109279871">
          <w:marLeft w:val="0"/>
          <w:marRight w:val="0"/>
          <w:marTop w:val="0"/>
          <w:marBottom w:val="0"/>
          <w:divBdr>
            <w:top w:val="none" w:sz="0" w:space="0" w:color="auto"/>
            <w:left w:val="none" w:sz="0" w:space="0" w:color="auto"/>
            <w:bottom w:val="none" w:sz="0" w:space="0" w:color="auto"/>
            <w:right w:val="none" w:sz="0" w:space="0" w:color="auto"/>
          </w:divBdr>
        </w:div>
        <w:div w:id="120997129">
          <w:marLeft w:val="0"/>
          <w:marRight w:val="0"/>
          <w:marTop w:val="0"/>
          <w:marBottom w:val="0"/>
          <w:divBdr>
            <w:top w:val="none" w:sz="0" w:space="0" w:color="auto"/>
            <w:left w:val="none" w:sz="0" w:space="0" w:color="auto"/>
            <w:bottom w:val="none" w:sz="0" w:space="0" w:color="auto"/>
            <w:right w:val="none" w:sz="0" w:space="0" w:color="auto"/>
          </w:divBdr>
        </w:div>
        <w:div w:id="143162273">
          <w:marLeft w:val="0"/>
          <w:marRight w:val="0"/>
          <w:marTop w:val="0"/>
          <w:marBottom w:val="0"/>
          <w:divBdr>
            <w:top w:val="none" w:sz="0" w:space="0" w:color="auto"/>
            <w:left w:val="none" w:sz="0" w:space="0" w:color="auto"/>
            <w:bottom w:val="none" w:sz="0" w:space="0" w:color="auto"/>
            <w:right w:val="none" w:sz="0" w:space="0" w:color="auto"/>
          </w:divBdr>
        </w:div>
        <w:div w:id="149952893">
          <w:marLeft w:val="0"/>
          <w:marRight w:val="0"/>
          <w:marTop w:val="0"/>
          <w:marBottom w:val="0"/>
          <w:divBdr>
            <w:top w:val="none" w:sz="0" w:space="0" w:color="auto"/>
            <w:left w:val="none" w:sz="0" w:space="0" w:color="auto"/>
            <w:bottom w:val="none" w:sz="0" w:space="0" w:color="auto"/>
            <w:right w:val="none" w:sz="0" w:space="0" w:color="auto"/>
          </w:divBdr>
        </w:div>
        <w:div w:id="152533859">
          <w:marLeft w:val="0"/>
          <w:marRight w:val="0"/>
          <w:marTop w:val="0"/>
          <w:marBottom w:val="0"/>
          <w:divBdr>
            <w:top w:val="none" w:sz="0" w:space="0" w:color="auto"/>
            <w:left w:val="none" w:sz="0" w:space="0" w:color="auto"/>
            <w:bottom w:val="none" w:sz="0" w:space="0" w:color="auto"/>
            <w:right w:val="none" w:sz="0" w:space="0" w:color="auto"/>
          </w:divBdr>
        </w:div>
        <w:div w:id="172843739">
          <w:marLeft w:val="0"/>
          <w:marRight w:val="0"/>
          <w:marTop w:val="0"/>
          <w:marBottom w:val="0"/>
          <w:divBdr>
            <w:top w:val="none" w:sz="0" w:space="0" w:color="auto"/>
            <w:left w:val="none" w:sz="0" w:space="0" w:color="auto"/>
            <w:bottom w:val="none" w:sz="0" w:space="0" w:color="auto"/>
            <w:right w:val="none" w:sz="0" w:space="0" w:color="auto"/>
          </w:divBdr>
        </w:div>
        <w:div w:id="180246669">
          <w:marLeft w:val="0"/>
          <w:marRight w:val="0"/>
          <w:marTop w:val="0"/>
          <w:marBottom w:val="0"/>
          <w:divBdr>
            <w:top w:val="none" w:sz="0" w:space="0" w:color="auto"/>
            <w:left w:val="none" w:sz="0" w:space="0" w:color="auto"/>
            <w:bottom w:val="none" w:sz="0" w:space="0" w:color="auto"/>
            <w:right w:val="none" w:sz="0" w:space="0" w:color="auto"/>
          </w:divBdr>
        </w:div>
        <w:div w:id="198395473">
          <w:marLeft w:val="0"/>
          <w:marRight w:val="0"/>
          <w:marTop w:val="0"/>
          <w:marBottom w:val="0"/>
          <w:divBdr>
            <w:top w:val="none" w:sz="0" w:space="0" w:color="auto"/>
            <w:left w:val="none" w:sz="0" w:space="0" w:color="auto"/>
            <w:bottom w:val="none" w:sz="0" w:space="0" w:color="auto"/>
            <w:right w:val="none" w:sz="0" w:space="0" w:color="auto"/>
          </w:divBdr>
        </w:div>
        <w:div w:id="216823099">
          <w:marLeft w:val="0"/>
          <w:marRight w:val="0"/>
          <w:marTop w:val="0"/>
          <w:marBottom w:val="0"/>
          <w:divBdr>
            <w:top w:val="none" w:sz="0" w:space="0" w:color="auto"/>
            <w:left w:val="none" w:sz="0" w:space="0" w:color="auto"/>
            <w:bottom w:val="none" w:sz="0" w:space="0" w:color="auto"/>
            <w:right w:val="none" w:sz="0" w:space="0" w:color="auto"/>
          </w:divBdr>
        </w:div>
        <w:div w:id="217011248">
          <w:marLeft w:val="0"/>
          <w:marRight w:val="0"/>
          <w:marTop w:val="0"/>
          <w:marBottom w:val="0"/>
          <w:divBdr>
            <w:top w:val="none" w:sz="0" w:space="0" w:color="auto"/>
            <w:left w:val="none" w:sz="0" w:space="0" w:color="auto"/>
            <w:bottom w:val="none" w:sz="0" w:space="0" w:color="auto"/>
            <w:right w:val="none" w:sz="0" w:space="0" w:color="auto"/>
          </w:divBdr>
        </w:div>
        <w:div w:id="241720140">
          <w:marLeft w:val="0"/>
          <w:marRight w:val="0"/>
          <w:marTop w:val="0"/>
          <w:marBottom w:val="0"/>
          <w:divBdr>
            <w:top w:val="none" w:sz="0" w:space="0" w:color="auto"/>
            <w:left w:val="none" w:sz="0" w:space="0" w:color="auto"/>
            <w:bottom w:val="none" w:sz="0" w:space="0" w:color="auto"/>
            <w:right w:val="none" w:sz="0" w:space="0" w:color="auto"/>
          </w:divBdr>
        </w:div>
        <w:div w:id="242955883">
          <w:marLeft w:val="0"/>
          <w:marRight w:val="0"/>
          <w:marTop w:val="0"/>
          <w:marBottom w:val="0"/>
          <w:divBdr>
            <w:top w:val="none" w:sz="0" w:space="0" w:color="auto"/>
            <w:left w:val="none" w:sz="0" w:space="0" w:color="auto"/>
            <w:bottom w:val="none" w:sz="0" w:space="0" w:color="auto"/>
            <w:right w:val="none" w:sz="0" w:space="0" w:color="auto"/>
          </w:divBdr>
        </w:div>
        <w:div w:id="244190920">
          <w:marLeft w:val="0"/>
          <w:marRight w:val="0"/>
          <w:marTop w:val="0"/>
          <w:marBottom w:val="0"/>
          <w:divBdr>
            <w:top w:val="none" w:sz="0" w:space="0" w:color="auto"/>
            <w:left w:val="none" w:sz="0" w:space="0" w:color="auto"/>
            <w:bottom w:val="none" w:sz="0" w:space="0" w:color="auto"/>
            <w:right w:val="none" w:sz="0" w:space="0" w:color="auto"/>
          </w:divBdr>
        </w:div>
        <w:div w:id="248975099">
          <w:marLeft w:val="0"/>
          <w:marRight w:val="0"/>
          <w:marTop w:val="0"/>
          <w:marBottom w:val="0"/>
          <w:divBdr>
            <w:top w:val="none" w:sz="0" w:space="0" w:color="auto"/>
            <w:left w:val="none" w:sz="0" w:space="0" w:color="auto"/>
            <w:bottom w:val="none" w:sz="0" w:space="0" w:color="auto"/>
            <w:right w:val="none" w:sz="0" w:space="0" w:color="auto"/>
          </w:divBdr>
        </w:div>
        <w:div w:id="249895474">
          <w:marLeft w:val="0"/>
          <w:marRight w:val="0"/>
          <w:marTop w:val="0"/>
          <w:marBottom w:val="0"/>
          <w:divBdr>
            <w:top w:val="none" w:sz="0" w:space="0" w:color="auto"/>
            <w:left w:val="none" w:sz="0" w:space="0" w:color="auto"/>
            <w:bottom w:val="none" w:sz="0" w:space="0" w:color="auto"/>
            <w:right w:val="none" w:sz="0" w:space="0" w:color="auto"/>
          </w:divBdr>
        </w:div>
        <w:div w:id="268244039">
          <w:marLeft w:val="0"/>
          <w:marRight w:val="0"/>
          <w:marTop w:val="0"/>
          <w:marBottom w:val="0"/>
          <w:divBdr>
            <w:top w:val="none" w:sz="0" w:space="0" w:color="auto"/>
            <w:left w:val="none" w:sz="0" w:space="0" w:color="auto"/>
            <w:bottom w:val="none" w:sz="0" w:space="0" w:color="auto"/>
            <w:right w:val="none" w:sz="0" w:space="0" w:color="auto"/>
          </w:divBdr>
        </w:div>
        <w:div w:id="275988651">
          <w:marLeft w:val="0"/>
          <w:marRight w:val="0"/>
          <w:marTop w:val="0"/>
          <w:marBottom w:val="0"/>
          <w:divBdr>
            <w:top w:val="none" w:sz="0" w:space="0" w:color="auto"/>
            <w:left w:val="none" w:sz="0" w:space="0" w:color="auto"/>
            <w:bottom w:val="none" w:sz="0" w:space="0" w:color="auto"/>
            <w:right w:val="none" w:sz="0" w:space="0" w:color="auto"/>
          </w:divBdr>
        </w:div>
        <w:div w:id="280232650">
          <w:marLeft w:val="0"/>
          <w:marRight w:val="0"/>
          <w:marTop w:val="0"/>
          <w:marBottom w:val="0"/>
          <w:divBdr>
            <w:top w:val="none" w:sz="0" w:space="0" w:color="auto"/>
            <w:left w:val="none" w:sz="0" w:space="0" w:color="auto"/>
            <w:bottom w:val="none" w:sz="0" w:space="0" w:color="auto"/>
            <w:right w:val="none" w:sz="0" w:space="0" w:color="auto"/>
          </w:divBdr>
        </w:div>
        <w:div w:id="287587701">
          <w:marLeft w:val="0"/>
          <w:marRight w:val="0"/>
          <w:marTop w:val="0"/>
          <w:marBottom w:val="0"/>
          <w:divBdr>
            <w:top w:val="none" w:sz="0" w:space="0" w:color="auto"/>
            <w:left w:val="none" w:sz="0" w:space="0" w:color="auto"/>
            <w:bottom w:val="none" w:sz="0" w:space="0" w:color="auto"/>
            <w:right w:val="none" w:sz="0" w:space="0" w:color="auto"/>
          </w:divBdr>
        </w:div>
        <w:div w:id="290283480">
          <w:marLeft w:val="0"/>
          <w:marRight w:val="0"/>
          <w:marTop w:val="0"/>
          <w:marBottom w:val="0"/>
          <w:divBdr>
            <w:top w:val="none" w:sz="0" w:space="0" w:color="auto"/>
            <w:left w:val="none" w:sz="0" w:space="0" w:color="auto"/>
            <w:bottom w:val="none" w:sz="0" w:space="0" w:color="auto"/>
            <w:right w:val="none" w:sz="0" w:space="0" w:color="auto"/>
          </w:divBdr>
        </w:div>
        <w:div w:id="290791013">
          <w:marLeft w:val="0"/>
          <w:marRight w:val="0"/>
          <w:marTop w:val="0"/>
          <w:marBottom w:val="0"/>
          <w:divBdr>
            <w:top w:val="none" w:sz="0" w:space="0" w:color="auto"/>
            <w:left w:val="none" w:sz="0" w:space="0" w:color="auto"/>
            <w:bottom w:val="none" w:sz="0" w:space="0" w:color="auto"/>
            <w:right w:val="none" w:sz="0" w:space="0" w:color="auto"/>
          </w:divBdr>
        </w:div>
        <w:div w:id="297734141">
          <w:marLeft w:val="0"/>
          <w:marRight w:val="0"/>
          <w:marTop w:val="0"/>
          <w:marBottom w:val="0"/>
          <w:divBdr>
            <w:top w:val="none" w:sz="0" w:space="0" w:color="auto"/>
            <w:left w:val="none" w:sz="0" w:space="0" w:color="auto"/>
            <w:bottom w:val="none" w:sz="0" w:space="0" w:color="auto"/>
            <w:right w:val="none" w:sz="0" w:space="0" w:color="auto"/>
          </w:divBdr>
        </w:div>
        <w:div w:id="325524277">
          <w:marLeft w:val="0"/>
          <w:marRight w:val="0"/>
          <w:marTop w:val="0"/>
          <w:marBottom w:val="0"/>
          <w:divBdr>
            <w:top w:val="none" w:sz="0" w:space="0" w:color="auto"/>
            <w:left w:val="none" w:sz="0" w:space="0" w:color="auto"/>
            <w:bottom w:val="none" w:sz="0" w:space="0" w:color="auto"/>
            <w:right w:val="none" w:sz="0" w:space="0" w:color="auto"/>
          </w:divBdr>
        </w:div>
        <w:div w:id="338896778">
          <w:marLeft w:val="0"/>
          <w:marRight w:val="0"/>
          <w:marTop w:val="0"/>
          <w:marBottom w:val="0"/>
          <w:divBdr>
            <w:top w:val="none" w:sz="0" w:space="0" w:color="auto"/>
            <w:left w:val="none" w:sz="0" w:space="0" w:color="auto"/>
            <w:bottom w:val="none" w:sz="0" w:space="0" w:color="auto"/>
            <w:right w:val="none" w:sz="0" w:space="0" w:color="auto"/>
          </w:divBdr>
        </w:div>
        <w:div w:id="348413420">
          <w:marLeft w:val="0"/>
          <w:marRight w:val="0"/>
          <w:marTop w:val="0"/>
          <w:marBottom w:val="0"/>
          <w:divBdr>
            <w:top w:val="none" w:sz="0" w:space="0" w:color="auto"/>
            <w:left w:val="none" w:sz="0" w:space="0" w:color="auto"/>
            <w:bottom w:val="none" w:sz="0" w:space="0" w:color="auto"/>
            <w:right w:val="none" w:sz="0" w:space="0" w:color="auto"/>
          </w:divBdr>
        </w:div>
        <w:div w:id="358051814">
          <w:marLeft w:val="0"/>
          <w:marRight w:val="0"/>
          <w:marTop w:val="0"/>
          <w:marBottom w:val="0"/>
          <w:divBdr>
            <w:top w:val="none" w:sz="0" w:space="0" w:color="auto"/>
            <w:left w:val="none" w:sz="0" w:space="0" w:color="auto"/>
            <w:bottom w:val="none" w:sz="0" w:space="0" w:color="auto"/>
            <w:right w:val="none" w:sz="0" w:space="0" w:color="auto"/>
          </w:divBdr>
        </w:div>
        <w:div w:id="369721275">
          <w:marLeft w:val="0"/>
          <w:marRight w:val="0"/>
          <w:marTop w:val="0"/>
          <w:marBottom w:val="0"/>
          <w:divBdr>
            <w:top w:val="none" w:sz="0" w:space="0" w:color="auto"/>
            <w:left w:val="none" w:sz="0" w:space="0" w:color="auto"/>
            <w:bottom w:val="none" w:sz="0" w:space="0" w:color="auto"/>
            <w:right w:val="none" w:sz="0" w:space="0" w:color="auto"/>
          </w:divBdr>
        </w:div>
        <w:div w:id="378284886">
          <w:marLeft w:val="0"/>
          <w:marRight w:val="0"/>
          <w:marTop w:val="0"/>
          <w:marBottom w:val="0"/>
          <w:divBdr>
            <w:top w:val="none" w:sz="0" w:space="0" w:color="auto"/>
            <w:left w:val="none" w:sz="0" w:space="0" w:color="auto"/>
            <w:bottom w:val="none" w:sz="0" w:space="0" w:color="auto"/>
            <w:right w:val="none" w:sz="0" w:space="0" w:color="auto"/>
          </w:divBdr>
        </w:div>
        <w:div w:id="383140215">
          <w:marLeft w:val="0"/>
          <w:marRight w:val="0"/>
          <w:marTop w:val="0"/>
          <w:marBottom w:val="0"/>
          <w:divBdr>
            <w:top w:val="none" w:sz="0" w:space="0" w:color="auto"/>
            <w:left w:val="none" w:sz="0" w:space="0" w:color="auto"/>
            <w:bottom w:val="none" w:sz="0" w:space="0" w:color="auto"/>
            <w:right w:val="none" w:sz="0" w:space="0" w:color="auto"/>
          </w:divBdr>
        </w:div>
        <w:div w:id="409544406">
          <w:marLeft w:val="0"/>
          <w:marRight w:val="0"/>
          <w:marTop w:val="0"/>
          <w:marBottom w:val="0"/>
          <w:divBdr>
            <w:top w:val="none" w:sz="0" w:space="0" w:color="auto"/>
            <w:left w:val="none" w:sz="0" w:space="0" w:color="auto"/>
            <w:bottom w:val="none" w:sz="0" w:space="0" w:color="auto"/>
            <w:right w:val="none" w:sz="0" w:space="0" w:color="auto"/>
          </w:divBdr>
        </w:div>
        <w:div w:id="410078476">
          <w:marLeft w:val="0"/>
          <w:marRight w:val="0"/>
          <w:marTop w:val="0"/>
          <w:marBottom w:val="0"/>
          <w:divBdr>
            <w:top w:val="none" w:sz="0" w:space="0" w:color="auto"/>
            <w:left w:val="none" w:sz="0" w:space="0" w:color="auto"/>
            <w:bottom w:val="none" w:sz="0" w:space="0" w:color="auto"/>
            <w:right w:val="none" w:sz="0" w:space="0" w:color="auto"/>
          </w:divBdr>
        </w:div>
        <w:div w:id="423844179">
          <w:marLeft w:val="0"/>
          <w:marRight w:val="0"/>
          <w:marTop w:val="0"/>
          <w:marBottom w:val="0"/>
          <w:divBdr>
            <w:top w:val="none" w:sz="0" w:space="0" w:color="auto"/>
            <w:left w:val="none" w:sz="0" w:space="0" w:color="auto"/>
            <w:bottom w:val="none" w:sz="0" w:space="0" w:color="auto"/>
            <w:right w:val="none" w:sz="0" w:space="0" w:color="auto"/>
          </w:divBdr>
        </w:div>
        <w:div w:id="446241469">
          <w:marLeft w:val="0"/>
          <w:marRight w:val="0"/>
          <w:marTop w:val="0"/>
          <w:marBottom w:val="0"/>
          <w:divBdr>
            <w:top w:val="none" w:sz="0" w:space="0" w:color="auto"/>
            <w:left w:val="none" w:sz="0" w:space="0" w:color="auto"/>
            <w:bottom w:val="none" w:sz="0" w:space="0" w:color="auto"/>
            <w:right w:val="none" w:sz="0" w:space="0" w:color="auto"/>
          </w:divBdr>
        </w:div>
        <w:div w:id="509295359">
          <w:marLeft w:val="0"/>
          <w:marRight w:val="0"/>
          <w:marTop w:val="0"/>
          <w:marBottom w:val="0"/>
          <w:divBdr>
            <w:top w:val="none" w:sz="0" w:space="0" w:color="auto"/>
            <w:left w:val="none" w:sz="0" w:space="0" w:color="auto"/>
            <w:bottom w:val="none" w:sz="0" w:space="0" w:color="auto"/>
            <w:right w:val="none" w:sz="0" w:space="0" w:color="auto"/>
          </w:divBdr>
        </w:div>
        <w:div w:id="538512740">
          <w:marLeft w:val="0"/>
          <w:marRight w:val="0"/>
          <w:marTop w:val="0"/>
          <w:marBottom w:val="0"/>
          <w:divBdr>
            <w:top w:val="none" w:sz="0" w:space="0" w:color="auto"/>
            <w:left w:val="none" w:sz="0" w:space="0" w:color="auto"/>
            <w:bottom w:val="none" w:sz="0" w:space="0" w:color="auto"/>
            <w:right w:val="none" w:sz="0" w:space="0" w:color="auto"/>
          </w:divBdr>
        </w:div>
        <w:div w:id="544217928">
          <w:marLeft w:val="0"/>
          <w:marRight w:val="0"/>
          <w:marTop w:val="0"/>
          <w:marBottom w:val="0"/>
          <w:divBdr>
            <w:top w:val="none" w:sz="0" w:space="0" w:color="auto"/>
            <w:left w:val="none" w:sz="0" w:space="0" w:color="auto"/>
            <w:bottom w:val="none" w:sz="0" w:space="0" w:color="auto"/>
            <w:right w:val="none" w:sz="0" w:space="0" w:color="auto"/>
          </w:divBdr>
        </w:div>
        <w:div w:id="555166787">
          <w:marLeft w:val="0"/>
          <w:marRight w:val="0"/>
          <w:marTop w:val="0"/>
          <w:marBottom w:val="0"/>
          <w:divBdr>
            <w:top w:val="none" w:sz="0" w:space="0" w:color="auto"/>
            <w:left w:val="none" w:sz="0" w:space="0" w:color="auto"/>
            <w:bottom w:val="none" w:sz="0" w:space="0" w:color="auto"/>
            <w:right w:val="none" w:sz="0" w:space="0" w:color="auto"/>
          </w:divBdr>
        </w:div>
        <w:div w:id="558592049">
          <w:marLeft w:val="0"/>
          <w:marRight w:val="0"/>
          <w:marTop w:val="0"/>
          <w:marBottom w:val="0"/>
          <w:divBdr>
            <w:top w:val="none" w:sz="0" w:space="0" w:color="auto"/>
            <w:left w:val="none" w:sz="0" w:space="0" w:color="auto"/>
            <w:bottom w:val="none" w:sz="0" w:space="0" w:color="auto"/>
            <w:right w:val="none" w:sz="0" w:space="0" w:color="auto"/>
          </w:divBdr>
        </w:div>
        <w:div w:id="572279288">
          <w:marLeft w:val="0"/>
          <w:marRight w:val="0"/>
          <w:marTop w:val="0"/>
          <w:marBottom w:val="0"/>
          <w:divBdr>
            <w:top w:val="none" w:sz="0" w:space="0" w:color="auto"/>
            <w:left w:val="none" w:sz="0" w:space="0" w:color="auto"/>
            <w:bottom w:val="none" w:sz="0" w:space="0" w:color="auto"/>
            <w:right w:val="none" w:sz="0" w:space="0" w:color="auto"/>
          </w:divBdr>
        </w:div>
        <w:div w:id="597256143">
          <w:marLeft w:val="0"/>
          <w:marRight w:val="0"/>
          <w:marTop w:val="0"/>
          <w:marBottom w:val="0"/>
          <w:divBdr>
            <w:top w:val="none" w:sz="0" w:space="0" w:color="auto"/>
            <w:left w:val="none" w:sz="0" w:space="0" w:color="auto"/>
            <w:bottom w:val="none" w:sz="0" w:space="0" w:color="auto"/>
            <w:right w:val="none" w:sz="0" w:space="0" w:color="auto"/>
          </w:divBdr>
        </w:div>
        <w:div w:id="624117449">
          <w:marLeft w:val="0"/>
          <w:marRight w:val="0"/>
          <w:marTop w:val="0"/>
          <w:marBottom w:val="0"/>
          <w:divBdr>
            <w:top w:val="none" w:sz="0" w:space="0" w:color="auto"/>
            <w:left w:val="none" w:sz="0" w:space="0" w:color="auto"/>
            <w:bottom w:val="none" w:sz="0" w:space="0" w:color="auto"/>
            <w:right w:val="none" w:sz="0" w:space="0" w:color="auto"/>
          </w:divBdr>
        </w:div>
        <w:div w:id="651250815">
          <w:marLeft w:val="0"/>
          <w:marRight w:val="0"/>
          <w:marTop w:val="0"/>
          <w:marBottom w:val="0"/>
          <w:divBdr>
            <w:top w:val="none" w:sz="0" w:space="0" w:color="auto"/>
            <w:left w:val="none" w:sz="0" w:space="0" w:color="auto"/>
            <w:bottom w:val="none" w:sz="0" w:space="0" w:color="auto"/>
            <w:right w:val="none" w:sz="0" w:space="0" w:color="auto"/>
          </w:divBdr>
        </w:div>
        <w:div w:id="651561121">
          <w:marLeft w:val="0"/>
          <w:marRight w:val="0"/>
          <w:marTop w:val="0"/>
          <w:marBottom w:val="0"/>
          <w:divBdr>
            <w:top w:val="none" w:sz="0" w:space="0" w:color="auto"/>
            <w:left w:val="none" w:sz="0" w:space="0" w:color="auto"/>
            <w:bottom w:val="none" w:sz="0" w:space="0" w:color="auto"/>
            <w:right w:val="none" w:sz="0" w:space="0" w:color="auto"/>
          </w:divBdr>
        </w:div>
        <w:div w:id="701319090">
          <w:marLeft w:val="0"/>
          <w:marRight w:val="0"/>
          <w:marTop w:val="0"/>
          <w:marBottom w:val="0"/>
          <w:divBdr>
            <w:top w:val="none" w:sz="0" w:space="0" w:color="auto"/>
            <w:left w:val="none" w:sz="0" w:space="0" w:color="auto"/>
            <w:bottom w:val="none" w:sz="0" w:space="0" w:color="auto"/>
            <w:right w:val="none" w:sz="0" w:space="0" w:color="auto"/>
          </w:divBdr>
        </w:div>
        <w:div w:id="702368154">
          <w:marLeft w:val="0"/>
          <w:marRight w:val="0"/>
          <w:marTop w:val="0"/>
          <w:marBottom w:val="0"/>
          <w:divBdr>
            <w:top w:val="none" w:sz="0" w:space="0" w:color="auto"/>
            <w:left w:val="none" w:sz="0" w:space="0" w:color="auto"/>
            <w:bottom w:val="none" w:sz="0" w:space="0" w:color="auto"/>
            <w:right w:val="none" w:sz="0" w:space="0" w:color="auto"/>
          </w:divBdr>
        </w:div>
        <w:div w:id="702634271">
          <w:marLeft w:val="0"/>
          <w:marRight w:val="0"/>
          <w:marTop w:val="0"/>
          <w:marBottom w:val="0"/>
          <w:divBdr>
            <w:top w:val="none" w:sz="0" w:space="0" w:color="auto"/>
            <w:left w:val="none" w:sz="0" w:space="0" w:color="auto"/>
            <w:bottom w:val="none" w:sz="0" w:space="0" w:color="auto"/>
            <w:right w:val="none" w:sz="0" w:space="0" w:color="auto"/>
          </w:divBdr>
        </w:div>
        <w:div w:id="718481907">
          <w:marLeft w:val="0"/>
          <w:marRight w:val="0"/>
          <w:marTop w:val="0"/>
          <w:marBottom w:val="0"/>
          <w:divBdr>
            <w:top w:val="none" w:sz="0" w:space="0" w:color="auto"/>
            <w:left w:val="none" w:sz="0" w:space="0" w:color="auto"/>
            <w:bottom w:val="none" w:sz="0" w:space="0" w:color="auto"/>
            <w:right w:val="none" w:sz="0" w:space="0" w:color="auto"/>
          </w:divBdr>
        </w:div>
        <w:div w:id="736438015">
          <w:marLeft w:val="0"/>
          <w:marRight w:val="0"/>
          <w:marTop w:val="0"/>
          <w:marBottom w:val="0"/>
          <w:divBdr>
            <w:top w:val="none" w:sz="0" w:space="0" w:color="auto"/>
            <w:left w:val="none" w:sz="0" w:space="0" w:color="auto"/>
            <w:bottom w:val="none" w:sz="0" w:space="0" w:color="auto"/>
            <w:right w:val="none" w:sz="0" w:space="0" w:color="auto"/>
          </w:divBdr>
        </w:div>
        <w:div w:id="749161052">
          <w:marLeft w:val="0"/>
          <w:marRight w:val="0"/>
          <w:marTop w:val="0"/>
          <w:marBottom w:val="0"/>
          <w:divBdr>
            <w:top w:val="none" w:sz="0" w:space="0" w:color="auto"/>
            <w:left w:val="none" w:sz="0" w:space="0" w:color="auto"/>
            <w:bottom w:val="none" w:sz="0" w:space="0" w:color="auto"/>
            <w:right w:val="none" w:sz="0" w:space="0" w:color="auto"/>
          </w:divBdr>
        </w:div>
        <w:div w:id="763188431">
          <w:marLeft w:val="0"/>
          <w:marRight w:val="0"/>
          <w:marTop w:val="0"/>
          <w:marBottom w:val="0"/>
          <w:divBdr>
            <w:top w:val="none" w:sz="0" w:space="0" w:color="auto"/>
            <w:left w:val="none" w:sz="0" w:space="0" w:color="auto"/>
            <w:bottom w:val="none" w:sz="0" w:space="0" w:color="auto"/>
            <w:right w:val="none" w:sz="0" w:space="0" w:color="auto"/>
          </w:divBdr>
        </w:div>
        <w:div w:id="825627833">
          <w:marLeft w:val="0"/>
          <w:marRight w:val="0"/>
          <w:marTop w:val="0"/>
          <w:marBottom w:val="0"/>
          <w:divBdr>
            <w:top w:val="none" w:sz="0" w:space="0" w:color="auto"/>
            <w:left w:val="none" w:sz="0" w:space="0" w:color="auto"/>
            <w:bottom w:val="none" w:sz="0" w:space="0" w:color="auto"/>
            <w:right w:val="none" w:sz="0" w:space="0" w:color="auto"/>
          </w:divBdr>
        </w:div>
        <w:div w:id="828862129">
          <w:marLeft w:val="0"/>
          <w:marRight w:val="0"/>
          <w:marTop w:val="0"/>
          <w:marBottom w:val="0"/>
          <w:divBdr>
            <w:top w:val="none" w:sz="0" w:space="0" w:color="auto"/>
            <w:left w:val="none" w:sz="0" w:space="0" w:color="auto"/>
            <w:bottom w:val="none" w:sz="0" w:space="0" w:color="auto"/>
            <w:right w:val="none" w:sz="0" w:space="0" w:color="auto"/>
          </w:divBdr>
        </w:div>
        <w:div w:id="856507472">
          <w:marLeft w:val="0"/>
          <w:marRight w:val="0"/>
          <w:marTop w:val="0"/>
          <w:marBottom w:val="0"/>
          <w:divBdr>
            <w:top w:val="none" w:sz="0" w:space="0" w:color="auto"/>
            <w:left w:val="none" w:sz="0" w:space="0" w:color="auto"/>
            <w:bottom w:val="none" w:sz="0" w:space="0" w:color="auto"/>
            <w:right w:val="none" w:sz="0" w:space="0" w:color="auto"/>
          </w:divBdr>
        </w:div>
        <w:div w:id="899481951">
          <w:marLeft w:val="0"/>
          <w:marRight w:val="0"/>
          <w:marTop w:val="0"/>
          <w:marBottom w:val="0"/>
          <w:divBdr>
            <w:top w:val="none" w:sz="0" w:space="0" w:color="auto"/>
            <w:left w:val="none" w:sz="0" w:space="0" w:color="auto"/>
            <w:bottom w:val="none" w:sz="0" w:space="0" w:color="auto"/>
            <w:right w:val="none" w:sz="0" w:space="0" w:color="auto"/>
          </w:divBdr>
        </w:div>
        <w:div w:id="903685773">
          <w:marLeft w:val="0"/>
          <w:marRight w:val="0"/>
          <w:marTop w:val="0"/>
          <w:marBottom w:val="0"/>
          <w:divBdr>
            <w:top w:val="none" w:sz="0" w:space="0" w:color="auto"/>
            <w:left w:val="none" w:sz="0" w:space="0" w:color="auto"/>
            <w:bottom w:val="none" w:sz="0" w:space="0" w:color="auto"/>
            <w:right w:val="none" w:sz="0" w:space="0" w:color="auto"/>
          </w:divBdr>
        </w:div>
        <w:div w:id="997423961">
          <w:marLeft w:val="0"/>
          <w:marRight w:val="0"/>
          <w:marTop w:val="0"/>
          <w:marBottom w:val="0"/>
          <w:divBdr>
            <w:top w:val="none" w:sz="0" w:space="0" w:color="auto"/>
            <w:left w:val="none" w:sz="0" w:space="0" w:color="auto"/>
            <w:bottom w:val="none" w:sz="0" w:space="0" w:color="auto"/>
            <w:right w:val="none" w:sz="0" w:space="0" w:color="auto"/>
          </w:divBdr>
        </w:div>
        <w:div w:id="1001737556">
          <w:marLeft w:val="0"/>
          <w:marRight w:val="0"/>
          <w:marTop w:val="0"/>
          <w:marBottom w:val="0"/>
          <w:divBdr>
            <w:top w:val="none" w:sz="0" w:space="0" w:color="auto"/>
            <w:left w:val="none" w:sz="0" w:space="0" w:color="auto"/>
            <w:bottom w:val="none" w:sz="0" w:space="0" w:color="auto"/>
            <w:right w:val="none" w:sz="0" w:space="0" w:color="auto"/>
          </w:divBdr>
        </w:div>
        <w:div w:id="1016687114">
          <w:marLeft w:val="0"/>
          <w:marRight w:val="0"/>
          <w:marTop w:val="0"/>
          <w:marBottom w:val="0"/>
          <w:divBdr>
            <w:top w:val="none" w:sz="0" w:space="0" w:color="auto"/>
            <w:left w:val="none" w:sz="0" w:space="0" w:color="auto"/>
            <w:bottom w:val="none" w:sz="0" w:space="0" w:color="auto"/>
            <w:right w:val="none" w:sz="0" w:space="0" w:color="auto"/>
          </w:divBdr>
        </w:div>
        <w:div w:id="1050881989">
          <w:marLeft w:val="0"/>
          <w:marRight w:val="0"/>
          <w:marTop w:val="0"/>
          <w:marBottom w:val="0"/>
          <w:divBdr>
            <w:top w:val="none" w:sz="0" w:space="0" w:color="auto"/>
            <w:left w:val="none" w:sz="0" w:space="0" w:color="auto"/>
            <w:bottom w:val="none" w:sz="0" w:space="0" w:color="auto"/>
            <w:right w:val="none" w:sz="0" w:space="0" w:color="auto"/>
          </w:divBdr>
        </w:div>
        <w:div w:id="1061977275">
          <w:marLeft w:val="0"/>
          <w:marRight w:val="0"/>
          <w:marTop w:val="0"/>
          <w:marBottom w:val="0"/>
          <w:divBdr>
            <w:top w:val="none" w:sz="0" w:space="0" w:color="auto"/>
            <w:left w:val="none" w:sz="0" w:space="0" w:color="auto"/>
            <w:bottom w:val="none" w:sz="0" w:space="0" w:color="auto"/>
            <w:right w:val="none" w:sz="0" w:space="0" w:color="auto"/>
          </w:divBdr>
        </w:div>
        <w:div w:id="1101880078">
          <w:marLeft w:val="0"/>
          <w:marRight w:val="0"/>
          <w:marTop w:val="0"/>
          <w:marBottom w:val="0"/>
          <w:divBdr>
            <w:top w:val="none" w:sz="0" w:space="0" w:color="auto"/>
            <w:left w:val="none" w:sz="0" w:space="0" w:color="auto"/>
            <w:bottom w:val="none" w:sz="0" w:space="0" w:color="auto"/>
            <w:right w:val="none" w:sz="0" w:space="0" w:color="auto"/>
          </w:divBdr>
        </w:div>
        <w:div w:id="1116944331">
          <w:marLeft w:val="0"/>
          <w:marRight w:val="0"/>
          <w:marTop w:val="0"/>
          <w:marBottom w:val="0"/>
          <w:divBdr>
            <w:top w:val="none" w:sz="0" w:space="0" w:color="auto"/>
            <w:left w:val="none" w:sz="0" w:space="0" w:color="auto"/>
            <w:bottom w:val="none" w:sz="0" w:space="0" w:color="auto"/>
            <w:right w:val="none" w:sz="0" w:space="0" w:color="auto"/>
          </w:divBdr>
        </w:div>
        <w:div w:id="1127896115">
          <w:marLeft w:val="0"/>
          <w:marRight w:val="0"/>
          <w:marTop w:val="0"/>
          <w:marBottom w:val="0"/>
          <w:divBdr>
            <w:top w:val="none" w:sz="0" w:space="0" w:color="auto"/>
            <w:left w:val="none" w:sz="0" w:space="0" w:color="auto"/>
            <w:bottom w:val="none" w:sz="0" w:space="0" w:color="auto"/>
            <w:right w:val="none" w:sz="0" w:space="0" w:color="auto"/>
          </w:divBdr>
        </w:div>
        <w:div w:id="1128544475">
          <w:marLeft w:val="0"/>
          <w:marRight w:val="0"/>
          <w:marTop w:val="0"/>
          <w:marBottom w:val="0"/>
          <w:divBdr>
            <w:top w:val="none" w:sz="0" w:space="0" w:color="auto"/>
            <w:left w:val="none" w:sz="0" w:space="0" w:color="auto"/>
            <w:bottom w:val="none" w:sz="0" w:space="0" w:color="auto"/>
            <w:right w:val="none" w:sz="0" w:space="0" w:color="auto"/>
          </w:divBdr>
        </w:div>
        <w:div w:id="1143349113">
          <w:marLeft w:val="0"/>
          <w:marRight w:val="0"/>
          <w:marTop w:val="0"/>
          <w:marBottom w:val="0"/>
          <w:divBdr>
            <w:top w:val="none" w:sz="0" w:space="0" w:color="auto"/>
            <w:left w:val="none" w:sz="0" w:space="0" w:color="auto"/>
            <w:bottom w:val="none" w:sz="0" w:space="0" w:color="auto"/>
            <w:right w:val="none" w:sz="0" w:space="0" w:color="auto"/>
          </w:divBdr>
        </w:div>
        <w:div w:id="1148210533">
          <w:marLeft w:val="0"/>
          <w:marRight w:val="0"/>
          <w:marTop w:val="0"/>
          <w:marBottom w:val="0"/>
          <w:divBdr>
            <w:top w:val="none" w:sz="0" w:space="0" w:color="auto"/>
            <w:left w:val="none" w:sz="0" w:space="0" w:color="auto"/>
            <w:bottom w:val="none" w:sz="0" w:space="0" w:color="auto"/>
            <w:right w:val="none" w:sz="0" w:space="0" w:color="auto"/>
          </w:divBdr>
        </w:div>
        <w:div w:id="1181309860">
          <w:marLeft w:val="0"/>
          <w:marRight w:val="0"/>
          <w:marTop w:val="0"/>
          <w:marBottom w:val="0"/>
          <w:divBdr>
            <w:top w:val="none" w:sz="0" w:space="0" w:color="auto"/>
            <w:left w:val="none" w:sz="0" w:space="0" w:color="auto"/>
            <w:bottom w:val="none" w:sz="0" w:space="0" w:color="auto"/>
            <w:right w:val="none" w:sz="0" w:space="0" w:color="auto"/>
          </w:divBdr>
        </w:div>
        <w:div w:id="1183856754">
          <w:marLeft w:val="0"/>
          <w:marRight w:val="0"/>
          <w:marTop w:val="0"/>
          <w:marBottom w:val="0"/>
          <w:divBdr>
            <w:top w:val="none" w:sz="0" w:space="0" w:color="auto"/>
            <w:left w:val="none" w:sz="0" w:space="0" w:color="auto"/>
            <w:bottom w:val="none" w:sz="0" w:space="0" w:color="auto"/>
            <w:right w:val="none" w:sz="0" w:space="0" w:color="auto"/>
          </w:divBdr>
        </w:div>
        <w:div w:id="1196964494">
          <w:marLeft w:val="0"/>
          <w:marRight w:val="0"/>
          <w:marTop w:val="0"/>
          <w:marBottom w:val="0"/>
          <w:divBdr>
            <w:top w:val="none" w:sz="0" w:space="0" w:color="auto"/>
            <w:left w:val="none" w:sz="0" w:space="0" w:color="auto"/>
            <w:bottom w:val="none" w:sz="0" w:space="0" w:color="auto"/>
            <w:right w:val="none" w:sz="0" w:space="0" w:color="auto"/>
          </w:divBdr>
        </w:div>
        <w:div w:id="1203786137">
          <w:marLeft w:val="0"/>
          <w:marRight w:val="0"/>
          <w:marTop w:val="0"/>
          <w:marBottom w:val="0"/>
          <w:divBdr>
            <w:top w:val="none" w:sz="0" w:space="0" w:color="auto"/>
            <w:left w:val="none" w:sz="0" w:space="0" w:color="auto"/>
            <w:bottom w:val="none" w:sz="0" w:space="0" w:color="auto"/>
            <w:right w:val="none" w:sz="0" w:space="0" w:color="auto"/>
          </w:divBdr>
        </w:div>
        <w:div w:id="1274510396">
          <w:marLeft w:val="0"/>
          <w:marRight w:val="0"/>
          <w:marTop w:val="0"/>
          <w:marBottom w:val="0"/>
          <w:divBdr>
            <w:top w:val="none" w:sz="0" w:space="0" w:color="auto"/>
            <w:left w:val="none" w:sz="0" w:space="0" w:color="auto"/>
            <w:bottom w:val="none" w:sz="0" w:space="0" w:color="auto"/>
            <w:right w:val="none" w:sz="0" w:space="0" w:color="auto"/>
          </w:divBdr>
        </w:div>
        <w:div w:id="1280376955">
          <w:marLeft w:val="0"/>
          <w:marRight w:val="0"/>
          <w:marTop w:val="0"/>
          <w:marBottom w:val="0"/>
          <w:divBdr>
            <w:top w:val="none" w:sz="0" w:space="0" w:color="auto"/>
            <w:left w:val="none" w:sz="0" w:space="0" w:color="auto"/>
            <w:bottom w:val="none" w:sz="0" w:space="0" w:color="auto"/>
            <w:right w:val="none" w:sz="0" w:space="0" w:color="auto"/>
          </w:divBdr>
        </w:div>
        <w:div w:id="1287857479">
          <w:marLeft w:val="0"/>
          <w:marRight w:val="0"/>
          <w:marTop w:val="0"/>
          <w:marBottom w:val="0"/>
          <w:divBdr>
            <w:top w:val="none" w:sz="0" w:space="0" w:color="auto"/>
            <w:left w:val="none" w:sz="0" w:space="0" w:color="auto"/>
            <w:bottom w:val="none" w:sz="0" w:space="0" w:color="auto"/>
            <w:right w:val="none" w:sz="0" w:space="0" w:color="auto"/>
          </w:divBdr>
        </w:div>
        <w:div w:id="1293826663">
          <w:marLeft w:val="0"/>
          <w:marRight w:val="0"/>
          <w:marTop w:val="0"/>
          <w:marBottom w:val="0"/>
          <w:divBdr>
            <w:top w:val="none" w:sz="0" w:space="0" w:color="auto"/>
            <w:left w:val="none" w:sz="0" w:space="0" w:color="auto"/>
            <w:bottom w:val="none" w:sz="0" w:space="0" w:color="auto"/>
            <w:right w:val="none" w:sz="0" w:space="0" w:color="auto"/>
          </w:divBdr>
        </w:div>
        <w:div w:id="1301380363">
          <w:marLeft w:val="0"/>
          <w:marRight w:val="0"/>
          <w:marTop w:val="0"/>
          <w:marBottom w:val="0"/>
          <w:divBdr>
            <w:top w:val="none" w:sz="0" w:space="0" w:color="auto"/>
            <w:left w:val="none" w:sz="0" w:space="0" w:color="auto"/>
            <w:bottom w:val="none" w:sz="0" w:space="0" w:color="auto"/>
            <w:right w:val="none" w:sz="0" w:space="0" w:color="auto"/>
          </w:divBdr>
        </w:div>
        <w:div w:id="1321730828">
          <w:marLeft w:val="0"/>
          <w:marRight w:val="0"/>
          <w:marTop w:val="0"/>
          <w:marBottom w:val="0"/>
          <w:divBdr>
            <w:top w:val="none" w:sz="0" w:space="0" w:color="auto"/>
            <w:left w:val="none" w:sz="0" w:space="0" w:color="auto"/>
            <w:bottom w:val="none" w:sz="0" w:space="0" w:color="auto"/>
            <w:right w:val="none" w:sz="0" w:space="0" w:color="auto"/>
          </w:divBdr>
        </w:div>
        <w:div w:id="1341471426">
          <w:marLeft w:val="0"/>
          <w:marRight w:val="0"/>
          <w:marTop w:val="0"/>
          <w:marBottom w:val="0"/>
          <w:divBdr>
            <w:top w:val="none" w:sz="0" w:space="0" w:color="auto"/>
            <w:left w:val="none" w:sz="0" w:space="0" w:color="auto"/>
            <w:bottom w:val="none" w:sz="0" w:space="0" w:color="auto"/>
            <w:right w:val="none" w:sz="0" w:space="0" w:color="auto"/>
          </w:divBdr>
        </w:div>
        <w:div w:id="1346597309">
          <w:marLeft w:val="0"/>
          <w:marRight w:val="0"/>
          <w:marTop w:val="0"/>
          <w:marBottom w:val="0"/>
          <w:divBdr>
            <w:top w:val="none" w:sz="0" w:space="0" w:color="auto"/>
            <w:left w:val="none" w:sz="0" w:space="0" w:color="auto"/>
            <w:bottom w:val="none" w:sz="0" w:space="0" w:color="auto"/>
            <w:right w:val="none" w:sz="0" w:space="0" w:color="auto"/>
          </w:divBdr>
        </w:div>
        <w:div w:id="1352998141">
          <w:marLeft w:val="0"/>
          <w:marRight w:val="0"/>
          <w:marTop w:val="0"/>
          <w:marBottom w:val="0"/>
          <w:divBdr>
            <w:top w:val="none" w:sz="0" w:space="0" w:color="auto"/>
            <w:left w:val="none" w:sz="0" w:space="0" w:color="auto"/>
            <w:bottom w:val="none" w:sz="0" w:space="0" w:color="auto"/>
            <w:right w:val="none" w:sz="0" w:space="0" w:color="auto"/>
          </w:divBdr>
        </w:div>
        <w:div w:id="1363094838">
          <w:marLeft w:val="0"/>
          <w:marRight w:val="0"/>
          <w:marTop w:val="0"/>
          <w:marBottom w:val="0"/>
          <w:divBdr>
            <w:top w:val="none" w:sz="0" w:space="0" w:color="auto"/>
            <w:left w:val="none" w:sz="0" w:space="0" w:color="auto"/>
            <w:bottom w:val="none" w:sz="0" w:space="0" w:color="auto"/>
            <w:right w:val="none" w:sz="0" w:space="0" w:color="auto"/>
          </w:divBdr>
        </w:div>
        <w:div w:id="1364985833">
          <w:marLeft w:val="0"/>
          <w:marRight w:val="0"/>
          <w:marTop w:val="0"/>
          <w:marBottom w:val="0"/>
          <w:divBdr>
            <w:top w:val="none" w:sz="0" w:space="0" w:color="auto"/>
            <w:left w:val="none" w:sz="0" w:space="0" w:color="auto"/>
            <w:bottom w:val="none" w:sz="0" w:space="0" w:color="auto"/>
            <w:right w:val="none" w:sz="0" w:space="0" w:color="auto"/>
          </w:divBdr>
        </w:div>
        <w:div w:id="1372732292">
          <w:marLeft w:val="0"/>
          <w:marRight w:val="0"/>
          <w:marTop w:val="0"/>
          <w:marBottom w:val="0"/>
          <w:divBdr>
            <w:top w:val="none" w:sz="0" w:space="0" w:color="auto"/>
            <w:left w:val="none" w:sz="0" w:space="0" w:color="auto"/>
            <w:bottom w:val="none" w:sz="0" w:space="0" w:color="auto"/>
            <w:right w:val="none" w:sz="0" w:space="0" w:color="auto"/>
          </w:divBdr>
        </w:div>
        <w:div w:id="1389106616">
          <w:marLeft w:val="0"/>
          <w:marRight w:val="0"/>
          <w:marTop w:val="0"/>
          <w:marBottom w:val="0"/>
          <w:divBdr>
            <w:top w:val="none" w:sz="0" w:space="0" w:color="auto"/>
            <w:left w:val="none" w:sz="0" w:space="0" w:color="auto"/>
            <w:bottom w:val="none" w:sz="0" w:space="0" w:color="auto"/>
            <w:right w:val="none" w:sz="0" w:space="0" w:color="auto"/>
          </w:divBdr>
        </w:div>
        <w:div w:id="1505513228">
          <w:marLeft w:val="0"/>
          <w:marRight w:val="0"/>
          <w:marTop w:val="0"/>
          <w:marBottom w:val="0"/>
          <w:divBdr>
            <w:top w:val="none" w:sz="0" w:space="0" w:color="auto"/>
            <w:left w:val="none" w:sz="0" w:space="0" w:color="auto"/>
            <w:bottom w:val="none" w:sz="0" w:space="0" w:color="auto"/>
            <w:right w:val="none" w:sz="0" w:space="0" w:color="auto"/>
          </w:divBdr>
        </w:div>
        <w:div w:id="1552423371">
          <w:marLeft w:val="0"/>
          <w:marRight w:val="0"/>
          <w:marTop w:val="0"/>
          <w:marBottom w:val="0"/>
          <w:divBdr>
            <w:top w:val="none" w:sz="0" w:space="0" w:color="auto"/>
            <w:left w:val="none" w:sz="0" w:space="0" w:color="auto"/>
            <w:bottom w:val="none" w:sz="0" w:space="0" w:color="auto"/>
            <w:right w:val="none" w:sz="0" w:space="0" w:color="auto"/>
          </w:divBdr>
        </w:div>
        <w:div w:id="1567957391">
          <w:marLeft w:val="0"/>
          <w:marRight w:val="0"/>
          <w:marTop w:val="0"/>
          <w:marBottom w:val="0"/>
          <w:divBdr>
            <w:top w:val="none" w:sz="0" w:space="0" w:color="auto"/>
            <w:left w:val="none" w:sz="0" w:space="0" w:color="auto"/>
            <w:bottom w:val="none" w:sz="0" w:space="0" w:color="auto"/>
            <w:right w:val="none" w:sz="0" w:space="0" w:color="auto"/>
          </w:divBdr>
        </w:div>
        <w:div w:id="1636107535">
          <w:marLeft w:val="0"/>
          <w:marRight w:val="0"/>
          <w:marTop w:val="0"/>
          <w:marBottom w:val="0"/>
          <w:divBdr>
            <w:top w:val="none" w:sz="0" w:space="0" w:color="auto"/>
            <w:left w:val="none" w:sz="0" w:space="0" w:color="auto"/>
            <w:bottom w:val="none" w:sz="0" w:space="0" w:color="auto"/>
            <w:right w:val="none" w:sz="0" w:space="0" w:color="auto"/>
          </w:divBdr>
        </w:div>
        <w:div w:id="1645965647">
          <w:marLeft w:val="0"/>
          <w:marRight w:val="0"/>
          <w:marTop w:val="0"/>
          <w:marBottom w:val="0"/>
          <w:divBdr>
            <w:top w:val="none" w:sz="0" w:space="0" w:color="auto"/>
            <w:left w:val="none" w:sz="0" w:space="0" w:color="auto"/>
            <w:bottom w:val="none" w:sz="0" w:space="0" w:color="auto"/>
            <w:right w:val="none" w:sz="0" w:space="0" w:color="auto"/>
          </w:divBdr>
        </w:div>
        <w:div w:id="1650330253">
          <w:marLeft w:val="0"/>
          <w:marRight w:val="0"/>
          <w:marTop w:val="0"/>
          <w:marBottom w:val="0"/>
          <w:divBdr>
            <w:top w:val="none" w:sz="0" w:space="0" w:color="auto"/>
            <w:left w:val="none" w:sz="0" w:space="0" w:color="auto"/>
            <w:bottom w:val="none" w:sz="0" w:space="0" w:color="auto"/>
            <w:right w:val="none" w:sz="0" w:space="0" w:color="auto"/>
          </w:divBdr>
        </w:div>
        <w:div w:id="1657689931">
          <w:marLeft w:val="0"/>
          <w:marRight w:val="0"/>
          <w:marTop w:val="0"/>
          <w:marBottom w:val="0"/>
          <w:divBdr>
            <w:top w:val="none" w:sz="0" w:space="0" w:color="auto"/>
            <w:left w:val="none" w:sz="0" w:space="0" w:color="auto"/>
            <w:bottom w:val="none" w:sz="0" w:space="0" w:color="auto"/>
            <w:right w:val="none" w:sz="0" w:space="0" w:color="auto"/>
          </w:divBdr>
        </w:div>
        <w:div w:id="1705714711">
          <w:marLeft w:val="0"/>
          <w:marRight w:val="0"/>
          <w:marTop w:val="0"/>
          <w:marBottom w:val="0"/>
          <w:divBdr>
            <w:top w:val="none" w:sz="0" w:space="0" w:color="auto"/>
            <w:left w:val="none" w:sz="0" w:space="0" w:color="auto"/>
            <w:bottom w:val="none" w:sz="0" w:space="0" w:color="auto"/>
            <w:right w:val="none" w:sz="0" w:space="0" w:color="auto"/>
          </w:divBdr>
        </w:div>
        <w:div w:id="1728919592">
          <w:marLeft w:val="0"/>
          <w:marRight w:val="0"/>
          <w:marTop w:val="0"/>
          <w:marBottom w:val="0"/>
          <w:divBdr>
            <w:top w:val="none" w:sz="0" w:space="0" w:color="auto"/>
            <w:left w:val="none" w:sz="0" w:space="0" w:color="auto"/>
            <w:bottom w:val="none" w:sz="0" w:space="0" w:color="auto"/>
            <w:right w:val="none" w:sz="0" w:space="0" w:color="auto"/>
          </w:divBdr>
        </w:div>
        <w:div w:id="1740858115">
          <w:marLeft w:val="0"/>
          <w:marRight w:val="0"/>
          <w:marTop w:val="0"/>
          <w:marBottom w:val="0"/>
          <w:divBdr>
            <w:top w:val="none" w:sz="0" w:space="0" w:color="auto"/>
            <w:left w:val="none" w:sz="0" w:space="0" w:color="auto"/>
            <w:bottom w:val="none" w:sz="0" w:space="0" w:color="auto"/>
            <w:right w:val="none" w:sz="0" w:space="0" w:color="auto"/>
          </w:divBdr>
        </w:div>
        <w:div w:id="1755125491">
          <w:marLeft w:val="0"/>
          <w:marRight w:val="0"/>
          <w:marTop w:val="0"/>
          <w:marBottom w:val="0"/>
          <w:divBdr>
            <w:top w:val="none" w:sz="0" w:space="0" w:color="auto"/>
            <w:left w:val="none" w:sz="0" w:space="0" w:color="auto"/>
            <w:bottom w:val="none" w:sz="0" w:space="0" w:color="auto"/>
            <w:right w:val="none" w:sz="0" w:space="0" w:color="auto"/>
          </w:divBdr>
        </w:div>
        <w:div w:id="1758945260">
          <w:marLeft w:val="0"/>
          <w:marRight w:val="0"/>
          <w:marTop w:val="0"/>
          <w:marBottom w:val="0"/>
          <w:divBdr>
            <w:top w:val="none" w:sz="0" w:space="0" w:color="auto"/>
            <w:left w:val="none" w:sz="0" w:space="0" w:color="auto"/>
            <w:bottom w:val="none" w:sz="0" w:space="0" w:color="auto"/>
            <w:right w:val="none" w:sz="0" w:space="0" w:color="auto"/>
          </w:divBdr>
        </w:div>
        <w:div w:id="1775830032">
          <w:marLeft w:val="0"/>
          <w:marRight w:val="0"/>
          <w:marTop w:val="0"/>
          <w:marBottom w:val="0"/>
          <w:divBdr>
            <w:top w:val="none" w:sz="0" w:space="0" w:color="auto"/>
            <w:left w:val="none" w:sz="0" w:space="0" w:color="auto"/>
            <w:bottom w:val="none" w:sz="0" w:space="0" w:color="auto"/>
            <w:right w:val="none" w:sz="0" w:space="0" w:color="auto"/>
          </w:divBdr>
        </w:div>
        <w:div w:id="1800221259">
          <w:marLeft w:val="0"/>
          <w:marRight w:val="0"/>
          <w:marTop w:val="0"/>
          <w:marBottom w:val="0"/>
          <w:divBdr>
            <w:top w:val="none" w:sz="0" w:space="0" w:color="auto"/>
            <w:left w:val="none" w:sz="0" w:space="0" w:color="auto"/>
            <w:bottom w:val="none" w:sz="0" w:space="0" w:color="auto"/>
            <w:right w:val="none" w:sz="0" w:space="0" w:color="auto"/>
          </w:divBdr>
        </w:div>
        <w:div w:id="1867908263">
          <w:marLeft w:val="0"/>
          <w:marRight w:val="0"/>
          <w:marTop w:val="0"/>
          <w:marBottom w:val="0"/>
          <w:divBdr>
            <w:top w:val="none" w:sz="0" w:space="0" w:color="auto"/>
            <w:left w:val="none" w:sz="0" w:space="0" w:color="auto"/>
            <w:bottom w:val="none" w:sz="0" w:space="0" w:color="auto"/>
            <w:right w:val="none" w:sz="0" w:space="0" w:color="auto"/>
          </w:divBdr>
        </w:div>
        <w:div w:id="1879538996">
          <w:marLeft w:val="0"/>
          <w:marRight w:val="0"/>
          <w:marTop w:val="0"/>
          <w:marBottom w:val="0"/>
          <w:divBdr>
            <w:top w:val="none" w:sz="0" w:space="0" w:color="auto"/>
            <w:left w:val="none" w:sz="0" w:space="0" w:color="auto"/>
            <w:bottom w:val="none" w:sz="0" w:space="0" w:color="auto"/>
            <w:right w:val="none" w:sz="0" w:space="0" w:color="auto"/>
          </w:divBdr>
        </w:div>
        <w:div w:id="1899437295">
          <w:marLeft w:val="0"/>
          <w:marRight w:val="0"/>
          <w:marTop w:val="0"/>
          <w:marBottom w:val="0"/>
          <w:divBdr>
            <w:top w:val="none" w:sz="0" w:space="0" w:color="auto"/>
            <w:left w:val="none" w:sz="0" w:space="0" w:color="auto"/>
            <w:bottom w:val="none" w:sz="0" w:space="0" w:color="auto"/>
            <w:right w:val="none" w:sz="0" w:space="0" w:color="auto"/>
          </w:divBdr>
        </w:div>
        <w:div w:id="1906796639">
          <w:marLeft w:val="0"/>
          <w:marRight w:val="0"/>
          <w:marTop w:val="0"/>
          <w:marBottom w:val="0"/>
          <w:divBdr>
            <w:top w:val="none" w:sz="0" w:space="0" w:color="auto"/>
            <w:left w:val="none" w:sz="0" w:space="0" w:color="auto"/>
            <w:bottom w:val="none" w:sz="0" w:space="0" w:color="auto"/>
            <w:right w:val="none" w:sz="0" w:space="0" w:color="auto"/>
          </w:divBdr>
        </w:div>
        <w:div w:id="1974826082">
          <w:marLeft w:val="0"/>
          <w:marRight w:val="0"/>
          <w:marTop w:val="0"/>
          <w:marBottom w:val="0"/>
          <w:divBdr>
            <w:top w:val="none" w:sz="0" w:space="0" w:color="auto"/>
            <w:left w:val="none" w:sz="0" w:space="0" w:color="auto"/>
            <w:bottom w:val="none" w:sz="0" w:space="0" w:color="auto"/>
            <w:right w:val="none" w:sz="0" w:space="0" w:color="auto"/>
          </w:divBdr>
        </w:div>
        <w:div w:id="1976904761">
          <w:marLeft w:val="0"/>
          <w:marRight w:val="0"/>
          <w:marTop w:val="0"/>
          <w:marBottom w:val="0"/>
          <w:divBdr>
            <w:top w:val="none" w:sz="0" w:space="0" w:color="auto"/>
            <w:left w:val="none" w:sz="0" w:space="0" w:color="auto"/>
            <w:bottom w:val="none" w:sz="0" w:space="0" w:color="auto"/>
            <w:right w:val="none" w:sz="0" w:space="0" w:color="auto"/>
          </w:divBdr>
        </w:div>
        <w:div w:id="2000889287">
          <w:marLeft w:val="0"/>
          <w:marRight w:val="0"/>
          <w:marTop w:val="0"/>
          <w:marBottom w:val="0"/>
          <w:divBdr>
            <w:top w:val="none" w:sz="0" w:space="0" w:color="auto"/>
            <w:left w:val="none" w:sz="0" w:space="0" w:color="auto"/>
            <w:bottom w:val="none" w:sz="0" w:space="0" w:color="auto"/>
            <w:right w:val="none" w:sz="0" w:space="0" w:color="auto"/>
          </w:divBdr>
        </w:div>
        <w:div w:id="2005861903">
          <w:marLeft w:val="0"/>
          <w:marRight w:val="0"/>
          <w:marTop w:val="0"/>
          <w:marBottom w:val="0"/>
          <w:divBdr>
            <w:top w:val="none" w:sz="0" w:space="0" w:color="auto"/>
            <w:left w:val="none" w:sz="0" w:space="0" w:color="auto"/>
            <w:bottom w:val="none" w:sz="0" w:space="0" w:color="auto"/>
            <w:right w:val="none" w:sz="0" w:space="0" w:color="auto"/>
          </w:divBdr>
        </w:div>
        <w:div w:id="2012679419">
          <w:marLeft w:val="0"/>
          <w:marRight w:val="0"/>
          <w:marTop w:val="0"/>
          <w:marBottom w:val="0"/>
          <w:divBdr>
            <w:top w:val="none" w:sz="0" w:space="0" w:color="auto"/>
            <w:left w:val="none" w:sz="0" w:space="0" w:color="auto"/>
            <w:bottom w:val="none" w:sz="0" w:space="0" w:color="auto"/>
            <w:right w:val="none" w:sz="0" w:space="0" w:color="auto"/>
          </w:divBdr>
        </w:div>
        <w:div w:id="2014064592">
          <w:marLeft w:val="0"/>
          <w:marRight w:val="0"/>
          <w:marTop w:val="0"/>
          <w:marBottom w:val="0"/>
          <w:divBdr>
            <w:top w:val="none" w:sz="0" w:space="0" w:color="auto"/>
            <w:left w:val="none" w:sz="0" w:space="0" w:color="auto"/>
            <w:bottom w:val="none" w:sz="0" w:space="0" w:color="auto"/>
            <w:right w:val="none" w:sz="0" w:space="0" w:color="auto"/>
          </w:divBdr>
        </w:div>
        <w:div w:id="2028747976">
          <w:marLeft w:val="0"/>
          <w:marRight w:val="0"/>
          <w:marTop w:val="0"/>
          <w:marBottom w:val="0"/>
          <w:divBdr>
            <w:top w:val="none" w:sz="0" w:space="0" w:color="auto"/>
            <w:left w:val="none" w:sz="0" w:space="0" w:color="auto"/>
            <w:bottom w:val="none" w:sz="0" w:space="0" w:color="auto"/>
            <w:right w:val="none" w:sz="0" w:space="0" w:color="auto"/>
          </w:divBdr>
        </w:div>
        <w:div w:id="2094816283">
          <w:marLeft w:val="0"/>
          <w:marRight w:val="0"/>
          <w:marTop w:val="0"/>
          <w:marBottom w:val="0"/>
          <w:divBdr>
            <w:top w:val="none" w:sz="0" w:space="0" w:color="auto"/>
            <w:left w:val="none" w:sz="0" w:space="0" w:color="auto"/>
            <w:bottom w:val="none" w:sz="0" w:space="0" w:color="auto"/>
            <w:right w:val="none" w:sz="0" w:space="0" w:color="auto"/>
          </w:divBdr>
        </w:div>
        <w:div w:id="2140488770">
          <w:marLeft w:val="0"/>
          <w:marRight w:val="0"/>
          <w:marTop w:val="0"/>
          <w:marBottom w:val="0"/>
          <w:divBdr>
            <w:top w:val="none" w:sz="0" w:space="0" w:color="auto"/>
            <w:left w:val="none" w:sz="0" w:space="0" w:color="auto"/>
            <w:bottom w:val="none" w:sz="0" w:space="0" w:color="auto"/>
            <w:right w:val="none" w:sz="0" w:space="0" w:color="auto"/>
          </w:divBdr>
        </w:div>
      </w:divsChild>
    </w:div>
    <w:div w:id="2041125764">
      <w:bodyDiv w:val="1"/>
      <w:marLeft w:val="0"/>
      <w:marRight w:val="0"/>
      <w:marTop w:val="0"/>
      <w:marBottom w:val="0"/>
      <w:divBdr>
        <w:top w:val="none" w:sz="0" w:space="0" w:color="auto"/>
        <w:left w:val="none" w:sz="0" w:space="0" w:color="auto"/>
        <w:bottom w:val="none" w:sz="0" w:space="0" w:color="auto"/>
        <w:right w:val="none" w:sz="0" w:space="0" w:color="auto"/>
      </w:divBdr>
    </w:div>
    <w:div w:id="2043088761">
      <w:bodyDiv w:val="1"/>
      <w:marLeft w:val="0"/>
      <w:marRight w:val="0"/>
      <w:marTop w:val="0"/>
      <w:marBottom w:val="0"/>
      <w:divBdr>
        <w:top w:val="none" w:sz="0" w:space="0" w:color="auto"/>
        <w:left w:val="none" w:sz="0" w:space="0" w:color="auto"/>
        <w:bottom w:val="none" w:sz="0" w:space="0" w:color="auto"/>
        <w:right w:val="none" w:sz="0" w:space="0" w:color="auto"/>
      </w:divBdr>
    </w:div>
    <w:div w:id="2049867238">
      <w:bodyDiv w:val="1"/>
      <w:marLeft w:val="0"/>
      <w:marRight w:val="0"/>
      <w:marTop w:val="0"/>
      <w:marBottom w:val="0"/>
      <w:divBdr>
        <w:top w:val="none" w:sz="0" w:space="0" w:color="auto"/>
        <w:left w:val="none" w:sz="0" w:space="0" w:color="auto"/>
        <w:bottom w:val="none" w:sz="0" w:space="0" w:color="auto"/>
        <w:right w:val="none" w:sz="0" w:space="0" w:color="auto"/>
      </w:divBdr>
    </w:div>
    <w:div w:id="2051756801">
      <w:bodyDiv w:val="1"/>
      <w:marLeft w:val="0"/>
      <w:marRight w:val="0"/>
      <w:marTop w:val="0"/>
      <w:marBottom w:val="0"/>
      <w:divBdr>
        <w:top w:val="none" w:sz="0" w:space="0" w:color="auto"/>
        <w:left w:val="none" w:sz="0" w:space="0" w:color="auto"/>
        <w:bottom w:val="none" w:sz="0" w:space="0" w:color="auto"/>
        <w:right w:val="none" w:sz="0" w:space="0" w:color="auto"/>
      </w:divBdr>
    </w:div>
    <w:div w:id="2066220296">
      <w:bodyDiv w:val="1"/>
      <w:marLeft w:val="0"/>
      <w:marRight w:val="0"/>
      <w:marTop w:val="0"/>
      <w:marBottom w:val="0"/>
      <w:divBdr>
        <w:top w:val="none" w:sz="0" w:space="0" w:color="auto"/>
        <w:left w:val="none" w:sz="0" w:space="0" w:color="auto"/>
        <w:bottom w:val="none" w:sz="0" w:space="0" w:color="auto"/>
        <w:right w:val="none" w:sz="0" w:space="0" w:color="auto"/>
      </w:divBdr>
    </w:div>
    <w:div w:id="2067558465">
      <w:bodyDiv w:val="1"/>
      <w:marLeft w:val="0"/>
      <w:marRight w:val="0"/>
      <w:marTop w:val="0"/>
      <w:marBottom w:val="0"/>
      <w:divBdr>
        <w:top w:val="none" w:sz="0" w:space="0" w:color="auto"/>
        <w:left w:val="none" w:sz="0" w:space="0" w:color="auto"/>
        <w:bottom w:val="none" w:sz="0" w:space="0" w:color="auto"/>
        <w:right w:val="none" w:sz="0" w:space="0" w:color="auto"/>
      </w:divBdr>
    </w:div>
    <w:div w:id="2068913210">
      <w:bodyDiv w:val="1"/>
      <w:marLeft w:val="0"/>
      <w:marRight w:val="0"/>
      <w:marTop w:val="0"/>
      <w:marBottom w:val="0"/>
      <w:divBdr>
        <w:top w:val="none" w:sz="0" w:space="0" w:color="auto"/>
        <w:left w:val="none" w:sz="0" w:space="0" w:color="auto"/>
        <w:bottom w:val="none" w:sz="0" w:space="0" w:color="auto"/>
        <w:right w:val="none" w:sz="0" w:space="0" w:color="auto"/>
      </w:divBdr>
    </w:div>
    <w:div w:id="2071540639">
      <w:bodyDiv w:val="1"/>
      <w:marLeft w:val="0"/>
      <w:marRight w:val="0"/>
      <w:marTop w:val="0"/>
      <w:marBottom w:val="0"/>
      <w:divBdr>
        <w:top w:val="none" w:sz="0" w:space="0" w:color="auto"/>
        <w:left w:val="none" w:sz="0" w:space="0" w:color="auto"/>
        <w:bottom w:val="none" w:sz="0" w:space="0" w:color="auto"/>
        <w:right w:val="none" w:sz="0" w:space="0" w:color="auto"/>
      </w:divBdr>
    </w:div>
    <w:div w:id="2074622309">
      <w:bodyDiv w:val="1"/>
      <w:marLeft w:val="0"/>
      <w:marRight w:val="0"/>
      <w:marTop w:val="0"/>
      <w:marBottom w:val="0"/>
      <w:divBdr>
        <w:top w:val="none" w:sz="0" w:space="0" w:color="auto"/>
        <w:left w:val="none" w:sz="0" w:space="0" w:color="auto"/>
        <w:bottom w:val="none" w:sz="0" w:space="0" w:color="auto"/>
        <w:right w:val="none" w:sz="0" w:space="0" w:color="auto"/>
      </w:divBdr>
    </w:div>
    <w:div w:id="2075733552">
      <w:bodyDiv w:val="1"/>
      <w:marLeft w:val="0"/>
      <w:marRight w:val="0"/>
      <w:marTop w:val="0"/>
      <w:marBottom w:val="0"/>
      <w:divBdr>
        <w:top w:val="none" w:sz="0" w:space="0" w:color="auto"/>
        <w:left w:val="none" w:sz="0" w:space="0" w:color="auto"/>
        <w:bottom w:val="none" w:sz="0" w:space="0" w:color="auto"/>
        <w:right w:val="none" w:sz="0" w:space="0" w:color="auto"/>
      </w:divBdr>
    </w:div>
    <w:div w:id="2075734843">
      <w:bodyDiv w:val="1"/>
      <w:marLeft w:val="0"/>
      <w:marRight w:val="0"/>
      <w:marTop w:val="0"/>
      <w:marBottom w:val="0"/>
      <w:divBdr>
        <w:top w:val="none" w:sz="0" w:space="0" w:color="auto"/>
        <w:left w:val="none" w:sz="0" w:space="0" w:color="auto"/>
        <w:bottom w:val="none" w:sz="0" w:space="0" w:color="auto"/>
        <w:right w:val="none" w:sz="0" w:space="0" w:color="auto"/>
      </w:divBdr>
      <w:divsChild>
        <w:div w:id="305550070">
          <w:marLeft w:val="0"/>
          <w:marRight w:val="0"/>
          <w:marTop w:val="0"/>
          <w:marBottom w:val="0"/>
          <w:divBdr>
            <w:top w:val="none" w:sz="0" w:space="0" w:color="auto"/>
            <w:left w:val="none" w:sz="0" w:space="0" w:color="auto"/>
            <w:bottom w:val="none" w:sz="0" w:space="0" w:color="auto"/>
            <w:right w:val="none" w:sz="0" w:space="0" w:color="auto"/>
          </w:divBdr>
        </w:div>
        <w:div w:id="459497738">
          <w:marLeft w:val="0"/>
          <w:marRight w:val="0"/>
          <w:marTop w:val="0"/>
          <w:marBottom w:val="0"/>
          <w:divBdr>
            <w:top w:val="none" w:sz="0" w:space="0" w:color="auto"/>
            <w:left w:val="none" w:sz="0" w:space="0" w:color="auto"/>
            <w:bottom w:val="none" w:sz="0" w:space="0" w:color="auto"/>
            <w:right w:val="none" w:sz="0" w:space="0" w:color="auto"/>
          </w:divBdr>
        </w:div>
        <w:div w:id="757557238">
          <w:marLeft w:val="0"/>
          <w:marRight w:val="0"/>
          <w:marTop w:val="0"/>
          <w:marBottom w:val="0"/>
          <w:divBdr>
            <w:top w:val="none" w:sz="0" w:space="0" w:color="auto"/>
            <w:left w:val="none" w:sz="0" w:space="0" w:color="auto"/>
            <w:bottom w:val="none" w:sz="0" w:space="0" w:color="auto"/>
            <w:right w:val="none" w:sz="0" w:space="0" w:color="auto"/>
          </w:divBdr>
        </w:div>
        <w:div w:id="1513912603">
          <w:marLeft w:val="0"/>
          <w:marRight w:val="0"/>
          <w:marTop w:val="0"/>
          <w:marBottom w:val="0"/>
          <w:divBdr>
            <w:top w:val="none" w:sz="0" w:space="0" w:color="auto"/>
            <w:left w:val="none" w:sz="0" w:space="0" w:color="auto"/>
            <w:bottom w:val="none" w:sz="0" w:space="0" w:color="auto"/>
            <w:right w:val="none" w:sz="0" w:space="0" w:color="auto"/>
          </w:divBdr>
        </w:div>
        <w:div w:id="1594705509">
          <w:marLeft w:val="0"/>
          <w:marRight w:val="0"/>
          <w:marTop w:val="0"/>
          <w:marBottom w:val="0"/>
          <w:divBdr>
            <w:top w:val="none" w:sz="0" w:space="0" w:color="auto"/>
            <w:left w:val="none" w:sz="0" w:space="0" w:color="auto"/>
            <w:bottom w:val="none" w:sz="0" w:space="0" w:color="auto"/>
            <w:right w:val="none" w:sz="0" w:space="0" w:color="auto"/>
          </w:divBdr>
        </w:div>
        <w:div w:id="1950089346">
          <w:marLeft w:val="0"/>
          <w:marRight w:val="0"/>
          <w:marTop w:val="0"/>
          <w:marBottom w:val="0"/>
          <w:divBdr>
            <w:top w:val="none" w:sz="0" w:space="0" w:color="auto"/>
            <w:left w:val="none" w:sz="0" w:space="0" w:color="auto"/>
            <w:bottom w:val="none" w:sz="0" w:space="0" w:color="auto"/>
            <w:right w:val="none" w:sz="0" w:space="0" w:color="auto"/>
          </w:divBdr>
        </w:div>
      </w:divsChild>
    </w:div>
    <w:div w:id="2076664218">
      <w:bodyDiv w:val="1"/>
      <w:marLeft w:val="0"/>
      <w:marRight w:val="0"/>
      <w:marTop w:val="0"/>
      <w:marBottom w:val="0"/>
      <w:divBdr>
        <w:top w:val="none" w:sz="0" w:space="0" w:color="auto"/>
        <w:left w:val="none" w:sz="0" w:space="0" w:color="auto"/>
        <w:bottom w:val="none" w:sz="0" w:space="0" w:color="auto"/>
        <w:right w:val="none" w:sz="0" w:space="0" w:color="auto"/>
      </w:divBdr>
    </w:div>
    <w:div w:id="2082562089">
      <w:bodyDiv w:val="1"/>
      <w:marLeft w:val="0"/>
      <w:marRight w:val="0"/>
      <w:marTop w:val="0"/>
      <w:marBottom w:val="0"/>
      <w:divBdr>
        <w:top w:val="none" w:sz="0" w:space="0" w:color="auto"/>
        <w:left w:val="none" w:sz="0" w:space="0" w:color="auto"/>
        <w:bottom w:val="none" w:sz="0" w:space="0" w:color="auto"/>
        <w:right w:val="none" w:sz="0" w:space="0" w:color="auto"/>
      </w:divBdr>
    </w:div>
    <w:div w:id="2092921198">
      <w:bodyDiv w:val="1"/>
      <w:marLeft w:val="0"/>
      <w:marRight w:val="0"/>
      <w:marTop w:val="0"/>
      <w:marBottom w:val="0"/>
      <w:divBdr>
        <w:top w:val="none" w:sz="0" w:space="0" w:color="auto"/>
        <w:left w:val="none" w:sz="0" w:space="0" w:color="auto"/>
        <w:bottom w:val="none" w:sz="0" w:space="0" w:color="auto"/>
        <w:right w:val="none" w:sz="0" w:space="0" w:color="auto"/>
      </w:divBdr>
    </w:div>
    <w:div w:id="2100827662">
      <w:bodyDiv w:val="1"/>
      <w:marLeft w:val="0"/>
      <w:marRight w:val="0"/>
      <w:marTop w:val="0"/>
      <w:marBottom w:val="0"/>
      <w:divBdr>
        <w:top w:val="none" w:sz="0" w:space="0" w:color="auto"/>
        <w:left w:val="none" w:sz="0" w:space="0" w:color="auto"/>
        <w:bottom w:val="none" w:sz="0" w:space="0" w:color="auto"/>
        <w:right w:val="none" w:sz="0" w:space="0" w:color="auto"/>
      </w:divBdr>
    </w:div>
    <w:div w:id="2111536178">
      <w:bodyDiv w:val="1"/>
      <w:marLeft w:val="0"/>
      <w:marRight w:val="0"/>
      <w:marTop w:val="0"/>
      <w:marBottom w:val="0"/>
      <w:divBdr>
        <w:top w:val="none" w:sz="0" w:space="0" w:color="auto"/>
        <w:left w:val="none" w:sz="0" w:space="0" w:color="auto"/>
        <w:bottom w:val="none" w:sz="0" w:space="0" w:color="auto"/>
        <w:right w:val="none" w:sz="0" w:space="0" w:color="auto"/>
      </w:divBdr>
    </w:div>
    <w:div w:id="2113547447">
      <w:bodyDiv w:val="1"/>
      <w:marLeft w:val="0"/>
      <w:marRight w:val="0"/>
      <w:marTop w:val="0"/>
      <w:marBottom w:val="0"/>
      <w:divBdr>
        <w:top w:val="none" w:sz="0" w:space="0" w:color="auto"/>
        <w:left w:val="none" w:sz="0" w:space="0" w:color="auto"/>
        <w:bottom w:val="none" w:sz="0" w:space="0" w:color="auto"/>
        <w:right w:val="none" w:sz="0" w:space="0" w:color="auto"/>
      </w:divBdr>
    </w:div>
    <w:div w:id="2120904137">
      <w:bodyDiv w:val="1"/>
      <w:marLeft w:val="0"/>
      <w:marRight w:val="0"/>
      <w:marTop w:val="0"/>
      <w:marBottom w:val="0"/>
      <w:divBdr>
        <w:top w:val="none" w:sz="0" w:space="0" w:color="auto"/>
        <w:left w:val="none" w:sz="0" w:space="0" w:color="auto"/>
        <w:bottom w:val="none" w:sz="0" w:space="0" w:color="auto"/>
        <w:right w:val="none" w:sz="0" w:space="0" w:color="auto"/>
      </w:divBdr>
    </w:div>
    <w:div w:id="2128111714">
      <w:bodyDiv w:val="1"/>
      <w:marLeft w:val="0"/>
      <w:marRight w:val="0"/>
      <w:marTop w:val="0"/>
      <w:marBottom w:val="0"/>
      <w:divBdr>
        <w:top w:val="none" w:sz="0" w:space="0" w:color="auto"/>
        <w:left w:val="none" w:sz="0" w:space="0" w:color="auto"/>
        <w:bottom w:val="none" w:sz="0" w:space="0" w:color="auto"/>
        <w:right w:val="none" w:sz="0" w:space="0" w:color="auto"/>
      </w:divBdr>
    </w:div>
    <w:div w:id="2134129339">
      <w:bodyDiv w:val="1"/>
      <w:marLeft w:val="0"/>
      <w:marRight w:val="0"/>
      <w:marTop w:val="0"/>
      <w:marBottom w:val="0"/>
      <w:divBdr>
        <w:top w:val="none" w:sz="0" w:space="0" w:color="auto"/>
        <w:left w:val="none" w:sz="0" w:space="0" w:color="auto"/>
        <w:bottom w:val="none" w:sz="0" w:space="0" w:color="auto"/>
        <w:right w:val="none" w:sz="0" w:space="0" w:color="auto"/>
      </w:divBdr>
    </w:div>
    <w:div w:id="2136025765">
      <w:bodyDiv w:val="1"/>
      <w:marLeft w:val="0"/>
      <w:marRight w:val="0"/>
      <w:marTop w:val="0"/>
      <w:marBottom w:val="0"/>
      <w:divBdr>
        <w:top w:val="none" w:sz="0" w:space="0" w:color="auto"/>
        <w:left w:val="none" w:sz="0" w:space="0" w:color="auto"/>
        <w:bottom w:val="none" w:sz="0" w:space="0" w:color="auto"/>
        <w:right w:val="none" w:sz="0" w:space="0" w:color="auto"/>
      </w:divBdr>
    </w:div>
    <w:div w:id="2137485263">
      <w:bodyDiv w:val="1"/>
      <w:marLeft w:val="0"/>
      <w:marRight w:val="0"/>
      <w:marTop w:val="0"/>
      <w:marBottom w:val="0"/>
      <w:divBdr>
        <w:top w:val="none" w:sz="0" w:space="0" w:color="auto"/>
        <w:left w:val="none" w:sz="0" w:space="0" w:color="auto"/>
        <w:bottom w:val="none" w:sz="0" w:space="0" w:color="auto"/>
        <w:right w:val="none" w:sz="0" w:space="0" w:color="auto"/>
      </w:divBdr>
    </w:div>
    <w:div w:id="2138791792">
      <w:bodyDiv w:val="1"/>
      <w:marLeft w:val="0"/>
      <w:marRight w:val="0"/>
      <w:marTop w:val="0"/>
      <w:marBottom w:val="0"/>
      <w:divBdr>
        <w:top w:val="none" w:sz="0" w:space="0" w:color="auto"/>
        <w:left w:val="none" w:sz="0" w:space="0" w:color="auto"/>
        <w:bottom w:val="none" w:sz="0" w:space="0" w:color="auto"/>
        <w:right w:val="none" w:sz="0" w:space="0" w:color="auto"/>
      </w:divBdr>
    </w:div>
    <w:div w:id="214264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6.xml"/><Relationship Id="rId21" Type="http://schemas.openxmlformats.org/officeDocument/2006/relationships/image" Target="media/image2.png"/><Relationship Id="rId34" Type="http://schemas.openxmlformats.org/officeDocument/2006/relationships/chart" Target="charts/chart13.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28.xml"/><Relationship Id="rId63" Type="http://schemas.openxmlformats.org/officeDocument/2006/relationships/hyperlink" Target="http://embuild.eu/knowledge-center/data-analysis/" TargetMode="External"/><Relationship Id="rId68" Type="http://schemas.openxmlformats.org/officeDocument/2006/relationships/hyperlink" Target="http://www.betalt.lt/data/public/uploads/2018/10/info-leidinys-apie-techn.prieziura.pdf" TargetMode="Externa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s://www.eea.europa.eu/data-and-maps/figures/trend-in-heating-and-cooling-1" TargetMode="Externa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image" Target="media/image7.png"/><Relationship Id="rId58" Type="http://schemas.openxmlformats.org/officeDocument/2006/relationships/chart" Target="charts/chart31.xml"/><Relationship Id="rId66" Type="http://schemas.openxmlformats.org/officeDocument/2006/relationships/hyperlink" Target="https://e3p.jrc.ec.europa.eu/sites/default/files/documents/publications/jrc113301_jrc113301_reportononestopshop_2017_v12_pubsy_science_for_policy_.pdf"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chart" Target="charts/chart7.xml"/><Relationship Id="rId36" Type="http://schemas.openxmlformats.org/officeDocument/2006/relationships/image" Target="media/image5.png"/><Relationship Id="rId49" Type="http://schemas.openxmlformats.org/officeDocument/2006/relationships/chart" Target="charts/chart26.xml"/><Relationship Id="rId57" Type="http://schemas.openxmlformats.org/officeDocument/2006/relationships/chart" Target="charts/chart30.xml"/><Relationship Id="rId61" Type="http://schemas.openxmlformats.org/officeDocument/2006/relationships/chart" Target="charts/chart34.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21.xml"/><Relationship Id="rId52" Type="http://schemas.openxmlformats.org/officeDocument/2006/relationships/hyperlink" Target="https://ismaniejiskaitikliai.lt/" TargetMode="External"/><Relationship Id="rId60" Type="http://schemas.openxmlformats.org/officeDocument/2006/relationships/chart" Target="charts/chart33.xml"/><Relationship Id="rId65" Type="http://schemas.openxmlformats.org/officeDocument/2006/relationships/hyperlink" Target="https://www.drive0.e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29.xml"/><Relationship Id="rId64" Type="http://schemas.openxmlformats.org/officeDocument/2006/relationships/hyperlink" Target="https://www.apva.lt/lietuvoje-individualiu-namu-modernizavimo-bumas-virs-730-gyventoju-paraisku-kompensacijoms-gauti/" TargetMode="External"/><Relationship Id="rId69" Type="http://schemas.openxmlformats.org/officeDocument/2006/relationships/hyperlink" Target="https://epilietis.lrv.lt/lt/konsultacijos/viesoji-konsultacija-del-lietuvos-ilgalaikes-renovacijos-strategijos"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2.xml"/><Relationship Id="rId67" Type="http://schemas.openxmlformats.org/officeDocument/2006/relationships/hyperlink" Target="http://citynvest.eu/sites/default/files/library-documents/RenoWatt%20Toolkit%20disclaimer%2004.01.17.pdf" TargetMode="External"/><Relationship Id="rId20" Type="http://schemas.openxmlformats.org/officeDocument/2006/relationships/image" Target="media/image1.png"/><Relationship Id="rId41" Type="http://schemas.openxmlformats.org/officeDocument/2006/relationships/chart" Target="charts/chart18.xml"/><Relationship Id="rId54" Type="http://schemas.openxmlformats.org/officeDocument/2006/relationships/image" Target="media/image8.png"/><Relationship Id="rId62" Type="http://schemas.openxmlformats.org/officeDocument/2006/relationships/hyperlink" Target="https://maps.vilnius.lt/pastatai" TargetMode="External"/><Relationship Id="rId70" Type="http://schemas.openxmlformats.org/officeDocument/2006/relationships/hyperlink" Target="https://epilietis.lrv.lt/lt/konsultacijos/viesoji-konsultacija-gauti-pasiulymus-lietuvos-ilgalaikei-renovacijos-strategija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webpub/eca/special-reports/energy-efficiency-11-2020/lt/index.html" TargetMode="External"/><Relationship Id="rId13" Type="http://schemas.openxmlformats.org/officeDocument/2006/relationships/hyperlink" Target="https://www.lzpt.lt/" TargetMode="External"/><Relationship Id="rId18" Type="http://schemas.openxmlformats.org/officeDocument/2006/relationships/hyperlink" Target="http://kurklt.lt/wp-content/uploads/2019/04/DI_strategija_LT_koreguota.pdf" TargetMode="External"/><Relationship Id="rId26" Type="http://schemas.openxmlformats.org/officeDocument/2006/relationships/hyperlink" Target="https://www.ober-haus.lt/rinkos_apzvalga/nekilnojamojo-turto-kainos-2020-m-geguzes-men/" TargetMode="External"/><Relationship Id="rId3" Type="http://schemas.openxmlformats.org/officeDocument/2006/relationships/hyperlink" Target="https://ec.europa.eu/energy/studies/comprehensive-study-building-energy-renovation-activities-and-uptake-nearly-zero-energy_en" TargetMode="External"/><Relationship Id="rId21" Type="http://schemas.openxmlformats.org/officeDocument/2006/relationships/hyperlink" Target="https://www.embuild.eu/knowledge-center/wider-benefits/" TargetMode="External"/><Relationship Id="rId7" Type="http://schemas.openxmlformats.org/officeDocument/2006/relationships/hyperlink" Target="https://eur-lex.europa.eu/legal-content/EN/TXT/PDF/?uri=CELEX:52016SC0414&amp;from=EN" TargetMode="External"/><Relationship Id="rId12" Type="http://schemas.openxmlformats.org/officeDocument/2006/relationships/hyperlink" Target="https://e-seimas.lrs.lt/portal/legalAct/lt/TAD/c1259440f7dd11eab72ddb4a109da1b5?jfwid=-whxwii77y" TargetMode="External"/><Relationship Id="rId17" Type="http://schemas.openxmlformats.org/officeDocument/2006/relationships/hyperlink" Target="https://webgate.ec.europa.eu/dashboard/sense/app/a976d168-2023-41d8-acec-e77640154726/sheet/0c8af38b-b73c-4da2-ba41-73ea34ab7ac4/state/0" TargetMode="External"/><Relationship Id="rId25" Type="http://schemas.openxmlformats.org/officeDocument/2006/relationships/hyperlink" Target="https://www.copenhageneconomics.com/publications/publication/multiple-benefits-of-investing-in-energy-efficient-renovation-of-buildings" TargetMode="External"/><Relationship Id="rId2" Type="http://schemas.openxmlformats.org/officeDocument/2006/relationships/hyperlink" Target="https://www.spsc.lt/cms/index.php?option=com_content&amp;view=article&amp;id=57&amp;Itemid=331&amp;lang=lt" TargetMode="External"/><Relationship Id="rId16" Type="http://schemas.openxmlformats.org/officeDocument/2006/relationships/hyperlink" Target="http://www.nmva.smm.lt/wp-content/uploads/2019/10/Svietimo-bukles-apzvalga-2019-web.pdf" TargetMode="External"/><Relationship Id="rId20" Type="http://schemas.openxmlformats.org/officeDocument/2006/relationships/hyperlink" Target="https://ec.europa.eu/info/strategy/priorities-2019-2024/european-green-deal_en" TargetMode="External"/><Relationship Id="rId29" Type="http://schemas.openxmlformats.org/officeDocument/2006/relationships/hyperlink" Target="http://publications.jrc.ec.europa.eu/repository/bitstream/JRC118815/jrc118815.pdf" TargetMode="External"/><Relationship Id="rId1" Type="http://schemas.openxmlformats.org/officeDocument/2006/relationships/hyperlink" Target="https://www.spsc.lt/cms/index.php?option=com_wrapper&amp;view=wrapper&amp;Itemid=288&amp;lang=lt" TargetMode="External"/><Relationship Id="rId6" Type="http://schemas.openxmlformats.org/officeDocument/2006/relationships/hyperlink" Target="http://www.betalt.lt/doclib/eqs6hohgh1wu2ebycsbsmtbg9f2xmspu" TargetMode="External"/><Relationship Id="rId11" Type="http://schemas.openxmlformats.org/officeDocument/2006/relationships/hyperlink" Target="https://strata.gov.lt/lt/sumani-specializacija/apie" TargetMode="External"/><Relationship Id="rId24" Type="http://schemas.openxmlformats.org/officeDocument/2006/relationships/hyperlink" Target="http://www.bpie.eu/publication/policy-paper-how-to-integrate-indoor-environmental-quality-within-national-long-term-renovation-strategies/" TargetMode="External"/><Relationship Id="rId5" Type="http://schemas.openxmlformats.org/officeDocument/2006/relationships/hyperlink" Target="https://www.vkontrole.lt/pranesimas_spaudai.aspx?id=25019" TargetMode="External"/><Relationship Id="rId15" Type="http://schemas.openxmlformats.org/officeDocument/2006/relationships/hyperlink" Target="https://strata.gov.lt/images/tyrimai/2020-metai/inovaciju-politika/2020-03-13_Inovaciju_apzvalga.pdf" TargetMode="External"/><Relationship Id="rId23" Type="http://schemas.openxmlformats.org/officeDocument/2006/relationships/hyperlink" Target="https://www.copenhageneconomics.com/publications/publication/multiple-benefits-of-investing-in-energy-efficient-renovation-of-buildings" TargetMode="External"/><Relationship Id="rId28" Type="http://schemas.openxmlformats.org/officeDocument/2006/relationships/hyperlink" Target="https://am.lrv.lt/lt/naujienos/aplinkosaugininkai-praso-renovuojant-daugiabucius-issaugoti-ciurlius" TargetMode="External"/><Relationship Id="rId10" Type="http://schemas.openxmlformats.org/officeDocument/2006/relationships/hyperlink" Target="https://e-seimas.lrs.lt/portal/legalAct/lt/TAD/TAIS.429490/asr" TargetMode="External"/><Relationship Id="rId19" Type="http://schemas.openxmlformats.org/officeDocument/2006/relationships/hyperlink" Target="https://lsta.lt/wp-content/uploads/2019/10/LSTA_apzvalga_2018.pdf" TargetMode="External"/><Relationship Id="rId4" Type="http://schemas.openxmlformats.org/officeDocument/2006/relationships/hyperlink" Target="https://appsso.eurostat.ec.europa.eu/nui/submitViewTableAction.do" TargetMode="External"/><Relationship Id="rId9" Type="http://schemas.openxmlformats.org/officeDocument/2006/relationships/hyperlink" Target="https://am.lrv.lt/uploads/am/documents/files/KLIMATO%20KAITA/Integruotas%20planas/Final%20NECP.pdf" TargetMode="External"/><Relationship Id="rId14" Type="http://schemas.openxmlformats.org/officeDocument/2006/relationships/hyperlink" Target="https://e-seimas.lrs.lt/portal/legalAct/lt/TAD/TAIS.439448" TargetMode="External"/><Relationship Id="rId22" Type="http://schemas.openxmlformats.org/officeDocument/2006/relationships/hyperlink" Target="https://www.copenhageneconomics.com/publications/publication/multiple-benefits-of-investing-in-energy-efficient-renovation-of-buildings" TargetMode="External"/><Relationship Id="rId27" Type="http://schemas.openxmlformats.org/officeDocument/2006/relationships/hyperlink" Target="http://www.betalt.lt/veiklos-sritys/programos/daugiabuciu-namu-atnaujinimo-modernizavimo-programa/102?c-19/t-4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30.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ropbox%20(vilnius%20economics)\1%20-%20Renovacijos%20strategija\Modelis\1%20-%20Fondas%200727%20-%20AA.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Modelis\3%20-%20Suvartojimai%20SU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apolas%20Striukas\Desktop\Grafikai.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apolas%20Striukas\Desktop\Grafikai.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Rapolas%20Striukas\Desktop\Grafikai.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Dropbox%20(vilnius%20economics)\1%20-%20Renovacijos%20strategija\Modelis\6%20-%20IRS%20rodikliai%2001_19%20(III%20pabaiga).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dmin\Dropbox%20(vilnius%20economics)\1%20-%20Renovacijos%20strategija\Modelis\6%20-%20IRS%20rodikliai%2001_19%20(III%20pabaig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B%20rodikliai%20naujos%20DGB%20kainos%20nji&#36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Desktop\B%20rodikliai%20naujos%20DGB%20kaino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Desktop\B%20rodikliai%20naujos%20DGB%20kaino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Desktop\B%20rodikliai%20naujos%20DGB%20kaino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ndrius\Desktop\Darbas\CBA%20EE_.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a:t>
            </a:r>
            <a:r>
              <a:rPr lang="en-US" sz="900"/>
              <a:t> </a:t>
            </a:r>
            <a:r>
              <a:rPr lang="lt-LT" sz="900"/>
              <a:t>(tūkst. </a:t>
            </a:r>
            <a:r>
              <a:rPr lang="en-US" sz="900"/>
              <a:t>vnt.</a:t>
            </a:r>
            <a:r>
              <a:rPr lang="lt-LT" sz="900"/>
              <a:t>)</a:t>
            </a:r>
            <a:endParaRPr lang="en-US" sz="900"/>
          </a:p>
        </c:rich>
      </c:tx>
      <c:layout/>
      <c:overlay val="0"/>
      <c:spPr>
        <a:noFill/>
        <a:ln>
          <a:noFill/>
        </a:ln>
        <a:effectLst/>
      </c:spPr>
    </c:title>
    <c:autoTitleDeleted val="0"/>
    <c:plotArea>
      <c:layout>
        <c:manualLayout>
          <c:layoutTarget val="inner"/>
          <c:xMode val="edge"/>
          <c:yMode val="edge"/>
          <c:x val="0.30242901597801702"/>
          <c:y val="0.18667950452477963"/>
          <c:w val="0.58501202319769918"/>
          <c:h val="0.69285337487371979"/>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Body)"/>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'2'!$E$23:$E$26</c:f>
              <c:numCache>
                <c:formatCode>#,##0</c:formatCode>
                <c:ptCount val="4"/>
                <c:pt idx="0">
                  <c:v>41.994999999999997</c:v>
                </c:pt>
                <c:pt idx="1">
                  <c:v>48.774999999999999</c:v>
                </c:pt>
                <c:pt idx="2">
                  <c:v>41.020999999999972</c:v>
                </c:pt>
                <c:pt idx="3">
                  <c:v>529.49200000000042</c:v>
                </c:pt>
              </c:numCache>
            </c:numRef>
          </c:val>
          <c:extLst xmlns:c16r2="http://schemas.microsoft.com/office/drawing/2015/06/chart">
            <c:ext xmlns:c15="http://schemas.microsoft.com/office/drawing/2012/chart" uri="{02D57815-91ED-43cb-92C2-25804820EDAC}">
              <c15:datalabelsRange>
                <c15:f>'2'!$F$23:$F$26</c15:f>
                <c15:dlblRangeCache>
                  <c:ptCount val="4"/>
                  <c:pt idx="0">
                    <c:v>6%</c:v>
                  </c:pt>
                  <c:pt idx="1">
                    <c:v>7%</c:v>
                  </c:pt>
                  <c:pt idx="2">
                    <c:v>6%</c:v>
                  </c:pt>
                  <c:pt idx="3">
                    <c:v>80%</c:v>
                  </c:pt>
                </c15:dlblRangeCache>
              </c15:datalabelsRange>
            </c:ext>
            <c:ext xmlns:c16="http://schemas.microsoft.com/office/drawing/2014/chart" uri="{C3380CC4-5D6E-409C-BE32-E72D297353CC}">
              <c16:uniqueId val="{00000004-158F-45E8-9740-3362894EAAA3}"/>
            </c:ext>
          </c:extLst>
        </c:ser>
        <c:dLbls>
          <c:dLblPos val="outEnd"/>
          <c:showLegendKey val="0"/>
          <c:showVal val="1"/>
          <c:showCatName val="0"/>
          <c:showSerName val="0"/>
          <c:showPercent val="0"/>
          <c:showBubbleSize val="0"/>
        </c:dLbls>
        <c:gapWidth val="182"/>
        <c:axId val="146908672"/>
        <c:axId val="146919808"/>
      </c:barChart>
      <c:catAx>
        <c:axId val="146908672"/>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6919808"/>
        <c:crosses val="autoZero"/>
        <c:auto val="1"/>
        <c:lblAlgn val="ctr"/>
        <c:lblOffset val="100"/>
        <c:noMultiLvlLbl val="0"/>
      </c:catAx>
      <c:valAx>
        <c:axId val="146919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6908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sienų medžiagiškumą (mln. m</a:t>
            </a:r>
            <a:r>
              <a:rPr lang="lt-LT" sz="900" baseline="30000"/>
              <a:t>2</a:t>
            </a:r>
            <a:r>
              <a:rPr lang="lt-LT" sz="900"/>
              <a:t>)</a:t>
            </a:r>
            <a:endParaRPr lang="en-US" sz="900"/>
          </a:p>
        </c:rich>
      </c:tx>
      <c:overlay val="0"/>
      <c:spPr>
        <a:noFill/>
        <a:ln>
          <a:noFill/>
        </a:ln>
        <a:effectLst/>
      </c:spPr>
    </c:title>
    <c:autoTitleDeleted val="0"/>
    <c:plotArea>
      <c:layout>
        <c:manualLayout>
          <c:layoutTarget val="inner"/>
          <c:xMode val="edge"/>
          <c:yMode val="edge"/>
          <c:x val="0.33502312210973628"/>
          <c:y val="0.24396467124631993"/>
          <c:w val="0.61735783027121605"/>
          <c:h val="0.51387919864447329"/>
        </c:manualLayout>
      </c:layout>
      <c:barChart>
        <c:barDir val="bar"/>
        <c:grouping val="stacked"/>
        <c:varyColors val="0"/>
        <c:ser>
          <c:idx val="0"/>
          <c:order val="0"/>
          <c:tx>
            <c:strRef>
              <c:f>'6'!$E$45</c:f>
              <c:strCache>
                <c:ptCount val="1"/>
                <c:pt idx="0">
                  <c:v>Plytų ir blokelių</c:v>
                </c:pt>
              </c:strCache>
            </c:strRef>
          </c:tx>
          <c:spPr>
            <a:solidFill>
              <a:schemeClr val="bg2">
                <a:lumMod val="65000"/>
              </a:schemeClr>
            </a:solidFill>
            <a:ln>
              <a:solidFill>
                <a:schemeClr val="bg1"/>
              </a:solidFill>
            </a:ln>
            <a:effectLst/>
          </c:spPr>
          <c:invertIfNegative val="0"/>
          <c:dLbls>
            <c:dLbl>
              <c:idx val="0"/>
              <c:layout>
                <c:manualLayout>
                  <c:x val="0"/>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59-4B04-83A1-A074100AB17B}"/>
                </c:ext>
                <c:ext xmlns:c15="http://schemas.microsoft.com/office/drawing/2012/chart" uri="{CE6537A1-D6FC-4f65-9D91-7224C49458BB}"/>
              </c:extLst>
            </c:dLbl>
            <c:dLbl>
              <c:idx val="1"/>
              <c:layout>
                <c:manualLayout>
                  <c:x val="0"/>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59-4B04-83A1-A074100AB17B}"/>
                </c:ext>
                <c:ext xmlns:c15="http://schemas.microsoft.com/office/drawing/2012/chart" uri="{CE6537A1-D6FC-4f65-9D91-7224C49458BB}"/>
              </c:extLst>
            </c:dLbl>
            <c:dLbl>
              <c:idx val="2"/>
              <c:layout>
                <c:manualLayout>
                  <c:x val="-5.1035098814635596E-17"/>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59-4B04-83A1-A074100AB17B}"/>
                </c:ext>
                <c:ext xmlns:c15="http://schemas.microsoft.com/office/drawing/2012/chart" uri="{CE6537A1-D6FC-4f65-9D91-7224C49458BB}"/>
              </c:extLst>
            </c:dLbl>
            <c:dLbl>
              <c:idx val="3"/>
              <c:layout>
                <c:manualLayout>
                  <c:x val="-5.1035098814635596E-17"/>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'6'!$E$46:$E$49</c:f>
              <c:numCache>
                <c:formatCode>_(* #,##0_);_(* \(#,##0\);_(* "-"??_);_(@_)</c:formatCode>
                <c:ptCount val="4"/>
                <c:pt idx="0">
                  <c:v>23.828032999999998</c:v>
                </c:pt>
                <c:pt idx="1">
                  <c:v>17.890112999999999</c:v>
                </c:pt>
                <c:pt idx="2">
                  <c:v>35.824809000000002</c:v>
                </c:pt>
                <c:pt idx="3">
                  <c:v>41.055381000000018</c:v>
                </c:pt>
              </c:numCache>
            </c:numRef>
          </c:val>
          <c:extLst xmlns:c16r2="http://schemas.microsoft.com/office/drawing/2015/06/chart">
            <c:ext xmlns:c16="http://schemas.microsoft.com/office/drawing/2014/chart" uri="{C3380CC4-5D6E-409C-BE32-E72D297353CC}">
              <c16:uniqueId val="{00000004-6259-4B04-83A1-A074100AB17B}"/>
            </c:ext>
          </c:extLst>
        </c:ser>
        <c:ser>
          <c:idx val="1"/>
          <c:order val="1"/>
          <c:tx>
            <c:strRef>
              <c:f>'6'!$F$45</c:f>
              <c:strCache>
                <c:ptCount val="1"/>
                <c:pt idx="0">
                  <c:v>Gelžb. plokščių</c:v>
                </c:pt>
              </c:strCache>
            </c:strRef>
          </c:tx>
          <c:spPr>
            <a:solidFill>
              <a:srgbClr val="002060"/>
            </a:solidFill>
            <a:ln>
              <a:solidFill>
                <a:schemeClr val="bg1"/>
              </a:solidFill>
            </a:ln>
            <a:effectLst/>
          </c:spPr>
          <c:invertIfNegative val="0"/>
          <c:dLbls>
            <c:dLbl>
              <c:idx val="0"/>
              <c:layout>
                <c:manualLayout>
                  <c:x val="0"/>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59-4B04-83A1-A074100AB17B}"/>
                </c:ext>
                <c:ext xmlns:c15="http://schemas.microsoft.com/office/drawing/2012/chart" uri="{CE6537A1-D6FC-4f65-9D91-7224C49458BB}"/>
              </c:extLst>
            </c:dLbl>
            <c:dLbl>
              <c:idx val="1"/>
              <c:layout>
                <c:manualLayout>
                  <c:x val="-5.1035098814635596E-17"/>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59-4B04-83A1-A074100AB17B}"/>
                </c:ext>
                <c:ext xmlns:c15="http://schemas.microsoft.com/office/drawing/2012/chart" uri="{CE6537A1-D6FC-4f65-9D91-7224C49458BB}"/>
              </c:extLst>
            </c:dLbl>
            <c:dLbl>
              <c:idx val="2"/>
              <c:layout>
                <c:manualLayout>
                  <c:x val="0"/>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259-4B04-83A1-A074100AB17B}"/>
                </c:ext>
                <c:ext xmlns:c15="http://schemas.microsoft.com/office/drawing/2012/chart" uri="{CE6537A1-D6FC-4f65-9D91-7224C49458BB}"/>
              </c:extLst>
            </c:dLbl>
            <c:dLbl>
              <c:idx val="3"/>
              <c:layout>
                <c:manualLayout>
                  <c:x val="-1.0207019762927119E-16"/>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'6'!$F$46:$F$49</c:f>
              <c:numCache>
                <c:formatCode>_(* #,##0_);_(* \(#,##0\);_(* "-"??_);_(@_)</c:formatCode>
                <c:ptCount val="4"/>
                <c:pt idx="0">
                  <c:v>6.4803030000000001</c:v>
                </c:pt>
                <c:pt idx="1">
                  <c:v>8.6178099999999986</c:v>
                </c:pt>
                <c:pt idx="2">
                  <c:v>20.654714999999999</c:v>
                </c:pt>
                <c:pt idx="3">
                  <c:v>1.1368529999999997</c:v>
                </c:pt>
              </c:numCache>
            </c:numRef>
          </c:val>
          <c:extLst xmlns:c16r2="http://schemas.microsoft.com/office/drawing/2015/06/chart">
            <c:ext xmlns:c16="http://schemas.microsoft.com/office/drawing/2014/chart" uri="{C3380CC4-5D6E-409C-BE32-E72D297353CC}">
              <c16:uniqueId val="{00000009-6259-4B04-83A1-A074100AB17B}"/>
            </c:ext>
          </c:extLst>
        </c:ser>
        <c:ser>
          <c:idx val="2"/>
          <c:order val="2"/>
          <c:tx>
            <c:strRef>
              <c:f>'6'!$G$45</c:f>
              <c:strCache>
                <c:ptCount val="1"/>
                <c:pt idx="0">
                  <c:v>Rąstų</c:v>
                </c:pt>
              </c:strCache>
            </c:strRef>
          </c:tx>
          <c:spPr>
            <a:solidFill>
              <a:srgbClr val="C00000"/>
            </a:solidFill>
            <a:ln>
              <a:solidFill>
                <a:schemeClr val="bg1"/>
              </a:solidFill>
            </a:ln>
            <a:effectLst/>
          </c:spPr>
          <c:invertIfNegative val="0"/>
          <c:dLbls>
            <c:dLbl>
              <c:idx val="0"/>
              <c:layout>
                <c:manualLayout>
                  <c:x val="0"/>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259-4B04-83A1-A074100AB17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6259-4B04-83A1-A074100AB17B}"/>
                </c:ext>
                <c:ext xmlns:c15="http://schemas.microsoft.com/office/drawing/2012/chart" uri="{CE6537A1-D6FC-4f65-9D91-7224C49458BB}"/>
              </c:extLst>
            </c:dLbl>
            <c:dLbl>
              <c:idx val="2"/>
              <c:layout>
                <c:manualLayout>
                  <c:x val="-5.567529641067501E-3"/>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259-4B04-83A1-A074100AB17B}"/>
                </c:ext>
                <c:ext xmlns:c15="http://schemas.microsoft.com/office/drawing/2012/chart" uri="{CE6537A1-D6FC-4f65-9D91-7224C49458BB}"/>
              </c:extLst>
            </c:dLbl>
            <c:dLbl>
              <c:idx val="3"/>
              <c:layout>
                <c:manualLayout>
                  <c:x val="-1.0207019762927119E-16"/>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'6'!$G$46:$G$49</c:f>
              <c:numCache>
                <c:formatCode>_(* #,##0_);_(* \(#,##0\);_(* "-"??_);_(@_)</c:formatCode>
                <c:ptCount val="4"/>
                <c:pt idx="0">
                  <c:v>0.63158000000000014</c:v>
                </c:pt>
                <c:pt idx="1">
                  <c:v>0.15879099999999999</c:v>
                </c:pt>
                <c:pt idx="2">
                  <c:v>1.2721359999999999</c:v>
                </c:pt>
                <c:pt idx="3">
                  <c:v>20.665761999999994</c:v>
                </c:pt>
              </c:numCache>
            </c:numRef>
          </c:val>
          <c:extLst xmlns:c16r2="http://schemas.microsoft.com/office/drawing/2015/06/chart">
            <c:ext xmlns:c16="http://schemas.microsoft.com/office/drawing/2014/chart" uri="{C3380CC4-5D6E-409C-BE32-E72D297353CC}">
              <c16:uniqueId val="{0000000E-6259-4B04-83A1-A074100AB17B}"/>
            </c:ext>
          </c:extLst>
        </c:ser>
        <c:ser>
          <c:idx val="3"/>
          <c:order val="3"/>
          <c:tx>
            <c:strRef>
              <c:f>'6'!$H$45</c:f>
              <c:strCache>
                <c:ptCount val="1"/>
                <c:pt idx="0">
                  <c:v>Fasadinės sistemos</c:v>
                </c:pt>
              </c:strCache>
            </c:strRef>
          </c:tx>
          <c:spPr>
            <a:solidFill>
              <a:schemeClr val="tx2"/>
            </a:solidFill>
            <a:ln>
              <a:solidFill>
                <a:schemeClr val="bg1"/>
              </a:solidFill>
            </a:ln>
            <a:effectLst/>
          </c:spPr>
          <c:invertIfNegative val="0"/>
          <c:dLbls>
            <c:dLbl>
              <c:idx val="0"/>
              <c:layout>
                <c:manualLayout>
                  <c:x val="-1.0207019762927119E-16"/>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259-4B04-83A1-A074100AB17B}"/>
                </c:ext>
                <c:ext xmlns:c15="http://schemas.microsoft.com/office/drawing/2012/chart" uri="{CE6537A1-D6FC-4f65-9D91-7224C49458BB}"/>
              </c:extLst>
            </c:dLbl>
            <c:dLbl>
              <c:idx val="1"/>
              <c:layout>
                <c:manualLayout>
                  <c:x val="0"/>
                  <c:y val="-6.001412459417459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259-4B04-83A1-A074100AB17B}"/>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1-6259-4B04-83A1-A074100AB17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2-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'6'!$H$46:$H$49</c:f>
              <c:numCache>
                <c:formatCode>_(* #,##0_);_(* \(#,##0\);_(* "-"??_);_(@_)</c:formatCode>
                <c:ptCount val="4"/>
                <c:pt idx="0">
                  <c:v>4.2678830000000003</c:v>
                </c:pt>
                <c:pt idx="1">
                  <c:v>6.9320399999999998</c:v>
                </c:pt>
                <c:pt idx="2">
                  <c:v>2.4347000000000001E-2</c:v>
                </c:pt>
                <c:pt idx="3">
                  <c:v>2.5447000000000004E-2</c:v>
                </c:pt>
              </c:numCache>
            </c:numRef>
          </c:val>
          <c:extLst xmlns:c16r2="http://schemas.microsoft.com/office/drawing/2015/06/chart">
            <c:ext xmlns:c16="http://schemas.microsoft.com/office/drawing/2014/chart" uri="{C3380CC4-5D6E-409C-BE32-E72D297353CC}">
              <c16:uniqueId val="{00000013-6259-4B04-83A1-A074100AB17B}"/>
            </c:ext>
          </c:extLst>
        </c:ser>
        <c:ser>
          <c:idx val="5"/>
          <c:order val="4"/>
          <c:tx>
            <c:strRef>
              <c:f>'6'!$I$45</c:f>
              <c:strCache>
                <c:ptCount val="1"/>
                <c:pt idx="0">
                  <c:v>Kita</c:v>
                </c:pt>
              </c:strCache>
            </c:strRef>
          </c:tx>
          <c:spPr>
            <a:solidFill>
              <a:srgbClr val="00B0F0"/>
            </a:solidFill>
            <a:ln>
              <a:solidFill>
                <a:schemeClr val="bg1"/>
              </a:solidFill>
            </a:ln>
            <a:effectLst/>
          </c:spPr>
          <c:invertIfNegative val="0"/>
          <c:dLbls>
            <c:dLbl>
              <c:idx val="0"/>
              <c:layout>
                <c:manualLayout>
                  <c:x val="1.1135059282135002E-2"/>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259-4B04-83A1-A074100AB17B}"/>
                </c:ext>
                <c:ext xmlns:c15="http://schemas.microsoft.com/office/drawing/2012/chart" uri="{CE6537A1-D6FC-4f65-9D91-7224C49458BB}"/>
              </c:extLst>
            </c:dLbl>
            <c:dLbl>
              <c:idx val="1"/>
              <c:layout>
                <c:manualLayout>
                  <c:x val="0"/>
                  <c:y val="-6.001412459417459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259-4B04-83A1-A074100AB17B}"/>
                </c:ext>
                <c:ext xmlns:c15="http://schemas.microsoft.com/office/drawing/2012/chart" uri="{CE6537A1-D6FC-4f65-9D91-7224C49458BB}"/>
              </c:extLst>
            </c:dLbl>
            <c:dLbl>
              <c:idx val="2"/>
              <c:layout>
                <c:manualLayout>
                  <c:x val="1.1135059282135002E-2"/>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259-4B04-83A1-A074100AB17B}"/>
                </c:ext>
                <c:ext xmlns:c15="http://schemas.microsoft.com/office/drawing/2012/chart" uri="{CE6537A1-D6FC-4f65-9D91-7224C49458BB}"/>
              </c:extLst>
            </c:dLbl>
            <c:dLbl>
              <c:idx val="3"/>
              <c:layout>
                <c:manualLayout>
                  <c:x val="0"/>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'6'!$I$46:$I$49</c:f>
              <c:numCache>
                <c:formatCode>_(* #,##0_);_(* \(#,##0\);_(* "-"??_);_(@_)</c:formatCode>
                <c:ptCount val="4"/>
                <c:pt idx="0">
                  <c:v>1.9720470000000001</c:v>
                </c:pt>
                <c:pt idx="1">
                  <c:v>1.8795459999999999</c:v>
                </c:pt>
                <c:pt idx="2">
                  <c:v>1.6870400000000001</c:v>
                </c:pt>
                <c:pt idx="3">
                  <c:v>6.6513379999999991</c:v>
                </c:pt>
              </c:numCache>
            </c:numRef>
          </c:val>
          <c:extLst xmlns:c16r2="http://schemas.microsoft.com/office/drawing/2015/06/chart">
            <c:ext xmlns:c16="http://schemas.microsoft.com/office/drawing/2014/chart" uri="{C3380CC4-5D6E-409C-BE32-E72D297353CC}">
              <c16:uniqueId val="{00000018-6259-4B04-83A1-A074100AB17B}"/>
            </c:ext>
          </c:extLst>
        </c:ser>
        <c:dLbls>
          <c:dLblPos val="ctr"/>
          <c:showLegendKey val="0"/>
          <c:showVal val="1"/>
          <c:showCatName val="0"/>
          <c:showSerName val="0"/>
          <c:showPercent val="0"/>
          <c:showBubbleSize val="0"/>
        </c:dLbls>
        <c:gapWidth val="150"/>
        <c:overlap val="100"/>
        <c:axId val="155648768"/>
        <c:axId val="155650304"/>
      </c:barChart>
      <c:catAx>
        <c:axId val="15564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650304"/>
        <c:crosses val="autoZero"/>
        <c:auto val="1"/>
        <c:lblAlgn val="ctr"/>
        <c:lblOffset val="100"/>
        <c:noMultiLvlLbl val="0"/>
      </c:catAx>
      <c:valAx>
        <c:axId val="155650304"/>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648768"/>
        <c:crosses val="autoZero"/>
        <c:crossBetween val="between"/>
      </c:valAx>
      <c:spPr>
        <a:noFill/>
        <a:ln>
          <a:noFill/>
        </a:ln>
        <a:effectLst/>
      </c:spPr>
    </c:plotArea>
    <c:legend>
      <c:legendPos val="b"/>
      <c:layout>
        <c:manualLayout>
          <c:xMode val="edge"/>
          <c:yMode val="edge"/>
          <c:x val="5.02688362277064E-2"/>
          <c:y val="0.84337685637396587"/>
          <c:w val="0.89531820805203421"/>
          <c:h val="0.15189148537100297"/>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 pagal energetinę klasę (mln. m</a:t>
            </a:r>
            <a:r>
              <a:rPr lang="lt-LT" sz="900" baseline="30000"/>
              <a:t>2</a:t>
            </a:r>
            <a:r>
              <a:rPr lang="lt-LT" sz="900"/>
              <a:t>)</a:t>
            </a:r>
            <a:endParaRPr lang="en-US" sz="900"/>
          </a:p>
        </c:rich>
      </c:tx>
      <c:overlay val="0"/>
      <c:spPr>
        <a:noFill/>
        <a:ln>
          <a:noFill/>
        </a:ln>
        <a:effectLst/>
      </c:sp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0521-4999-AB86-D04C83038F0F}"/>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0521-4999-AB86-D04C83038F0F}"/>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0521-4999-AB86-D04C83038F0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'7enk'!$E$47:$H$47</c:f>
              <c:strCache>
                <c:ptCount val="4"/>
                <c:pt idx="0">
                  <c:v>D/E/F/G</c:v>
                </c:pt>
                <c:pt idx="1">
                  <c:v>C</c:v>
                </c:pt>
                <c:pt idx="2">
                  <c:v>B</c:v>
                </c:pt>
                <c:pt idx="3">
                  <c:v>A - A++</c:v>
                </c:pt>
              </c:strCache>
            </c:strRef>
          </c:cat>
          <c:val>
            <c:numRef>
              <c:f>'7enk'!$E$52:$H$52</c:f>
              <c:numCache>
                <c:formatCode>#,##0\ ;\ \-\ #,##0\ ;\ \-\ </c:formatCode>
                <c:ptCount val="4"/>
                <c:pt idx="0">
                  <c:v>132.73520080999998</c:v>
                </c:pt>
                <c:pt idx="1">
                  <c:v>39.466358789999987</c:v>
                </c:pt>
                <c:pt idx="2">
                  <c:v>25.524198400000003</c:v>
                </c:pt>
                <c:pt idx="3">
                  <c:v>3.9479639999999998</c:v>
                </c:pt>
              </c:numCache>
            </c:numRef>
          </c:val>
          <c:extLst xmlns:c16r2="http://schemas.microsoft.com/office/drawing/2015/06/chart">
            <c:ext xmlns:c16="http://schemas.microsoft.com/office/drawing/2014/chart" uri="{C3380CC4-5D6E-409C-BE32-E72D297353CC}">
              <c16:uniqueId val="{00000007-0521-4999-AB86-D04C83038F0F}"/>
            </c:ext>
            <c:ext xmlns:c15="http://schemas.microsoft.com/office/drawing/2012/chart" uri="{02D57815-91ED-43cb-92C2-25804820EDAC}">
              <c15:datalabelsRange>
                <c15:f>'7enk'!$E$53:$H$53</c15:f>
                <c15:dlblRangeCache>
                  <c:ptCount val="4"/>
                  <c:pt idx="0">
                    <c:v>66%</c:v>
                  </c:pt>
                  <c:pt idx="1">
                    <c:v>20%</c:v>
                  </c:pt>
                  <c:pt idx="2">
                    <c:v>13%</c:v>
                  </c:pt>
                  <c:pt idx="3">
                    <c:v>2%</c:v>
                  </c:pt>
                </c15:dlblRangeCache>
              </c15:datalabelsRange>
            </c:ext>
          </c:extLst>
        </c:ser>
        <c:dLbls>
          <c:dLblPos val="outEnd"/>
          <c:showLegendKey val="0"/>
          <c:showVal val="1"/>
          <c:showCatName val="0"/>
          <c:showSerName val="0"/>
          <c:showPercent val="0"/>
          <c:showBubbleSize val="0"/>
        </c:dLbls>
        <c:gapWidth val="219"/>
        <c:overlap val="-27"/>
        <c:axId val="155529216"/>
        <c:axId val="155533312"/>
      </c:barChart>
      <c:catAx>
        <c:axId val="155529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5533312"/>
        <c:crosses val="autoZero"/>
        <c:auto val="1"/>
        <c:lblAlgn val="ctr"/>
        <c:lblOffset val="100"/>
        <c:noMultiLvlLbl val="0"/>
      </c:catAx>
      <c:valAx>
        <c:axId val="155533312"/>
        <c:scaling>
          <c:orientation val="minMax"/>
        </c:scaling>
        <c:delete val="0"/>
        <c:axPos val="l"/>
        <c:majorGridlines>
          <c:spPr>
            <a:ln w="9525" cap="flat" cmpd="sng" algn="ctr">
              <a:solidFill>
                <a:schemeClr val="tx1">
                  <a:lumMod val="15000"/>
                  <a:lumOff val="85000"/>
                </a:schemeClr>
              </a:solidFill>
              <a:round/>
            </a:ln>
            <a:effectLst/>
          </c:spPr>
        </c:majorGridlines>
        <c:numFmt formatCode="#,##0\ ;\ \-\ #,##0\ ;\ \-\ "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5529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 pagal energetinę klasę ir paskirtį (mln. m</a:t>
            </a:r>
            <a:r>
              <a:rPr lang="lt-LT" sz="900" baseline="30000"/>
              <a:t>2</a:t>
            </a:r>
            <a:r>
              <a:rPr lang="lt-LT" sz="900"/>
              <a:t>)</a:t>
            </a:r>
            <a:endParaRPr lang="en-US" sz="900"/>
          </a:p>
        </c:rich>
      </c:tx>
      <c:overlay val="0"/>
      <c:spPr>
        <a:noFill/>
        <a:ln>
          <a:noFill/>
        </a:ln>
        <a:effectLst/>
      </c:spPr>
    </c:title>
    <c:autoTitleDeleted val="0"/>
    <c:plotArea>
      <c:layout/>
      <c:barChart>
        <c:barDir val="bar"/>
        <c:grouping val="stacked"/>
        <c:varyColors val="0"/>
        <c:ser>
          <c:idx val="0"/>
          <c:order val="0"/>
          <c:tx>
            <c:strRef>
              <c:f>'7enk'!$E$47</c:f>
              <c:strCache>
                <c:ptCount val="1"/>
                <c:pt idx="0">
                  <c:v>D/E/F/G</c:v>
                </c:pt>
              </c:strCache>
            </c:strRef>
          </c:tx>
          <c:spPr>
            <a:solidFill>
              <a:schemeClr val="bg1">
                <a:lumMod val="65000"/>
              </a:schemeClr>
            </a:solidFill>
            <a:ln>
              <a:solidFill>
                <a:schemeClr val="bg1"/>
              </a:solidFill>
            </a:ln>
            <a:effectLst/>
          </c:spPr>
          <c:invertIfNegative val="0"/>
          <c:dLbls>
            <c:dLbl>
              <c:idx val="0"/>
              <c:layout>
                <c:manualLayout>
                  <c:x val="0"/>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FB-4395-A109-4E46A42FA3B8}"/>
                </c:ext>
                <c:ext xmlns:c15="http://schemas.microsoft.com/office/drawing/2012/chart" uri="{CE6537A1-D6FC-4f65-9D91-7224C49458BB}"/>
              </c:extLst>
            </c:dLbl>
            <c:dLbl>
              <c:idx val="1"/>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FB-4395-A109-4E46A42FA3B8}"/>
                </c:ext>
                <c:ext xmlns:c15="http://schemas.microsoft.com/office/drawing/2012/chart" uri="{CE6537A1-D6FC-4f65-9D91-7224C49458BB}"/>
              </c:extLst>
            </c:dLbl>
            <c:dLbl>
              <c:idx val="2"/>
              <c:layout>
                <c:manualLayout>
                  <c:x val="-5.0631812655171544E-17"/>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FB-4395-A109-4E46A42FA3B8}"/>
                </c:ext>
                <c:ext xmlns:c15="http://schemas.microsoft.com/office/drawing/2012/chart" uri="{CE6537A1-D6FC-4f65-9D91-7224C49458BB}"/>
              </c:extLst>
            </c:dLbl>
            <c:dLbl>
              <c:idx val="3"/>
              <c:layout>
                <c:manualLayout>
                  <c:x val="0"/>
                  <c:y val="-5.87405262667282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'7enk'!$E$48:$E$51</c:f>
              <c:numCache>
                <c:formatCode>_(* #,##0_);_(* \(#,##0\);_(* "-"??_);_(@_)</c:formatCode>
                <c:ptCount val="4"/>
                <c:pt idx="0">
                  <c:v>23.673828</c:v>
                </c:pt>
                <c:pt idx="1">
                  <c:v>29.135252000000001</c:v>
                </c:pt>
                <c:pt idx="2">
                  <c:v>42.239184149999986</c:v>
                </c:pt>
                <c:pt idx="3">
                  <c:v>37.686936659999994</c:v>
                </c:pt>
              </c:numCache>
            </c:numRef>
          </c:val>
          <c:extLst xmlns:c16r2="http://schemas.microsoft.com/office/drawing/2015/06/chart">
            <c:ext xmlns:c16="http://schemas.microsoft.com/office/drawing/2014/chart" uri="{C3380CC4-5D6E-409C-BE32-E72D297353CC}">
              <c16:uniqueId val="{00000004-47FB-4395-A109-4E46A42FA3B8}"/>
            </c:ext>
          </c:extLst>
        </c:ser>
        <c:ser>
          <c:idx val="1"/>
          <c:order val="1"/>
          <c:tx>
            <c:strRef>
              <c:f>'7enk'!$F$47</c:f>
              <c:strCache>
                <c:ptCount val="1"/>
                <c:pt idx="0">
                  <c:v>C</c:v>
                </c:pt>
              </c:strCache>
            </c:strRef>
          </c:tx>
          <c:spPr>
            <a:solidFill>
              <a:srgbClr val="002060"/>
            </a:solidFill>
            <a:ln>
              <a:solidFill>
                <a:schemeClr val="bg1"/>
              </a:solidFill>
            </a:ln>
            <a:effectLst/>
          </c:spPr>
          <c:invertIfNegative val="0"/>
          <c:dLbls>
            <c:dLbl>
              <c:idx val="0"/>
              <c:layout>
                <c:manualLayout>
                  <c:x val="0"/>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FB-4395-A109-4E46A42FA3B8}"/>
                </c:ext>
                <c:ext xmlns:c15="http://schemas.microsoft.com/office/drawing/2012/chart" uri="{CE6537A1-D6FC-4f65-9D91-7224C49458BB}"/>
              </c:extLst>
            </c:dLbl>
            <c:dLbl>
              <c:idx val="1"/>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FB-4395-A109-4E46A42FA3B8}"/>
                </c:ext>
                <c:ext xmlns:c15="http://schemas.microsoft.com/office/drawing/2012/chart" uri="{CE6537A1-D6FC-4f65-9D91-7224C49458BB}"/>
              </c:extLst>
            </c:dLbl>
            <c:dLbl>
              <c:idx val="2"/>
              <c:layout>
                <c:manualLayout>
                  <c:x val="0"/>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FB-4395-A109-4E46A42FA3B8}"/>
                </c:ext>
                <c:ext xmlns:c15="http://schemas.microsoft.com/office/drawing/2012/chart" uri="{CE6537A1-D6FC-4f65-9D91-7224C49458BB}"/>
              </c:extLst>
            </c:dLbl>
            <c:dLbl>
              <c:idx val="3"/>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'7enk'!$F$48:$F$51</c:f>
              <c:numCache>
                <c:formatCode>_(* #,##0_);_(* \(#,##0\);_(* "-"??_);_(@_)</c:formatCode>
                <c:ptCount val="4"/>
                <c:pt idx="0">
                  <c:v>5.9327660000000018</c:v>
                </c:pt>
                <c:pt idx="1">
                  <c:v>1.9624739999999998</c:v>
                </c:pt>
                <c:pt idx="2">
                  <c:v>7.842653449999994</c:v>
                </c:pt>
                <c:pt idx="3">
                  <c:v>23.728465339999996</c:v>
                </c:pt>
              </c:numCache>
            </c:numRef>
          </c:val>
          <c:extLst xmlns:c16r2="http://schemas.microsoft.com/office/drawing/2015/06/chart">
            <c:ext xmlns:c16="http://schemas.microsoft.com/office/drawing/2014/chart" uri="{C3380CC4-5D6E-409C-BE32-E72D297353CC}">
              <c16:uniqueId val="{00000009-47FB-4395-A109-4E46A42FA3B8}"/>
            </c:ext>
          </c:extLst>
        </c:ser>
        <c:ser>
          <c:idx val="2"/>
          <c:order val="2"/>
          <c:tx>
            <c:strRef>
              <c:f>'7enk'!$G$47</c:f>
              <c:strCache>
                <c:ptCount val="1"/>
                <c:pt idx="0">
                  <c:v>B</c:v>
                </c:pt>
              </c:strCache>
            </c:strRef>
          </c:tx>
          <c:spPr>
            <a:solidFill>
              <a:srgbClr val="C00000"/>
            </a:solidFill>
            <a:ln>
              <a:solidFill>
                <a:schemeClr val="bg1"/>
              </a:solidFill>
            </a:ln>
            <a:effectLst/>
          </c:spPr>
          <c:invertIfNegative val="0"/>
          <c:dLbls>
            <c:dLbl>
              <c:idx val="0"/>
              <c:layout>
                <c:manualLayout>
                  <c:x val="0"/>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FB-4395-A109-4E46A42FA3B8}"/>
                </c:ext>
                <c:ext xmlns:c15="http://schemas.microsoft.com/office/drawing/2012/chart" uri="{CE6537A1-D6FC-4f65-9D91-7224C49458BB}"/>
              </c:extLst>
            </c:dLbl>
            <c:dLbl>
              <c:idx val="1"/>
              <c:layout>
                <c:manualLayout>
                  <c:x val="-1.0126362531034309E-16"/>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FB-4395-A109-4E46A42FA3B8}"/>
                </c:ext>
                <c:ext xmlns:c15="http://schemas.microsoft.com/office/drawing/2012/chart" uri="{CE6537A1-D6FC-4f65-9D91-7224C49458BB}"/>
              </c:extLst>
            </c:dLbl>
            <c:dLbl>
              <c:idx val="2"/>
              <c:layout>
                <c:manualLayout>
                  <c:x val="0"/>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7FB-4395-A109-4E46A42FA3B8}"/>
                </c:ext>
                <c:ext xmlns:c15="http://schemas.microsoft.com/office/drawing/2012/chart" uri="{CE6537A1-D6FC-4f65-9D91-7224C49458BB}"/>
              </c:extLst>
            </c:dLbl>
            <c:dLbl>
              <c:idx val="3"/>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'7enk'!$G$48:$G$51</c:f>
              <c:numCache>
                <c:formatCode>_(* #,##0_);_(* \(#,##0\);_(* "-"??_);_(@_)</c:formatCode>
                <c:ptCount val="4"/>
                <c:pt idx="0">
                  <c:v>6.4898449999999999</c:v>
                </c:pt>
                <c:pt idx="1">
                  <c:v>3.5337620000000003</c:v>
                </c:pt>
                <c:pt idx="2">
                  <c:v>8.6343204000000018</c:v>
                </c:pt>
                <c:pt idx="3">
                  <c:v>6.8662709999999993</c:v>
                </c:pt>
              </c:numCache>
            </c:numRef>
          </c:val>
          <c:extLst xmlns:c16r2="http://schemas.microsoft.com/office/drawing/2015/06/chart">
            <c:ext xmlns:c16="http://schemas.microsoft.com/office/drawing/2014/chart" uri="{C3380CC4-5D6E-409C-BE32-E72D297353CC}">
              <c16:uniqueId val="{0000000E-47FB-4395-A109-4E46A42FA3B8}"/>
            </c:ext>
          </c:extLst>
        </c:ser>
        <c:ser>
          <c:idx val="3"/>
          <c:order val="3"/>
          <c:tx>
            <c:strRef>
              <c:f>'7enk'!$H$47</c:f>
              <c:strCache>
                <c:ptCount val="1"/>
                <c:pt idx="0">
                  <c:v>A - A++</c:v>
                </c:pt>
              </c:strCache>
            </c:strRef>
          </c:tx>
          <c:spPr>
            <a:solidFill>
              <a:schemeClr val="accent1"/>
            </a:solidFill>
            <a:ln>
              <a:solidFill>
                <a:schemeClr val="bg1"/>
              </a:solidFill>
            </a:ln>
            <a:effectLst/>
          </c:spPr>
          <c:invertIfNegative val="0"/>
          <c:dLbls>
            <c:dLbl>
              <c:idx val="0"/>
              <c:layout>
                <c:manualLayout>
                  <c:x val="-1.0126362531034309E-16"/>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7FB-4395-A109-4E46A42FA3B8}"/>
                </c:ext>
                <c:ext xmlns:c15="http://schemas.microsoft.com/office/drawing/2012/chart" uri="{CE6537A1-D6FC-4f65-9D91-7224C49458BB}"/>
              </c:extLst>
            </c:dLbl>
            <c:dLbl>
              <c:idx val="1"/>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7FB-4395-A109-4E46A42FA3B8}"/>
                </c:ext>
                <c:ext xmlns:c15="http://schemas.microsoft.com/office/drawing/2012/chart" uri="{CE6537A1-D6FC-4f65-9D91-7224C49458BB}"/>
              </c:extLst>
            </c:dLbl>
            <c:dLbl>
              <c:idx val="2"/>
              <c:layout>
                <c:manualLayout>
                  <c:x val="0"/>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FB-4395-A109-4E46A42FA3B8}"/>
                </c:ext>
                <c:ext xmlns:c15="http://schemas.microsoft.com/office/drawing/2012/chart" uri="{CE6537A1-D6FC-4f65-9D91-7224C49458BB}"/>
              </c:extLst>
            </c:dLbl>
            <c:dLbl>
              <c:idx val="3"/>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'7enk'!$H$48:$H$51</c:f>
              <c:numCache>
                <c:formatCode>_(* #,##0_);_(* \(#,##0\);_(* "-"??_);_(@_)</c:formatCode>
                <c:ptCount val="4"/>
                <c:pt idx="0">
                  <c:v>1.0839999999999999</c:v>
                </c:pt>
                <c:pt idx="1">
                  <c:v>0.85822200000000004</c:v>
                </c:pt>
                <c:pt idx="2">
                  <c:v>0.74741400000000002</c:v>
                </c:pt>
                <c:pt idx="3">
                  <c:v>1.2583279999999999</c:v>
                </c:pt>
              </c:numCache>
            </c:numRef>
          </c:val>
          <c:extLst xmlns:c16r2="http://schemas.microsoft.com/office/drawing/2015/06/chart">
            <c:ext xmlns:c16="http://schemas.microsoft.com/office/drawing/2014/chart" uri="{C3380CC4-5D6E-409C-BE32-E72D297353CC}">
              <c16:uniqueId val="{00000013-47FB-4395-A109-4E46A42FA3B8}"/>
            </c:ext>
          </c:extLst>
        </c:ser>
        <c:dLbls>
          <c:dLblPos val="ctr"/>
          <c:showLegendKey val="0"/>
          <c:showVal val="1"/>
          <c:showCatName val="0"/>
          <c:showSerName val="0"/>
          <c:showPercent val="0"/>
          <c:showBubbleSize val="0"/>
        </c:dLbls>
        <c:gapWidth val="150"/>
        <c:overlap val="100"/>
        <c:axId val="155746688"/>
        <c:axId val="155748224"/>
      </c:barChart>
      <c:catAx>
        <c:axId val="15574668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5748224"/>
        <c:crosses val="autoZero"/>
        <c:auto val="1"/>
        <c:lblAlgn val="ctr"/>
        <c:lblOffset val="100"/>
        <c:noMultiLvlLbl val="0"/>
      </c:catAx>
      <c:valAx>
        <c:axId val="155748224"/>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574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en-US" sz="900" b="1"/>
              <a:t>≤</a:t>
            </a:r>
            <a:r>
              <a:rPr lang="lt-LT" sz="900" b="1"/>
              <a:t>D energinio naudingumo klasė</a:t>
            </a:r>
            <a:endParaRPr lang="en-US" sz="900" b="1"/>
          </a:p>
        </c:rich>
      </c:tx>
      <c:overlay val="0"/>
      <c:spPr>
        <a:noFill/>
        <a:ln>
          <a:noFill/>
        </a:ln>
        <a:effectLst/>
      </c:spPr>
    </c:title>
    <c:autoTitleDeleted val="0"/>
    <c:plotArea>
      <c:layout/>
      <c:barChart>
        <c:barDir val="col"/>
        <c:grouping val="clustered"/>
        <c:varyColors val="0"/>
        <c:ser>
          <c:idx val="0"/>
          <c:order val="0"/>
          <c:spPr>
            <a:solidFill>
              <a:schemeClr val="bg1">
                <a:lumMod val="50000"/>
              </a:schemeClr>
            </a:solidFill>
            <a:ln>
              <a:noFill/>
            </a:ln>
            <a:effectLst/>
          </c:spPr>
          <c:invertIfNegative val="0"/>
          <c:dLbls>
            <c:dLbl>
              <c:idx val="2"/>
              <c:layout>
                <c:manualLayout>
                  <c:x val="0"/>
                  <c:y val="0.108667119375055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41-48E8-BFBE-6DF66D4248DC}"/>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2"/>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Sheet3!$AE$36:$AG$36</c:f>
              <c:strCache>
                <c:ptCount val="3"/>
                <c:pt idx="0">
                  <c:v>Šildymas</c:v>
                </c:pt>
                <c:pt idx="1">
                  <c:v>Karštas vanuo</c:v>
                </c:pt>
                <c:pt idx="2">
                  <c:v>Elektra</c:v>
                </c:pt>
              </c:strCache>
            </c:strRef>
          </c:cat>
          <c:val>
            <c:numRef>
              <c:f>Sheet3!$AE$37:$AG$37</c:f>
              <c:numCache>
                <c:formatCode>#\.##0;\-#\.##0;\-</c:formatCode>
                <c:ptCount val="3"/>
                <c:pt idx="0">
                  <c:v>106.80804285730738</c:v>
                </c:pt>
                <c:pt idx="1">
                  <c:v>70.81</c:v>
                </c:pt>
                <c:pt idx="2">
                  <c:v>20.6</c:v>
                </c:pt>
              </c:numCache>
            </c:numRef>
          </c:val>
          <c:extLst xmlns:c16r2="http://schemas.microsoft.com/office/drawing/2015/06/chart">
            <c:ext xmlns:c16="http://schemas.microsoft.com/office/drawing/2014/chart" uri="{C3380CC4-5D6E-409C-BE32-E72D297353CC}">
              <c16:uniqueId val="{00000000-725D-41B3-A26F-2349F8E0AAFE}"/>
            </c:ext>
          </c:extLst>
        </c:ser>
        <c:ser>
          <c:idx val="1"/>
          <c:order val="1"/>
          <c:spPr>
            <a:noFill/>
            <a:ln>
              <a:noFill/>
            </a:ln>
            <a:effectLst/>
          </c:spPr>
          <c:invertIfNegative val="0"/>
          <c:cat>
            <c:strRef>
              <c:f>Sheet3!$AE$36:$AG$36</c:f>
              <c:strCache>
                <c:ptCount val="3"/>
                <c:pt idx="0">
                  <c:v>Šildymas</c:v>
                </c:pt>
                <c:pt idx="1">
                  <c:v>Karštas vanuo</c:v>
                </c:pt>
                <c:pt idx="2">
                  <c:v>Elektra</c:v>
                </c:pt>
              </c:strCache>
            </c:strRef>
          </c:cat>
          <c:val>
            <c:numRef>
              <c:f>Sheet3!$AE$38:$AG$38</c:f>
              <c:numCache>
                <c:formatCode>#\.##0;\-#\.##0;\-</c:formatCode>
                <c:ptCount val="3"/>
                <c:pt idx="0">
                  <c:v>106.80804285730738</c:v>
                </c:pt>
                <c:pt idx="1">
                  <c:v>70.81</c:v>
                </c:pt>
                <c:pt idx="2">
                  <c:v>20.6</c:v>
                </c:pt>
              </c:numCache>
            </c:numRef>
          </c:val>
          <c:extLst xmlns:c16r2="http://schemas.microsoft.com/office/drawing/2015/06/chart">
            <c:ext xmlns:c16="http://schemas.microsoft.com/office/drawing/2014/chart" uri="{C3380CC4-5D6E-409C-BE32-E72D297353CC}">
              <c16:uniqueId val="{00000004-725D-41B3-A26F-2349F8E0AAFE}"/>
            </c:ext>
            <c:ext xmlns:c15="http://schemas.microsoft.com/office/drawing/2012/chart" uri="{02D57815-91ED-43cb-92C2-25804820EDAC}">
              <c15:datalabelsRange>
                <c15:f>Sheet3!$AE$39:$AG$39</c15:f>
                <c15:dlblRangeCache>
                  <c:ptCount val="3"/>
                  <c:pt idx="0">
                    <c:v>54%</c:v>
                  </c:pt>
                  <c:pt idx="1">
                    <c:v>36%</c:v>
                  </c:pt>
                  <c:pt idx="2">
                    <c:v>10%</c:v>
                  </c:pt>
                </c15:dlblRangeCache>
              </c15:datalabelsRange>
            </c:ext>
          </c:extLst>
        </c:ser>
        <c:dLbls>
          <c:showLegendKey val="0"/>
          <c:showVal val="0"/>
          <c:showCatName val="0"/>
          <c:showSerName val="0"/>
          <c:showPercent val="0"/>
          <c:showBubbleSize val="0"/>
        </c:dLbls>
        <c:gapWidth val="50"/>
        <c:overlap val="100"/>
        <c:axId val="155772032"/>
        <c:axId val="155773568"/>
      </c:barChart>
      <c:catAx>
        <c:axId val="15577203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773568"/>
        <c:crosses val="autoZero"/>
        <c:auto val="1"/>
        <c:lblAlgn val="ctr"/>
        <c:lblOffset val="100"/>
        <c:noMultiLvlLbl val="0"/>
      </c:catAx>
      <c:valAx>
        <c:axId val="155773568"/>
        <c:scaling>
          <c:orientation val="minMax"/>
          <c:max val="14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r>
                  <a:rPr lang="lt-LT" sz="800" b="1"/>
                  <a:t>kWh/m</a:t>
                </a:r>
                <a:r>
                  <a:rPr lang="lt-LT" sz="800" b="1" baseline="30000"/>
                  <a:t>2</a:t>
                </a:r>
                <a:r>
                  <a:rPr lang="lt-LT" sz="800" b="1"/>
                  <a:t>/metus</a:t>
                </a:r>
                <a:endParaRPr lang="en-US" sz="800" b="1"/>
              </a:p>
            </c:rich>
          </c:tx>
          <c:layout>
            <c:manualLayout>
              <c:xMode val="edge"/>
              <c:yMode val="edge"/>
              <c:x val="3.2942145357216387E-2"/>
              <c:y val="0.3294873855053832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772032"/>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A++ energinio naudingumo klasė</a:t>
            </a:r>
            <a:endParaRPr lang="en-US" sz="900" b="1"/>
          </a:p>
        </c:rich>
      </c:tx>
      <c:overlay val="0"/>
      <c:spPr>
        <a:noFill/>
        <a:ln>
          <a:noFill/>
        </a:ln>
        <a:effectLst/>
      </c:spPr>
    </c:title>
    <c:autoTitleDeleted val="0"/>
    <c:plotArea>
      <c:layout>
        <c:manualLayout>
          <c:layoutTarget val="inner"/>
          <c:xMode val="edge"/>
          <c:yMode val="edge"/>
          <c:x val="0.17673518406063093"/>
          <c:y val="0.20408163265306123"/>
          <c:w val="0.77986647080575522"/>
          <c:h val="0.65121790651744571"/>
        </c:manualLayout>
      </c:layout>
      <c:barChart>
        <c:barDir val="col"/>
        <c:grouping val="clustered"/>
        <c:varyColors val="0"/>
        <c:ser>
          <c:idx val="0"/>
          <c:order val="0"/>
          <c:spPr>
            <a:solidFill>
              <a:schemeClr val="bg1">
                <a:lumMod val="50000"/>
              </a:schemeClr>
            </a:solidFill>
            <a:ln>
              <a:noFill/>
            </a:ln>
            <a:effectLst/>
          </c:spPr>
          <c:invertIfNegative val="0"/>
          <c:dLbls>
            <c:dLbl>
              <c:idx val="0"/>
              <c:layout>
                <c:manualLayout>
                  <c:x val="0"/>
                  <c:y val="0.10784343201339452"/>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1CBB-4E9D-82C5-C35526A9BE0D}"/>
                </c:ext>
                <c:ext xmlns:c15="http://schemas.microsoft.com/office/drawing/2012/chart" uri="{CE6537A1-D6FC-4f65-9D91-7224C49458BB}">
                  <c15:dlblFieldTable/>
                  <c15:showDataLabelsRange val="1"/>
                </c:ext>
              </c:extLst>
            </c:dLbl>
            <c:dLbl>
              <c:idx val="1"/>
              <c:layout>
                <c:manualLayout>
                  <c:x val="0"/>
                  <c:y val="0.239730085582620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78-4C1C-9449-00FE2BCB845E}"/>
                </c:ext>
                <c:ext xmlns:c15="http://schemas.microsoft.com/office/drawing/2012/chart" uri="{CE6537A1-D6FC-4f65-9D91-7224C49458BB}">
                  <c15:layout>
                    <c:manualLayout>
                      <c:w val="9.6919600905121667E-2"/>
                      <c:h val="0.44812376563528633"/>
                    </c:manualLayout>
                  </c15:layout>
                  <c15:dlblFieldTable/>
                  <c15:showDataLabelsRange val="1"/>
                </c:ext>
              </c:extLst>
            </c:dLbl>
            <c:dLbl>
              <c:idx val="2"/>
              <c:layout>
                <c:manualLayout>
                  <c:x val="-1.579760581434622E-16"/>
                  <c:y val="0.1220083664657125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20-49CE-9D33-F344CA23D31F}"/>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'15'!$W$4:$Y$4</c:f>
              <c:strCache>
                <c:ptCount val="3"/>
                <c:pt idx="0">
                  <c:v>Šildymas</c:v>
                </c:pt>
                <c:pt idx="1">
                  <c:v>Karštas vanduo</c:v>
                </c:pt>
                <c:pt idx="2">
                  <c:v>Elektra</c:v>
                </c:pt>
              </c:strCache>
            </c:strRef>
          </c:cat>
          <c:val>
            <c:numRef>
              <c:f>'15'!$W$5:$Y$5</c:f>
              <c:numCache>
                <c:formatCode>0</c:formatCode>
                <c:ptCount val="3"/>
                <c:pt idx="0">
                  <c:v>15.0052820353923</c:v>
                </c:pt>
                <c:pt idx="1">
                  <c:v>49.309999999999995</c:v>
                </c:pt>
                <c:pt idx="2">
                  <c:v>24.700000000000003</c:v>
                </c:pt>
              </c:numCache>
            </c:numRef>
          </c:val>
          <c:extLst xmlns:c16r2="http://schemas.microsoft.com/office/drawing/2015/06/chart">
            <c:ext xmlns:c16="http://schemas.microsoft.com/office/drawing/2014/chart" uri="{C3380CC4-5D6E-409C-BE32-E72D297353CC}">
              <c16:uniqueId val="{00000003-5120-49CE-9D33-F344CA23D31F}"/>
            </c:ext>
            <c:ext xmlns:c15="http://schemas.microsoft.com/office/drawing/2012/chart" uri="{02D57815-91ED-43cb-92C2-25804820EDAC}">
              <c15:datalabelsRange>
                <c15:f>'15'!$W$6:$Y$6</c15:f>
                <c15:dlblRangeCache>
                  <c:ptCount val="3"/>
                  <c:pt idx="0">
                    <c:v>17%</c:v>
                  </c:pt>
                  <c:pt idx="1">
                    <c:v>55%</c:v>
                  </c:pt>
                  <c:pt idx="2">
                    <c:v>28%</c:v>
                  </c:pt>
                </c15:dlblRangeCache>
              </c15:datalabelsRange>
            </c:ext>
          </c:extLst>
        </c:ser>
        <c:dLbls>
          <c:dLblPos val="outEnd"/>
          <c:showLegendKey val="0"/>
          <c:showVal val="1"/>
          <c:showCatName val="0"/>
          <c:showSerName val="0"/>
          <c:showPercent val="0"/>
          <c:showBubbleSize val="0"/>
        </c:dLbls>
        <c:gapWidth val="50"/>
        <c:overlap val="-27"/>
        <c:axId val="156083328"/>
        <c:axId val="156090368"/>
      </c:barChart>
      <c:catAx>
        <c:axId val="1560833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6090368"/>
        <c:crosses val="autoZero"/>
        <c:auto val="1"/>
        <c:lblAlgn val="ctr"/>
        <c:lblOffset val="100"/>
        <c:noMultiLvlLbl val="0"/>
      </c:catAx>
      <c:valAx>
        <c:axId val="156090368"/>
        <c:scaling>
          <c:orientation val="minMax"/>
          <c:max val="14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r>
                  <a:rPr lang="lt-LT" b="1"/>
                  <a:t>kWh/m</a:t>
                </a:r>
                <a:r>
                  <a:rPr lang="lt-LT" b="1" baseline="30000"/>
                  <a:t>2</a:t>
                </a:r>
                <a:r>
                  <a:rPr lang="lt-LT" b="1"/>
                  <a:t>/metus</a:t>
                </a:r>
              </a:p>
            </c:rich>
          </c:tx>
          <c:layout>
            <c:manualLayout>
              <c:xMode val="edge"/>
              <c:yMode val="edge"/>
              <c:x val="2.5829553511756743E-2"/>
              <c:y val="0.3232550424284522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6083328"/>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Šiluminės energijos vartojimas, GWh/metus</a:t>
            </a:r>
          </a:p>
        </c:rich>
      </c:tx>
      <c:overlay val="0"/>
      <c:spPr>
        <a:noFill/>
        <a:ln>
          <a:noFill/>
        </a:ln>
        <a:effectLst/>
      </c:spPr>
    </c:title>
    <c:autoTitleDeleted val="0"/>
    <c:plotArea>
      <c:layout>
        <c:manualLayout>
          <c:layoutTarget val="inner"/>
          <c:xMode val="edge"/>
          <c:yMode val="edge"/>
          <c:x val="0.28196543862674101"/>
          <c:y val="0.18762343647136273"/>
          <c:w val="0.3914624723004515"/>
          <c:h val="0.63551445470237877"/>
        </c:manualLayout>
      </c:layout>
      <c:pieChart>
        <c:varyColors val="1"/>
        <c:ser>
          <c:idx val="0"/>
          <c:order val="0"/>
          <c:spPr>
            <a:solidFill>
              <a:schemeClr val="bg1">
                <a:lumMod val="65000"/>
              </a:schemeClr>
            </a:solidFill>
            <a:ln w="9525"/>
          </c:spPr>
          <c:dPt>
            <c:idx val="0"/>
            <c:bubble3D val="0"/>
            <c:spPr>
              <a:solidFill>
                <a:schemeClr val="bg1">
                  <a:lumMod val="65000"/>
                </a:schemeClr>
              </a:solidFill>
              <a:ln w="9525">
                <a:solidFill>
                  <a:schemeClr val="lt1"/>
                </a:solidFill>
              </a:ln>
              <a:effectLst/>
            </c:spPr>
            <c:extLst xmlns:c16r2="http://schemas.microsoft.com/office/drawing/2015/06/chart">
              <c:ext xmlns:c16="http://schemas.microsoft.com/office/drawing/2014/chart" uri="{C3380CC4-5D6E-409C-BE32-E72D297353CC}">
                <c16:uniqueId val="{00000001-21B0-4180-894D-9FF115EC6434}"/>
              </c:ext>
            </c:extLst>
          </c:dPt>
          <c:dPt>
            <c:idx val="1"/>
            <c:bubble3D val="0"/>
            <c:spPr>
              <a:solidFill>
                <a:srgbClr val="002060"/>
              </a:solidFill>
              <a:ln w="9525">
                <a:solidFill>
                  <a:schemeClr val="lt1"/>
                </a:solidFill>
              </a:ln>
              <a:effectLst/>
            </c:spPr>
            <c:extLst xmlns:c16r2="http://schemas.microsoft.com/office/drawing/2015/06/chart">
              <c:ext xmlns:c16="http://schemas.microsoft.com/office/drawing/2014/chart" uri="{C3380CC4-5D6E-409C-BE32-E72D297353CC}">
                <c16:uniqueId val="{00000003-21B0-4180-894D-9FF115EC6434}"/>
              </c:ext>
            </c:extLst>
          </c:dPt>
          <c:dLbls>
            <c:dLbl>
              <c:idx val="1"/>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in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Sheet1!$C$26:$D$26</c:f>
              <c:strCache>
                <c:ptCount val="2"/>
                <c:pt idx="0">
                  <c:v>Šilumai</c:v>
                </c:pt>
                <c:pt idx="1">
                  <c:v>Karštam vandeniui</c:v>
                </c:pt>
              </c:strCache>
            </c:strRef>
          </c:cat>
          <c:val>
            <c:numRef>
              <c:f>Sheet1!$C$31:$D$31</c:f>
              <c:numCache>
                <c:formatCode>#,##0</c:formatCode>
                <c:ptCount val="2"/>
                <c:pt idx="0">
                  <c:v>20143</c:v>
                </c:pt>
                <c:pt idx="1">
                  <c:v>8491</c:v>
                </c:pt>
              </c:numCache>
            </c:numRef>
          </c:val>
          <c:extLst xmlns:c16r2="http://schemas.microsoft.com/office/drawing/2015/06/chart">
            <c:ext xmlns:c16="http://schemas.microsoft.com/office/drawing/2014/chart" uri="{C3380CC4-5D6E-409C-BE32-E72D297353CC}">
              <c16:uniqueId val="{00000004-21B0-4180-894D-9FF115EC6434}"/>
            </c:ext>
            <c:ext xmlns:c15="http://schemas.microsoft.com/office/drawing/2012/chart" uri="{02D57815-91ED-43cb-92C2-25804820EDAC}">
              <c15:datalabelsRange>
                <c15:f>Sheet1!$F$31:$G$31</c15:f>
                <c15:dlblRangeCache>
                  <c:ptCount val="2"/>
                  <c:pt idx="0">
                    <c:v>70%</c:v>
                  </c:pt>
                  <c:pt idx="1">
                    <c:v>30%</c:v>
                  </c:pt>
                </c15:dlblRangeCache>
              </c15:datalabelsRang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Šiluminės energijos vartojimas, GWh/metus</a:t>
            </a:r>
          </a:p>
        </c:rich>
      </c:tx>
      <c:overlay val="0"/>
      <c:spPr>
        <a:noFill/>
        <a:ln>
          <a:noFill/>
        </a:ln>
        <a:effectLst/>
      </c:spPr>
    </c:title>
    <c:autoTitleDeleted val="0"/>
    <c:plotArea>
      <c:layout/>
      <c:barChart>
        <c:barDir val="col"/>
        <c:grouping val="stacked"/>
        <c:varyColors val="0"/>
        <c:ser>
          <c:idx val="0"/>
          <c:order val="0"/>
          <c:tx>
            <c:strRef>
              <c:f>Sheet1!$C$26</c:f>
              <c:strCache>
                <c:ptCount val="1"/>
                <c:pt idx="0">
                  <c:v>Šilumai</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Sheet1!$B$27:$B$30</c:f>
              <c:strCache>
                <c:ptCount val="4"/>
                <c:pt idx="0">
                  <c:v>IND</c:v>
                </c:pt>
                <c:pt idx="1">
                  <c:v>DGB</c:v>
                </c:pt>
                <c:pt idx="2">
                  <c:v>PRA</c:v>
                </c:pt>
                <c:pt idx="3">
                  <c:v>NEG</c:v>
                </c:pt>
              </c:strCache>
            </c:strRef>
          </c:cat>
          <c:val>
            <c:numRef>
              <c:f>Sheet1!$C$27:$C$30</c:f>
              <c:numCache>
                <c:formatCode>#,##0</c:formatCode>
                <c:ptCount val="4"/>
                <c:pt idx="0">
                  <c:v>9089</c:v>
                </c:pt>
                <c:pt idx="1">
                  <c:v>4384</c:v>
                </c:pt>
                <c:pt idx="2">
                  <c:v>3784</c:v>
                </c:pt>
                <c:pt idx="3" formatCode="General">
                  <c:v>2886</c:v>
                </c:pt>
              </c:numCache>
            </c:numRef>
          </c:val>
          <c:extLst xmlns:c16r2="http://schemas.microsoft.com/office/drawing/2015/06/chart">
            <c:ext xmlns:c16="http://schemas.microsoft.com/office/drawing/2014/chart" uri="{C3380CC4-5D6E-409C-BE32-E72D297353CC}">
              <c16:uniqueId val="{00000004-ACD8-4E5E-8F12-AE9A47E254AD}"/>
            </c:ext>
            <c:ext xmlns:c15="http://schemas.microsoft.com/office/drawing/2012/chart" uri="{02D57815-91ED-43cb-92C2-25804820EDAC}">
              <c15:datalabelsRange>
                <c15:f>Sheet1!$F$27:$F$30</c15:f>
                <c15:dlblRangeCache>
                  <c:ptCount val="4"/>
                  <c:pt idx="0">
                    <c:v>91%</c:v>
                  </c:pt>
                  <c:pt idx="1">
                    <c:v>59%</c:v>
                  </c:pt>
                  <c:pt idx="2">
                    <c:v>70%</c:v>
                  </c:pt>
                  <c:pt idx="3">
                    <c:v>50%</c:v>
                  </c:pt>
                </c15:dlblRangeCache>
              </c15:datalabelsRange>
            </c:ext>
          </c:extLst>
        </c:ser>
        <c:ser>
          <c:idx val="1"/>
          <c:order val="1"/>
          <c:tx>
            <c:strRef>
              <c:f>Sheet1!$D$26</c:f>
              <c:strCache>
                <c:ptCount val="1"/>
                <c:pt idx="0">
                  <c:v>Karštam vandeniui</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Sheet1!$B$27:$B$30</c:f>
              <c:strCache>
                <c:ptCount val="4"/>
                <c:pt idx="0">
                  <c:v>IND</c:v>
                </c:pt>
                <c:pt idx="1">
                  <c:v>DGB</c:v>
                </c:pt>
                <c:pt idx="2">
                  <c:v>PRA</c:v>
                </c:pt>
                <c:pt idx="3">
                  <c:v>NEG</c:v>
                </c:pt>
              </c:strCache>
            </c:strRef>
          </c:cat>
          <c:val>
            <c:numRef>
              <c:f>Sheet1!$D$27:$D$30</c:f>
              <c:numCache>
                <c:formatCode>#,##0</c:formatCode>
                <c:ptCount val="4"/>
                <c:pt idx="0">
                  <c:v>908</c:v>
                </c:pt>
                <c:pt idx="1">
                  <c:v>3076</c:v>
                </c:pt>
                <c:pt idx="2">
                  <c:v>1645</c:v>
                </c:pt>
                <c:pt idx="3" formatCode="General">
                  <c:v>2862</c:v>
                </c:pt>
              </c:numCache>
            </c:numRef>
          </c:val>
          <c:extLst xmlns:c16r2="http://schemas.microsoft.com/office/drawing/2015/06/chart">
            <c:ext xmlns:c16="http://schemas.microsoft.com/office/drawing/2014/chart" uri="{C3380CC4-5D6E-409C-BE32-E72D297353CC}">
              <c16:uniqueId val="{00000009-ACD8-4E5E-8F12-AE9A47E254AD}"/>
            </c:ext>
            <c:ext xmlns:c15="http://schemas.microsoft.com/office/drawing/2012/chart" uri="{02D57815-91ED-43cb-92C2-25804820EDAC}">
              <c15:datalabelsRange>
                <c15:f>Sheet1!$G$27:$G$30</c15:f>
                <c15:dlblRangeCache>
                  <c:ptCount val="4"/>
                  <c:pt idx="0">
                    <c:v>9%</c:v>
                  </c:pt>
                  <c:pt idx="1">
                    <c:v>41%</c:v>
                  </c:pt>
                  <c:pt idx="2">
                    <c:v>30%</c:v>
                  </c:pt>
                  <c:pt idx="3">
                    <c:v>50%</c:v>
                  </c:pt>
                </c15:dlblRangeCache>
              </c15:datalabelsRange>
            </c:ext>
          </c:extLst>
        </c:ser>
        <c:dLbls>
          <c:showLegendKey val="0"/>
          <c:showVal val="0"/>
          <c:showCatName val="0"/>
          <c:showSerName val="0"/>
          <c:showPercent val="0"/>
          <c:showBubbleSize val="0"/>
        </c:dLbls>
        <c:gapWidth val="150"/>
        <c:overlap val="100"/>
        <c:axId val="155352448"/>
        <c:axId val="155358336"/>
      </c:barChart>
      <c:lineChart>
        <c:grouping val="standard"/>
        <c:varyColors val="0"/>
        <c:ser>
          <c:idx val="2"/>
          <c:order val="2"/>
          <c:tx>
            <c:strRef>
              <c:f>Sheet1!$E$26</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Sheet1!$B$27:$B$30</c:f>
              <c:strCache>
                <c:ptCount val="4"/>
                <c:pt idx="0">
                  <c:v>IND</c:v>
                </c:pt>
                <c:pt idx="1">
                  <c:v>DGB</c:v>
                </c:pt>
                <c:pt idx="2">
                  <c:v>PRA</c:v>
                </c:pt>
                <c:pt idx="3">
                  <c:v>NEG</c:v>
                </c:pt>
              </c:strCache>
            </c:strRef>
          </c:cat>
          <c:val>
            <c:numRef>
              <c:f>Sheet1!$E$27:$E$30</c:f>
              <c:numCache>
                <c:formatCode>#,##0</c:formatCode>
                <c:ptCount val="4"/>
                <c:pt idx="0">
                  <c:v>9997</c:v>
                </c:pt>
                <c:pt idx="1">
                  <c:v>7460</c:v>
                </c:pt>
                <c:pt idx="2">
                  <c:v>5429</c:v>
                </c:pt>
                <c:pt idx="3">
                  <c:v>5748</c:v>
                </c:pt>
              </c:numCache>
            </c:numRef>
          </c:val>
          <c:smooth val="0"/>
          <c:extLst xmlns:c16r2="http://schemas.microsoft.com/office/drawing/2015/06/chart">
            <c:ext xmlns:c16="http://schemas.microsoft.com/office/drawing/2014/chart" uri="{C3380CC4-5D6E-409C-BE32-E72D297353CC}">
              <c16:uniqueId val="{0000000A-ACD8-4E5E-8F12-AE9A47E254AD}"/>
            </c:ext>
          </c:extLst>
        </c:ser>
        <c:dLbls>
          <c:showLegendKey val="0"/>
          <c:showVal val="0"/>
          <c:showCatName val="0"/>
          <c:showSerName val="0"/>
          <c:showPercent val="0"/>
          <c:showBubbleSize val="0"/>
        </c:dLbls>
        <c:marker val="1"/>
        <c:smooth val="0"/>
        <c:axId val="155352448"/>
        <c:axId val="155358336"/>
      </c:lineChart>
      <c:catAx>
        <c:axId val="1553524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5358336"/>
        <c:crosses val="autoZero"/>
        <c:auto val="1"/>
        <c:lblAlgn val="ctr"/>
        <c:lblOffset val="100"/>
        <c:noMultiLvlLbl val="0"/>
      </c:catAx>
      <c:valAx>
        <c:axId val="15535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35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Patiektos energijos vartojimas, GWh/metus</a:t>
            </a:r>
          </a:p>
        </c:rich>
      </c:tx>
      <c:overlay val="0"/>
      <c:spPr>
        <a:noFill/>
        <a:ln>
          <a:noFill/>
        </a:ln>
        <a:effectLst/>
      </c:spPr>
    </c:title>
    <c:autoTitleDeleted val="0"/>
    <c:plotArea>
      <c:layout>
        <c:manualLayout>
          <c:layoutTarget val="inner"/>
          <c:xMode val="edge"/>
          <c:yMode val="edge"/>
          <c:x val="0.33829905557609202"/>
          <c:y val="0.28535816663470059"/>
          <c:w val="0.3483291842362663"/>
          <c:h val="0.55196072841125277"/>
        </c:manualLayout>
      </c:layout>
      <c:pieChart>
        <c:varyColors val="1"/>
        <c:ser>
          <c:idx val="0"/>
          <c:order val="0"/>
          <c:dPt>
            <c:idx val="0"/>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3E3-463D-BB49-C0CF6D5CDE5B}"/>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E3E3-463D-BB49-C0CF6D5CDE5B}"/>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E3E3-463D-BB49-C0CF6D5CDE5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Sheet1!$AH$15:$AJ$15</c:f>
              <c:strCache>
                <c:ptCount val="3"/>
                <c:pt idx="0">
                  <c:v>Šiluma</c:v>
                </c:pt>
                <c:pt idx="1">
                  <c:v>KV</c:v>
                </c:pt>
                <c:pt idx="2">
                  <c:v>Elektra</c:v>
                </c:pt>
              </c:strCache>
            </c:strRef>
          </c:cat>
          <c:val>
            <c:numRef>
              <c:f>Sheet1!$AH$20:$AJ$20</c:f>
              <c:numCache>
                <c:formatCode>#,##0</c:formatCode>
                <c:ptCount val="3"/>
                <c:pt idx="0">
                  <c:v>20143</c:v>
                </c:pt>
                <c:pt idx="1">
                  <c:v>8491</c:v>
                </c:pt>
                <c:pt idx="2">
                  <c:v>2548</c:v>
                </c:pt>
              </c:numCache>
            </c:numRef>
          </c:val>
          <c:extLst xmlns:c16r2="http://schemas.microsoft.com/office/drawing/2015/06/chart">
            <c:ext xmlns:c15="http://schemas.microsoft.com/office/drawing/2012/chart" uri="{02D57815-91ED-43cb-92C2-25804820EDAC}">
              <c15:datalabelsRange>
                <c15:f>Sheet1!$AH$21:$AJ$21</c15:f>
                <c15:dlblRangeCache>
                  <c:ptCount val="3"/>
                  <c:pt idx="0">
                    <c:v>65%</c:v>
                  </c:pt>
                  <c:pt idx="1">
                    <c:v>27%</c:v>
                  </c:pt>
                  <c:pt idx="2">
                    <c:v>8%</c:v>
                  </c:pt>
                </c15:dlblRangeCache>
              </c15:datalabelsRange>
            </c:ext>
            <c:ext xmlns:c16="http://schemas.microsoft.com/office/drawing/2014/chart" uri="{C3380CC4-5D6E-409C-BE32-E72D297353CC}">
              <c16:uniqueId val="{00000006-E3E3-463D-BB49-C0CF6D5CDE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Patiektos energijos vartojimas, GWh/metus</a:t>
            </a:r>
          </a:p>
        </c:rich>
      </c:tx>
      <c:overlay val="0"/>
      <c:spPr>
        <a:noFill/>
        <a:ln>
          <a:noFill/>
        </a:ln>
        <a:effectLst/>
      </c:spPr>
    </c:title>
    <c:autoTitleDeleted val="0"/>
    <c:plotArea>
      <c:layout/>
      <c:barChart>
        <c:barDir val="bar"/>
        <c:grouping val="stacked"/>
        <c:varyColors val="0"/>
        <c:ser>
          <c:idx val="0"/>
          <c:order val="0"/>
          <c:tx>
            <c:strRef>
              <c:f>Sheet1!$AH$10</c:f>
              <c:strCache>
                <c:ptCount val="1"/>
                <c:pt idx="0">
                  <c:v>Šiluma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Sheet1!$AG$16:$AG$19</c:f>
              <c:strCache>
                <c:ptCount val="4"/>
                <c:pt idx="0">
                  <c:v>NEG</c:v>
                </c:pt>
                <c:pt idx="1">
                  <c:v>PRA</c:v>
                </c:pt>
                <c:pt idx="2">
                  <c:v>DGB</c:v>
                </c:pt>
                <c:pt idx="3">
                  <c:v>IND</c:v>
                </c:pt>
              </c:strCache>
            </c:strRef>
          </c:cat>
          <c:val>
            <c:numRef>
              <c:f>Sheet1!$AH$16:$AH$19</c:f>
              <c:numCache>
                <c:formatCode>General</c:formatCode>
                <c:ptCount val="4"/>
                <c:pt idx="0" formatCode="#,##0">
                  <c:v>2886</c:v>
                </c:pt>
                <c:pt idx="1">
                  <c:v>3784</c:v>
                </c:pt>
                <c:pt idx="2">
                  <c:v>4384</c:v>
                </c:pt>
                <c:pt idx="3" formatCode="#,##0">
                  <c:v>9089</c:v>
                </c:pt>
              </c:numCache>
            </c:numRef>
          </c:val>
          <c:extLst xmlns:c16r2="http://schemas.microsoft.com/office/drawing/2015/06/chart">
            <c:ext xmlns:c16="http://schemas.microsoft.com/office/drawing/2014/chart" uri="{C3380CC4-5D6E-409C-BE32-E72D297353CC}">
              <c16:uniqueId val="{00000004-B0D0-4414-9A26-FA1B9115285E}"/>
            </c:ext>
            <c:ext xmlns:c15="http://schemas.microsoft.com/office/drawing/2012/chart" uri="{02D57815-91ED-43cb-92C2-25804820EDAC}">
              <c15:datalabelsRange>
                <c15:f>Sheet1!$AL$16:$AL$19</c15:f>
                <c15:dlblRangeCache>
                  <c:ptCount val="4"/>
                  <c:pt idx="0">
                    <c:v>46%</c:v>
                  </c:pt>
                  <c:pt idx="1">
                    <c:v>65%</c:v>
                  </c:pt>
                  <c:pt idx="2">
                    <c:v>52%</c:v>
                  </c:pt>
                  <c:pt idx="3">
                    <c:v>85%</c:v>
                  </c:pt>
                </c15:dlblRangeCache>
              </c15:datalabelsRange>
            </c:ext>
          </c:extLst>
        </c:ser>
        <c:ser>
          <c:idx val="1"/>
          <c:order val="1"/>
          <c:tx>
            <c:strRef>
              <c:f>Sheet1!$AI$10</c:f>
              <c:strCache>
                <c:ptCount val="1"/>
                <c:pt idx="0">
                  <c:v>KV</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Sheet1!$AG$16:$AG$19</c:f>
              <c:strCache>
                <c:ptCount val="4"/>
                <c:pt idx="0">
                  <c:v>NEG</c:v>
                </c:pt>
                <c:pt idx="1">
                  <c:v>PRA</c:v>
                </c:pt>
                <c:pt idx="2">
                  <c:v>DGB</c:v>
                </c:pt>
                <c:pt idx="3">
                  <c:v>IND</c:v>
                </c:pt>
              </c:strCache>
            </c:strRef>
          </c:cat>
          <c:val>
            <c:numRef>
              <c:f>Sheet1!$AI$16:$AI$19</c:f>
              <c:numCache>
                <c:formatCode>General</c:formatCode>
                <c:ptCount val="4"/>
                <c:pt idx="0" formatCode="#,##0">
                  <c:v>2862</c:v>
                </c:pt>
                <c:pt idx="1">
                  <c:v>1645</c:v>
                </c:pt>
                <c:pt idx="2">
                  <c:v>3076</c:v>
                </c:pt>
                <c:pt idx="3" formatCode="#,##0">
                  <c:v>908</c:v>
                </c:pt>
              </c:numCache>
            </c:numRef>
          </c:val>
          <c:extLst xmlns:c16r2="http://schemas.microsoft.com/office/drawing/2015/06/chart">
            <c:ext xmlns:c16="http://schemas.microsoft.com/office/drawing/2014/chart" uri="{C3380CC4-5D6E-409C-BE32-E72D297353CC}">
              <c16:uniqueId val="{00000009-B0D0-4414-9A26-FA1B9115285E}"/>
            </c:ext>
            <c:ext xmlns:c15="http://schemas.microsoft.com/office/drawing/2012/chart" uri="{02D57815-91ED-43cb-92C2-25804820EDAC}">
              <c15:datalabelsRange>
                <c15:f>Sheet1!$AM$16:$AM$20</c15:f>
                <c15:dlblRangeCache>
                  <c:ptCount val="5"/>
                  <c:pt idx="0">
                    <c:v>46%</c:v>
                  </c:pt>
                  <c:pt idx="1">
                    <c:v>28%</c:v>
                  </c:pt>
                  <c:pt idx="2">
                    <c:v>36%</c:v>
                  </c:pt>
                  <c:pt idx="3">
                    <c:v>9%</c:v>
                  </c:pt>
                </c15:dlblRangeCache>
              </c15:datalabelsRange>
            </c:ext>
          </c:extLst>
        </c:ser>
        <c:ser>
          <c:idx val="2"/>
          <c:order val="2"/>
          <c:tx>
            <c:strRef>
              <c:f>Sheet1!$AJ$10</c:f>
              <c:strCache>
                <c:ptCount val="1"/>
                <c:pt idx="0">
                  <c:v>Elektra</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Sheet1!$AG$16:$AG$19</c:f>
              <c:strCache>
                <c:ptCount val="4"/>
                <c:pt idx="0">
                  <c:v>NEG</c:v>
                </c:pt>
                <c:pt idx="1">
                  <c:v>PRA</c:v>
                </c:pt>
                <c:pt idx="2">
                  <c:v>DGB</c:v>
                </c:pt>
                <c:pt idx="3">
                  <c:v>IND</c:v>
                </c:pt>
              </c:strCache>
            </c:strRef>
          </c:cat>
          <c:val>
            <c:numRef>
              <c:f>Sheet1!$AJ$16:$AJ$19</c:f>
              <c:numCache>
                <c:formatCode>General</c:formatCode>
                <c:ptCount val="4"/>
                <c:pt idx="0" formatCode="#,##0">
                  <c:v>460</c:v>
                </c:pt>
                <c:pt idx="1">
                  <c:v>413</c:v>
                </c:pt>
                <c:pt idx="2">
                  <c:v>991</c:v>
                </c:pt>
                <c:pt idx="3" formatCode="#,##0">
                  <c:v>684</c:v>
                </c:pt>
              </c:numCache>
            </c:numRef>
          </c:val>
          <c:extLst xmlns:c16r2="http://schemas.microsoft.com/office/drawing/2015/06/chart">
            <c:ext xmlns:c16="http://schemas.microsoft.com/office/drawing/2014/chart" uri="{C3380CC4-5D6E-409C-BE32-E72D297353CC}">
              <c16:uniqueId val="{0000000E-B0D0-4414-9A26-FA1B9115285E}"/>
            </c:ext>
            <c:ext xmlns:c15="http://schemas.microsoft.com/office/drawing/2012/chart" uri="{02D57815-91ED-43cb-92C2-25804820EDAC}">
              <c15:datalabelsRange>
                <c15:f>Sheet1!$AN$16:$AN$19</c15:f>
                <c15:dlblRangeCache>
                  <c:ptCount val="4"/>
                  <c:pt idx="0">
                    <c:v>7%</c:v>
                  </c:pt>
                  <c:pt idx="1">
                    <c:v>7%</c:v>
                  </c:pt>
                  <c:pt idx="2">
                    <c:v>12%</c:v>
                  </c:pt>
                  <c:pt idx="3">
                    <c:v>6%</c:v>
                  </c:pt>
                </c15:dlblRangeCache>
              </c15:datalabelsRange>
            </c:ext>
          </c:extLst>
        </c:ser>
        <c:ser>
          <c:idx val="3"/>
          <c:order val="3"/>
          <c:tx>
            <c:strRef>
              <c:f>Sheet1!$AK$16:$AK$19</c:f>
              <c:strCache>
                <c:ptCount val="4"/>
                <c:pt idx="0">
                  <c:v>460</c:v>
                </c:pt>
                <c:pt idx="1">
                  <c:v>413</c:v>
                </c:pt>
                <c:pt idx="2">
                  <c:v>991</c:v>
                </c:pt>
                <c:pt idx="3">
                  <c:v>684</c:v>
                </c:pt>
              </c:strCache>
            </c:strRef>
          </c:tx>
          <c:spPr>
            <a:solidFill>
              <a:schemeClr val="accent4"/>
            </a:solidFill>
            <a:ln>
              <a:noFill/>
            </a:ln>
            <a:effectLst/>
          </c:spPr>
          <c:invertIfNegative val="0"/>
          <c:val>
            <c:numRef>
              <c:f>Sheet1!$AK$16:$AK$19</c:f>
              <c:numCache>
                <c:formatCode>General</c:formatCode>
                <c:ptCount val="4"/>
              </c:numCache>
            </c:numRef>
          </c:val>
          <c:extLst xmlns:c16r2="http://schemas.microsoft.com/office/drawing/2015/06/chart">
            <c:ext xmlns:c16="http://schemas.microsoft.com/office/drawing/2014/chart" uri="{C3380CC4-5D6E-409C-BE32-E72D297353CC}">
              <c16:uniqueId val="{0000000F-B0D0-4414-9A26-FA1B9115285E}"/>
            </c:ext>
          </c:extLst>
        </c:ser>
        <c:dLbls>
          <c:showLegendKey val="0"/>
          <c:showVal val="0"/>
          <c:showCatName val="0"/>
          <c:showSerName val="0"/>
          <c:showPercent val="0"/>
          <c:showBubbleSize val="0"/>
        </c:dLbls>
        <c:gapWidth val="50"/>
        <c:overlap val="100"/>
        <c:axId val="156580480"/>
        <c:axId val="156606848"/>
      </c:barChart>
      <c:catAx>
        <c:axId val="15658048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Times New Roman" panose="02020603050405020304" pitchFamily="18" charset="0"/>
              </a:defRPr>
            </a:pPr>
            <a:endParaRPr lang="lt-LT"/>
          </a:p>
        </c:txPr>
        <c:crossAx val="156606848"/>
        <c:crosses val="autoZero"/>
        <c:auto val="1"/>
        <c:lblAlgn val="ctr"/>
        <c:lblOffset val="100"/>
        <c:noMultiLvlLbl val="0"/>
      </c:catAx>
      <c:valAx>
        <c:axId val="156606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58048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'12pirm'!$H$74</c:f>
              <c:strCache>
                <c:ptCount val="1"/>
                <c:pt idx="0">
                  <c:v>AEI</c:v>
                </c:pt>
              </c:strCache>
            </c:strRef>
          </c:tx>
          <c:spPr>
            <a:solidFill>
              <a:schemeClr val="accent1"/>
            </a:solidFill>
            <a:ln>
              <a:noFill/>
            </a:ln>
            <a:effectLst/>
          </c:spPr>
          <c:invertIfNegative val="0"/>
          <c:dLbls>
            <c:dLbl>
              <c:idx val="0"/>
              <c:tx>
                <c:rich>
                  <a:bodyPr/>
                  <a:lstStyle/>
                  <a:p>
                    <a:fld id="{BE3C4768-6500-4622-99F3-2C66C9204775}"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618EE83B-5737-40DD-80BA-D24C31B3C115}"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1FEA6DAE-A72C-42B1-AC3F-4869E96C634E}"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CD5A52AF-02CD-45FD-8F42-08368A4970F4}"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34F50578-E2B2-4783-A98C-9A21BED3BB70}"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layout>
                <c:manualLayout>
                  <c:x val="0"/>
                  <c:y val="3.9267096821230571E-2"/>
                </c:manualLayout>
              </c:layout>
              <c:tx>
                <c:rich>
                  <a:bodyPr/>
                  <a:lstStyle/>
                  <a:p>
                    <a:fld id="{C80D001C-2B81-4BB1-9C31-9755D3D03E85}" type="CELLRANGE">
                      <a:rPr lang="en-US"/>
                      <a:pPr/>
                      <a:t>[CELLRANGE]</a:t>
                    </a:fld>
                    <a:endParaRPr lang="lt-LT"/>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8EC9-477C-A3F9-7829453F8C0F}"/>
                </c:ext>
                <c:ext xmlns:c15="http://schemas.microsoft.com/office/drawing/2012/chart" uri="{CE6537A1-D6FC-4f65-9D91-7224C49458BB}">
                  <c15:dlblFieldTable/>
                  <c15:showDataLabelsRange val="1"/>
                </c:ext>
              </c:extLst>
            </c:dLbl>
            <c:dLbl>
              <c:idx val="6"/>
              <c:tx>
                <c:rich>
                  <a:bodyPr/>
                  <a:lstStyle/>
                  <a:p>
                    <a:fld id="{1385459E-C588-4568-A4DC-1B5126BB229D}"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tx>
                <c:rich>
                  <a:bodyPr/>
                  <a:lstStyle/>
                  <a:p>
                    <a:fld id="{8BD6832D-9D2C-4103-A3DE-023035768D7D}"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tx>
                <c:rich>
                  <a:bodyPr/>
                  <a:lstStyle/>
                  <a:p>
                    <a:fld id="{D07E05E0-F596-4378-8BEB-2DD8466AE832}"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tx>
                <c:rich>
                  <a:bodyPr/>
                  <a:lstStyle/>
                  <a:p>
                    <a:fld id="{0DC7AD5B-301E-4059-90AB-D6C67719C0BD}"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tx>
                <c:rich>
                  <a:bodyPr/>
                  <a:lstStyle/>
                  <a:p>
                    <a:fld id="{CAC183F3-D737-473E-ABA3-49E56C8B54BA}"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tx>
                <c:rich>
                  <a:bodyPr/>
                  <a:lstStyle/>
                  <a:p>
                    <a:fld id="{256FE650-03A8-492F-8587-B25FB92A563A}"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tx>
                <c:rich>
                  <a:bodyPr/>
                  <a:lstStyle/>
                  <a:p>
                    <a:fld id="{C67409A9-BF0B-4EA8-A309-DA0F7F031A7C}"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tx>
                <c:rich>
                  <a:bodyPr/>
                  <a:lstStyle/>
                  <a:p>
                    <a:fld id="{6F78104D-C523-4719-BF31-1896B241857A}"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tx>
                <c:rich>
                  <a:bodyPr/>
                  <a:lstStyle/>
                  <a:p>
                    <a:fld id="{7ACBCFF5-9809-4A09-BC30-A7C5959885A5}"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tx>
                <c:rich>
                  <a:bodyPr/>
                  <a:lstStyle/>
                  <a:p>
                    <a:fld id="{457B19C1-9C9F-41BC-A8A4-5705CFE1B2E3}"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Times New Roman" panose="02020603050405020304" pitchFamily="18" charset="0"/>
                  </a:defRPr>
                </a:pPr>
                <a:endParaRPr lang="lt-LT"/>
              </a:p>
            </c:txPr>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'12pirm'!$F$75:$G$90</c:f>
              <c:multiLvlStrCache>
                <c:ptCount val="16"/>
                <c:lvl>
                  <c:pt idx="0">
                    <c:v>IND</c:v>
                  </c:pt>
                  <c:pt idx="1">
                    <c:v>DGB</c:v>
                  </c:pt>
                  <c:pt idx="2">
                    <c:v>PRA</c:v>
                  </c:pt>
                  <c:pt idx="3">
                    <c:v>NEG</c:v>
                  </c:pt>
                  <c:pt idx="4">
                    <c:v>IND</c:v>
                  </c:pt>
                  <c:pt idx="5">
                    <c:v>DGB</c:v>
                  </c:pt>
                  <c:pt idx="6">
                    <c:v>NEG</c:v>
                  </c:pt>
                  <c:pt idx="7">
                    <c:v>NEG</c:v>
                  </c:pt>
                  <c:pt idx="8">
                    <c:v>IND</c:v>
                  </c:pt>
                  <c:pt idx="9">
                    <c:v>DGB</c:v>
                  </c:pt>
                  <c:pt idx="10">
                    <c:v>PRA</c:v>
                  </c:pt>
                  <c:pt idx="11">
                    <c:v>PRA</c:v>
                  </c:pt>
                  <c:pt idx="12">
                    <c:v>NEG</c:v>
                  </c:pt>
                  <c:pt idx="13">
                    <c:v>IND</c:v>
                  </c:pt>
                  <c:pt idx="14">
                    <c:v>DGB</c:v>
                  </c:pt>
                  <c:pt idx="15">
                    <c:v>PRA</c:v>
                  </c:pt>
                </c:lvl>
                <c:lvl>
                  <c:pt idx="0">
                    <c:v>≤ D</c:v>
                  </c:pt>
                  <c:pt idx="4">
                    <c:v>C</c:v>
                  </c:pt>
                  <c:pt idx="7">
                    <c:v>B</c:v>
                  </c:pt>
                  <c:pt idx="11">
                    <c:v>C</c:v>
                  </c:pt>
                  <c:pt idx="12">
                    <c:v>≥ A</c:v>
                  </c:pt>
                </c:lvl>
              </c:multiLvlStrCache>
            </c:multiLvlStrRef>
          </c:cat>
          <c:val>
            <c:numRef>
              <c:f>'12pirm'!$H$75:$H$90</c:f>
              <c:numCache>
                <c:formatCode>_(* #,##0.0_);_(* \(#,##0.0\);_(* "-"??_);_(@_)</c:formatCode>
                <c:ptCount val="16"/>
                <c:pt idx="0">
                  <c:v>4.9136246168571214</c:v>
                </c:pt>
                <c:pt idx="1">
                  <c:v>3.8645297848951761</c:v>
                </c:pt>
                <c:pt idx="2">
                  <c:v>1.5046410689200509</c:v>
                </c:pt>
                <c:pt idx="3">
                  <c:v>1.3331242048053868</c:v>
                </c:pt>
                <c:pt idx="4">
                  <c:v>1.3703194138607855</c:v>
                </c:pt>
                <c:pt idx="5">
                  <c:v>0.41559581875629015</c:v>
                </c:pt>
                <c:pt idx="6">
                  <c:v>0.20455607531656306</c:v>
                </c:pt>
                <c:pt idx="7">
                  <c:v>0.22646216146447096</c:v>
                </c:pt>
                <c:pt idx="8">
                  <c:v>0.31487800052901516</c:v>
                </c:pt>
                <c:pt idx="9">
                  <c:v>0.42883862860924876</c:v>
                </c:pt>
                <c:pt idx="10">
                  <c:v>7.2718245342154472E-2</c:v>
                </c:pt>
                <c:pt idx="11">
                  <c:v>5.2970960025967177E-2</c:v>
                </c:pt>
                <c:pt idx="12">
                  <c:v>3.8248790534520641E-2</c:v>
                </c:pt>
                <c:pt idx="13">
                  <c:v>3.9751928420991178E-2</c:v>
                </c:pt>
                <c:pt idx="14">
                  <c:v>1.9042700478410775E-2</c:v>
                </c:pt>
                <c:pt idx="15">
                  <c:v>1.0033934872296705E-2</c:v>
                </c:pt>
              </c:numCache>
            </c:numRef>
          </c:val>
          <c:extLst xmlns:c16r2="http://schemas.microsoft.com/office/drawing/2015/06/chart">
            <c:ext xmlns:c16="http://schemas.microsoft.com/office/drawing/2014/chart" uri="{C3380CC4-5D6E-409C-BE32-E72D297353CC}">
              <c16:uniqueId val="{00000010-811B-4BD5-8907-72210256BFDD}"/>
            </c:ext>
            <c:ext xmlns:c15="http://schemas.microsoft.com/office/drawing/2012/chart" uri="{02D57815-91ED-43cb-92C2-25804820EDAC}">
              <c15:datalabelsRange>
                <c15:f>'12pirm'!$I$56:$I$71</c15:f>
                <c15:dlblRangeCache>
                  <c:ptCount val="16"/>
                  <c:pt idx="0">
                    <c:v>25%</c:v>
                  </c:pt>
                  <c:pt idx="1">
                    <c:v>23%</c:v>
                  </c:pt>
                  <c:pt idx="2">
                    <c:v>16%</c:v>
                  </c:pt>
                  <c:pt idx="3">
                    <c:v>14%</c:v>
                  </c:pt>
                  <c:pt idx="4">
                    <c:v>8%</c:v>
                  </c:pt>
                  <c:pt idx="5">
                    <c:v>3%</c:v>
                  </c:pt>
                </c15:dlblRangeCache>
              </c15:datalabelsRange>
            </c:ext>
          </c:extLst>
        </c:ser>
        <c:ser>
          <c:idx val="1"/>
          <c:order val="1"/>
          <c:spPr>
            <a:solidFill>
              <a:schemeClr val="bg1">
                <a:lumMod val="50000"/>
              </a:schemeClr>
            </a:solidFill>
            <a:ln>
              <a:noFill/>
            </a:ln>
            <a:effectLst/>
          </c:spPr>
          <c:invertIfNegative val="0"/>
          <c:dLbls>
            <c:dLbl>
              <c:idx val="0"/>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'12pirm'!$F$75:$G$90</c:f>
              <c:multiLvlStrCache>
                <c:ptCount val="16"/>
                <c:lvl>
                  <c:pt idx="0">
                    <c:v>IND</c:v>
                  </c:pt>
                  <c:pt idx="1">
                    <c:v>DGB</c:v>
                  </c:pt>
                  <c:pt idx="2">
                    <c:v>PRA</c:v>
                  </c:pt>
                  <c:pt idx="3">
                    <c:v>NEG</c:v>
                  </c:pt>
                  <c:pt idx="4">
                    <c:v>IND</c:v>
                  </c:pt>
                  <c:pt idx="5">
                    <c:v>DGB</c:v>
                  </c:pt>
                  <c:pt idx="6">
                    <c:v>NEG</c:v>
                  </c:pt>
                  <c:pt idx="7">
                    <c:v>NEG</c:v>
                  </c:pt>
                  <c:pt idx="8">
                    <c:v>IND</c:v>
                  </c:pt>
                  <c:pt idx="9">
                    <c:v>DGB</c:v>
                  </c:pt>
                  <c:pt idx="10">
                    <c:v>PRA</c:v>
                  </c:pt>
                  <c:pt idx="11">
                    <c:v>PRA</c:v>
                  </c:pt>
                  <c:pt idx="12">
                    <c:v>NEG</c:v>
                  </c:pt>
                  <c:pt idx="13">
                    <c:v>IND</c:v>
                  </c:pt>
                  <c:pt idx="14">
                    <c:v>DGB</c:v>
                  </c:pt>
                  <c:pt idx="15">
                    <c:v>PRA</c:v>
                  </c:pt>
                </c:lvl>
                <c:lvl>
                  <c:pt idx="0">
                    <c:v>≤ D</c:v>
                  </c:pt>
                  <c:pt idx="4">
                    <c:v>C</c:v>
                  </c:pt>
                  <c:pt idx="7">
                    <c:v>B</c:v>
                  </c:pt>
                  <c:pt idx="11">
                    <c:v>C</c:v>
                  </c:pt>
                  <c:pt idx="12">
                    <c:v>≥ A</c:v>
                  </c:pt>
                </c:lvl>
              </c:multiLvlStrCache>
            </c:multiLvlStrRef>
          </c:cat>
          <c:val>
            <c:numRef>
              <c:f>'12pirm'!$H$56:$H$71</c:f>
              <c:numCache>
                <c:formatCode>_(* #,##0.0_);_(* \(#,##0.0\);_(* "-"??_);_(@_)</c:formatCode>
                <c:ptCount val="16"/>
                <c:pt idx="0">
                  <c:v>10.430882781574452</c:v>
                </c:pt>
                <c:pt idx="1">
                  <c:v>9.54806609786956</c:v>
                </c:pt>
                <c:pt idx="2">
                  <c:v>6.5516219315640667</c:v>
                </c:pt>
                <c:pt idx="3">
                  <c:v>5.7875532705283765</c:v>
                </c:pt>
                <c:pt idx="4">
                  <c:v>3.2222727372112727</c:v>
                </c:pt>
                <c:pt idx="5">
                  <c:v>1.1352859248623663</c:v>
                </c:pt>
                <c:pt idx="6">
                  <c:v>0.92360846270002273</c:v>
                </c:pt>
                <c:pt idx="7">
                  <c:v>0.92098862606807519</c:v>
                </c:pt>
                <c:pt idx="8">
                  <c:v>0.89818034828675475</c:v>
                </c:pt>
                <c:pt idx="9">
                  <c:v>1.213331035922518</c:v>
                </c:pt>
                <c:pt idx="10">
                  <c:v>0.37898177038433778</c:v>
                </c:pt>
                <c:pt idx="11">
                  <c:v>0.25232970528810789</c:v>
                </c:pt>
                <c:pt idx="12">
                  <c:v>0.13260227248063194</c:v>
                </c:pt>
                <c:pt idx="13">
                  <c:v>0.126053278209665</c:v>
                </c:pt>
                <c:pt idx="14">
                  <c:v>6.111412679792725E-2</c:v>
                </c:pt>
                <c:pt idx="15">
                  <c:v>5.4963150637937531E-2</c:v>
                </c:pt>
              </c:numCache>
            </c:numRef>
          </c:val>
          <c:extLst xmlns:c16r2="http://schemas.microsoft.com/office/drawing/2015/06/chart">
            <c:ext xmlns:c16="http://schemas.microsoft.com/office/drawing/2014/chart" uri="{C3380CC4-5D6E-409C-BE32-E72D297353CC}">
              <c16:uniqueId val="{00000012-811B-4BD5-8907-72210256BFDD}"/>
            </c:ext>
          </c:extLst>
        </c:ser>
        <c:dLbls>
          <c:dLblPos val="outEnd"/>
          <c:showLegendKey val="0"/>
          <c:showVal val="1"/>
          <c:showCatName val="0"/>
          <c:showSerName val="0"/>
          <c:showPercent val="0"/>
          <c:showBubbleSize val="0"/>
        </c:dLbls>
        <c:gapWidth val="50"/>
        <c:overlap val="100"/>
        <c:axId val="155150976"/>
        <c:axId val="153878912"/>
      </c:barChart>
      <c:catAx>
        <c:axId val="15515097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3878912"/>
        <c:crosses val="autoZero"/>
        <c:auto val="1"/>
        <c:lblAlgn val="ctr"/>
        <c:lblOffset val="100"/>
        <c:noMultiLvlLbl val="0"/>
      </c:catAx>
      <c:valAx>
        <c:axId val="153878912"/>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150976"/>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(mln.</a:t>
            </a:r>
            <a:r>
              <a:rPr lang="en-US" sz="900"/>
              <a:t> m</a:t>
            </a:r>
            <a:r>
              <a:rPr lang="en-US" sz="900" baseline="30000"/>
              <a:t>2</a:t>
            </a:r>
            <a:r>
              <a:rPr lang="lt-LT" sz="900"/>
              <a:t>)</a:t>
            </a:r>
            <a:endParaRPr lang="en-US" sz="900"/>
          </a:p>
        </c:rich>
      </c:tx>
      <c:layout/>
      <c:overlay val="0"/>
      <c:spPr>
        <a:noFill/>
        <a:ln>
          <a:noFill/>
        </a:ln>
        <a:effectLst/>
      </c:spPr>
    </c:title>
    <c:autoTitleDeleted val="0"/>
    <c:plotArea>
      <c:layout>
        <c:manualLayout>
          <c:layoutTarget val="inner"/>
          <c:xMode val="edge"/>
          <c:yMode val="edge"/>
          <c:x val="0.30270794310225069"/>
          <c:y val="0.18667950452477963"/>
          <c:w val="0.61155808913716292"/>
          <c:h val="0.69285337487371979"/>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'2'!$G$23:$G$26</c:f>
              <c:numCache>
                <c:formatCode>#,##0</c:formatCode>
                <c:ptCount val="4"/>
                <c:pt idx="0">
                  <c:v>37.180439</c:v>
                </c:pt>
                <c:pt idx="1">
                  <c:v>35.489710000000002</c:v>
                </c:pt>
                <c:pt idx="2">
                  <c:v>59.463571999999999</c:v>
                </c:pt>
                <c:pt idx="3">
                  <c:v>69.540000999999975</c:v>
                </c:pt>
              </c:numCache>
            </c:numRef>
          </c:val>
          <c:extLst xmlns:c16r2="http://schemas.microsoft.com/office/drawing/2015/06/chart">
            <c:ext xmlns:c15="http://schemas.microsoft.com/office/drawing/2012/chart" uri="{02D57815-91ED-43cb-92C2-25804820EDAC}">
              <c15:datalabelsRange>
                <c15:f>'2'!$H$23:$H$26</c15:f>
                <c15:dlblRangeCache>
                  <c:ptCount val="4"/>
                  <c:pt idx="0">
                    <c:v>18%</c:v>
                  </c:pt>
                  <c:pt idx="1">
                    <c:v>18%</c:v>
                  </c:pt>
                  <c:pt idx="2">
                    <c:v>29%</c:v>
                  </c:pt>
                  <c:pt idx="3">
                    <c:v>34%</c:v>
                  </c:pt>
                </c15:dlblRangeCache>
              </c15:datalabelsRange>
            </c:ext>
            <c:ext xmlns:c16="http://schemas.microsoft.com/office/drawing/2014/chart" uri="{C3380CC4-5D6E-409C-BE32-E72D297353CC}">
              <c16:uniqueId val="{00000004-60EF-453C-A319-0A9C33B27DF4}"/>
            </c:ext>
          </c:extLst>
        </c:ser>
        <c:dLbls>
          <c:dLblPos val="outEnd"/>
          <c:showLegendKey val="0"/>
          <c:showVal val="1"/>
          <c:showCatName val="0"/>
          <c:showSerName val="0"/>
          <c:showPercent val="0"/>
          <c:showBubbleSize val="0"/>
        </c:dLbls>
        <c:gapWidth val="182"/>
        <c:axId val="152326528"/>
        <c:axId val="152329216"/>
      </c:barChart>
      <c:catAx>
        <c:axId val="15232652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2329216"/>
        <c:crosses val="autoZero"/>
        <c:auto val="1"/>
        <c:lblAlgn val="ctr"/>
        <c:lblOffset val="100"/>
        <c:noMultiLvlLbl val="0"/>
      </c:catAx>
      <c:valAx>
        <c:axId val="152329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2326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'13kur'!$E$55</c:f>
              <c:strCache>
                <c:ptCount val="1"/>
                <c:pt idx="0">
                  <c:v>CŠT</c:v>
                </c:pt>
              </c:strCache>
            </c:strRef>
          </c:tx>
          <c:spPr>
            <a:solidFill>
              <a:srgbClr val="00B0F0"/>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0463-4E19-8A21-6CEE8E1DA5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'13kur'!$E$56:$E$59</c:f>
              <c:numCache>
                <c:formatCode>_(* #,##0_);_(* \(#,##0\);_(* "-"??_);_(@_)</c:formatCode>
                <c:ptCount val="4"/>
                <c:pt idx="0">
                  <c:v>6.7663839935410017</c:v>
                </c:pt>
                <c:pt idx="1">
                  <c:v>1.7307811848198114</c:v>
                </c:pt>
                <c:pt idx="2">
                  <c:v>1.4888109269955816</c:v>
                </c:pt>
                <c:pt idx="3">
                  <c:v>3.7445124733144187E-2</c:v>
                </c:pt>
              </c:numCache>
            </c:numRef>
          </c:val>
          <c:extLst xmlns:c16r2="http://schemas.microsoft.com/office/drawing/2015/06/chart">
            <c:ext xmlns:c16="http://schemas.microsoft.com/office/drawing/2014/chart" uri="{C3380CC4-5D6E-409C-BE32-E72D297353CC}">
              <c16:uniqueId val="{00000001-0463-4E19-8A21-6CEE8E1DA5F8}"/>
            </c:ext>
          </c:extLst>
        </c:ser>
        <c:ser>
          <c:idx val="1"/>
          <c:order val="1"/>
          <c:tx>
            <c:strRef>
              <c:f>'13kur'!$F$55</c:f>
              <c:strCache>
                <c:ptCount val="1"/>
                <c:pt idx="0">
                  <c:v>Biokuras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'13kur'!$F$56:$F$59</c:f>
              <c:numCache>
                <c:formatCode>_(* #,##0_);_(* \(#,##0\);_(* "-"??_);_(@_)</c:formatCode>
                <c:ptCount val="4"/>
                <c:pt idx="0">
                  <c:v>1.3522156231583691</c:v>
                </c:pt>
                <c:pt idx="1">
                  <c:v>1.0224657682935772</c:v>
                </c:pt>
                <c:pt idx="2">
                  <c:v>0.98918073222988412</c:v>
                </c:pt>
                <c:pt idx="3">
                  <c:v>7.6846949376929512</c:v>
                </c:pt>
              </c:numCache>
            </c:numRef>
          </c:val>
          <c:extLst xmlns:c16r2="http://schemas.microsoft.com/office/drawing/2015/06/chart">
            <c:ext xmlns:c16="http://schemas.microsoft.com/office/drawing/2014/chart" uri="{C3380CC4-5D6E-409C-BE32-E72D297353CC}">
              <c16:uniqueId val="{00000002-0463-4E19-8A21-6CEE8E1DA5F8}"/>
            </c:ext>
          </c:extLst>
        </c:ser>
        <c:ser>
          <c:idx val="2"/>
          <c:order val="2"/>
          <c:tx>
            <c:strRef>
              <c:f>'13kur'!$G$55</c:f>
              <c:strCache>
                <c:ptCount val="1"/>
                <c:pt idx="0">
                  <c:v>Dujos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'13kur'!$G$56:$G$59</c:f>
              <c:numCache>
                <c:formatCode>_(* #,##0_);_(* \(#,##0\);_(* "-"??_);_(@_)</c:formatCode>
                <c:ptCount val="4"/>
                <c:pt idx="0">
                  <c:v>0.43861947716857685</c:v>
                </c:pt>
                <c:pt idx="1">
                  <c:v>2.4134552088364543</c:v>
                </c:pt>
                <c:pt idx="2">
                  <c:v>2.3531795740506203</c:v>
                </c:pt>
                <c:pt idx="3">
                  <c:v>2.6019181313064101</c:v>
                </c:pt>
              </c:numCache>
            </c:numRef>
          </c:val>
          <c:extLst xmlns:c16r2="http://schemas.microsoft.com/office/drawing/2015/06/chart">
            <c:ext xmlns:c16="http://schemas.microsoft.com/office/drawing/2014/chart" uri="{C3380CC4-5D6E-409C-BE32-E72D297353CC}">
              <c16:uniqueId val="{00000003-0463-4E19-8A21-6CEE8E1DA5F8}"/>
            </c:ext>
          </c:extLst>
        </c:ser>
        <c:ser>
          <c:idx val="3"/>
          <c:order val="3"/>
          <c:tx>
            <c:strRef>
              <c:f>'13kur'!$H$55</c:f>
              <c:strCache>
                <c:ptCount val="1"/>
                <c:pt idx="0">
                  <c:v>Kietas kuras</c:v>
                </c:pt>
              </c:strCache>
            </c:strRef>
          </c:tx>
          <c:spPr>
            <a:solidFill>
              <a:srgbClr val="00206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0463-4E19-8A21-6CEE8E1DA5F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'13kur'!$H$56:$H$59</c:f>
              <c:numCache>
                <c:formatCode>_(* #,##0_);_(* \(#,##0\);_(* "-"??_);_(@_)</c:formatCode>
                <c:ptCount val="4"/>
                <c:pt idx="0">
                  <c:v>0.28353649253409069</c:v>
                </c:pt>
                <c:pt idx="1">
                  <c:v>1.4496885005897648</c:v>
                </c:pt>
                <c:pt idx="2">
                  <c:v>1.4022918664509192</c:v>
                </c:pt>
                <c:pt idx="3">
                  <c:v>1.6186421270073454</c:v>
                </c:pt>
              </c:numCache>
            </c:numRef>
          </c:val>
          <c:extLst xmlns:c16r2="http://schemas.microsoft.com/office/drawing/2015/06/chart">
            <c:ext xmlns:c16="http://schemas.microsoft.com/office/drawing/2014/chart" uri="{C3380CC4-5D6E-409C-BE32-E72D297353CC}">
              <c16:uniqueId val="{00000005-0463-4E19-8A21-6CEE8E1DA5F8}"/>
            </c:ext>
          </c:extLst>
        </c:ser>
        <c:ser>
          <c:idx val="4"/>
          <c:order val="4"/>
          <c:tx>
            <c:strRef>
              <c:f>'13kur'!$I$55</c:f>
              <c:strCache>
                <c:ptCount val="1"/>
                <c:pt idx="0">
                  <c:v>Elektra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'13kur'!$I$56:$I$59</c:f>
              <c:numCache>
                <c:formatCode>_(* #,##0_);_(* \(#,##0\);_(* "-"??_);_(@_)</c:formatCode>
                <c:ptCount val="4"/>
                <c:pt idx="0">
                  <c:v>3.1363715417125029</c:v>
                </c:pt>
                <c:pt idx="1">
                  <c:v>1.1483619692375</c:v>
                </c:pt>
                <c:pt idx="2">
                  <c:v>1.0331500209249995</c:v>
                </c:pt>
                <c:pt idx="3">
                  <c:v>2.746533524087404</c:v>
                </c:pt>
              </c:numCache>
            </c:numRef>
          </c:val>
          <c:extLst xmlns:c16r2="http://schemas.microsoft.com/office/drawing/2015/06/chart">
            <c:ext xmlns:c16="http://schemas.microsoft.com/office/drawing/2014/chart" uri="{C3380CC4-5D6E-409C-BE32-E72D297353CC}">
              <c16:uniqueId val="{00000006-0463-4E19-8A21-6CEE8E1DA5F8}"/>
            </c:ext>
          </c:extLst>
        </c:ser>
        <c:dLbls>
          <c:showLegendKey val="0"/>
          <c:showVal val="0"/>
          <c:showCatName val="0"/>
          <c:showSerName val="0"/>
          <c:showPercent val="0"/>
          <c:showBubbleSize val="0"/>
        </c:dLbls>
        <c:gapWidth val="50"/>
        <c:overlap val="100"/>
        <c:axId val="156193152"/>
        <c:axId val="156194688"/>
      </c:barChart>
      <c:catAx>
        <c:axId val="156193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194688"/>
        <c:crosses val="autoZero"/>
        <c:auto val="1"/>
        <c:lblAlgn val="ctr"/>
        <c:lblOffset val="100"/>
        <c:noMultiLvlLbl val="0"/>
      </c:catAx>
      <c:valAx>
        <c:axId val="15619468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19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0543491385611"/>
          <c:y val="4.4247787610619468E-2"/>
          <c:w val="0.84400392747516728"/>
          <c:h val="0.7329549413724733"/>
        </c:manualLayout>
      </c:layout>
      <c:barChart>
        <c:barDir val="col"/>
        <c:grouping val="stacked"/>
        <c:varyColors val="0"/>
        <c:ser>
          <c:idx val="0"/>
          <c:order val="0"/>
          <c:tx>
            <c:strRef>
              <c:f>'13kur'!$D$56</c:f>
              <c:strCache>
                <c:ptCount val="1"/>
                <c:pt idx="0">
                  <c:v>Daugiabučiai</c:v>
                </c:pt>
              </c:strCache>
            </c:strRef>
          </c:tx>
          <c:spPr>
            <a:solidFill>
              <a:schemeClr val="accent1"/>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9F35-4DDE-82DE-384F36795B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'13kur'!$E$56:$I$56</c:f>
              <c:numCache>
                <c:formatCode>_(* #,##0_);_(* \(#,##0\);_(* "-"??_);_(@_)</c:formatCode>
                <c:ptCount val="5"/>
                <c:pt idx="0">
                  <c:v>6.7663839935410017</c:v>
                </c:pt>
                <c:pt idx="1">
                  <c:v>1.3522156231583691</c:v>
                </c:pt>
                <c:pt idx="2">
                  <c:v>0.43861947716857685</c:v>
                </c:pt>
                <c:pt idx="3">
                  <c:v>0.28353649253409069</c:v>
                </c:pt>
                <c:pt idx="4">
                  <c:v>3.1363715417125029</c:v>
                </c:pt>
              </c:numCache>
            </c:numRef>
          </c:val>
          <c:extLst xmlns:c16r2="http://schemas.microsoft.com/office/drawing/2015/06/chart">
            <c:ext xmlns:c16="http://schemas.microsoft.com/office/drawing/2014/chart" uri="{C3380CC4-5D6E-409C-BE32-E72D297353CC}">
              <c16:uniqueId val="{00000001-9F35-4DDE-82DE-384F36795B12}"/>
            </c:ext>
          </c:extLst>
        </c:ser>
        <c:ser>
          <c:idx val="1"/>
          <c:order val="1"/>
          <c:tx>
            <c:strRef>
              <c:f>'13kur'!$D$57</c:f>
              <c:strCache>
                <c:ptCount val="1"/>
                <c:pt idx="0">
                  <c:v>Kiti negyvenamieji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'13kur'!$E$57:$I$57</c:f>
              <c:numCache>
                <c:formatCode>_(* #,##0_);_(* \(#,##0\);_(* "-"??_);_(@_)</c:formatCode>
                <c:ptCount val="5"/>
                <c:pt idx="0">
                  <c:v>1.7307811848198114</c:v>
                </c:pt>
                <c:pt idx="1">
                  <c:v>1.0224657682935772</c:v>
                </c:pt>
                <c:pt idx="2">
                  <c:v>2.4134552088364543</c:v>
                </c:pt>
                <c:pt idx="3">
                  <c:v>1.4496885005897648</c:v>
                </c:pt>
                <c:pt idx="4">
                  <c:v>1.1483619692375</c:v>
                </c:pt>
              </c:numCache>
            </c:numRef>
          </c:val>
          <c:extLst xmlns:c16r2="http://schemas.microsoft.com/office/drawing/2015/06/chart">
            <c:ext xmlns:c16="http://schemas.microsoft.com/office/drawing/2014/chart" uri="{C3380CC4-5D6E-409C-BE32-E72D297353CC}">
              <c16:uniqueId val="{00000002-9F35-4DDE-82DE-384F36795B12}"/>
            </c:ext>
          </c:extLst>
        </c:ser>
        <c:ser>
          <c:idx val="2"/>
          <c:order val="2"/>
          <c:tx>
            <c:strRef>
              <c:f>'13kur'!$D$58</c:f>
              <c:strCache>
                <c:ptCount val="1"/>
                <c:pt idx="0">
                  <c:v>Pramonės</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'13kur'!$E$58:$I$58</c:f>
              <c:numCache>
                <c:formatCode>_(* #,##0_);_(* \(#,##0\);_(* "-"??_);_(@_)</c:formatCode>
                <c:ptCount val="5"/>
                <c:pt idx="0">
                  <c:v>1.4888109269955816</c:v>
                </c:pt>
                <c:pt idx="1">
                  <c:v>0.98918073222988412</c:v>
                </c:pt>
                <c:pt idx="2">
                  <c:v>2.3531795740506203</c:v>
                </c:pt>
                <c:pt idx="3">
                  <c:v>1.4022918664509192</c:v>
                </c:pt>
                <c:pt idx="4">
                  <c:v>1.0331500209249995</c:v>
                </c:pt>
              </c:numCache>
            </c:numRef>
          </c:val>
          <c:extLst xmlns:c16r2="http://schemas.microsoft.com/office/drawing/2015/06/chart">
            <c:ext xmlns:c16="http://schemas.microsoft.com/office/drawing/2014/chart" uri="{C3380CC4-5D6E-409C-BE32-E72D297353CC}">
              <c16:uniqueId val="{00000003-9F35-4DDE-82DE-384F36795B12}"/>
            </c:ext>
          </c:extLst>
        </c:ser>
        <c:ser>
          <c:idx val="3"/>
          <c:order val="3"/>
          <c:tx>
            <c:strRef>
              <c:f>'13kur'!$D$59</c:f>
              <c:strCache>
                <c:ptCount val="1"/>
                <c:pt idx="0">
                  <c:v>Individualūs</c:v>
                </c:pt>
              </c:strCache>
            </c:strRef>
          </c:tx>
          <c:spPr>
            <a:solidFill>
              <a:schemeClr val="bg1">
                <a:lumMod val="65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9F35-4DDE-82DE-384F36795B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'13kur'!$E$59:$I$59</c:f>
              <c:numCache>
                <c:formatCode>_(* #,##0_);_(* \(#,##0\);_(* "-"??_);_(@_)</c:formatCode>
                <c:ptCount val="5"/>
                <c:pt idx="0">
                  <c:v>3.7445124733144187E-2</c:v>
                </c:pt>
                <c:pt idx="1">
                  <c:v>7.6846949376929512</c:v>
                </c:pt>
                <c:pt idx="2">
                  <c:v>2.6019181313064101</c:v>
                </c:pt>
                <c:pt idx="3">
                  <c:v>1.6186421270073454</c:v>
                </c:pt>
                <c:pt idx="4">
                  <c:v>2.746533524087404</c:v>
                </c:pt>
              </c:numCache>
            </c:numRef>
          </c:val>
          <c:extLst xmlns:c16r2="http://schemas.microsoft.com/office/drawing/2015/06/chart">
            <c:ext xmlns:c16="http://schemas.microsoft.com/office/drawing/2014/chart" uri="{C3380CC4-5D6E-409C-BE32-E72D297353CC}">
              <c16:uniqueId val="{00000005-9F35-4DDE-82DE-384F36795B12}"/>
            </c:ext>
          </c:extLst>
        </c:ser>
        <c:dLbls>
          <c:showLegendKey val="0"/>
          <c:showVal val="0"/>
          <c:showCatName val="0"/>
          <c:showSerName val="0"/>
          <c:showPercent val="0"/>
          <c:showBubbleSize val="0"/>
        </c:dLbls>
        <c:gapWidth val="50"/>
        <c:overlap val="100"/>
        <c:axId val="156762880"/>
        <c:axId val="156764416"/>
      </c:barChart>
      <c:catAx>
        <c:axId val="156762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764416"/>
        <c:crosses val="autoZero"/>
        <c:auto val="1"/>
        <c:lblAlgn val="ctr"/>
        <c:lblOffset val="100"/>
        <c:noMultiLvlLbl val="0"/>
      </c:catAx>
      <c:valAx>
        <c:axId val="1567644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762880"/>
        <c:crosses val="autoZero"/>
        <c:crossBetween val="between"/>
      </c:valAx>
      <c:spPr>
        <a:noFill/>
        <a:ln>
          <a:noFill/>
        </a:ln>
        <a:effectLst/>
      </c:spPr>
    </c:plotArea>
    <c:legend>
      <c:legendPos val="b"/>
      <c:layout>
        <c:manualLayout>
          <c:xMode val="edge"/>
          <c:yMode val="edge"/>
          <c:x val="1.8972310664556759E-2"/>
          <c:y val="0.89448628857032453"/>
          <c:w val="0.98102768933544326"/>
          <c:h val="9.3446132990415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'14co2'!$H$55</c:f>
              <c:strCache>
                <c:ptCount val="1"/>
                <c:pt idx="0">
                  <c:v>Vartojimas</c:v>
                </c:pt>
              </c:strCache>
            </c:strRef>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'14co2'!$F$56:$G$71</c:f>
              <c:multiLvlStrCache>
                <c:ptCount val="16"/>
                <c:lvl>
                  <c:pt idx="0">
                    <c:v>IND</c:v>
                  </c:pt>
                  <c:pt idx="1">
                    <c:v>PRA</c:v>
                  </c:pt>
                  <c:pt idx="2">
                    <c:v>NEG</c:v>
                  </c:pt>
                  <c:pt idx="3">
                    <c:v>IND</c:v>
                  </c:pt>
                  <c:pt idx="4">
                    <c:v>DGB</c:v>
                  </c:pt>
                  <c:pt idx="5">
                    <c:v>IND</c:v>
                  </c:pt>
                  <c:pt idx="6">
                    <c:v>NEG</c:v>
                  </c:pt>
                  <c:pt idx="7">
                    <c:v>NEG</c:v>
                  </c:pt>
                  <c:pt idx="8">
                    <c:v>PRA</c:v>
                  </c:pt>
                  <c:pt idx="9">
                    <c:v>PRA</c:v>
                  </c:pt>
                  <c:pt idx="10">
                    <c:v>DGB</c:v>
                  </c:pt>
                  <c:pt idx="11">
                    <c:v>IND</c:v>
                  </c:pt>
                  <c:pt idx="12">
                    <c:v>NEG</c:v>
                  </c:pt>
                  <c:pt idx="13">
                    <c:v>DGB</c:v>
                  </c:pt>
                  <c:pt idx="14">
                    <c:v>PRA</c:v>
                  </c:pt>
                  <c:pt idx="15">
                    <c:v>DGB</c:v>
                  </c:pt>
                </c:lvl>
                <c:lvl>
                  <c:pt idx="0">
                    <c:v>≤ D</c:v>
                  </c:pt>
                  <c:pt idx="3">
                    <c:v>C</c:v>
                  </c:pt>
                  <c:pt idx="4">
                    <c:v>≤ D</c:v>
                  </c:pt>
                  <c:pt idx="5">
                    <c:v>B</c:v>
                  </c:pt>
                  <c:pt idx="6">
                    <c:v>C</c:v>
                  </c:pt>
                  <c:pt idx="7">
                    <c:v>B</c:v>
                  </c:pt>
                  <c:pt idx="8">
                    <c:v>B</c:v>
                  </c:pt>
                  <c:pt idx="9">
                    <c:v>C</c:v>
                  </c:pt>
                  <c:pt idx="10">
                    <c:v>C</c:v>
                  </c:pt>
                  <c:pt idx="11">
                    <c:v>≥ A</c:v>
                  </c:pt>
                  <c:pt idx="12">
                    <c:v>≥ A</c:v>
                  </c:pt>
                  <c:pt idx="13">
                    <c:v>B</c:v>
                  </c:pt>
                  <c:pt idx="14">
                    <c:v>≥ A</c:v>
                  </c:pt>
                  <c:pt idx="15">
                    <c:v>≥ A</c:v>
                  </c:pt>
                </c:lvl>
              </c:multiLvlStrCache>
            </c:multiLvlStrRef>
          </c:cat>
          <c:val>
            <c:numRef>
              <c:f>'14co2'!$H$56:$H$71</c:f>
              <c:numCache>
                <c:formatCode>_(* #,##0.0_);_(* \(#,##0.0\);_(* "-"??_);_(@_)</c:formatCode>
                <c:ptCount val="16"/>
                <c:pt idx="0">
                  <c:v>1163.6217179648327</c:v>
                </c:pt>
                <c:pt idx="1">
                  <c:v>1063.0313942635578</c:v>
                </c:pt>
                <c:pt idx="2">
                  <c:v>938.8893441565375</c:v>
                </c:pt>
                <c:pt idx="3">
                  <c:v>379.27680583034305</c:v>
                </c:pt>
                <c:pt idx="4">
                  <c:v>1002.0033500770026</c:v>
                </c:pt>
                <c:pt idx="5">
                  <c:v>107.95462657910606</c:v>
                </c:pt>
                <c:pt idx="6">
                  <c:v>150.10060149706518</c:v>
                </c:pt>
                <c:pt idx="7">
                  <c:v>148.19840366865276</c:v>
                </c:pt>
                <c:pt idx="8">
                  <c:v>61.838409783065018</c:v>
                </c:pt>
                <c:pt idx="9">
                  <c:v>41.121544323876215</c:v>
                </c:pt>
                <c:pt idx="10">
                  <c:v>128.86185350231005</c:v>
                </c:pt>
                <c:pt idx="11">
                  <c:v>15.640115137400636</c:v>
                </c:pt>
                <c:pt idx="12">
                  <c:v>14.846602426438521</c:v>
                </c:pt>
                <c:pt idx="13">
                  <c:v>138.43231288494283</c:v>
                </c:pt>
                <c:pt idx="14">
                  <c:v>8.9624296783460569</c:v>
                </c:pt>
                <c:pt idx="15">
                  <c:v>7.5962294552060365</c:v>
                </c:pt>
              </c:numCache>
            </c:numRef>
          </c:val>
          <c:extLst xmlns:c16r2="http://schemas.microsoft.com/office/drawing/2015/06/chart">
            <c:ext xmlns:c16="http://schemas.microsoft.com/office/drawing/2014/chart" uri="{C3380CC4-5D6E-409C-BE32-E72D297353CC}">
              <c16:uniqueId val="{00000000-A2AC-470C-BFD6-93BA7ADD29B3}"/>
            </c:ext>
          </c:extLst>
        </c:ser>
        <c:ser>
          <c:idx val="1"/>
          <c:order val="1"/>
          <c:spPr>
            <a:noFill/>
            <a:ln>
              <a:noFill/>
            </a:ln>
            <a:effectLst/>
          </c:spPr>
          <c:invertIfNegative val="0"/>
          <c:cat>
            <c:multiLvlStrRef>
              <c:f>'14co2'!$F$56:$G$71</c:f>
              <c:multiLvlStrCache>
                <c:ptCount val="16"/>
                <c:lvl>
                  <c:pt idx="0">
                    <c:v>IND</c:v>
                  </c:pt>
                  <c:pt idx="1">
                    <c:v>PRA</c:v>
                  </c:pt>
                  <c:pt idx="2">
                    <c:v>NEG</c:v>
                  </c:pt>
                  <c:pt idx="3">
                    <c:v>IND</c:v>
                  </c:pt>
                  <c:pt idx="4">
                    <c:v>DGB</c:v>
                  </c:pt>
                  <c:pt idx="5">
                    <c:v>IND</c:v>
                  </c:pt>
                  <c:pt idx="6">
                    <c:v>NEG</c:v>
                  </c:pt>
                  <c:pt idx="7">
                    <c:v>NEG</c:v>
                  </c:pt>
                  <c:pt idx="8">
                    <c:v>PRA</c:v>
                  </c:pt>
                  <c:pt idx="9">
                    <c:v>PRA</c:v>
                  </c:pt>
                  <c:pt idx="10">
                    <c:v>DGB</c:v>
                  </c:pt>
                  <c:pt idx="11">
                    <c:v>IND</c:v>
                  </c:pt>
                  <c:pt idx="12">
                    <c:v>NEG</c:v>
                  </c:pt>
                  <c:pt idx="13">
                    <c:v>DGB</c:v>
                  </c:pt>
                  <c:pt idx="14">
                    <c:v>PRA</c:v>
                  </c:pt>
                  <c:pt idx="15">
                    <c:v>DGB</c:v>
                  </c:pt>
                </c:lvl>
                <c:lvl>
                  <c:pt idx="0">
                    <c:v>≤ D</c:v>
                  </c:pt>
                  <c:pt idx="3">
                    <c:v>C</c:v>
                  </c:pt>
                  <c:pt idx="4">
                    <c:v>≤ D</c:v>
                  </c:pt>
                  <c:pt idx="5">
                    <c:v>B</c:v>
                  </c:pt>
                  <c:pt idx="6">
                    <c:v>C</c:v>
                  </c:pt>
                  <c:pt idx="7">
                    <c:v>B</c:v>
                  </c:pt>
                  <c:pt idx="8">
                    <c:v>B</c:v>
                  </c:pt>
                  <c:pt idx="9">
                    <c:v>C</c:v>
                  </c:pt>
                  <c:pt idx="10">
                    <c:v>C</c:v>
                  </c:pt>
                  <c:pt idx="11">
                    <c:v>≥ A</c:v>
                  </c:pt>
                  <c:pt idx="12">
                    <c:v>≥ A</c:v>
                  </c:pt>
                  <c:pt idx="13">
                    <c:v>B</c:v>
                  </c:pt>
                  <c:pt idx="14">
                    <c:v>≥ A</c:v>
                  </c:pt>
                  <c:pt idx="15">
                    <c:v>≥ A</c:v>
                  </c:pt>
                </c:lvl>
              </c:multiLvlStrCache>
            </c:multiLvlStrRef>
          </c:cat>
          <c:val>
            <c:numRef>
              <c:f>'14co2'!$H$56:$H$71</c:f>
              <c:numCache>
                <c:formatCode>_(* #,##0.0_);_(* \(#,##0.0\);_(* "-"??_);_(@_)</c:formatCode>
                <c:ptCount val="16"/>
                <c:pt idx="0">
                  <c:v>1163.6217179648327</c:v>
                </c:pt>
                <c:pt idx="1">
                  <c:v>1063.0313942635578</c:v>
                </c:pt>
                <c:pt idx="2">
                  <c:v>938.8893441565375</c:v>
                </c:pt>
                <c:pt idx="3">
                  <c:v>379.27680583034305</c:v>
                </c:pt>
                <c:pt idx="4">
                  <c:v>1002.0033500770026</c:v>
                </c:pt>
                <c:pt idx="5">
                  <c:v>107.95462657910606</c:v>
                </c:pt>
                <c:pt idx="6">
                  <c:v>150.10060149706518</c:v>
                </c:pt>
                <c:pt idx="7">
                  <c:v>148.19840366865276</c:v>
                </c:pt>
                <c:pt idx="8">
                  <c:v>61.838409783065018</c:v>
                </c:pt>
                <c:pt idx="9">
                  <c:v>41.121544323876215</c:v>
                </c:pt>
                <c:pt idx="10">
                  <c:v>128.86185350231005</c:v>
                </c:pt>
                <c:pt idx="11">
                  <c:v>15.640115137400636</c:v>
                </c:pt>
                <c:pt idx="12">
                  <c:v>14.846602426438521</c:v>
                </c:pt>
                <c:pt idx="13">
                  <c:v>138.43231288494283</c:v>
                </c:pt>
                <c:pt idx="14">
                  <c:v>8.9624296783460569</c:v>
                </c:pt>
                <c:pt idx="15">
                  <c:v>7.5962294552060365</c:v>
                </c:pt>
              </c:numCache>
            </c:numRef>
          </c:val>
          <c:extLst xmlns:c16r2="http://schemas.microsoft.com/office/drawing/2015/06/chart">
            <c:ext xmlns:c16="http://schemas.microsoft.com/office/drawing/2014/chart" uri="{C3380CC4-5D6E-409C-BE32-E72D297353CC}">
              <c16:uniqueId val="{00000011-A2AC-470C-BFD6-93BA7ADD29B3}"/>
            </c:ext>
            <c:ext xmlns:c15="http://schemas.microsoft.com/office/drawing/2012/chart" uri="{02D57815-91ED-43cb-92C2-25804820EDAC}">
              <c15:datalabelsRange>
                <c15:f>'14co2'!$I$56:$I$71</c15:f>
                <c15:dlblRangeCache>
                  <c:ptCount val="16"/>
                  <c:pt idx="0">
                    <c:v>22%</c:v>
                  </c:pt>
                  <c:pt idx="1">
                    <c:v>20%</c:v>
                  </c:pt>
                  <c:pt idx="2">
                    <c:v>17%</c:v>
                  </c:pt>
                  <c:pt idx="3">
                    <c:v>7%</c:v>
                  </c:pt>
                  <c:pt idx="4">
                    <c:v>19%</c:v>
                  </c:pt>
                  <c:pt idx="5">
                    <c:v>2%</c:v>
                  </c:pt>
                  <c:pt idx="6">
                    <c:v>3%</c:v>
                  </c:pt>
                  <c:pt idx="7">
                    <c:v>3%</c:v>
                  </c:pt>
                </c15:dlblRangeCache>
              </c15:datalabelsRange>
            </c:ext>
          </c:extLst>
        </c:ser>
        <c:dLbls>
          <c:showLegendKey val="0"/>
          <c:showVal val="0"/>
          <c:showCatName val="0"/>
          <c:showSerName val="0"/>
          <c:showPercent val="0"/>
          <c:showBubbleSize val="0"/>
        </c:dLbls>
        <c:gapWidth val="50"/>
        <c:overlap val="100"/>
        <c:axId val="156816896"/>
        <c:axId val="156818432"/>
      </c:barChart>
      <c:catAx>
        <c:axId val="15681689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818432"/>
        <c:crosses val="autoZero"/>
        <c:auto val="1"/>
        <c:lblAlgn val="ctr"/>
        <c:lblOffset val="100"/>
        <c:noMultiLvlLbl val="0"/>
      </c:catAx>
      <c:valAx>
        <c:axId val="156818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816896"/>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'a9'!$C$11:$C$18</c:f>
              <c:strCache>
                <c:ptCount val="8"/>
                <c:pt idx="0">
                  <c:v>Individualūs</c:v>
                </c:pt>
                <c:pt idx="1">
                  <c:v>Daugiabučiai</c:v>
                </c:pt>
                <c:pt idx="2">
                  <c:v>Garažų, gamybos ir pramonės</c:v>
                </c:pt>
                <c:pt idx="3">
                  <c:v>Sandėliavimo</c:v>
                </c:pt>
                <c:pt idx="4">
                  <c:v>Prekybos</c:v>
                </c:pt>
                <c:pt idx="5">
                  <c:v>Gydymo</c:v>
                </c:pt>
                <c:pt idx="6">
                  <c:v>Transporto</c:v>
                </c:pt>
                <c:pt idx="7">
                  <c:v>Poilsio</c:v>
                </c:pt>
              </c:strCache>
            </c:strRef>
          </c:cat>
          <c:val>
            <c:numRef>
              <c:f>'a9'!$E$11:$E$18</c:f>
              <c:numCache>
                <c:formatCode>#\.##0\ ;\ \-\ #\.##0\ ;\ \-\ </c:formatCode>
                <c:ptCount val="8"/>
                <c:pt idx="0">
                  <c:v>17</c:v>
                </c:pt>
                <c:pt idx="1">
                  <c:v>12</c:v>
                </c:pt>
                <c:pt idx="2">
                  <c:v>7</c:v>
                </c:pt>
                <c:pt idx="3">
                  <c:v>4</c:v>
                </c:pt>
                <c:pt idx="4">
                  <c:v>2</c:v>
                </c:pt>
                <c:pt idx="5">
                  <c:v>2</c:v>
                </c:pt>
                <c:pt idx="6">
                  <c:v>1</c:v>
                </c:pt>
                <c:pt idx="7">
                  <c:v>1</c:v>
                </c:pt>
              </c:numCache>
            </c:numRef>
          </c:val>
          <c:extLst xmlns:c16r2="http://schemas.microsoft.com/office/drawing/2015/06/chart">
            <c:ext xmlns:c16="http://schemas.microsoft.com/office/drawing/2014/chart" uri="{C3380CC4-5D6E-409C-BE32-E72D297353CC}">
              <c16:uniqueId val="{00000000-85E9-4992-BBB4-7D19692FED00}"/>
            </c:ext>
          </c:extLst>
        </c:ser>
        <c:dLbls>
          <c:showLegendKey val="0"/>
          <c:showVal val="0"/>
          <c:showCatName val="0"/>
          <c:showSerName val="0"/>
          <c:showPercent val="0"/>
          <c:showBubbleSize val="0"/>
        </c:dLbls>
        <c:gapWidth val="100"/>
        <c:overlap val="-27"/>
        <c:axId val="156855296"/>
        <c:axId val="156877568"/>
      </c:barChart>
      <c:catAx>
        <c:axId val="15685529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877568"/>
        <c:crosses val="autoZero"/>
        <c:auto val="1"/>
        <c:lblAlgn val="ctr"/>
        <c:lblOffset val="100"/>
        <c:noMultiLvlLbl val="0"/>
      </c:catAx>
      <c:valAx>
        <c:axId val="156877568"/>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855296"/>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a:ln>
              <a:solidFill>
                <a:schemeClr val="tx1"/>
              </a:solidFill>
            </a:ln>
          </c:spPr>
          <c:invertIfNegative val="0"/>
          <c:dLbls>
            <c:txPr>
              <a:bodyPr/>
              <a:lstStyle/>
              <a:p>
                <a:pPr>
                  <a:defRPr sz="800"/>
                </a:pPr>
                <a:endParaRPr lang="lt-LT"/>
              </a:p>
            </c:txPr>
            <c:dLblPos val="outEnd"/>
            <c:showLegendKey val="0"/>
            <c:showVal val="1"/>
            <c:showCatName val="0"/>
            <c:showSerName val="0"/>
            <c:showPercent val="0"/>
            <c:showBubbleSize val="0"/>
            <c:showLeaderLines val="0"/>
          </c:dLbls>
          <c:cat>
            <c:strRef>
              <c:f>Sheet1!$A$5:$A$12</c:f>
              <c:strCache>
                <c:ptCount val="8"/>
                <c:pt idx="0">
                  <c:v>2013 m.</c:v>
                </c:pt>
                <c:pt idx="1">
                  <c:v>2014 m.</c:v>
                </c:pt>
                <c:pt idx="2">
                  <c:v>2015 m.</c:v>
                </c:pt>
                <c:pt idx="3">
                  <c:v>2016 m.</c:v>
                </c:pt>
                <c:pt idx="4">
                  <c:v>2017 m.</c:v>
                </c:pt>
                <c:pt idx="5">
                  <c:v>2018 m.</c:v>
                </c:pt>
                <c:pt idx="6">
                  <c:v>2019 m.</c:v>
                </c:pt>
                <c:pt idx="7">
                  <c:v>2020 m.</c:v>
                </c:pt>
              </c:strCache>
            </c:strRef>
          </c:cat>
          <c:val>
            <c:numRef>
              <c:f>Sheet1!$B$5:$B$12</c:f>
              <c:numCache>
                <c:formatCode>General</c:formatCode>
                <c:ptCount val="8"/>
                <c:pt idx="0">
                  <c:v>41</c:v>
                </c:pt>
                <c:pt idx="1">
                  <c:v>123</c:v>
                </c:pt>
                <c:pt idx="2">
                  <c:v>574</c:v>
                </c:pt>
                <c:pt idx="3">
                  <c:v>769</c:v>
                </c:pt>
                <c:pt idx="4">
                  <c:v>403</c:v>
                </c:pt>
                <c:pt idx="5">
                  <c:v>224</c:v>
                </c:pt>
                <c:pt idx="6">
                  <c:v>269</c:v>
                </c:pt>
                <c:pt idx="7">
                  <c:v>304</c:v>
                </c:pt>
              </c:numCache>
            </c:numRef>
          </c:val>
        </c:ser>
        <c:dLbls>
          <c:showLegendKey val="0"/>
          <c:showVal val="0"/>
          <c:showCatName val="0"/>
          <c:showSerName val="0"/>
          <c:showPercent val="0"/>
          <c:showBubbleSize val="0"/>
        </c:dLbls>
        <c:gapWidth val="40"/>
        <c:axId val="155210496"/>
        <c:axId val="155212032"/>
      </c:barChart>
      <c:catAx>
        <c:axId val="155210496"/>
        <c:scaling>
          <c:orientation val="minMax"/>
        </c:scaling>
        <c:delete val="0"/>
        <c:axPos val="b"/>
        <c:majorTickMark val="out"/>
        <c:minorTickMark val="none"/>
        <c:tickLblPos val="nextTo"/>
        <c:txPr>
          <a:bodyPr/>
          <a:lstStyle/>
          <a:p>
            <a:pPr>
              <a:defRPr sz="800"/>
            </a:pPr>
            <a:endParaRPr lang="lt-LT"/>
          </a:p>
        </c:txPr>
        <c:crossAx val="155212032"/>
        <c:crosses val="autoZero"/>
        <c:auto val="1"/>
        <c:lblAlgn val="ctr"/>
        <c:lblOffset val="100"/>
        <c:noMultiLvlLbl val="0"/>
      </c:catAx>
      <c:valAx>
        <c:axId val="155212032"/>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a:pPr>
            <a:endParaRPr lang="lt-LT"/>
          </a:p>
        </c:txPr>
        <c:crossAx val="155210496"/>
        <c:crosses val="autoZero"/>
        <c:crossBetween val="between"/>
      </c:valAx>
      <c:spPr>
        <a:ln>
          <a:solidFill>
            <a:schemeClr val="tx1"/>
          </a:solidFill>
        </a:ln>
      </c:spPr>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12161663385828E-2"/>
          <c:y val="3.9139784946236565E-2"/>
          <c:w val="0.67466320127952761"/>
          <c:h val="0.79121730044407979"/>
        </c:manualLayout>
      </c:layout>
      <c:scatterChart>
        <c:scatterStyle val="smoothMarker"/>
        <c:varyColors val="0"/>
        <c:ser>
          <c:idx val="0"/>
          <c:order val="0"/>
          <c:tx>
            <c:strRef>
              <c:f>Sheet1!$C$3</c:f>
              <c:strCache>
                <c:ptCount val="1"/>
                <c:pt idx="0">
                  <c:v>Investicijos</c:v>
                </c:pt>
              </c:strCache>
            </c:strRef>
          </c:tx>
          <c:spPr>
            <a:ln w="19050" cap="rnd">
              <a:solidFill>
                <a:srgbClr val="C0000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Sheet1!$C$4:$C$24</c:f>
              <c:numCache>
                <c:formatCode>#,##0</c:formatCode>
                <c:ptCount val="21"/>
                <c:pt idx="1">
                  <c:v>0</c:v>
                </c:pt>
                <c:pt idx="2">
                  <c:v>1.8393594420281363</c:v>
                </c:pt>
                <c:pt idx="3">
                  <c:v>4.2630158523317441</c:v>
                </c:pt>
                <c:pt idx="4">
                  <c:v>7.0021053256956129</c:v>
                </c:pt>
                <c:pt idx="5">
                  <c:v>10.517819250076725</c:v>
                </c:pt>
                <c:pt idx="6">
                  <c:v>13.46492465677154</c:v>
                </c:pt>
                <c:pt idx="7">
                  <c:v>16.85258329420817</c:v>
                </c:pt>
                <c:pt idx="8">
                  <c:v>20.593081371688491</c:v>
                </c:pt>
                <c:pt idx="9">
                  <c:v>25.515267297242843</c:v>
                </c:pt>
                <c:pt idx="10">
                  <c:v>29.740438140224157</c:v>
                </c:pt>
                <c:pt idx="11">
                  <c:v>34.547825780015351</c:v>
                </c:pt>
                <c:pt idx="12">
                  <c:v>41.16799371474783</c:v>
                </c:pt>
                <c:pt idx="13">
                  <c:v>49.078604122228818</c:v>
                </c:pt>
                <c:pt idx="14">
                  <c:v>58.926459759340446</c:v>
                </c:pt>
                <c:pt idx="15">
                  <c:v>59.786737816442155</c:v>
                </c:pt>
                <c:pt idx="16">
                  <c:v>59.786737816442155</c:v>
                </c:pt>
                <c:pt idx="17">
                  <c:v>59.786737816442155</c:v>
                </c:pt>
                <c:pt idx="18">
                  <c:v>59.786737816442155</c:v>
                </c:pt>
                <c:pt idx="19">
                  <c:v>59.786737816442155</c:v>
                </c:pt>
                <c:pt idx="20">
                  <c:v>59.786737816442155</c:v>
                </c:pt>
              </c:numCache>
            </c:numRef>
          </c:yVal>
          <c:smooth val="1"/>
          <c:extLst xmlns:c16r2="http://schemas.microsoft.com/office/drawing/2015/06/chart">
            <c:ext xmlns:c16="http://schemas.microsoft.com/office/drawing/2014/chart" uri="{C3380CC4-5D6E-409C-BE32-E72D297353CC}">
              <c16:uniqueId val="{00000000-FC93-4B1B-928D-A68D21E05016}"/>
            </c:ext>
          </c:extLst>
        </c:ser>
        <c:ser>
          <c:idx val="1"/>
          <c:order val="1"/>
          <c:tx>
            <c:strRef>
              <c:f>Sheet1!$D$3</c:f>
              <c:strCache>
                <c:ptCount val="1"/>
                <c:pt idx="0">
                  <c:v>Sutaupymo vertė (prie 47 €/MWh)</c:v>
                </c:pt>
              </c:strCache>
            </c:strRef>
          </c:tx>
          <c:spPr>
            <a:ln w="19050" cap="rnd">
              <a:solidFill>
                <a:srgbClr val="00B0F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Sheet1!$D$4:$D$24</c:f>
              <c:numCache>
                <c:formatCode>#,##0</c:formatCode>
                <c:ptCount val="21"/>
                <c:pt idx="1">
                  <c:v>0</c:v>
                </c:pt>
                <c:pt idx="2">
                  <c:v>2.0224191684136552</c:v>
                </c:pt>
                <c:pt idx="3">
                  <c:v>4.1363946303888186</c:v>
                </c:pt>
                <c:pt idx="4">
                  <c:v>6.1526005300587201</c:v>
                </c:pt>
                <c:pt idx="5">
                  <c:v>8.5630193407496904</c:v>
                </c:pt>
                <c:pt idx="6">
                  <c:v>10.529046537702545</c:v>
                </c:pt>
                <c:pt idx="7">
                  <c:v>12.594639614607077</c:v>
                </c:pt>
                <c:pt idx="8">
                  <c:v>14.901256081190846</c:v>
                </c:pt>
                <c:pt idx="9">
                  <c:v>17.095501141302233</c:v>
                </c:pt>
                <c:pt idx="10">
                  <c:v>19.029632705265463</c:v>
                </c:pt>
                <c:pt idx="11">
                  <c:v>21.013777764091287</c:v>
                </c:pt>
                <c:pt idx="12">
                  <c:v>23.461562677611184</c:v>
                </c:pt>
                <c:pt idx="13">
                  <c:v>25.752504360612686</c:v>
                </c:pt>
                <c:pt idx="14">
                  <c:v>27.935507929320451</c:v>
                </c:pt>
                <c:pt idx="15">
                  <c:v>28.084642389506172</c:v>
                </c:pt>
                <c:pt idx="16">
                  <c:v>28.084642389506172</c:v>
                </c:pt>
                <c:pt idx="17">
                  <c:v>28.084642389506172</c:v>
                </c:pt>
                <c:pt idx="18">
                  <c:v>28.084642389506172</c:v>
                </c:pt>
                <c:pt idx="19">
                  <c:v>28.084642389506172</c:v>
                </c:pt>
                <c:pt idx="20">
                  <c:v>28.084642389506172</c:v>
                </c:pt>
              </c:numCache>
            </c:numRef>
          </c:yVal>
          <c:smooth val="1"/>
          <c:extLst xmlns:c16r2="http://schemas.microsoft.com/office/drawing/2015/06/chart">
            <c:ext xmlns:c16="http://schemas.microsoft.com/office/drawing/2014/chart" uri="{C3380CC4-5D6E-409C-BE32-E72D297353CC}">
              <c16:uniqueId val="{00000001-FC93-4B1B-928D-A68D21E05016}"/>
            </c:ext>
          </c:extLst>
        </c:ser>
        <c:ser>
          <c:idx val="3"/>
          <c:order val="2"/>
          <c:tx>
            <c:strRef>
              <c:f>Sheet1!$H$3</c:f>
              <c:strCache>
                <c:ptCount val="1"/>
                <c:pt idx="0">
                  <c:v>Sutaupymo vertė + ekonominės naudos
</c:v>
                </c:pt>
              </c:strCache>
            </c:strRef>
          </c:tx>
          <c:spPr>
            <a:ln w="19050" cap="rnd">
              <a:solidFill>
                <a:srgbClr val="00206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Sheet1!$H$4:$H$24</c:f>
              <c:numCache>
                <c:formatCode>#,##0</c:formatCode>
                <c:ptCount val="21"/>
                <c:pt idx="1">
                  <c:v>0</c:v>
                </c:pt>
                <c:pt idx="2">
                  <c:v>3.6410554773984152</c:v>
                </c:pt>
                <c:pt idx="3">
                  <c:v>7.8878485804407532</c:v>
                </c:pt>
                <c:pt idx="4">
                  <c:v>12.314453216670859</c:v>
                </c:pt>
                <c:pt idx="5">
                  <c:v>17.818700280817211</c:v>
                </c:pt>
                <c:pt idx="6">
                  <c:v>22.3781802356615</c:v>
                </c:pt>
                <c:pt idx="7">
                  <c:v>27.424912913510269</c:v>
                </c:pt>
                <c:pt idx="8">
                  <c:v>33.023167688276722</c:v>
                </c:pt>
                <c:pt idx="9">
                  <c:v>39.548936362875935</c:v>
                </c:pt>
                <c:pt idx="10">
                  <c:v>45.201218268662721</c:v>
                </c:pt>
                <c:pt idx="11">
                  <c:v>51.415864450504799</c:v>
                </c:pt>
                <c:pt idx="12">
                  <c:v>59.689397146589272</c:v>
                </c:pt>
                <c:pt idx="13">
                  <c:v>68.94167598817404</c:v>
                </c:pt>
                <c:pt idx="14">
                  <c:v>79.790792517540041</c:v>
                </c:pt>
                <c:pt idx="15">
                  <c:v>80.696971667975276</c:v>
                </c:pt>
                <c:pt idx="16">
                  <c:v>80.696971667975276</c:v>
                </c:pt>
                <c:pt idx="17">
                  <c:v>80.696971667975276</c:v>
                </c:pt>
                <c:pt idx="18">
                  <c:v>80.696971667975276</c:v>
                </c:pt>
                <c:pt idx="19">
                  <c:v>80.696971667975276</c:v>
                </c:pt>
                <c:pt idx="20">
                  <c:v>80.696971667975276</c:v>
                </c:pt>
              </c:numCache>
            </c:numRef>
          </c:yVal>
          <c:smooth val="1"/>
          <c:extLst xmlns:c16r2="http://schemas.microsoft.com/office/drawing/2015/06/chart">
            <c:ext xmlns:c16="http://schemas.microsoft.com/office/drawing/2014/chart" uri="{C3380CC4-5D6E-409C-BE32-E72D297353CC}">
              <c16:uniqueId val="{00000002-FC93-4B1B-928D-A68D21E05016}"/>
            </c:ext>
          </c:extLst>
        </c:ser>
        <c:dLbls>
          <c:showLegendKey val="0"/>
          <c:showVal val="0"/>
          <c:showCatName val="0"/>
          <c:showSerName val="0"/>
          <c:showPercent val="0"/>
          <c:showBubbleSize val="0"/>
        </c:dLbls>
        <c:axId val="156545024"/>
        <c:axId val="156546944"/>
      </c:scatterChart>
      <c:valAx>
        <c:axId val="15654502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Pasiektas pirminės energijos sutaupymas, proc.</a:t>
                </a:r>
              </a:p>
            </c:rich>
          </c:tx>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546944"/>
        <c:crosses val="autoZero"/>
        <c:crossBetween val="midCat"/>
        <c:majorUnit val="0.1"/>
      </c:valAx>
      <c:valAx>
        <c:axId val="1565469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Investicijų ir sutaupymų vertė, mlrd. Eur</a:t>
                </a:r>
              </a:p>
            </c:rich>
          </c:tx>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545024"/>
        <c:crosses val="autoZero"/>
        <c:crossBetween val="midCat"/>
      </c:valAx>
      <c:spPr>
        <a:noFill/>
        <a:ln>
          <a:solidFill>
            <a:sysClr val="windowText" lastClr="000000"/>
          </a:solidFill>
        </a:ln>
        <a:effectLst/>
      </c:spPr>
    </c:plotArea>
    <c:legend>
      <c:legendPos val="r"/>
      <c:layout>
        <c:manualLayout>
          <c:xMode val="edge"/>
          <c:yMode val="edge"/>
          <c:x val="0.77994801919291334"/>
          <c:y val="0.18041757683515366"/>
          <c:w val="0.20833323080708666"/>
          <c:h val="0.421084751502836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98939122221646E-2"/>
          <c:y val="3.0715528909534964E-2"/>
          <c:w val="0.68598156659269027"/>
          <c:h val="0.8511367603977672"/>
        </c:manualLayout>
      </c:layout>
      <c:scatterChart>
        <c:scatterStyle val="smoothMarker"/>
        <c:varyColors val="0"/>
        <c:ser>
          <c:idx val="0"/>
          <c:order val="0"/>
          <c:tx>
            <c:strRef>
              <c:f>Sheet1!$C$3</c:f>
              <c:strCache>
                <c:ptCount val="1"/>
                <c:pt idx="0">
                  <c:v>Investicijos</c:v>
                </c:pt>
              </c:strCache>
            </c:strRef>
          </c:tx>
          <c:spPr>
            <a:ln w="19050" cap="rnd">
              <a:solidFill>
                <a:srgbClr val="C0000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Sheet1!$C$4:$C$24</c:f>
              <c:numCache>
                <c:formatCode>#,##0</c:formatCode>
                <c:ptCount val="21"/>
                <c:pt idx="1">
                  <c:v>0</c:v>
                </c:pt>
                <c:pt idx="2">
                  <c:v>1.8393594420281363</c:v>
                </c:pt>
                <c:pt idx="3">
                  <c:v>4.2630158523317441</c:v>
                </c:pt>
                <c:pt idx="4">
                  <c:v>7.0021053256956129</c:v>
                </c:pt>
                <c:pt idx="5">
                  <c:v>10.517819250076725</c:v>
                </c:pt>
                <c:pt idx="6">
                  <c:v>13.46492465677154</c:v>
                </c:pt>
                <c:pt idx="7">
                  <c:v>16.85258329420817</c:v>
                </c:pt>
                <c:pt idx="8">
                  <c:v>20.593081371688491</c:v>
                </c:pt>
                <c:pt idx="9">
                  <c:v>25.515267297242843</c:v>
                </c:pt>
                <c:pt idx="10">
                  <c:v>29.740438140224157</c:v>
                </c:pt>
                <c:pt idx="11">
                  <c:v>34.547825780015351</c:v>
                </c:pt>
                <c:pt idx="12">
                  <c:v>41.16799371474783</c:v>
                </c:pt>
                <c:pt idx="13">
                  <c:v>49.078604122228818</c:v>
                </c:pt>
                <c:pt idx="14">
                  <c:v>58.926459759340446</c:v>
                </c:pt>
                <c:pt idx="15">
                  <c:v>59.786737816442155</c:v>
                </c:pt>
                <c:pt idx="16">
                  <c:v>59.786737816442155</c:v>
                </c:pt>
                <c:pt idx="17">
                  <c:v>59.786737816442155</c:v>
                </c:pt>
                <c:pt idx="18">
                  <c:v>59.786737816442155</c:v>
                </c:pt>
                <c:pt idx="19">
                  <c:v>59.786737816442155</c:v>
                </c:pt>
                <c:pt idx="20">
                  <c:v>59.786737816442155</c:v>
                </c:pt>
              </c:numCache>
            </c:numRef>
          </c:yVal>
          <c:smooth val="1"/>
          <c:extLst xmlns:c16r2="http://schemas.microsoft.com/office/drawing/2015/06/chart">
            <c:ext xmlns:c16="http://schemas.microsoft.com/office/drawing/2014/chart" uri="{C3380CC4-5D6E-409C-BE32-E72D297353CC}">
              <c16:uniqueId val="{00000000-CB5C-4BDA-9DF9-657CE135F6A4}"/>
            </c:ext>
          </c:extLst>
        </c:ser>
        <c:ser>
          <c:idx val="1"/>
          <c:order val="1"/>
          <c:tx>
            <c:strRef>
              <c:f>Sheet1!$D$3</c:f>
              <c:strCache>
                <c:ptCount val="1"/>
                <c:pt idx="0">
                  <c:v>Sutaupymo vertė (prie 47 €/MWh)</c:v>
                </c:pt>
              </c:strCache>
            </c:strRef>
          </c:tx>
          <c:spPr>
            <a:ln w="19050" cap="rnd">
              <a:solidFill>
                <a:srgbClr val="00B0F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Sheet1!$D$4:$D$24</c:f>
              <c:numCache>
                <c:formatCode>#,##0</c:formatCode>
                <c:ptCount val="21"/>
                <c:pt idx="1">
                  <c:v>0</c:v>
                </c:pt>
                <c:pt idx="2">
                  <c:v>2.0224191684136552</c:v>
                </c:pt>
                <c:pt idx="3">
                  <c:v>4.1363946303888186</c:v>
                </c:pt>
                <c:pt idx="4">
                  <c:v>6.1526005300587201</c:v>
                </c:pt>
                <c:pt idx="5">
                  <c:v>8.5630193407496904</c:v>
                </c:pt>
                <c:pt idx="6">
                  <c:v>10.529046537702545</c:v>
                </c:pt>
                <c:pt idx="7">
                  <c:v>12.594639614607077</c:v>
                </c:pt>
                <c:pt idx="8">
                  <c:v>14.901256081190846</c:v>
                </c:pt>
                <c:pt idx="9">
                  <c:v>17.095501141302233</c:v>
                </c:pt>
                <c:pt idx="10">
                  <c:v>19.029632705265463</c:v>
                </c:pt>
                <c:pt idx="11">
                  <c:v>21.013777764091287</c:v>
                </c:pt>
                <c:pt idx="12">
                  <c:v>23.461562677611184</c:v>
                </c:pt>
                <c:pt idx="13">
                  <c:v>25.752504360612686</c:v>
                </c:pt>
                <c:pt idx="14">
                  <c:v>27.935507929320451</c:v>
                </c:pt>
                <c:pt idx="15">
                  <c:v>28.084642389506172</c:v>
                </c:pt>
                <c:pt idx="16">
                  <c:v>28.084642389506172</c:v>
                </c:pt>
                <c:pt idx="17">
                  <c:v>28.084642389506172</c:v>
                </c:pt>
                <c:pt idx="18">
                  <c:v>28.084642389506172</c:v>
                </c:pt>
                <c:pt idx="19">
                  <c:v>28.084642389506172</c:v>
                </c:pt>
                <c:pt idx="20">
                  <c:v>28.084642389506172</c:v>
                </c:pt>
              </c:numCache>
            </c:numRef>
          </c:yVal>
          <c:smooth val="1"/>
          <c:extLst xmlns:c16r2="http://schemas.microsoft.com/office/drawing/2015/06/chart">
            <c:ext xmlns:c16="http://schemas.microsoft.com/office/drawing/2014/chart" uri="{C3380CC4-5D6E-409C-BE32-E72D297353CC}">
              <c16:uniqueId val="{00000001-CB5C-4BDA-9DF9-657CE135F6A4}"/>
            </c:ext>
          </c:extLst>
        </c:ser>
        <c:ser>
          <c:idx val="2"/>
          <c:order val="2"/>
          <c:tx>
            <c:strRef>
              <c:f>Sheet1!$E$3</c:f>
              <c:strCache>
                <c:ptCount val="1"/>
                <c:pt idx="0">
                  <c:v>Sutaupymo vertė (prie 51 €/MWh)</c:v>
                </c:pt>
              </c:strCache>
            </c:strRef>
          </c:tx>
          <c:spPr>
            <a:ln w="19050" cap="rnd">
              <a:solidFill>
                <a:srgbClr val="00206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Sheet1!$E$4:$E$24</c:f>
              <c:numCache>
                <c:formatCode>#,##0</c:formatCode>
                <c:ptCount val="21"/>
                <c:pt idx="1">
                  <c:v>0</c:v>
                </c:pt>
                <c:pt idx="2">
                  <c:v>2.3602514098360561</c:v>
                </c:pt>
                <c:pt idx="3">
                  <c:v>4.8443247820813733</c:v>
                </c:pt>
                <c:pt idx="4">
                  <c:v>7.2434394907698278</c:v>
                </c:pt>
                <c:pt idx="5">
                  <c:v>10.067878188177438</c:v>
                </c:pt>
                <c:pt idx="6">
                  <c:v>12.502209581373272</c:v>
                </c:pt>
                <c:pt idx="7">
                  <c:v>14.765221121254797</c:v>
                </c:pt>
                <c:pt idx="8">
                  <c:v>17.452898289712831</c:v>
                </c:pt>
                <c:pt idx="9">
                  <c:v>19.981716766902306</c:v>
                </c:pt>
                <c:pt idx="10">
                  <c:v>22.226283339930752</c:v>
                </c:pt>
                <c:pt idx="11">
                  <c:v>24.560681554092472</c:v>
                </c:pt>
                <c:pt idx="12">
                  <c:v>27.387167177854327</c:v>
                </c:pt>
                <c:pt idx="13">
                  <c:v>30.06638632280794</c:v>
                </c:pt>
                <c:pt idx="14">
                  <c:v>32.600261189714367</c:v>
                </c:pt>
                <c:pt idx="15">
                  <c:v>32.774802435101137</c:v>
                </c:pt>
                <c:pt idx="16">
                  <c:v>32.774802435101137</c:v>
                </c:pt>
                <c:pt idx="17">
                  <c:v>32.774802435101137</c:v>
                </c:pt>
                <c:pt idx="18">
                  <c:v>32.774802435101137</c:v>
                </c:pt>
                <c:pt idx="19">
                  <c:v>32.774802435101137</c:v>
                </c:pt>
                <c:pt idx="20">
                  <c:v>32.774802435101137</c:v>
                </c:pt>
              </c:numCache>
            </c:numRef>
          </c:yVal>
          <c:smooth val="1"/>
          <c:extLst xmlns:c16r2="http://schemas.microsoft.com/office/drawing/2015/06/chart">
            <c:ext xmlns:c16="http://schemas.microsoft.com/office/drawing/2014/chart" uri="{C3380CC4-5D6E-409C-BE32-E72D297353CC}">
              <c16:uniqueId val="{00000002-CB5C-4BDA-9DF9-657CE135F6A4}"/>
            </c:ext>
          </c:extLst>
        </c:ser>
        <c:ser>
          <c:idx val="3"/>
          <c:order val="3"/>
          <c:tx>
            <c:strRef>
              <c:f>Sheet1!$F$3</c:f>
              <c:strCache>
                <c:ptCount val="1"/>
                <c:pt idx="0">
                  <c:v>Sutaupymo vertė (prie 64 €/MWh)</c:v>
                </c:pt>
              </c:strCache>
            </c:strRef>
          </c:tx>
          <c:spPr>
            <a:ln w="19050" cap="rnd">
              <a:solidFill>
                <a:schemeClr val="bg1">
                  <a:lumMod val="50000"/>
                </a:schemeClr>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Sheet1!$F$4:$F$24</c:f>
              <c:numCache>
                <c:formatCode>#,##0</c:formatCode>
                <c:ptCount val="21"/>
                <c:pt idx="1">
                  <c:v>0</c:v>
                </c:pt>
                <c:pt idx="2">
                  <c:v>2.6888677959151126</c:v>
                </c:pt>
                <c:pt idx="3">
                  <c:v>5.5090069096609691</c:v>
                </c:pt>
                <c:pt idx="4">
                  <c:v>8.2040931516414748</c:v>
                </c:pt>
                <c:pt idx="5">
                  <c:v>11.429873148374769</c:v>
                </c:pt>
                <c:pt idx="6">
                  <c:v>14.389928643098699</c:v>
                </c:pt>
                <c:pt idx="7">
                  <c:v>16.869097855418914</c:v>
                </c:pt>
                <c:pt idx="8">
                  <c:v>19.76513610878883</c:v>
                </c:pt>
                <c:pt idx="9">
                  <c:v>22.620839681306435</c:v>
                </c:pt>
                <c:pt idx="10">
                  <c:v>25.140923916855868</c:v>
                </c:pt>
                <c:pt idx="11">
                  <c:v>27.80850348738711</c:v>
                </c:pt>
                <c:pt idx="12">
                  <c:v>30.978449404034524</c:v>
                </c:pt>
                <c:pt idx="13">
                  <c:v>34.022001231705808</c:v>
                </c:pt>
                <c:pt idx="14">
                  <c:v>36.868547454664707</c:v>
                </c:pt>
                <c:pt idx="15">
                  <c:v>37.06630537388758</c:v>
                </c:pt>
                <c:pt idx="16">
                  <c:v>37.066305373887587</c:v>
                </c:pt>
                <c:pt idx="17">
                  <c:v>37.066305373887587</c:v>
                </c:pt>
                <c:pt idx="18">
                  <c:v>37.066305373887587</c:v>
                </c:pt>
                <c:pt idx="19">
                  <c:v>37.066305373887587</c:v>
                </c:pt>
                <c:pt idx="20">
                  <c:v>37.066305373887587</c:v>
                </c:pt>
              </c:numCache>
            </c:numRef>
          </c:yVal>
          <c:smooth val="1"/>
          <c:extLst xmlns:c16r2="http://schemas.microsoft.com/office/drawing/2015/06/chart">
            <c:ext xmlns:c16="http://schemas.microsoft.com/office/drawing/2014/chart" uri="{C3380CC4-5D6E-409C-BE32-E72D297353CC}">
              <c16:uniqueId val="{00000003-CB5C-4BDA-9DF9-657CE135F6A4}"/>
            </c:ext>
          </c:extLst>
        </c:ser>
        <c:dLbls>
          <c:showLegendKey val="0"/>
          <c:showVal val="0"/>
          <c:showCatName val="0"/>
          <c:showSerName val="0"/>
          <c:showPercent val="0"/>
          <c:showBubbleSize val="0"/>
        </c:dLbls>
        <c:axId val="156357760"/>
        <c:axId val="156359680"/>
      </c:scatterChart>
      <c:valAx>
        <c:axId val="15635776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Sutaupytas pirminė energija, proc.</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359680"/>
        <c:crosses val="autoZero"/>
        <c:crossBetween val="midCat"/>
      </c:valAx>
      <c:valAx>
        <c:axId val="15635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Investicijų ir energijos sutaupymų vertė. mlrd. Eur</a:t>
                </a:r>
              </a:p>
            </c:rich>
          </c:tx>
          <c:layout/>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6357760"/>
        <c:crosses val="autoZero"/>
        <c:crossBetween val="midCat"/>
      </c:valAx>
      <c:spPr>
        <a:noFill/>
        <a:ln>
          <a:solidFill>
            <a:sysClr val="windowText" lastClr="000000"/>
          </a:solidFill>
        </a:ln>
        <a:effectLst/>
      </c:spPr>
    </c:plotArea>
    <c:legend>
      <c:legendPos val="r"/>
      <c:layout>
        <c:manualLayout>
          <c:xMode val="edge"/>
          <c:yMode val="edge"/>
          <c:x val="0.81279946451541041"/>
          <c:y val="0.15171184656395031"/>
          <c:w val="0.15100675340535658"/>
          <c:h val="0.57043615200273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7537177377234"/>
          <c:y val="3.0715528909534964E-2"/>
          <c:w val="0.66740512254491346"/>
          <c:h val="0.82227676085943779"/>
        </c:manualLayout>
      </c:layout>
      <c:scatterChart>
        <c:scatterStyle val="smoothMarker"/>
        <c:varyColors val="0"/>
        <c:ser>
          <c:idx val="0"/>
          <c:order val="0"/>
          <c:tx>
            <c:strRef>
              <c:f>Sheet1!$C$3</c:f>
              <c:strCache>
                <c:ptCount val="1"/>
                <c:pt idx="0">
                  <c:v>Investicijos</c:v>
                </c:pt>
              </c:strCache>
            </c:strRef>
          </c:tx>
          <c:spPr>
            <a:ln w="19050" cap="rnd">
              <a:solidFill>
                <a:srgbClr val="C0000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Sheet1!$C$4:$C$24</c:f>
              <c:numCache>
                <c:formatCode>#,##0</c:formatCode>
                <c:ptCount val="21"/>
                <c:pt idx="1">
                  <c:v>0</c:v>
                </c:pt>
                <c:pt idx="2">
                  <c:v>1.8393594420281363</c:v>
                </c:pt>
                <c:pt idx="3">
                  <c:v>4.2630158523317441</c:v>
                </c:pt>
                <c:pt idx="4">
                  <c:v>7.0021053256956129</c:v>
                </c:pt>
                <c:pt idx="5">
                  <c:v>10.517819250076725</c:v>
                </c:pt>
                <c:pt idx="6">
                  <c:v>13.46492465677154</c:v>
                </c:pt>
                <c:pt idx="7">
                  <c:v>16.85258329420817</c:v>
                </c:pt>
                <c:pt idx="8">
                  <c:v>20.593081371688491</c:v>
                </c:pt>
                <c:pt idx="9">
                  <c:v>25.515267297242843</c:v>
                </c:pt>
                <c:pt idx="10">
                  <c:v>29.740438140224157</c:v>
                </c:pt>
                <c:pt idx="11">
                  <c:v>34.547825780015351</c:v>
                </c:pt>
                <c:pt idx="12">
                  <c:v>41.16799371474783</c:v>
                </c:pt>
                <c:pt idx="13">
                  <c:v>49.078604122228818</c:v>
                </c:pt>
                <c:pt idx="14">
                  <c:v>58.926459759340446</c:v>
                </c:pt>
                <c:pt idx="15">
                  <c:v>59.786737816442155</c:v>
                </c:pt>
                <c:pt idx="16">
                  <c:v>59.786737816442155</c:v>
                </c:pt>
                <c:pt idx="17">
                  <c:v>59.786737816442155</c:v>
                </c:pt>
                <c:pt idx="18">
                  <c:v>59.786737816442155</c:v>
                </c:pt>
                <c:pt idx="19">
                  <c:v>59.786737816442155</c:v>
                </c:pt>
                <c:pt idx="20">
                  <c:v>59.786737816442155</c:v>
                </c:pt>
              </c:numCache>
            </c:numRef>
          </c:yVal>
          <c:smooth val="1"/>
          <c:extLst xmlns:c16r2="http://schemas.microsoft.com/office/drawing/2015/06/chart">
            <c:ext xmlns:c16="http://schemas.microsoft.com/office/drawing/2014/chart" uri="{C3380CC4-5D6E-409C-BE32-E72D297353CC}">
              <c16:uniqueId val="{00000000-7C28-4742-BB38-A05A78DDC6F1}"/>
            </c:ext>
          </c:extLst>
        </c:ser>
        <c:ser>
          <c:idx val="3"/>
          <c:order val="1"/>
          <c:tx>
            <c:strRef>
              <c:f>Sheet1!$F$3</c:f>
              <c:strCache>
                <c:ptCount val="1"/>
                <c:pt idx="0">
                  <c:v>Sutaupymo vertė (prie 64 €/MWh)</c:v>
                </c:pt>
              </c:strCache>
            </c:strRef>
          </c:tx>
          <c:spPr>
            <a:ln w="19050" cap="rnd">
              <a:solidFill>
                <a:schemeClr val="bg1">
                  <a:lumMod val="50000"/>
                </a:schemeClr>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Sheet1!$F$4:$F$24</c:f>
              <c:numCache>
                <c:formatCode>#,##0</c:formatCode>
                <c:ptCount val="21"/>
                <c:pt idx="1">
                  <c:v>0</c:v>
                </c:pt>
                <c:pt idx="2">
                  <c:v>2.6888677959151126</c:v>
                </c:pt>
                <c:pt idx="3">
                  <c:v>5.5090069096609691</c:v>
                </c:pt>
                <c:pt idx="4">
                  <c:v>8.2040931516414748</c:v>
                </c:pt>
                <c:pt idx="5">
                  <c:v>11.429873148374769</c:v>
                </c:pt>
                <c:pt idx="6">
                  <c:v>14.389928643098699</c:v>
                </c:pt>
                <c:pt idx="7">
                  <c:v>16.869097855418914</c:v>
                </c:pt>
                <c:pt idx="8">
                  <c:v>19.76513610878883</c:v>
                </c:pt>
                <c:pt idx="9">
                  <c:v>22.620839681306435</c:v>
                </c:pt>
                <c:pt idx="10">
                  <c:v>25.140923916855868</c:v>
                </c:pt>
                <c:pt idx="11">
                  <c:v>27.80850348738711</c:v>
                </c:pt>
                <c:pt idx="12">
                  <c:v>30.978449404034524</c:v>
                </c:pt>
                <c:pt idx="13">
                  <c:v>34.022001231705808</c:v>
                </c:pt>
                <c:pt idx="14">
                  <c:v>36.868547454664707</c:v>
                </c:pt>
                <c:pt idx="15">
                  <c:v>37.06630537388758</c:v>
                </c:pt>
                <c:pt idx="16">
                  <c:v>37.066305373887587</c:v>
                </c:pt>
                <c:pt idx="17">
                  <c:v>37.066305373887587</c:v>
                </c:pt>
                <c:pt idx="18">
                  <c:v>37.066305373887587</c:v>
                </c:pt>
                <c:pt idx="19">
                  <c:v>37.066305373887587</c:v>
                </c:pt>
                <c:pt idx="20">
                  <c:v>37.066305373887587</c:v>
                </c:pt>
              </c:numCache>
            </c:numRef>
          </c:yVal>
          <c:smooth val="1"/>
          <c:extLst xmlns:c16r2="http://schemas.microsoft.com/office/drawing/2015/06/chart">
            <c:ext xmlns:c16="http://schemas.microsoft.com/office/drawing/2014/chart" uri="{C3380CC4-5D6E-409C-BE32-E72D297353CC}">
              <c16:uniqueId val="{00000001-7C28-4742-BB38-A05A78DDC6F1}"/>
            </c:ext>
          </c:extLst>
        </c:ser>
        <c:ser>
          <c:idx val="1"/>
          <c:order val="2"/>
          <c:tx>
            <c:strRef>
              <c:f>Sheet1!$J$3</c:f>
              <c:strCache>
                <c:ptCount val="1"/>
                <c:pt idx="0">
                  <c:v>Sutaupymo vertė + ekonominės naudos
</c:v>
                </c:pt>
              </c:strCache>
            </c:strRef>
          </c:tx>
          <c:spPr>
            <a:ln w="19050" cap="rnd">
              <a:solidFill>
                <a:schemeClr val="bg1">
                  <a:lumMod val="50000"/>
                </a:schemeClr>
              </a:solidFill>
              <a:prstDash val="sysDash"/>
              <a:round/>
            </a:ln>
            <a:effectLst/>
          </c:spPr>
          <c:marker>
            <c:symbol val="none"/>
          </c:marker>
          <c:xVal>
            <c:numRef>
              <c:f>Sheet1!$B$5:$B$24</c:f>
              <c:numCache>
                <c:formatCode>0%</c:formatCode>
                <c:ptCount val="2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formatCode="0.0%">
                  <c:v>0.65300000000000002</c:v>
                </c:pt>
                <c:pt idx="15">
                  <c:v>0.7</c:v>
                </c:pt>
                <c:pt idx="16">
                  <c:v>0.75</c:v>
                </c:pt>
                <c:pt idx="17">
                  <c:v>0.8</c:v>
                </c:pt>
                <c:pt idx="18">
                  <c:v>0.9</c:v>
                </c:pt>
                <c:pt idx="19">
                  <c:v>1</c:v>
                </c:pt>
              </c:numCache>
            </c:numRef>
          </c:xVal>
          <c:yVal>
            <c:numRef>
              <c:f>Sheet1!$J$5:$J$24</c:f>
              <c:numCache>
                <c:formatCode>#,##0</c:formatCode>
                <c:ptCount val="20"/>
                <c:pt idx="0">
                  <c:v>0</c:v>
                </c:pt>
                <c:pt idx="1">
                  <c:v>4.3075041048998726</c:v>
                </c:pt>
                <c:pt idx="2">
                  <c:v>9.2604608597129037</c:v>
                </c:pt>
                <c:pt idx="3">
                  <c:v>14.365945838253614</c:v>
                </c:pt>
                <c:pt idx="4">
                  <c:v>20.685554088442288</c:v>
                </c:pt>
                <c:pt idx="5">
                  <c:v>26.239062341057654</c:v>
                </c:pt>
                <c:pt idx="6">
                  <c:v>31.699371154322105</c:v>
                </c:pt>
                <c:pt idx="7">
                  <c:v>37.887047715874701</c:v>
                </c:pt>
                <c:pt idx="8">
                  <c:v>45.074274902880134</c:v>
                </c:pt>
                <c:pt idx="9">
                  <c:v>51.312509480253127</c:v>
                </c:pt>
                <c:pt idx="10">
                  <c:v>58.210590173800618</c:v>
                </c:pt>
                <c:pt idx="11">
                  <c:v>67.206283873012609</c:v>
                </c:pt>
                <c:pt idx="12">
                  <c:v>77.211172859267165</c:v>
                </c:pt>
                <c:pt idx="13">
                  <c:v>88.723832042884297</c:v>
                </c:pt>
                <c:pt idx="14">
                  <c:v>89.678634652356678</c:v>
                </c:pt>
                <c:pt idx="15">
                  <c:v>89.678634652356692</c:v>
                </c:pt>
                <c:pt idx="16">
                  <c:v>89.678634652356692</c:v>
                </c:pt>
                <c:pt idx="17">
                  <c:v>89.678634652356692</c:v>
                </c:pt>
                <c:pt idx="18">
                  <c:v>89.678634652356692</c:v>
                </c:pt>
                <c:pt idx="19">
                  <c:v>89.678634652356692</c:v>
                </c:pt>
              </c:numCache>
            </c:numRef>
          </c:yVal>
          <c:smooth val="1"/>
          <c:extLst xmlns:c16r2="http://schemas.microsoft.com/office/drawing/2015/06/chart">
            <c:ext xmlns:c16="http://schemas.microsoft.com/office/drawing/2014/chart" uri="{C3380CC4-5D6E-409C-BE32-E72D297353CC}">
              <c16:uniqueId val="{00000002-7C28-4742-BB38-A05A78DDC6F1}"/>
            </c:ext>
          </c:extLst>
        </c:ser>
        <c:dLbls>
          <c:showLegendKey val="0"/>
          <c:showVal val="0"/>
          <c:showCatName val="0"/>
          <c:showSerName val="0"/>
          <c:showPercent val="0"/>
          <c:showBubbleSize val="0"/>
        </c:dLbls>
        <c:axId val="157117440"/>
        <c:axId val="157123712"/>
      </c:scatterChart>
      <c:valAx>
        <c:axId val="15711744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Sutaupyta pirminė energija, proc.</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7123712"/>
        <c:crosses val="autoZero"/>
        <c:crossBetween val="midCat"/>
      </c:valAx>
      <c:valAx>
        <c:axId val="157123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Investicijų ir energijos sutaupymų vertė. mlrd. Eur</a:t>
                </a:r>
              </a:p>
            </c:rich>
          </c:tx>
          <c:layout/>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7117440"/>
        <c:crosses val="autoZero"/>
        <c:crossBetween val="midCat"/>
      </c:valAx>
      <c:spPr>
        <a:noFill/>
        <a:ln>
          <a:solidFill>
            <a:sysClr val="windowText" lastClr="000000"/>
          </a:solidFill>
        </a:ln>
        <a:effectLst/>
      </c:spPr>
    </c:plotArea>
    <c:legend>
      <c:legendPos val="r"/>
      <c:layout>
        <c:manualLayout>
          <c:xMode val="edge"/>
          <c:yMode val="edge"/>
          <c:x val="0.79670421360033372"/>
          <c:y val="0.16043259744047145"/>
          <c:w val="0.18869420108468921"/>
          <c:h val="0.640654766639018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4288899204498"/>
          <c:y val="5.627195319745671E-2"/>
          <c:w val="0.8738205110615429"/>
          <c:h val="0.82862388989905211"/>
        </c:manualLayout>
      </c:layout>
      <c:barChart>
        <c:barDir val="col"/>
        <c:grouping val="stacked"/>
        <c:varyColors val="0"/>
        <c:ser>
          <c:idx val="0"/>
          <c:order val="0"/>
          <c:tx>
            <c:strRef>
              <c:f>'Waterfall (2)'!$C$4</c:f>
              <c:strCache>
                <c:ptCount val="1"/>
                <c:pt idx="0">
                  <c:v>Base</c:v>
                </c:pt>
              </c:strCache>
            </c:strRef>
          </c:tx>
          <c:spPr>
            <a:no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1-16C5-499B-AA8B-D1839F6DB44A}"/>
              </c:ext>
            </c:extLst>
          </c:dPt>
          <c:dPt>
            <c:idx val="1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16C5-499B-AA8B-D1839F6DB44A}"/>
              </c:ext>
            </c:extLst>
          </c:dPt>
          <c:dPt>
            <c:idx val="1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5-16C5-499B-AA8B-D1839F6DB44A}"/>
              </c:ext>
            </c:extLst>
          </c:dPt>
          <c:dLbls>
            <c:dLbl>
              <c:idx val="1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C5-499B-AA8B-D1839F6DB44A}"/>
                </c:ext>
              </c:extLst>
            </c:dLbl>
            <c:dLbl>
              <c:idx val="14"/>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C5-499B-AA8B-D1839F6DB44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(2)'!$C$5:$C$19</c:f>
              <c:numCache>
                <c:formatCode>#,##0.0\ ;\ \-\ #,##0.0\ ;\ \-\ </c:formatCode>
                <c:ptCount val="15"/>
                <c:pt idx="1">
                  <c:v>36.744579653159974</c:v>
                </c:pt>
                <c:pt idx="2">
                  <c:v>35.068011187037669</c:v>
                </c:pt>
                <c:pt idx="3">
                  <c:v>31.339724259177213</c:v>
                </c:pt>
                <c:pt idx="4">
                  <c:v>25.35876341174837</c:v>
                </c:pt>
                <c:pt idx="5">
                  <c:v>23.273381616325487</c:v>
                </c:pt>
                <c:pt idx="6">
                  <c:v>19.997324449260375</c:v>
                </c:pt>
                <c:pt idx="7">
                  <c:v>19.693831731727268</c:v>
                </c:pt>
                <c:pt idx="8">
                  <c:v>18.142398513315982</c:v>
                </c:pt>
                <c:pt idx="9">
                  <c:v>18.07710777965038</c:v>
                </c:pt>
                <c:pt idx="10">
                  <c:v>17.624789060302891</c:v>
                </c:pt>
                <c:pt idx="11">
                  <c:v>15.839169040042506</c:v>
                </c:pt>
                <c:pt idx="12">
                  <c:v>15.839169040042506</c:v>
                </c:pt>
                <c:pt idx="13">
                  <c:v>15.839169040042506</c:v>
                </c:pt>
                <c:pt idx="14">
                  <c:v>16.162355587344955</c:v>
                </c:pt>
              </c:numCache>
            </c:numRef>
          </c:val>
          <c:extLst xmlns:c16r2="http://schemas.microsoft.com/office/drawing/2015/06/chart">
            <c:ext xmlns:c16="http://schemas.microsoft.com/office/drawing/2014/chart" uri="{C3380CC4-5D6E-409C-BE32-E72D297353CC}">
              <c16:uniqueId val="{00000006-16C5-499B-AA8B-D1839F6DB44A}"/>
            </c:ext>
          </c:extLst>
        </c:ser>
        <c:ser>
          <c:idx val="1"/>
          <c:order val="1"/>
          <c:tx>
            <c:strRef>
              <c:f>'Waterfall (2)'!$D$4</c:f>
              <c:strCache>
                <c:ptCount val="1"/>
                <c:pt idx="0">
                  <c:v>Down</c:v>
                </c:pt>
              </c:strCache>
            </c:strRef>
          </c:tx>
          <c:spPr>
            <a:solidFill>
              <a:srgbClr val="00206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C5-499B-AA8B-D1839F6DB44A}"/>
                </c:ext>
              </c:extLst>
            </c:dLbl>
            <c:dLbl>
              <c:idx val="1"/>
              <c:layout>
                <c:manualLayout>
                  <c:x val="-2.3968291452904917E-17"/>
                  <c:y val="-5.676576798074015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C5-499B-AA8B-D1839F6DB44A}"/>
                </c:ext>
              </c:extLst>
            </c:dLbl>
            <c:dLbl>
              <c:idx val="2"/>
              <c:layout>
                <c:manualLayout>
                  <c:x val="-4.7936582905809834E-17"/>
                  <c:y val="-4.130411401452499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C5-499B-AA8B-D1839F6DB44A}"/>
                </c:ext>
              </c:extLst>
            </c:dLbl>
            <c:dLbl>
              <c:idx val="3"/>
              <c:layout>
                <c:manualLayout>
                  <c:x val="-4.7936582905809834E-17"/>
                  <c:y val="-6.170484930797358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C5-499B-AA8B-D1839F6DB44A}"/>
                </c:ext>
              </c:extLst>
            </c:dLbl>
            <c:dLbl>
              <c:idx val="4"/>
              <c:layout>
                <c:manualLayout>
                  <c:x val="0"/>
                  <c:y val="-8.025515796415949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C5-499B-AA8B-D1839F6DB44A}"/>
                </c:ext>
              </c:extLst>
            </c:dLbl>
            <c:dLbl>
              <c:idx val="5"/>
              <c:layout>
                <c:manualLayout>
                  <c:x val="-4.7936582905809834E-17"/>
                  <c:y val="-4.407520433765631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C5-499B-AA8B-D1839F6DB44A}"/>
                </c:ext>
              </c:extLst>
            </c:dLbl>
            <c:dLbl>
              <c:idx val="6"/>
              <c:layout>
                <c:manualLayout>
                  <c:x val="-9.5873165811619668E-17"/>
                  <c:y val="-5.43124240097587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C5-499B-AA8B-D1839F6DB44A}"/>
                </c:ext>
              </c:extLst>
            </c:dLbl>
            <c:dLbl>
              <c:idx val="8"/>
              <c:layout>
                <c:manualLayout>
                  <c:x val="-9.5873165811619668E-17"/>
                  <c:y val="-4.014504957188865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C5-499B-AA8B-D1839F6DB44A}"/>
                </c:ext>
              </c:extLst>
            </c:dLbl>
            <c:dLbl>
              <c:idx val="11"/>
              <c:layout>
                <c:manualLayout>
                  <c:x val="9.5873165811619668E-17"/>
                  <c:y val="-4.261131449991627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C5-499B-AA8B-D1839F6DB44A}"/>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C5-499B-AA8B-D1839F6DB44A}"/>
                </c:ext>
              </c:extLst>
            </c:dLbl>
            <c:dLbl>
              <c:idx val="13"/>
              <c:layout>
                <c:manualLayout>
                  <c:x val="-1.3292030940928899E-3"/>
                  <c:y val="-3.9117067844525302E-2"/>
                </c:manualLayout>
              </c:layout>
              <c:tx>
                <c:rich>
                  <a:bodyPr/>
                  <a:lstStyle/>
                  <a:p>
                    <a:r>
                      <a:rPr lang="en-US"/>
                      <a:t>0,3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161604056845108E-2"/>
                      <c:h val="2.9201811650376549E-2"/>
                    </c:manualLayout>
                  </c15:layout>
                  <c15:showDataLabelsRange val="0"/>
                </c:ext>
                <c:ext xmlns:c16="http://schemas.microsoft.com/office/drawing/2014/chart" uri="{C3380CC4-5D6E-409C-BE32-E72D297353CC}">
                  <c16:uniqueId val="{00000011-16C5-499B-AA8B-D1839F6DB44A}"/>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C5-499B-AA8B-D1839F6DB44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'Waterfall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(2)'!$D$5:$D$19</c:f>
              <c:numCache>
                <c:formatCode>#,##0.0\ ;\ \-\ #,##0.0\ ;\ \-\ </c:formatCode>
                <c:ptCount val="15"/>
                <c:pt idx="0">
                  <c:v>0</c:v>
                </c:pt>
                <c:pt idx="1">
                  <c:v>4.0827310725733303</c:v>
                </c:pt>
                <c:pt idx="2">
                  <c:v>1.6765684661223079</c:v>
                </c:pt>
                <c:pt idx="3">
                  <c:v>3.7282869278604549</c:v>
                </c:pt>
                <c:pt idx="4">
                  <c:v>5.9809608474288414</c:v>
                </c:pt>
                <c:pt idx="5">
                  <c:v>2.0853817954228813</c:v>
                </c:pt>
                <c:pt idx="6">
                  <c:v>3.2760571670651135</c:v>
                </c:pt>
                <c:pt idx="7">
                  <c:v>0.30349271753310741</c:v>
                </c:pt>
                <c:pt idx="8">
                  <c:v>1.5514332184112858</c:v>
                </c:pt>
                <c:pt idx="9">
                  <c:v>6.529073366560309E-2</c:v>
                </c:pt>
                <c:pt idx="10">
                  <c:v>0.45231871934748674</c:v>
                </c:pt>
                <c:pt idx="11">
                  <c:v>1.7856200202603854</c:v>
                </c:pt>
                <c:pt idx="12">
                  <c:v>0</c:v>
                </c:pt>
                <c:pt idx="13">
                  <c:v>0</c:v>
                </c:pt>
                <c:pt idx="14">
                  <c:v>0</c:v>
                </c:pt>
              </c:numCache>
            </c:numRef>
          </c:val>
          <c:extLst xmlns:c16r2="http://schemas.microsoft.com/office/drawing/2015/06/chart">
            <c:ext xmlns:c16="http://schemas.microsoft.com/office/drawing/2014/chart" uri="{C3380CC4-5D6E-409C-BE32-E72D297353CC}">
              <c16:uniqueId val="{00000013-16C5-499B-AA8B-D1839F6DB44A}"/>
            </c:ext>
          </c:extLst>
        </c:ser>
        <c:ser>
          <c:idx val="2"/>
          <c:order val="2"/>
          <c:tx>
            <c:strRef>
              <c:f>'Waterfall (2)'!$E$4</c:f>
              <c:strCache>
                <c:ptCount val="1"/>
                <c:pt idx="0">
                  <c:v>Up</c:v>
                </c:pt>
              </c:strCache>
            </c:strRef>
          </c:tx>
          <c:spPr>
            <a:solidFill>
              <a:schemeClr val="tx1">
                <a:lumMod val="50000"/>
                <a:lumOff val="5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16C5-499B-AA8B-D1839F6DB44A}"/>
              </c:ext>
            </c:extLst>
          </c:dPt>
          <c:dPt>
            <c:idx val="13"/>
            <c:invertIfNegative val="0"/>
            <c:bubble3D val="0"/>
            <c:extLst xmlns:c16r2="http://schemas.microsoft.com/office/drawing/2015/06/chart">
              <c:ext xmlns:c16="http://schemas.microsoft.com/office/drawing/2014/chart" uri="{C3380CC4-5D6E-409C-BE32-E72D297353CC}">
                <c16:uniqueId val="{00000017-16C5-499B-AA8B-D1839F6DB44A}"/>
              </c:ext>
            </c:extLst>
          </c:dPt>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C5-499B-AA8B-D1839F6DB44A}"/>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(2)'!$E$5:$E$19</c:f>
              <c:numCache>
                <c:formatCode>#,##0.0\ ;\ \-\ #,##0.0\ ;\ \-\ </c:formatCode>
                <c:ptCount val="15"/>
                <c:pt idx="0">
                  <c:v>40.827310725733305</c:v>
                </c:pt>
                <c:pt idx="1">
                  <c:v>0</c:v>
                </c:pt>
                <c:pt idx="2">
                  <c:v>0</c:v>
                </c:pt>
                <c:pt idx="3">
                  <c:v>0</c:v>
                </c:pt>
                <c:pt idx="4">
                  <c:v>0</c:v>
                </c:pt>
                <c:pt idx="5">
                  <c:v>0</c:v>
                </c:pt>
                <c:pt idx="6">
                  <c:v>0</c:v>
                </c:pt>
                <c:pt idx="7">
                  <c:v>0</c:v>
                </c:pt>
                <c:pt idx="8">
                  <c:v>0</c:v>
                </c:pt>
                <c:pt idx="9">
                  <c:v>0</c:v>
                </c:pt>
                <c:pt idx="10">
                  <c:v>0</c:v>
                </c:pt>
                <c:pt idx="11">
                  <c:v>0</c:v>
                </c:pt>
                <c:pt idx="12">
                  <c:v>0</c:v>
                </c:pt>
                <c:pt idx="13">
                  <c:v>0.32318654730244817</c:v>
                </c:pt>
                <c:pt idx="14">
                  <c:v>0</c:v>
                </c:pt>
              </c:numCache>
            </c:numRef>
          </c:val>
          <c:extLst xmlns:c16r2="http://schemas.microsoft.com/office/drawing/2015/06/chart">
            <c:ext xmlns:c16="http://schemas.microsoft.com/office/drawing/2014/chart" uri="{C3380CC4-5D6E-409C-BE32-E72D297353CC}">
              <c16:uniqueId val="{00000018-16C5-499B-AA8B-D1839F6DB44A}"/>
            </c:ext>
          </c:extLst>
        </c:ser>
        <c:dLbls>
          <c:showLegendKey val="0"/>
          <c:showVal val="0"/>
          <c:showCatName val="0"/>
          <c:showSerName val="0"/>
          <c:showPercent val="0"/>
          <c:showBubbleSize val="0"/>
        </c:dLbls>
        <c:gapWidth val="29"/>
        <c:overlap val="100"/>
        <c:axId val="156485888"/>
        <c:axId val="156708864"/>
      </c:barChart>
      <c:catAx>
        <c:axId val="156485888"/>
        <c:scaling>
          <c:orientation val="minMax"/>
        </c:scaling>
        <c:delete val="1"/>
        <c:axPos val="b"/>
        <c:numFmt formatCode="General" sourceLinked="1"/>
        <c:majorTickMark val="none"/>
        <c:minorTickMark val="none"/>
        <c:tickLblPos val="nextTo"/>
        <c:crossAx val="156708864"/>
        <c:crosses val="autoZero"/>
        <c:auto val="1"/>
        <c:lblAlgn val="ctr"/>
        <c:lblOffset val="100"/>
        <c:noMultiLvlLbl val="0"/>
      </c:catAx>
      <c:valAx>
        <c:axId val="15670886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sz="1000" b="1"/>
                  <a:t>TWh/metus</a:t>
                </a:r>
              </a:p>
            </c:rich>
          </c:tx>
          <c:layout>
            <c:manualLayout>
              <c:xMode val="edge"/>
              <c:yMode val="edge"/>
              <c:x val="1.945661347975346E-2"/>
              <c:y val="0.38593460033687976"/>
            </c:manualLayout>
          </c:layout>
          <c:overlay val="0"/>
          <c:spPr>
            <a:noFill/>
            <a:ln>
              <a:noFill/>
            </a:ln>
            <a:effectLst/>
          </c:spPr>
        </c:title>
        <c:numFmt formatCode="#,##0.0\ ;\ \-\ #,##0.0\ ;\ \-\ "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648588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62322229621255E-2"/>
          <c:y val="4.7532570876794245E-2"/>
          <c:w val="0.88939422565675019"/>
          <c:h val="0.85468713218426351"/>
        </c:manualLayout>
      </c:layout>
      <c:barChart>
        <c:barDir val="col"/>
        <c:grouping val="stacked"/>
        <c:varyColors val="0"/>
        <c:ser>
          <c:idx val="0"/>
          <c:order val="0"/>
          <c:tx>
            <c:strRef>
              <c:f>'Waterfall co2 (2)'!$C$4</c:f>
              <c:strCache>
                <c:ptCount val="1"/>
                <c:pt idx="0">
                  <c:v>Base</c:v>
                </c:pt>
              </c:strCache>
            </c:strRef>
          </c:tx>
          <c:spPr>
            <a:no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1-82B8-4DFE-A470-F1CC9D8E9C47}"/>
              </c:ext>
            </c:extLst>
          </c:dPt>
          <c:dPt>
            <c:idx val="1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82B8-4DFE-A470-F1CC9D8E9C47}"/>
              </c:ext>
            </c:extLst>
          </c:dPt>
          <c:dPt>
            <c:idx val="1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5-82B8-4DFE-A470-F1CC9D8E9C47}"/>
              </c:ext>
            </c:extLst>
          </c:dPt>
          <c:dLbls>
            <c:dLbl>
              <c:idx val="1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B8-4DFE-A470-F1CC9D8E9C47}"/>
                </c:ext>
              </c:extLst>
            </c:dLbl>
            <c:dLbl>
              <c:idx val="14"/>
              <c:layout>
                <c:manualLayout>
                  <c:x val="0"/>
                  <c:y val="-2.8137471117089162E-2"/>
                </c:manualLayout>
              </c:layout>
              <c:tx>
                <c:rich>
                  <a:bodyPr/>
                  <a:lstStyle/>
                  <a:p>
                    <a:r>
                      <a:rPr lang="en-US">
                        <a:solidFill>
                          <a:sysClr val="windowText" lastClr="000000"/>
                        </a:solidFill>
                      </a:rPr>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2B8-4DFE-A470-F1CC9D8E9C4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co2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co2 (2)'!$C$5:$C$19</c:f>
              <c:numCache>
                <c:formatCode>#,##0.0\ ;\ \-\ #,##0.0\ ;\ \-\ </c:formatCode>
                <c:ptCount val="15"/>
                <c:pt idx="1">
                  <c:v>4.7583577050127275</c:v>
                </c:pt>
                <c:pt idx="2">
                  <c:v>4.5454078979110362</c:v>
                </c:pt>
                <c:pt idx="3">
                  <c:v>4.1695903030260322</c:v>
                </c:pt>
                <c:pt idx="4">
                  <c:v>3.4687503023575603</c:v>
                </c:pt>
                <c:pt idx="5">
                  <c:v>3.0785729260331713</c:v>
                </c:pt>
                <c:pt idx="6">
                  <c:v>2.4576527903692766</c:v>
                </c:pt>
                <c:pt idx="7">
                  <c:v>2.4229502547235993</c:v>
                </c:pt>
                <c:pt idx="8">
                  <c:v>2.2191112451400254</c:v>
                </c:pt>
                <c:pt idx="9">
                  <c:v>2.205497116618143</c:v>
                </c:pt>
                <c:pt idx="10">
                  <c:v>2.109915146109028</c:v>
                </c:pt>
                <c:pt idx="11">
                  <c:v>1.4753893334894688</c:v>
                </c:pt>
                <c:pt idx="12">
                  <c:v>1.4753893334894688</c:v>
                </c:pt>
                <c:pt idx="13">
                  <c:v>2.2175228245921996E-2</c:v>
                </c:pt>
                <c:pt idx="14">
                  <c:v>2.2175228245921996E-2</c:v>
                </c:pt>
              </c:numCache>
            </c:numRef>
          </c:val>
          <c:extLst xmlns:c16r2="http://schemas.microsoft.com/office/drawing/2015/06/chart">
            <c:ext xmlns:c16="http://schemas.microsoft.com/office/drawing/2014/chart" uri="{C3380CC4-5D6E-409C-BE32-E72D297353CC}">
              <c16:uniqueId val="{00000006-82B8-4DFE-A470-F1CC9D8E9C47}"/>
            </c:ext>
          </c:extLst>
        </c:ser>
        <c:ser>
          <c:idx val="1"/>
          <c:order val="1"/>
          <c:tx>
            <c:strRef>
              <c:f>'Waterfall co2 (2)'!$D$4</c:f>
              <c:strCache>
                <c:ptCount val="1"/>
                <c:pt idx="0">
                  <c:v>Down</c:v>
                </c:pt>
              </c:strCache>
            </c:strRef>
          </c:tx>
          <c:spPr>
            <a:solidFill>
              <a:srgbClr val="00206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B8-4DFE-A470-F1CC9D8E9C47}"/>
                </c:ext>
              </c:extLst>
            </c:dLbl>
            <c:dLbl>
              <c:idx val="1"/>
              <c:layout>
                <c:manualLayout>
                  <c:x val="-2.4079157428716472E-17"/>
                  <c:y val="-5.672119070983417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B8-4DFE-A470-F1CC9D8E9C47}"/>
                </c:ext>
              </c:extLst>
            </c:dLbl>
            <c:dLbl>
              <c:idx val="2"/>
              <c:layout>
                <c:manualLayout>
                  <c:x val="-4.8158314857432944E-17"/>
                  <c:y val="-3.75166281561186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B8-4DFE-A470-F1CC9D8E9C47}"/>
                </c:ext>
              </c:extLst>
            </c:dLbl>
            <c:dLbl>
              <c:idx val="3"/>
              <c:layout>
                <c:manualLayout>
                  <c:x val="0"/>
                  <c:y val="-4.650732562014598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B8-4DFE-A470-F1CC9D8E9C47}"/>
                </c:ext>
              </c:extLst>
            </c:dLbl>
            <c:dLbl>
              <c:idx val="4"/>
              <c:layout>
                <c:manualLayout>
                  <c:x val="-4.8158314857432944E-17"/>
                  <c:y val="-7.025376343291922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B8-4DFE-A470-F1CC9D8E9C47}"/>
                </c:ext>
              </c:extLst>
            </c:dLbl>
            <c:dLbl>
              <c:idx val="5"/>
              <c:layout>
                <c:manualLayout>
                  <c:x val="0"/>
                  <c:y val="-4.78294544303131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2B8-4DFE-A470-F1CC9D8E9C47}"/>
                </c:ext>
              </c:extLst>
            </c:dLbl>
            <c:dLbl>
              <c:idx val="6"/>
              <c:layout>
                <c:manualLayout>
                  <c:x val="-9.6316629714865889E-17"/>
                  <c:y val="-6.656690542283288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B8-4DFE-A470-F1CC9D8E9C47}"/>
                </c:ext>
              </c:extLst>
            </c:dLbl>
            <c:dLbl>
              <c:idx val="8"/>
              <c:layout>
                <c:manualLayout>
                  <c:x val="0"/>
                  <c:y val="-3.765325367204152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B8-4DFE-A470-F1CC9D8E9C47}"/>
                </c:ext>
              </c:extLst>
            </c:dLbl>
            <c:dLbl>
              <c:idx val="11"/>
              <c:layout>
                <c:manualLayout>
                  <c:x val="-9.6316629714865889E-17"/>
                  <c:y val="-6.794257666491576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2B8-4DFE-A470-F1CC9D8E9C4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2B8-4DFE-A470-F1CC9D8E9C47}"/>
                </c:ext>
              </c:extLst>
            </c:dLbl>
            <c:dLbl>
              <c:idx val="13"/>
              <c:layout>
                <c:manualLayout>
                  <c:x val="1.3134237596289732E-3"/>
                  <c:y val="2.0914781680733863E-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2B8-4DFE-A470-F1CC9D8E9C47}"/>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2B8-4DFE-A470-F1CC9D8E9C4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co2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co2 (2)'!$D$5:$D$19</c:f>
              <c:numCache>
                <c:formatCode>#,##0.0\ ;\ \-\ #,##0.0\ ;\ \-\ </c:formatCode>
                <c:ptCount val="15"/>
                <c:pt idx="0">
                  <c:v>0</c:v>
                </c:pt>
                <c:pt idx="1">
                  <c:v>0.52870641166808108</c:v>
                </c:pt>
                <c:pt idx="2">
                  <c:v>0.2129498071016912</c:v>
                </c:pt>
                <c:pt idx="3">
                  <c:v>0.37581759488500383</c:v>
                </c:pt>
                <c:pt idx="4">
                  <c:v>0.70084000066847196</c:v>
                </c:pt>
                <c:pt idx="5">
                  <c:v>0.39017737632438887</c:v>
                </c:pt>
                <c:pt idx="6">
                  <c:v>0.62092013566389481</c:v>
                </c:pt>
                <c:pt idx="7" formatCode="#,##0.00\ ;\ \-\ #,##0.00\ ;\ \-\ ">
                  <c:v>3.47025356456774E-2</c:v>
                </c:pt>
                <c:pt idx="8">
                  <c:v>0.20383900958357379</c:v>
                </c:pt>
                <c:pt idx="9" formatCode="#,##0.00\ ;\ \-\ #,##0.00\ ;\ \-\ ">
                  <c:v>1.3614128521882502E-2</c:v>
                </c:pt>
                <c:pt idx="10">
                  <c:v>9.5581970509114822E-2</c:v>
                </c:pt>
                <c:pt idx="11">
                  <c:v>0.63452581261955932</c:v>
                </c:pt>
                <c:pt idx="12">
                  <c:v>0</c:v>
                </c:pt>
                <c:pt idx="13">
                  <c:v>1.4532141052435468</c:v>
                </c:pt>
                <c:pt idx="14">
                  <c:v>0</c:v>
                </c:pt>
              </c:numCache>
            </c:numRef>
          </c:val>
          <c:extLst xmlns:c16r2="http://schemas.microsoft.com/office/drawing/2015/06/chart">
            <c:ext xmlns:c16="http://schemas.microsoft.com/office/drawing/2014/chart" uri="{C3380CC4-5D6E-409C-BE32-E72D297353CC}">
              <c16:uniqueId val="{00000013-82B8-4DFE-A470-F1CC9D8E9C47}"/>
            </c:ext>
          </c:extLst>
        </c:ser>
        <c:ser>
          <c:idx val="2"/>
          <c:order val="2"/>
          <c:tx>
            <c:strRef>
              <c:f>'Waterfall co2 (2)'!$E$4</c:f>
              <c:strCache>
                <c:ptCount val="1"/>
                <c:pt idx="0">
                  <c:v>Up</c:v>
                </c:pt>
              </c:strCache>
            </c:strRef>
          </c:tx>
          <c:spPr>
            <a:solidFill>
              <a:schemeClr val="accent1"/>
            </a:solidFill>
            <a:ln>
              <a:noFill/>
            </a:ln>
            <a:effectLst/>
          </c:spPr>
          <c:invertIfNegative val="0"/>
          <c:dPt>
            <c:idx val="0"/>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15-82B8-4DFE-A470-F1CC9D8E9C47}"/>
              </c:ext>
            </c:extLst>
          </c:dPt>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2B8-4DFE-A470-F1CC9D8E9C4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co2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co2 (2)'!$E$5:$E$19</c:f>
              <c:numCache>
                <c:formatCode>#,##0.0\ ;\ \-\ #,##0.0\ ;\ \-\ </c:formatCode>
                <c:ptCount val="15"/>
                <c:pt idx="0">
                  <c:v>5.287064116680809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16-82B8-4DFE-A470-F1CC9D8E9C47}"/>
            </c:ext>
          </c:extLst>
        </c:ser>
        <c:dLbls>
          <c:showLegendKey val="0"/>
          <c:showVal val="0"/>
          <c:showCatName val="0"/>
          <c:showSerName val="0"/>
          <c:showPercent val="0"/>
          <c:showBubbleSize val="0"/>
        </c:dLbls>
        <c:gapWidth val="29"/>
        <c:overlap val="100"/>
        <c:axId val="158368896"/>
        <c:axId val="158370432"/>
      </c:barChart>
      <c:catAx>
        <c:axId val="15836889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8370432"/>
        <c:crosses val="autoZero"/>
        <c:auto val="1"/>
        <c:lblAlgn val="ctr"/>
        <c:lblOffset val="100"/>
        <c:noMultiLvlLbl val="0"/>
      </c:catAx>
      <c:valAx>
        <c:axId val="15837043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a:t>mCO2tne/metus</a:t>
                </a:r>
              </a:p>
            </c:rich>
          </c:tx>
          <c:layout>
            <c:manualLayout>
              <c:xMode val="edge"/>
              <c:yMode val="edge"/>
              <c:x val="8.1852361230699694E-3"/>
              <c:y val="0.34848015046372116"/>
            </c:manualLayout>
          </c:layout>
          <c:overlay val="0"/>
          <c:spPr>
            <a:noFill/>
            <a:ln>
              <a:noFill/>
            </a:ln>
            <a:effectLst/>
          </c:spPr>
        </c:title>
        <c:numFmt formatCode="#,##0.0\ ;\ \-\ #,##0.0\ ;\ \-\ "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8368896"/>
        <c:crosses val="autoZero"/>
        <c:crossBetween val="between"/>
        <c:majorUnit val="0.5"/>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a:t>
            </a:r>
            <a:r>
              <a:rPr lang="en-US" sz="900"/>
              <a:t> </a:t>
            </a:r>
            <a:r>
              <a:rPr lang="lt-LT" sz="900"/>
              <a:t>(tūkst. </a:t>
            </a:r>
            <a:r>
              <a:rPr lang="en-US" sz="900"/>
              <a:t>vnt.</a:t>
            </a:r>
            <a:r>
              <a:rPr lang="lt-LT" sz="900"/>
              <a:t>)</a:t>
            </a:r>
            <a:endParaRPr lang="en-US" sz="900"/>
          </a:p>
        </c:rich>
      </c:tx>
      <c:layout/>
      <c:overlay val="0"/>
      <c:spPr>
        <a:noFill/>
        <a:ln>
          <a:noFill/>
        </a:ln>
        <a:effectLst/>
      </c:spPr>
    </c:title>
    <c:autoTitleDeleted val="0"/>
    <c:plotArea>
      <c:layout>
        <c:manualLayout>
          <c:layoutTarget val="inner"/>
          <c:xMode val="edge"/>
          <c:yMode val="edge"/>
          <c:x val="0.30242901597801702"/>
          <c:y val="0.18667950452477963"/>
          <c:w val="0.58501202319769918"/>
          <c:h val="0.69285337487371979"/>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Body)"/>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'2'!$E$23:$E$26</c:f>
              <c:numCache>
                <c:formatCode>#,##0</c:formatCode>
                <c:ptCount val="4"/>
                <c:pt idx="0">
                  <c:v>41.994999999999997</c:v>
                </c:pt>
                <c:pt idx="1">
                  <c:v>48.774999999999999</c:v>
                </c:pt>
                <c:pt idx="2">
                  <c:v>41.020999999999972</c:v>
                </c:pt>
                <c:pt idx="3">
                  <c:v>529.49200000000042</c:v>
                </c:pt>
              </c:numCache>
            </c:numRef>
          </c:val>
          <c:extLst xmlns:c16r2="http://schemas.microsoft.com/office/drawing/2015/06/chart">
            <c:ext xmlns:c16="http://schemas.microsoft.com/office/drawing/2014/chart" uri="{C3380CC4-5D6E-409C-BE32-E72D297353CC}">
              <c16:uniqueId val="{00000004-75D1-4EF1-AB29-EFDBAF053422}"/>
            </c:ext>
            <c:ext xmlns:c15="http://schemas.microsoft.com/office/drawing/2012/chart" uri="{02D57815-91ED-43cb-92C2-25804820EDAC}">
              <c15:datalabelsRange>
                <c15:f>'2'!$F$23:$F$26</c15:f>
                <c15:dlblRangeCache>
                  <c:ptCount val="4"/>
                  <c:pt idx="0">
                    <c:v>6%</c:v>
                  </c:pt>
                  <c:pt idx="1">
                    <c:v>7%</c:v>
                  </c:pt>
                  <c:pt idx="2">
                    <c:v>6%</c:v>
                  </c:pt>
                  <c:pt idx="3">
                    <c:v>80%</c:v>
                  </c:pt>
                </c15:dlblRangeCache>
              </c15:datalabelsRange>
            </c:ext>
          </c:extLst>
        </c:ser>
        <c:dLbls>
          <c:dLblPos val="outEnd"/>
          <c:showLegendKey val="0"/>
          <c:showVal val="1"/>
          <c:showCatName val="0"/>
          <c:showSerName val="0"/>
          <c:showPercent val="0"/>
          <c:showBubbleSize val="0"/>
        </c:dLbls>
        <c:gapWidth val="182"/>
        <c:axId val="152579456"/>
        <c:axId val="152590592"/>
      </c:barChart>
      <c:catAx>
        <c:axId val="152579456"/>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2590592"/>
        <c:crosses val="autoZero"/>
        <c:auto val="1"/>
        <c:lblAlgn val="ctr"/>
        <c:lblOffset val="100"/>
        <c:noMultiLvlLbl val="0"/>
      </c:catAx>
      <c:valAx>
        <c:axId val="15259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2579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ysClr val="windowText" lastClr="000000"/>
              </a:solidFill>
              <a:round/>
            </a:ln>
            <a:effectLst/>
          </c:spPr>
          <c:marker>
            <c:symbol val="none"/>
          </c:marker>
          <c:cat>
            <c:numRef>
              <c:f>'Suvestine (+DGB)'!$S$5:$AV$5</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(+DGB)'!$S$7:$AV$7</c:f>
              <c:numCache>
                <c:formatCode>#,##0</c:formatCode>
                <c:ptCount val="30"/>
                <c:pt idx="0">
                  <c:v>639.78009999999995</c:v>
                </c:pt>
                <c:pt idx="1">
                  <c:v>760.33333300000004</c:v>
                </c:pt>
                <c:pt idx="2">
                  <c:v>880.66666600000008</c:v>
                </c:pt>
                <c:pt idx="3">
                  <c:v>1000</c:v>
                </c:pt>
                <c:pt idx="4">
                  <c:v>1100</c:v>
                </c:pt>
                <c:pt idx="5">
                  <c:v>1100</c:v>
                </c:pt>
                <c:pt idx="6">
                  <c:v>1100</c:v>
                </c:pt>
                <c:pt idx="7">
                  <c:v>1100</c:v>
                </c:pt>
                <c:pt idx="8">
                  <c:v>1100</c:v>
                </c:pt>
                <c:pt idx="9">
                  <c:v>1100</c:v>
                </c:pt>
                <c:pt idx="10">
                  <c:v>1100</c:v>
                </c:pt>
                <c:pt idx="11">
                  <c:v>1100</c:v>
                </c:pt>
                <c:pt idx="12">
                  <c:v>1100</c:v>
                </c:pt>
                <c:pt idx="13">
                  <c:v>1100</c:v>
                </c:pt>
                <c:pt idx="14">
                  <c:v>1100</c:v>
                </c:pt>
                <c:pt idx="15">
                  <c:v>1100</c:v>
                </c:pt>
                <c:pt idx="16">
                  <c:v>1100</c:v>
                </c:pt>
                <c:pt idx="17">
                  <c:v>1100</c:v>
                </c:pt>
                <c:pt idx="18">
                  <c:v>1100</c:v>
                </c:pt>
                <c:pt idx="19">
                  <c:v>934.45450000000005</c:v>
                </c:pt>
                <c:pt idx="20">
                  <c:v>934.45450000000005</c:v>
                </c:pt>
                <c:pt idx="21">
                  <c:v>934.45450000000005</c:v>
                </c:pt>
                <c:pt idx="22">
                  <c:v>934.45450000000005</c:v>
                </c:pt>
                <c:pt idx="23">
                  <c:v>934.45450000000005</c:v>
                </c:pt>
                <c:pt idx="24">
                  <c:v>934.45450000000005</c:v>
                </c:pt>
                <c:pt idx="25">
                  <c:v>934.45450000000005</c:v>
                </c:pt>
                <c:pt idx="26">
                  <c:v>934.45450000000005</c:v>
                </c:pt>
                <c:pt idx="27">
                  <c:v>934.45450000000005</c:v>
                </c:pt>
                <c:pt idx="28">
                  <c:v>934.45450000000005</c:v>
                </c:pt>
                <c:pt idx="29">
                  <c:v>934.45450000000005</c:v>
                </c:pt>
              </c:numCache>
            </c:numRef>
          </c:val>
          <c:smooth val="0"/>
          <c:extLst xmlns:c16r2="http://schemas.microsoft.com/office/drawing/2015/06/chart">
            <c:ext xmlns:c16="http://schemas.microsoft.com/office/drawing/2014/chart" uri="{C3380CC4-5D6E-409C-BE32-E72D297353CC}">
              <c16:uniqueId val="{00000000-6E22-4E9B-88CE-2734FD99DB3A}"/>
            </c:ext>
          </c:extLst>
        </c:ser>
        <c:ser>
          <c:idx val="1"/>
          <c:order val="1"/>
          <c:tx>
            <c:v>tūkst. m2</c:v>
          </c:tx>
          <c:spPr>
            <a:ln w="28575" cap="rnd">
              <a:solidFill>
                <a:schemeClr val="bg2">
                  <a:lumMod val="75000"/>
                </a:schemeClr>
              </a:solidFill>
              <a:round/>
            </a:ln>
            <a:effectLst/>
          </c:spPr>
          <c:marker>
            <c:symbol val="none"/>
          </c:marker>
          <c:val>
            <c:numRef>
              <c:f>'Suvestine (+DGB)'!$S$71:$AV$71</c:f>
              <c:numCache>
                <c:formatCode>#,##0</c:formatCode>
                <c:ptCount val="30"/>
                <c:pt idx="0">
                  <c:v>799.72512499999993</c:v>
                </c:pt>
                <c:pt idx="1">
                  <c:v>950.41666625000005</c:v>
                </c:pt>
                <c:pt idx="2">
                  <c:v>1100.8333325000001</c:v>
                </c:pt>
                <c:pt idx="3">
                  <c:v>1250</c:v>
                </c:pt>
                <c:pt idx="4">
                  <c:v>1267.1999999999998</c:v>
                </c:pt>
                <c:pt idx="5">
                  <c:v>1267.1999999999998</c:v>
                </c:pt>
                <c:pt idx="6">
                  <c:v>1267.1999999999998</c:v>
                </c:pt>
                <c:pt idx="7">
                  <c:v>1267.1999999999998</c:v>
                </c:pt>
                <c:pt idx="8">
                  <c:v>1267.1999999999998</c:v>
                </c:pt>
                <c:pt idx="9">
                  <c:v>1267.1999999999998</c:v>
                </c:pt>
                <c:pt idx="10">
                  <c:v>1267.1999999999998</c:v>
                </c:pt>
                <c:pt idx="11">
                  <c:v>1267.1999999999998</c:v>
                </c:pt>
                <c:pt idx="12">
                  <c:v>1267.1999999999998</c:v>
                </c:pt>
                <c:pt idx="13">
                  <c:v>1267.1999999999998</c:v>
                </c:pt>
                <c:pt idx="14">
                  <c:v>1267.1999999999998</c:v>
                </c:pt>
                <c:pt idx="15">
                  <c:v>1267.1999999999998</c:v>
                </c:pt>
                <c:pt idx="16">
                  <c:v>1267.1999999999998</c:v>
                </c:pt>
                <c:pt idx="17">
                  <c:v>1267.1999999999998</c:v>
                </c:pt>
                <c:pt idx="18">
                  <c:v>1267.1999999999998</c:v>
                </c:pt>
                <c:pt idx="19">
                  <c:v>1027.8999500000002</c:v>
                </c:pt>
                <c:pt idx="20">
                  <c:v>1027.8999500000002</c:v>
                </c:pt>
                <c:pt idx="21">
                  <c:v>1027.8999500000002</c:v>
                </c:pt>
                <c:pt idx="22">
                  <c:v>1027.8999500000002</c:v>
                </c:pt>
                <c:pt idx="23">
                  <c:v>1027.8999500000002</c:v>
                </c:pt>
                <c:pt idx="24">
                  <c:v>1027.8999500000002</c:v>
                </c:pt>
                <c:pt idx="25">
                  <c:v>1027.8999500000002</c:v>
                </c:pt>
                <c:pt idx="26">
                  <c:v>1027.8999500000002</c:v>
                </c:pt>
                <c:pt idx="27">
                  <c:v>1027.8999500000002</c:v>
                </c:pt>
                <c:pt idx="28">
                  <c:v>1027.8999500000002</c:v>
                </c:pt>
                <c:pt idx="29">
                  <c:v>1027.4600728624864</c:v>
                </c:pt>
              </c:numCache>
            </c:numRef>
          </c:val>
          <c:smooth val="0"/>
          <c:extLst xmlns:c16r2="http://schemas.microsoft.com/office/drawing/2015/06/chart">
            <c:ext xmlns:c16="http://schemas.microsoft.com/office/drawing/2014/chart" uri="{C3380CC4-5D6E-409C-BE32-E72D297353CC}">
              <c16:uniqueId val="{00000001-6E22-4E9B-88CE-2734FD99DB3A}"/>
            </c:ext>
          </c:extLst>
        </c:ser>
        <c:dLbls>
          <c:showLegendKey val="0"/>
          <c:showVal val="0"/>
          <c:showCatName val="0"/>
          <c:showSerName val="0"/>
          <c:showPercent val="0"/>
          <c:showBubbleSize val="0"/>
        </c:dLbls>
        <c:marker val="1"/>
        <c:smooth val="0"/>
        <c:axId val="157340032"/>
        <c:axId val="157341568"/>
      </c:lineChart>
      <c:catAx>
        <c:axId val="15734003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341568"/>
        <c:crosses val="autoZero"/>
        <c:auto val="1"/>
        <c:lblAlgn val="ctr"/>
        <c:lblOffset val="100"/>
        <c:noMultiLvlLbl val="0"/>
      </c:catAx>
      <c:valAx>
        <c:axId val="157341568"/>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340032"/>
        <c:crosses val="autoZero"/>
        <c:crossBetween val="between"/>
        <c:majorUnit val="500"/>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chemeClr val="tx1"/>
              </a:solidFill>
              <a:round/>
            </a:ln>
            <a:effectLst/>
          </c:spPr>
          <c:marker>
            <c:symbol val="none"/>
          </c:marker>
          <c:cat>
            <c:numRef>
              <c:f>'Suvestine (+DGB)'!$Q$4:$AT$4</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(+DGB)'!$Q$6:$AT$6</c:f>
              <c:numCache>
                <c:formatCode>#,##0</c:formatCode>
                <c:ptCount val="30"/>
                <c:pt idx="0">
                  <c:v>6500</c:v>
                </c:pt>
                <c:pt idx="1">
                  <c:v>6500</c:v>
                </c:pt>
                <c:pt idx="2">
                  <c:v>6500</c:v>
                </c:pt>
                <c:pt idx="3">
                  <c:v>6996.1639411764709</c:v>
                </c:pt>
                <c:pt idx="4">
                  <c:v>7492.3278823529417</c:v>
                </c:pt>
                <c:pt idx="5">
                  <c:v>7988.4918235294126</c:v>
                </c:pt>
                <c:pt idx="6">
                  <c:v>8484.6557647058835</c:v>
                </c:pt>
                <c:pt idx="7">
                  <c:v>8980.8197058823534</c:v>
                </c:pt>
                <c:pt idx="8">
                  <c:v>9476.9836470588234</c:v>
                </c:pt>
                <c:pt idx="9">
                  <c:v>9973.1475882352934</c:v>
                </c:pt>
                <c:pt idx="10">
                  <c:v>10469.311529411763</c:v>
                </c:pt>
                <c:pt idx="11">
                  <c:v>10965.475470588233</c:v>
                </c:pt>
                <c:pt idx="12">
                  <c:v>11461.639411764703</c:v>
                </c:pt>
                <c:pt idx="13">
                  <c:v>11957.803352941173</c:v>
                </c:pt>
                <c:pt idx="14">
                  <c:v>12453.967294117643</c:v>
                </c:pt>
                <c:pt idx="15">
                  <c:v>12950.131235294113</c:v>
                </c:pt>
                <c:pt idx="16">
                  <c:v>13446.295176470583</c:v>
                </c:pt>
                <c:pt idx="17">
                  <c:v>13942.459117647053</c:v>
                </c:pt>
                <c:pt idx="18">
                  <c:v>14438.623058823523</c:v>
                </c:pt>
                <c:pt idx="19">
                  <c:v>14934.786999999993</c:v>
                </c:pt>
                <c:pt idx="20">
                  <c:v>14934.787</c:v>
                </c:pt>
                <c:pt idx="21">
                  <c:v>14934.787</c:v>
                </c:pt>
                <c:pt idx="22">
                  <c:v>14934.787</c:v>
                </c:pt>
                <c:pt idx="23">
                  <c:v>14934.787</c:v>
                </c:pt>
                <c:pt idx="24">
                  <c:v>14934.787</c:v>
                </c:pt>
                <c:pt idx="25">
                  <c:v>14934.787</c:v>
                </c:pt>
                <c:pt idx="26">
                  <c:v>14934.787</c:v>
                </c:pt>
                <c:pt idx="27">
                  <c:v>14934.787</c:v>
                </c:pt>
                <c:pt idx="28">
                  <c:v>14934.787</c:v>
                </c:pt>
                <c:pt idx="29">
                  <c:v>14934.787</c:v>
                </c:pt>
              </c:numCache>
            </c:numRef>
          </c:val>
          <c:smooth val="0"/>
          <c:extLst xmlns:c16r2="http://schemas.microsoft.com/office/drawing/2015/06/chart">
            <c:ext xmlns:c16="http://schemas.microsoft.com/office/drawing/2014/chart" uri="{C3380CC4-5D6E-409C-BE32-E72D297353CC}">
              <c16:uniqueId val="{00000000-8346-4174-9EB3-6C76553A70B3}"/>
            </c:ext>
          </c:extLst>
        </c:ser>
        <c:ser>
          <c:idx val="1"/>
          <c:order val="1"/>
          <c:tx>
            <c:v>tūkst. m2</c:v>
          </c:tx>
          <c:spPr>
            <a:ln w="28575" cap="rnd">
              <a:solidFill>
                <a:schemeClr val="bg2">
                  <a:lumMod val="75000"/>
                </a:schemeClr>
              </a:solidFill>
              <a:round/>
            </a:ln>
            <a:effectLst/>
          </c:spPr>
          <c:marker>
            <c:symbol val="none"/>
          </c:marker>
          <c:val>
            <c:numRef>
              <c:f>'Suvestine (+DGB)'!$Q$13:$AT$13</c:f>
              <c:numCache>
                <c:formatCode>#,##0</c:formatCode>
                <c:ptCount val="30"/>
                <c:pt idx="0">
                  <c:v>672.43779894463705</c:v>
                </c:pt>
                <c:pt idx="1">
                  <c:v>672.43779894463705</c:v>
                </c:pt>
                <c:pt idx="2">
                  <c:v>672.43779894463705</c:v>
                </c:pt>
                <c:pt idx="3">
                  <c:v>723.7669356400836</c:v>
                </c:pt>
                <c:pt idx="4">
                  <c:v>775.09607233553004</c:v>
                </c:pt>
                <c:pt idx="5">
                  <c:v>826.42520903097659</c:v>
                </c:pt>
                <c:pt idx="6">
                  <c:v>877.75434572642325</c:v>
                </c:pt>
                <c:pt idx="7">
                  <c:v>929.08348242186969</c:v>
                </c:pt>
                <c:pt idx="8">
                  <c:v>980.41261911731613</c:v>
                </c:pt>
                <c:pt idx="9">
                  <c:v>1031.7417558127624</c:v>
                </c:pt>
                <c:pt idx="10">
                  <c:v>1083.070892508209</c:v>
                </c:pt>
                <c:pt idx="11">
                  <c:v>1134.4000292036553</c:v>
                </c:pt>
                <c:pt idx="12">
                  <c:v>1185.7291658991019</c:v>
                </c:pt>
                <c:pt idx="13">
                  <c:v>1237.0583025945484</c:v>
                </c:pt>
                <c:pt idx="14">
                  <c:v>1288.3874392899947</c:v>
                </c:pt>
                <c:pt idx="15">
                  <c:v>1339.7165759854413</c:v>
                </c:pt>
                <c:pt idx="16">
                  <c:v>1391.0457126808876</c:v>
                </c:pt>
                <c:pt idx="17">
                  <c:v>1442.3748493763342</c:v>
                </c:pt>
                <c:pt idx="18">
                  <c:v>1493.7039860717803</c:v>
                </c:pt>
                <c:pt idx="19">
                  <c:v>1545.0331227672268</c:v>
                </c:pt>
                <c:pt idx="20">
                  <c:v>1545.0331227672277</c:v>
                </c:pt>
                <c:pt idx="21">
                  <c:v>1545.0331227672277</c:v>
                </c:pt>
                <c:pt idx="22">
                  <c:v>1545.0331227672277</c:v>
                </c:pt>
                <c:pt idx="23">
                  <c:v>1545.0331227672277</c:v>
                </c:pt>
                <c:pt idx="24">
                  <c:v>1545.0331227672277</c:v>
                </c:pt>
                <c:pt idx="25">
                  <c:v>1545.0331227672277</c:v>
                </c:pt>
                <c:pt idx="26">
                  <c:v>1545.0331227672277</c:v>
                </c:pt>
                <c:pt idx="27">
                  <c:v>1545.0331227672277</c:v>
                </c:pt>
                <c:pt idx="28">
                  <c:v>1545.0331227672277</c:v>
                </c:pt>
                <c:pt idx="29">
                  <c:v>1545.0331227672277</c:v>
                </c:pt>
              </c:numCache>
            </c:numRef>
          </c:val>
          <c:smooth val="0"/>
          <c:extLst xmlns:c16r2="http://schemas.microsoft.com/office/drawing/2015/06/chart">
            <c:ext xmlns:c16="http://schemas.microsoft.com/office/drawing/2014/chart" uri="{C3380CC4-5D6E-409C-BE32-E72D297353CC}">
              <c16:uniqueId val="{00000001-8346-4174-9EB3-6C76553A70B3}"/>
            </c:ext>
          </c:extLst>
        </c:ser>
        <c:dLbls>
          <c:showLegendKey val="0"/>
          <c:showVal val="0"/>
          <c:showCatName val="0"/>
          <c:showSerName val="0"/>
          <c:showPercent val="0"/>
          <c:showBubbleSize val="0"/>
        </c:dLbls>
        <c:marker val="1"/>
        <c:smooth val="0"/>
        <c:axId val="157442816"/>
        <c:axId val="157444352"/>
      </c:lineChart>
      <c:catAx>
        <c:axId val="1574428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444352"/>
        <c:crosses val="autoZero"/>
        <c:auto val="1"/>
        <c:lblAlgn val="ctr"/>
        <c:lblOffset val="100"/>
        <c:noMultiLvlLbl val="0"/>
      </c:catAx>
      <c:valAx>
        <c:axId val="1574443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442816"/>
        <c:crosses val="autoZero"/>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chemeClr val="tx1"/>
              </a:solidFill>
              <a:round/>
            </a:ln>
            <a:effectLst/>
          </c:spPr>
          <c:marker>
            <c:symbol val="none"/>
          </c:marker>
          <c:cat>
            <c:numRef>
              <c:f>'Suvestine (+DGB)'!$Q$4:$AT$4</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(+DGB)'!$Q$8:$AT$8</c:f>
              <c:numCache>
                <c:formatCode>#,##0</c:formatCode>
                <c:ptCount val="30"/>
                <c:pt idx="0">
                  <c:v>518.12305514999991</c:v>
                </c:pt>
                <c:pt idx="1">
                  <c:v>518.12305514999991</c:v>
                </c:pt>
                <c:pt idx="2">
                  <c:v>518.12305514999991</c:v>
                </c:pt>
                <c:pt idx="3">
                  <c:v>568.4109636705881</c:v>
                </c:pt>
                <c:pt idx="4">
                  <c:v>618.69887219117629</c:v>
                </c:pt>
                <c:pt idx="5">
                  <c:v>668.98678071176448</c:v>
                </c:pt>
                <c:pt idx="6">
                  <c:v>719.27468923235267</c:v>
                </c:pt>
                <c:pt idx="7">
                  <c:v>769.56259775294086</c:v>
                </c:pt>
                <c:pt idx="8">
                  <c:v>819.85050627352905</c:v>
                </c:pt>
                <c:pt idx="9">
                  <c:v>870.13841479411724</c:v>
                </c:pt>
                <c:pt idx="10">
                  <c:v>920.42632331470543</c:v>
                </c:pt>
                <c:pt idx="11">
                  <c:v>970.71423183529362</c:v>
                </c:pt>
                <c:pt idx="12">
                  <c:v>1021.0021403558818</c:v>
                </c:pt>
                <c:pt idx="13">
                  <c:v>1071.2900488764701</c:v>
                </c:pt>
                <c:pt idx="14">
                  <c:v>1121.5779573970583</c:v>
                </c:pt>
                <c:pt idx="15">
                  <c:v>1171.8658659176465</c:v>
                </c:pt>
                <c:pt idx="16">
                  <c:v>1222.1537744382347</c:v>
                </c:pt>
                <c:pt idx="17">
                  <c:v>1272.4416829588229</c:v>
                </c:pt>
                <c:pt idx="18">
                  <c:v>1322.7295914794111</c:v>
                </c:pt>
                <c:pt idx="19">
                  <c:v>1373.0174999999992</c:v>
                </c:pt>
                <c:pt idx="20">
                  <c:v>1373.0174999999999</c:v>
                </c:pt>
                <c:pt idx="21">
                  <c:v>1373.0174999999999</c:v>
                </c:pt>
                <c:pt idx="22">
                  <c:v>1373.0174999999999</c:v>
                </c:pt>
                <c:pt idx="23">
                  <c:v>1373.0174999999999</c:v>
                </c:pt>
                <c:pt idx="24">
                  <c:v>1373.0174999999999</c:v>
                </c:pt>
                <c:pt idx="25">
                  <c:v>1373.0174999999999</c:v>
                </c:pt>
                <c:pt idx="26">
                  <c:v>1373.0174999999999</c:v>
                </c:pt>
                <c:pt idx="27">
                  <c:v>1373.0174999999999</c:v>
                </c:pt>
                <c:pt idx="28">
                  <c:v>1373.0174999999999</c:v>
                </c:pt>
                <c:pt idx="29">
                  <c:v>1373.0174999999999</c:v>
                </c:pt>
              </c:numCache>
            </c:numRef>
          </c:val>
          <c:smooth val="0"/>
          <c:extLst xmlns:c16r2="http://schemas.microsoft.com/office/drawing/2015/06/chart">
            <c:ext xmlns:c16="http://schemas.microsoft.com/office/drawing/2014/chart" uri="{C3380CC4-5D6E-409C-BE32-E72D297353CC}">
              <c16:uniqueId val="{00000000-4782-4F0C-B08F-70BD5511C0C8}"/>
            </c:ext>
          </c:extLst>
        </c:ser>
        <c:ser>
          <c:idx val="1"/>
          <c:order val="1"/>
          <c:tx>
            <c:v>tūkst. m2</c:v>
          </c:tx>
          <c:spPr>
            <a:ln w="28575" cap="rnd">
              <a:solidFill>
                <a:schemeClr val="bg2">
                  <a:lumMod val="75000"/>
                </a:schemeClr>
              </a:solidFill>
              <a:round/>
            </a:ln>
            <a:effectLst/>
          </c:spPr>
          <c:marker>
            <c:symbol val="none"/>
          </c:marker>
          <c:val>
            <c:numRef>
              <c:f>'Suvestine (+DGB)'!$Q$15:$AT$15</c:f>
              <c:numCache>
                <c:formatCode>#,##0</c:formatCode>
                <c:ptCount val="30"/>
                <c:pt idx="0">
                  <c:v>412.91632995029988</c:v>
                </c:pt>
                <c:pt idx="1">
                  <c:v>412.91632995029988</c:v>
                </c:pt>
                <c:pt idx="2">
                  <c:v>412.91632995029988</c:v>
                </c:pt>
                <c:pt idx="3">
                  <c:v>452.99310017081473</c:v>
                </c:pt>
                <c:pt idx="4">
                  <c:v>493.06987039132957</c:v>
                </c:pt>
                <c:pt idx="5">
                  <c:v>533.14664061184453</c:v>
                </c:pt>
                <c:pt idx="6">
                  <c:v>573.22341083235938</c:v>
                </c:pt>
                <c:pt idx="7">
                  <c:v>613.30018105287422</c:v>
                </c:pt>
                <c:pt idx="8">
                  <c:v>653.37695127338907</c:v>
                </c:pt>
                <c:pt idx="9">
                  <c:v>693.45372149390391</c:v>
                </c:pt>
                <c:pt idx="10">
                  <c:v>733.53049171441876</c:v>
                </c:pt>
                <c:pt idx="11">
                  <c:v>773.6072619349336</c:v>
                </c:pt>
                <c:pt idx="12">
                  <c:v>813.68403215544845</c:v>
                </c:pt>
                <c:pt idx="13">
                  <c:v>853.76080237596329</c:v>
                </c:pt>
                <c:pt idx="14">
                  <c:v>893.83757259647814</c:v>
                </c:pt>
                <c:pt idx="15">
                  <c:v>933.91434281699298</c:v>
                </c:pt>
                <c:pt idx="16">
                  <c:v>973.99111303750783</c:v>
                </c:pt>
                <c:pt idx="17">
                  <c:v>1014.0678832580227</c:v>
                </c:pt>
                <c:pt idx="18">
                  <c:v>1054.1446534785377</c:v>
                </c:pt>
                <c:pt idx="19">
                  <c:v>1094.2214236990526</c:v>
                </c:pt>
                <c:pt idx="20">
                  <c:v>1094.221423699053</c:v>
                </c:pt>
                <c:pt idx="21">
                  <c:v>1094.221423699053</c:v>
                </c:pt>
                <c:pt idx="22">
                  <c:v>1094.221423699053</c:v>
                </c:pt>
                <c:pt idx="23">
                  <c:v>1094.221423699053</c:v>
                </c:pt>
                <c:pt idx="24">
                  <c:v>1094.221423699053</c:v>
                </c:pt>
                <c:pt idx="25">
                  <c:v>1094.221423699053</c:v>
                </c:pt>
                <c:pt idx="26">
                  <c:v>1094.221423699053</c:v>
                </c:pt>
                <c:pt idx="27">
                  <c:v>1094.221423699053</c:v>
                </c:pt>
                <c:pt idx="28">
                  <c:v>1094.221423699053</c:v>
                </c:pt>
                <c:pt idx="29">
                  <c:v>1094.221423699053</c:v>
                </c:pt>
              </c:numCache>
            </c:numRef>
          </c:val>
          <c:smooth val="0"/>
          <c:extLst xmlns:c16r2="http://schemas.microsoft.com/office/drawing/2015/06/chart">
            <c:ext xmlns:c16="http://schemas.microsoft.com/office/drawing/2014/chart" uri="{C3380CC4-5D6E-409C-BE32-E72D297353CC}">
              <c16:uniqueId val="{00000001-4782-4F0C-B08F-70BD5511C0C8}"/>
            </c:ext>
          </c:extLst>
        </c:ser>
        <c:dLbls>
          <c:showLegendKey val="0"/>
          <c:showVal val="0"/>
          <c:showCatName val="0"/>
          <c:showSerName val="0"/>
          <c:showPercent val="0"/>
          <c:showBubbleSize val="0"/>
        </c:dLbls>
        <c:marker val="1"/>
        <c:smooth val="0"/>
        <c:axId val="157475200"/>
        <c:axId val="157476736"/>
      </c:lineChart>
      <c:catAx>
        <c:axId val="1574752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57476736"/>
        <c:crosses val="autoZero"/>
        <c:auto val="1"/>
        <c:lblAlgn val="ctr"/>
        <c:lblOffset val="100"/>
        <c:noMultiLvlLbl val="0"/>
      </c:catAx>
      <c:valAx>
        <c:axId val="1574767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57475200"/>
        <c:crosses val="autoZero"/>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chemeClr val="tx1"/>
              </a:solidFill>
              <a:round/>
            </a:ln>
            <a:effectLst/>
          </c:spPr>
          <c:marker>
            <c:symbol val="none"/>
          </c:marker>
          <c:cat>
            <c:numRef>
              <c:f>'Suvestine (+DGB)'!$Q$4:$AT$4</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(+DGB)'!$Q$7:$AT$7</c:f>
              <c:numCache>
                <c:formatCode>#,##0</c:formatCode>
                <c:ptCount val="30"/>
                <c:pt idx="0">
                  <c:v>308.07829262500013</c:v>
                </c:pt>
                <c:pt idx="1">
                  <c:v>308.07829262500013</c:v>
                </c:pt>
                <c:pt idx="2">
                  <c:v>308.07829262500013</c:v>
                </c:pt>
                <c:pt idx="3">
                  <c:v>337.97971658823542</c:v>
                </c:pt>
                <c:pt idx="4">
                  <c:v>367.88114055147071</c:v>
                </c:pt>
                <c:pt idx="5">
                  <c:v>397.782564514706</c:v>
                </c:pt>
                <c:pt idx="6">
                  <c:v>427.68398847794128</c:v>
                </c:pt>
                <c:pt idx="7">
                  <c:v>457.58541244117657</c:v>
                </c:pt>
                <c:pt idx="8">
                  <c:v>487.48683640441186</c:v>
                </c:pt>
                <c:pt idx="9">
                  <c:v>517.38826036764715</c:v>
                </c:pt>
                <c:pt idx="10">
                  <c:v>547.28968433088244</c:v>
                </c:pt>
                <c:pt idx="11">
                  <c:v>577.19110829411773</c:v>
                </c:pt>
                <c:pt idx="12">
                  <c:v>607.09253225735301</c:v>
                </c:pt>
                <c:pt idx="13">
                  <c:v>636.9939562205883</c:v>
                </c:pt>
                <c:pt idx="14">
                  <c:v>666.89538018382359</c:v>
                </c:pt>
                <c:pt idx="15">
                  <c:v>696.79680414705888</c:v>
                </c:pt>
                <c:pt idx="16">
                  <c:v>726.69822811029417</c:v>
                </c:pt>
                <c:pt idx="17">
                  <c:v>756.59965207352946</c:v>
                </c:pt>
                <c:pt idx="18">
                  <c:v>786.50107603676474</c:v>
                </c:pt>
                <c:pt idx="19">
                  <c:v>816.40250000000003</c:v>
                </c:pt>
                <c:pt idx="20">
                  <c:v>816.40250000000003</c:v>
                </c:pt>
                <c:pt idx="21">
                  <c:v>816.40250000000003</c:v>
                </c:pt>
                <c:pt idx="22">
                  <c:v>816.40250000000003</c:v>
                </c:pt>
                <c:pt idx="23">
                  <c:v>816.40250000000003</c:v>
                </c:pt>
                <c:pt idx="24">
                  <c:v>816.40250000000003</c:v>
                </c:pt>
                <c:pt idx="25">
                  <c:v>816.40250000000003</c:v>
                </c:pt>
                <c:pt idx="26">
                  <c:v>816.40250000000003</c:v>
                </c:pt>
                <c:pt idx="27">
                  <c:v>816.40250000000003</c:v>
                </c:pt>
                <c:pt idx="28">
                  <c:v>816.40250000000003</c:v>
                </c:pt>
                <c:pt idx="29">
                  <c:v>816.40250000000003</c:v>
                </c:pt>
              </c:numCache>
            </c:numRef>
          </c:val>
          <c:smooth val="0"/>
          <c:extLst xmlns:c16r2="http://schemas.microsoft.com/office/drawing/2015/06/chart">
            <c:ext xmlns:c16="http://schemas.microsoft.com/office/drawing/2014/chart" uri="{C3380CC4-5D6E-409C-BE32-E72D297353CC}">
              <c16:uniqueId val="{00000000-86D3-4753-819E-4BEE772B110B}"/>
            </c:ext>
          </c:extLst>
        </c:ser>
        <c:ser>
          <c:idx val="1"/>
          <c:order val="1"/>
          <c:tx>
            <c:v>tūkst. m2</c:v>
          </c:tx>
          <c:spPr>
            <a:ln w="28575" cap="rnd">
              <a:solidFill>
                <a:schemeClr val="bg2">
                  <a:lumMod val="75000"/>
                </a:schemeClr>
              </a:solidFill>
              <a:round/>
            </a:ln>
            <a:effectLst/>
          </c:spPr>
          <c:marker>
            <c:symbol val="none"/>
          </c:marker>
          <c:val>
            <c:numRef>
              <c:f>'Suvestine (+DGB)'!$Q$14:$AT$14</c:f>
              <c:numCache>
                <c:formatCode>#,##0</c:formatCode>
                <c:ptCount val="30"/>
                <c:pt idx="0">
                  <c:v>212.44336522700002</c:v>
                </c:pt>
                <c:pt idx="1">
                  <c:v>212.44336522700002</c:v>
                </c:pt>
                <c:pt idx="2">
                  <c:v>212.44336522700002</c:v>
                </c:pt>
                <c:pt idx="3">
                  <c:v>233.06266650169641</c:v>
                </c:pt>
                <c:pt idx="4">
                  <c:v>253.68196777639284</c:v>
                </c:pt>
                <c:pt idx="5">
                  <c:v>274.30126905108932</c:v>
                </c:pt>
                <c:pt idx="6">
                  <c:v>294.92057032578572</c:v>
                </c:pt>
                <c:pt idx="7">
                  <c:v>315.53987160048217</c:v>
                </c:pt>
                <c:pt idx="8">
                  <c:v>336.15917287517857</c:v>
                </c:pt>
                <c:pt idx="9">
                  <c:v>356.77847414987497</c:v>
                </c:pt>
                <c:pt idx="10">
                  <c:v>377.39777542457142</c:v>
                </c:pt>
                <c:pt idx="11">
                  <c:v>398.01707669926782</c:v>
                </c:pt>
                <c:pt idx="12">
                  <c:v>418.63637797396427</c:v>
                </c:pt>
                <c:pt idx="13">
                  <c:v>439.25567924866067</c:v>
                </c:pt>
                <c:pt idx="14">
                  <c:v>459.87498052335712</c:v>
                </c:pt>
                <c:pt idx="15">
                  <c:v>480.49428179805352</c:v>
                </c:pt>
                <c:pt idx="16">
                  <c:v>501.11358307274998</c:v>
                </c:pt>
                <c:pt idx="17">
                  <c:v>521.73288434744643</c:v>
                </c:pt>
                <c:pt idx="18">
                  <c:v>542.35218562214288</c:v>
                </c:pt>
                <c:pt idx="19">
                  <c:v>562.97148689683922</c:v>
                </c:pt>
                <c:pt idx="20">
                  <c:v>562.97148689683922</c:v>
                </c:pt>
                <c:pt idx="21">
                  <c:v>562.97148689683922</c:v>
                </c:pt>
                <c:pt idx="22">
                  <c:v>562.97148689683922</c:v>
                </c:pt>
                <c:pt idx="23">
                  <c:v>562.97148689683922</c:v>
                </c:pt>
                <c:pt idx="24">
                  <c:v>562.97148689683922</c:v>
                </c:pt>
                <c:pt idx="25">
                  <c:v>562.97148689683922</c:v>
                </c:pt>
                <c:pt idx="26">
                  <c:v>562.97148689683922</c:v>
                </c:pt>
                <c:pt idx="27">
                  <c:v>562.97148689683922</c:v>
                </c:pt>
                <c:pt idx="28">
                  <c:v>562.97148689683922</c:v>
                </c:pt>
                <c:pt idx="29">
                  <c:v>562.97148689683922</c:v>
                </c:pt>
              </c:numCache>
            </c:numRef>
          </c:val>
          <c:smooth val="0"/>
          <c:extLst xmlns:c16r2="http://schemas.microsoft.com/office/drawing/2015/06/chart">
            <c:ext xmlns:c16="http://schemas.microsoft.com/office/drawing/2014/chart" uri="{C3380CC4-5D6E-409C-BE32-E72D297353CC}">
              <c16:uniqueId val="{00000001-86D3-4753-819E-4BEE772B110B}"/>
            </c:ext>
          </c:extLst>
        </c:ser>
        <c:dLbls>
          <c:showLegendKey val="0"/>
          <c:showVal val="0"/>
          <c:showCatName val="0"/>
          <c:showSerName val="0"/>
          <c:showPercent val="0"/>
          <c:showBubbleSize val="0"/>
        </c:dLbls>
        <c:marker val="1"/>
        <c:smooth val="0"/>
        <c:axId val="156991488"/>
        <c:axId val="156993024"/>
      </c:lineChart>
      <c:catAx>
        <c:axId val="1569914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6993024"/>
        <c:crosses val="autoZero"/>
        <c:auto val="1"/>
        <c:lblAlgn val="ctr"/>
        <c:lblOffset val="100"/>
        <c:noMultiLvlLbl val="0"/>
      </c:catAx>
      <c:valAx>
        <c:axId val="1569930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6991488"/>
        <c:crosses val="autoZero"/>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Prielaidos!$A$53</c:f>
              <c:strCache>
                <c:ptCount val="1"/>
                <c:pt idx="0">
                  <c:v>Gavėjai, tūkst. Žmonių</c:v>
                </c:pt>
              </c:strCache>
            </c:strRef>
          </c:tx>
          <c:spPr>
            <a:solidFill>
              <a:schemeClr val="bg1">
                <a:lumMod val="50000"/>
              </a:schemeClr>
            </a:solidFill>
            <a:ln>
              <a:noFill/>
            </a:ln>
            <a:effectLst/>
          </c:spPr>
          <c:invertIfNegative val="0"/>
          <c:cat>
            <c:numRef>
              <c:f>Prielaidos!$B$51:$H$51</c:f>
              <c:numCache>
                <c:formatCode>General</c:formatCode>
                <c:ptCount val="7"/>
                <c:pt idx="0">
                  <c:v>2012</c:v>
                </c:pt>
                <c:pt idx="1">
                  <c:v>2013</c:v>
                </c:pt>
                <c:pt idx="2">
                  <c:v>2014</c:v>
                </c:pt>
                <c:pt idx="3">
                  <c:v>2015</c:v>
                </c:pt>
                <c:pt idx="4">
                  <c:v>2016</c:v>
                </c:pt>
                <c:pt idx="5">
                  <c:v>2017</c:v>
                </c:pt>
                <c:pt idx="6">
                  <c:v>2018</c:v>
                </c:pt>
              </c:numCache>
            </c:numRef>
          </c:cat>
          <c:val>
            <c:numRef>
              <c:f>Prielaidos!$B$53:$H$53</c:f>
              <c:numCache>
                <c:formatCode>General</c:formatCode>
                <c:ptCount val="7"/>
                <c:pt idx="0">
                  <c:v>198.8</c:v>
                </c:pt>
                <c:pt idx="1">
                  <c:v>204.9</c:v>
                </c:pt>
                <c:pt idx="2">
                  <c:v>188.5</c:v>
                </c:pt>
                <c:pt idx="3">
                  <c:v>144.6</c:v>
                </c:pt>
                <c:pt idx="4">
                  <c:v>129.80000000000001</c:v>
                </c:pt>
                <c:pt idx="5">
                  <c:v>97.3</c:v>
                </c:pt>
                <c:pt idx="6">
                  <c:v>122.6</c:v>
                </c:pt>
              </c:numCache>
            </c:numRef>
          </c:val>
          <c:extLst xmlns:c16r2="http://schemas.microsoft.com/office/drawing/2015/06/chart">
            <c:ext xmlns:c16="http://schemas.microsoft.com/office/drawing/2014/chart" uri="{C3380CC4-5D6E-409C-BE32-E72D297353CC}">
              <c16:uniqueId val="{00000000-634D-4486-9EA8-E2138467C136}"/>
            </c:ext>
          </c:extLst>
        </c:ser>
        <c:dLbls>
          <c:showLegendKey val="0"/>
          <c:showVal val="0"/>
          <c:showCatName val="0"/>
          <c:showSerName val="0"/>
          <c:showPercent val="0"/>
          <c:showBubbleSize val="0"/>
        </c:dLbls>
        <c:gapWidth val="150"/>
        <c:axId val="157525120"/>
        <c:axId val="157519232"/>
      </c:barChart>
      <c:lineChart>
        <c:grouping val="standard"/>
        <c:varyColors val="0"/>
        <c:ser>
          <c:idx val="0"/>
          <c:order val="0"/>
          <c:tx>
            <c:strRef>
              <c:f>Prielaidos!$A$52</c:f>
              <c:strCache>
                <c:ptCount val="1"/>
                <c:pt idx="0">
                  <c:v>Būsto kompensavimo išmokos, mln. Eurų</c:v>
                </c:pt>
              </c:strCache>
            </c:strRef>
          </c:tx>
          <c:spPr>
            <a:ln w="28575" cap="rnd">
              <a:solidFill>
                <a:schemeClr val="tx1"/>
              </a:solidFill>
              <a:round/>
            </a:ln>
            <a:effectLst/>
          </c:spPr>
          <c:marker>
            <c:symbol val="none"/>
          </c:marker>
          <c:cat>
            <c:numRef>
              <c:f>Prielaidos!$B$51:$H$51</c:f>
              <c:numCache>
                <c:formatCode>General</c:formatCode>
                <c:ptCount val="7"/>
                <c:pt idx="0">
                  <c:v>2012</c:v>
                </c:pt>
                <c:pt idx="1">
                  <c:v>2013</c:v>
                </c:pt>
                <c:pt idx="2">
                  <c:v>2014</c:v>
                </c:pt>
                <c:pt idx="3">
                  <c:v>2015</c:v>
                </c:pt>
                <c:pt idx="4">
                  <c:v>2016</c:v>
                </c:pt>
                <c:pt idx="5">
                  <c:v>2017</c:v>
                </c:pt>
                <c:pt idx="6">
                  <c:v>2018</c:v>
                </c:pt>
              </c:numCache>
            </c:numRef>
          </c:cat>
          <c:val>
            <c:numRef>
              <c:f>Prielaidos!$B$52:$H$52</c:f>
              <c:numCache>
                <c:formatCode>General</c:formatCode>
                <c:ptCount val="7"/>
                <c:pt idx="0">
                  <c:v>49.1</c:v>
                </c:pt>
                <c:pt idx="1">
                  <c:v>44.1</c:v>
                </c:pt>
                <c:pt idx="2">
                  <c:v>31.3</c:v>
                </c:pt>
                <c:pt idx="3">
                  <c:v>20.9</c:v>
                </c:pt>
                <c:pt idx="4">
                  <c:v>17.899999999999999</c:v>
                </c:pt>
                <c:pt idx="5">
                  <c:v>15.8</c:v>
                </c:pt>
                <c:pt idx="6">
                  <c:v>22.1</c:v>
                </c:pt>
              </c:numCache>
            </c:numRef>
          </c:val>
          <c:smooth val="0"/>
          <c:extLst xmlns:c16r2="http://schemas.microsoft.com/office/drawing/2015/06/chart">
            <c:ext xmlns:c16="http://schemas.microsoft.com/office/drawing/2014/chart" uri="{C3380CC4-5D6E-409C-BE32-E72D297353CC}">
              <c16:uniqueId val="{00000001-634D-4486-9EA8-E2138467C136}"/>
            </c:ext>
          </c:extLst>
        </c:ser>
        <c:dLbls>
          <c:showLegendKey val="0"/>
          <c:showVal val="0"/>
          <c:showCatName val="0"/>
          <c:showSerName val="0"/>
          <c:showPercent val="0"/>
          <c:showBubbleSize val="0"/>
        </c:dLbls>
        <c:marker val="1"/>
        <c:smooth val="0"/>
        <c:axId val="157516160"/>
        <c:axId val="157517696"/>
      </c:lineChart>
      <c:catAx>
        <c:axId val="157516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157517696"/>
        <c:crosses val="autoZero"/>
        <c:auto val="1"/>
        <c:lblAlgn val="ctr"/>
        <c:lblOffset val="100"/>
        <c:noMultiLvlLbl val="0"/>
      </c:catAx>
      <c:valAx>
        <c:axId val="15751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157516160"/>
        <c:crosses val="autoZero"/>
        <c:crossBetween val="between"/>
      </c:valAx>
      <c:valAx>
        <c:axId val="1575192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157525120"/>
        <c:crosses val="max"/>
        <c:crossBetween val="between"/>
      </c:valAx>
      <c:catAx>
        <c:axId val="157525120"/>
        <c:scaling>
          <c:orientation val="minMax"/>
        </c:scaling>
        <c:delete val="1"/>
        <c:axPos val="b"/>
        <c:numFmt formatCode="General" sourceLinked="1"/>
        <c:majorTickMark val="out"/>
        <c:minorTickMark val="none"/>
        <c:tickLblPos val="nextTo"/>
        <c:crossAx val="157519232"/>
        <c:crosses val="autoZero"/>
        <c:auto val="1"/>
        <c:lblAlgn val="ctr"/>
        <c:lblOffset val="100"/>
        <c:noMultiLvlLbl val="0"/>
      </c:cat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(mln.</a:t>
            </a:r>
            <a:r>
              <a:rPr lang="en-US" sz="900"/>
              <a:t> m</a:t>
            </a:r>
            <a:r>
              <a:rPr lang="en-US" sz="900" baseline="30000"/>
              <a:t>2</a:t>
            </a:r>
            <a:r>
              <a:rPr lang="lt-LT" sz="900"/>
              <a:t>)</a:t>
            </a:r>
            <a:endParaRPr lang="en-US" sz="900"/>
          </a:p>
        </c:rich>
      </c:tx>
      <c:layout/>
      <c:overlay val="0"/>
      <c:spPr>
        <a:noFill/>
        <a:ln>
          <a:noFill/>
        </a:ln>
        <a:effectLst/>
      </c:spPr>
    </c:title>
    <c:autoTitleDeleted val="0"/>
    <c:plotArea>
      <c:layout>
        <c:manualLayout>
          <c:layoutTarget val="inner"/>
          <c:xMode val="edge"/>
          <c:yMode val="edge"/>
          <c:x val="0.30270794310225069"/>
          <c:y val="0.18667950452477963"/>
          <c:w val="0.61155808913716292"/>
          <c:h val="0.69285337487371979"/>
        </c:manualLayout>
      </c:layout>
      <c:barChart>
        <c:barDir val="bar"/>
        <c:grouping val="clustered"/>
        <c:varyColors val="0"/>
        <c:ser>
          <c:idx val="0"/>
          <c:order val="0"/>
          <c:spPr>
            <a:solidFill>
              <a:srgbClr val="002060"/>
            </a:solidFill>
            <a:ln>
              <a:noFill/>
            </a:ln>
            <a:effectLst/>
          </c:spPr>
          <c:invertIfNegative val="0"/>
          <c:dLbls>
            <c:txPr>
              <a:bodyPr rot="0" vert="horz"/>
              <a:lstStyle/>
              <a:p>
                <a:pPr>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'2'!$G$23:$G$26</c:f>
              <c:numCache>
                <c:formatCode>#,##0</c:formatCode>
                <c:ptCount val="4"/>
                <c:pt idx="0">
                  <c:v>37.180439</c:v>
                </c:pt>
                <c:pt idx="1">
                  <c:v>35.489710000000002</c:v>
                </c:pt>
                <c:pt idx="2">
                  <c:v>59.463571999999999</c:v>
                </c:pt>
                <c:pt idx="3">
                  <c:v>69.540000999999975</c:v>
                </c:pt>
              </c:numCache>
            </c:numRef>
          </c:val>
          <c:extLst xmlns:c16r2="http://schemas.microsoft.com/office/drawing/2015/06/chart">
            <c:ext xmlns:c16="http://schemas.microsoft.com/office/drawing/2014/chart" uri="{C3380CC4-5D6E-409C-BE32-E72D297353CC}">
              <c16:uniqueId val="{00000004-0854-4703-BFCE-0119CA1F6A49}"/>
            </c:ext>
            <c:ext xmlns:c15="http://schemas.microsoft.com/office/drawing/2012/chart" uri="{02D57815-91ED-43cb-92C2-25804820EDAC}">
              <c15:datalabelsRange>
                <c15:f>'2'!$H$23:$H$26</c15:f>
                <c15:dlblRangeCache>
                  <c:ptCount val="4"/>
                  <c:pt idx="0">
                    <c:v>18%</c:v>
                  </c:pt>
                  <c:pt idx="1">
                    <c:v>18%</c:v>
                  </c:pt>
                  <c:pt idx="2">
                    <c:v>29%</c:v>
                  </c:pt>
                  <c:pt idx="3">
                    <c:v>34%</c:v>
                  </c:pt>
                </c15:dlblRangeCache>
              </c15:datalabelsRange>
            </c:ext>
          </c:extLst>
        </c:ser>
        <c:dLbls>
          <c:dLblPos val="outEnd"/>
          <c:showLegendKey val="0"/>
          <c:showVal val="1"/>
          <c:showCatName val="0"/>
          <c:showSerName val="0"/>
          <c:showPercent val="0"/>
          <c:showBubbleSize val="0"/>
        </c:dLbls>
        <c:gapWidth val="182"/>
        <c:axId val="152602880"/>
        <c:axId val="152622208"/>
      </c:barChart>
      <c:catAx>
        <c:axId val="152602880"/>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2622208"/>
        <c:crosses val="autoZero"/>
        <c:auto val="1"/>
        <c:lblAlgn val="ctr"/>
        <c:lblOffset val="100"/>
        <c:noMultiLvlLbl val="0"/>
      </c:catAx>
      <c:valAx>
        <c:axId val="15262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2602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 pagal statybos pabaigos metus (mln. m</a:t>
            </a:r>
            <a:r>
              <a:rPr lang="lt-LT" sz="900" baseline="30000"/>
              <a:t>2</a:t>
            </a:r>
            <a:r>
              <a:rPr lang="lt-LT" sz="900"/>
              <a:t>)</a:t>
            </a:r>
            <a:endParaRPr lang="en-US" sz="900"/>
          </a:p>
        </c:rich>
      </c:tx>
      <c:overlay val="0"/>
      <c:spPr>
        <a:noFill/>
        <a:ln>
          <a:noFill/>
        </a:ln>
        <a:effectLst/>
      </c:spPr>
    </c:title>
    <c:autoTitleDeleted val="0"/>
    <c:plotArea>
      <c:layout/>
      <c:barChart>
        <c:barDir val="col"/>
        <c:grouping val="clustered"/>
        <c:varyColors val="0"/>
        <c:ser>
          <c:idx val="0"/>
          <c:order val="0"/>
          <c:tx>
            <c:strRef>
              <c:f>'3'!$J$55</c:f>
              <c:strCache>
                <c:ptCount val="1"/>
                <c:pt idx="0">
                  <c:v>Plotas</c:v>
                </c:pt>
              </c:strCache>
            </c:strRef>
          </c:tx>
          <c:spPr>
            <a:solidFill>
              <a:srgbClr val="002060"/>
            </a:solidFill>
            <a:ln>
              <a:noFill/>
            </a:ln>
            <a:effectLst/>
          </c:spPr>
          <c:invertIfNegative val="0"/>
          <c:dPt>
            <c:idx val="0"/>
            <c:invertIfNegative val="0"/>
            <c:bubble3D val="0"/>
            <c:spPr>
              <a:solidFill>
                <a:schemeClr val="bg2">
                  <a:lumMod val="65000"/>
                </a:schemeClr>
              </a:solidFill>
              <a:ln>
                <a:noFill/>
              </a:ln>
              <a:effectLst/>
            </c:spPr>
            <c:extLst xmlns:c16r2="http://schemas.microsoft.com/office/drawing/2015/06/chart">
              <c:ext xmlns:c16="http://schemas.microsoft.com/office/drawing/2014/chart" uri="{C3380CC4-5D6E-409C-BE32-E72D297353CC}">
                <c16:uniqueId val="{00000001-4DE6-444D-AAF4-7FBD0ACDFC95}"/>
              </c:ext>
            </c:extLst>
          </c:dPt>
          <c:dPt>
            <c:idx val="1"/>
            <c:invertIfNegative val="0"/>
            <c:bubble3D val="0"/>
            <c:extLst xmlns:c16r2="http://schemas.microsoft.com/office/drawing/2015/06/chart">
              <c:ext xmlns:c16="http://schemas.microsoft.com/office/drawing/2014/chart" uri="{C3380CC4-5D6E-409C-BE32-E72D297353CC}">
                <c16:uniqueId val="{00000003-4DE6-444D-AAF4-7FBD0ACDFC95}"/>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4DE6-444D-AAF4-7FBD0ACDFC95}"/>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'3'!$J$56:$J$58</c:f>
              <c:strCache>
                <c:ptCount val="3"/>
                <c:pt idx="0">
                  <c:v>Iki 1960</c:v>
                </c:pt>
                <c:pt idx="1">
                  <c:v>1961 - 1992</c:v>
                </c:pt>
                <c:pt idx="2">
                  <c:v>1992&lt;</c:v>
                </c:pt>
              </c:strCache>
            </c:strRef>
          </c:cat>
          <c:val>
            <c:numRef>
              <c:f>'3'!$K$56:$K$58</c:f>
              <c:numCache>
                <c:formatCode>#,##0</c:formatCode>
                <c:ptCount val="3"/>
                <c:pt idx="0">
                  <c:v>34.094186999999991</c:v>
                </c:pt>
                <c:pt idx="1">
                  <c:v>116.37509399999999</c:v>
                </c:pt>
                <c:pt idx="2">
                  <c:v>51.204441000000003</c:v>
                </c:pt>
              </c:numCache>
            </c:numRef>
          </c:val>
          <c:extLst xmlns:c16r2="http://schemas.microsoft.com/office/drawing/2015/06/chart">
            <c:ext xmlns:c15="http://schemas.microsoft.com/office/drawing/2012/chart" uri="{02D57815-91ED-43cb-92C2-25804820EDAC}">
              <c15:datalabelsRange>
                <c15:f>'3'!$L$56:$L$58</c15:f>
                <c15:dlblRangeCache>
                  <c:ptCount val="3"/>
                  <c:pt idx="0">
                    <c:v>17%</c:v>
                  </c:pt>
                  <c:pt idx="1">
                    <c:v>58%</c:v>
                  </c:pt>
                  <c:pt idx="2">
                    <c:v>25%</c:v>
                  </c:pt>
                </c15:dlblRangeCache>
              </c15:datalabelsRange>
            </c:ext>
            <c:ext xmlns:c16="http://schemas.microsoft.com/office/drawing/2014/chart" uri="{C3380CC4-5D6E-409C-BE32-E72D297353CC}">
              <c16:uniqueId val="{00000006-4DE6-444D-AAF4-7FBD0ACDFC95}"/>
            </c:ext>
          </c:extLst>
        </c:ser>
        <c:dLbls>
          <c:showLegendKey val="0"/>
          <c:showVal val="0"/>
          <c:showCatName val="0"/>
          <c:showSerName val="0"/>
          <c:showPercent val="0"/>
          <c:showBubbleSize val="0"/>
        </c:dLbls>
        <c:gapWidth val="219"/>
        <c:overlap val="-27"/>
        <c:axId val="152736128"/>
        <c:axId val="152737664"/>
      </c:barChart>
      <c:catAx>
        <c:axId val="152736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2737664"/>
        <c:crosses val="autoZero"/>
        <c:auto val="1"/>
        <c:lblAlgn val="ctr"/>
        <c:lblOffset val="100"/>
        <c:noMultiLvlLbl val="0"/>
      </c:catAx>
      <c:valAx>
        <c:axId val="152737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2736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pPr>
            <a:r>
              <a:rPr lang="lt-LT" sz="900"/>
              <a:t>Pastatų fondas pagal statybos pabaigos metus ir paskirtį (mln. m2)</a:t>
            </a:r>
            <a:endParaRPr lang="en-US" sz="900"/>
          </a:p>
        </c:rich>
      </c:tx>
      <c:overlay val="0"/>
      <c:spPr>
        <a:noFill/>
        <a:ln>
          <a:noFill/>
        </a:ln>
        <a:effectLst/>
      </c:spPr>
    </c:title>
    <c:autoTitleDeleted val="0"/>
    <c:plotArea>
      <c:layout>
        <c:manualLayout>
          <c:layoutTarget val="inner"/>
          <c:xMode val="edge"/>
          <c:yMode val="edge"/>
          <c:x val="0.31386522963308938"/>
          <c:y val="0.21401252549408709"/>
          <c:w val="0.62994358497577285"/>
          <c:h val="0.5634259626616277"/>
        </c:manualLayout>
      </c:layout>
      <c:barChart>
        <c:barDir val="bar"/>
        <c:grouping val="stacked"/>
        <c:varyColors val="0"/>
        <c:ser>
          <c:idx val="2"/>
          <c:order val="0"/>
          <c:tx>
            <c:strRef>
              <c:f>'3'!$E$47:$H$47</c:f>
              <c:strCache>
                <c:ptCount val="1"/>
                <c:pt idx="0">
                  <c:v>Iki 1960</c:v>
                </c:pt>
              </c:strCache>
            </c:strRef>
          </c:tx>
          <c:spPr>
            <a:solidFill>
              <a:schemeClr val="bg2">
                <a:lumMod val="65000"/>
              </a:schemeClr>
            </a:solidFill>
            <a:ln>
              <a:solidFill>
                <a:schemeClr val="bg1"/>
              </a:solidFill>
            </a:ln>
            <a:effectLst/>
          </c:spPr>
          <c:invertIfNegative val="0"/>
          <c:dLbls>
            <c:dLbl>
              <c:idx val="0"/>
              <c:layout>
                <c:manualLayout>
                  <c:x val="-5.0977139861256569E-17"/>
                  <c:y val="-5.99263606296515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CB-4577-B249-1F74EA31954B}"/>
                </c:ext>
              </c:extLst>
            </c:dLbl>
            <c:dLbl>
              <c:idx val="1"/>
              <c:layout>
                <c:manualLayout>
                  <c:x val="-2.5488569930628285E-17"/>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CB-4577-B249-1F74EA31954B}"/>
                </c:ext>
              </c:extLst>
            </c:dLbl>
            <c:dLbl>
              <c:idx val="2"/>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CB-4577-B249-1F74EA31954B}"/>
                </c:ext>
              </c:extLst>
            </c:dLbl>
            <c:dLbl>
              <c:idx val="3"/>
              <c:layout>
                <c:manualLayout>
                  <c:x val="-5.0977139861256569E-17"/>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CB-4577-B249-1F74EA31954B}"/>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'3'!$D$49:$D$52</c:f>
              <c:strCache>
                <c:ptCount val="4"/>
                <c:pt idx="0">
                  <c:v>Kiti negyvenamieji</c:v>
                </c:pt>
                <c:pt idx="1">
                  <c:v>Pramonės</c:v>
                </c:pt>
                <c:pt idx="2">
                  <c:v>Daugiabučiai</c:v>
                </c:pt>
                <c:pt idx="3">
                  <c:v>Individualūs</c:v>
                </c:pt>
              </c:strCache>
            </c:strRef>
          </c:cat>
          <c:val>
            <c:numRef>
              <c:f>'3'!$F$49:$F$52</c:f>
              <c:numCache>
                <c:formatCode>#,##0</c:formatCode>
                <c:ptCount val="4"/>
                <c:pt idx="0">
                  <c:v>5.5727220000000006</c:v>
                </c:pt>
                <c:pt idx="1">
                  <c:v>3.651338</c:v>
                </c:pt>
                <c:pt idx="2">
                  <c:v>6.5632850000000014</c:v>
                </c:pt>
                <c:pt idx="3">
                  <c:v>18.306841999999996</c:v>
                </c:pt>
              </c:numCache>
            </c:numRef>
          </c:val>
          <c:extLst xmlns:c16r2="http://schemas.microsoft.com/office/drawing/2015/06/chart">
            <c:ext xmlns:c16="http://schemas.microsoft.com/office/drawing/2014/chart" uri="{C3380CC4-5D6E-409C-BE32-E72D297353CC}">
              <c16:uniqueId val="{00000004-19CB-4577-B249-1F74EA31954B}"/>
            </c:ext>
          </c:extLst>
        </c:ser>
        <c:ser>
          <c:idx val="5"/>
          <c:order val="1"/>
          <c:tx>
            <c:strRef>
              <c:f>'3'!$I$47:$L$47</c:f>
              <c:strCache>
                <c:ptCount val="1"/>
                <c:pt idx="0">
                  <c:v>1961 - 1992</c:v>
                </c:pt>
              </c:strCache>
            </c:strRef>
          </c:tx>
          <c:spPr>
            <a:solidFill>
              <a:srgbClr val="002060"/>
            </a:solidFill>
            <a:ln>
              <a:solidFill>
                <a:schemeClr val="bg1"/>
              </a:solidFill>
            </a:ln>
            <a:effectLst/>
          </c:spPr>
          <c:invertIfNegative val="0"/>
          <c:dLbls>
            <c:dLbl>
              <c:idx val="0"/>
              <c:layout>
                <c:manualLayout>
                  <c:x val="-5.0977139861256569E-17"/>
                  <c:y val="-5.99263606296515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CB-4577-B249-1F74EA31954B}"/>
                </c:ext>
              </c:extLst>
            </c:dLbl>
            <c:dLbl>
              <c:idx val="1"/>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CB-4577-B249-1F74EA31954B}"/>
                </c:ext>
              </c:extLst>
            </c:dLbl>
            <c:dLbl>
              <c:idx val="2"/>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CB-4577-B249-1F74EA31954B}"/>
                </c:ext>
              </c:extLst>
            </c:dLbl>
            <c:dLbl>
              <c:idx val="3"/>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9CB-4577-B249-1F74EA31954B}"/>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'3'!$D$49:$D$52</c:f>
              <c:strCache>
                <c:ptCount val="4"/>
                <c:pt idx="0">
                  <c:v>Kiti negyvenamieji</c:v>
                </c:pt>
                <c:pt idx="1">
                  <c:v>Pramonės</c:v>
                </c:pt>
                <c:pt idx="2">
                  <c:v>Daugiabučiai</c:v>
                </c:pt>
                <c:pt idx="3">
                  <c:v>Individualūs</c:v>
                </c:pt>
              </c:strCache>
            </c:strRef>
          </c:cat>
          <c:val>
            <c:numRef>
              <c:f>'3'!$J$49:$J$52</c:f>
              <c:numCache>
                <c:formatCode>#,##0</c:formatCode>
                <c:ptCount val="4"/>
                <c:pt idx="0">
                  <c:v>20.799603000000001</c:v>
                </c:pt>
                <c:pt idx="1">
                  <c:v>23.537438999999999</c:v>
                </c:pt>
                <c:pt idx="2">
                  <c:v>42.878102999999989</c:v>
                </c:pt>
                <c:pt idx="3">
                  <c:v>29.159948999999994</c:v>
                </c:pt>
              </c:numCache>
            </c:numRef>
          </c:val>
          <c:extLst xmlns:c16r2="http://schemas.microsoft.com/office/drawing/2015/06/chart">
            <c:ext xmlns:c16="http://schemas.microsoft.com/office/drawing/2014/chart" uri="{C3380CC4-5D6E-409C-BE32-E72D297353CC}">
              <c16:uniqueId val="{00000009-19CB-4577-B249-1F74EA31954B}"/>
            </c:ext>
          </c:extLst>
        </c:ser>
        <c:ser>
          <c:idx val="9"/>
          <c:order val="2"/>
          <c:tx>
            <c:strRef>
              <c:f>'3'!$M$47:$P$47</c:f>
              <c:strCache>
                <c:ptCount val="1"/>
                <c:pt idx="0">
                  <c:v>1992&lt;</c:v>
                </c:pt>
              </c:strCache>
            </c:strRef>
          </c:tx>
          <c:spPr>
            <a:solidFill>
              <a:srgbClr val="C00000"/>
            </a:solidFill>
            <a:ln>
              <a:solidFill>
                <a:schemeClr val="bg1"/>
              </a:solidFill>
            </a:ln>
            <a:effectLst/>
          </c:spPr>
          <c:invertIfNegative val="0"/>
          <c:dLbls>
            <c:dLbl>
              <c:idx val="0"/>
              <c:layout>
                <c:manualLayout>
                  <c:x val="0"/>
                  <c:y val="-5.99263606296515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9CB-4577-B249-1F74EA31954B}"/>
                </c:ext>
              </c:extLst>
            </c:dLbl>
            <c:dLbl>
              <c:idx val="1"/>
              <c:layout>
                <c:manualLayout>
                  <c:x val="-1.0195427972251314E-16"/>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CB-4577-B249-1F74EA31954B}"/>
                </c:ext>
              </c:extLst>
            </c:dLbl>
            <c:dLbl>
              <c:idx val="2"/>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9CB-4577-B249-1F74EA31954B}"/>
                </c:ext>
              </c:extLst>
            </c:dLbl>
            <c:dLbl>
              <c:idx val="3"/>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9CB-4577-B249-1F74EA31954B}"/>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'3'!$D$49:$D$52</c:f>
              <c:strCache>
                <c:ptCount val="4"/>
                <c:pt idx="0">
                  <c:v>Kiti negyvenamieji</c:v>
                </c:pt>
                <c:pt idx="1">
                  <c:v>Pramonės</c:v>
                </c:pt>
                <c:pt idx="2">
                  <c:v>Daugiabučiai</c:v>
                </c:pt>
                <c:pt idx="3">
                  <c:v>Individualūs</c:v>
                </c:pt>
              </c:strCache>
            </c:strRef>
          </c:cat>
          <c:val>
            <c:numRef>
              <c:f>'3'!$N$49:$N$52</c:f>
              <c:numCache>
                <c:formatCode>#,##0</c:formatCode>
                <c:ptCount val="4"/>
                <c:pt idx="0">
                  <c:v>10.808191999999995</c:v>
                </c:pt>
                <c:pt idx="1">
                  <c:v>8.3009330000000006</c:v>
                </c:pt>
                <c:pt idx="2">
                  <c:v>10.022183999999999</c:v>
                </c:pt>
                <c:pt idx="3">
                  <c:v>22.073210000000003</c:v>
                </c:pt>
              </c:numCache>
            </c:numRef>
          </c:val>
          <c:extLst xmlns:c16r2="http://schemas.microsoft.com/office/drawing/2015/06/chart">
            <c:ext xmlns:c16="http://schemas.microsoft.com/office/drawing/2014/chart" uri="{C3380CC4-5D6E-409C-BE32-E72D297353CC}">
              <c16:uniqueId val="{0000000E-19CB-4577-B249-1F74EA31954B}"/>
            </c:ext>
          </c:extLst>
        </c:ser>
        <c:dLbls>
          <c:dLblPos val="ctr"/>
          <c:showLegendKey val="0"/>
          <c:showVal val="1"/>
          <c:showCatName val="0"/>
          <c:showSerName val="0"/>
          <c:showPercent val="0"/>
          <c:showBubbleSize val="0"/>
        </c:dLbls>
        <c:gapWidth val="150"/>
        <c:overlap val="100"/>
        <c:axId val="152923136"/>
        <c:axId val="152957696"/>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'3'!$E$47</c15:sqref>
                        </c15:formulaRef>
                      </c:ext>
                    </c:extLst>
                    <c:strCache>
                      <c:ptCount val="1"/>
                      <c:pt idx="0">
                        <c:v>Iki 1960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c:ext uri="{02D57815-91ED-43cb-92C2-25804820EDAC}">
                        <c15:formulaRef>
                          <c15:sqref>'3'!$E$49:$E$51</c15:sqref>
                        </c15:formulaRef>
                      </c:ext>
                    </c:extLst>
                    <c:numCache>
                      <c:formatCode>#,##0.0</c:formatCode>
                      <c:ptCount val="3"/>
                      <c:pt idx="0">
                        <c:v>8.1630000000000003</c:v>
                      </c:pt>
                      <c:pt idx="1">
                        <c:v>6.4050000000000002</c:v>
                      </c:pt>
                      <c:pt idx="2">
                        <c:v>14.381999999999998</c:v>
                      </c:pt>
                    </c:numCache>
                  </c:numRef>
                </c:val>
                <c:extLst>
                  <c:ext xmlns:c16="http://schemas.microsoft.com/office/drawing/2014/chart" uri="{C3380CC4-5D6E-409C-BE32-E72D297353CC}">
                    <c16:uniqueId val="{0000000F-19CB-4577-B249-1F74EA31954B}"/>
                  </c:ext>
                </c:extLst>
              </c15:ser>
            </c15:filteredBarSeries>
            <c15:filteredBarSeries>
              <c15:ser>
                <c:idx val="3"/>
                <c:order val="2"/>
                <c:tx>
                  <c:strRef>
                    <c:extLst xmlns:c15="http://schemas.microsoft.com/office/drawing/2012/chart">
                      <c:ext xmlns:c15="http://schemas.microsoft.com/office/drawing/2012/chart" uri="{02D57815-91ED-43cb-92C2-25804820EDAC}">
                        <c15:formulaRef>
                          <c15:sqref>'3'!$G$47</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'3'!$G$49:$G$51</c15:sqref>
                        </c15:formulaRef>
                      </c:ext>
                    </c:extLst>
                    <c:numCache>
                      <c:formatCode>0%</c:formatCode>
                      <c:ptCount val="3"/>
                      <c:pt idx="0">
                        <c:v>0.35298664848332634</c:v>
                      </c:pt>
                      <c:pt idx="1">
                        <c:v>0.23128258741415986</c:v>
                      </c:pt>
                      <c:pt idx="2">
                        <c:v>0.41573076410251381</c:v>
                      </c:pt>
                    </c:numCache>
                  </c:numRef>
                </c:val>
                <c:extLst xmlns:c15="http://schemas.microsoft.com/office/drawing/2012/chart">
                  <c:ext xmlns:c16="http://schemas.microsoft.com/office/drawing/2014/chart" uri="{C3380CC4-5D6E-409C-BE32-E72D297353CC}">
                    <c16:uniqueId val="{00000010-19CB-4577-B249-1F74EA31954B}"/>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'3'!$H$47</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'3'!$H$49:$H$51</c15:sqref>
                        </c15:formulaRef>
                      </c:ext>
                    </c:extLst>
                    <c:numCache>
                      <c:formatCode>0%</c:formatCode>
                      <c:ptCount val="3"/>
                      <c:pt idx="0">
                        <c:v>0.28196891191709844</c:v>
                      </c:pt>
                      <c:pt idx="1">
                        <c:v>0.2212435233160622</c:v>
                      </c:pt>
                      <c:pt idx="2">
                        <c:v>0.49678756476683933</c:v>
                      </c:pt>
                    </c:numCache>
                  </c:numRef>
                </c:val>
                <c:extLst xmlns:c15="http://schemas.microsoft.com/office/drawing/2012/chart">
                  <c:ext xmlns:c16="http://schemas.microsoft.com/office/drawing/2014/chart" uri="{C3380CC4-5D6E-409C-BE32-E72D297353CC}">
                    <c16:uniqueId val="{00000011-19CB-4577-B249-1F74EA31954B}"/>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'3'!$I$47</c15:sqref>
                        </c15:formulaRef>
                      </c:ext>
                    </c:extLst>
                    <c:strCache>
                      <c:ptCount val="1"/>
                      <c:pt idx="0">
                        <c:v>1961 - 1992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'3'!$I$49:$I$51</c15:sqref>
                        </c15:formulaRef>
                      </c:ext>
                    </c:extLst>
                    <c:numCache>
                      <c:formatCode>#,##0.0</c:formatCode>
                      <c:ptCount val="3"/>
                      <c:pt idx="0">
                        <c:v>23.262</c:v>
                      </c:pt>
                      <c:pt idx="1">
                        <c:v>34.521000000000001</c:v>
                      </c:pt>
                      <c:pt idx="2">
                        <c:v>22.669</c:v>
                      </c:pt>
                    </c:numCache>
                  </c:numRef>
                </c:val>
                <c:extLst xmlns:c15="http://schemas.microsoft.com/office/drawing/2012/chart">
                  <c:ext xmlns:c16="http://schemas.microsoft.com/office/drawing/2014/chart" uri="{C3380CC4-5D6E-409C-BE32-E72D297353CC}">
                    <c16:uniqueId val="{00000012-19CB-4577-B249-1F74EA31954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'3'!$K$47</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'3'!$K$49:$K$51</c15:sqref>
                        </c15:formulaRef>
                      </c:ext>
                    </c:extLst>
                    <c:numCache>
                      <c:formatCode>0%</c:formatCode>
                      <c:ptCount val="3"/>
                      <c:pt idx="0">
                        <c:v>0.23848613678278016</c:v>
                      </c:pt>
                      <c:pt idx="1">
                        <c:v>0.26987788646111871</c:v>
                      </c:pt>
                      <c:pt idx="2">
                        <c:v>0.49163597675610127</c:v>
                      </c:pt>
                    </c:numCache>
                  </c:numRef>
                </c:val>
                <c:extLst xmlns:c15="http://schemas.microsoft.com/office/drawing/2012/chart">
                  <c:ext xmlns:c16="http://schemas.microsoft.com/office/drawing/2014/chart" uri="{C3380CC4-5D6E-409C-BE32-E72D297353CC}">
                    <c16:uniqueId val="{00000013-19CB-4577-B249-1F74EA31954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'3'!$L$47</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'3'!$L$49:$L$51</c15:sqref>
                        </c15:formulaRef>
                      </c:ext>
                    </c:extLst>
                    <c:numCache>
                      <c:formatCode>0%</c:formatCode>
                      <c:ptCount val="3"/>
                      <c:pt idx="0">
                        <c:v>0.28914135136478897</c:v>
                      </c:pt>
                      <c:pt idx="1">
                        <c:v>0.42908815194153038</c:v>
                      </c:pt>
                      <c:pt idx="2">
                        <c:v>0.28177049669368071</c:v>
                      </c:pt>
                    </c:numCache>
                  </c:numRef>
                </c:val>
                <c:extLst xmlns:c15="http://schemas.microsoft.com/office/drawing/2012/chart">
                  <c:ext xmlns:c16="http://schemas.microsoft.com/office/drawing/2014/chart" uri="{C3380CC4-5D6E-409C-BE32-E72D297353CC}">
                    <c16:uniqueId val="{00000014-19CB-4577-B249-1F74EA31954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'3'!$M$47</c15:sqref>
                        </c15:formulaRef>
                      </c:ext>
                    </c:extLst>
                    <c:strCache>
                      <c:ptCount val="1"/>
                      <c:pt idx="0">
                        <c:v>1992&lt;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'3'!$M$49:$M$51</c15:sqref>
                        </c15:formulaRef>
                      </c:ext>
                    </c:extLst>
                    <c:numCache>
                      <c:formatCode>#,##0.0</c:formatCode>
                      <c:ptCount val="3"/>
                      <c:pt idx="0">
                        <c:v>10.571</c:v>
                      </c:pt>
                      <c:pt idx="1">
                        <c:v>7.8490000000000002</c:v>
                      </c:pt>
                      <c:pt idx="2">
                        <c:v>3.97</c:v>
                      </c:pt>
                    </c:numCache>
                  </c:numRef>
                </c:val>
                <c:extLst xmlns:c15="http://schemas.microsoft.com/office/drawing/2012/chart">
                  <c:ext xmlns:c16="http://schemas.microsoft.com/office/drawing/2014/chart" uri="{C3380CC4-5D6E-409C-BE32-E72D297353CC}">
                    <c16:uniqueId val="{00000015-19CB-4577-B249-1F74EA31954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'3'!$O$47</c15:sqref>
                        </c15:formulaRef>
                      </c:ext>
                    </c:extLst>
                    <c:strCache>
                      <c:ptCount val="1"/>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'3'!$O$49:$O$51</c15:sqref>
                        </c15:formulaRef>
                      </c:ext>
                    </c:extLst>
                    <c:numCache>
                      <c:formatCode>0%</c:formatCode>
                      <c:ptCount val="3"/>
                      <c:pt idx="0">
                        <c:v>0.37101635220030782</c:v>
                      </c:pt>
                      <c:pt idx="1">
                        <c:v>0.28494885004995835</c:v>
                      </c:pt>
                      <c:pt idx="2">
                        <c:v>0.34403479774973383</c:v>
                      </c:pt>
                    </c:numCache>
                  </c:numRef>
                </c:val>
                <c:extLst xmlns:c15="http://schemas.microsoft.com/office/drawing/2012/chart">
                  <c:ext xmlns:c16="http://schemas.microsoft.com/office/drawing/2014/chart" uri="{C3380CC4-5D6E-409C-BE32-E72D297353CC}">
                    <c16:uniqueId val="{00000016-19CB-4577-B249-1F74EA31954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'3'!$P$47</c15:sqref>
                        </c15:formulaRef>
                      </c:ext>
                    </c:extLst>
                    <c:strCache>
                      <c:ptCount val="1"/>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'3'!$P$49:$P$51</c15:sqref>
                        </c15:formulaRef>
                      </c:ext>
                    </c:extLst>
                    <c:numCache>
                      <c:formatCode>0%</c:formatCode>
                      <c:ptCount val="3"/>
                      <c:pt idx="0">
                        <c:v>0.47213041536400174</c:v>
                      </c:pt>
                      <c:pt idx="1">
                        <c:v>0.35055828494863778</c:v>
                      </c:pt>
                      <c:pt idx="2">
                        <c:v>0.17731129968736042</c:v>
                      </c:pt>
                    </c:numCache>
                  </c:numRef>
                </c:val>
                <c:extLst xmlns:c15="http://schemas.microsoft.com/office/drawing/2012/chart">
                  <c:ext xmlns:c16="http://schemas.microsoft.com/office/drawing/2014/chart" uri="{C3380CC4-5D6E-409C-BE32-E72D297353CC}">
                    <c16:uniqueId val="{00000017-19CB-4577-B249-1F74EA31954B}"/>
                  </c:ext>
                </c:extLst>
              </c15:ser>
            </c15:filteredBarSeries>
          </c:ext>
        </c:extLst>
      </c:barChart>
      <c:catAx>
        <c:axId val="1529231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lt-LT"/>
          </a:p>
        </c:txPr>
        <c:crossAx val="152957696"/>
        <c:crosses val="autoZero"/>
        <c:auto val="1"/>
        <c:lblAlgn val="ctr"/>
        <c:lblOffset val="100"/>
        <c:noMultiLvlLbl val="0"/>
      </c:catAx>
      <c:valAx>
        <c:axId val="152957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15292313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latin typeface="+mn-lt"/>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nuosavybės tipą </a:t>
            </a:r>
          </a:p>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(mln. m</a:t>
            </a:r>
            <a:r>
              <a:rPr lang="lt-LT" sz="900" baseline="30000"/>
              <a:t>2</a:t>
            </a:r>
            <a:r>
              <a:rPr lang="lt-LT" sz="900"/>
              <a:t>)</a:t>
            </a:r>
            <a:endParaRPr lang="en-US" sz="900"/>
          </a:p>
        </c:rich>
      </c:tx>
      <c:overlay val="0"/>
      <c:spPr>
        <a:noFill/>
        <a:ln>
          <a:noFill/>
        </a:ln>
        <a:effectLst/>
      </c:spPr>
    </c:title>
    <c:autoTitleDeleted val="0"/>
    <c:plotArea>
      <c:layout/>
      <c:barChart>
        <c:barDir val="col"/>
        <c:grouping val="clustered"/>
        <c:varyColors val="0"/>
        <c:ser>
          <c:idx val="0"/>
          <c:order val="0"/>
          <c:spPr>
            <a:solidFill>
              <a:schemeClr val="tx1">
                <a:lumMod val="50000"/>
                <a:lumOff val="50000"/>
              </a:schemeClr>
            </a:solidFill>
            <a:ln>
              <a:noFill/>
            </a:ln>
            <a:effectLst/>
          </c:spPr>
          <c:invertIfNegative val="0"/>
          <c:dPt>
            <c:idx val="0"/>
            <c:invertIfNegative val="0"/>
            <c:bubble3D val="0"/>
            <c:spPr>
              <a:solidFill>
                <a:schemeClr val="bg2">
                  <a:lumMod val="65000"/>
                </a:schemeClr>
              </a:solidFill>
              <a:ln>
                <a:noFill/>
              </a:ln>
              <a:effectLst/>
            </c:spPr>
            <c:extLst xmlns:c16r2="http://schemas.microsoft.com/office/drawing/2015/06/chart">
              <c:ext xmlns:c16="http://schemas.microsoft.com/office/drawing/2014/chart" uri="{C3380CC4-5D6E-409C-BE32-E72D297353CC}">
                <c16:uniqueId val="{00000006-012D-4A0F-96CD-FCBF5A690C8C}"/>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012D-4A0F-96CD-FCBF5A690C8C}"/>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012D-4A0F-96CD-FCBF5A690C8C}"/>
              </c:ext>
            </c:extLst>
          </c:dPt>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5-012D-4A0F-96CD-FCBF5A690C8C}"/>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'4'!$E$47:$H$47</c:f>
              <c:strCache>
                <c:ptCount val="4"/>
                <c:pt idx="0">
                  <c:v>Fizinių asmenų</c:v>
                </c:pt>
                <c:pt idx="1">
                  <c:v>Juridinių asmenų</c:v>
                </c:pt>
                <c:pt idx="2">
                  <c:v>Vieša</c:v>
                </c:pt>
                <c:pt idx="3">
                  <c:v>Mišri</c:v>
                </c:pt>
              </c:strCache>
            </c:strRef>
          </c:cat>
          <c:val>
            <c:numRef>
              <c:f>'4'!$E$52:$H$52</c:f>
              <c:numCache>
                <c:formatCode>#,##0\ ;\ \-\ #,##0\ ;\ \-\ </c:formatCode>
                <c:ptCount val="4"/>
                <c:pt idx="0">
                  <c:v>62.040175000000012</c:v>
                </c:pt>
                <c:pt idx="1">
                  <c:v>31.928361000000002</c:v>
                </c:pt>
                <c:pt idx="2">
                  <c:v>14.947192000000001</c:v>
                </c:pt>
                <c:pt idx="3">
                  <c:v>90.868030000000005</c:v>
                </c:pt>
              </c:numCache>
            </c:numRef>
          </c:val>
          <c:extLst xmlns:c16r2="http://schemas.microsoft.com/office/drawing/2015/06/chart">
            <c:ext xmlns:c16="http://schemas.microsoft.com/office/drawing/2014/chart" uri="{C3380CC4-5D6E-409C-BE32-E72D297353CC}">
              <c16:uniqueId val="{00000007-012D-4A0F-96CD-FCBF5A690C8C}"/>
            </c:ext>
            <c:ext xmlns:c15="http://schemas.microsoft.com/office/drawing/2012/chart" uri="{02D57815-91ED-43cb-92C2-25804820EDAC}">
              <c15:datalabelsRange>
                <c15:f>'4'!$E$53:$H$53</c15:f>
                <c15:dlblRangeCache>
                  <c:ptCount val="4"/>
                  <c:pt idx="0">
                    <c:v>31%</c:v>
                  </c:pt>
                  <c:pt idx="1">
                    <c:v>16%</c:v>
                  </c:pt>
                  <c:pt idx="2">
                    <c:v>7%</c:v>
                  </c:pt>
                  <c:pt idx="3">
                    <c:v>45%</c:v>
                  </c:pt>
                </c15:dlblRangeCache>
              </c15:datalabelsRange>
            </c:ext>
          </c:extLst>
        </c:ser>
        <c:dLbls>
          <c:dLblPos val="outEnd"/>
          <c:showLegendKey val="0"/>
          <c:showVal val="1"/>
          <c:showCatName val="0"/>
          <c:showSerName val="0"/>
          <c:showPercent val="0"/>
          <c:showBubbleSize val="0"/>
        </c:dLbls>
        <c:gapWidth val="219"/>
        <c:overlap val="-27"/>
        <c:axId val="154692608"/>
        <c:axId val="154701184"/>
      </c:barChart>
      <c:catAx>
        <c:axId val="1546926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4701184"/>
        <c:crosses val="autoZero"/>
        <c:auto val="1"/>
        <c:lblAlgn val="ctr"/>
        <c:lblOffset val="100"/>
        <c:noMultiLvlLbl val="0"/>
      </c:catAx>
      <c:valAx>
        <c:axId val="154701184"/>
        <c:scaling>
          <c:orientation val="minMax"/>
        </c:scaling>
        <c:delete val="0"/>
        <c:axPos val="l"/>
        <c:majorGridlines>
          <c:spPr>
            <a:ln w="9525" cap="flat" cmpd="sng" algn="ctr">
              <a:solidFill>
                <a:schemeClr val="tx1">
                  <a:lumMod val="15000"/>
                  <a:lumOff val="85000"/>
                </a:schemeClr>
              </a:solidFill>
              <a:round/>
            </a:ln>
            <a:effectLst/>
          </c:spPr>
        </c:majorGridlines>
        <c:numFmt formatCode="#,##0\ ;\ \-\ #,##0\ ;\ \-\ "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4692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nuosavybės tipą ir paskirtį (mln. m</a:t>
            </a:r>
            <a:r>
              <a:rPr lang="lt-LT" sz="900" baseline="30000"/>
              <a:t>2</a:t>
            </a:r>
            <a:r>
              <a:rPr lang="lt-LT" sz="900"/>
              <a:t>)</a:t>
            </a:r>
            <a:endParaRPr lang="en-US" sz="900"/>
          </a:p>
        </c:rich>
      </c:tx>
      <c:overlay val="0"/>
      <c:spPr>
        <a:noFill/>
        <a:ln>
          <a:noFill/>
        </a:ln>
        <a:effectLst/>
      </c:spPr>
    </c:title>
    <c:autoTitleDeleted val="0"/>
    <c:plotArea>
      <c:layout/>
      <c:barChart>
        <c:barDir val="bar"/>
        <c:grouping val="stacked"/>
        <c:varyColors val="0"/>
        <c:ser>
          <c:idx val="0"/>
          <c:order val="0"/>
          <c:tx>
            <c:strRef>
              <c:f>'4'!$E$47</c:f>
              <c:strCache>
                <c:ptCount val="1"/>
                <c:pt idx="0">
                  <c:v>Fizinių asmenų</c:v>
                </c:pt>
              </c:strCache>
            </c:strRef>
          </c:tx>
          <c:spPr>
            <a:solidFill>
              <a:schemeClr val="bg2">
                <a:lumMod val="65000"/>
              </a:schemeClr>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9C-4964-B2F4-3805077CDA63}"/>
                </c:ext>
                <c:ext xmlns:c15="http://schemas.microsoft.com/office/drawing/2012/chart" uri="{CE6537A1-D6FC-4f65-9D91-7224C49458BB}"/>
              </c:extLst>
            </c:dLbl>
            <c:dLbl>
              <c:idx val="1"/>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9C-4964-B2F4-3805077CDA6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8D9C-4964-B2F4-3805077CDA63}"/>
                </c:ext>
                <c:ext xmlns:c15="http://schemas.microsoft.com/office/drawing/2012/chart" uri="{CE6537A1-D6FC-4f65-9D91-7224C49458BB}"/>
              </c:extLst>
            </c:dLbl>
            <c:dLbl>
              <c:idx val="3"/>
              <c:layout>
                <c:manualLayout>
                  <c:x val="5.1300656014192554E-17"/>
                  <c:y val="-6.107016202587490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'4'!$E$48:$E$51</c:f>
              <c:numCache>
                <c:formatCode>_(* #,##0_);_(* \(#,##0\);_(* "-"??_);_(@_)</c:formatCode>
                <c:ptCount val="4"/>
                <c:pt idx="0">
                  <c:v>3.1416630000000003</c:v>
                </c:pt>
                <c:pt idx="1">
                  <c:v>6.2476789999999998</c:v>
                </c:pt>
                <c:pt idx="2">
                  <c:v>0.31954700000000019</c:v>
                </c:pt>
                <c:pt idx="3">
                  <c:v>52.331286000000013</c:v>
                </c:pt>
              </c:numCache>
            </c:numRef>
          </c:val>
          <c:extLst xmlns:c16r2="http://schemas.microsoft.com/office/drawing/2015/06/chart">
            <c:ext xmlns:c16="http://schemas.microsoft.com/office/drawing/2014/chart" uri="{C3380CC4-5D6E-409C-BE32-E72D297353CC}">
              <c16:uniqueId val="{00000004-8D9C-4964-B2F4-3805077CDA63}"/>
            </c:ext>
          </c:extLst>
        </c:ser>
        <c:ser>
          <c:idx val="1"/>
          <c:order val="1"/>
          <c:tx>
            <c:strRef>
              <c:f>'4'!$F$47</c:f>
              <c:strCache>
                <c:ptCount val="1"/>
                <c:pt idx="0">
                  <c:v>Juridinių asmenų</c:v>
                </c:pt>
              </c:strCache>
            </c:strRef>
          </c:tx>
          <c:spPr>
            <a:solidFill>
              <a:srgbClr val="002060"/>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9C-4964-B2F4-3805077CDA63}"/>
                </c:ext>
                <c:ext xmlns:c15="http://schemas.microsoft.com/office/drawing/2012/chart" uri="{CE6537A1-D6FC-4f65-9D91-7224C49458BB}"/>
              </c:extLst>
            </c:dLbl>
            <c:dLbl>
              <c:idx val="1"/>
              <c:layout>
                <c:manualLayout>
                  <c:x val="0"/>
                  <c:y val="-6.143482122690295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9C-4964-B2F4-3805077CDA6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8D9C-4964-B2F4-3805077CDA63}"/>
                </c:ext>
                <c:ext xmlns:c15="http://schemas.microsoft.com/office/drawing/2012/chart" uri="{CE6537A1-D6FC-4f65-9D91-7224C49458BB}"/>
              </c:extLst>
            </c:dLbl>
            <c:dLbl>
              <c:idx val="3"/>
              <c:layout>
                <c:manualLayout>
                  <c:x val="0"/>
                  <c:y val="-6.14348212269028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'4'!$F$48:$F$51</c:f>
              <c:numCache>
                <c:formatCode>_(* #,##0_);_(* \(#,##0\);_(* "-"??_);_(@_)</c:formatCode>
                <c:ptCount val="4"/>
                <c:pt idx="0">
                  <c:v>11.041991999999999</c:v>
                </c:pt>
                <c:pt idx="1">
                  <c:v>19.690213</c:v>
                </c:pt>
                <c:pt idx="2">
                  <c:v>0.47448500000000016</c:v>
                </c:pt>
                <c:pt idx="3">
                  <c:v>0.72167100000000028</c:v>
                </c:pt>
              </c:numCache>
            </c:numRef>
          </c:val>
          <c:extLst xmlns:c16r2="http://schemas.microsoft.com/office/drawing/2015/06/chart">
            <c:ext xmlns:c16="http://schemas.microsoft.com/office/drawing/2014/chart" uri="{C3380CC4-5D6E-409C-BE32-E72D297353CC}">
              <c16:uniqueId val="{00000009-8D9C-4964-B2F4-3805077CDA63}"/>
            </c:ext>
          </c:extLst>
        </c:ser>
        <c:ser>
          <c:idx val="2"/>
          <c:order val="2"/>
          <c:tx>
            <c:strRef>
              <c:f>'4'!$G$47</c:f>
              <c:strCache>
                <c:ptCount val="1"/>
                <c:pt idx="0">
                  <c:v>Vieša</c:v>
                </c:pt>
              </c:strCache>
            </c:strRef>
          </c:tx>
          <c:spPr>
            <a:solidFill>
              <a:srgbClr val="C00000"/>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D9C-4964-B2F4-3805077CDA6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8D9C-4964-B2F4-3805077CDA63}"/>
                </c:ext>
                <c:ext xmlns:c15="http://schemas.microsoft.com/office/drawing/2012/chart" uri="{CE6537A1-D6FC-4f65-9D91-7224C49458BB}"/>
              </c:extLst>
            </c:dLbl>
            <c:dLbl>
              <c:idx val="2"/>
              <c:layout>
                <c:manualLayout>
                  <c:x val="-5.1027515432557898E-17"/>
                  <c:y val="-5.6709065747910382E-2"/>
                </c:manualLayout>
              </c:layout>
              <c:tx>
                <c:rich>
                  <a:bodyPr/>
                  <a:lstStyle/>
                  <a:p>
                    <a:r>
                      <a:rPr lang="en-US"/>
                      <a:t>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D9C-4964-B2F4-3805077CDA6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D-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'4'!$G$48:$G$51</c:f>
              <c:numCache>
                <c:formatCode>_(* #,##0_);_(* \(#,##0\);_(* "-"??_);_(@_)</c:formatCode>
                <c:ptCount val="4"/>
                <c:pt idx="0">
                  <c:v>14.061325000000002</c:v>
                </c:pt>
                <c:pt idx="1">
                  <c:v>0.296296</c:v>
                </c:pt>
                <c:pt idx="2">
                  <c:v>0.43304599999999993</c:v>
                </c:pt>
                <c:pt idx="3">
                  <c:v>0.15652499999999997</c:v>
                </c:pt>
              </c:numCache>
            </c:numRef>
          </c:val>
          <c:extLst xmlns:c16r2="http://schemas.microsoft.com/office/drawing/2015/06/chart">
            <c:ext xmlns:c16="http://schemas.microsoft.com/office/drawing/2014/chart" uri="{C3380CC4-5D6E-409C-BE32-E72D297353CC}">
              <c16:uniqueId val="{0000000E-8D9C-4964-B2F4-3805077CDA63}"/>
            </c:ext>
          </c:extLst>
        </c:ser>
        <c:ser>
          <c:idx val="3"/>
          <c:order val="3"/>
          <c:tx>
            <c:strRef>
              <c:f>'4'!$H$47</c:f>
              <c:strCache>
                <c:ptCount val="1"/>
                <c:pt idx="0">
                  <c:v>Mišri</c:v>
                </c:pt>
              </c:strCache>
            </c:strRef>
          </c:tx>
          <c:spPr>
            <a:solidFill>
              <a:srgbClr val="00B0F0"/>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D9C-4964-B2F4-3805077CDA63}"/>
                </c:ext>
                <c:ext xmlns:c15="http://schemas.microsoft.com/office/drawing/2012/chart" uri="{CE6537A1-D6FC-4f65-9D91-7224C49458BB}"/>
              </c:extLst>
            </c:dLbl>
            <c:dLbl>
              <c:idx val="1"/>
              <c:layout>
                <c:manualLayout>
                  <c:x val="-1.020550308651158E-16"/>
                  <c:y val="-6.143482122690295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D9C-4964-B2F4-3805077CDA63}"/>
                </c:ext>
                <c:ext xmlns:c15="http://schemas.microsoft.com/office/drawing/2012/chart" uri="{CE6537A1-D6FC-4f65-9D91-7224C49458BB}"/>
              </c:extLst>
            </c:dLbl>
            <c:dLbl>
              <c:idx val="2"/>
              <c:layout>
                <c:manualLayout>
                  <c:x val="0"/>
                  <c:y val="-5.670906574791038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D9C-4964-B2F4-3805077CDA63}"/>
                </c:ext>
                <c:ext xmlns:c15="http://schemas.microsoft.com/office/drawing/2012/chart" uri="{CE6537A1-D6FC-4f65-9D91-7224C49458BB}"/>
              </c:extLst>
            </c:dLbl>
            <c:dLbl>
              <c:idx val="3"/>
              <c:layout>
                <c:manualLayout>
                  <c:x val="0"/>
                  <c:y val="-6.14348212269028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'4'!$H$48:$H$51</c:f>
              <c:numCache>
                <c:formatCode>_(* #,##0_);_(* \(#,##0\);_(* "-"??_);_(@_)</c:formatCode>
                <c:ptCount val="4"/>
                <c:pt idx="0">
                  <c:v>8.9355370000000001</c:v>
                </c:pt>
                <c:pt idx="1">
                  <c:v>8.2800599999999989</c:v>
                </c:pt>
                <c:pt idx="2">
                  <c:v>57.427733000000011</c:v>
                </c:pt>
                <c:pt idx="3">
                  <c:v>16.224700000000002</c:v>
                </c:pt>
              </c:numCache>
            </c:numRef>
          </c:val>
          <c:extLst xmlns:c16r2="http://schemas.microsoft.com/office/drawing/2015/06/chart">
            <c:ext xmlns:c16="http://schemas.microsoft.com/office/drawing/2014/chart" uri="{C3380CC4-5D6E-409C-BE32-E72D297353CC}">
              <c16:uniqueId val="{00000013-8D9C-4964-B2F4-3805077CDA63}"/>
            </c:ext>
          </c:extLst>
        </c:ser>
        <c:dLbls>
          <c:dLblPos val="ctr"/>
          <c:showLegendKey val="0"/>
          <c:showVal val="1"/>
          <c:showCatName val="0"/>
          <c:showSerName val="0"/>
          <c:showPercent val="0"/>
          <c:showBubbleSize val="0"/>
        </c:dLbls>
        <c:gapWidth val="150"/>
        <c:overlap val="100"/>
        <c:axId val="154759168"/>
        <c:axId val="154760704"/>
      </c:barChart>
      <c:catAx>
        <c:axId val="15475916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4760704"/>
        <c:crosses val="autoZero"/>
        <c:auto val="1"/>
        <c:lblAlgn val="ctr"/>
        <c:lblOffset val="100"/>
        <c:noMultiLvlLbl val="0"/>
      </c:catAx>
      <c:valAx>
        <c:axId val="154760704"/>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475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sienų medžiagiškumą (mln. m</a:t>
            </a:r>
            <a:r>
              <a:rPr lang="lt-LT" sz="900" baseline="30000"/>
              <a:t>2</a:t>
            </a:r>
            <a:r>
              <a:rPr lang="lt-LT" sz="900"/>
              <a:t>)</a:t>
            </a:r>
            <a:endParaRPr lang="en-US" sz="9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lumMod val="65000"/>
                </a:schemeClr>
              </a:solidFill>
              <a:ln>
                <a:noFill/>
              </a:ln>
              <a:effectLst/>
            </c:spPr>
            <c:extLst xmlns:c16r2="http://schemas.microsoft.com/office/drawing/2015/06/chart">
              <c:ext xmlns:c16="http://schemas.microsoft.com/office/drawing/2014/chart" uri="{C3380CC4-5D6E-409C-BE32-E72D297353CC}">
                <c16:uniqueId val="{00000001-3682-4B8D-924F-2845BABF95E7}"/>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3682-4B8D-924F-2845BABF95E7}"/>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682-4B8D-924F-2845BABF95E7}"/>
              </c:ext>
            </c:extLst>
          </c:dPt>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3682-4B8D-924F-2845BABF95E7}"/>
              </c:ext>
            </c:extLst>
          </c:dPt>
          <c:dPt>
            <c:idx val="4"/>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8-3682-4B8D-924F-2845BABF95E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'6'!$E$45:$I$45</c:f>
              <c:strCache>
                <c:ptCount val="5"/>
                <c:pt idx="0">
                  <c:v>Plytų ir blokelių</c:v>
                </c:pt>
                <c:pt idx="1">
                  <c:v>Gelžb. plokščių</c:v>
                </c:pt>
                <c:pt idx="2">
                  <c:v>Rąstų</c:v>
                </c:pt>
                <c:pt idx="3">
                  <c:v>Fasadinės sistemos</c:v>
                </c:pt>
                <c:pt idx="4">
                  <c:v>Kita</c:v>
                </c:pt>
              </c:strCache>
            </c:strRef>
          </c:cat>
          <c:val>
            <c:numRef>
              <c:f>'6'!$E$50:$I$50</c:f>
              <c:numCache>
                <c:formatCode>#,##0\ ;\ \-\ #,##0\ ;\ \-\ </c:formatCode>
                <c:ptCount val="5"/>
                <c:pt idx="0">
                  <c:v>118.59833600000002</c:v>
                </c:pt>
                <c:pt idx="1">
                  <c:v>36.889680999999996</c:v>
                </c:pt>
                <c:pt idx="2">
                  <c:v>22.728268999999994</c:v>
                </c:pt>
                <c:pt idx="3">
                  <c:v>11.249717</c:v>
                </c:pt>
                <c:pt idx="4">
                  <c:v>12.189971</c:v>
                </c:pt>
              </c:numCache>
            </c:numRef>
          </c:val>
          <c:extLst xmlns:c16r2="http://schemas.microsoft.com/office/drawing/2015/06/chart">
            <c:ext xmlns:c16="http://schemas.microsoft.com/office/drawing/2014/chart" uri="{C3380CC4-5D6E-409C-BE32-E72D297353CC}">
              <c16:uniqueId val="{00000009-3682-4B8D-924F-2845BABF95E7}"/>
            </c:ext>
            <c:ext xmlns:c15="http://schemas.microsoft.com/office/drawing/2012/chart" uri="{02D57815-91ED-43cb-92C2-25804820EDAC}">
              <c15:datalabelsRange>
                <c15:f>'6'!$E$51:$I$51</c15:f>
                <c15:dlblRangeCache>
                  <c:ptCount val="5"/>
                  <c:pt idx="0">
                    <c:v>59%</c:v>
                  </c:pt>
                  <c:pt idx="1">
                    <c:v>18%</c:v>
                  </c:pt>
                  <c:pt idx="2">
                    <c:v>11%</c:v>
                  </c:pt>
                  <c:pt idx="3">
                    <c:v>6%</c:v>
                  </c:pt>
                  <c:pt idx="4">
                    <c:v>6%</c:v>
                  </c:pt>
                </c15:dlblRangeCache>
              </c15:datalabelsRange>
            </c:ext>
          </c:extLst>
        </c:ser>
        <c:dLbls>
          <c:dLblPos val="outEnd"/>
          <c:showLegendKey val="0"/>
          <c:showVal val="1"/>
          <c:showCatName val="0"/>
          <c:showSerName val="0"/>
          <c:showPercent val="0"/>
          <c:showBubbleSize val="0"/>
        </c:dLbls>
        <c:gapWidth val="219"/>
        <c:overlap val="-27"/>
        <c:axId val="155287552"/>
        <c:axId val="155292416"/>
      </c:barChart>
      <c:catAx>
        <c:axId val="1552875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292416"/>
        <c:crosses val="autoZero"/>
        <c:auto val="1"/>
        <c:lblAlgn val="ctr"/>
        <c:lblOffset val="100"/>
        <c:noMultiLvlLbl val="0"/>
      </c:catAx>
      <c:valAx>
        <c:axId val="155292416"/>
        <c:scaling>
          <c:orientation val="minMax"/>
        </c:scaling>
        <c:delete val="0"/>
        <c:axPos val="l"/>
        <c:majorGridlines>
          <c:spPr>
            <a:ln w="9525" cap="flat" cmpd="sng" algn="ctr">
              <a:solidFill>
                <a:schemeClr val="tx1">
                  <a:lumMod val="15000"/>
                  <a:lumOff val="85000"/>
                </a:schemeClr>
              </a:solidFill>
              <a:round/>
            </a:ln>
            <a:effectLst/>
          </c:spPr>
        </c:majorGridlines>
        <c:numFmt formatCode="#,##0\ ;\ \-\ #,##0\ ;\ \-\ "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287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0.05512</cdr:x>
      <cdr:y>0.12842</cdr:y>
    </cdr:from>
    <cdr:to>
      <cdr:x>0.26363</cdr:x>
      <cdr:y>0.15988</cdr:y>
    </cdr:to>
    <cdr:sp macro="" textlink="">
      <cdr:nvSpPr>
        <cdr:cNvPr id="2" name="Right Brace 1">
          <a:extLst xmlns:a="http://schemas.openxmlformats.org/drawingml/2006/main">
            <a:ext uri="{FF2B5EF4-FFF2-40B4-BE49-F238E27FC236}">
              <a16:creationId xmlns:a16="http://schemas.microsoft.com/office/drawing/2014/main" xmlns="" id="{5E7A8C6F-8F56-49B9-90E9-61B5F32D4B64}"/>
            </a:ext>
          </a:extLst>
        </cdr:cNvPr>
        <cdr:cNvSpPr/>
      </cdr:nvSpPr>
      <cdr:spPr>
        <a:xfrm xmlns:a="http://schemas.openxmlformats.org/drawingml/2006/main" rot="16200000">
          <a:off x="1022532" y="-375136"/>
          <a:ext cx="69041" cy="1382958"/>
        </a:xfrm>
        <a:prstGeom xmlns:a="http://schemas.openxmlformats.org/drawingml/2006/main" prst="rightBrace">
          <a:avLst/>
        </a:prstGeom>
        <a:ln xmlns:a="http://schemas.openxmlformats.org/drawingml/2006/main" w="12700">
          <a:solidFill>
            <a:srgbClr val="00206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0.13649</cdr:x>
      <cdr:y>0.05081</cdr:y>
    </cdr:from>
    <cdr:to>
      <cdr:x>0.1953</cdr:x>
      <cdr:y>0.14662</cdr:y>
    </cdr:to>
    <cdr:sp macro="" textlink="">
      <cdr:nvSpPr>
        <cdr:cNvPr id="3" name="TextBox 4">
          <a:extLst xmlns:a="http://schemas.openxmlformats.org/drawingml/2006/main">
            <a:ext uri="{FF2B5EF4-FFF2-40B4-BE49-F238E27FC236}">
              <a16:creationId xmlns:a16="http://schemas.microsoft.com/office/drawing/2014/main" xmlns="" id="{63E495CC-F273-49D8-823E-DB7B276A928E}"/>
            </a:ext>
          </a:extLst>
        </cdr:cNvPr>
        <cdr:cNvSpPr txBox="1"/>
      </cdr:nvSpPr>
      <cdr:spPr>
        <a:xfrm xmlns:a="http://schemas.openxmlformats.org/drawingml/2006/main">
          <a:off x="905280" y="111506"/>
          <a:ext cx="390043" cy="21025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lt-LT" sz="800" b="0">
              <a:latin typeface="+mn-lt"/>
              <a:cs typeface="Times New Roman" panose="02020603050405020304" pitchFamily="18" charset="0"/>
            </a:rPr>
            <a:t>78</a:t>
          </a:r>
          <a:r>
            <a:rPr lang="en-US" sz="800" b="0">
              <a:latin typeface="+mn-lt"/>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0.52407</cdr:x>
      <cdr:y>0.04125</cdr:y>
    </cdr:from>
    <cdr:to>
      <cdr:x>0.52407</cdr:x>
      <cdr:y>0.82464</cdr:y>
    </cdr:to>
    <cdr:cxnSp macro="">
      <cdr:nvCxnSpPr>
        <cdr:cNvPr id="5" name="Straight Connector 4">
          <a:extLst xmlns:a="http://schemas.openxmlformats.org/drawingml/2006/main">
            <a:ext uri="{FF2B5EF4-FFF2-40B4-BE49-F238E27FC236}">
              <a16:creationId xmlns:a16="http://schemas.microsoft.com/office/drawing/2014/main" xmlns="" id="{8D917882-BEAF-45B8-B28A-180558501B5D}"/>
            </a:ext>
          </a:extLst>
        </cdr:cNvPr>
        <cdr:cNvCxnSpPr/>
      </cdr:nvCxnSpPr>
      <cdr:spPr>
        <a:xfrm xmlns:a="http://schemas.openxmlformats.org/drawingml/2006/main">
          <a:off x="3407684" y="110534"/>
          <a:ext cx="0" cy="2099266"/>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0.78711</cdr:x>
      <cdr:y>0.65594</cdr:y>
    </cdr:from>
    <cdr:to>
      <cdr:x>0.8252</cdr:x>
      <cdr:y>0.65594</cdr:y>
    </cdr:to>
    <cdr:cxnSp macro="">
      <cdr:nvCxnSpPr>
        <cdr:cNvPr id="4" name="Straight Connector 3"/>
        <cdr:cNvCxnSpPr/>
      </cdr:nvCxnSpPr>
      <cdr:spPr>
        <a:xfrm xmlns:a="http://schemas.openxmlformats.org/drawingml/2006/main" flipH="1">
          <a:off x="5118100" y="1682750"/>
          <a:ext cx="247650" cy="0"/>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0.83203</cdr:x>
      <cdr:y>0.63119</cdr:y>
    </cdr:from>
    <cdr:to>
      <cdr:x>0.97559</cdr:x>
      <cdr:y>0.73267</cdr:y>
    </cdr:to>
    <cdr:sp macro="" textlink="">
      <cdr:nvSpPr>
        <cdr:cNvPr id="9" name="Text Box 8"/>
        <cdr:cNvSpPr txBox="1"/>
      </cdr:nvSpPr>
      <cdr:spPr>
        <a:xfrm xmlns:a="http://schemas.openxmlformats.org/drawingml/2006/main">
          <a:off x="5410200" y="1619250"/>
          <a:ext cx="933450" cy="260350"/>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lt-LT" sz="900" dirty="0" err="1">
              <a:latin typeface="Times New Roman" panose="02020603050405020304" pitchFamily="18" charset="0"/>
              <a:cs typeface="Times New Roman" panose="02020603050405020304" pitchFamily="18" charset="0"/>
            </a:rPr>
            <a:t>Maksimali</a:t>
          </a:r>
          <a:r>
            <a:rPr lang="lt-LT" sz="900" baseline="0" dirty="0" err="1">
              <a:latin typeface="Times New Roman" panose="02020603050405020304" pitchFamily="18" charset="0"/>
              <a:cs typeface="Times New Roman" panose="02020603050405020304" pitchFamily="18" charset="0"/>
            </a:rPr>
            <a:t> reikšmė</a:t>
          </a:r>
          <a:endParaRPr lang="lt-LT" sz="9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0.8292</cdr:x>
      <cdr:y>0.19415</cdr:y>
    </cdr:from>
    <cdr:to>
      <cdr:x>0.99286</cdr:x>
      <cdr:y>0.71482</cdr:y>
    </cdr:to>
    <cdr:sp macro="" textlink="">
      <cdr:nvSpPr>
        <cdr:cNvPr id="2" name="Text Box 1"/>
        <cdr:cNvSpPr txBox="1"/>
      </cdr:nvSpPr>
      <cdr:spPr>
        <a:xfrm xmlns:a="http://schemas.openxmlformats.org/drawingml/2006/main">
          <a:off x="5391806" y="520262"/>
          <a:ext cx="1064174" cy="139524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72000" tIns="0" rIns="0" bIns="0" rtlCol="0">
          <a:noAutofit/>
        </a:bodyPr>
        <a:lstStyle xmlns:a="http://schemas.openxmlformats.org/drawingml/2006/main"/>
        <a:p xmlns:a="http://schemas.openxmlformats.org/drawingml/2006/main">
          <a:pPr indent="-274320">
            <a:spcAft>
              <a:spcPts val="900"/>
            </a:spcAft>
          </a:pPr>
          <a:r>
            <a:rPr lang="lt-LT" sz="1000" dirty="0" err="1">
              <a:latin typeface="+mn-lt"/>
            </a:rPr>
            <a:t>Investicijos</a:t>
          </a:r>
          <a:endParaRPr lang="en-US" sz="1000" dirty="0" err="1">
            <a:latin typeface="+mn-lt"/>
          </a:endParaRPr>
        </a:p>
        <a:p xmlns:a="http://schemas.openxmlformats.org/drawingml/2006/main">
          <a:pPr indent="-274320">
            <a:spcAft>
              <a:spcPts val="900"/>
            </a:spcAft>
          </a:pPr>
          <a:r>
            <a:rPr lang="en-US" sz="1000" dirty="0" err="1">
              <a:latin typeface="+mn-lt"/>
            </a:rPr>
            <a:t>Finansin</a:t>
          </a:r>
          <a:r>
            <a:rPr lang="lt-LT" sz="1000" dirty="0" err="1">
              <a:latin typeface="+mn-lt"/>
            </a:rPr>
            <a:t>ė</a:t>
          </a:r>
          <a:r>
            <a:rPr lang="lt-LT" sz="1000" baseline="0" dirty="0" err="1">
              <a:latin typeface="+mn-lt"/>
            </a:rPr>
            <a:t> </a:t>
          </a:r>
          <a:br>
            <a:rPr lang="lt-LT" sz="1000" baseline="0" dirty="0" err="1">
              <a:latin typeface="+mn-lt"/>
            </a:rPr>
          </a:br>
          <a:r>
            <a:rPr lang="lt-LT" sz="1000" baseline="0" dirty="0" err="1">
              <a:latin typeface="+mn-lt"/>
            </a:rPr>
            <a:t>nauda</a:t>
          </a:r>
        </a:p>
        <a:p xmlns:a="http://schemas.openxmlformats.org/drawingml/2006/main">
          <a:pPr indent="-274320">
            <a:spcAft>
              <a:spcPts val="900"/>
            </a:spcAft>
          </a:pPr>
          <a:r>
            <a:rPr lang="lt-LT" sz="1000" baseline="0" dirty="0" err="1">
              <a:latin typeface="+mn-lt"/>
            </a:rPr>
            <a:t>Ekonominė nauda</a:t>
          </a:r>
        </a:p>
        <a:p xmlns:a="http://schemas.openxmlformats.org/drawingml/2006/main">
          <a:pPr indent="-274320">
            <a:spcAft>
              <a:spcPts val="900"/>
            </a:spcAft>
          </a:pPr>
          <a:r>
            <a:rPr lang="lt-LT" sz="1000" baseline="0" dirty="0" err="1">
              <a:latin typeface="+mn-lt"/>
            </a:rPr>
            <a:t>Maksimali reikšmė</a:t>
          </a:r>
        </a:p>
      </cdr:txBody>
    </cdr:sp>
  </cdr:relSizeAnchor>
</c:userShapes>
</file>

<file path=word/drawings/drawing3.xml><?xml version="1.0" encoding="utf-8"?>
<c:userShapes xmlns:c="http://schemas.openxmlformats.org/drawingml/2006/chart">
  <cdr:relSizeAnchor xmlns:cdr="http://schemas.openxmlformats.org/drawingml/2006/chartDrawing">
    <cdr:from>
      <cdr:x>0.0915</cdr:x>
      <cdr:y>0.6722</cdr:y>
    </cdr:from>
    <cdr:to>
      <cdr:x>0.30804</cdr:x>
      <cdr:y>0.6722</cdr:y>
    </cdr:to>
    <cdr:cxnSp macro="">
      <cdr:nvCxnSpPr>
        <cdr:cNvPr id="2" name="Straight Connector 1">
          <a:extLst xmlns:a="http://schemas.openxmlformats.org/drawingml/2006/main">
            <a:ext uri="{FF2B5EF4-FFF2-40B4-BE49-F238E27FC236}">
              <a16:creationId xmlns:a16="http://schemas.microsoft.com/office/drawing/2014/main" xmlns="" id="{55C787ED-C8BD-4AAB-877E-2CCD38D40E67}"/>
            </a:ext>
          </a:extLst>
        </cdr:cNvPr>
        <cdr:cNvCxnSpPr/>
      </cdr:nvCxnSpPr>
      <cdr:spPr>
        <a:xfrm xmlns:a="http://schemas.openxmlformats.org/drawingml/2006/main" flipH="1">
          <a:off x="592876" y="1912701"/>
          <a:ext cx="1403080" cy="0"/>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0.30852</cdr:x>
      <cdr:y>0.67447</cdr:y>
    </cdr:from>
    <cdr:to>
      <cdr:x>0.30852</cdr:x>
      <cdr:y>0.87853</cdr:y>
    </cdr:to>
    <cdr:cxnSp macro="">
      <cdr:nvCxnSpPr>
        <cdr:cNvPr id="3" name="Straight Connector 2">
          <a:extLst xmlns:a="http://schemas.openxmlformats.org/drawingml/2006/main">
            <a:ext uri="{FF2B5EF4-FFF2-40B4-BE49-F238E27FC236}">
              <a16:creationId xmlns:a16="http://schemas.microsoft.com/office/drawing/2014/main" xmlns="" id="{6382A765-D8DC-4731-9F0C-AEFA2313703A}"/>
            </a:ext>
          </a:extLst>
        </cdr:cNvPr>
        <cdr:cNvCxnSpPr/>
      </cdr:nvCxnSpPr>
      <cdr:spPr>
        <a:xfrm xmlns:a="http://schemas.openxmlformats.org/drawingml/2006/main">
          <a:off x="1999066" y="1919161"/>
          <a:ext cx="0" cy="580639"/>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0.26005</cdr:x>
      <cdr:y>0.57355</cdr:y>
    </cdr:from>
    <cdr:to>
      <cdr:x>0.3064</cdr:x>
      <cdr:y>0.62068</cdr:y>
    </cdr:to>
    <cdr:sp macro="" textlink="">
      <cdr:nvSpPr>
        <cdr:cNvPr id="4" name="TextBox 29">
          <a:extLst xmlns:a="http://schemas.openxmlformats.org/drawingml/2006/main">
            <a:ext uri="{FF2B5EF4-FFF2-40B4-BE49-F238E27FC236}">
              <a16:creationId xmlns:a16="http://schemas.microsoft.com/office/drawing/2014/main" xmlns="" id="{26BC5D1D-656E-43C4-9969-999AB34A15D1}"/>
            </a:ext>
          </a:extLst>
        </cdr:cNvPr>
        <cdr:cNvSpPr txBox="1"/>
      </cdr:nvSpPr>
      <cdr:spPr>
        <a:xfrm xmlns:a="http://schemas.openxmlformats.org/drawingml/2006/main">
          <a:off x="1685005" y="1523469"/>
          <a:ext cx="300327" cy="1251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800" b="1">
              <a:solidFill>
                <a:schemeClr val="tx1">
                  <a:lumMod val="95000"/>
                  <a:lumOff val="5000"/>
                </a:schemeClr>
              </a:solidFill>
            </a:rPr>
            <a:t>30,8</a:t>
          </a:r>
          <a:r>
            <a:rPr lang="lt-LT" sz="800" b="1">
              <a:solidFill>
                <a:schemeClr val="bg1">
                  <a:lumMod val="50000"/>
                </a:schemeClr>
              </a:solidFill>
            </a:rPr>
            <a:t>%</a:t>
          </a:r>
          <a:endParaRPr lang="en-US" sz="1100" b="1">
            <a:solidFill>
              <a:schemeClr val="bg1">
                <a:lumMod val="50000"/>
              </a:schemeClr>
            </a:solidFill>
          </a:endParaRPr>
        </a:p>
      </cdr:txBody>
    </cdr:sp>
  </cdr:relSizeAnchor>
  <cdr:relSizeAnchor xmlns:cdr="http://schemas.openxmlformats.org/drawingml/2006/chartDrawing">
    <cdr:from>
      <cdr:x>0.09839</cdr:x>
      <cdr:y>0.78661</cdr:y>
    </cdr:from>
    <cdr:to>
      <cdr:x>0.21381</cdr:x>
      <cdr:y>0.78661</cdr:y>
    </cdr:to>
    <cdr:cxnSp macro="">
      <cdr:nvCxnSpPr>
        <cdr:cNvPr id="7" name="Straight Connector 6">
          <a:extLst xmlns:a="http://schemas.openxmlformats.org/drawingml/2006/main">
            <a:ext uri="{FF2B5EF4-FFF2-40B4-BE49-F238E27FC236}">
              <a16:creationId xmlns:a16="http://schemas.microsoft.com/office/drawing/2014/main" xmlns="" id="{71170F82-8379-456F-B95D-50B1C68D6746}"/>
            </a:ext>
          </a:extLst>
        </cdr:cNvPr>
        <cdr:cNvCxnSpPr/>
      </cdr:nvCxnSpPr>
      <cdr:spPr>
        <a:xfrm xmlns:a="http://schemas.openxmlformats.org/drawingml/2006/main" flipH="1">
          <a:off x="637533" y="2238253"/>
          <a:ext cx="747869" cy="0"/>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0.21318</cdr:x>
      <cdr:y>0.78839</cdr:y>
    </cdr:from>
    <cdr:to>
      <cdr:x>0.21318</cdr:x>
      <cdr:y>0.87613</cdr:y>
    </cdr:to>
    <cdr:cxnSp macro="">
      <cdr:nvCxnSpPr>
        <cdr:cNvPr id="8" name="Straight Connector 7">
          <a:extLst xmlns:a="http://schemas.openxmlformats.org/drawingml/2006/main">
            <a:ext uri="{FF2B5EF4-FFF2-40B4-BE49-F238E27FC236}">
              <a16:creationId xmlns:a16="http://schemas.microsoft.com/office/drawing/2014/main" xmlns="" id="{91400F64-0587-4242-84B1-F45F1510F4EE}"/>
            </a:ext>
          </a:extLst>
        </cdr:cNvPr>
        <cdr:cNvCxnSpPr/>
      </cdr:nvCxnSpPr>
      <cdr:spPr>
        <a:xfrm xmlns:a="http://schemas.openxmlformats.org/drawingml/2006/main">
          <a:off x="1381320" y="2243318"/>
          <a:ext cx="0" cy="249658"/>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0.1602</cdr:x>
      <cdr:y>0.69161</cdr:y>
    </cdr:from>
    <cdr:to>
      <cdr:x>0.21125</cdr:x>
      <cdr:y>0.73756</cdr:y>
    </cdr:to>
    <cdr:sp macro="" textlink="">
      <cdr:nvSpPr>
        <cdr:cNvPr id="9" name="TextBox 28">
          <a:extLst xmlns:a="http://schemas.openxmlformats.org/drawingml/2006/main">
            <a:ext uri="{FF2B5EF4-FFF2-40B4-BE49-F238E27FC236}">
              <a16:creationId xmlns:a16="http://schemas.microsoft.com/office/drawing/2014/main" xmlns="" id="{2275A8E1-5488-487F-BAFB-5E1DE2BBFA35}"/>
            </a:ext>
          </a:extLst>
        </cdr:cNvPr>
        <cdr:cNvSpPr txBox="1"/>
      </cdr:nvSpPr>
      <cdr:spPr>
        <a:xfrm xmlns:a="http://schemas.openxmlformats.org/drawingml/2006/main">
          <a:off x="1038023" y="1837049"/>
          <a:ext cx="330780" cy="1220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800" b="1">
              <a:solidFill>
                <a:sysClr val="windowText" lastClr="000000"/>
              </a:solidFill>
            </a:rPr>
            <a:t>17,3%</a:t>
          </a:r>
          <a:endParaRPr lang="en-US" sz="800" b="1">
            <a:solidFill>
              <a:sysClr val="windowText" lastClr="000000"/>
            </a:solidFill>
          </a:endParaRPr>
        </a:p>
      </cdr:txBody>
    </cdr:sp>
  </cdr:relSizeAnchor>
  <cdr:relSizeAnchor xmlns:cdr="http://schemas.openxmlformats.org/drawingml/2006/chartDrawing">
    <cdr:from>
      <cdr:x>0.1476</cdr:x>
      <cdr:y>0.84997</cdr:y>
    </cdr:from>
    <cdr:to>
      <cdr:x>0.1476</cdr:x>
      <cdr:y>0.88178</cdr:y>
    </cdr:to>
    <cdr:cxnSp macro="">
      <cdr:nvCxnSpPr>
        <cdr:cNvPr id="13" name="Straight Connector 12">
          <a:extLst xmlns:a="http://schemas.openxmlformats.org/drawingml/2006/main">
            <a:ext uri="{FF2B5EF4-FFF2-40B4-BE49-F238E27FC236}">
              <a16:creationId xmlns:a16="http://schemas.microsoft.com/office/drawing/2014/main" xmlns="" id="{879106AB-46A0-4D12-B46E-E34979254758}"/>
            </a:ext>
          </a:extLst>
        </cdr:cNvPr>
        <cdr:cNvCxnSpPr/>
      </cdr:nvCxnSpPr>
      <cdr:spPr>
        <a:xfrm xmlns:a="http://schemas.openxmlformats.org/drawingml/2006/main">
          <a:off x="956412" y="2418534"/>
          <a:ext cx="0" cy="90514"/>
        </a:xfrm>
        <a:prstGeom xmlns:a="http://schemas.openxmlformats.org/drawingml/2006/main" prst="line">
          <a:avLst/>
        </a:prstGeom>
        <a:ln xmlns:a="http://schemas.openxmlformats.org/drawingml/2006/main" w="19050">
          <a:solidFill>
            <a:schemeClr val="accent4"/>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0.0979</cdr:x>
      <cdr:y>0.84809</cdr:y>
    </cdr:from>
    <cdr:to>
      <cdr:x>0.14761</cdr:x>
      <cdr:y>0.84809</cdr:y>
    </cdr:to>
    <cdr:cxnSp macro="">
      <cdr:nvCxnSpPr>
        <cdr:cNvPr id="14" name="Straight Connector 13">
          <a:extLst xmlns:a="http://schemas.openxmlformats.org/drawingml/2006/main">
            <a:ext uri="{FF2B5EF4-FFF2-40B4-BE49-F238E27FC236}">
              <a16:creationId xmlns:a16="http://schemas.microsoft.com/office/drawing/2014/main" xmlns="" id="{E4E27FD1-3246-46F6-A0DB-4C167DA1AED4}"/>
            </a:ext>
          </a:extLst>
        </cdr:cNvPr>
        <cdr:cNvCxnSpPr/>
      </cdr:nvCxnSpPr>
      <cdr:spPr>
        <a:xfrm xmlns:a="http://schemas.openxmlformats.org/drawingml/2006/main" flipH="1">
          <a:off x="634379" y="2413185"/>
          <a:ext cx="322098" cy="0"/>
        </a:xfrm>
        <a:prstGeom xmlns:a="http://schemas.openxmlformats.org/drawingml/2006/main" prst="line">
          <a:avLst/>
        </a:prstGeom>
        <a:ln xmlns:a="http://schemas.openxmlformats.org/drawingml/2006/main" w="19050">
          <a:solidFill>
            <a:schemeClr val="accent4"/>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0.10211</cdr:x>
      <cdr:y>0.77526</cdr:y>
    </cdr:from>
    <cdr:to>
      <cdr:x>0.15383</cdr:x>
      <cdr:y>0.81519</cdr:y>
    </cdr:to>
    <cdr:sp macro="" textlink="">
      <cdr:nvSpPr>
        <cdr:cNvPr id="15" name="TextBox 23">
          <a:extLst xmlns:a="http://schemas.openxmlformats.org/drawingml/2006/main">
            <a:ext uri="{FF2B5EF4-FFF2-40B4-BE49-F238E27FC236}">
              <a16:creationId xmlns:a16="http://schemas.microsoft.com/office/drawing/2014/main" xmlns="" id="{3038C8B4-1FD9-4A6D-9B73-2CB44973D433}"/>
            </a:ext>
          </a:extLst>
        </cdr:cNvPr>
        <cdr:cNvSpPr txBox="1"/>
      </cdr:nvSpPr>
      <cdr:spPr>
        <a:xfrm xmlns:a="http://schemas.openxmlformats.org/drawingml/2006/main">
          <a:off x="661626" y="2059256"/>
          <a:ext cx="335122" cy="106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800" b="1">
              <a:solidFill>
                <a:sysClr val="windowText" lastClr="000000"/>
              </a:solidFill>
            </a:rPr>
            <a:t>7,4%</a:t>
          </a:r>
          <a:endParaRPr lang="en-US" sz="800" b="1">
            <a:solidFill>
              <a:sysClr val="windowText" lastClr="000000"/>
            </a:solidFill>
          </a:endParaRPr>
        </a:p>
      </cdr:txBody>
    </cdr:sp>
  </cdr:relSizeAnchor>
  <cdr:relSizeAnchor xmlns:cdr="http://schemas.openxmlformats.org/drawingml/2006/chartDrawing">
    <cdr:from>
      <cdr:x>0.86133</cdr:x>
      <cdr:y>0.14252</cdr:y>
    </cdr:from>
    <cdr:to>
      <cdr:x>0.99635</cdr:x>
      <cdr:y>0.71751</cdr:y>
    </cdr:to>
    <cdr:sp macro="" textlink="">
      <cdr:nvSpPr>
        <cdr:cNvPr id="11" name="Text Box 1"/>
        <cdr:cNvSpPr txBox="1"/>
      </cdr:nvSpPr>
      <cdr:spPr>
        <a:xfrm xmlns:a="http://schemas.openxmlformats.org/drawingml/2006/main">
          <a:off x="5580994" y="405524"/>
          <a:ext cx="874898" cy="163611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7200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mn-lt"/>
            </a:rPr>
            <a:t>Investicijos</a:t>
          </a:r>
          <a:r>
            <a:rPr lang="en-US" sz="900" dirty="0" err="1">
              <a:latin typeface="+mn-lt"/>
            </a:rPr>
            <a:t/>
          </a:r>
          <a:br>
            <a:rPr lang="en-US" sz="900" dirty="0" err="1">
              <a:latin typeface="+mn-lt"/>
            </a:rPr>
          </a:br>
          <a:r>
            <a:rPr lang="en-US" sz="900" dirty="0" err="1">
              <a:latin typeface="+mn-lt"/>
            </a:rPr>
            <a:t/>
          </a:r>
          <a:br>
            <a:rPr lang="en-US" sz="900" dirty="0" err="1">
              <a:latin typeface="+mn-lt"/>
            </a:rPr>
          </a:b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47 </a:t>
          </a:r>
          <a:r>
            <a:rPr lang="en-US" sz="900" baseline="0" dirty="0" err="1">
              <a:latin typeface="Arial" panose="020B0604020202020204" pitchFamily="34" charset="0"/>
              <a:cs typeface="Arial" panose="020B0604020202020204" pitchFamily="34" charset="0"/>
            </a:rPr>
            <a:t>€/MWh)</a:t>
          </a:r>
          <a:endParaRPr lang="lt-LT" sz="900" baseline="0" dirty="0" err="1">
            <a:latin typeface="+mn-lt"/>
          </a:endParaRPr>
        </a:p>
        <a:p xmlns:a="http://schemas.openxmlformats.org/drawingml/2006/main">
          <a:pPr indent="-274320">
            <a:spcAft>
              <a:spcPts val="900"/>
            </a:spcAft>
          </a:pP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51 </a:t>
          </a:r>
          <a:r>
            <a:rPr lang="en-US" sz="900" baseline="0" dirty="0" err="1">
              <a:latin typeface="Arial" panose="020B0604020202020204" pitchFamily="34" charset="0"/>
              <a:cs typeface="Arial" panose="020B0604020202020204" pitchFamily="34" charset="0"/>
            </a:rPr>
            <a:t>€/MWh)</a:t>
          </a:r>
        </a:p>
        <a:p xmlns:a="http://schemas.openxmlformats.org/drawingml/2006/main">
          <a:pPr marL="0" marR="0" lvl="0" indent="-274320" defTabSz="914400" eaLnBrk="1" fontAlgn="auto" latinLnBrk="0" hangingPunct="1">
            <a:lnSpc>
              <a:spcPct val="100000"/>
            </a:lnSpc>
            <a:spcBef>
              <a:spcPts val="0"/>
            </a:spcBef>
            <a:spcAft>
              <a:spcPts val="900"/>
            </a:spcAft>
            <a:buClrTx/>
            <a:buSzTx/>
            <a:buFontTx/>
            <a:buNone/>
            <a:tabLst/>
            <a:defRPr/>
          </a:pP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64 </a:t>
          </a:r>
          <a:r>
            <a:rPr lang="en-US" sz="900" baseline="0" dirty="0" err="1">
              <a:latin typeface="Arial" panose="020B0604020202020204" pitchFamily="34" charset="0"/>
              <a:cs typeface="Arial" panose="020B0604020202020204" pitchFamily="34" charset="0"/>
            </a:rPr>
            <a:t>€/MWh)</a:t>
          </a:r>
          <a:endParaRPr lang="lt-LT" sz="900" baseline="0" dirty="0" err="1">
            <a:latin typeface="Arial" panose="020B0604020202020204" pitchFamily="34" charset="0"/>
            <a:cs typeface="Arial" panose="020B0604020202020204" pitchFamily="34" charset="0"/>
          </a:endParaRPr>
        </a:p>
        <a:p xmlns:a="http://schemas.openxmlformats.org/drawingml/2006/main">
          <a:pPr marL="0" marR="0" lvl="0" indent="-274320" defTabSz="914400" eaLnBrk="1" fontAlgn="auto" latinLnBrk="0" hangingPunct="1">
            <a:lnSpc>
              <a:spcPct val="100000"/>
            </a:lnSpc>
            <a:spcBef>
              <a:spcPts val="0"/>
            </a:spcBef>
            <a:spcAft>
              <a:spcPts val="900"/>
            </a:spcAft>
            <a:buClrTx/>
            <a:buSzTx/>
            <a:buFontTx/>
            <a:buNone/>
            <a:tabLst/>
            <a:defRPr/>
          </a:pPr>
          <a:r>
            <a:rPr lang="lt-LT" sz="900" baseline="0" dirty="0" err="1">
              <a:latin typeface="+mn-lt"/>
            </a:rPr>
            <a:t>Maksimali reikšmė</a:t>
          </a:r>
        </a:p>
      </cdr:txBody>
    </cdr:sp>
  </cdr:relSizeAnchor>
  <cdr:relSizeAnchor xmlns:cdr="http://schemas.openxmlformats.org/drawingml/2006/chartDrawing">
    <cdr:from>
      <cdr:x>0.54552</cdr:x>
      <cdr:y>0.03347</cdr:y>
    </cdr:from>
    <cdr:to>
      <cdr:x>0.54552</cdr:x>
      <cdr:y>0.88373</cdr:y>
    </cdr:to>
    <cdr:cxnSp macro="">
      <cdr:nvCxnSpPr>
        <cdr:cNvPr id="12" name="Straight Connector 11"/>
        <cdr:cNvCxnSpPr/>
      </cdr:nvCxnSpPr>
      <cdr:spPr>
        <a:xfrm xmlns:a="http://schemas.openxmlformats.org/drawingml/2006/main">
          <a:off x="3534713" y="95250"/>
          <a:ext cx="0" cy="2419350"/>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0.81831</cdr:x>
      <cdr:y>0.79627</cdr:y>
    </cdr:from>
    <cdr:to>
      <cdr:x>0.85653</cdr:x>
      <cdr:y>0.79627</cdr:y>
    </cdr:to>
    <cdr:cxnSp macro="">
      <cdr:nvCxnSpPr>
        <cdr:cNvPr id="16" name="Straight Connector 15"/>
        <cdr:cNvCxnSpPr/>
      </cdr:nvCxnSpPr>
      <cdr:spPr>
        <a:xfrm xmlns:a="http://schemas.openxmlformats.org/drawingml/2006/main" flipH="1">
          <a:off x="5302254" y="2265722"/>
          <a:ext cx="247676" cy="0"/>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0.11374</cdr:x>
      <cdr:y>0.71419</cdr:y>
    </cdr:from>
    <cdr:to>
      <cdr:x>0.33028</cdr:x>
      <cdr:y>0.71419</cdr:y>
    </cdr:to>
    <cdr:cxnSp macro="">
      <cdr:nvCxnSpPr>
        <cdr:cNvPr id="2" name="Straight Connector 1">
          <a:extLst xmlns:a="http://schemas.openxmlformats.org/drawingml/2006/main">
            <a:ext uri="{FF2B5EF4-FFF2-40B4-BE49-F238E27FC236}">
              <a16:creationId xmlns:a16="http://schemas.microsoft.com/office/drawing/2014/main" xmlns="" id="{55C787ED-C8BD-4AAB-877E-2CCD38D40E67}"/>
            </a:ext>
          </a:extLst>
        </cdr:cNvPr>
        <cdr:cNvCxnSpPr/>
      </cdr:nvCxnSpPr>
      <cdr:spPr>
        <a:xfrm xmlns:a="http://schemas.openxmlformats.org/drawingml/2006/main" flipH="1">
          <a:off x="692463" y="1885701"/>
          <a:ext cx="1318378" cy="0"/>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0.32973</cdr:x>
      <cdr:y>0.71482</cdr:y>
    </cdr:from>
    <cdr:to>
      <cdr:x>0.32973</cdr:x>
      <cdr:y>0.85763</cdr:y>
    </cdr:to>
    <cdr:cxnSp macro="">
      <cdr:nvCxnSpPr>
        <cdr:cNvPr id="3" name="Straight Connector 2">
          <a:extLst xmlns:a="http://schemas.openxmlformats.org/drawingml/2006/main">
            <a:ext uri="{FF2B5EF4-FFF2-40B4-BE49-F238E27FC236}">
              <a16:creationId xmlns:a16="http://schemas.microsoft.com/office/drawing/2014/main" xmlns="" id="{6382A765-D8DC-4731-9F0C-AEFA2313703A}"/>
            </a:ext>
          </a:extLst>
        </cdr:cNvPr>
        <cdr:cNvCxnSpPr/>
      </cdr:nvCxnSpPr>
      <cdr:spPr>
        <a:xfrm xmlns:a="http://schemas.openxmlformats.org/drawingml/2006/main">
          <a:off x="2007493" y="1887365"/>
          <a:ext cx="0" cy="377065"/>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0.13838</cdr:x>
      <cdr:y>0.63552</cdr:y>
    </cdr:from>
    <cdr:to>
      <cdr:x>0.18473</cdr:x>
      <cdr:y>0.68265</cdr:y>
    </cdr:to>
    <cdr:sp macro="" textlink="">
      <cdr:nvSpPr>
        <cdr:cNvPr id="4" name="TextBox 29">
          <a:extLst xmlns:a="http://schemas.openxmlformats.org/drawingml/2006/main">
            <a:ext uri="{FF2B5EF4-FFF2-40B4-BE49-F238E27FC236}">
              <a16:creationId xmlns:a16="http://schemas.microsoft.com/office/drawing/2014/main" xmlns="" id="{26BC5D1D-656E-43C4-9969-999AB34A15D1}"/>
            </a:ext>
          </a:extLst>
        </cdr:cNvPr>
        <cdr:cNvSpPr txBox="1"/>
      </cdr:nvSpPr>
      <cdr:spPr>
        <a:xfrm xmlns:a="http://schemas.openxmlformats.org/drawingml/2006/main">
          <a:off x="842529" y="1677985"/>
          <a:ext cx="282196" cy="1244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800" b="1">
              <a:solidFill>
                <a:schemeClr val="tx1">
                  <a:lumMod val="95000"/>
                  <a:lumOff val="5000"/>
                </a:schemeClr>
              </a:solidFill>
            </a:rPr>
            <a:t>30,8</a:t>
          </a:r>
          <a:r>
            <a:rPr lang="lt-LT" sz="800" b="1">
              <a:solidFill>
                <a:schemeClr val="bg1">
                  <a:lumMod val="50000"/>
                </a:schemeClr>
              </a:solidFill>
            </a:rPr>
            <a:t>%</a:t>
          </a:r>
          <a:endParaRPr lang="en-US" sz="1100" b="1">
            <a:solidFill>
              <a:schemeClr val="bg1">
                <a:lumMod val="50000"/>
              </a:schemeClr>
            </a:solidFill>
          </a:endParaRPr>
        </a:p>
      </cdr:txBody>
    </cdr:sp>
  </cdr:relSizeAnchor>
  <cdr:relSizeAnchor xmlns:cdr="http://schemas.openxmlformats.org/drawingml/2006/chartDrawing">
    <cdr:from>
      <cdr:x>0.86876</cdr:x>
      <cdr:y>0.16089</cdr:y>
    </cdr:from>
    <cdr:to>
      <cdr:x>0.99871</cdr:x>
      <cdr:y>0.9285</cdr:y>
    </cdr:to>
    <cdr:sp macro="" textlink="">
      <cdr:nvSpPr>
        <cdr:cNvPr id="5" name="Text Box 1"/>
        <cdr:cNvSpPr txBox="1"/>
      </cdr:nvSpPr>
      <cdr:spPr>
        <a:xfrm xmlns:a="http://schemas.openxmlformats.org/drawingml/2006/main">
          <a:off x="5289331" y="424792"/>
          <a:ext cx="791166" cy="202674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7200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mn-lt"/>
            </a:rPr>
            <a:t>Investicijos</a:t>
          </a:r>
          <a:br>
            <a:rPr lang="lt-LT" sz="900" dirty="0" err="1">
              <a:latin typeface="+mn-lt"/>
            </a:rPr>
          </a:br>
          <a:r>
            <a:rPr lang="en-US" sz="900" dirty="0" err="1">
              <a:latin typeface="+mn-lt"/>
            </a:rPr>
            <a:t/>
          </a:r>
          <a:br>
            <a:rPr lang="en-US" sz="900" dirty="0" err="1">
              <a:latin typeface="+mn-lt"/>
            </a:rPr>
          </a:br>
          <a:r>
            <a:rPr lang="en-US" sz="900" dirty="0" err="1">
              <a:latin typeface="+mn-lt"/>
            </a:rPr>
            <a:t/>
          </a:r>
          <a:br>
            <a:rPr lang="en-US" sz="900" dirty="0" err="1">
              <a:latin typeface="+mn-lt"/>
            </a:rPr>
          </a:b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64 </a:t>
          </a:r>
          <a:r>
            <a:rPr lang="en-US" sz="900" baseline="0" dirty="0" err="1">
              <a:latin typeface="Arial" panose="020B0604020202020204" pitchFamily="34" charset="0"/>
              <a:cs typeface="Arial" panose="020B0604020202020204" pitchFamily="34" charset="0"/>
            </a:rPr>
            <a:t>€/MWh)</a:t>
          </a:r>
          <a:endParaRPr lang="lt-LT" sz="900" baseline="0" dirty="0" err="1">
            <a:latin typeface="Arial" panose="020B0604020202020204" pitchFamily="34" charset="0"/>
            <a:cs typeface="Arial" panose="020B0604020202020204" pitchFamily="34" charset="0"/>
          </a:endParaRPr>
        </a:p>
        <a:p xmlns:a="http://schemas.openxmlformats.org/drawingml/2006/main">
          <a:pPr indent="-274320">
            <a:spcAft>
              <a:spcPts val="900"/>
            </a:spcAft>
          </a:pPr>
          <a:r>
            <a:rPr lang="lt-LT" sz="900" dirty="0" err="1">
              <a:latin typeface="+mn-lt"/>
            </a:rPr>
            <a:t/>
          </a:r>
          <a:br>
            <a:rPr lang="lt-LT" sz="900" dirty="0" err="1">
              <a:latin typeface="+mn-lt"/>
            </a:rPr>
          </a:br>
          <a:r>
            <a:rPr lang="lt-LT" sz="900" dirty="0" err="1">
              <a:latin typeface="+mn-lt"/>
            </a:rPr>
            <a:t>Ekonominė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64 </a:t>
          </a:r>
          <a:r>
            <a:rPr lang="en-US" sz="900" baseline="0" dirty="0" err="1">
              <a:latin typeface="Arial" panose="020B0604020202020204" pitchFamily="34" charset="0"/>
              <a:cs typeface="Arial" panose="020B0604020202020204" pitchFamily="34" charset="0"/>
            </a:rPr>
            <a:t>€/MWh)</a:t>
          </a:r>
        </a:p>
        <a:p xmlns:a="http://schemas.openxmlformats.org/drawingml/2006/main">
          <a:pPr indent="-274320">
            <a:spcAft>
              <a:spcPts val="900"/>
            </a:spcAft>
          </a:pPr>
          <a:r>
            <a:rPr lang="en-US" sz="900" baseline="0" dirty="0" err="1">
              <a:latin typeface="Arial" panose="020B0604020202020204" pitchFamily="34" charset="0"/>
              <a:cs typeface="Arial" panose="020B0604020202020204" pitchFamily="34" charset="0"/>
            </a:rPr>
            <a:t>Maksimali ekonomin</a:t>
          </a:r>
          <a:r>
            <a:rPr lang="lt-LT" sz="900" baseline="0" dirty="0" err="1">
              <a:latin typeface="Arial" panose="020B0604020202020204" pitchFamily="34" charset="0"/>
              <a:cs typeface="Arial" panose="020B0604020202020204" pitchFamily="34" charset="0"/>
            </a:rPr>
            <a:t>ė grąža</a:t>
          </a:r>
          <a:endParaRPr lang="lt-LT" sz="900" baseline="0" dirty="0" err="1">
            <a:latin typeface="+mn-l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0.18774</cdr:x>
      <cdr:y>0.52512</cdr:y>
    </cdr:from>
    <cdr:to>
      <cdr:x>0.21323</cdr:x>
      <cdr:y>0.86826</cdr:y>
    </cdr:to>
    <cdr:sp macro="" textlink="">
      <cdr:nvSpPr>
        <cdr:cNvPr id="2" name="TextBox 1">
          <a:extLst xmlns:a="http://schemas.openxmlformats.org/drawingml/2006/main">
            <a:ext uri="{FF2B5EF4-FFF2-40B4-BE49-F238E27FC236}">
              <a16:creationId xmlns="" xmlns:a16="http://schemas.microsoft.com/office/drawing/2014/main" id="{00BC4737-0B37-4F68-AE1C-8F576B0AD8F4}"/>
            </a:ext>
          </a:extLst>
        </cdr:cNvPr>
        <cdr:cNvSpPr txBox="1"/>
      </cdr:nvSpPr>
      <cdr:spPr>
        <a:xfrm xmlns:a="http://schemas.openxmlformats.org/drawingml/2006/main" rot="16200000">
          <a:off x="1004741" y="3704456"/>
          <a:ext cx="1885536"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latin typeface="Arial" panose="020B0604020202020204" pitchFamily="34" charset="0"/>
              <a:cs typeface="Arial" panose="020B0604020202020204" pitchFamily="34" charset="0"/>
            </a:rPr>
            <a:t>1. Klimato kaita</a:t>
          </a:r>
        </a:p>
      </cdr:txBody>
    </cdr:sp>
  </cdr:relSizeAnchor>
  <cdr:relSizeAnchor xmlns:cdr="http://schemas.openxmlformats.org/drawingml/2006/chartDrawing">
    <cdr:from>
      <cdr:x>0.24359</cdr:x>
      <cdr:y>0.25925</cdr:y>
    </cdr:from>
    <cdr:to>
      <cdr:x>0.27775</cdr:x>
      <cdr:y>0.87536</cdr:y>
    </cdr:to>
    <cdr:sp macro="" textlink="">
      <cdr:nvSpPr>
        <cdr:cNvPr id="3" name="TextBox 1">
          <a:extLst xmlns:a="http://schemas.openxmlformats.org/drawingml/2006/main">
            <a:ext uri="{FF2B5EF4-FFF2-40B4-BE49-F238E27FC236}">
              <a16:creationId xmlns="" xmlns:a16="http://schemas.microsoft.com/office/drawing/2014/main" id="{228DBED2-40E4-4CA4-942F-8DB0D11355F4}"/>
            </a:ext>
          </a:extLst>
        </cdr:cNvPr>
        <cdr:cNvSpPr txBox="1"/>
      </cdr:nvSpPr>
      <cdr:spPr>
        <a:xfrm xmlns:a="http://schemas.openxmlformats.org/drawingml/2006/main" rot="16200000">
          <a:off x="709613" y="1662112"/>
          <a:ext cx="1924050" cy="21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Arial" panose="020B0604020202020204" pitchFamily="34" charset="0"/>
              <a:cs typeface="Arial" panose="020B0604020202020204" pitchFamily="34" charset="0"/>
            </a:rPr>
            <a:t>2. Natūralus</a:t>
          </a:r>
          <a:r>
            <a:rPr lang="lt-LT" sz="1000" baseline="0">
              <a:latin typeface="Arial" panose="020B0604020202020204" pitchFamily="34" charset="0"/>
              <a:cs typeface="Arial" panose="020B0604020202020204" pitchFamily="34" charset="0"/>
            </a:rPr>
            <a:t> mažėjimas</a:t>
          </a:r>
          <a:endParaRPr lang="lt-LT"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0.30429</cdr:x>
      <cdr:y>0.505</cdr:y>
    </cdr:from>
    <cdr:to>
      <cdr:x>0.32979</cdr:x>
      <cdr:y>0.86615</cdr:y>
    </cdr:to>
    <cdr:sp macro="" textlink="">
      <cdr:nvSpPr>
        <cdr:cNvPr id="4" name="TextBox 1">
          <a:extLst xmlns:a="http://schemas.openxmlformats.org/drawingml/2006/main">
            <a:ext uri="{FF2B5EF4-FFF2-40B4-BE49-F238E27FC236}">
              <a16:creationId xmlns="" xmlns:a16="http://schemas.microsoft.com/office/drawing/2014/main" id="{6AAA2E80-F9F8-4C4E-87D2-B4BF70982341}"/>
            </a:ext>
          </a:extLst>
        </cdr:cNvPr>
        <cdr:cNvSpPr txBox="1"/>
      </cdr:nvSpPr>
      <cdr:spPr>
        <a:xfrm xmlns:a="http://schemas.openxmlformats.org/drawingml/2006/main" rot="16200000">
          <a:off x="2087488" y="3643388"/>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Arial" panose="020B0604020202020204" pitchFamily="34" charset="0"/>
              <a:cs typeface="Arial" panose="020B0604020202020204" pitchFamily="34" charset="0"/>
            </a:rPr>
            <a:t>DGB (≤D)</a:t>
          </a:r>
        </a:p>
      </cdr:txBody>
    </cdr:sp>
  </cdr:relSizeAnchor>
  <cdr:relSizeAnchor xmlns:cdr="http://schemas.openxmlformats.org/drawingml/2006/chartDrawing">
    <cdr:from>
      <cdr:x>0.36214</cdr:x>
      <cdr:y>0.44885</cdr:y>
    </cdr:from>
    <cdr:to>
      <cdr:x>0.38764</cdr:x>
      <cdr:y>0.86826</cdr:y>
    </cdr:to>
    <cdr:sp macro="" textlink="">
      <cdr:nvSpPr>
        <cdr:cNvPr id="5" name="TextBox 1">
          <a:extLst xmlns:a="http://schemas.openxmlformats.org/drawingml/2006/main">
            <a:ext uri="{FF2B5EF4-FFF2-40B4-BE49-F238E27FC236}">
              <a16:creationId xmlns="" xmlns:a16="http://schemas.microsoft.com/office/drawing/2014/main" id="{C50D8DBB-C554-4176-972A-269B3FBB642A}"/>
            </a:ext>
          </a:extLst>
        </cdr:cNvPr>
        <cdr:cNvSpPr txBox="1"/>
      </cdr:nvSpPr>
      <cdr:spPr>
        <a:xfrm xmlns:a="http://schemas.openxmlformats.org/drawingml/2006/main" rot="16200000">
          <a:off x="2489407" y="3494907"/>
          <a:ext cx="2304637"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0.42379</cdr:x>
      <cdr:y>0.50605</cdr:y>
    </cdr:from>
    <cdr:to>
      <cdr:x>0.44928</cdr:x>
      <cdr:y>0.86721</cdr:y>
    </cdr:to>
    <cdr:sp macro="" textlink="">
      <cdr:nvSpPr>
        <cdr:cNvPr id="6" name="TextBox 1">
          <a:extLst xmlns:a="http://schemas.openxmlformats.org/drawingml/2006/main">
            <a:ext uri="{FF2B5EF4-FFF2-40B4-BE49-F238E27FC236}">
              <a16:creationId xmlns="" xmlns:a16="http://schemas.microsoft.com/office/drawing/2014/main" id="{C95F2571-6480-4C3A-AA9F-84EDE2E0CE47}"/>
            </a:ext>
          </a:extLst>
        </cdr:cNvPr>
        <cdr:cNvSpPr txBox="1"/>
      </cdr:nvSpPr>
      <cdr:spPr>
        <a:xfrm xmlns:a="http://schemas.openxmlformats.org/drawingml/2006/main" rot="16200000">
          <a:off x="3248305" y="3649176"/>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0.4787</cdr:x>
      <cdr:y>0.505</cdr:y>
    </cdr:from>
    <cdr:to>
      <cdr:x>0.50419</cdr:x>
      <cdr:y>0.86615</cdr:y>
    </cdr:to>
    <cdr:sp macro="" textlink="">
      <cdr:nvSpPr>
        <cdr:cNvPr id="7" name="TextBox 1">
          <a:extLst xmlns:a="http://schemas.openxmlformats.org/drawingml/2006/main">
            <a:ext uri="{FF2B5EF4-FFF2-40B4-BE49-F238E27FC236}">
              <a16:creationId xmlns="" xmlns:a16="http://schemas.microsoft.com/office/drawing/2014/main" id="{587014E0-2E80-40E9-9713-328E8B518403}"/>
            </a:ext>
          </a:extLst>
        </cdr:cNvPr>
        <cdr:cNvSpPr txBox="1"/>
      </cdr:nvSpPr>
      <cdr:spPr>
        <a:xfrm xmlns:a="http://schemas.openxmlformats.org/drawingml/2006/main" rot="16200000">
          <a:off x="3781705" y="3643389"/>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0.53864</cdr:x>
      <cdr:y>0.65339</cdr:y>
    </cdr:from>
    <cdr:to>
      <cdr:x>0.56413</cdr:x>
      <cdr:y>0.86479</cdr:y>
    </cdr:to>
    <cdr:sp macro="" textlink="">
      <cdr:nvSpPr>
        <cdr:cNvPr id="8" name="TextBox 1">
          <a:extLst xmlns:a="http://schemas.openxmlformats.org/drawingml/2006/main">
            <a:ext uri="{FF2B5EF4-FFF2-40B4-BE49-F238E27FC236}">
              <a16:creationId xmlns="" xmlns:a16="http://schemas.microsoft.com/office/drawing/2014/main" id="{9118B99C-A61F-47BC-B3AA-44A0DDFAA29E}"/>
            </a:ext>
          </a:extLst>
        </cdr:cNvPr>
        <cdr:cNvSpPr txBox="1"/>
      </cdr:nvSpPr>
      <cdr:spPr>
        <a:xfrm xmlns:a="http://schemas.openxmlformats.org/drawingml/2006/main" rot="16200000">
          <a:off x="4775408" y="4047357"/>
          <a:ext cx="1161636"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DGB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0.60029</cdr:x>
      <cdr:y>0.50259</cdr:y>
    </cdr:from>
    <cdr:to>
      <cdr:x>0.62578</cdr:x>
      <cdr:y>0.86374</cdr:y>
    </cdr:to>
    <cdr:sp macro="" textlink="">
      <cdr:nvSpPr>
        <cdr:cNvPr id="9" name="TextBox 1">
          <a:extLst xmlns:a="http://schemas.openxmlformats.org/drawingml/2006/main">
            <a:ext uri="{FF2B5EF4-FFF2-40B4-BE49-F238E27FC236}">
              <a16:creationId xmlns="" xmlns:a16="http://schemas.microsoft.com/office/drawing/2014/main" id="{46222EAA-A771-4E1B-AB8C-62B0432D713F}"/>
            </a:ext>
          </a:extLst>
        </cdr:cNvPr>
        <cdr:cNvSpPr txBox="1"/>
      </cdr:nvSpPr>
      <cdr:spPr>
        <a:xfrm xmlns:a="http://schemas.openxmlformats.org/drawingml/2006/main" rot="16200000">
          <a:off x="4962805" y="3630126"/>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0.6552</cdr:x>
      <cdr:y>0.50153</cdr:y>
    </cdr:from>
    <cdr:to>
      <cdr:x>0.68069</cdr:x>
      <cdr:y>0.86269</cdr:y>
    </cdr:to>
    <cdr:sp macro="" textlink="">
      <cdr:nvSpPr>
        <cdr:cNvPr id="10" name="TextBox 1">
          <a:extLst xmlns:a="http://schemas.openxmlformats.org/drawingml/2006/main">
            <a:ext uri="{FF2B5EF4-FFF2-40B4-BE49-F238E27FC236}">
              <a16:creationId xmlns="" xmlns:a16="http://schemas.microsoft.com/office/drawing/2014/main" id="{258E0644-A208-4B95-A4E3-0FF2734EAC90}"/>
            </a:ext>
          </a:extLst>
        </cdr:cNvPr>
        <cdr:cNvSpPr txBox="1"/>
      </cdr:nvSpPr>
      <cdr:spPr>
        <a:xfrm xmlns:a="http://schemas.openxmlformats.org/drawingml/2006/main" rot="16200000">
          <a:off x="5496205" y="3624339"/>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0.71121</cdr:x>
      <cdr:y>0.50327</cdr:y>
    </cdr:from>
    <cdr:to>
      <cdr:x>0.73671</cdr:x>
      <cdr:y>0.86442</cdr:y>
    </cdr:to>
    <cdr:sp macro="" textlink="">
      <cdr:nvSpPr>
        <cdr:cNvPr id="12" name="TextBox 1">
          <a:extLst xmlns:a="http://schemas.openxmlformats.org/drawingml/2006/main">
            <a:ext uri="{FF2B5EF4-FFF2-40B4-BE49-F238E27FC236}">
              <a16:creationId xmlns="" xmlns:a16="http://schemas.microsoft.com/office/drawing/2014/main" id="{04555663-1FA7-42E1-B5D0-F5F73981F7F2}"/>
            </a:ext>
          </a:extLst>
        </cdr:cNvPr>
        <cdr:cNvSpPr txBox="1"/>
      </cdr:nvSpPr>
      <cdr:spPr>
        <a:xfrm xmlns:a="http://schemas.openxmlformats.org/drawingml/2006/main" rot="16200000">
          <a:off x="6040364" y="3633863"/>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a:t>
          </a:r>
          <a:r>
            <a:rPr lang="lt-LT" sz="1000" baseline="0">
              <a:effectLst/>
              <a:latin typeface="Arial" panose="020B0604020202020204" pitchFamily="34" charset="0"/>
              <a:ea typeface="+mn-ea"/>
              <a:cs typeface="Arial" panose="020B0604020202020204" pitchFamily="34" charset="0"/>
            </a:rPr>
            <a:t> </a:t>
          </a:r>
          <a:r>
            <a:rPr lang="lt-LT" sz="1000">
              <a:effectLst/>
              <a:latin typeface="Arial" panose="020B0604020202020204" pitchFamily="34" charset="0"/>
              <a:ea typeface="+mn-ea"/>
              <a:cs typeface="Arial" panose="020B0604020202020204" pitchFamily="34" charset="0"/>
            </a:rPr>
            <a:t>(C)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0.75632</cdr:x>
      <cdr:y>0.50153</cdr:y>
    </cdr:from>
    <cdr:to>
      <cdr:x>0.81037</cdr:x>
      <cdr:y>0.86269</cdr:y>
    </cdr:to>
    <cdr:sp macro="" textlink="">
      <cdr:nvSpPr>
        <cdr:cNvPr id="13" name="TextBox 1">
          <a:extLst xmlns:a="http://schemas.openxmlformats.org/drawingml/2006/main">
            <a:ext uri="{FF2B5EF4-FFF2-40B4-BE49-F238E27FC236}">
              <a16:creationId xmlns="" xmlns:a16="http://schemas.microsoft.com/office/drawing/2014/main" id="{9FFA6E21-F4D5-4704-BA37-3E1DB80DF5A7}"/>
            </a:ext>
          </a:extLst>
        </cdr:cNvPr>
        <cdr:cNvSpPr txBox="1"/>
      </cdr:nvSpPr>
      <cdr:spPr>
        <a:xfrm xmlns:a="http://schemas.openxmlformats.org/drawingml/2006/main" rot="16200000">
          <a:off x="6617244" y="3485607"/>
          <a:ext cx="1984523" cy="5251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cs typeface="Arial" panose="020B0604020202020204" pitchFamily="34" charset="0"/>
            </a:rPr>
            <a:t>4. Kuro </a:t>
          </a:r>
        </a:p>
        <a:p xmlns:a="http://schemas.openxmlformats.org/drawingml/2006/main">
          <a:r>
            <a:rPr lang="lt-LT" sz="1000">
              <a:effectLst/>
              <a:latin typeface="Arial" panose="020B0604020202020204" pitchFamily="34" charset="0"/>
              <a:cs typeface="Arial" panose="020B0604020202020204" pitchFamily="34" charset="0"/>
            </a:rPr>
            <a:t>keitimas</a:t>
          </a:r>
        </a:p>
      </cdr:txBody>
    </cdr:sp>
  </cdr:relSizeAnchor>
  <cdr:relSizeAnchor xmlns:cdr="http://schemas.openxmlformats.org/drawingml/2006/chartDrawing">
    <cdr:from>
      <cdr:x>0.87104</cdr:x>
      <cdr:y>0.14792</cdr:y>
    </cdr:from>
    <cdr:to>
      <cdr:x>0.91627</cdr:x>
      <cdr:y>0.50907</cdr:y>
    </cdr:to>
    <cdr:sp macro="" textlink="">
      <cdr:nvSpPr>
        <cdr:cNvPr id="14" name="TextBox 1">
          <a:extLst xmlns:a="http://schemas.openxmlformats.org/drawingml/2006/main">
            <a:ext uri="{FF2B5EF4-FFF2-40B4-BE49-F238E27FC236}">
              <a16:creationId xmlns="" xmlns:a16="http://schemas.microsoft.com/office/drawing/2014/main" id="{866CDA00-DC7B-4848-818F-82470436CE86}"/>
            </a:ext>
          </a:extLst>
        </cdr:cNvPr>
        <cdr:cNvSpPr txBox="1"/>
      </cdr:nvSpPr>
      <cdr:spPr>
        <a:xfrm xmlns:a="http://schemas.openxmlformats.org/drawingml/2006/main" rot="16200000">
          <a:off x="7688810" y="1585369"/>
          <a:ext cx="1984523" cy="439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5. Energetikos</a:t>
          </a:r>
          <a:br>
            <a:rPr lang="lt-LT" sz="1000">
              <a:effectLst/>
              <a:latin typeface="Arial" panose="020B0604020202020204" pitchFamily="34" charset="0"/>
              <a:ea typeface="+mn-ea"/>
              <a:cs typeface="Arial" panose="020B0604020202020204" pitchFamily="34" charset="0"/>
            </a:rPr>
          </a:br>
          <a:r>
            <a:rPr lang="lt-LT" sz="1000">
              <a:effectLst/>
              <a:latin typeface="Arial" panose="020B0604020202020204" pitchFamily="34" charset="0"/>
              <a:ea typeface="+mn-ea"/>
              <a:cs typeface="Arial" panose="020B0604020202020204" pitchFamily="34" charset="0"/>
            </a:rPr>
            <a:t>transofrmacija</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0.40345</cdr:x>
      <cdr:y>0.14204</cdr:y>
    </cdr:from>
    <cdr:to>
      <cdr:x>0.58289</cdr:x>
      <cdr:y>0.19751</cdr:y>
    </cdr:to>
    <cdr:sp macro="" textlink="">
      <cdr:nvSpPr>
        <cdr:cNvPr id="15" name="TextBox 14">
          <a:extLst xmlns:a="http://schemas.openxmlformats.org/drawingml/2006/main">
            <a:ext uri="{FF2B5EF4-FFF2-40B4-BE49-F238E27FC236}">
              <a16:creationId xmlns="" xmlns:a16="http://schemas.microsoft.com/office/drawing/2014/main" id="{8FA528B8-FA4F-41E7-86D9-80B79B6EF559}"/>
            </a:ext>
          </a:extLst>
        </cdr:cNvPr>
        <cdr:cNvSpPr txBox="1"/>
      </cdr:nvSpPr>
      <cdr:spPr>
        <a:xfrm xmlns:a="http://schemas.openxmlformats.org/drawingml/2006/main">
          <a:off x="3919184" y="780488"/>
          <a:ext cx="17430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0.17665</cdr:x>
      <cdr:y>0.89012</cdr:y>
    </cdr:from>
    <cdr:to>
      <cdr:x>0.80841</cdr:x>
      <cdr:y>0.96194</cdr:y>
    </cdr:to>
    <cdr:sp macro="" textlink="">
      <cdr:nvSpPr>
        <cdr:cNvPr id="16" name="TextBox 1">
          <a:extLst xmlns:a="http://schemas.openxmlformats.org/drawingml/2006/main">
            <a:ext uri="{FF2B5EF4-FFF2-40B4-BE49-F238E27FC236}">
              <a16:creationId xmlns="" xmlns:a16="http://schemas.microsoft.com/office/drawing/2014/main" id="{7C78C173-4E68-4FD3-A7DA-B8A0269ED337}"/>
            </a:ext>
          </a:extLst>
        </cdr:cNvPr>
        <cdr:cNvSpPr txBox="1"/>
      </cdr:nvSpPr>
      <cdr:spPr>
        <a:xfrm xmlns:a="http://schemas.openxmlformats.org/drawingml/2006/main">
          <a:off x="1716014" y="4891163"/>
          <a:ext cx="6136995"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0.86724</cdr:x>
      <cdr:y>0.89675</cdr:y>
    </cdr:from>
    <cdr:to>
      <cdr:x>0.93213</cdr:x>
      <cdr:y>0.96857</cdr:y>
    </cdr:to>
    <cdr:sp macro="" textlink="">
      <cdr:nvSpPr>
        <cdr:cNvPr id="18" name="TextBox 1">
          <a:extLst xmlns:a="http://schemas.openxmlformats.org/drawingml/2006/main">
            <a:ext uri="{FF2B5EF4-FFF2-40B4-BE49-F238E27FC236}">
              <a16:creationId xmlns="" xmlns:a16="http://schemas.microsoft.com/office/drawing/2014/main" id="{EA78FD93-049B-4864-A459-DEA87144DA60}"/>
            </a:ext>
          </a:extLst>
        </cdr:cNvPr>
        <cdr:cNvSpPr txBox="1"/>
      </cdr:nvSpPr>
      <cdr:spPr>
        <a:xfrm xmlns:a="http://schemas.openxmlformats.org/drawingml/2006/main">
          <a:off x="8424509" y="4927600"/>
          <a:ext cx="630311"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0.09298</cdr:x>
      <cdr:y>0.89592</cdr:y>
    </cdr:from>
    <cdr:to>
      <cdr:x>0.18848</cdr:x>
      <cdr:y>0.96774</cdr:y>
    </cdr:to>
    <cdr:sp macro="" textlink="">
      <cdr:nvSpPr>
        <cdr:cNvPr id="19" name="TextBox 1">
          <a:extLst xmlns:a="http://schemas.openxmlformats.org/drawingml/2006/main">
            <a:ext uri="{FF2B5EF4-FFF2-40B4-BE49-F238E27FC236}">
              <a16:creationId xmlns="" xmlns:a16="http://schemas.microsoft.com/office/drawing/2014/main" id="{0E14227C-E95E-4625-AAEB-927ED041C8E2}"/>
            </a:ext>
          </a:extLst>
        </cdr:cNvPr>
        <cdr:cNvSpPr txBox="1"/>
      </cdr:nvSpPr>
      <cdr:spPr>
        <a:xfrm xmlns:a="http://schemas.openxmlformats.org/drawingml/2006/main">
          <a:off x="596283" y="2797895"/>
          <a:ext cx="612403" cy="22428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2020</a:t>
          </a:r>
        </a:p>
      </cdr:txBody>
    </cdr:sp>
  </cdr:relSizeAnchor>
  <cdr:relSizeAnchor xmlns:cdr="http://schemas.openxmlformats.org/drawingml/2006/chartDrawing">
    <cdr:from>
      <cdr:x>0.78863</cdr:x>
      <cdr:y>0.8946</cdr:y>
    </cdr:from>
    <cdr:to>
      <cdr:x>0.89789</cdr:x>
      <cdr:y>0.96642</cdr:y>
    </cdr:to>
    <cdr:sp macro="" textlink="">
      <cdr:nvSpPr>
        <cdr:cNvPr id="20" name="TextBox 1">
          <a:extLst xmlns:a="http://schemas.openxmlformats.org/drawingml/2006/main">
            <a:ext uri="{FF2B5EF4-FFF2-40B4-BE49-F238E27FC236}">
              <a16:creationId xmlns="" xmlns:a16="http://schemas.microsoft.com/office/drawing/2014/main" id="{5B482E34-5236-49F3-A5FE-95B7B25CE0D6}"/>
            </a:ext>
          </a:extLst>
        </cdr:cNvPr>
        <cdr:cNvSpPr txBox="1"/>
      </cdr:nvSpPr>
      <cdr:spPr>
        <a:xfrm xmlns:a="http://schemas.openxmlformats.org/drawingml/2006/main">
          <a:off x="5057354" y="2793773"/>
          <a:ext cx="700693" cy="22428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0.90455</cdr:x>
      <cdr:y>0.89418</cdr:y>
    </cdr:from>
    <cdr:to>
      <cdr:x>1</cdr:x>
      <cdr:y>0.97296</cdr:y>
    </cdr:to>
    <cdr:sp macro="" textlink="">
      <cdr:nvSpPr>
        <cdr:cNvPr id="21" name="TextBox 1">
          <a:extLst xmlns:a="http://schemas.openxmlformats.org/drawingml/2006/main">
            <a:ext uri="{FF2B5EF4-FFF2-40B4-BE49-F238E27FC236}">
              <a16:creationId xmlns="" xmlns:a16="http://schemas.microsoft.com/office/drawing/2014/main" id="{66FA3C2B-BDF8-4632-946F-DF03B7A04E2D}"/>
            </a:ext>
          </a:extLst>
        </cdr:cNvPr>
        <cdr:cNvSpPr txBox="1"/>
      </cdr:nvSpPr>
      <cdr:spPr>
        <a:xfrm xmlns:a="http://schemas.openxmlformats.org/drawingml/2006/main">
          <a:off x="5800725" y="2792462"/>
          <a:ext cx="612140" cy="2460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0.28958</cdr:x>
      <cdr:y>0.12817</cdr:y>
    </cdr:from>
    <cdr:to>
      <cdr:x>0.75154</cdr:x>
      <cdr:y>0.87007</cdr:y>
    </cdr:to>
    <cdr:sp macro="" textlink="">
      <cdr:nvSpPr>
        <cdr:cNvPr id="25" name="TextBox 1">
          <a:extLst xmlns:a="http://schemas.openxmlformats.org/drawingml/2006/main">
            <a:ext uri="{FF2B5EF4-FFF2-40B4-BE49-F238E27FC236}">
              <a16:creationId xmlns="" xmlns:a16="http://schemas.microsoft.com/office/drawing/2014/main" id="{39DDBAB4-1D83-40FA-828B-13AD18DB9D98}"/>
            </a:ext>
          </a:extLst>
        </cdr:cNvPr>
        <cdr:cNvSpPr txBox="1"/>
      </cdr:nvSpPr>
      <cdr:spPr>
        <a:xfrm xmlns:a="http://schemas.openxmlformats.org/drawingml/2006/main">
          <a:off x="2813051" y="704288"/>
          <a:ext cx="4487508" cy="4076700"/>
        </a:xfrm>
        <a:prstGeom xmlns:a="http://schemas.openxmlformats.org/drawingml/2006/main" prst="rect">
          <a:avLst/>
        </a:prstGeom>
        <a:noFill xmlns:a="http://schemas.openxmlformats.org/drawingml/2006/main"/>
        <a:ln xmlns:a="http://schemas.openxmlformats.org/drawingml/2006/main">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a:latin typeface="Arial" panose="020B0604020202020204" pitchFamily="34" charset="0"/>
              <a:cs typeface="Arial" panose="020B0604020202020204" pitchFamily="34" charset="0"/>
            </a:rPr>
            <a:t>3. Renovacija</a:t>
          </a:r>
        </a:p>
      </cdr:txBody>
    </cdr:sp>
  </cdr:relSizeAnchor>
</c:userShapes>
</file>

<file path=word/drawings/drawing6.xml><?xml version="1.0" encoding="utf-8"?>
<c:userShapes xmlns:c="http://schemas.openxmlformats.org/drawingml/2006/chart">
  <cdr:relSizeAnchor xmlns:cdr="http://schemas.openxmlformats.org/drawingml/2006/chartDrawing">
    <cdr:from>
      <cdr:x>0.16857</cdr:x>
      <cdr:y>0.5394</cdr:y>
    </cdr:from>
    <cdr:to>
      <cdr:x>0.19414</cdr:x>
      <cdr:y>0.88753</cdr:y>
    </cdr:to>
    <cdr:sp macro="" textlink="">
      <cdr:nvSpPr>
        <cdr:cNvPr id="2" name="TextBox 1">
          <a:extLst xmlns:a="http://schemas.openxmlformats.org/drawingml/2006/main">
            <a:ext uri="{FF2B5EF4-FFF2-40B4-BE49-F238E27FC236}">
              <a16:creationId xmlns="" xmlns:a16="http://schemas.microsoft.com/office/drawing/2014/main" id="{4368A918-F045-4193-8E8B-65505E535B81}"/>
            </a:ext>
          </a:extLst>
        </cdr:cNvPr>
        <cdr:cNvSpPr txBox="1"/>
      </cdr:nvSpPr>
      <cdr:spPr>
        <a:xfrm xmlns:a="http://schemas.openxmlformats.org/drawingml/2006/main" rot="16200000">
          <a:off x="813834" y="3740497"/>
          <a:ext cx="1885536"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Arial" panose="020B0604020202020204" pitchFamily="34" charset="0"/>
              <a:cs typeface="Arial" panose="020B0604020202020204" pitchFamily="34" charset="0"/>
            </a:rPr>
            <a:t>1. </a:t>
          </a:r>
          <a:r>
            <a:rPr lang="lt-LT" sz="1000">
              <a:latin typeface="Arial" panose="020B0604020202020204" pitchFamily="34" charset="0"/>
              <a:cs typeface="Arial" panose="020B0604020202020204" pitchFamily="34" charset="0"/>
            </a:rPr>
            <a:t>Klimato kaita</a:t>
          </a:r>
        </a:p>
      </cdr:txBody>
    </cdr:sp>
  </cdr:relSizeAnchor>
  <cdr:relSizeAnchor xmlns:cdr="http://schemas.openxmlformats.org/drawingml/2006/chartDrawing">
    <cdr:from>
      <cdr:x>0.22181</cdr:x>
      <cdr:y>0.31947</cdr:y>
    </cdr:from>
    <cdr:to>
      <cdr:x>0.27262</cdr:x>
      <cdr:y>0.88646</cdr:y>
    </cdr:to>
    <cdr:sp macro="" textlink="">
      <cdr:nvSpPr>
        <cdr:cNvPr id="3" name="TextBox 1">
          <a:extLst xmlns:a="http://schemas.openxmlformats.org/drawingml/2006/main">
            <a:ext uri="{FF2B5EF4-FFF2-40B4-BE49-F238E27FC236}">
              <a16:creationId xmlns="" xmlns:a16="http://schemas.microsoft.com/office/drawing/2014/main" id="{72FC3268-D4D8-41F7-82F8-9F86A522AC8B}"/>
            </a:ext>
          </a:extLst>
        </cdr:cNvPr>
        <cdr:cNvSpPr txBox="1"/>
      </cdr:nvSpPr>
      <cdr:spPr>
        <a:xfrm xmlns:a="http://schemas.openxmlformats.org/drawingml/2006/main" rot="16200000">
          <a:off x="612559" y="1908005"/>
          <a:ext cx="1947458" cy="3260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a:latin typeface="Arial" panose="020B0604020202020204" pitchFamily="34" charset="0"/>
              <a:cs typeface="Arial" panose="020B0604020202020204" pitchFamily="34" charset="0"/>
            </a:rPr>
            <a:t>2. </a:t>
          </a:r>
          <a:r>
            <a:rPr lang="lt-LT" sz="1000">
              <a:latin typeface="Arial" panose="020B0604020202020204" pitchFamily="34" charset="0"/>
              <a:cs typeface="Arial" panose="020B0604020202020204" pitchFamily="34" charset="0"/>
            </a:rPr>
            <a:t>Natūralus</a:t>
          </a:r>
          <a:r>
            <a:rPr lang="lt-LT" sz="1000" baseline="0">
              <a:latin typeface="Arial" panose="020B0604020202020204" pitchFamily="34" charset="0"/>
              <a:cs typeface="Arial" panose="020B0604020202020204" pitchFamily="34" charset="0"/>
            </a:rPr>
            <a:t> mažėjimas</a:t>
          </a:r>
          <a:endParaRPr lang="lt-LT"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0.28547</cdr:x>
      <cdr:y>0.51899</cdr:y>
    </cdr:from>
    <cdr:to>
      <cdr:x>0.31103</cdr:x>
      <cdr:y>0.88539</cdr:y>
    </cdr:to>
    <cdr:sp macro="" textlink="">
      <cdr:nvSpPr>
        <cdr:cNvPr id="4" name="TextBox 1">
          <a:extLst xmlns:a="http://schemas.openxmlformats.org/drawingml/2006/main">
            <a:ext uri="{FF2B5EF4-FFF2-40B4-BE49-F238E27FC236}">
              <a16:creationId xmlns="" xmlns:a16="http://schemas.microsoft.com/office/drawing/2014/main" id="{4CFA2248-47B4-42B7-A124-49A2D46EDEBA}"/>
            </a:ext>
          </a:extLst>
        </cdr:cNvPr>
        <cdr:cNvSpPr txBox="1"/>
      </cdr:nvSpPr>
      <cdr:spPr>
        <a:xfrm xmlns:a="http://schemas.openxmlformats.org/drawingml/2006/main" rot="16200000">
          <a:off x="1896581" y="3679429"/>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Arial" panose="020B0604020202020204" pitchFamily="34" charset="0"/>
              <a:cs typeface="Arial" panose="020B0604020202020204" pitchFamily="34" charset="0"/>
            </a:rPr>
            <a:t>DGB (≤D)</a:t>
          </a:r>
        </a:p>
      </cdr:txBody>
    </cdr:sp>
  </cdr:relSizeAnchor>
  <cdr:relSizeAnchor xmlns:cdr="http://schemas.openxmlformats.org/drawingml/2006/chartDrawing">
    <cdr:from>
      <cdr:x>0.34349</cdr:x>
      <cdr:y>0.46203</cdr:y>
    </cdr:from>
    <cdr:to>
      <cdr:x>0.36905</cdr:x>
      <cdr:y>0.88753</cdr:y>
    </cdr:to>
    <cdr:sp macro="" textlink="">
      <cdr:nvSpPr>
        <cdr:cNvPr id="5" name="TextBox 1">
          <a:extLst xmlns:a="http://schemas.openxmlformats.org/drawingml/2006/main">
            <a:ext uri="{FF2B5EF4-FFF2-40B4-BE49-F238E27FC236}">
              <a16:creationId xmlns="" xmlns:a16="http://schemas.microsoft.com/office/drawing/2014/main" id="{25E453C0-17DC-4A6F-B463-CC27CF3BD71B}"/>
            </a:ext>
          </a:extLst>
        </cdr:cNvPr>
        <cdr:cNvSpPr txBox="1"/>
      </cdr:nvSpPr>
      <cdr:spPr>
        <a:xfrm xmlns:a="http://schemas.openxmlformats.org/drawingml/2006/main" rot="16200000">
          <a:off x="2298500" y="3530948"/>
          <a:ext cx="2304637"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0.40531</cdr:x>
      <cdr:y>0.52006</cdr:y>
    </cdr:from>
    <cdr:to>
      <cdr:x>0.43088</cdr:x>
      <cdr:y>0.88646</cdr:y>
    </cdr:to>
    <cdr:sp macro="" textlink="">
      <cdr:nvSpPr>
        <cdr:cNvPr id="6" name="TextBox 1">
          <a:extLst xmlns:a="http://schemas.openxmlformats.org/drawingml/2006/main">
            <a:ext uri="{FF2B5EF4-FFF2-40B4-BE49-F238E27FC236}">
              <a16:creationId xmlns="" xmlns:a16="http://schemas.microsoft.com/office/drawing/2014/main" id="{8844625F-F65F-4352-9D63-E3C4A1F943B7}"/>
            </a:ext>
          </a:extLst>
        </cdr:cNvPr>
        <cdr:cNvSpPr txBox="1"/>
      </cdr:nvSpPr>
      <cdr:spPr>
        <a:xfrm xmlns:a="http://schemas.openxmlformats.org/drawingml/2006/main" rot="16200000">
          <a:off x="3057398" y="3685217"/>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0.46038</cdr:x>
      <cdr:y>0.51899</cdr:y>
    </cdr:from>
    <cdr:to>
      <cdr:x>0.48595</cdr:x>
      <cdr:y>0.88539</cdr:y>
    </cdr:to>
    <cdr:sp macro="" textlink="">
      <cdr:nvSpPr>
        <cdr:cNvPr id="7" name="TextBox 1">
          <a:extLst xmlns:a="http://schemas.openxmlformats.org/drawingml/2006/main">
            <a:ext uri="{FF2B5EF4-FFF2-40B4-BE49-F238E27FC236}">
              <a16:creationId xmlns="" xmlns:a16="http://schemas.microsoft.com/office/drawing/2014/main" id="{68BE6102-3945-4531-825A-E446A0417E14}"/>
            </a:ext>
          </a:extLst>
        </cdr:cNvPr>
        <cdr:cNvSpPr txBox="1"/>
      </cdr:nvSpPr>
      <cdr:spPr>
        <a:xfrm xmlns:a="http://schemas.openxmlformats.org/drawingml/2006/main" rot="16200000">
          <a:off x="3590798" y="3679430"/>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0.5205</cdr:x>
      <cdr:y>0.66954</cdr:y>
    </cdr:from>
    <cdr:to>
      <cdr:x>0.54606</cdr:x>
      <cdr:y>0.88401</cdr:y>
    </cdr:to>
    <cdr:sp macro="" textlink="">
      <cdr:nvSpPr>
        <cdr:cNvPr id="8" name="TextBox 1">
          <a:extLst xmlns:a="http://schemas.openxmlformats.org/drawingml/2006/main">
            <a:ext uri="{FF2B5EF4-FFF2-40B4-BE49-F238E27FC236}">
              <a16:creationId xmlns="" xmlns:a16="http://schemas.microsoft.com/office/drawing/2014/main" id="{197CE1B4-D045-482E-8EFB-C389A388988E}"/>
            </a:ext>
          </a:extLst>
        </cdr:cNvPr>
        <cdr:cNvSpPr txBox="1"/>
      </cdr:nvSpPr>
      <cdr:spPr>
        <a:xfrm xmlns:a="http://schemas.openxmlformats.org/drawingml/2006/main" rot="16200000">
          <a:off x="4584501" y="4083398"/>
          <a:ext cx="1161636"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DGB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0.58232</cdr:x>
      <cdr:y>0.51654</cdr:y>
    </cdr:from>
    <cdr:to>
      <cdr:x>0.60789</cdr:x>
      <cdr:y>0.88294</cdr:y>
    </cdr:to>
    <cdr:sp macro="" textlink="">
      <cdr:nvSpPr>
        <cdr:cNvPr id="9" name="TextBox 1">
          <a:extLst xmlns:a="http://schemas.openxmlformats.org/drawingml/2006/main">
            <a:ext uri="{FF2B5EF4-FFF2-40B4-BE49-F238E27FC236}">
              <a16:creationId xmlns="" xmlns:a16="http://schemas.microsoft.com/office/drawing/2014/main" id="{CA9DF7EE-F258-4281-ADE5-6B21EC419CC7}"/>
            </a:ext>
          </a:extLst>
        </cdr:cNvPr>
        <cdr:cNvSpPr txBox="1"/>
      </cdr:nvSpPr>
      <cdr:spPr>
        <a:xfrm xmlns:a="http://schemas.openxmlformats.org/drawingml/2006/main" rot="16200000">
          <a:off x="4771898" y="3666167"/>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0.63739</cdr:x>
      <cdr:y>0.51547</cdr:y>
    </cdr:from>
    <cdr:to>
      <cdr:x>0.66296</cdr:x>
      <cdr:y>0.88187</cdr:y>
    </cdr:to>
    <cdr:sp macro="" textlink="">
      <cdr:nvSpPr>
        <cdr:cNvPr id="10" name="TextBox 1">
          <a:extLst xmlns:a="http://schemas.openxmlformats.org/drawingml/2006/main">
            <a:ext uri="{FF2B5EF4-FFF2-40B4-BE49-F238E27FC236}">
              <a16:creationId xmlns="" xmlns:a16="http://schemas.microsoft.com/office/drawing/2014/main" id="{97628D8E-879E-44BA-8FEA-B1054618FEE1}"/>
            </a:ext>
          </a:extLst>
        </cdr:cNvPr>
        <cdr:cNvSpPr txBox="1"/>
      </cdr:nvSpPr>
      <cdr:spPr>
        <a:xfrm xmlns:a="http://schemas.openxmlformats.org/drawingml/2006/main" rot="16200000">
          <a:off x="5305298" y="3660380"/>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0.69357</cdr:x>
      <cdr:y>0.51723</cdr:y>
    </cdr:from>
    <cdr:to>
      <cdr:x>0.71914</cdr:x>
      <cdr:y>0.88363</cdr:y>
    </cdr:to>
    <cdr:sp macro="" textlink="">
      <cdr:nvSpPr>
        <cdr:cNvPr id="11" name="TextBox 1">
          <a:extLst xmlns:a="http://schemas.openxmlformats.org/drawingml/2006/main">
            <a:ext uri="{FF2B5EF4-FFF2-40B4-BE49-F238E27FC236}">
              <a16:creationId xmlns="" xmlns:a16="http://schemas.microsoft.com/office/drawing/2014/main" id="{C4109E4A-E409-42E9-BF20-C22B0D9601B0}"/>
            </a:ext>
          </a:extLst>
        </cdr:cNvPr>
        <cdr:cNvSpPr txBox="1"/>
      </cdr:nvSpPr>
      <cdr:spPr>
        <a:xfrm xmlns:a="http://schemas.openxmlformats.org/drawingml/2006/main" rot="16200000">
          <a:off x="5849457" y="3669904"/>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a:t>
          </a:r>
          <a:r>
            <a:rPr lang="lt-LT" sz="1000" baseline="0">
              <a:effectLst/>
              <a:latin typeface="Arial" panose="020B0604020202020204" pitchFamily="34" charset="0"/>
              <a:ea typeface="+mn-ea"/>
              <a:cs typeface="Arial" panose="020B0604020202020204" pitchFamily="34" charset="0"/>
            </a:rPr>
            <a:t> </a:t>
          </a:r>
          <a:r>
            <a:rPr lang="lt-LT" sz="1000">
              <a:effectLst/>
              <a:latin typeface="Arial" panose="020B0604020202020204" pitchFamily="34" charset="0"/>
              <a:ea typeface="+mn-ea"/>
              <a:cs typeface="Arial" panose="020B0604020202020204" pitchFamily="34" charset="0"/>
            </a:rPr>
            <a:t>(C)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0.74646</cdr:x>
      <cdr:y>0.51547</cdr:y>
    </cdr:from>
    <cdr:to>
      <cdr:x>0.80161</cdr:x>
      <cdr:y>0.88187</cdr:y>
    </cdr:to>
    <cdr:sp macro="" textlink="">
      <cdr:nvSpPr>
        <cdr:cNvPr id="12" name="TextBox 1">
          <a:extLst xmlns:a="http://schemas.openxmlformats.org/drawingml/2006/main">
            <a:ext uri="{FF2B5EF4-FFF2-40B4-BE49-F238E27FC236}">
              <a16:creationId xmlns="" xmlns:a16="http://schemas.microsoft.com/office/drawing/2014/main" id="{587F5462-E779-4023-8B58-20A149DEE54D}"/>
            </a:ext>
          </a:extLst>
        </cdr:cNvPr>
        <cdr:cNvSpPr txBox="1"/>
      </cdr:nvSpPr>
      <cdr:spPr>
        <a:xfrm xmlns:a="http://schemas.openxmlformats.org/drawingml/2006/main" rot="16200000">
          <a:off x="6505018" y="3517096"/>
          <a:ext cx="1984523" cy="534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effectLst/>
              <a:latin typeface="Arial" panose="020B0604020202020204" pitchFamily="34" charset="0"/>
              <a:cs typeface="Arial" panose="020B0604020202020204" pitchFamily="34" charset="0"/>
            </a:rPr>
            <a:t>4. </a:t>
          </a:r>
          <a:r>
            <a:rPr lang="lt-LT" sz="1000">
              <a:effectLst/>
              <a:latin typeface="Arial" panose="020B0604020202020204" pitchFamily="34" charset="0"/>
              <a:cs typeface="Arial" panose="020B0604020202020204" pitchFamily="34" charset="0"/>
            </a:rPr>
            <a:t>Kuro </a:t>
          </a:r>
        </a:p>
        <a:p xmlns:a="http://schemas.openxmlformats.org/drawingml/2006/main">
          <a:r>
            <a:rPr lang="lt-LT" sz="1000">
              <a:effectLst/>
              <a:latin typeface="Arial" panose="020B0604020202020204" pitchFamily="34" charset="0"/>
              <a:cs typeface="Arial" panose="020B0604020202020204" pitchFamily="34" charset="0"/>
            </a:rPr>
            <a:t>keitimas</a:t>
          </a:r>
        </a:p>
      </cdr:txBody>
    </cdr:sp>
  </cdr:relSizeAnchor>
  <cdr:relSizeAnchor xmlns:cdr="http://schemas.openxmlformats.org/drawingml/2006/chartDrawing">
    <cdr:from>
      <cdr:x>0.86596</cdr:x>
      <cdr:y>0.24618</cdr:y>
    </cdr:from>
    <cdr:to>
      <cdr:x>0.91133</cdr:x>
      <cdr:y>0.61258</cdr:y>
    </cdr:to>
    <cdr:sp macro="" textlink="">
      <cdr:nvSpPr>
        <cdr:cNvPr id="13" name="TextBox 1">
          <a:extLst xmlns:a="http://schemas.openxmlformats.org/drawingml/2006/main">
            <a:ext uri="{FF2B5EF4-FFF2-40B4-BE49-F238E27FC236}">
              <a16:creationId xmlns="" xmlns:a16="http://schemas.microsoft.com/office/drawing/2014/main" id="{10A8518A-BE56-40B6-96F4-892FCB1387F3}"/>
            </a:ext>
          </a:extLst>
        </cdr:cNvPr>
        <cdr:cNvSpPr txBox="1"/>
      </cdr:nvSpPr>
      <cdr:spPr>
        <a:xfrm xmlns:a="http://schemas.openxmlformats.org/drawingml/2006/main" rot="16200000">
          <a:off x="7615102" y="2105943"/>
          <a:ext cx="1984523" cy="439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effectLst/>
              <a:latin typeface="Arial" panose="020B0604020202020204" pitchFamily="34" charset="0"/>
              <a:ea typeface="+mn-ea"/>
              <a:cs typeface="Arial" panose="020B0604020202020204" pitchFamily="34" charset="0"/>
            </a:rPr>
            <a:t>5. </a:t>
          </a:r>
          <a:r>
            <a:rPr lang="lt-LT" sz="1000">
              <a:effectLst/>
              <a:latin typeface="Arial" panose="020B0604020202020204" pitchFamily="34" charset="0"/>
              <a:ea typeface="+mn-ea"/>
              <a:cs typeface="Arial" panose="020B0604020202020204" pitchFamily="34" charset="0"/>
            </a:rPr>
            <a:t>Energetikos</a:t>
          </a:r>
          <a:br>
            <a:rPr lang="lt-LT" sz="1000">
              <a:effectLst/>
              <a:latin typeface="Arial" panose="020B0604020202020204" pitchFamily="34" charset="0"/>
              <a:ea typeface="+mn-ea"/>
              <a:cs typeface="Arial" panose="020B0604020202020204" pitchFamily="34" charset="0"/>
            </a:rPr>
          </a:br>
          <a:r>
            <a:rPr lang="lt-LT" sz="1000">
              <a:effectLst/>
              <a:latin typeface="Arial" panose="020B0604020202020204" pitchFamily="34" charset="0"/>
              <a:ea typeface="+mn-ea"/>
              <a:cs typeface="Arial" panose="020B0604020202020204" pitchFamily="34" charset="0"/>
            </a:rPr>
            <a:t>transofrmacija</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0.16028</cdr:x>
      <cdr:y>0.90756</cdr:y>
    </cdr:from>
    <cdr:to>
      <cdr:x>0.79999</cdr:x>
      <cdr:y>0.98043</cdr:y>
    </cdr:to>
    <cdr:sp macro="" textlink="">
      <cdr:nvSpPr>
        <cdr:cNvPr id="14" name="TextBox 1">
          <a:extLst xmlns:a="http://schemas.openxmlformats.org/drawingml/2006/main">
            <a:ext uri="{FF2B5EF4-FFF2-40B4-BE49-F238E27FC236}">
              <a16:creationId xmlns="" xmlns:a16="http://schemas.microsoft.com/office/drawing/2014/main" id="{6CC0E851-24DD-40F2-9E2C-B14902FAD08D}"/>
            </a:ext>
          </a:extLst>
        </cdr:cNvPr>
        <cdr:cNvSpPr txBox="1"/>
      </cdr:nvSpPr>
      <cdr:spPr>
        <a:xfrm xmlns:a="http://schemas.openxmlformats.org/drawingml/2006/main">
          <a:off x="1552429" y="4915596"/>
          <a:ext cx="6196227"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0.85899</cdr:x>
      <cdr:y>0.91429</cdr:y>
    </cdr:from>
    <cdr:to>
      <cdr:x>0.92407</cdr:x>
      <cdr:y>0.98715</cdr:y>
    </cdr:to>
    <cdr:sp macro="" textlink="">
      <cdr:nvSpPr>
        <cdr:cNvPr id="15" name="TextBox 1">
          <a:extLst xmlns:a="http://schemas.openxmlformats.org/drawingml/2006/main">
            <a:ext uri="{FF2B5EF4-FFF2-40B4-BE49-F238E27FC236}">
              <a16:creationId xmlns="" xmlns:a16="http://schemas.microsoft.com/office/drawing/2014/main" id="{B0CC9D32-5EB2-4669-8ECB-F1FA656EF285}"/>
            </a:ext>
          </a:extLst>
        </cdr:cNvPr>
        <cdr:cNvSpPr txBox="1"/>
      </cdr:nvSpPr>
      <cdr:spPr>
        <a:xfrm xmlns:a="http://schemas.openxmlformats.org/drawingml/2006/main">
          <a:off x="8320156" y="4952033"/>
          <a:ext cx="630311"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0.07371</cdr:x>
      <cdr:y>0.90725</cdr:y>
    </cdr:from>
    <cdr:to>
      <cdr:x>0.17071</cdr:x>
      <cdr:y>0.98012</cdr:y>
    </cdr:to>
    <cdr:sp macro="" textlink="">
      <cdr:nvSpPr>
        <cdr:cNvPr id="16" name="TextBox 1">
          <a:extLst xmlns:a="http://schemas.openxmlformats.org/drawingml/2006/main">
            <a:ext uri="{FF2B5EF4-FFF2-40B4-BE49-F238E27FC236}">
              <a16:creationId xmlns="" xmlns:a16="http://schemas.microsoft.com/office/drawing/2014/main" id="{3C455510-C53C-4F05-B8B1-70BCB65EF246}"/>
            </a:ext>
          </a:extLst>
        </cdr:cNvPr>
        <cdr:cNvSpPr txBox="1"/>
      </cdr:nvSpPr>
      <cdr:spPr>
        <a:xfrm xmlns:a="http://schemas.openxmlformats.org/drawingml/2006/main">
          <a:off x="473005" y="3116145"/>
          <a:ext cx="622370" cy="2502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2020</a:t>
          </a:r>
        </a:p>
      </cdr:txBody>
    </cdr:sp>
  </cdr:relSizeAnchor>
  <cdr:relSizeAnchor xmlns:cdr="http://schemas.openxmlformats.org/drawingml/2006/chartDrawing">
    <cdr:from>
      <cdr:x>0.7906</cdr:x>
      <cdr:y>0.90624</cdr:y>
    </cdr:from>
    <cdr:to>
      <cdr:x>0.88103</cdr:x>
      <cdr:y>0.97911</cdr:y>
    </cdr:to>
    <cdr:sp macro="" textlink="">
      <cdr:nvSpPr>
        <cdr:cNvPr id="17" name="TextBox 1">
          <a:extLst xmlns:a="http://schemas.openxmlformats.org/drawingml/2006/main">
            <a:ext uri="{FF2B5EF4-FFF2-40B4-BE49-F238E27FC236}">
              <a16:creationId xmlns="" xmlns:a16="http://schemas.microsoft.com/office/drawing/2014/main" id="{207F93E9-EBC0-43EC-ACDF-0E2EC718E484}"/>
            </a:ext>
          </a:extLst>
        </cdr:cNvPr>
        <cdr:cNvSpPr txBox="1"/>
      </cdr:nvSpPr>
      <cdr:spPr>
        <a:xfrm xmlns:a="http://schemas.openxmlformats.org/drawingml/2006/main">
          <a:off x="5073010" y="3112665"/>
          <a:ext cx="580258" cy="2502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0.9121</cdr:x>
      <cdr:y>0.90827</cdr:y>
    </cdr:from>
    <cdr:to>
      <cdr:x>1</cdr:x>
      <cdr:y>0.98113</cdr:y>
    </cdr:to>
    <cdr:sp macro="" textlink="">
      <cdr:nvSpPr>
        <cdr:cNvPr id="18" name="TextBox 1">
          <a:extLst xmlns:a="http://schemas.openxmlformats.org/drawingml/2006/main">
            <a:ext uri="{FF2B5EF4-FFF2-40B4-BE49-F238E27FC236}">
              <a16:creationId xmlns="" xmlns:a16="http://schemas.microsoft.com/office/drawing/2014/main" id="{98B468B0-AFA2-4C0F-BE09-46082C422376}"/>
            </a:ext>
          </a:extLst>
        </cdr:cNvPr>
        <cdr:cNvSpPr txBox="1"/>
      </cdr:nvSpPr>
      <cdr:spPr>
        <a:xfrm xmlns:a="http://schemas.openxmlformats.org/drawingml/2006/main">
          <a:off x="5852649" y="3119659"/>
          <a:ext cx="564026" cy="25025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0.27016</cdr:x>
      <cdr:y>0.16084</cdr:y>
    </cdr:from>
    <cdr:to>
      <cdr:x>0.74432</cdr:x>
      <cdr:y>0.89357</cdr:y>
    </cdr:to>
    <cdr:sp macro="" textlink="">
      <cdr:nvSpPr>
        <cdr:cNvPr id="19" name="TextBox 1">
          <a:extLst xmlns:a="http://schemas.openxmlformats.org/drawingml/2006/main">
            <a:ext uri="{FF2B5EF4-FFF2-40B4-BE49-F238E27FC236}">
              <a16:creationId xmlns="" xmlns:a16="http://schemas.microsoft.com/office/drawing/2014/main" id="{62435185-3A83-4584-96F0-8D26DD6162DF}"/>
            </a:ext>
          </a:extLst>
        </cdr:cNvPr>
        <cdr:cNvSpPr txBox="1"/>
      </cdr:nvSpPr>
      <cdr:spPr>
        <a:xfrm xmlns:a="http://schemas.openxmlformats.org/drawingml/2006/main">
          <a:off x="1733551" y="552450"/>
          <a:ext cx="3042510" cy="2516708"/>
        </a:xfrm>
        <a:prstGeom xmlns:a="http://schemas.openxmlformats.org/drawingml/2006/main" prst="rect">
          <a:avLst/>
        </a:prstGeom>
        <a:noFill xmlns:a="http://schemas.openxmlformats.org/drawingml/2006/main"/>
        <a:ln xmlns:a="http://schemas.openxmlformats.org/drawingml/2006/main">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a:latin typeface="Arial" panose="020B0604020202020204" pitchFamily="34" charset="0"/>
              <a:cs typeface="Arial" panose="020B0604020202020204" pitchFamily="34" charset="0"/>
            </a:rPr>
            <a:t>3. Renovacija</a:t>
          </a:r>
        </a:p>
      </cdr:txBody>
    </cdr:sp>
  </cdr:relSizeAnchor>
</c:userShape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7939-EA72-4D32-BFC4-2C39171C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130</Pages>
  <Words>230466</Words>
  <Characters>131366</Characters>
  <Application>Microsoft Office Word</Application>
  <DocSecurity>0</DocSecurity>
  <Lines>1094</Lines>
  <Paragraphs>722</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361110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Pilipienė</dc:creator>
  <cp:lastModifiedBy>Virginija Pilipienė</cp:lastModifiedBy>
  <cp:revision>46</cp:revision>
  <cp:lastPrinted>2021-03-25T11:41:00Z</cp:lastPrinted>
  <dcterms:created xsi:type="dcterms:W3CDTF">2020-11-25T06:29:00Z</dcterms:created>
  <dcterms:modified xsi:type="dcterms:W3CDTF">2021-03-29T12:45:00Z</dcterms:modified>
</cp:coreProperties>
</file>