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322" w14:textId="7CBCE464" w:rsidR="00321ADE" w:rsidRPr="004C3332" w:rsidRDefault="00C4781F" w:rsidP="00C4781F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B4B535D" w14:textId="14763A8A" w:rsidR="008132E5" w:rsidRPr="00C4781F" w:rsidRDefault="005653BE" w:rsidP="00B6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DIDESNIO POVEIKIO </w:t>
      </w:r>
      <w:r w:rsidR="006379E7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TEISĖS AKT</w:t>
      </w:r>
      <w:r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PROJEKTŲ POVEIKIO VERTINIMO </w:t>
      </w:r>
      <w:r w:rsidR="002250C6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REZULTAT</w:t>
      </w:r>
      <w:r w:rsidR="00504656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</w:t>
      </w:r>
      <w:r w:rsidR="00D91A33">
        <w:rPr>
          <w:rFonts w:ascii="Times New Roman" w:hAnsi="Times New Roman" w:cs="Times New Roman"/>
          <w:b/>
          <w:bCs/>
          <w:sz w:val="24"/>
          <w:szCs w:val="24"/>
          <w:lang w:val="lt-LT"/>
        </w:rPr>
        <w:t>KOKYBĖS KRITERIJAI</w:t>
      </w:r>
    </w:p>
    <w:p w14:paraId="121456B0" w14:textId="66B5BD54" w:rsidR="00D91A33" w:rsidRPr="00F6132E" w:rsidRDefault="00D91A33" w:rsidP="00795CAB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6132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Teisės akto projekto  pavadinimas: </w:t>
      </w:r>
      <w:r w:rsidR="00BC14F0" w:rsidRPr="00F6132E">
        <w:rPr>
          <w:rFonts w:ascii="Times New Roman" w:hAnsi="Times New Roman" w:cs="Times New Roman"/>
          <w:b/>
          <w:bCs/>
          <w:sz w:val="24"/>
          <w:szCs w:val="24"/>
          <w:lang w:val="lt-LT"/>
        </w:rPr>
        <w:t>Lietuvos Respublikos pakartotinio sveikatos duomenų naudojimo įstatymo projektas, Lietuvos Respublikos sveikatos sistemos įstatymo Nr. I-552 papildymo 13</w:t>
      </w:r>
      <w:r w:rsidR="00BC14F0" w:rsidRPr="00F613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lt-LT"/>
        </w:rPr>
        <w:t>2</w:t>
      </w:r>
      <w:r w:rsidR="00BC14F0" w:rsidRPr="00F6132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straipsniu įstatymo projektas</w:t>
      </w:r>
      <w:r w:rsidR="00795CAB" w:rsidRPr="00F6132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bookmarkStart w:id="0" w:name="_Hlk53395799"/>
      <w:r w:rsidR="00795CAB" w:rsidRPr="00F6132E">
        <w:rPr>
          <w:rFonts w:ascii="Times New Roman" w:hAnsi="Times New Roman" w:cs="Times New Roman"/>
          <w:b/>
          <w:bCs/>
          <w:spacing w:val="-6"/>
          <w:sz w:val="24"/>
          <w:szCs w:val="24"/>
          <w:lang w:val="lt-LT" w:eastAsia="lt-LT"/>
        </w:rPr>
        <w:t>Lietuvos Respublikos pacientų teisių ir žalos sveikatai atlyginimo įstatymo Nr. I-1562 9 straipsnio pakeitimo įstatymo projekt</w:t>
      </w:r>
      <w:bookmarkEnd w:id="0"/>
      <w:r w:rsidR="00795CAB" w:rsidRPr="00F6132E">
        <w:rPr>
          <w:rFonts w:ascii="Times New Roman" w:hAnsi="Times New Roman" w:cs="Times New Roman"/>
          <w:b/>
          <w:bCs/>
          <w:spacing w:val="-6"/>
          <w:sz w:val="24"/>
          <w:szCs w:val="24"/>
          <w:lang w:val="lt-LT" w:eastAsia="lt-LT"/>
        </w:rPr>
        <w:t>as</w:t>
      </w:r>
    </w:p>
    <w:p w14:paraId="652D34B4" w14:textId="77777777" w:rsidR="00795CAB" w:rsidRPr="00795CAB" w:rsidRDefault="00795CAB" w:rsidP="00795CAB">
      <w:pPr>
        <w:spacing w:after="120"/>
        <w:jc w:val="both"/>
        <w:rPr>
          <w:b/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11"/>
        <w:gridCol w:w="6379"/>
        <w:gridCol w:w="850"/>
        <w:gridCol w:w="5664"/>
      </w:tblGrid>
      <w:tr w:rsidR="00D83D41" w:rsidRPr="00CA1E01" w14:paraId="13A160CA" w14:textId="1A1BBD69" w:rsidTr="007D742C">
        <w:tc>
          <w:tcPr>
            <w:tcW w:w="2411" w:type="dxa"/>
          </w:tcPr>
          <w:p w14:paraId="7C8127D1" w14:textId="3A330261" w:rsidR="00D83D41" w:rsidRPr="004C3332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Vertinamas klausimas</w:t>
            </w:r>
          </w:p>
        </w:tc>
        <w:tc>
          <w:tcPr>
            <w:tcW w:w="7229" w:type="dxa"/>
            <w:gridSpan w:val="2"/>
          </w:tcPr>
          <w:p w14:paraId="6BCF8800" w14:textId="35228915" w:rsidR="00D83D41" w:rsidRDefault="00D83D41" w:rsidP="004C3332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91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Klausimai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(kriterijai) kokybės įvertinimui </w:t>
            </w:r>
          </w:p>
        </w:tc>
        <w:tc>
          <w:tcPr>
            <w:tcW w:w="5664" w:type="dxa"/>
          </w:tcPr>
          <w:p w14:paraId="353E2609" w14:textId="29FE6523" w:rsidR="00D83D41" w:rsidRPr="00D91A33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1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 ir komentarai</w:t>
            </w:r>
          </w:p>
        </w:tc>
      </w:tr>
      <w:tr w:rsidR="00D83D41" w:rsidRPr="0021025D" w14:paraId="44B53715" w14:textId="71090300" w:rsidTr="007D742C">
        <w:trPr>
          <w:trHeight w:val="405"/>
        </w:trPr>
        <w:tc>
          <w:tcPr>
            <w:tcW w:w="2411" w:type="dxa"/>
            <w:vMerge w:val="restart"/>
          </w:tcPr>
          <w:p w14:paraId="4AD09222" w14:textId="649F005D" w:rsidR="00D83D41" w:rsidRPr="004C3332" w:rsidRDefault="00D83D41" w:rsidP="004E18B0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1. </w:t>
            </w:r>
            <w:r w:rsidRPr="004C3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Problema, kurią siekiama išspręsti</w:t>
            </w:r>
          </w:p>
        </w:tc>
        <w:tc>
          <w:tcPr>
            <w:tcW w:w="6379" w:type="dxa"/>
          </w:tcPr>
          <w:p w14:paraId="6BC2A971" w14:textId="6F6FA76D" w:rsidR="00D83D41" w:rsidRPr="0021025D" w:rsidRDefault="00D83D41" w:rsidP="004E18B0">
            <w:pPr>
              <w:pStyle w:val="Sraopastraipa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sprendžiama problema suformuluota </w:t>
            </w:r>
            <w:r w:rsidR="00386692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trumpai /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glaustai?</w:t>
            </w:r>
          </w:p>
        </w:tc>
        <w:tc>
          <w:tcPr>
            <w:tcW w:w="850" w:type="dxa"/>
          </w:tcPr>
          <w:p w14:paraId="5379214F" w14:textId="1DE5F68E" w:rsidR="00D83D41" w:rsidRPr="0021025D" w:rsidRDefault="004071ED" w:rsidP="009F5F68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5393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4F0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83D41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367271B3" w14:textId="68FFBE78" w:rsidR="00D83D41" w:rsidRPr="0021025D" w:rsidRDefault="004071ED" w:rsidP="009F5F6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9284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41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D83D41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1C4F890" w14:textId="777F3760" w:rsidR="00D83D41" w:rsidRPr="0021025D" w:rsidRDefault="00D83D41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6EEC" w:rsidRPr="0021025D" w14:paraId="264E0612" w14:textId="77777777" w:rsidTr="007D742C">
        <w:trPr>
          <w:trHeight w:val="405"/>
        </w:trPr>
        <w:tc>
          <w:tcPr>
            <w:tcW w:w="2411" w:type="dxa"/>
            <w:vMerge/>
          </w:tcPr>
          <w:p w14:paraId="1A8AE31B" w14:textId="77777777" w:rsidR="00106EEC" w:rsidRPr="004C3332" w:rsidRDefault="00106EEC" w:rsidP="00106EEC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D373768" w14:textId="014A3EDF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 Ar sprendžiama problema suformuluota aiškiai / suprantamai ne srities specialistui?</w:t>
            </w:r>
          </w:p>
        </w:tc>
        <w:tc>
          <w:tcPr>
            <w:tcW w:w="850" w:type="dxa"/>
          </w:tcPr>
          <w:p w14:paraId="432F41BC" w14:textId="4F258655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31881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4F0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2A557E41" w14:textId="06F9908F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64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CD9458D" w14:textId="6DCD34E2" w:rsidR="00106EEC" w:rsidRPr="0021025D" w:rsidRDefault="00106EEC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6EEC" w:rsidRPr="0021025D" w14:paraId="7CB97832" w14:textId="7C804C9A" w:rsidTr="007D742C">
        <w:trPr>
          <w:trHeight w:val="300"/>
        </w:trPr>
        <w:tc>
          <w:tcPr>
            <w:tcW w:w="2411" w:type="dxa"/>
            <w:vMerge w:val="restart"/>
          </w:tcPr>
          <w:p w14:paraId="24CB031D" w14:textId="6891B28D" w:rsidR="00106EEC" w:rsidRPr="004E18B0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Problemos mastas ir priežastys</w:t>
            </w:r>
          </w:p>
        </w:tc>
        <w:tc>
          <w:tcPr>
            <w:tcW w:w="6379" w:type="dxa"/>
          </w:tcPr>
          <w:p w14:paraId="4E236958" w14:textId="5E754ACF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 Ar pateikti duomenys</w:t>
            </w:r>
            <w:r w:rsidR="006B235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/ ar argumentai</w:t>
            </w:r>
            <w:r w:rsidR="00C662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įrodantys problemos egzistavimą?</w:t>
            </w:r>
          </w:p>
        </w:tc>
        <w:tc>
          <w:tcPr>
            <w:tcW w:w="850" w:type="dxa"/>
          </w:tcPr>
          <w:p w14:paraId="3B0997DE" w14:textId="0409F91A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527523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31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68840A06" w14:textId="7A140506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87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107BB2A" w14:textId="4FC90112" w:rsidR="00106EEC" w:rsidRPr="0021025D" w:rsidRDefault="00CB14E9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Problema yra iliustruota 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sveikatos priežiūros įstaigose</w:t>
            </w:r>
            <w:r w:rsidR="00060F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informacinėse sistemose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60F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(ESPBI</w:t>
            </w:r>
            <w:r w:rsidR="006970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060F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MedVAIS)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sukauptų duomenų kiekiu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paai</w:t>
            </w:r>
            <w:r w:rsidR="00824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kinta, kod</w:t>
            </w:r>
            <w:r w:rsidR="00824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 svarbu 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sukurti sąlygas 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pakartotin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jų naudojim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ui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21025D" w14:paraId="6D7D6BAE" w14:textId="77777777" w:rsidTr="007D742C">
        <w:trPr>
          <w:trHeight w:val="300"/>
        </w:trPr>
        <w:tc>
          <w:tcPr>
            <w:tcW w:w="2411" w:type="dxa"/>
            <w:vMerge/>
          </w:tcPr>
          <w:p w14:paraId="1B1FEC71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F1C809" w14:textId="4BE9ABEC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6B235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pateikti duomenys</w:t>
            </w:r>
            <w:r w:rsidR="00C662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parodantys problemos mastą?</w:t>
            </w:r>
          </w:p>
        </w:tc>
        <w:tc>
          <w:tcPr>
            <w:tcW w:w="850" w:type="dxa"/>
          </w:tcPr>
          <w:p w14:paraId="2915DE90" w14:textId="2E7416A6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3525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38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0993EFCB" w14:textId="4707F80E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8623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B62EF27" w14:textId="682066CF" w:rsidR="00106EEC" w:rsidRPr="0021025D" w:rsidRDefault="00CB14E9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pateiktų duomenų  daryti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išvada, kad problema egzistuoja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sveikatos priežiūros įstaigose kaupiamų duomenų kiekis sparčiai auga, tačiau nesukurtos 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tinkamos s</w:t>
            </w:r>
            <w:r w:rsidR="007C5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lygos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juos pakartotinai naudoti. </w:t>
            </w:r>
          </w:p>
        </w:tc>
      </w:tr>
      <w:tr w:rsidR="00106EEC" w:rsidRPr="008241C5" w14:paraId="0F6930F2" w14:textId="77777777" w:rsidTr="00CF7647">
        <w:trPr>
          <w:trHeight w:val="552"/>
        </w:trPr>
        <w:tc>
          <w:tcPr>
            <w:tcW w:w="2411" w:type="dxa"/>
            <w:vMerge/>
          </w:tcPr>
          <w:p w14:paraId="330B313D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6CBE8F" w14:textId="5ECB8D35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6B235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nurodytos problemos vystymosi tendencijos?</w:t>
            </w:r>
          </w:p>
        </w:tc>
        <w:tc>
          <w:tcPr>
            <w:tcW w:w="850" w:type="dxa"/>
          </w:tcPr>
          <w:p w14:paraId="3F8700CC" w14:textId="19B64948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53021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FF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19D76625" w14:textId="0E4DD196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096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FF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7764605" w14:textId="574A7ACE" w:rsidR="00106EEC" w:rsidRPr="0021025D" w:rsidRDefault="009423FF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Poveikio vertinimo formoje/pažymoje pateikti duomenys rodo aiškią elektroninių klinikinių dokumentų skaičiaus augimo tendenciją.</w:t>
            </w:r>
          </w:p>
        </w:tc>
      </w:tr>
      <w:tr w:rsidR="00106EEC" w:rsidRPr="008241C5" w14:paraId="0D174171" w14:textId="77777777" w:rsidTr="007D742C">
        <w:trPr>
          <w:trHeight w:val="300"/>
        </w:trPr>
        <w:tc>
          <w:tcPr>
            <w:tcW w:w="2411" w:type="dxa"/>
            <w:vMerge/>
          </w:tcPr>
          <w:p w14:paraId="7F98DB1B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76E802D" w14:textId="73FAACBA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6B235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nurodyti problemos atsiradimą  lėmę veiksniai ir aplinkybės?</w:t>
            </w:r>
          </w:p>
        </w:tc>
        <w:tc>
          <w:tcPr>
            <w:tcW w:w="850" w:type="dxa"/>
          </w:tcPr>
          <w:p w14:paraId="1A593F33" w14:textId="09690C05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97420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4E9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1538387C" w14:textId="6CDA3621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225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8DBA35F" w14:textId="21A379CF" w:rsidR="00106EEC" w:rsidRPr="0021025D" w:rsidRDefault="000D6E79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CB14E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urodyt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os </w:t>
            </w:r>
            <w:r w:rsidR="005172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aiškiai suformuluotos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riežastys, trukdančios p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akartotinai 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 sveikatos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priežiūros įstaigose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kaupi</w:t>
            </w:r>
            <w:r w:rsidR="005172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duomen</w:t>
            </w:r>
            <w:r w:rsidR="0030743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</w:t>
            </w:r>
          </w:p>
        </w:tc>
      </w:tr>
      <w:tr w:rsidR="00106EEC" w:rsidRPr="008241C5" w14:paraId="29019D7E" w14:textId="00A4178C" w:rsidTr="007D742C">
        <w:trPr>
          <w:trHeight w:val="473"/>
        </w:trPr>
        <w:tc>
          <w:tcPr>
            <w:tcW w:w="2411" w:type="dxa"/>
            <w:vMerge w:val="restart"/>
          </w:tcPr>
          <w:p w14:paraId="770EF0A6" w14:textId="201A9564" w:rsidR="00106EEC" w:rsidRPr="004E18B0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Rezultatas, kurio tikimasi priėmus teisės aktą</w:t>
            </w:r>
          </w:p>
        </w:tc>
        <w:tc>
          <w:tcPr>
            <w:tcW w:w="6379" w:type="dxa"/>
          </w:tcPr>
          <w:p w14:paraId="28C4D04B" w14:textId="51DE4C14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 Ar nurodytas konkretus laukiamas pokytis, kurio tikimasi įgyvendinus teisės aktą?</w:t>
            </w:r>
          </w:p>
        </w:tc>
        <w:tc>
          <w:tcPr>
            <w:tcW w:w="850" w:type="dxa"/>
          </w:tcPr>
          <w:p w14:paraId="079E3020" w14:textId="44684EF5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6556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02A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7FDB6EF6" w14:textId="4362831D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63394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02A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2280ECE" w14:textId="6AE0E737" w:rsidR="00106EEC" w:rsidRPr="0021025D" w:rsidRDefault="00517213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Nurodytas k</w:t>
            </w:r>
            <w:r w:rsidR="00A135A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onkretus laukiamas pokytis</w:t>
            </w:r>
            <w:r w:rsidR="007F15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135A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F15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A135A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ačiau 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nėra pateiktas aiškus planuojamų </w:t>
            </w:r>
            <w:r w:rsidR="007F15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pasiekti 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rezultatų pagrindimas  ir prielaidos, kuriomis remia</w:t>
            </w:r>
            <w:r w:rsidR="00824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masi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82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Nėra numatyta, kuri institucija ir kaip vykdys rezultatų siekimo stebėseną.</w:t>
            </w:r>
            <w:r w:rsidR="0076002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8241C5" w14:paraId="028BE42F" w14:textId="77777777" w:rsidTr="007D742C">
        <w:trPr>
          <w:trHeight w:val="472"/>
        </w:trPr>
        <w:tc>
          <w:tcPr>
            <w:tcW w:w="2411" w:type="dxa"/>
            <w:vMerge/>
          </w:tcPr>
          <w:p w14:paraId="0BB9AE6B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2A6F7EB" w14:textId="1AB7741A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3.2. Ar siekiamas pokytis, jeigu galima, išreikštas kiekybiškai (nurodyti siekiamo rezultato rodikliai)? </w:t>
            </w:r>
          </w:p>
        </w:tc>
        <w:tc>
          <w:tcPr>
            <w:tcW w:w="850" w:type="dxa"/>
          </w:tcPr>
          <w:p w14:paraId="7FD8480F" w14:textId="0CEEFCED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54401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5AD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6A81CCF5" w14:textId="4879F89D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796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E79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0A0C400" w14:textId="7DB4552E" w:rsidR="00106EEC" w:rsidRPr="0021025D" w:rsidRDefault="00A135AD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Siekiamas pokytis yra išreikštas kiekybiškai, 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nurodant konkrečius rodiklio įgyvendinimo terminus. </w:t>
            </w:r>
          </w:p>
        </w:tc>
      </w:tr>
      <w:tr w:rsidR="00106EEC" w:rsidRPr="008241C5" w14:paraId="42B2098F" w14:textId="45CCD079" w:rsidTr="001C0A4C">
        <w:trPr>
          <w:trHeight w:val="274"/>
        </w:trPr>
        <w:tc>
          <w:tcPr>
            <w:tcW w:w="2411" w:type="dxa"/>
            <w:vMerge w:val="restart"/>
            <w:shd w:val="clear" w:color="auto" w:fill="auto"/>
          </w:tcPr>
          <w:p w14:paraId="3E03B541" w14:textId="35303ED2" w:rsidR="00106EEC" w:rsidRPr="003E5851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Problemai spręsti svarstytos  alternatyvos</w:t>
            </w:r>
          </w:p>
        </w:tc>
        <w:tc>
          <w:tcPr>
            <w:tcW w:w="6379" w:type="dxa"/>
          </w:tcPr>
          <w:p w14:paraId="01FF1A75" w14:textId="2465C2AB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 Ar nurodytos kitos svarstytos problemos sprendimo alternatyvos (įskaitant nereguliavimo alternatyvas)?</w:t>
            </w:r>
          </w:p>
        </w:tc>
        <w:tc>
          <w:tcPr>
            <w:tcW w:w="850" w:type="dxa"/>
          </w:tcPr>
          <w:p w14:paraId="0589D8A7" w14:textId="2D0E28DF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25299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B2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56E9ACAB" w14:textId="14493F1C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3424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669CEA" w14:textId="73960384" w:rsidR="00106EEC" w:rsidRPr="0021025D" w:rsidRDefault="00106EEC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EEC" w:rsidRPr="008241C5" w14:paraId="3D9C6393" w14:textId="77777777" w:rsidTr="007D742C">
        <w:trPr>
          <w:trHeight w:val="630"/>
        </w:trPr>
        <w:tc>
          <w:tcPr>
            <w:tcW w:w="2411" w:type="dxa"/>
            <w:vMerge/>
            <w:shd w:val="clear" w:color="auto" w:fill="auto"/>
          </w:tcPr>
          <w:p w14:paraId="4327161E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046B6BB4" w14:textId="6E1C4E16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 Ar paaiškinta</w:t>
            </w:r>
            <w:r w:rsidR="00001818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argumentuota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kodėl jos atmestos?</w:t>
            </w:r>
          </w:p>
        </w:tc>
        <w:tc>
          <w:tcPr>
            <w:tcW w:w="850" w:type="dxa"/>
          </w:tcPr>
          <w:p w14:paraId="53AD0B71" w14:textId="15187DA7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23820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4E4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280F9323" w14:textId="6E7A6DB4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15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E79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DD98DE3" w14:textId="0F7A4C6D" w:rsidR="00106EEC" w:rsidRPr="0021025D" w:rsidRDefault="0044274A" w:rsidP="007C5D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ateikti argument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uoti paaiškinimai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kuriais remiantis atmest</w:t>
            </w:r>
            <w:r w:rsidR="00824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alternatyva (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„Status quo“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alternatyva (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„Tobulin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infrastruktūr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nekeičiant teisinio reguliavimo“</w:t>
            </w:r>
            <w:r w:rsidR="000D6E7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224E4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 aiškus pagrindimas, kodėl siūloma pasirinkti III alternatyvą („Reglamentuoti pakartotin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sveikatos duomenų naudojim</w:t>
            </w:r>
            <w:r w:rsidR="00B017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santykius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“).</w:t>
            </w:r>
          </w:p>
          <w:p w14:paraId="32CB82EB" w14:textId="77777777" w:rsidR="00B017C1" w:rsidRDefault="000C371B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Atkreiptinas dėmesys, kad pasirinkt</w:t>
            </w:r>
            <w:r w:rsidR="00F91A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</w:t>
            </w:r>
            <w:r w:rsidR="00F91A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5000C7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765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</w:t>
            </w:r>
            <w:r w:rsidR="009E1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kompleksišką problemos sprendimą, apimantį</w:t>
            </w:r>
            <w:r w:rsidR="00F91A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tik naują reguliavimą, </w:t>
            </w:r>
            <w:r w:rsidR="009E1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</w:t>
            </w:r>
            <w:r w:rsidR="004765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su tuo susijusius institucinius pertvarkymus bei </w:t>
            </w:r>
            <w:r w:rsidR="009E1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sveikatos duomenų teik</w:t>
            </w:r>
            <w:r w:rsidR="004765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</w:t>
            </w:r>
            <w:r w:rsidR="009E1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ui reika</w:t>
            </w:r>
            <w:r w:rsidR="004765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9E1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ingos infrastruktūros sukūrimą</w:t>
            </w:r>
            <w:r w:rsidR="004765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E1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88C68C6" w14:textId="61D2A299" w:rsidR="00AC3A84" w:rsidRPr="0021025D" w:rsidRDefault="00B017C1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</w:t>
            </w:r>
            <w:r w:rsidR="003729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kalbant apie institucinį aptariamos srities sutvarkymą, poveikio vertinimo pažymoje neišvengta tam tikrų prieštaravimų.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III alternatyvoje, kuri 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tinkamiausia, </w:t>
            </w:r>
            <w:r w:rsidR="003729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siūloma steigti naują instituciją arba naujas funkcijas perduoti kuriai nors iš veikiančių institucijų.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Tuo tarpu kitose poveikio vertinimo pažymos dalyse </w:t>
            </w:r>
            <w:r w:rsidR="003729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deklaruojamas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aiškus pasirinkimas</w:t>
            </w:r>
            <w:r w:rsidR="003729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3729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naujas funkcijas Lietuvos statistikos departamentui.</w:t>
            </w:r>
          </w:p>
        </w:tc>
      </w:tr>
      <w:tr w:rsidR="00106EEC" w:rsidRPr="008241C5" w14:paraId="7A564205" w14:textId="449EB531" w:rsidTr="007D742C">
        <w:trPr>
          <w:trHeight w:val="410"/>
        </w:trPr>
        <w:tc>
          <w:tcPr>
            <w:tcW w:w="2411" w:type="dxa"/>
            <w:vMerge w:val="restart"/>
          </w:tcPr>
          <w:p w14:paraId="016270AB" w14:textId="01CF5BF7" w:rsidR="00106EEC" w:rsidRPr="004E18B0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Siūlomos priemonės problemai spręsti</w:t>
            </w:r>
          </w:p>
        </w:tc>
        <w:tc>
          <w:tcPr>
            <w:tcW w:w="6379" w:type="dxa"/>
          </w:tcPr>
          <w:p w14:paraId="416A10F8" w14:textId="15A19380" w:rsidR="00106EEC" w:rsidRPr="0021025D" w:rsidRDefault="00106EEC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5.1. Ar siūlomos priemonės problemai spręsti nurodytos trumpai ir aiškiai?</w:t>
            </w:r>
          </w:p>
        </w:tc>
        <w:tc>
          <w:tcPr>
            <w:tcW w:w="850" w:type="dxa"/>
          </w:tcPr>
          <w:p w14:paraId="5BFC0F70" w14:textId="4B9046A1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91619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FC3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42BE19BD" w14:textId="6FE925EF" w:rsidR="00106EEC" w:rsidRPr="0021025D" w:rsidRDefault="004071ED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3791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79A0021" w14:textId="11F14A8A" w:rsidR="00106EEC" w:rsidRPr="0021025D" w:rsidRDefault="00106EEC" w:rsidP="007C5DD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06EEC" w:rsidRPr="00561637" w14:paraId="64D56DED" w14:textId="77777777" w:rsidTr="007D742C">
        <w:trPr>
          <w:trHeight w:val="410"/>
        </w:trPr>
        <w:tc>
          <w:tcPr>
            <w:tcW w:w="2411" w:type="dxa"/>
            <w:vMerge/>
          </w:tcPr>
          <w:p w14:paraId="02D9C574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8E7E0BA" w14:textId="7D807754" w:rsidR="00106EEC" w:rsidRPr="0021025D" w:rsidRDefault="00106EEC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5.2. Ar pasiūlytos priemonės </w:t>
            </w:r>
            <w:r w:rsidR="00200F91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sprendžia</w:t>
            </w:r>
            <w:r w:rsidR="00A026C6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problem</w:t>
            </w:r>
            <w:r w:rsidR="00200F91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?</w:t>
            </w:r>
          </w:p>
        </w:tc>
        <w:tc>
          <w:tcPr>
            <w:tcW w:w="850" w:type="dxa"/>
          </w:tcPr>
          <w:p w14:paraId="7F7D93B2" w14:textId="3697082F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28160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FC3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22A53CA1" w14:textId="0F9822B5" w:rsidR="00106EEC" w:rsidRPr="0021025D" w:rsidRDefault="004071ED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044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813A609" w14:textId="4B7A9BDA" w:rsidR="00106EEC" w:rsidRPr="009408F7" w:rsidRDefault="005000C7" w:rsidP="009408F7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D86FC3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asiūlytos priemonės </w:t>
            </w:r>
            <w:r w:rsidR="00D416C6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yra tinkamos ir </w:t>
            </w:r>
            <w:r w:rsidR="00D86FC3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gali 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</w:t>
            </w:r>
            <w:r w:rsidR="00D86FC3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spręsti problemą. </w:t>
            </w:r>
            <w:r w:rsidR="004765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Tačiau</w:t>
            </w:r>
            <w:r w:rsidR="008B11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  <w:r w:rsidR="00690EE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įvertinus tai, ka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8B11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pakartotino sveikatos duomenų naudojimo sritis iki šiol nebuvo reglamentuota, 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kad </w:t>
            </w:r>
            <w:r w:rsidR="008B11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valstybės institucijo</w:t>
            </w:r>
            <w:r w:rsidR="004D59F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</w:t>
            </w:r>
            <w:r w:rsidR="008B11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4D59F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atsiras naujų</w:t>
            </w:r>
            <w:r w:rsidR="008B11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funkcijų</w:t>
            </w:r>
            <w:r w:rsidR="004D59F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kad </w:t>
            </w:r>
            <w:r w:rsidR="004D59F2" w:rsidRPr="004D59F2">
              <w:rPr>
                <w:rFonts w:ascii="Times New Roman" w:hAnsi="Times New Roman"/>
                <w:sz w:val="24"/>
                <w:szCs w:val="24"/>
                <w:lang w:val="lt-LT"/>
              </w:rPr>
              <w:t>sveikatos duomenų pakartotini</w:t>
            </w:r>
            <w:r w:rsidR="004D59F2">
              <w:rPr>
                <w:rFonts w:ascii="Times New Roman" w:hAnsi="Times New Roman"/>
                <w:sz w:val="24"/>
                <w:szCs w:val="24"/>
                <w:lang w:val="lt-LT"/>
              </w:rPr>
              <w:t>am</w:t>
            </w:r>
            <w:r w:rsidR="004D59F2" w:rsidRPr="004D59F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naudojim</w:t>
            </w:r>
            <w:r w:rsidR="004D59F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ui </w:t>
            </w:r>
            <w:r w:rsidR="004535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EF118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reikės </w:t>
            </w:r>
            <w:r w:rsidR="0045358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pritaikyti </w:t>
            </w:r>
            <w:r w:rsidR="00AB61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VDV </w:t>
            </w:r>
            <w:r w:rsidR="00EF118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informacinę sistemą</w:t>
            </w:r>
            <w:r w:rsidR="00690EE2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4D59F2">
              <w:rPr>
                <w:rFonts w:ascii="Times New Roman" w:hAnsi="Times New Roman"/>
                <w:b/>
                <w:bCs/>
              </w:rPr>
              <w:t xml:space="preserve"> </w:t>
            </w:r>
            <w:r w:rsidR="004765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išlieka tam tikr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ų objektyvių rizikų, kurios gali apsunkinti </w:t>
            </w:r>
            <w:r w:rsidR="00690EE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praktin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</w:t>
            </w:r>
            <w:r w:rsidR="00F6132E" w:rsidRPr="00F6132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</w:t>
            </w:r>
            <w:r w:rsidR="00F6132E" w:rsidRPr="00F613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akartotinio sveikatos duomenų naudojimo</w:t>
            </w:r>
            <w:r w:rsidR="00690EE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įstatymo įgyvendinim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="00EF118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(beje, šios rizikos tinkamai aprašytos „Tikslinių grupių“ skiltyje)</w:t>
            </w:r>
            <w:r w:rsidR="00690EE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Todėl s</w:t>
            </w:r>
            <w:r w:rsidR="000C22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iūlyt</w:t>
            </w:r>
            <w:r w:rsidR="009408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ina</w:t>
            </w:r>
            <w:r w:rsidR="000C22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 įstatymo projektą įtraukti </w:t>
            </w:r>
            <w:r w:rsidR="000C2207" w:rsidRPr="00D829B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r w:rsidR="000C2207"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uostat</w:t>
            </w:r>
            <w:r w:rsidR="009408F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="000C2207"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dėl teisinio reguliavimo poveikio </w:t>
            </w:r>
            <w:r w:rsidR="000C2207" w:rsidRPr="009408F7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ex post</w:t>
            </w:r>
            <w:r w:rsidR="000C2207" w:rsidRPr="00D829B8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</w:t>
            </w:r>
            <w:r w:rsidR="000C2207"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vertinim</w:t>
            </w:r>
            <w:r w:rsidR="009408F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o</w:t>
            </w:r>
            <w:r w:rsidR="000C2207"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(remiantis Teisėkūros pagrindų įstatymo 24 str. 1 d.)</w:t>
            </w:r>
            <w:r w:rsidR="00DA6B5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  <w:tr w:rsidR="00106EEC" w:rsidRPr="0021025D" w14:paraId="110EB289" w14:textId="0A03B7FA" w:rsidTr="007D742C">
        <w:trPr>
          <w:trHeight w:val="411"/>
        </w:trPr>
        <w:tc>
          <w:tcPr>
            <w:tcW w:w="2411" w:type="dxa"/>
            <w:vMerge w:val="restart"/>
          </w:tcPr>
          <w:p w14:paraId="43258119" w14:textId="3FCC9BAC" w:rsidR="00106EEC" w:rsidRPr="004E18B0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Tikslinės grupės, kurias gali paveikti teisės akto įgyvendinimas</w:t>
            </w:r>
          </w:p>
        </w:tc>
        <w:tc>
          <w:tcPr>
            <w:tcW w:w="6379" w:type="dxa"/>
          </w:tcPr>
          <w:p w14:paraId="0071A5B1" w14:textId="6AFE09DD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6.1. Ar įvardintos konkrečios tikslinės grupės, kurias tiesiogiai </w:t>
            </w:r>
            <w:r w:rsidR="00180AC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/ ar netiesiogiai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paveiks siūlomas reguliavimas?</w:t>
            </w:r>
          </w:p>
        </w:tc>
        <w:tc>
          <w:tcPr>
            <w:tcW w:w="850" w:type="dxa"/>
          </w:tcPr>
          <w:p w14:paraId="05B09531" w14:textId="70A7B929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02495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FF7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7C95BA32" w14:textId="62583C3C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953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BB597F5" w14:textId="026A35D5" w:rsidR="00106EEC" w:rsidRPr="0021025D" w:rsidRDefault="00106EEC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6EEC" w:rsidRPr="00561637" w14:paraId="750071DE" w14:textId="77777777" w:rsidTr="007D742C">
        <w:trPr>
          <w:trHeight w:val="411"/>
        </w:trPr>
        <w:tc>
          <w:tcPr>
            <w:tcW w:w="2411" w:type="dxa"/>
            <w:vMerge/>
          </w:tcPr>
          <w:p w14:paraId="72E7E5C1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7920A283" w14:textId="70A8D51D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180AC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Ar pateiktas vertinimas, kaip siūlomas reguliavimas paveiks </w:t>
            </w:r>
            <w:r w:rsidRPr="000D4A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kiekvieną iš išvardintų grupių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(tiesioginis ir </w:t>
            </w:r>
            <w:r w:rsidR="00180AC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/ar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netiesioginis poveikis)</w:t>
            </w:r>
            <w:r w:rsidR="00A026C6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pagrįstas argumentais ir / ar kiekybiniais vertinimais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850" w:type="dxa"/>
          </w:tcPr>
          <w:p w14:paraId="2AD8291B" w14:textId="15EFC214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4739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A3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740777D1" w14:textId="6A9D4575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403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A3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8C936C" w14:textId="090CAB83" w:rsidR="00531FF7" w:rsidRPr="0021025D" w:rsidRDefault="00D416C6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</w:t>
            </w:r>
            <w:r w:rsidR="00C662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tikslinėms grupėms </w:t>
            </w:r>
            <w:r w:rsidR="00C662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vertinimas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aprašomojo pobūdžio, 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tačiau paskutinėje poveikio vertinimo versijoje 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daugiau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kiekybini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106EEC" w:rsidRPr="00561637" w14:paraId="22CAB152" w14:textId="10937D4E" w:rsidTr="007D742C">
        <w:trPr>
          <w:trHeight w:val="798"/>
        </w:trPr>
        <w:tc>
          <w:tcPr>
            <w:tcW w:w="2411" w:type="dxa"/>
            <w:vMerge w:val="restart"/>
          </w:tcPr>
          <w:p w14:paraId="5D9B698A" w14:textId="223AE6B5" w:rsidR="00106EEC" w:rsidRPr="004E18B0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Apibendrinti poveikio vertinimo rezultatai</w:t>
            </w:r>
          </w:p>
          <w:p w14:paraId="62AFB9E0" w14:textId="369AAE06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841CB11" w14:textId="284349D8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7.1. </w:t>
            </w:r>
            <w:r w:rsidR="00180AC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visais reikiamais aspektais įvertintas siūlomo reguliavimo poveikis (teigiamas ir / ar neigiamas)?</w:t>
            </w:r>
          </w:p>
        </w:tc>
        <w:tc>
          <w:tcPr>
            <w:tcW w:w="850" w:type="dxa"/>
          </w:tcPr>
          <w:p w14:paraId="396994AF" w14:textId="130826E8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102864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B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1B5BB7C4" w14:textId="2279BF4A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379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53AD103" w14:textId="1D69B850" w:rsidR="00106EEC" w:rsidRPr="0021025D" w:rsidRDefault="0073497B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Reguliavimo poveikis yra įvertintas šiais aspektais: poveikis  reguliuojamiems visuomeniniams santykiams, valstybės finansams, inovacijoms, verslo sąlygoms, valstybės institucinei sandarai.</w:t>
            </w:r>
            <w:r w:rsidR="00D416C6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Darytina prielaida, kad įvertinti visi reikiami </w:t>
            </w:r>
            <w:r w:rsidR="000D4A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poveikio </w:t>
            </w:r>
            <w:r w:rsidR="00D416C6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aspektai.</w:t>
            </w:r>
            <w:r w:rsidR="00DA6B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70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Paskutinėje poveikio vertinimo versijoje pateiktas detalesnis poveikis valstybės finansams.</w:t>
            </w:r>
            <w:r w:rsidR="006970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6B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Neigiamas poveikis, išskyrus papildom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DA6B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valstybės biudžeto asignavim</w:t>
            </w:r>
            <w:r w:rsidR="002876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poreikį</w:t>
            </w:r>
            <w:r w:rsidR="00DA6B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nebuvo identifikuotas. </w:t>
            </w:r>
          </w:p>
        </w:tc>
      </w:tr>
      <w:tr w:rsidR="00106EEC" w:rsidRPr="0021025D" w14:paraId="03054482" w14:textId="77777777" w:rsidTr="007D742C">
        <w:trPr>
          <w:trHeight w:val="798"/>
        </w:trPr>
        <w:tc>
          <w:tcPr>
            <w:tcW w:w="2411" w:type="dxa"/>
            <w:vMerge/>
          </w:tcPr>
          <w:p w14:paraId="26E557E2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B7DBD4E" w14:textId="50F33993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="00180AC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Ar vertinimai pagrįsti </w:t>
            </w:r>
            <w:r w:rsidRPr="00895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argumentais ir</w:t>
            </w:r>
            <w:r w:rsidR="00CA10FE" w:rsidRPr="00895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95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CA10FE" w:rsidRPr="00895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95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kiekybiniais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duomenimis?</w:t>
            </w:r>
          </w:p>
        </w:tc>
        <w:tc>
          <w:tcPr>
            <w:tcW w:w="850" w:type="dxa"/>
          </w:tcPr>
          <w:p w14:paraId="1EDB6D10" w14:textId="781072D2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988668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D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11D4319B" w14:textId="1E0050EA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362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A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47FB9BD" w14:textId="078FBDEB" w:rsidR="00855C1D" w:rsidRPr="0021025D" w:rsidRDefault="00326262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Poveikio vertinimo rezultatai pagrįsti tinkamais argumentais, </w:t>
            </w:r>
            <w:r w:rsidR="001B34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svarbiausi poveikio valstybės finansams komponentai (įgaliotos institucijos darbuotojų </w:t>
            </w:r>
            <w:r w:rsidR="001B34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atlyginima</w:t>
            </w:r>
            <w:r w:rsidR="00DA6B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1B34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sveikatos duomenų pakartotino naudojimo 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platformos</w:t>
            </w:r>
            <w:r w:rsidR="001B34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sukūrimas ir 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informacinės sistemos </w:t>
            </w:r>
            <w:r w:rsidR="001B34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palaikymas) įvertinti kiekybiškai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134D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622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Poveikis kitoms sritims yra daugiausia aprašomojo pobūdžio.</w:t>
            </w:r>
          </w:p>
        </w:tc>
      </w:tr>
      <w:tr w:rsidR="00106EEC" w:rsidRPr="0021025D" w14:paraId="777EDEAE" w14:textId="3C7111FE" w:rsidTr="007D742C">
        <w:trPr>
          <w:trHeight w:val="411"/>
        </w:trPr>
        <w:tc>
          <w:tcPr>
            <w:tcW w:w="2411" w:type="dxa"/>
            <w:vMerge w:val="restart"/>
          </w:tcPr>
          <w:p w14:paraId="7BE3EBE9" w14:textId="2970A191" w:rsidR="00106EEC" w:rsidRPr="004E18B0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Informacija apie viešąsias konsultacijas</w:t>
            </w:r>
          </w:p>
        </w:tc>
        <w:tc>
          <w:tcPr>
            <w:tcW w:w="6379" w:type="dxa"/>
          </w:tcPr>
          <w:p w14:paraId="5BFEEFCF" w14:textId="47AB9801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 Ar vykdytos viešosios konsultacijos?</w:t>
            </w:r>
          </w:p>
        </w:tc>
        <w:tc>
          <w:tcPr>
            <w:tcW w:w="850" w:type="dxa"/>
          </w:tcPr>
          <w:p w14:paraId="349D77FF" w14:textId="69DB4F33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84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419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75389B5A" w14:textId="18114050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5692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8CC1610" w14:textId="6DCCCB8C" w:rsidR="00106EEC" w:rsidRPr="0021025D" w:rsidRDefault="00106EEC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6EEC" w:rsidRPr="0021025D" w14:paraId="08B8E723" w14:textId="77777777" w:rsidTr="007D742C">
        <w:trPr>
          <w:trHeight w:val="411"/>
        </w:trPr>
        <w:tc>
          <w:tcPr>
            <w:tcW w:w="2411" w:type="dxa"/>
            <w:vMerge/>
          </w:tcPr>
          <w:p w14:paraId="6312A74D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3DA3A574" w14:textId="0EE8BE4A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 Ar pateikti apibendrinti viešųjų konsultacijų rezultatai (konsultacijų tikslas, su kuo konsultuotasi, paaiškinama, kaip konsultacijų rezultatai panaudoti rengiant teisės akto projektą ar jo galimo poveikio įvertinimą) ?</w:t>
            </w:r>
          </w:p>
        </w:tc>
        <w:tc>
          <w:tcPr>
            <w:tcW w:w="850" w:type="dxa"/>
          </w:tcPr>
          <w:p w14:paraId="7C3392E4" w14:textId="26EFCB77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776403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419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4A0F2B7B" w14:textId="61972871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891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303ED71" w14:textId="122D1D1D" w:rsidR="00106EEC" w:rsidRPr="0021025D" w:rsidRDefault="001F5801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</w:t>
            </w:r>
            <w:r w:rsidR="0097041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apibendrinti 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fokus grupės</w:t>
            </w:r>
            <w:r w:rsidR="0097041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rezultatai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</w:t>
            </w:r>
            <w:r w:rsidR="00A859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šioje grupėje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dalyvavo ne visų tikslinių grupių atstovai (nebuvo organizacijų, atstovaujančių pacientų interesus)</w:t>
            </w:r>
            <w:r w:rsidR="00DA6B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B4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Viešosios konsultacijos, kurios tikslas – išsiaiškinti visuomenės požiūrį į 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pakartotiną sveikatos duomenų naudojimą</w:t>
            </w:r>
            <w:r w:rsidR="00A622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poveikio vertinimo pažymoje nėra pateikti. 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21025D" w14:paraId="29231C7F" w14:textId="28774705" w:rsidTr="007D742C">
        <w:trPr>
          <w:trHeight w:val="370"/>
        </w:trPr>
        <w:tc>
          <w:tcPr>
            <w:tcW w:w="2411" w:type="dxa"/>
            <w:vMerge/>
          </w:tcPr>
          <w:p w14:paraId="2766F495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2DF96D6" w14:textId="412716AD" w:rsidR="00106EEC" w:rsidRPr="0021025D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D4505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pateikiamas argumentuotas paaiškinimas, kodėl nevykdytos viešosios konsultacijos?</w:t>
            </w:r>
          </w:p>
        </w:tc>
        <w:tc>
          <w:tcPr>
            <w:tcW w:w="850" w:type="dxa"/>
          </w:tcPr>
          <w:p w14:paraId="58164220" w14:textId="77777777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612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571A9623" w14:textId="68F3A143" w:rsidR="00106EEC" w:rsidRPr="0021025D" w:rsidRDefault="004071ED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2665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2EC512E" w14:textId="4A352453" w:rsidR="00106EEC" w:rsidRPr="0021025D" w:rsidRDefault="0064288C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06EEC" w:rsidRPr="0021025D" w14:paraId="539DD32D" w14:textId="77777777" w:rsidTr="007D742C">
        <w:trPr>
          <w:trHeight w:val="370"/>
        </w:trPr>
        <w:tc>
          <w:tcPr>
            <w:tcW w:w="2411" w:type="dxa"/>
            <w:vMerge w:val="restart"/>
          </w:tcPr>
          <w:p w14:paraId="79BCFAD6" w14:textId="0A72C830" w:rsidR="00106EEC" w:rsidRPr="001C0A4C" w:rsidRDefault="00106EEC" w:rsidP="00106EEC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0A4C">
              <w:rPr>
                <w:rFonts w:ascii="Times New Roman" w:hAnsi="Times New Roman" w:cs="Times New Roman"/>
                <w:b/>
                <w:bCs/>
                <w:lang w:val="lt-LT"/>
              </w:rPr>
              <w:t>Bendrieji reikalavimai kokybei</w:t>
            </w:r>
          </w:p>
        </w:tc>
        <w:tc>
          <w:tcPr>
            <w:tcW w:w="6379" w:type="dxa"/>
          </w:tcPr>
          <w:p w14:paraId="5E56BAD3" w14:textId="29DFF9F6" w:rsidR="00106EEC" w:rsidRPr="0021025D" w:rsidRDefault="00106EEC" w:rsidP="00106EEC">
            <w:pPr>
              <w:pStyle w:val="Sraopastraipa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kalba aiški, lengvai suprantama</w:t>
            </w:r>
            <w:r w:rsidR="00180AC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srities specialistui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  <w:p w14:paraId="475F76D2" w14:textId="4D396764" w:rsidR="00106EEC" w:rsidRPr="0021025D" w:rsidRDefault="00106EEC" w:rsidP="00180ACD">
            <w:pPr>
              <w:pStyle w:val="Sraopastraipa"/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56A2F2C3" w14:textId="7D511C32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38233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3B8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345E3766" w14:textId="44480213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318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21025D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D80071E" w14:textId="5286B66F" w:rsidR="00106EEC" w:rsidRPr="0021025D" w:rsidRDefault="003553B8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Kalba aiški ir suprantama</w:t>
            </w:r>
            <w:r w:rsidR="00C662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specialistui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423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Specifiniai terminai (pavyzdžiui, „sveikatos duomenys“) yra suprantamai paaiškinti, pateikiant konkrečius pavyzdžius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21025D" w14:paraId="4E2C7632" w14:textId="77777777" w:rsidTr="007D742C">
        <w:trPr>
          <w:trHeight w:val="370"/>
        </w:trPr>
        <w:tc>
          <w:tcPr>
            <w:tcW w:w="2411" w:type="dxa"/>
            <w:vMerge/>
          </w:tcPr>
          <w:p w14:paraId="19B8408C" w14:textId="77777777" w:rsidR="00106EEC" w:rsidRDefault="00106EEC" w:rsidP="00106EEC">
            <w:pPr>
              <w:pStyle w:val="Sraopastraipa"/>
              <w:spacing w:after="120"/>
              <w:ind w:left="360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</w:tcPr>
          <w:p w14:paraId="720B08C5" w14:textId="04A8F581" w:rsidR="00106EEC" w:rsidRPr="0021025D" w:rsidRDefault="00106EEC" w:rsidP="00106EEC">
            <w:pPr>
              <w:pStyle w:val="Sraopastraipa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dėstymas logiškas, naudojami argumentai suprantami? </w:t>
            </w:r>
          </w:p>
        </w:tc>
        <w:tc>
          <w:tcPr>
            <w:tcW w:w="850" w:type="dxa"/>
          </w:tcPr>
          <w:p w14:paraId="6D25C6DA" w14:textId="0E241ADB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64800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88C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Taip</w:t>
            </w:r>
          </w:p>
          <w:p w14:paraId="2C5C5F89" w14:textId="3831D3FB" w:rsidR="00106EEC" w:rsidRPr="0021025D" w:rsidRDefault="004071ED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5801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AA7" w:rsidRPr="0021025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21025D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EC9C8E2" w14:textId="4BD8B5ED" w:rsidR="00106EEC" w:rsidRPr="0021025D" w:rsidRDefault="00D40B3A" w:rsidP="007C5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Daugkartiniai poveikio vertinimo pažymos taisymai padarė tam tikrą neigiamą poveikį dėstymo nuoseklumui</w:t>
            </w:r>
            <w:r w:rsidR="00A622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80ACD" w:rsidRPr="0021025D" w14:paraId="1DD83623" w14:textId="77777777" w:rsidTr="001C0A4C">
        <w:trPr>
          <w:trHeight w:val="370"/>
        </w:trPr>
        <w:tc>
          <w:tcPr>
            <w:tcW w:w="2411" w:type="dxa"/>
            <w:shd w:val="clear" w:color="auto" w:fill="B4C6E7" w:themeFill="accent1" w:themeFillTint="66"/>
          </w:tcPr>
          <w:p w14:paraId="2176D00D" w14:textId="187E8EB6" w:rsidR="00180ACD" w:rsidRDefault="00180ACD" w:rsidP="00106EEC">
            <w:pPr>
              <w:pStyle w:val="Sraopastraipa"/>
              <w:spacing w:after="120"/>
              <w:ind w:left="360"/>
              <w:rPr>
                <w:b/>
                <w:bCs/>
                <w:lang w:val="lt-LT"/>
              </w:rPr>
            </w:pPr>
            <w:r w:rsidRPr="00E348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Atlikto didesnio poveikio vertinimo apibendrinančios išvados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</w:t>
            </w:r>
            <w:r w:rsidRPr="00894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rekomendacijos</w:t>
            </w:r>
          </w:p>
        </w:tc>
        <w:tc>
          <w:tcPr>
            <w:tcW w:w="12893" w:type="dxa"/>
            <w:gridSpan w:val="3"/>
          </w:tcPr>
          <w:p w14:paraId="7A1B32B5" w14:textId="194982D8" w:rsidR="00955E1C" w:rsidRPr="0021025D" w:rsidRDefault="00F92AA7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Atliktas poveikio vertinimas </w:t>
            </w:r>
            <w:r w:rsidR="001F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jo rezultatai </w:t>
            </w:r>
            <w:r w:rsidR="000D4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visiškai ar</w:t>
            </w:r>
            <w:r w:rsidR="008951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</w:t>
            </w:r>
            <w:r w:rsidR="000D4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iš dalies </w:t>
            </w: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atitinka </w:t>
            </w:r>
            <w:r w:rsidR="00803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visus</w:t>
            </w:r>
            <w:r w:rsidR="001F5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55E1C"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nustatyt</w:t>
            </w:r>
            <w:r w:rsidR="00803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us</w:t>
            </w:r>
            <w:r w:rsidR="00955E1C"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kokybės kriterij</w:t>
            </w:r>
            <w:r w:rsidR="00803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us</w:t>
            </w:r>
            <w:r w:rsidR="00955E1C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5F9CB50" w14:textId="662B6544" w:rsidR="00FB692B" w:rsidRDefault="00A82920" w:rsidP="0080303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Poveikio vertinimo forma užpildyta tinkamai, pateikta informacija atitinka formos struktūr</w:t>
            </w:r>
            <w:r w:rsidR="000540BD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pateikti argumentai 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aiškūs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suprantami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poveikio vertinimo rezultatai aprašyti tinkamai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34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</w:t>
            </w:r>
            <w:r w:rsidR="00A859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E34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daugkartiniai poveikio vertinimo pažymos taisymai padarė tam tikrą neigiamą poveikį dėstymo nuoseklumui.</w:t>
            </w:r>
          </w:p>
          <w:p w14:paraId="0E7706B5" w14:textId="56C21A52" w:rsidR="00D40B3A" w:rsidRDefault="00955E1C" w:rsidP="0080303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Išnagrinėtos ir aprašytos trys alternatyvos, 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 aiškus pagrindimas, kodėl siūloma pasirinkti III alternatyvą („Reglamentuoti pakartotin</w:t>
            </w:r>
            <w:r w:rsidR="00A622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sveikatos duomenų naudojim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santykius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“).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723D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Atkreiptinas dėmesys, kad pasirinkt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D723D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D723DA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numato kompleksišką problemos sprendimą, apimantį ne tik naują reguliavimą, bet ir su tuo susijusius institucinius pertvarkymus bei sveikatos duomenų teikimui reikalingos infrastruktūros sukūrimą.  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Teigiamai vertintina galimybė 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funkcijas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susijusias su pakartotinų sveikatos 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duomenų naudojimu,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priskirti </w:t>
            </w:r>
            <w:r w:rsidR="00A859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veikiančiai institucijai – 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statistikos departamentui (LSD)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naujiems poreikiams pritaikyti 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LSD valdomą Valstybės duomenų valdysenos informacinę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B69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ą </w:t>
            </w:r>
            <w:r w:rsidR="00A622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VDV IS)</w:t>
            </w:r>
            <w:r w:rsidR="00CB7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CB7E3F"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1B3CFD6F" w14:textId="6FBBBD8E" w:rsidR="0080303E" w:rsidRDefault="00CB7E3F" w:rsidP="0080303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Pasiūlytos priemonės yra tinkamos ir gali išspręsti problemą.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Tačiau, įvertinus tai, kad pakartotino sveikatos duomenų naudojimo sritis iki šiol nebuvo reglamentuota, kad valstybės institucijoms atsiras naujų funkcijų ir kad </w:t>
            </w:r>
            <w:r w:rsidR="0080303E" w:rsidRPr="004D59F2">
              <w:rPr>
                <w:rFonts w:ascii="Times New Roman" w:hAnsi="Times New Roman"/>
                <w:sz w:val="24"/>
                <w:szCs w:val="24"/>
                <w:lang w:val="lt-LT"/>
              </w:rPr>
              <w:t>sveikatos duomenų pakartotini</w:t>
            </w:r>
            <w:r w:rsidR="0080303E">
              <w:rPr>
                <w:rFonts w:ascii="Times New Roman" w:hAnsi="Times New Roman"/>
                <w:sz w:val="24"/>
                <w:szCs w:val="24"/>
                <w:lang w:val="lt-LT"/>
              </w:rPr>
              <w:t>am</w:t>
            </w:r>
            <w:r w:rsidR="0080303E" w:rsidRPr="004D59F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naudojim</w:t>
            </w:r>
            <w:r w:rsidR="0080303E">
              <w:rPr>
                <w:rFonts w:ascii="Times New Roman" w:hAnsi="Times New Roman"/>
                <w:sz w:val="24"/>
                <w:szCs w:val="24"/>
                <w:lang w:val="lt-LT"/>
              </w:rPr>
              <w:t>ui</w:t>
            </w:r>
            <w:r w:rsidR="008030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reikės pritaikyti </w:t>
            </w:r>
            <w:r w:rsidR="00D40B3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VDV IS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išlieka tam tikrų objektyvių rizikų, kurios gali apsunkinti praktinį </w:t>
            </w:r>
            <w:r w:rsidR="00F6132E" w:rsidRPr="00F6132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F6132E" w:rsidRPr="00F613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akartotinio sveikatos duomenų naudojimo</w:t>
            </w:r>
            <w:r w:rsidR="00F61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įstatymo įgyvendinimą. Todėl siūlytina į įstatymo projektą įtraukti </w:t>
            </w:r>
            <w:r w:rsidRPr="00D829B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r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uostat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dėl teisinio reguliavimo poveikio </w:t>
            </w:r>
            <w:r w:rsidRPr="009408F7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ex post</w:t>
            </w:r>
            <w:r w:rsidRPr="00D829B8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</w:t>
            </w:r>
            <w:r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vertinim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o</w:t>
            </w:r>
            <w:r w:rsidRPr="00D829B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(remiantis Teisėkūros pagrindų įstatymo 24 str. 1 d.)</w:t>
            </w:r>
            <w:r w:rsidR="0080303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73A2CDF" w14:textId="600E6432" w:rsidR="00142C13" w:rsidRPr="00A859B2" w:rsidRDefault="0080303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varbiausi poveikio valstybės finansams komponentai (išlaidos įgaliotos institucijos darbuotojų atlyginimams, sveikatos duomenų pakartotino naudojimo 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platformos</w:t>
            </w:r>
            <w:r w:rsidR="00D723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sukūrimas ir jos palaikymas) įvertinti kiekybiškai</w:t>
            </w:r>
            <w:r w:rsidR="00D40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1BDC0466" w14:textId="5E4FD494" w:rsidR="00C52918" w:rsidRPr="00C52918" w:rsidRDefault="00C52918" w:rsidP="00C675F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52918" w:rsidRPr="00C52918" w:rsidSect="00C675F5">
      <w:footerReference w:type="default" r:id="rId11"/>
      <w:pgSz w:w="16838" w:h="11906" w:orient="landscape"/>
      <w:pgMar w:top="1440" w:right="426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C95E" w14:textId="77777777" w:rsidR="004071ED" w:rsidRDefault="004071ED" w:rsidP="007873D2">
      <w:pPr>
        <w:spacing w:after="0" w:line="240" w:lineRule="auto"/>
      </w:pPr>
      <w:r>
        <w:separator/>
      </w:r>
    </w:p>
  </w:endnote>
  <w:endnote w:type="continuationSeparator" w:id="0">
    <w:p w14:paraId="4D31A520" w14:textId="77777777" w:rsidR="004071ED" w:rsidRDefault="004071ED" w:rsidP="0078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3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F9EE8" w14:textId="0FDEEAD3" w:rsidR="007873D2" w:rsidRDefault="007873D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2A4A5" w14:textId="77777777" w:rsidR="007873D2" w:rsidRDefault="007873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363E" w14:textId="77777777" w:rsidR="004071ED" w:rsidRDefault="004071ED" w:rsidP="007873D2">
      <w:pPr>
        <w:spacing w:after="0" w:line="240" w:lineRule="auto"/>
      </w:pPr>
      <w:r>
        <w:separator/>
      </w:r>
    </w:p>
  </w:footnote>
  <w:footnote w:type="continuationSeparator" w:id="0">
    <w:p w14:paraId="0F4B2AE8" w14:textId="77777777" w:rsidR="004071ED" w:rsidRDefault="004071ED" w:rsidP="0078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5A"/>
    <w:multiLevelType w:val="hybridMultilevel"/>
    <w:tmpl w:val="492A4330"/>
    <w:lvl w:ilvl="0" w:tplc="A60814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100"/>
    <w:multiLevelType w:val="hybridMultilevel"/>
    <w:tmpl w:val="CDEC6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2C43"/>
    <w:multiLevelType w:val="hybridMultilevel"/>
    <w:tmpl w:val="00B09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6CB"/>
    <w:multiLevelType w:val="hybridMultilevel"/>
    <w:tmpl w:val="CF360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007"/>
    <w:multiLevelType w:val="multilevel"/>
    <w:tmpl w:val="699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823C0"/>
    <w:multiLevelType w:val="hybridMultilevel"/>
    <w:tmpl w:val="398C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22997"/>
    <w:multiLevelType w:val="multilevel"/>
    <w:tmpl w:val="73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F197B"/>
    <w:multiLevelType w:val="multilevel"/>
    <w:tmpl w:val="5F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94B0F"/>
    <w:multiLevelType w:val="multilevel"/>
    <w:tmpl w:val="A0C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1655C2"/>
    <w:multiLevelType w:val="multilevel"/>
    <w:tmpl w:val="8E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C07DB"/>
    <w:multiLevelType w:val="hybridMultilevel"/>
    <w:tmpl w:val="80189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50848"/>
    <w:multiLevelType w:val="hybridMultilevel"/>
    <w:tmpl w:val="88EA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E3193"/>
    <w:multiLevelType w:val="hybridMultilevel"/>
    <w:tmpl w:val="1E8C3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F2732"/>
    <w:multiLevelType w:val="multilevel"/>
    <w:tmpl w:val="AE684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1E48F1"/>
    <w:multiLevelType w:val="hybridMultilevel"/>
    <w:tmpl w:val="24E85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4"/>
  </w:num>
  <w:num w:numId="10">
    <w:abstractNumId w:val="1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E"/>
    <w:rsid w:val="00001818"/>
    <w:rsid w:val="00006717"/>
    <w:rsid w:val="00010C36"/>
    <w:rsid w:val="00012D94"/>
    <w:rsid w:val="00034AA6"/>
    <w:rsid w:val="000521C4"/>
    <w:rsid w:val="000540BD"/>
    <w:rsid w:val="00060FF1"/>
    <w:rsid w:val="000A39E5"/>
    <w:rsid w:val="000C2207"/>
    <w:rsid w:val="000C371B"/>
    <w:rsid w:val="000D4A33"/>
    <w:rsid w:val="000D6E79"/>
    <w:rsid w:val="000F410E"/>
    <w:rsid w:val="000F6B1C"/>
    <w:rsid w:val="00100E46"/>
    <w:rsid w:val="00102F8D"/>
    <w:rsid w:val="00106EEC"/>
    <w:rsid w:val="001224E4"/>
    <w:rsid w:val="00134DA4"/>
    <w:rsid w:val="00142C13"/>
    <w:rsid w:val="001602E5"/>
    <w:rsid w:val="00160C58"/>
    <w:rsid w:val="00180ACD"/>
    <w:rsid w:val="00187D17"/>
    <w:rsid w:val="001B27CE"/>
    <w:rsid w:val="001B34DD"/>
    <w:rsid w:val="001C0A4C"/>
    <w:rsid w:val="001D41C6"/>
    <w:rsid w:val="001D5D66"/>
    <w:rsid w:val="001F5801"/>
    <w:rsid w:val="00200F91"/>
    <w:rsid w:val="0021025D"/>
    <w:rsid w:val="00212EEB"/>
    <w:rsid w:val="002214DE"/>
    <w:rsid w:val="002250C6"/>
    <w:rsid w:val="00225801"/>
    <w:rsid w:val="00246F58"/>
    <w:rsid w:val="00250719"/>
    <w:rsid w:val="00250A71"/>
    <w:rsid w:val="00257066"/>
    <w:rsid w:val="00266195"/>
    <w:rsid w:val="002863F5"/>
    <w:rsid w:val="002876D4"/>
    <w:rsid w:val="002C5012"/>
    <w:rsid w:val="002D32AF"/>
    <w:rsid w:val="002D58CE"/>
    <w:rsid w:val="00307438"/>
    <w:rsid w:val="00321ADE"/>
    <w:rsid w:val="00326262"/>
    <w:rsid w:val="003309CD"/>
    <w:rsid w:val="003342C8"/>
    <w:rsid w:val="00345284"/>
    <w:rsid w:val="00353533"/>
    <w:rsid w:val="003553B8"/>
    <w:rsid w:val="00372994"/>
    <w:rsid w:val="00386692"/>
    <w:rsid w:val="00391860"/>
    <w:rsid w:val="003A3C3F"/>
    <w:rsid w:val="003A50AA"/>
    <w:rsid w:val="003E5851"/>
    <w:rsid w:val="004071ED"/>
    <w:rsid w:val="0044274A"/>
    <w:rsid w:val="00453588"/>
    <w:rsid w:val="00476511"/>
    <w:rsid w:val="00477293"/>
    <w:rsid w:val="00482700"/>
    <w:rsid w:val="00482A95"/>
    <w:rsid w:val="004969C7"/>
    <w:rsid w:val="004A1E38"/>
    <w:rsid w:val="004B075D"/>
    <w:rsid w:val="004C3332"/>
    <w:rsid w:val="004C6982"/>
    <w:rsid w:val="004D59F2"/>
    <w:rsid w:val="004D7B76"/>
    <w:rsid w:val="004E18B0"/>
    <w:rsid w:val="004F4039"/>
    <w:rsid w:val="005000C7"/>
    <w:rsid w:val="00504656"/>
    <w:rsid w:val="0050650B"/>
    <w:rsid w:val="0051042C"/>
    <w:rsid w:val="005133F4"/>
    <w:rsid w:val="0051346F"/>
    <w:rsid w:val="00517213"/>
    <w:rsid w:val="005309B2"/>
    <w:rsid w:val="00531FF7"/>
    <w:rsid w:val="00533714"/>
    <w:rsid w:val="00561637"/>
    <w:rsid w:val="005630CC"/>
    <w:rsid w:val="0056491C"/>
    <w:rsid w:val="005653BE"/>
    <w:rsid w:val="00566B76"/>
    <w:rsid w:val="00571A7D"/>
    <w:rsid w:val="00592A8D"/>
    <w:rsid w:val="005A121B"/>
    <w:rsid w:val="005A6186"/>
    <w:rsid w:val="005C11CC"/>
    <w:rsid w:val="005D7455"/>
    <w:rsid w:val="006379E7"/>
    <w:rsid w:val="0064288C"/>
    <w:rsid w:val="0064453B"/>
    <w:rsid w:val="0064472D"/>
    <w:rsid w:val="006845FD"/>
    <w:rsid w:val="00690EE2"/>
    <w:rsid w:val="0069703F"/>
    <w:rsid w:val="006B2358"/>
    <w:rsid w:val="006B298D"/>
    <w:rsid w:val="006C2154"/>
    <w:rsid w:val="006C5E43"/>
    <w:rsid w:val="006E6823"/>
    <w:rsid w:val="006F02F0"/>
    <w:rsid w:val="00706EDF"/>
    <w:rsid w:val="0073497B"/>
    <w:rsid w:val="00750E41"/>
    <w:rsid w:val="0076002A"/>
    <w:rsid w:val="00763331"/>
    <w:rsid w:val="007772EA"/>
    <w:rsid w:val="007873D2"/>
    <w:rsid w:val="00795CAB"/>
    <w:rsid w:val="007B7987"/>
    <w:rsid w:val="007C5DD2"/>
    <w:rsid w:val="007D742C"/>
    <w:rsid w:val="007F1587"/>
    <w:rsid w:val="0080303E"/>
    <w:rsid w:val="008132E5"/>
    <w:rsid w:val="008223DC"/>
    <w:rsid w:val="008241C5"/>
    <w:rsid w:val="0083371A"/>
    <w:rsid w:val="00837D90"/>
    <w:rsid w:val="0084620E"/>
    <w:rsid w:val="00855C1D"/>
    <w:rsid w:val="008667BF"/>
    <w:rsid w:val="00872A4D"/>
    <w:rsid w:val="00894111"/>
    <w:rsid w:val="008951AD"/>
    <w:rsid w:val="008B1103"/>
    <w:rsid w:val="008E326F"/>
    <w:rsid w:val="008F4114"/>
    <w:rsid w:val="008F7EBE"/>
    <w:rsid w:val="00913FB6"/>
    <w:rsid w:val="009279AB"/>
    <w:rsid w:val="009408F7"/>
    <w:rsid w:val="009423FF"/>
    <w:rsid w:val="00955E1C"/>
    <w:rsid w:val="00970419"/>
    <w:rsid w:val="00970B42"/>
    <w:rsid w:val="00974BF6"/>
    <w:rsid w:val="00990F77"/>
    <w:rsid w:val="009A04DF"/>
    <w:rsid w:val="009B7943"/>
    <w:rsid w:val="009E18D4"/>
    <w:rsid w:val="009F5F68"/>
    <w:rsid w:val="00A026C6"/>
    <w:rsid w:val="00A02B8A"/>
    <w:rsid w:val="00A07DC6"/>
    <w:rsid w:val="00A135AD"/>
    <w:rsid w:val="00A305D6"/>
    <w:rsid w:val="00A408E9"/>
    <w:rsid w:val="00A411DB"/>
    <w:rsid w:val="00A41C15"/>
    <w:rsid w:val="00A62263"/>
    <w:rsid w:val="00A7731F"/>
    <w:rsid w:val="00A82920"/>
    <w:rsid w:val="00A859B2"/>
    <w:rsid w:val="00A979D4"/>
    <w:rsid w:val="00AA4CFF"/>
    <w:rsid w:val="00AB4AA5"/>
    <w:rsid w:val="00AB614D"/>
    <w:rsid w:val="00AC3A84"/>
    <w:rsid w:val="00AE36FD"/>
    <w:rsid w:val="00AF27B5"/>
    <w:rsid w:val="00B017C1"/>
    <w:rsid w:val="00B139B1"/>
    <w:rsid w:val="00B44D17"/>
    <w:rsid w:val="00B5084E"/>
    <w:rsid w:val="00B600B6"/>
    <w:rsid w:val="00BC0BA6"/>
    <w:rsid w:val="00BC14F0"/>
    <w:rsid w:val="00BC6861"/>
    <w:rsid w:val="00BD569A"/>
    <w:rsid w:val="00BE1495"/>
    <w:rsid w:val="00BF2BAD"/>
    <w:rsid w:val="00C13367"/>
    <w:rsid w:val="00C37C5D"/>
    <w:rsid w:val="00C4672F"/>
    <w:rsid w:val="00C4781F"/>
    <w:rsid w:val="00C52918"/>
    <w:rsid w:val="00C662EF"/>
    <w:rsid w:val="00C675F5"/>
    <w:rsid w:val="00C7341F"/>
    <w:rsid w:val="00CA10FE"/>
    <w:rsid w:val="00CA1E01"/>
    <w:rsid w:val="00CB14E9"/>
    <w:rsid w:val="00CB5663"/>
    <w:rsid w:val="00CB7E3F"/>
    <w:rsid w:val="00CC5510"/>
    <w:rsid w:val="00CF33F6"/>
    <w:rsid w:val="00CF7647"/>
    <w:rsid w:val="00D11B51"/>
    <w:rsid w:val="00D23B27"/>
    <w:rsid w:val="00D40B3A"/>
    <w:rsid w:val="00D416C6"/>
    <w:rsid w:val="00D43CAD"/>
    <w:rsid w:val="00D4505D"/>
    <w:rsid w:val="00D64C27"/>
    <w:rsid w:val="00D66820"/>
    <w:rsid w:val="00D723DA"/>
    <w:rsid w:val="00D829B8"/>
    <w:rsid w:val="00D83D41"/>
    <w:rsid w:val="00D86FC3"/>
    <w:rsid w:val="00D91A33"/>
    <w:rsid w:val="00DA6B57"/>
    <w:rsid w:val="00DC15FE"/>
    <w:rsid w:val="00DC4EA2"/>
    <w:rsid w:val="00DD14D1"/>
    <w:rsid w:val="00DE2680"/>
    <w:rsid w:val="00DE641D"/>
    <w:rsid w:val="00E30D64"/>
    <w:rsid w:val="00E32C2C"/>
    <w:rsid w:val="00E346A7"/>
    <w:rsid w:val="00E348E4"/>
    <w:rsid w:val="00E40325"/>
    <w:rsid w:val="00EA136B"/>
    <w:rsid w:val="00EC195F"/>
    <w:rsid w:val="00EC7460"/>
    <w:rsid w:val="00ED74BA"/>
    <w:rsid w:val="00EE66E2"/>
    <w:rsid w:val="00EE7BD8"/>
    <w:rsid w:val="00EF1182"/>
    <w:rsid w:val="00EF760E"/>
    <w:rsid w:val="00F00867"/>
    <w:rsid w:val="00F1011A"/>
    <w:rsid w:val="00F367FD"/>
    <w:rsid w:val="00F51E0C"/>
    <w:rsid w:val="00F55948"/>
    <w:rsid w:val="00F6132E"/>
    <w:rsid w:val="00F91A7D"/>
    <w:rsid w:val="00F92AA7"/>
    <w:rsid w:val="00FA11CF"/>
    <w:rsid w:val="00FB692B"/>
    <w:rsid w:val="00FC11C7"/>
    <w:rsid w:val="00FC254B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2F17"/>
  <w15:chartTrackingRefBased/>
  <w15:docId w15:val="{7D3882AF-70E6-4911-891A-1887FA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3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E4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79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79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79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79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79A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82700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C5291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3D2"/>
  </w:style>
  <w:style w:type="paragraph" w:styleId="Porat">
    <w:name w:val="footer"/>
    <w:basedOn w:val="prastasis"/>
    <w:link w:val="PoratDiagrama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561FF4030AA04494266F6A6AD3EADD" ma:contentTypeVersion="12" ma:contentTypeDescription="Kurkite naują dokumentą." ma:contentTypeScope="" ma:versionID="4b5b2f80fdbd30bddbf1bc78a17d5282">
  <xsd:schema xmlns:xsd="http://www.w3.org/2001/XMLSchema" xmlns:xs="http://www.w3.org/2001/XMLSchema" xmlns:p="http://schemas.microsoft.com/office/2006/metadata/properties" xmlns:ns3="9bbf328e-77ca-4f21-b247-53aa82d10e59" xmlns:ns4="1135e877-51c8-42ab-b981-f1b0fa81c186" targetNamespace="http://schemas.microsoft.com/office/2006/metadata/properties" ma:root="true" ma:fieldsID="019cc8699acb357461e58fcc091a5059" ns3:_="" ns4:_="">
    <xsd:import namespace="9bbf328e-77ca-4f21-b247-53aa82d10e59"/>
    <xsd:import namespace="1135e877-51c8-42ab-b981-f1b0fa81c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328e-77ca-4f21-b247-53aa82d10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5e877-51c8-42ab-b981-f1b0fa81c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54D83-8B87-4CDF-A1B4-18D95F38D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909F7-C792-42BC-BC85-8DAA0DB0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f328e-77ca-4f21-b247-53aa82d10e59"/>
    <ds:schemaRef ds:uri="1135e877-51c8-42ab-b981-f1b0fa81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0C24D-DD3D-4DB2-B8DF-3D6EA028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05CC5-305A-4306-859E-E8B8FD521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Saulius Kolyta</cp:lastModifiedBy>
  <cp:revision>3</cp:revision>
  <cp:lastPrinted>2020-01-02T11:01:00Z</cp:lastPrinted>
  <dcterms:created xsi:type="dcterms:W3CDTF">2021-07-07T13:34:00Z</dcterms:created>
  <dcterms:modified xsi:type="dcterms:W3CDTF">2021-07-07T13:49:00Z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0x010100D2561FF4030AA04494266F6A6AD3EADD</vt:lpwstr>
  </property>
</Properties>
</file>