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C8826" w14:textId="77777777" w:rsidR="004310D4" w:rsidRDefault="001F18EF">
      <w:pPr>
        <w:jc w:val="center"/>
      </w:pPr>
      <w:bookmarkStart w:id="0" w:name="_GoBack"/>
      <w:bookmarkEnd w:id="0"/>
      <w:r>
        <w:rPr>
          <w:noProof/>
          <w:lang w:val="en-US"/>
        </w:rPr>
        <w:drawing>
          <wp:inline distT="0" distB="0" distL="0" distR="0" wp14:anchorId="19A2A125" wp14:editId="0F0CD432">
            <wp:extent cx="424815" cy="504190"/>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BA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4815" cy="504190"/>
                    </a:xfrm>
                    <a:prstGeom prst="rect">
                      <a:avLst/>
                    </a:prstGeom>
                    <a:noFill/>
                    <a:ln>
                      <a:noFill/>
                    </a:ln>
                  </pic:spPr>
                </pic:pic>
              </a:graphicData>
            </a:graphic>
          </wp:inline>
        </w:drawing>
      </w:r>
    </w:p>
    <w:p w14:paraId="2F9FEF00" w14:textId="77777777" w:rsidR="004310D4" w:rsidRDefault="004310D4">
      <w:pPr>
        <w:jc w:val="center"/>
      </w:pPr>
    </w:p>
    <w:p w14:paraId="25A09AA2" w14:textId="77777777" w:rsidR="004310D4" w:rsidRDefault="001F18EF">
      <w:pPr>
        <w:jc w:val="center"/>
        <w:rPr>
          <w:b/>
          <w:bCs/>
        </w:rPr>
      </w:pPr>
      <w:r>
        <w:rPr>
          <w:b/>
          <w:bCs/>
        </w:rPr>
        <w:t>LIETUVOS RESPUBLIKOS KRAŠTO APSAUGOS MINISTERIJA</w:t>
      </w:r>
    </w:p>
    <w:p w14:paraId="1D590535" w14:textId="77777777" w:rsidR="004310D4" w:rsidRDefault="001F18EF">
      <w:pPr>
        <w:jc w:val="center"/>
        <w:rPr>
          <w:sz w:val="18"/>
          <w:szCs w:val="18"/>
        </w:rPr>
      </w:pPr>
      <w:r>
        <w:rPr>
          <w:b/>
          <w:bCs/>
          <w:sz w:val="18"/>
          <w:szCs w:val="18"/>
        </w:rPr>
        <w:br/>
      </w:r>
      <w:r>
        <w:rPr>
          <w:sz w:val="18"/>
          <w:szCs w:val="18"/>
        </w:rPr>
        <w:t xml:space="preserve">Biudžetinė įstaiga, Totorių g. 25, LT-01121 Vilnius, tel.: (85)  </w:t>
      </w:r>
      <w:r>
        <w:rPr>
          <w:rFonts w:eastAsiaTheme="minorHAnsi"/>
          <w:sz w:val="18"/>
          <w:szCs w:val="18"/>
        </w:rPr>
        <w:t>273 5673</w:t>
      </w:r>
      <w:r>
        <w:rPr>
          <w:sz w:val="18"/>
          <w:szCs w:val="18"/>
        </w:rPr>
        <w:t xml:space="preserve">,8 706 80 501, faks. (8 5)  264 8517, el. p. </w:t>
      </w:r>
      <w:hyperlink r:id="rId12" w:history="1">
        <w:r>
          <w:rPr>
            <w:rStyle w:val="Hipersaitas"/>
            <w:color w:val="auto"/>
            <w:sz w:val="18"/>
            <w:szCs w:val="18"/>
            <w:u w:val="none"/>
          </w:rPr>
          <w:t>kam@kam.lt</w:t>
        </w:r>
      </w:hyperlink>
      <w:r>
        <w:rPr>
          <w:sz w:val="18"/>
          <w:szCs w:val="18"/>
        </w:rPr>
        <w:t>.</w:t>
      </w:r>
    </w:p>
    <w:p w14:paraId="7B29793F" w14:textId="77777777" w:rsidR="004310D4" w:rsidRDefault="001F18EF">
      <w:pPr>
        <w:jc w:val="center"/>
        <w:rPr>
          <w:sz w:val="18"/>
          <w:szCs w:val="18"/>
        </w:rPr>
      </w:pPr>
      <w:r>
        <w:rPr>
          <w:sz w:val="18"/>
          <w:szCs w:val="18"/>
        </w:rPr>
        <w:t>Duomenys kaupiami ir saugomi Juridinių asmenų registre, kodas 188602751</w:t>
      </w:r>
    </w:p>
    <w:p w14:paraId="011D7288" w14:textId="77777777" w:rsidR="004310D4" w:rsidRDefault="001F18EF">
      <w:pPr>
        <w:jc w:val="center"/>
        <w:rPr>
          <w:sz w:val="16"/>
          <w:szCs w:val="16"/>
        </w:rPr>
      </w:pPr>
      <w:r>
        <w:rPr>
          <w:sz w:val="16"/>
          <w:szCs w:val="16"/>
        </w:rPr>
        <w:t>________________________________________________________________________________________________________________________</w:t>
      </w:r>
    </w:p>
    <w:p w14:paraId="61BF7CA2" w14:textId="77777777" w:rsidR="004310D4" w:rsidRDefault="004310D4"/>
    <w:tbl>
      <w:tblPr>
        <w:tblpPr w:leftFromText="180" w:rightFromText="180" w:vertAnchor="text" w:tblpY="-29"/>
        <w:tblW w:w="9932" w:type="dxa"/>
        <w:tblLayout w:type="fixed"/>
        <w:tblLook w:val="04A0" w:firstRow="1" w:lastRow="0" w:firstColumn="1" w:lastColumn="0" w:noHBand="0" w:noVBand="1"/>
      </w:tblPr>
      <w:tblGrid>
        <w:gridCol w:w="6022"/>
        <w:gridCol w:w="3910"/>
      </w:tblGrid>
      <w:tr w:rsidR="004310D4" w14:paraId="1833DF69" w14:textId="77777777">
        <w:trPr>
          <w:cantSplit/>
          <w:trHeight w:val="112"/>
        </w:trPr>
        <w:tc>
          <w:tcPr>
            <w:tcW w:w="6022" w:type="dxa"/>
          </w:tcPr>
          <w:p w14:paraId="0A1D39A8" w14:textId="77777777" w:rsidR="004310D4" w:rsidRDefault="001F18EF">
            <w:pPr>
              <w:tabs>
                <w:tab w:val="left" w:pos="709"/>
              </w:tabs>
            </w:pPr>
            <w:r>
              <w:t>Lietuvos Respublikos vidaus reikalų ministerijai</w:t>
            </w:r>
          </w:p>
          <w:p w14:paraId="1E39A911" w14:textId="77777777" w:rsidR="004310D4" w:rsidRDefault="004310D4">
            <w:pPr>
              <w:tabs>
                <w:tab w:val="left" w:pos="709"/>
              </w:tabs>
              <w:rPr>
                <w:lang w:eastAsia="lt-LT"/>
              </w:rPr>
            </w:pPr>
          </w:p>
        </w:tc>
        <w:tc>
          <w:tcPr>
            <w:tcW w:w="3910" w:type="dxa"/>
          </w:tcPr>
          <w:p w14:paraId="6A3B65D7" w14:textId="77777777" w:rsidR="004310D4" w:rsidRDefault="001F18EF">
            <w:pPr>
              <w:rPr>
                <w:lang w:eastAsia="lt-LT"/>
              </w:rPr>
            </w:pPr>
            <w:r>
              <w:rPr>
                <w:lang w:eastAsia="lt-LT"/>
              </w:rPr>
              <w:t xml:space="preserve">2021-                     Nr. </w:t>
            </w:r>
          </w:p>
          <w:p w14:paraId="2517AC25" w14:textId="09DD6B65" w:rsidR="004E2C55" w:rsidRDefault="004E2C55">
            <w:pPr>
              <w:rPr>
                <w:lang w:eastAsia="lt-LT"/>
              </w:rPr>
            </w:pPr>
            <w:r>
              <w:rPr>
                <w:lang w:eastAsia="lt-LT"/>
              </w:rPr>
              <w:t xml:space="preserve">2021-04-29            Nr. </w:t>
            </w:r>
            <w:r>
              <w:rPr>
                <w:rFonts w:ascii="Arial" w:hAnsi="Arial" w:cs="Arial"/>
                <w:sz w:val="20"/>
              </w:rPr>
              <w:t xml:space="preserve"> 1D-2448</w:t>
            </w:r>
          </w:p>
        </w:tc>
      </w:tr>
      <w:tr w:rsidR="004310D4" w14:paraId="13150CF1" w14:textId="77777777">
        <w:trPr>
          <w:cantSplit/>
          <w:trHeight w:val="112"/>
        </w:trPr>
        <w:tc>
          <w:tcPr>
            <w:tcW w:w="6022" w:type="dxa"/>
          </w:tcPr>
          <w:p w14:paraId="190E7C10" w14:textId="77777777" w:rsidR="004310D4" w:rsidRDefault="004310D4"/>
        </w:tc>
        <w:tc>
          <w:tcPr>
            <w:tcW w:w="3910" w:type="dxa"/>
          </w:tcPr>
          <w:p w14:paraId="5BBA3F23" w14:textId="77777777" w:rsidR="004310D4" w:rsidRDefault="004310D4">
            <w:pPr>
              <w:rPr>
                <w:lang w:eastAsia="lt-LT"/>
              </w:rPr>
            </w:pPr>
          </w:p>
        </w:tc>
      </w:tr>
    </w:tbl>
    <w:p w14:paraId="299E2A42" w14:textId="77FAB1AB" w:rsidR="004310D4" w:rsidRDefault="001F18EF">
      <w:pPr>
        <w:jc w:val="both"/>
        <w:rPr>
          <w:b/>
          <w:szCs w:val="24"/>
        </w:rPr>
      </w:pPr>
      <w:r>
        <w:rPr>
          <w:b/>
          <w:szCs w:val="24"/>
        </w:rPr>
        <w:t>DĖL TEISĖS AKTŲ PROJEKTŲ DERINIMO</w:t>
      </w:r>
    </w:p>
    <w:p w14:paraId="33C7DC00" w14:textId="77777777" w:rsidR="004310D4" w:rsidRDefault="004310D4">
      <w:pPr>
        <w:jc w:val="both"/>
        <w:rPr>
          <w:b/>
          <w:caps/>
        </w:rPr>
      </w:pPr>
    </w:p>
    <w:p w14:paraId="302EFD3C" w14:textId="77777777" w:rsidR="004310D4" w:rsidRDefault="001F18EF">
      <w:pPr>
        <w:tabs>
          <w:tab w:val="left" w:pos="851"/>
        </w:tabs>
        <w:spacing w:line="276" w:lineRule="auto"/>
        <w:ind w:firstLine="851"/>
        <w:jc w:val="both"/>
        <w:rPr>
          <w:bCs/>
          <w:color w:val="000000"/>
        </w:rPr>
      </w:pPr>
      <w:r>
        <w:rPr>
          <w:lang w:eastAsia="lt-LT"/>
        </w:rPr>
        <w:t xml:space="preserve">Krašto apsaugos ministerija išnagrinėjo pateiktą </w:t>
      </w:r>
      <w:r>
        <w:t xml:space="preserve">derinti </w:t>
      </w:r>
      <w:r>
        <w:rPr>
          <w:bCs/>
          <w:color w:val="000000"/>
        </w:rPr>
        <w:t>Lietuvos Respublikos valstybės sienos ir jos apsaugos įstatymo Nr. VIII-1666 22, 23, 26 straipsnių pakeitimo ir Įstatymo papildymo 22</w:t>
      </w:r>
      <w:r>
        <w:rPr>
          <w:bCs/>
          <w:color w:val="000000"/>
          <w:vertAlign w:val="superscript"/>
        </w:rPr>
        <w:t>1</w:t>
      </w:r>
      <w:r>
        <w:rPr>
          <w:bCs/>
          <w:color w:val="000000"/>
        </w:rPr>
        <w:t xml:space="preserve"> straipsniu įstatymo projektą, </w:t>
      </w:r>
      <w:r>
        <w:rPr>
          <w:bCs/>
          <w:iCs/>
          <w:color w:val="000000"/>
        </w:rPr>
        <w:t>Lietuvos Respublikos jūros aplinkos apsaugos įstatymo Nr. VIII-512 21 straipsnio pakeitimo įstatymo projektą</w:t>
      </w:r>
      <w:r>
        <w:rPr>
          <w:bCs/>
          <w:color w:val="000000"/>
        </w:rPr>
        <w:t xml:space="preserve"> ir Lietuvos Respublikos įstatymo „Dėl užsieniečių teisinės padėties“ Nr. IX-2206 2, 11, 19, 23, 26, 35, 98</w:t>
      </w:r>
      <w:r>
        <w:rPr>
          <w:bCs/>
          <w:color w:val="000000"/>
          <w:vertAlign w:val="superscript"/>
        </w:rPr>
        <w:t>1</w:t>
      </w:r>
      <w:r>
        <w:rPr>
          <w:bCs/>
          <w:color w:val="000000"/>
        </w:rPr>
        <w:t>, 124, 125, 133, 140</w:t>
      </w:r>
      <w:r>
        <w:rPr>
          <w:bCs/>
          <w:color w:val="000000"/>
          <w:vertAlign w:val="superscript"/>
        </w:rPr>
        <w:t>3</w:t>
      </w:r>
      <w:r>
        <w:rPr>
          <w:bCs/>
          <w:color w:val="000000"/>
        </w:rPr>
        <w:t xml:space="preserve"> straipsnių ir priedo pakeitimo ir Įstatymo papildymo 20</w:t>
      </w:r>
      <w:r>
        <w:rPr>
          <w:bCs/>
          <w:color w:val="000000"/>
          <w:vertAlign w:val="superscript"/>
        </w:rPr>
        <w:t>1</w:t>
      </w:r>
      <w:r>
        <w:rPr>
          <w:bCs/>
          <w:color w:val="000000"/>
        </w:rPr>
        <w:t xml:space="preserve"> straipsniu įstatymo projektą (toliau – įstatymų projektai). </w:t>
      </w:r>
    </w:p>
    <w:p w14:paraId="34A8F222" w14:textId="2D18402E" w:rsidR="00C5099D" w:rsidRDefault="001F18EF">
      <w:pPr>
        <w:tabs>
          <w:tab w:val="left" w:pos="851"/>
        </w:tabs>
        <w:spacing w:line="276" w:lineRule="auto"/>
        <w:ind w:firstLine="851"/>
        <w:jc w:val="both"/>
        <w:rPr>
          <w:iCs/>
        </w:rPr>
      </w:pPr>
      <w:r>
        <w:rPr>
          <w:bCs/>
          <w:color w:val="000000"/>
        </w:rPr>
        <w:t>Informuojam</w:t>
      </w:r>
      <w:r w:rsidR="00F26871">
        <w:rPr>
          <w:bCs/>
          <w:color w:val="000000"/>
        </w:rPr>
        <w:t>e</w:t>
      </w:r>
      <w:r>
        <w:rPr>
          <w:bCs/>
          <w:color w:val="000000"/>
        </w:rPr>
        <w:t>, kad pastabų dėl įstatymų projektų neturime, tačiau norime atkreipti dėmesį į kai kurias nuostatas</w:t>
      </w:r>
      <w:r w:rsidR="00C5099D">
        <w:rPr>
          <w:bCs/>
          <w:color w:val="000000"/>
        </w:rPr>
        <w:t xml:space="preserve"> </w:t>
      </w:r>
      <w:r>
        <w:rPr>
          <w:bCs/>
          <w:color w:val="000000"/>
        </w:rPr>
        <w:t xml:space="preserve"> </w:t>
      </w:r>
      <w:r>
        <w:rPr>
          <w:iCs/>
        </w:rPr>
        <w:t xml:space="preserve">Lietuvos Respublikos valstybės sienos ir jos apsaugos įstatymo Nr. </w:t>
      </w:r>
      <w:r>
        <w:rPr>
          <w:caps/>
        </w:rPr>
        <w:t>VIII-1666</w:t>
      </w:r>
      <w:r>
        <w:rPr>
          <w:iCs/>
        </w:rPr>
        <w:t xml:space="preserve"> 22, 23, 26 straipsnių pakeitimo ir Įstatymo papildymo 22</w:t>
      </w:r>
      <w:r>
        <w:rPr>
          <w:iCs/>
          <w:vertAlign w:val="superscript"/>
        </w:rPr>
        <w:t>1</w:t>
      </w:r>
      <w:r>
        <w:rPr>
          <w:iCs/>
        </w:rPr>
        <w:t xml:space="preserve"> straipsniu įstatymo projekt</w:t>
      </w:r>
      <w:r w:rsidR="00C5099D">
        <w:rPr>
          <w:iCs/>
        </w:rPr>
        <w:t>e</w:t>
      </w:r>
      <w:r>
        <w:rPr>
          <w:iCs/>
        </w:rPr>
        <w:t xml:space="preserve"> (toliau – VSIJA projektas)</w:t>
      </w:r>
      <w:r w:rsidR="00C5099D">
        <w:rPr>
          <w:iCs/>
        </w:rPr>
        <w:t>.</w:t>
      </w:r>
    </w:p>
    <w:p w14:paraId="15B5C1C3" w14:textId="2BBFC82B" w:rsidR="004310D4" w:rsidRDefault="00C5099D">
      <w:pPr>
        <w:tabs>
          <w:tab w:val="left" w:pos="851"/>
        </w:tabs>
        <w:spacing w:line="276" w:lineRule="auto"/>
        <w:ind w:firstLine="851"/>
        <w:jc w:val="both"/>
        <w:rPr>
          <w:bCs/>
        </w:rPr>
      </w:pPr>
      <w:r>
        <w:rPr>
          <w:iCs/>
        </w:rPr>
        <w:t xml:space="preserve">VSIJA projekto </w:t>
      </w:r>
      <w:r w:rsidR="001F18EF">
        <w:rPr>
          <w:iCs/>
        </w:rPr>
        <w:t xml:space="preserve"> 1 straipsn</w:t>
      </w:r>
      <w:r>
        <w:rPr>
          <w:iCs/>
        </w:rPr>
        <w:t>io</w:t>
      </w:r>
      <w:r w:rsidR="001F18EF">
        <w:rPr>
          <w:iCs/>
        </w:rPr>
        <w:t xml:space="preserve">,  kuriuo keičiamas </w:t>
      </w:r>
      <w:r w:rsidR="00E36392">
        <w:rPr>
          <w:iCs/>
        </w:rPr>
        <w:t xml:space="preserve">įstatymo </w:t>
      </w:r>
      <w:r w:rsidR="001F18EF">
        <w:rPr>
          <w:iCs/>
        </w:rPr>
        <w:t>22 straipsnis, reglamentuojantis duomenų tvarkymą Valstybės sienos apsaugos tarnyboje</w:t>
      </w:r>
      <w:r>
        <w:rPr>
          <w:iCs/>
        </w:rPr>
        <w:t xml:space="preserve">, </w:t>
      </w:r>
      <w:r w:rsidR="001F18EF">
        <w:rPr>
          <w:bCs/>
        </w:rPr>
        <w:t xml:space="preserve">1 dalyje numatyta, kad duomenys tvarkomi </w:t>
      </w:r>
      <w:r w:rsidR="001F18EF" w:rsidRPr="004E2C55">
        <w:rPr>
          <w:bCs/>
        </w:rPr>
        <w:t>nacionalinio saugumo ir gynybos</w:t>
      </w:r>
      <w:r w:rsidR="001F18EF">
        <w:rPr>
          <w:bCs/>
          <w:i/>
        </w:rPr>
        <w:t>, valstybės sienos apsaugos, viešojo saugumo</w:t>
      </w:r>
      <w:r w:rsidR="001F18EF" w:rsidRPr="004E2C55">
        <w:rPr>
          <w:bCs/>
        </w:rPr>
        <w:t>, nusikalstamų veikų prevencijos, tyrimo, atskleidimo tikslais, o š</w:t>
      </w:r>
      <w:r w:rsidR="001F18EF" w:rsidRPr="004E2C55">
        <w:rPr>
          <w:iCs/>
        </w:rPr>
        <w:t xml:space="preserve">io straipsnio 2 dalyje numatoma, </w:t>
      </w:r>
      <w:r w:rsidR="001F18EF">
        <w:rPr>
          <w:iCs/>
        </w:rPr>
        <w:t xml:space="preserve">kad 1 dalyje </w:t>
      </w:r>
      <w:r w:rsidR="001F18EF">
        <w:rPr>
          <w:bCs/>
        </w:rPr>
        <w:t xml:space="preserve">nustatytais tikslais asmens duomenys tvarkomi, vadovaujantis Lietuvos Respublikos asmens duomenų, tvarkomų nusikalstamų veikų prevencijos, tyrimo, atskleidimo ar baudžiamojo persekiojimo už jas, bausmių vykdymo arba nacionalinio saugumo ar gynybos tikslais, teisinės apsaugos įstatymu (toliau – Teisėsaugos ADTAĮ). Pažymėtina, kad  Teisėsaugos ADTAĮ 1 straipsnio 2 dalis reglamentuoja, kad pagal šį įstatymą asmens duomenys </w:t>
      </w:r>
      <w:r w:rsidR="001F18EF" w:rsidRPr="004E2C55">
        <w:rPr>
          <w:bCs/>
        </w:rPr>
        <w:t xml:space="preserve">tvarkomi </w:t>
      </w:r>
      <w:r w:rsidR="001F18EF" w:rsidRPr="00E36392">
        <w:rPr>
          <w:bCs/>
          <w:i/>
        </w:rPr>
        <w:t>nusikalstamų veikų prevencijos, tyrimo, atskleidimo ar baudžiamojo persekiojimo už jas arba bausmių vykdymo, taip pat apsaugos nuo grėsmių visuomenės saugumui ir jų prevencijos tikslais</w:t>
      </w:r>
      <w:r w:rsidR="003F2775" w:rsidRPr="00E36392">
        <w:rPr>
          <w:bCs/>
          <w:i/>
        </w:rPr>
        <w:t>, taip pat nacionalinio saugumo ir gynybos tikslais</w:t>
      </w:r>
      <w:r w:rsidR="001F18EF" w:rsidRPr="00E36392">
        <w:rPr>
          <w:bCs/>
          <w:i/>
        </w:rPr>
        <w:t>.</w:t>
      </w:r>
      <w:r w:rsidR="00AD3526" w:rsidRPr="00AD3526">
        <w:t xml:space="preserve"> </w:t>
      </w:r>
      <w:r w:rsidR="001F18EF">
        <w:rPr>
          <w:bCs/>
        </w:rPr>
        <w:t>Manome, kad VSIJA projekto 1 straipsnio 1 dalyje išdėstyt</w:t>
      </w:r>
      <w:r w:rsidR="004E2C55">
        <w:rPr>
          <w:bCs/>
        </w:rPr>
        <w:t>i</w:t>
      </w:r>
      <w:r w:rsidR="001F18EF">
        <w:rPr>
          <w:bCs/>
        </w:rPr>
        <w:t xml:space="preserve"> tiksl</w:t>
      </w:r>
      <w:r w:rsidR="004E2C55">
        <w:rPr>
          <w:bCs/>
        </w:rPr>
        <w:t>ai (jų įvardijimas)</w:t>
      </w:r>
      <w:r w:rsidR="001F18EF">
        <w:rPr>
          <w:bCs/>
        </w:rPr>
        <w:t xml:space="preserve"> neturėtų skirtis nuo Teisėsaugos ADTAĮ 1 straipsnio 2 dalyje nurodytų tikslų, jei duomenis siekiama tvarkyti pagal Teisėsaugos ADTAĮ (suderinti projekto nuostatas su Teisėsaugos ADTAĮ galėtų padėti duomenų tvarkymo siekio nustatymas</w:t>
      </w:r>
      <w:r w:rsidR="00E36392">
        <w:rPr>
          <w:bCs/>
        </w:rPr>
        <w:t xml:space="preserve">, </w:t>
      </w:r>
      <w:r w:rsidR="001F18EF">
        <w:rPr>
          <w:bCs/>
        </w:rPr>
        <w:t>pvz.</w:t>
      </w:r>
      <w:r w:rsidR="003D2B69">
        <w:rPr>
          <w:bCs/>
        </w:rPr>
        <w:t>,</w:t>
      </w:r>
      <w:r w:rsidR="001F18EF">
        <w:rPr>
          <w:bCs/>
        </w:rPr>
        <w:t xml:space="preserve"> numatant, kad duomenys tvarkomi apsaugos nuo grėsmių visuomenės saugumui tikslais, siekiant valstybės sienos apsaugos ir viešojo saugumo ar pan.). Be to, VSIJA projekto 1 straipsnio 1 dalyje numatyta, kad joje nurodytais tikslais Valstybės sienos apsaugos tarnyba turi teisę tvarkyti ir specialių</w:t>
      </w:r>
      <w:r w:rsidR="003D2B69">
        <w:rPr>
          <w:bCs/>
        </w:rPr>
        <w:t>jų</w:t>
      </w:r>
      <w:r w:rsidR="001F18EF">
        <w:rPr>
          <w:bCs/>
        </w:rPr>
        <w:t xml:space="preserve"> kategorijų asmens duomenis, kaip jie suprantami 2016 m. balandžio 27 d. Europos Parlamento ir Tarybos reglamente (ES) 2016/679 dėl fizinių asmenų apsaugos tvarkant asmens duomenis ir dėl laisvo tokių duomenų judėjimo ir kuriuo panaikinama Direktyva 95/46/EB (Bendrasis duomenų apsaugos reglamentas). Pažymėtina, kad ne tik Bendrasis duomenų apsaugos reglamentas, bet ir Teisėsaugos ADTAĮ 8 straipsnis reglamentuoja specialiųjų kategorijų asmens duomenų tvarkymą, todėl, mūsų vertinimu, VSIJA projekto 1 straipsnio 1 dalyje </w:t>
      </w:r>
      <w:r w:rsidR="001F18EF">
        <w:rPr>
          <w:bCs/>
        </w:rPr>
        <w:lastRenderedPageBreak/>
        <w:t>nereik</w:t>
      </w:r>
      <w:r w:rsidR="003D2B69">
        <w:rPr>
          <w:bCs/>
        </w:rPr>
        <w:t>ė</w:t>
      </w:r>
      <w:r w:rsidR="001F18EF">
        <w:rPr>
          <w:bCs/>
        </w:rPr>
        <w:t xml:space="preserve">tų </w:t>
      </w:r>
      <w:r w:rsidR="003D2B69">
        <w:rPr>
          <w:bCs/>
        </w:rPr>
        <w:t xml:space="preserve">nuorodos </w:t>
      </w:r>
      <w:r w:rsidR="001F18EF">
        <w:rPr>
          <w:bCs/>
        </w:rPr>
        <w:t>į Bendrąjį duomenų apsaugos reglamentą. Taip pat</w:t>
      </w:r>
      <w:r w:rsidR="00B2603C">
        <w:rPr>
          <w:bCs/>
        </w:rPr>
        <w:t>,</w:t>
      </w:r>
      <w:r w:rsidR="001F18EF">
        <w:rPr>
          <w:bCs/>
        </w:rPr>
        <w:t xml:space="preserve"> atsižvelg</w:t>
      </w:r>
      <w:r w:rsidR="00B2603C">
        <w:rPr>
          <w:bCs/>
        </w:rPr>
        <w:t xml:space="preserve">dami </w:t>
      </w:r>
      <w:r w:rsidR="001F18EF">
        <w:rPr>
          <w:bCs/>
        </w:rPr>
        <w:t>į kituose įstatymuose (pvz.</w:t>
      </w:r>
      <w:r w:rsidR="003D2B69">
        <w:rPr>
          <w:bCs/>
        </w:rPr>
        <w:t>:</w:t>
      </w:r>
      <w:r w:rsidR="001F18EF">
        <w:rPr>
          <w:bCs/>
        </w:rPr>
        <w:t xml:space="preserve"> </w:t>
      </w:r>
      <w:r w:rsidR="001F18EF">
        <w:t>Lietuvos Respublikos krašto apsaugos sistemos organizavimo ir karo tarnybos įstatyme, Lietuvos Respublikos tarptautinių operacijų, pratybų ir kitų karinio b</w:t>
      </w:r>
      <w:r w:rsidR="003D2B69">
        <w:t>e</w:t>
      </w:r>
      <w:r w:rsidR="001F18EF">
        <w:t>ndradarbiavimo renginių įstatyme)</w:t>
      </w:r>
      <w:r w:rsidR="001F18EF">
        <w:rPr>
          <w:bCs/>
        </w:rPr>
        <w:t xml:space="preserve"> jau </w:t>
      </w:r>
      <w:r w:rsidR="003D2B69">
        <w:rPr>
          <w:bCs/>
        </w:rPr>
        <w:t xml:space="preserve">vartojamą </w:t>
      </w:r>
      <w:r w:rsidR="001F18EF">
        <w:rPr>
          <w:bCs/>
        </w:rPr>
        <w:t>įstatymo pavadinimo santrumpą, siūlytume santrumpą ,,Teisėsaugos ADTAĮ“ keisti į ,,Asmens duomenų, tvarkomų teisėsaugos ar nacionalinio saugumo tikslais, įstatymas“. Dėl VS</w:t>
      </w:r>
      <w:r w:rsidR="00E36392">
        <w:rPr>
          <w:bCs/>
        </w:rPr>
        <w:t>I</w:t>
      </w:r>
      <w:r w:rsidR="001F18EF">
        <w:rPr>
          <w:bCs/>
        </w:rPr>
        <w:t>JA projekto 1 straipsnio 9 dalies atkreipiame dėmesį, kad pagal Teisėsaugos ADTAĮ, kai asmens duomenys tvarkomi nacionalinio saugumo ir gynybos tikslais, yra kita apskundimo tvarka (gali būti skundžiama ne Valstybinei duomenų apsaugos inspekcijai, o kitam subjektui, kuris pagal Lietuvos Respublikos įstatymus, reglamentuojančius kompetentingų institucijų veiklą, nagrinėja skundus dėl žmogaus teisių ir laisvių pažeidimų (Teisėsaugos ADTAĮ 12 str. 6 p.).</w:t>
      </w:r>
    </w:p>
    <w:p w14:paraId="78D71CF2" w14:textId="063A5FDD" w:rsidR="00A877CF" w:rsidRPr="004E2C55" w:rsidRDefault="00D34E8E" w:rsidP="00A877CF">
      <w:pPr>
        <w:tabs>
          <w:tab w:val="left" w:pos="851"/>
        </w:tabs>
        <w:spacing w:line="276" w:lineRule="auto"/>
        <w:ind w:firstLine="851"/>
        <w:jc w:val="both"/>
        <w:rPr>
          <w:bCs/>
          <w:i/>
        </w:rPr>
      </w:pPr>
      <w:r>
        <w:rPr>
          <w:bCs/>
        </w:rPr>
        <w:t>A</w:t>
      </w:r>
      <w:r w:rsidR="00A877CF" w:rsidRPr="00A877CF">
        <w:rPr>
          <w:bCs/>
        </w:rPr>
        <w:t>tkreipia</w:t>
      </w:r>
      <w:r>
        <w:rPr>
          <w:bCs/>
        </w:rPr>
        <w:t>me</w:t>
      </w:r>
      <w:r w:rsidR="00A877CF" w:rsidRPr="00A877CF">
        <w:rPr>
          <w:bCs/>
        </w:rPr>
        <w:t xml:space="preserve"> dėmesį, kad nacionalinės teisės požiūriu, o būtent remiantis Įstatymo „Dėl užsieniečių teisinės padėties“ (</w:t>
      </w:r>
      <w:r w:rsidR="00A877CF">
        <w:rPr>
          <w:bCs/>
        </w:rPr>
        <w:t xml:space="preserve">toliau – </w:t>
      </w:r>
      <w:r>
        <w:rPr>
          <w:bCs/>
        </w:rPr>
        <w:t>ĮUTP) 1 str</w:t>
      </w:r>
      <w:r w:rsidR="00B2603C">
        <w:rPr>
          <w:bCs/>
        </w:rPr>
        <w:t>aipsnio</w:t>
      </w:r>
      <w:r>
        <w:rPr>
          <w:bCs/>
        </w:rPr>
        <w:t xml:space="preserve"> 3 d</w:t>
      </w:r>
      <w:r w:rsidR="00B2603C">
        <w:rPr>
          <w:bCs/>
        </w:rPr>
        <w:t>alimi</w:t>
      </w:r>
      <w:r>
        <w:rPr>
          <w:bCs/>
        </w:rPr>
        <w:t>, kurioje numatyta, kad š</w:t>
      </w:r>
      <w:r w:rsidR="00A877CF" w:rsidRPr="00A877CF">
        <w:rPr>
          <w:bCs/>
        </w:rPr>
        <w:t xml:space="preserve">is </w:t>
      </w:r>
      <w:r>
        <w:rPr>
          <w:bCs/>
        </w:rPr>
        <w:t>į</w:t>
      </w:r>
      <w:r w:rsidR="00A877CF" w:rsidRPr="00A877CF">
        <w:rPr>
          <w:bCs/>
        </w:rPr>
        <w:t>statymas netaikomas užsieniečiams, kurie naudojasi privilegijomis ir imunitetais pagal Lietuvos Respublikos tarptautine</w:t>
      </w:r>
      <w:r>
        <w:rPr>
          <w:bCs/>
        </w:rPr>
        <w:t>s sutartis ir kitus teisės aktus</w:t>
      </w:r>
      <w:r w:rsidR="00A877CF" w:rsidRPr="00A877CF">
        <w:rPr>
          <w:bCs/>
        </w:rPr>
        <w:t xml:space="preserve">, </w:t>
      </w:r>
      <w:r w:rsidR="00A877CF" w:rsidRPr="004E2C55">
        <w:rPr>
          <w:bCs/>
          <w:i/>
        </w:rPr>
        <w:t>ĮUTP nėra taikomas į L</w:t>
      </w:r>
      <w:r w:rsidR="00B2603C" w:rsidRPr="004E2C55">
        <w:rPr>
          <w:bCs/>
          <w:i/>
        </w:rPr>
        <w:t xml:space="preserve">ietuvos </w:t>
      </w:r>
      <w:r w:rsidR="00A877CF" w:rsidRPr="004E2C55">
        <w:rPr>
          <w:bCs/>
          <w:i/>
        </w:rPr>
        <w:t>R</w:t>
      </w:r>
      <w:r w:rsidR="00B2603C" w:rsidRPr="004E2C55">
        <w:rPr>
          <w:bCs/>
          <w:i/>
        </w:rPr>
        <w:t>espubliką</w:t>
      </w:r>
      <w:r w:rsidR="00A877CF" w:rsidRPr="004E2C55">
        <w:rPr>
          <w:bCs/>
          <w:i/>
        </w:rPr>
        <w:t xml:space="preserve"> tarptautinių operacijų, pratybų ir kitų renginių tikslais pagal tarptautines sutartis dėl karinių pajėgų statuso atvykstantiems asmenims.  </w:t>
      </w:r>
    </w:p>
    <w:p w14:paraId="6F7E5836" w14:textId="49DF7AA2" w:rsidR="00A877CF" w:rsidRPr="004E2C55" w:rsidRDefault="00804393" w:rsidP="00A877CF">
      <w:pPr>
        <w:tabs>
          <w:tab w:val="left" w:pos="851"/>
        </w:tabs>
        <w:spacing w:line="276" w:lineRule="auto"/>
        <w:ind w:firstLine="851"/>
        <w:jc w:val="both"/>
        <w:rPr>
          <w:bCs/>
        </w:rPr>
      </w:pPr>
      <w:r w:rsidRPr="00E36392">
        <w:rPr>
          <w:bCs/>
        </w:rPr>
        <w:t>Taip pat atkreipiame dėmesį į</w:t>
      </w:r>
      <w:r w:rsidRPr="004E2C55">
        <w:rPr>
          <w:bCs/>
          <w:i/>
        </w:rPr>
        <w:t xml:space="preserve"> </w:t>
      </w:r>
      <w:r w:rsidR="00A877CF" w:rsidRPr="004E2C55">
        <w:rPr>
          <w:bCs/>
          <w:i/>
        </w:rPr>
        <w:t>E</w:t>
      </w:r>
      <w:r w:rsidR="00B2603C" w:rsidRPr="004E2C55">
        <w:rPr>
          <w:bCs/>
          <w:i/>
        </w:rPr>
        <w:t xml:space="preserve">uropos </w:t>
      </w:r>
      <w:r w:rsidR="00A877CF" w:rsidRPr="004E2C55">
        <w:rPr>
          <w:bCs/>
          <w:i/>
        </w:rPr>
        <w:t>S</w:t>
      </w:r>
      <w:r w:rsidR="00B2603C" w:rsidRPr="004E2C55">
        <w:rPr>
          <w:bCs/>
          <w:i/>
        </w:rPr>
        <w:t>ąjungos</w:t>
      </w:r>
      <w:r w:rsidR="00A877CF" w:rsidRPr="004E2C55">
        <w:rPr>
          <w:bCs/>
          <w:i/>
        </w:rPr>
        <w:t xml:space="preserve"> sutartyse </w:t>
      </w:r>
      <w:r w:rsidR="00A877CF" w:rsidRPr="00E36392">
        <w:rPr>
          <w:bCs/>
          <w:i/>
        </w:rPr>
        <w:t>įtvirtintą principą dėl</w:t>
      </w:r>
      <w:r w:rsidR="00A877CF" w:rsidRPr="004E2C55">
        <w:rPr>
          <w:bCs/>
        </w:rPr>
        <w:t xml:space="preserve"> </w:t>
      </w:r>
      <w:r w:rsidR="00A877CF" w:rsidRPr="004E2C55">
        <w:rPr>
          <w:bCs/>
          <w:i/>
        </w:rPr>
        <w:t>nacionalinio saugumo</w:t>
      </w:r>
      <w:r w:rsidR="003E2754" w:rsidRPr="004E2C55">
        <w:rPr>
          <w:bCs/>
          <w:i/>
        </w:rPr>
        <w:t>,</w:t>
      </w:r>
      <w:r w:rsidR="00A877CF" w:rsidRPr="004E2C55">
        <w:rPr>
          <w:bCs/>
          <w:i/>
        </w:rPr>
        <w:t xml:space="preserve"> kaip išimtinės valstybių narių kompetencijos (E</w:t>
      </w:r>
      <w:r w:rsidR="00B2603C" w:rsidRPr="004E2C55">
        <w:rPr>
          <w:bCs/>
          <w:i/>
        </w:rPr>
        <w:t xml:space="preserve">uropos </w:t>
      </w:r>
      <w:r w:rsidR="00A877CF" w:rsidRPr="004E2C55">
        <w:rPr>
          <w:bCs/>
          <w:i/>
        </w:rPr>
        <w:t>S</w:t>
      </w:r>
      <w:r w:rsidR="00B2603C" w:rsidRPr="004E2C55">
        <w:rPr>
          <w:bCs/>
          <w:i/>
        </w:rPr>
        <w:t xml:space="preserve">ąjungos </w:t>
      </w:r>
      <w:r w:rsidR="00A877CF" w:rsidRPr="004E2C55">
        <w:rPr>
          <w:bCs/>
          <w:i/>
        </w:rPr>
        <w:t xml:space="preserve"> sutarties 4 str. 2 d.)</w:t>
      </w:r>
      <w:r w:rsidR="003E2754" w:rsidRPr="004E2C55">
        <w:rPr>
          <w:bCs/>
          <w:i/>
        </w:rPr>
        <w:t>,</w:t>
      </w:r>
      <w:r w:rsidR="00A877CF" w:rsidRPr="004E2C55">
        <w:rPr>
          <w:bCs/>
          <w:i/>
        </w:rPr>
        <w:t xml:space="preserve"> ir dėl prioriteto valstybių narių įsipareigojimams pagal Šiaurės Atlanto sutartį ir nacionaliniams saugumo ir gynybos poreikiams</w:t>
      </w:r>
      <w:r w:rsidR="00A877CF" w:rsidRPr="004E2C55">
        <w:rPr>
          <w:bCs/>
        </w:rPr>
        <w:t xml:space="preserve"> (</w:t>
      </w:r>
      <w:r w:rsidR="00B2603C" w:rsidRPr="004E2C55">
        <w:rPr>
          <w:bCs/>
        </w:rPr>
        <w:t xml:space="preserve">Europos Sąjungos </w:t>
      </w:r>
      <w:r w:rsidR="00A877CF" w:rsidRPr="004E2C55">
        <w:rPr>
          <w:bCs/>
        </w:rPr>
        <w:t xml:space="preserve">sutarties 42 str. </w:t>
      </w:r>
      <w:r w:rsidR="00B2603C" w:rsidRPr="004E2C55">
        <w:rPr>
          <w:bCs/>
        </w:rPr>
        <w:t xml:space="preserve"> </w:t>
      </w:r>
      <w:r w:rsidR="00A877CF" w:rsidRPr="004E2C55">
        <w:rPr>
          <w:bCs/>
        </w:rPr>
        <w:t xml:space="preserve">2 d.), taip pat Lietuvos Respublikos įsipareigojimą pagal Šiaurės Atlanto sutarties 8 straipsnį neprisiimti jokių tarptautinių įsipareigojimų, prieštaraujančių </w:t>
      </w:r>
      <w:r w:rsidR="00A877CF" w:rsidRPr="004E2C55">
        <w:rPr>
          <w:bCs/>
          <w:i/>
        </w:rPr>
        <w:t xml:space="preserve">NATO </w:t>
      </w:r>
      <w:proofErr w:type="spellStart"/>
      <w:r w:rsidR="00A877CF" w:rsidRPr="004E2C55">
        <w:rPr>
          <w:bCs/>
          <w:i/>
        </w:rPr>
        <w:t>a</w:t>
      </w:r>
      <w:r w:rsidR="00C5099D" w:rsidRPr="004E2C55">
        <w:rPr>
          <w:bCs/>
          <w:i/>
        </w:rPr>
        <w:t>c</w:t>
      </w:r>
      <w:r w:rsidR="00A877CF" w:rsidRPr="004E2C55">
        <w:rPr>
          <w:bCs/>
          <w:i/>
        </w:rPr>
        <w:t>quis</w:t>
      </w:r>
      <w:proofErr w:type="spellEnd"/>
      <w:r w:rsidR="00A877CF" w:rsidRPr="004E2C55">
        <w:rPr>
          <w:bCs/>
        </w:rPr>
        <w:t xml:space="preserve">.   </w:t>
      </w:r>
    </w:p>
    <w:p w14:paraId="5D0B09D3" w14:textId="07EAB221" w:rsidR="00A877CF" w:rsidRPr="004E2C55" w:rsidRDefault="00A877CF" w:rsidP="00A877CF">
      <w:pPr>
        <w:tabs>
          <w:tab w:val="left" w:pos="851"/>
        </w:tabs>
        <w:spacing w:line="276" w:lineRule="auto"/>
        <w:ind w:firstLine="851"/>
        <w:jc w:val="both"/>
        <w:rPr>
          <w:bCs/>
          <w:i/>
        </w:rPr>
      </w:pPr>
      <w:r w:rsidRPr="00E36392">
        <w:rPr>
          <w:bCs/>
        </w:rPr>
        <w:t>Reglamento (ES) 2018/1240</w:t>
      </w:r>
      <w:r w:rsidRPr="00A877CF">
        <w:rPr>
          <w:bCs/>
        </w:rPr>
        <w:t xml:space="preserve"> 2 </w:t>
      </w:r>
      <w:r w:rsidR="00B2603C">
        <w:rPr>
          <w:bCs/>
        </w:rPr>
        <w:t xml:space="preserve">straipsnio </w:t>
      </w:r>
      <w:r w:rsidRPr="00A877CF">
        <w:rPr>
          <w:bCs/>
        </w:rPr>
        <w:t>2 d</w:t>
      </w:r>
      <w:r w:rsidR="00B2603C">
        <w:rPr>
          <w:bCs/>
        </w:rPr>
        <w:t>alis</w:t>
      </w:r>
      <w:r w:rsidRPr="00A877CF">
        <w:rPr>
          <w:bCs/>
        </w:rPr>
        <w:t xml:space="preserve"> nustato, kad šis reglamentas </w:t>
      </w:r>
      <w:r w:rsidRPr="004E2C55">
        <w:rPr>
          <w:bCs/>
          <w:i/>
        </w:rPr>
        <w:t xml:space="preserve">netaikomas </w:t>
      </w:r>
      <w:r w:rsidR="004158DE" w:rsidRPr="004E2C55">
        <w:rPr>
          <w:bCs/>
          <w:i/>
        </w:rPr>
        <w:t xml:space="preserve"> </w:t>
      </w:r>
      <w:r w:rsidR="004158DE">
        <w:rPr>
          <w:bCs/>
        </w:rPr>
        <w:t xml:space="preserve">                   </w:t>
      </w:r>
      <w:r w:rsidR="00804393">
        <w:rPr>
          <w:bCs/>
        </w:rPr>
        <w:t>,,</w:t>
      </w:r>
      <w:r w:rsidRPr="00A877CF">
        <w:rPr>
          <w:bCs/>
        </w:rPr>
        <w:t>i) asmenims ar asmenų kategorijoms, nurodytiems Reglamento (EB) Nr. 539/2001 4 straipsnio 1 dalies a–f punktuose</w:t>
      </w:r>
      <w:r w:rsidR="00B2603C">
        <w:rPr>
          <w:bCs/>
        </w:rPr>
        <w:t>“</w:t>
      </w:r>
      <w:r w:rsidRPr="00A877CF">
        <w:rPr>
          <w:bCs/>
        </w:rPr>
        <w:t>, t.</w:t>
      </w:r>
      <w:r w:rsidR="004158DE">
        <w:rPr>
          <w:bCs/>
        </w:rPr>
        <w:t xml:space="preserve"> </w:t>
      </w:r>
      <w:r w:rsidRPr="00A877CF">
        <w:rPr>
          <w:bCs/>
        </w:rPr>
        <w:t xml:space="preserve">y. </w:t>
      </w:r>
      <w:r w:rsidR="00D34E8E">
        <w:rPr>
          <w:bCs/>
        </w:rPr>
        <w:t>,,</w:t>
      </w:r>
      <w:r w:rsidRPr="00A877CF">
        <w:rPr>
          <w:bCs/>
        </w:rPr>
        <w:t>f) tarptautinių tarpvyriausybinių organizacijų, kurių nare yra bent viena valstybė narė, ar kitų subjektų, kuriuos atitinkama valstybė narė pripažįsta tarptautinės teisės subjektais tų organizacijų ar subjektų pareigūnams išduotų kelionės dokumentų turėtojams</w:t>
      </w:r>
      <w:r w:rsidR="00B2603C">
        <w:rPr>
          <w:bCs/>
        </w:rPr>
        <w:t>“</w:t>
      </w:r>
      <w:r w:rsidRPr="00A877CF">
        <w:rPr>
          <w:bCs/>
        </w:rPr>
        <w:t>. Atsižvelgiant į Šengeno kodekso (Reglamentas (ES) 2016/</w:t>
      </w:r>
      <w:r w:rsidRPr="00A877CF">
        <w:rPr>
          <w:color w:val="000000"/>
        </w:rPr>
        <w:t>399)</w:t>
      </w:r>
      <w:r w:rsidR="00D34E8E">
        <w:rPr>
          <w:bCs/>
        </w:rPr>
        <w:t xml:space="preserve"> VII priedo 4.1 p</w:t>
      </w:r>
      <w:r w:rsidR="00B2603C">
        <w:rPr>
          <w:bCs/>
        </w:rPr>
        <w:t>apunktį</w:t>
      </w:r>
      <w:r w:rsidR="00D34E8E">
        <w:rPr>
          <w:bCs/>
        </w:rPr>
        <w:t xml:space="preserve"> (,,</w:t>
      </w:r>
      <w:r w:rsidRPr="00A877CF">
        <w:rPr>
          <w:bCs/>
        </w:rPr>
        <w:t>4.1. Trečiųjų šalių arba jų vyriausybių, kurias pripažįsta valstybės narės, išduotų  diplomatinių, pareiginių arba tarnybinių pasų turėtojams, taip pat 4.4 punkte išvardytų tarptautinių organizacijų išduotų dokumentų turėtojams, keliaujantiems tarnybos reikalais, atsižvelgiant į jų turimas specialias privilegijas ar imunitetus, sienos perėjimo punktuose gali būti suteikta pirmenybė prieš kitus keleivius, nors tam tikrais atvejais minėtiems turėtojams taikomas vizos reikalavimas</w:t>
      </w:r>
      <w:r w:rsidR="003E2754">
        <w:rPr>
          <w:bCs/>
        </w:rPr>
        <w:t>“</w:t>
      </w:r>
      <w:r w:rsidRPr="00A877CF">
        <w:rPr>
          <w:bCs/>
        </w:rPr>
        <w:t>) ir 4.4 p</w:t>
      </w:r>
      <w:r w:rsidR="003E2754">
        <w:rPr>
          <w:bCs/>
        </w:rPr>
        <w:t>apunktį</w:t>
      </w:r>
      <w:r w:rsidRPr="00A877CF">
        <w:rPr>
          <w:bCs/>
        </w:rPr>
        <w:t xml:space="preserve"> (</w:t>
      </w:r>
      <w:r w:rsidR="00D34E8E">
        <w:rPr>
          <w:bCs/>
        </w:rPr>
        <w:t>,,</w:t>
      </w:r>
      <w:r w:rsidRPr="00A877CF">
        <w:rPr>
          <w:bCs/>
        </w:rPr>
        <w:t>4.4. 4.1 punkte nurodytais tikslais tarptautinių organizacijų išduodami dokumentai visų pirma yra šie: &lt;…&gt; dokumentai, išduoti pagal Šiaurės Atlanto Sutarties Šalių susitarimo dėl jų karinių pajėgų statuso  III straipsnio 2 dalį (karinis asmens tapatybę patvirtinantis dokumentas, pateikiamas kartu su siuntimu į komandiruotę, kelionės pažyma arba asmeniniu ar kolektyviniu judėjimo įsakymu) ir dokumentai, išduoti remiantis „Partnerystės taikos labui“ programa</w:t>
      </w:r>
      <w:r w:rsidR="003E2754">
        <w:rPr>
          <w:bCs/>
        </w:rPr>
        <w:t>“</w:t>
      </w:r>
      <w:r w:rsidRPr="00A877CF">
        <w:rPr>
          <w:bCs/>
        </w:rPr>
        <w:t>)</w:t>
      </w:r>
      <w:r w:rsidR="004158DE">
        <w:rPr>
          <w:bCs/>
        </w:rPr>
        <w:t>,</w:t>
      </w:r>
      <w:r w:rsidRPr="00A877CF">
        <w:rPr>
          <w:bCs/>
        </w:rPr>
        <w:t xml:space="preserve"> </w:t>
      </w:r>
      <w:r w:rsidRPr="004E2C55">
        <w:rPr>
          <w:bCs/>
          <w:i/>
        </w:rPr>
        <w:t>atitinkamai turėtų būti suprantama, kad į L</w:t>
      </w:r>
      <w:r w:rsidR="003E2754" w:rsidRPr="004E2C55">
        <w:rPr>
          <w:bCs/>
          <w:i/>
        </w:rPr>
        <w:t xml:space="preserve">ietuvos </w:t>
      </w:r>
      <w:r w:rsidRPr="004E2C55">
        <w:rPr>
          <w:bCs/>
          <w:i/>
        </w:rPr>
        <w:t>R</w:t>
      </w:r>
      <w:r w:rsidR="003E2754" w:rsidRPr="004E2C55">
        <w:rPr>
          <w:bCs/>
          <w:i/>
        </w:rPr>
        <w:t>espubliką</w:t>
      </w:r>
      <w:r w:rsidRPr="004E2C55">
        <w:rPr>
          <w:bCs/>
          <w:i/>
        </w:rPr>
        <w:t xml:space="preserve"> pagal tarptautines sutartis dėl karinių pajėgų statuso atvykstantys karinių pajėgų nariai atleidžiami nuo Reglamento 2018/1240 taikymo.</w:t>
      </w:r>
    </w:p>
    <w:p w14:paraId="0B84C763" w14:textId="77777777" w:rsidR="004310D4" w:rsidRDefault="004310D4">
      <w:pPr>
        <w:tabs>
          <w:tab w:val="left" w:pos="1296"/>
          <w:tab w:val="center" w:pos="4153"/>
          <w:tab w:val="right" w:pos="8306"/>
        </w:tabs>
        <w:ind w:firstLine="851"/>
        <w:jc w:val="both"/>
        <w:rPr>
          <w:szCs w:val="24"/>
        </w:rPr>
      </w:pPr>
    </w:p>
    <w:p w14:paraId="7FE1CB5F" w14:textId="77777777" w:rsidR="004310D4" w:rsidRDefault="001F18EF">
      <w:pPr>
        <w:tabs>
          <w:tab w:val="right" w:pos="9638"/>
        </w:tabs>
        <w:spacing w:after="200" w:line="276" w:lineRule="auto"/>
        <w:rPr>
          <w:lang w:val="es-ES"/>
        </w:rPr>
      </w:pPr>
      <w:r>
        <w:t>Ministerijos kanclerė</w:t>
      </w:r>
      <w:r>
        <w:tab/>
        <w:t xml:space="preserve">Kristina </w:t>
      </w:r>
      <w:proofErr w:type="spellStart"/>
      <w:r>
        <w:t>Deviatnikovaitė</w:t>
      </w:r>
      <w:proofErr w:type="spellEnd"/>
    </w:p>
    <w:p w14:paraId="702361D2" w14:textId="77777777" w:rsidR="00E36392" w:rsidRDefault="00E36392">
      <w:pPr>
        <w:rPr>
          <w:rStyle w:val="llctekstas"/>
          <w:bCs/>
          <w:szCs w:val="24"/>
          <w:lang w:eastAsia="lt-LT"/>
        </w:rPr>
      </w:pPr>
    </w:p>
    <w:p w14:paraId="1443F460" w14:textId="1619A032" w:rsidR="004310D4" w:rsidRPr="004E2C55" w:rsidRDefault="001F18EF">
      <w:pPr>
        <w:rPr>
          <w:szCs w:val="24"/>
          <w:lang w:eastAsia="lt-LT"/>
        </w:rPr>
      </w:pPr>
      <w:r w:rsidRPr="00C5099D">
        <w:rPr>
          <w:rStyle w:val="llctekstas"/>
          <w:bCs/>
          <w:szCs w:val="24"/>
          <w:lang w:eastAsia="lt-LT"/>
        </w:rPr>
        <w:t xml:space="preserve">R. Karalienė, </w:t>
      </w:r>
      <w:r w:rsidRPr="00C5099D">
        <w:rPr>
          <w:color w:val="000000"/>
          <w:szCs w:val="24"/>
          <w:lang w:eastAsia="lt-LT"/>
        </w:rPr>
        <w:t>tel. 8 706 80 948, el. p. </w:t>
      </w:r>
      <w:hyperlink r:id="rId13" w:history="1">
        <w:r w:rsidR="00D34E8E" w:rsidRPr="004E2C55">
          <w:rPr>
            <w:rStyle w:val="Hipersaitas"/>
            <w:color w:val="auto"/>
            <w:szCs w:val="24"/>
            <w:u w:val="none"/>
            <w:lang w:eastAsia="lt-LT"/>
          </w:rPr>
          <w:t>Rita.Karaliene@kam.lt</w:t>
        </w:r>
      </w:hyperlink>
    </w:p>
    <w:p w14:paraId="0E02B9E8" w14:textId="77777777" w:rsidR="00D34E8E" w:rsidRPr="004E2C55" w:rsidRDefault="00D34E8E">
      <w:pPr>
        <w:rPr>
          <w:b/>
          <w:bCs/>
          <w:szCs w:val="24"/>
          <w:lang w:val="en-US" w:eastAsia="lt-LT"/>
        </w:rPr>
      </w:pPr>
      <w:r w:rsidRPr="00C5099D">
        <w:rPr>
          <w:color w:val="000000"/>
          <w:szCs w:val="24"/>
          <w:lang w:eastAsia="lt-LT"/>
        </w:rPr>
        <w:t xml:space="preserve">N. </w:t>
      </w:r>
      <w:proofErr w:type="spellStart"/>
      <w:r w:rsidRPr="00C5099D">
        <w:rPr>
          <w:color w:val="000000"/>
          <w:szCs w:val="24"/>
          <w:lang w:eastAsia="lt-LT"/>
        </w:rPr>
        <w:t>Mažeikė</w:t>
      </w:r>
      <w:proofErr w:type="spellEnd"/>
      <w:r w:rsidRPr="00C5099D">
        <w:rPr>
          <w:color w:val="000000"/>
          <w:szCs w:val="24"/>
          <w:lang w:eastAsia="lt-LT"/>
        </w:rPr>
        <w:t xml:space="preserve">, tel. </w:t>
      </w:r>
      <w:r w:rsidRPr="004E2C55">
        <w:rPr>
          <w:color w:val="000000"/>
          <w:szCs w:val="24"/>
        </w:rPr>
        <w:t xml:space="preserve">8 706 80 433, el. p. </w:t>
      </w:r>
      <w:hyperlink r:id="rId14" w:history="1">
        <w:r w:rsidRPr="004E2C55">
          <w:rPr>
            <w:rStyle w:val="Hipersaitas"/>
            <w:color w:val="auto"/>
            <w:szCs w:val="24"/>
            <w:u w:val="none"/>
          </w:rPr>
          <w:t>Neringa.Mazeike</w:t>
        </w:r>
        <w:r w:rsidRPr="004E2C55">
          <w:rPr>
            <w:rStyle w:val="Hipersaitas"/>
            <w:color w:val="auto"/>
            <w:szCs w:val="24"/>
            <w:u w:val="none"/>
            <w:lang w:val="en-US"/>
          </w:rPr>
          <w:t>@</w:t>
        </w:r>
        <w:proofErr w:type="spellStart"/>
        <w:r w:rsidRPr="004E2C55">
          <w:rPr>
            <w:rStyle w:val="Hipersaitas"/>
            <w:color w:val="auto"/>
            <w:szCs w:val="24"/>
            <w:u w:val="none"/>
            <w:lang w:val="en-US"/>
          </w:rPr>
          <w:t>kam.lt</w:t>
        </w:r>
        <w:proofErr w:type="spellEnd"/>
      </w:hyperlink>
    </w:p>
    <w:sectPr w:rsidR="00D34E8E" w:rsidRPr="004E2C55">
      <w:head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5DDFB" w14:textId="77777777" w:rsidR="00CB1A64" w:rsidRDefault="00CB1A64">
      <w:r>
        <w:separator/>
      </w:r>
    </w:p>
  </w:endnote>
  <w:endnote w:type="continuationSeparator" w:id="0">
    <w:p w14:paraId="5924A780" w14:textId="77777777" w:rsidR="00CB1A64" w:rsidRDefault="00C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C7E0C" w14:textId="77777777" w:rsidR="00CB1A64" w:rsidRDefault="00CB1A64">
      <w:r>
        <w:separator/>
      </w:r>
    </w:p>
  </w:footnote>
  <w:footnote w:type="continuationSeparator" w:id="0">
    <w:p w14:paraId="71911287" w14:textId="77777777" w:rsidR="00CB1A64" w:rsidRDefault="00CB1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044171"/>
      <w:docPartObj>
        <w:docPartGallery w:val="Page Numbers (Top of Page)"/>
        <w:docPartUnique/>
      </w:docPartObj>
    </w:sdtPr>
    <w:sdtEndPr>
      <w:rPr>
        <w:noProof/>
      </w:rPr>
    </w:sdtEndPr>
    <w:sdtContent>
      <w:p w14:paraId="0C624F60" w14:textId="4D79D4CE" w:rsidR="0030561B" w:rsidRDefault="0030561B">
        <w:pPr>
          <w:pStyle w:val="Antrats"/>
          <w:jc w:val="center"/>
        </w:pPr>
        <w:r>
          <w:fldChar w:fldCharType="begin"/>
        </w:r>
        <w:r>
          <w:instrText xml:space="preserve"> PAGE   \* MERGEFORMAT </w:instrText>
        </w:r>
        <w:r>
          <w:fldChar w:fldCharType="separate"/>
        </w:r>
        <w:r w:rsidR="00DC7D84">
          <w:rPr>
            <w:noProof/>
          </w:rPr>
          <w:t>2</w:t>
        </w:r>
        <w:r>
          <w:rPr>
            <w:noProof/>
          </w:rPr>
          <w:fldChar w:fldCharType="end"/>
        </w:r>
      </w:p>
    </w:sdtContent>
  </w:sdt>
  <w:p w14:paraId="02B2637B" w14:textId="77777777" w:rsidR="0030561B" w:rsidRDefault="003056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DE"/>
    <w:rsid w:val="00006F6C"/>
    <w:rsid w:val="00010F96"/>
    <w:rsid w:val="000462AB"/>
    <w:rsid w:val="00051023"/>
    <w:rsid w:val="00056C0F"/>
    <w:rsid w:val="00076CF0"/>
    <w:rsid w:val="000933AF"/>
    <w:rsid w:val="000E56C8"/>
    <w:rsid w:val="00103526"/>
    <w:rsid w:val="00124446"/>
    <w:rsid w:val="0012745E"/>
    <w:rsid w:val="0016208A"/>
    <w:rsid w:val="0017150E"/>
    <w:rsid w:val="00175690"/>
    <w:rsid w:val="00182154"/>
    <w:rsid w:val="00184DA8"/>
    <w:rsid w:val="001C11D2"/>
    <w:rsid w:val="001D0AE4"/>
    <w:rsid w:val="001D573A"/>
    <w:rsid w:val="001F1298"/>
    <w:rsid w:val="001F18EF"/>
    <w:rsid w:val="002047CD"/>
    <w:rsid w:val="00207194"/>
    <w:rsid w:val="00216C95"/>
    <w:rsid w:val="00227BEF"/>
    <w:rsid w:val="002303F6"/>
    <w:rsid w:val="002305C7"/>
    <w:rsid w:val="002450CD"/>
    <w:rsid w:val="00267FB9"/>
    <w:rsid w:val="002D0614"/>
    <w:rsid w:val="002D3D56"/>
    <w:rsid w:val="002D7AF5"/>
    <w:rsid w:val="002E7820"/>
    <w:rsid w:val="002F06E6"/>
    <w:rsid w:val="002F3202"/>
    <w:rsid w:val="00304F49"/>
    <w:rsid w:val="0030561B"/>
    <w:rsid w:val="00307539"/>
    <w:rsid w:val="00387804"/>
    <w:rsid w:val="00392B56"/>
    <w:rsid w:val="0039698C"/>
    <w:rsid w:val="00397FA9"/>
    <w:rsid w:val="003B1992"/>
    <w:rsid w:val="003D2B63"/>
    <w:rsid w:val="003D2B69"/>
    <w:rsid w:val="003E2754"/>
    <w:rsid w:val="003F2775"/>
    <w:rsid w:val="00401739"/>
    <w:rsid w:val="00404550"/>
    <w:rsid w:val="004158DE"/>
    <w:rsid w:val="004310D4"/>
    <w:rsid w:val="004338AB"/>
    <w:rsid w:val="00485799"/>
    <w:rsid w:val="00485D52"/>
    <w:rsid w:val="00494181"/>
    <w:rsid w:val="004B7CB3"/>
    <w:rsid w:val="004C0218"/>
    <w:rsid w:val="004E2C55"/>
    <w:rsid w:val="00515A01"/>
    <w:rsid w:val="00567C03"/>
    <w:rsid w:val="00574215"/>
    <w:rsid w:val="00583863"/>
    <w:rsid w:val="00586567"/>
    <w:rsid w:val="00593C6E"/>
    <w:rsid w:val="005A1F58"/>
    <w:rsid w:val="005A6A80"/>
    <w:rsid w:val="005B1894"/>
    <w:rsid w:val="005D4C5A"/>
    <w:rsid w:val="006012A8"/>
    <w:rsid w:val="006060EC"/>
    <w:rsid w:val="00610D11"/>
    <w:rsid w:val="00636ED5"/>
    <w:rsid w:val="006417D4"/>
    <w:rsid w:val="00647B3B"/>
    <w:rsid w:val="00670FBA"/>
    <w:rsid w:val="00673A9A"/>
    <w:rsid w:val="00677A3B"/>
    <w:rsid w:val="006A4696"/>
    <w:rsid w:val="006B5629"/>
    <w:rsid w:val="006C6598"/>
    <w:rsid w:val="007034F4"/>
    <w:rsid w:val="007060D0"/>
    <w:rsid w:val="0074547B"/>
    <w:rsid w:val="00773005"/>
    <w:rsid w:val="00780148"/>
    <w:rsid w:val="00792A0B"/>
    <w:rsid w:val="007C0C28"/>
    <w:rsid w:val="007D7FC8"/>
    <w:rsid w:val="007F26C6"/>
    <w:rsid w:val="00804393"/>
    <w:rsid w:val="008203E7"/>
    <w:rsid w:val="008372C5"/>
    <w:rsid w:val="008624AD"/>
    <w:rsid w:val="00883781"/>
    <w:rsid w:val="00897A01"/>
    <w:rsid w:val="008A7BD1"/>
    <w:rsid w:val="008B370C"/>
    <w:rsid w:val="008D58B6"/>
    <w:rsid w:val="008E603F"/>
    <w:rsid w:val="008F4EFB"/>
    <w:rsid w:val="00913129"/>
    <w:rsid w:val="00913EDE"/>
    <w:rsid w:val="00937375"/>
    <w:rsid w:val="00943617"/>
    <w:rsid w:val="00956A85"/>
    <w:rsid w:val="00976616"/>
    <w:rsid w:val="00981631"/>
    <w:rsid w:val="00984A2D"/>
    <w:rsid w:val="009955C6"/>
    <w:rsid w:val="00A07E8A"/>
    <w:rsid w:val="00A4115F"/>
    <w:rsid w:val="00A43EBB"/>
    <w:rsid w:val="00A52B6E"/>
    <w:rsid w:val="00A571DD"/>
    <w:rsid w:val="00A81800"/>
    <w:rsid w:val="00A820B0"/>
    <w:rsid w:val="00A83718"/>
    <w:rsid w:val="00A877CF"/>
    <w:rsid w:val="00A97F56"/>
    <w:rsid w:val="00AA5351"/>
    <w:rsid w:val="00AB0A02"/>
    <w:rsid w:val="00AB213E"/>
    <w:rsid w:val="00AB7233"/>
    <w:rsid w:val="00AD3526"/>
    <w:rsid w:val="00AE5AAA"/>
    <w:rsid w:val="00B12896"/>
    <w:rsid w:val="00B2603C"/>
    <w:rsid w:val="00B372CE"/>
    <w:rsid w:val="00B37E25"/>
    <w:rsid w:val="00B5028C"/>
    <w:rsid w:val="00B548AD"/>
    <w:rsid w:val="00B73281"/>
    <w:rsid w:val="00B76B2C"/>
    <w:rsid w:val="00B842FB"/>
    <w:rsid w:val="00B86699"/>
    <w:rsid w:val="00B95CFC"/>
    <w:rsid w:val="00BA3B64"/>
    <w:rsid w:val="00BB4A48"/>
    <w:rsid w:val="00C1016D"/>
    <w:rsid w:val="00C169E1"/>
    <w:rsid w:val="00C32627"/>
    <w:rsid w:val="00C4622A"/>
    <w:rsid w:val="00C5099D"/>
    <w:rsid w:val="00C836EB"/>
    <w:rsid w:val="00C8752F"/>
    <w:rsid w:val="00CA0027"/>
    <w:rsid w:val="00CA5B50"/>
    <w:rsid w:val="00CB1A64"/>
    <w:rsid w:val="00CD496D"/>
    <w:rsid w:val="00CF56D3"/>
    <w:rsid w:val="00D042E4"/>
    <w:rsid w:val="00D33073"/>
    <w:rsid w:val="00D347A5"/>
    <w:rsid w:val="00D34E8E"/>
    <w:rsid w:val="00D52D98"/>
    <w:rsid w:val="00D548E3"/>
    <w:rsid w:val="00D56C94"/>
    <w:rsid w:val="00DA273E"/>
    <w:rsid w:val="00DB34C4"/>
    <w:rsid w:val="00DB54B0"/>
    <w:rsid w:val="00DB62A2"/>
    <w:rsid w:val="00DC7D84"/>
    <w:rsid w:val="00DE0508"/>
    <w:rsid w:val="00DE2E6A"/>
    <w:rsid w:val="00E10136"/>
    <w:rsid w:val="00E11E2F"/>
    <w:rsid w:val="00E25136"/>
    <w:rsid w:val="00E33873"/>
    <w:rsid w:val="00E36392"/>
    <w:rsid w:val="00E37C18"/>
    <w:rsid w:val="00E37C34"/>
    <w:rsid w:val="00E43E2C"/>
    <w:rsid w:val="00E66EC0"/>
    <w:rsid w:val="00E75D8C"/>
    <w:rsid w:val="00E80822"/>
    <w:rsid w:val="00EA1DC9"/>
    <w:rsid w:val="00EA595A"/>
    <w:rsid w:val="00EC2C83"/>
    <w:rsid w:val="00EF1B95"/>
    <w:rsid w:val="00F0144E"/>
    <w:rsid w:val="00F057FF"/>
    <w:rsid w:val="00F26871"/>
    <w:rsid w:val="00F31A73"/>
    <w:rsid w:val="00F3300A"/>
    <w:rsid w:val="00F96983"/>
    <w:rsid w:val="00FF02ED"/>
    <w:rsid w:val="1F0D48A1"/>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EDC0"/>
  <w15:docId w15:val="{E22D1474-6EF5-4EE9-94C2-5DD0370F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2">
    <w:name w:val="Body Text 2"/>
    <w:basedOn w:val="prastasis"/>
    <w:link w:val="Pagrindinistekstas2Diagrama"/>
    <w:pPr>
      <w:spacing w:after="120" w:line="480" w:lineRule="auto"/>
    </w:pPr>
    <w:rPr>
      <w:lang w:eastAsia="lt-LT"/>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iPriority w:val="99"/>
    <w:unhideWhenUsed/>
    <w:rPr>
      <w:color w:val="0000FF" w:themeColor="hyperlink"/>
      <w:u w:val="singl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table" w:customStyle="1" w:styleId="Style1">
    <w:name w:val="Style1"/>
    <w:basedOn w:val="prastojilentel"/>
    <w:uiPriority w:val="99"/>
    <w:tbl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rPr>
  </w:style>
  <w:style w:type="paragraph" w:styleId="Betarp">
    <w:name w:val="No Spacing"/>
    <w:qFormat/>
    <w:rPr>
      <w:rFonts w:ascii="Times New Roman" w:eastAsia="Times New Roman" w:hAnsi="Times New Roman" w:cs="Times New Roman"/>
      <w:sz w:val="24"/>
      <w:lang w:val="en-GB"/>
    </w:rPr>
  </w:style>
  <w:style w:type="paragraph" w:customStyle="1" w:styleId="Standarduser">
    <w:name w:val="Standard (user)"/>
    <w:pPr>
      <w:suppressAutoHyphens/>
      <w:autoSpaceDN w:val="0"/>
      <w:textAlignment w:val="baseline"/>
    </w:pPr>
    <w:rPr>
      <w:rFonts w:ascii="Times New Roman" w:eastAsia="Times New Roman" w:hAnsi="Times New Roman" w:cs="Times New Roman"/>
      <w:kern w:val="3"/>
      <w:sz w:val="24"/>
      <w:lang w:val="lt-LT"/>
    </w:rPr>
  </w:style>
  <w:style w:type="character" w:customStyle="1" w:styleId="ListLabel15">
    <w:name w:val="ListLabel 15"/>
    <w:qFormat/>
    <w:rPr>
      <w:rFonts w:ascii="Times New Roman" w:eastAsia="Times New Roman" w:hAnsi="Times New Roman"/>
      <w:sz w:val="24"/>
      <w:lang w:val="lt-LT"/>
    </w:rPr>
  </w:style>
  <w:style w:type="character" w:customStyle="1" w:styleId="llctekstas">
    <w:name w:val="llctekstas"/>
    <w:basedOn w:val="Numatytasispastraiposriftas"/>
  </w:style>
  <w:style w:type="paragraph" w:customStyle="1" w:styleId="Style32">
    <w:name w:val="Style32"/>
    <w:basedOn w:val="prastasis"/>
    <w:pPr>
      <w:widowControl w:val="0"/>
      <w:autoSpaceDE w:val="0"/>
      <w:autoSpaceDN w:val="0"/>
      <w:adjustRightInd w:val="0"/>
      <w:spacing w:line="274" w:lineRule="exact"/>
      <w:ind w:firstLine="566"/>
      <w:jc w:val="both"/>
    </w:pPr>
    <w:rPr>
      <w:szCs w:val="24"/>
      <w:lang w:eastAsia="lt-LT"/>
    </w:rPr>
  </w:style>
  <w:style w:type="character" w:customStyle="1" w:styleId="FontStyle53">
    <w:name w:val="Font Style53"/>
    <w:rPr>
      <w:rFonts w:ascii="Times New Roman" w:hAnsi="Times New Roman" w:cs="Times New Roman"/>
      <w:b/>
      <w:bCs/>
      <w:sz w:val="22"/>
      <w:szCs w:val="22"/>
    </w:rPr>
  </w:style>
  <w:style w:type="paragraph" w:styleId="Sraopastraipa">
    <w:name w:val="List Paragraph"/>
    <w:basedOn w:val="prastasis"/>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lt-LT"/>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rPr>
  </w:style>
  <w:style w:type="character" w:customStyle="1" w:styleId="fontstyle16">
    <w:name w:val="font style16"/>
    <w:basedOn w:val="Numatytasispastraiposriftas"/>
    <w:uiPriority w:val="99"/>
    <w:qFormat/>
    <w:rPr>
      <w:rFonts w:ascii="Times New Roman" w:hAnsi="Times New Roman" w:cs="Times New Roman" w:hint="default"/>
      <w:color w:val="000000"/>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Karaliene@ka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ka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Mazeik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72406C51E392541A9614BE5E57B84BB" ma:contentTypeVersion="1" ma:contentTypeDescription="Kurkite naują dokumentą." ma:contentTypeScope="" ma:versionID="a081cbb04ead270bdc51e28a9dca23da">
  <xsd:schema xmlns:xsd="http://www.w3.org/2001/XMLSchema" xmlns:xs="http://www.w3.org/2001/XMLSchema" xmlns:p="http://schemas.microsoft.com/office/2006/metadata/properties" targetNamespace="http://schemas.microsoft.com/office/2006/metadata/properties" ma:root="true" ma:fieldsID="167e7e053095bd9fbec0612eed1cbf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EE4E0-613A-487D-B34D-E3F2B86F0998}">
  <ds:schemaRefs>
    <ds:schemaRef ds:uri="http://schemas.microsoft.com/sharepoint/v3/contenttype/forms"/>
  </ds:schemaRefs>
</ds:datastoreItem>
</file>

<file path=customXml/itemProps3.xml><?xml version="1.0" encoding="utf-8"?>
<ds:datastoreItem xmlns:ds="http://schemas.openxmlformats.org/officeDocument/2006/customXml" ds:itemID="{6C3FBE14-AED4-4C65-99B0-F58EFB47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72E4D9-A9AF-4F02-B989-0DD3B42B605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486D70-FE9D-4374-8190-6521F8D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1141</Words>
  <Characters>6506</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Gustė</dc:creator>
  <cp:lastModifiedBy>Sigitas Mitalauskas</cp:lastModifiedBy>
  <cp:revision>2</cp:revision>
  <cp:lastPrinted>2017-03-24T06:12:00Z</cp:lastPrinted>
  <dcterms:created xsi:type="dcterms:W3CDTF">2021-09-27T10:27:00Z</dcterms:created>
  <dcterms:modified xsi:type="dcterms:W3CDTF">2021-09-27T10:27:00Z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0x010100E72406C51E392541A9614BE5E57B84BB</vt:lpwstr>
  </property>
  <property fmtid="{D5CDD505-2E9C-101B-9397-08002B2CF9AE}" pid="3" name="KSOProductBuildVer">
    <vt:lpwstr>1033-11.2.0.10114</vt:lpwstr>
  </property>
</Properties>
</file>