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9DE2" w14:textId="77777777" w:rsidR="001258AD" w:rsidRPr="00B2127D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r w:rsidRPr="00B2127D">
        <w:rPr>
          <w:spacing w:val="-4"/>
        </w:rPr>
        <w:t xml:space="preserve">  </w:t>
      </w:r>
      <w:r w:rsidRPr="00B2127D">
        <w:rPr>
          <w:b/>
          <w:spacing w:val="-4"/>
        </w:rPr>
        <w:t>Projektas</w:t>
      </w:r>
    </w:p>
    <w:p w14:paraId="22CCAFEF" w14:textId="77777777" w:rsidR="001258AD" w:rsidRPr="00B2127D" w:rsidRDefault="001258AD" w:rsidP="002A3ED5">
      <w:pPr>
        <w:pStyle w:val="prastasiniatinklio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B2127D">
        <w:rPr>
          <w:b/>
          <w:bCs/>
          <w:color w:val="000000"/>
          <w:spacing w:val="-4"/>
        </w:rPr>
        <w:t>LIETUVOS RESPUBLIKOS VYRIAUSYBĖS</w:t>
      </w:r>
    </w:p>
    <w:p w14:paraId="21862C95" w14:textId="77777777" w:rsidR="001258AD" w:rsidRPr="00B2127D" w:rsidRDefault="001258AD" w:rsidP="002A3ED5">
      <w:pPr>
        <w:pStyle w:val="prastasiniatinklio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B2127D">
        <w:rPr>
          <w:b/>
          <w:bCs/>
          <w:color w:val="000000"/>
          <w:spacing w:val="-4"/>
        </w:rPr>
        <w:t>PASITARIMO</w:t>
      </w:r>
    </w:p>
    <w:p w14:paraId="336911EB" w14:textId="77777777" w:rsidR="001258AD" w:rsidRPr="00B2127D" w:rsidRDefault="001258AD" w:rsidP="002A3ED5">
      <w:pPr>
        <w:pStyle w:val="prastasiniatinklio"/>
        <w:tabs>
          <w:tab w:val="left" w:pos="1134"/>
        </w:tabs>
        <w:spacing w:before="120" w:beforeAutospacing="0" w:after="0" w:afterAutospacing="0" w:line="240" w:lineRule="atLeast"/>
        <w:ind w:firstLine="709"/>
        <w:jc w:val="center"/>
        <w:rPr>
          <w:b/>
          <w:bCs/>
          <w:color w:val="000000"/>
          <w:spacing w:val="-4"/>
        </w:rPr>
      </w:pPr>
      <w:r w:rsidRPr="00B2127D">
        <w:rPr>
          <w:b/>
          <w:bCs/>
          <w:color w:val="000000"/>
          <w:spacing w:val="-4"/>
        </w:rPr>
        <w:t>PROTOKOLAS</w:t>
      </w:r>
    </w:p>
    <w:p w14:paraId="60E12A47" w14:textId="77777777" w:rsidR="001258AD" w:rsidRPr="00B2127D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391FD1B1" w14:textId="77777777" w:rsidR="001258AD" w:rsidRPr="00B2127D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14BC3C5C" w14:textId="11C0F148" w:rsidR="001258AD" w:rsidRPr="00B2127D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  <w:r w:rsidRPr="00B2127D">
        <w:rPr>
          <w:color w:val="000000"/>
          <w:spacing w:val="-4"/>
        </w:rPr>
        <w:t>20</w:t>
      </w:r>
      <w:r w:rsidR="00B80F8E" w:rsidRPr="00B2127D">
        <w:rPr>
          <w:color w:val="000000"/>
          <w:spacing w:val="-4"/>
        </w:rPr>
        <w:t>2</w:t>
      </w:r>
      <w:r w:rsidR="00D05187" w:rsidRPr="00B2127D">
        <w:rPr>
          <w:color w:val="000000"/>
          <w:spacing w:val="-4"/>
        </w:rPr>
        <w:t>2</w:t>
      </w:r>
      <w:r w:rsidR="00B80F8E" w:rsidRPr="00B2127D">
        <w:rPr>
          <w:color w:val="000000"/>
          <w:spacing w:val="-4"/>
        </w:rPr>
        <w:t xml:space="preserve"> </w:t>
      </w:r>
      <w:r w:rsidR="00B21C8F" w:rsidRPr="00B2127D">
        <w:rPr>
          <w:color w:val="000000"/>
          <w:spacing w:val="-4"/>
        </w:rPr>
        <w:t xml:space="preserve"> </w:t>
      </w:r>
      <w:r w:rsidRPr="00B2127D">
        <w:rPr>
          <w:color w:val="000000"/>
          <w:spacing w:val="-4"/>
        </w:rPr>
        <w:t>m.</w:t>
      </w:r>
      <w:r w:rsidR="0069457A" w:rsidRPr="00B2127D">
        <w:rPr>
          <w:color w:val="000000"/>
          <w:spacing w:val="-4"/>
        </w:rPr>
        <w:t xml:space="preserve"> </w:t>
      </w:r>
      <w:r w:rsidR="00B66B40" w:rsidRPr="00B2127D">
        <w:rPr>
          <w:color w:val="000000"/>
          <w:spacing w:val="-4"/>
        </w:rPr>
        <w:t xml:space="preserve">                            </w:t>
      </w:r>
      <w:r w:rsidRPr="00B2127D">
        <w:rPr>
          <w:color w:val="000000"/>
          <w:spacing w:val="-4"/>
        </w:rPr>
        <w:t xml:space="preserve">d.  Nr. </w:t>
      </w:r>
    </w:p>
    <w:p w14:paraId="14644CB9" w14:textId="77777777" w:rsidR="001258AD" w:rsidRPr="00B2127D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50A7D870" w14:textId="3D2BFDC6" w:rsidR="007616E2" w:rsidRPr="00B2127D" w:rsidRDefault="001258AD" w:rsidP="007616E2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</w:pPr>
      <w:r w:rsidRPr="00B2127D">
        <w:t xml:space="preserve">Dėl </w:t>
      </w:r>
      <w:r w:rsidR="007616E2" w:rsidRPr="00B2127D">
        <w:t>priemo</w:t>
      </w:r>
      <w:r w:rsidR="00F0158F" w:rsidRPr="00B2127D">
        <w:t>nių</w:t>
      </w:r>
      <w:r w:rsidR="007616E2" w:rsidRPr="00B2127D">
        <w:t xml:space="preserve"> </w:t>
      </w:r>
      <w:r w:rsidR="002630FA" w:rsidRPr="00B2127D">
        <w:rPr>
          <w:lang w:eastAsia="en-US"/>
        </w:rPr>
        <w:t>nuo COVID-19 nukentėjusi</w:t>
      </w:r>
      <w:r w:rsidR="007705F3" w:rsidRPr="00B2127D">
        <w:rPr>
          <w:lang w:eastAsia="en-US"/>
        </w:rPr>
        <w:t>am turizmo verslui</w:t>
      </w:r>
      <w:r w:rsidR="002630FA" w:rsidRPr="00B2127D">
        <w:rPr>
          <w:lang w:eastAsia="en-US"/>
        </w:rPr>
        <w:t xml:space="preserve"> </w:t>
      </w:r>
      <w:r w:rsidR="007705F3" w:rsidRPr="00B2127D">
        <w:rPr>
          <w:lang w:eastAsia="en-US"/>
        </w:rPr>
        <w:t>koncepcijų</w:t>
      </w:r>
      <w:r w:rsidR="007616E2" w:rsidRPr="00B2127D">
        <w:t xml:space="preserve"> </w:t>
      </w:r>
      <w:r w:rsidR="00AF6631" w:rsidRPr="00B2127D">
        <w:t>patvirtinimo</w:t>
      </w:r>
    </w:p>
    <w:p w14:paraId="66E00AA1" w14:textId="52271E46" w:rsidR="001258AD" w:rsidRPr="00B2127D" w:rsidRDefault="001258AD" w:rsidP="00206FE6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</w:pPr>
    </w:p>
    <w:p w14:paraId="3C04AFE2" w14:textId="77777777" w:rsidR="001258AD" w:rsidRPr="00B2127D" w:rsidRDefault="001258AD" w:rsidP="002A3ED5">
      <w:pPr>
        <w:pStyle w:val="Antrats"/>
        <w:tabs>
          <w:tab w:val="left" w:pos="1134"/>
        </w:tabs>
        <w:ind w:firstLine="709"/>
        <w:jc w:val="center"/>
        <w:rPr>
          <w:color w:val="000000"/>
          <w:spacing w:val="-4"/>
        </w:rPr>
      </w:pPr>
    </w:p>
    <w:p w14:paraId="3F13F709" w14:textId="242184DA" w:rsidR="00B37021" w:rsidRPr="00B2127D" w:rsidRDefault="00896E6D" w:rsidP="00B37021">
      <w:pPr>
        <w:numPr>
          <w:ilvl w:val="0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</w:pPr>
      <w:bookmarkStart w:id="0" w:name="_Hlk524437858"/>
      <w:r w:rsidRPr="00B2127D">
        <w:rPr>
          <w:bCs/>
        </w:rPr>
        <w:t>Pritarti</w:t>
      </w:r>
      <w:r w:rsidR="001B30FF" w:rsidRPr="00B2127D">
        <w:rPr>
          <w:bCs/>
        </w:rPr>
        <w:t xml:space="preserve"> </w:t>
      </w:r>
      <w:r w:rsidR="003C52CA" w:rsidRPr="00B2127D">
        <w:rPr>
          <w:bCs/>
        </w:rPr>
        <w:t xml:space="preserve">Ekonomikos ir inovacijų ministerijos pateiktai </w:t>
      </w:r>
      <w:r w:rsidR="003C52CA" w:rsidRPr="00B2127D">
        <w:rPr>
          <w:lang w:eastAsia="en-US"/>
        </w:rPr>
        <w:t xml:space="preserve">priemonės </w:t>
      </w:r>
      <w:bookmarkEnd w:id="0"/>
      <w:r w:rsidR="00212C1C" w:rsidRPr="00B2127D">
        <w:rPr>
          <w:lang w:eastAsia="en-US"/>
        </w:rPr>
        <w:t>„Dalinis pastoviųjų išlaidų kompensavimas</w:t>
      </w:r>
      <w:r w:rsidR="00C81925" w:rsidRPr="00B2127D">
        <w:rPr>
          <w:lang w:eastAsia="en-US"/>
        </w:rPr>
        <w:t xml:space="preserve"> </w:t>
      </w:r>
      <w:r w:rsidR="00212C1C" w:rsidRPr="00B2127D">
        <w:rPr>
          <w:lang w:eastAsia="en-US"/>
        </w:rPr>
        <w:t>klasifikuojamų</w:t>
      </w:r>
      <w:r w:rsidR="00815112" w:rsidRPr="00B2127D">
        <w:rPr>
          <w:lang w:eastAsia="en-US"/>
        </w:rPr>
        <w:t>jų</w:t>
      </w:r>
      <w:r w:rsidR="00212C1C" w:rsidRPr="00B2127D">
        <w:rPr>
          <w:lang w:eastAsia="en-US"/>
        </w:rPr>
        <w:t xml:space="preserve"> apgyvendinimo paslaugų teikėjams“ </w:t>
      </w:r>
      <w:r w:rsidR="00B37021" w:rsidRPr="00B2127D">
        <w:t>koncepcij</w:t>
      </w:r>
      <w:r w:rsidR="003C52CA" w:rsidRPr="00B2127D">
        <w:t>ai</w:t>
      </w:r>
      <w:r w:rsidR="00B37021" w:rsidRPr="00B2127D">
        <w:t>.</w:t>
      </w:r>
    </w:p>
    <w:p w14:paraId="0D7C6F71" w14:textId="60AB1EFB" w:rsidR="007705F3" w:rsidRPr="00B2127D" w:rsidRDefault="007705F3" w:rsidP="00B37021">
      <w:pPr>
        <w:numPr>
          <w:ilvl w:val="0"/>
          <w:numId w:val="1"/>
        </w:numPr>
        <w:tabs>
          <w:tab w:val="left" w:pos="810"/>
          <w:tab w:val="left" w:pos="1134"/>
        </w:tabs>
        <w:spacing w:line="360" w:lineRule="auto"/>
        <w:ind w:left="0" w:firstLine="709"/>
        <w:jc w:val="both"/>
      </w:pPr>
      <w:r w:rsidRPr="00B2127D">
        <w:rPr>
          <w:bCs/>
        </w:rPr>
        <w:t xml:space="preserve">Pritarti Ekonomikos ir inovacijų ministerijos pateiktai </w:t>
      </w:r>
      <w:r w:rsidRPr="00B2127D">
        <w:rPr>
          <w:lang w:eastAsia="en-US"/>
        </w:rPr>
        <w:t xml:space="preserve">priemonės „Subsidijos atvykstamojo turizmo kelionių organizatoriams“ </w:t>
      </w:r>
      <w:r w:rsidRPr="00B2127D">
        <w:t>koncepcijai</w:t>
      </w:r>
      <w:r w:rsidR="00E27590">
        <w:t>.</w:t>
      </w:r>
    </w:p>
    <w:p w14:paraId="426FAE2A" w14:textId="2350D2BA" w:rsidR="00464A07" w:rsidRPr="00B2127D" w:rsidRDefault="007F3A41" w:rsidP="00A55521">
      <w:pPr>
        <w:numPr>
          <w:ilvl w:val="0"/>
          <w:numId w:val="1"/>
        </w:numPr>
        <w:tabs>
          <w:tab w:val="left" w:pos="709"/>
          <w:tab w:val="left" w:pos="810"/>
          <w:tab w:val="left" w:pos="1134"/>
        </w:tabs>
        <w:spacing w:line="360" w:lineRule="auto"/>
        <w:ind w:left="0" w:firstLine="709"/>
        <w:jc w:val="both"/>
      </w:pPr>
      <w:r w:rsidRPr="00B2127D">
        <w:t xml:space="preserve">Įpareigoti Ekonomikos ir inovacijų ministeriją </w:t>
      </w:r>
      <w:r w:rsidR="00E37702" w:rsidRPr="00B2127D">
        <w:t xml:space="preserve">parengti </w:t>
      </w:r>
      <w:r w:rsidR="00212C1C" w:rsidRPr="00B2127D">
        <w:t>koncepcijų</w:t>
      </w:r>
      <w:r w:rsidR="00E37702" w:rsidRPr="00B2127D">
        <w:t xml:space="preserve"> įgyvendinimui reikiamų teisės aktų projektus</w:t>
      </w:r>
      <w:r w:rsidR="00C14C3E" w:rsidRPr="00B2127D">
        <w:t xml:space="preserve"> ir pateikti juos Lietuvos Respublikos Vyriausybei tvirtinti</w:t>
      </w:r>
      <w:r w:rsidR="00464A07" w:rsidRPr="00B2127D">
        <w:t>.</w:t>
      </w:r>
    </w:p>
    <w:p w14:paraId="6B1674C2" w14:textId="77777777" w:rsidR="00E37702" w:rsidRPr="00B2127D" w:rsidRDefault="00E37702" w:rsidP="00AA46BB">
      <w:pPr>
        <w:pStyle w:val="xmsonormal"/>
        <w:ind w:left="1069"/>
        <w:jc w:val="both"/>
      </w:pPr>
    </w:p>
    <w:p w14:paraId="578A393A" w14:textId="77777777" w:rsidR="00F3604B" w:rsidRPr="00B2127D" w:rsidRDefault="00F3604B" w:rsidP="00AA46BB">
      <w:pPr>
        <w:tabs>
          <w:tab w:val="left" w:pos="567"/>
          <w:tab w:val="left" w:pos="709"/>
          <w:tab w:val="left" w:pos="1134"/>
        </w:tabs>
        <w:spacing w:line="360" w:lineRule="auto"/>
        <w:ind w:firstLine="709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B2127D" w14:paraId="64F4F626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6CC23E8F" w14:textId="77777777" w:rsidR="00AC3B9C" w:rsidRPr="00B2127D" w:rsidRDefault="00AC3B9C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</w:p>
          <w:p w14:paraId="1E6B4DC9" w14:textId="77777777" w:rsidR="001258AD" w:rsidRPr="00B2127D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  <w:r w:rsidRPr="00B2127D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1593DF94" w14:textId="77777777" w:rsidR="001258AD" w:rsidRPr="00B2127D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2493F14A" w14:textId="77777777" w:rsidR="00485C64" w:rsidRPr="00B2127D" w:rsidRDefault="00485C64" w:rsidP="002A3ED5">
      <w:pPr>
        <w:tabs>
          <w:tab w:val="left" w:pos="1134"/>
        </w:tabs>
        <w:spacing w:line="360" w:lineRule="auto"/>
        <w:ind w:firstLine="709"/>
      </w:pPr>
    </w:p>
    <w:p w14:paraId="5A9C636C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3C9F0146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3B00A881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234D410B" w14:textId="54A8F29D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7070410E" w14:textId="77777777" w:rsidR="00A55521" w:rsidRPr="00B2127D" w:rsidRDefault="00A55521" w:rsidP="002A3ED5">
      <w:pPr>
        <w:tabs>
          <w:tab w:val="left" w:pos="1134"/>
        </w:tabs>
        <w:spacing w:line="360" w:lineRule="auto"/>
        <w:ind w:firstLine="709"/>
      </w:pPr>
    </w:p>
    <w:p w14:paraId="65C51737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5518791D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26EB2919" w14:textId="0EC964C1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5F2B09EB" w14:textId="048D0FE5" w:rsidR="00164F19" w:rsidRPr="00B2127D" w:rsidRDefault="00164F19" w:rsidP="002A3ED5">
      <w:pPr>
        <w:tabs>
          <w:tab w:val="left" w:pos="1134"/>
        </w:tabs>
        <w:spacing w:line="360" w:lineRule="auto"/>
        <w:ind w:firstLine="709"/>
      </w:pPr>
    </w:p>
    <w:p w14:paraId="32A776C5" w14:textId="77777777" w:rsidR="00164F19" w:rsidRPr="00B2127D" w:rsidRDefault="00164F19" w:rsidP="002A3ED5">
      <w:pPr>
        <w:tabs>
          <w:tab w:val="left" w:pos="1134"/>
        </w:tabs>
        <w:spacing w:line="360" w:lineRule="auto"/>
        <w:ind w:firstLine="709"/>
      </w:pPr>
    </w:p>
    <w:p w14:paraId="26947C93" w14:textId="567AE574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43C17286" w14:textId="4CE8CE37" w:rsidR="005D1F4F" w:rsidRPr="00B2127D" w:rsidRDefault="005D1F4F" w:rsidP="002A3ED5">
      <w:pPr>
        <w:tabs>
          <w:tab w:val="left" w:pos="1134"/>
        </w:tabs>
        <w:spacing w:line="360" w:lineRule="auto"/>
        <w:ind w:firstLine="709"/>
      </w:pPr>
    </w:p>
    <w:p w14:paraId="1A3BE248" w14:textId="77777777" w:rsidR="005D1F4F" w:rsidRPr="00B2127D" w:rsidRDefault="005D1F4F" w:rsidP="002A3ED5">
      <w:pPr>
        <w:tabs>
          <w:tab w:val="left" w:pos="1134"/>
        </w:tabs>
        <w:spacing w:line="360" w:lineRule="auto"/>
        <w:ind w:firstLine="709"/>
      </w:pPr>
    </w:p>
    <w:p w14:paraId="297BDABC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0F833524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379A6D90" w14:textId="77777777" w:rsidR="001D7EF7" w:rsidRPr="00B2127D" w:rsidRDefault="001D7EF7" w:rsidP="002A3ED5">
      <w:pPr>
        <w:tabs>
          <w:tab w:val="left" w:pos="1134"/>
        </w:tabs>
        <w:spacing w:line="360" w:lineRule="auto"/>
        <w:ind w:firstLine="709"/>
      </w:pPr>
    </w:p>
    <w:p w14:paraId="081D57DD" w14:textId="77777777" w:rsidR="00164DA1" w:rsidRPr="00B2127D" w:rsidRDefault="00164DA1" w:rsidP="00AC767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5245"/>
        <w:textAlignment w:val="center"/>
        <w:rPr>
          <w:bCs/>
          <w:color w:val="000000"/>
          <w:lang w:eastAsia="en-US"/>
        </w:rPr>
      </w:pPr>
    </w:p>
    <w:p w14:paraId="23C83AC2" w14:textId="6AFD07B3" w:rsidR="00AC767C" w:rsidRPr="00B2127D" w:rsidRDefault="00AC767C" w:rsidP="00AC767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5245"/>
        <w:textAlignment w:val="center"/>
        <w:rPr>
          <w:bCs/>
          <w:color w:val="000000"/>
          <w:lang w:eastAsia="en-US"/>
        </w:rPr>
      </w:pPr>
      <w:r w:rsidRPr="00B2127D">
        <w:rPr>
          <w:bCs/>
          <w:color w:val="000000"/>
          <w:lang w:eastAsia="en-US"/>
        </w:rPr>
        <w:t xml:space="preserve">PATVIRTINTA </w:t>
      </w:r>
    </w:p>
    <w:p w14:paraId="5382DB53" w14:textId="77777777" w:rsidR="00AC767C" w:rsidRPr="00B2127D" w:rsidRDefault="00AC767C" w:rsidP="00AC767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5245"/>
        <w:textAlignment w:val="center"/>
        <w:rPr>
          <w:bCs/>
          <w:color w:val="000000"/>
          <w:lang w:eastAsia="en-US"/>
        </w:rPr>
      </w:pPr>
      <w:r w:rsidRPr="00B2127D">
        <w:rPr>
          <w:bCs/>
          <w:color w:val="000000"/>
          <w:lang w:eastAsia="en-US"/>
        </w:rPr>
        <w:t>Lietuvos Respublikos Vyriausybės</w:t>
      </w:r>
    </w:p>
    <w:p w14:paraId="5E24D77E" w14:textId="19CD0940" w:rsidR="00AC767C" w:rsidRPr="00B2127D" w:rsidRDefault="00AC767C" w:rsidP="00AC767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5245"/>
        <w:textAlignment w:val="center"/>
        <w:rPr>
          <w:bCs/>
          <w:color w:val="000000"/>
          <w:lang w:eastAsia="en-US"/>
        </w:rPr>
      </w:pPr>
      <w:r w:rsidRPr="00B2127D">
        <w:rPr>
          <w:bCs/>
          <w:color w:val="000000"/>
          <w:lang w:eastAsia="en-US"/>
        </w:rPr>
        <w:t xml:space="preserve">2022 m. </w:t>
      </w:r>
      <w:r w:rsidR="00570BE4" w:rsidRPr="00B2127D">
        <w:rPr>
          <w:bCs/>
          <w:color w:val="000000"/>
          <w:lang w:eastAsia="en-US"/>
        </w:rPr>
        <w:t xml:space="preserve">           </w:t>
      </w:r>
      <w:r w:rsidRPr="00B2127D">
        <w:rPr>
          <w:bCs/>
          <w:color w:val="000000"/>
          <w:lang w:eastAsia="en-US"/>
        </w:rPr>
        <w:t xml:space="preserve">d. pasitarimo protokolu Nr. </w:t>
      </w:r>
    </w:p>
    <w:p w14:paraId="53F80CF1" w14:textId="77777777" w:rsidR="0016392A" w:rsidRPr="00B2127D" w:rsidRDefault="0016392A" w:rsidP="0016392A">
      <w:pPr>
        <w:suppressAutoHyphens/>
        <w:autoSpaceDE w:val="0"/>
        <w:autoSpaceDN w:val="0"/>
        <w:adjustRightInd w:val="0"/>
        <w:jc w:val="center"/>
        <w:textAlignment w:val="center"/>
        <w:rPr>
          <w:color w:val="000000"/>
          <w:sz w:val="12"/>
          <w:szCs w:val="12"/>
          <w:lang w:eastAsia="en-US"/>
        </w:rPr>
      </w:pPr>
    </w:p>
    <w:p w14:paraId="6E156033" w14:textId="77777777" w:rsidR="0016392A" w:rsidRPr="00B2127D" w:rsidRDefault="0016392A" w:rsidP="0016392A">
      <w:pPr>
        <w:suppressAutoHyphens/>
        <w:autoSpaceDE w:val="0"/>
        <w:autoSpaceDN w:val="0"/>
        <w:adjustRightInd w:val="0"/>
        <w:textAlignment w:val="center"/>
        <w:rPr>
          <w:color w:val="000000"/>
          <w:sz w:val="12"/>
          <w:szCs w:val="12"/>
          <w:lang w:eastAsia="en-US"/>
        </w:rPr>
      </w:pPr>
    </w:p>
    <w:p w14:paraId="45187EE3" w14:textId="77777777" w:rsidR="0016392A" w:rsidRPr="00B2127D" w:rsidRDefault="0016392A" w:rsidP="0016392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013AE1" w14:textId="2A2A10C4" w:rsidR="00AC767C" w:rsidRPr="00B2127D" w:rsidRDefault="00AC767C" w:rsidP="00237C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right="283"/>
        <w:jc w:val="both"/>
        <w:rPr>
          <w:rFonts w:eastAsia="Arial Unicode MS" w:cs="Arial Unicode MS"/>
          <w:b/>
          <w:bCs/>
          <w:color w:val="000000"/>
          <w:szCs w:val="26"/>
          <w:u w:color="000000"/>
          <w:bdr w:val="nil"/>
        </w:rPr>
      </w:pPr>
      <w:r w:rsidRPr="00B2127D">
        <w:rPr>
          <w:rFonts w:eastAsia="Arial Unicode MS" w:cs="Arial Unicode MS"/>
          <w:b/>
          <w:bCs/>
          <w:color w:val="000000"/>
          <w:szCs w:val="26"/>
          <w:u w:color="000000"/>
          <w:bdr w:val="nil"/>
        </w:rPr>
        <w:t>PRIEMONĖS „DALINIS PASTOVIŲJŲ IŠLAIDŲ KOMPENSAVIMAS</w:t>
      </w:r>
      <w:r w:rsidR="00815112" w:rsidRPr="00B2127D">
        <w:rPr>
          <w:rFonts w:eastAsia="Arial Unicode MS" w:cs="Arial Unicode MS"/>
          <w:b/>
          <w:bCs/>
          <w:color w:val="000000"/>
          <w:szCs w:val="26"/>
          <w:u w:color="000000"/>
          <w:bdr w:val="nil"/>
        </w:rPr>
        <w:t xml:space="preserve"> </w:t>
      </w:r>
      <w:r w:rsidRPr="00B2127D">
        <w:rPr>
          <w:rFonts w:eastAsia="Arial Unicode MS" w:cs="Arial Unicode MS"/>
          <w:b/>
          <w:bCs/>
          <w:color w:val="000000"/>
          <w:szCs w:val="26"/>
          <w:u w:color="000000"/>
          <w:bdr w:val="nil"/>
        </w:rPr>
        <w:t>KLASIFIKUOJAMŲ</w:t>
      </w:r>
      <w:r w:rsidR="00815112" w:rsidRPr="00B2127D">
        <w:rPr>
          <w:rFonts w:eastAsia="Arial Unicode MS" w:cs="Arial Unicode MS"/>
          <w:b/>
          <w:bCs/>
          <w:color w:val="000000"/>
          <w:szCs w:val="26"/>
          <w:u w:color="000000"/>
          <w:bdr w:val="nil"/>
        </w:rPr>
        <w:t>JŲ</w:t>
      </w:r>
      <w:r w:rsidRPr="00B2127D">
        <w:rPr>
          <w:rFonts w:eastAsia="Arial Unicode MS" w:cs="Arial Unicode MS"/>
          <w:b/>
          <w:bCs/>
          <w:color w:val="000000"/>
          <w:szCs w:val="26"/>
          <w:u w:color="000000"/>
          <w:bdr w:val="nil"/>
        </w:rPr>
        <w:t xml:space="preserve"> APGYVENDINIMO PASLAUGŲ TEIKĖJAMS“ KONCEPCIJA</w:t>
      </w:r>
    </w:p>
    <w:p w14:paraId="593CBC3A" w14:textId="77777777" w:rsidR="00AC767C" w:rsidRPr="00B2127D" w:rsidRDefault="00AC767C" w:rsidP="00AC767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 w:cs="Arial Unicode MS"/>
          <w:b/>
          <w:bCs/>
          <w:color w:val="000000"/>
          <w:sz w:val="28"/>
          <w:szCs w:val="28"/>
          <w:u w:color="000000"/>
          <w:bdr w:val="nil"/>
        </w:rPr>
      </w:pPr>
    </w:p>
    <w:tbl>
      <w:tblPr>
        <w:tblW w:w="975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7063"/>
      </w:tblGrid>
      <w:tr w:rsidR="00AC767C" w:rsidRPr="00B2127D" w14:paraId="57899740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DEBE5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 xml:space="preserve">Eil. </w:t>
            </w:r>
          </w:p>
          <w:p w14:paraId="531F561B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372033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Pagrindiniai</w:t>
            </w:r>
          </w:p>
          <w:p w14:paraId="01DB2EEE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Elementai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A4113D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Paaiškinimas</w:t>
            </w:r>
          </w:p>
          <w:p w14:paraId="41363485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AC767C" w:rsidRPr="00B2127D" w14:paraId="414FED0F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7C5049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1.</w:t>
            </w:r>
          </w:p>
          <w:p w14:paraId="4020D8C9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296FCF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Teisinis pagrindas</w:t>
            </w:r>
          </w:p>
          <w:p w14:paraId="1BB33B68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FACB24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lang w:eastAsia="en-GB"/>
              </w:rPr>
              <w:t>2020 m. kovo 19 d. Europos Komisijos komunikato „Laikinoji valstybės pagalbos priemonių, skirtų ekonomikai remti reaguojant į dabartinį COVID-19 protrūkį, sistema“ su paskutiniais pakeitimais, padarytais 2021 m. lapkričio 18 d. Europos Komisijos komunikatu Nr. 2021/C 473/01 (toliau – Komunikatas), 3.1 skirsnis.</w:t>
            </w:r>
          </w:p>
        </w:tc>
      </w:tr>
      <w:tr w:rsidR="00AC767C" w:rsidRPr="00B2127D" w14:paraId="31BBCD9E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462F24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2.</w:t>
            </w:r>
          </w:p>
          <w:p w14:paraId="498B57FC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BB4B92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Planuojamo skirti finansavimo suma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EDE88" w14:textId="7628D4AA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  <w:lang w:eastAsia="en-US"/>
              </w:rPr>
            </w:pPr>
            <w:r w:rsidRPr="00B2127D">
              <w:rPr>
                <w:color w:val="000000"/>
              </w:rPr>
              <w:t>3,</w:t>
            </w:r>
            <w:r w:rsidR="006E4365" w:rsidRPr="00B2127D">
              <w:rPr>
                <w:color w:val="000000"/>
              </w:rPr>
              <w:t>6</w:t>
            </w:r>
            <w:r w:rsidRPr="00B2127D">
              <w:rPr>
                <w:color w:val="000000"/>
              </w:rPr>
              <w:t xml:space="preserve"> mln. eurų iš 2022 m. Vyriausybės rezervo lėšų (</w:t>
            </w:r>
            <w:r w:rsidR="00FB0601" w:rsidRPr="00B2127D">
              <w:rPr>
                <w:color w:val="000000"/>
              </w:rPr>
              <w:t xml:space="preserve">įskaitant </w:t>
            </w:r>
            <w:r w:rsidRPr="00B2127D">
              <w:rPr>
                <w:color w:val="000000"/>
              </w:rPr>
              <w:t>priemonės administravim</w:t>
            </w:r>
            <w:r w:rsidR="00FB0601" w:rsidRPr="00B2127D">
              <w:rPr>
                <w:color w:val="000000"/>
              </w:rPr>
              <w:t>ą</w:t>
            </w:r>
            <w:r w:rsidRPr="00B2127D">
              <w:rPr>
                <w:color w:val="000000"/>
              </w:rPr>
              <w:t>).</w:t>
            </w:r>
          </w:p>
        </w:tc>
      </w:tr>
      <w:tr w:rsidR="00AC767C" w:rsidRPr="00B2127D" w14:paraId="6AFE92EA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CBF870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06A750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Schemos galiojimo trukmė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4D4FE4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lang w:eastAsia="en-GB"/>
              </w:rPr>
              <w:t>Kompensacijos apgyvendinimo paslaugų teikėjams</w:t>
            </w:r>
            <w:r w:rsidRPr="00B2127D" w:rsidDel="00211605">
              <w:rPr>
                <w:color w:val="000000"/>
              </w:rPr>
              <w:t xml:space="preserve"> </w:t>
            </w:r>
            <w:r w:rsidRPr="00B2127D">
              <w:rPr>
                <w:color w:val="000000"/>
              </w:rPr>
              <w:t>(toliau – Kompensacija) pagal šią schemą teikiamos iki 2022 m. birželio 30 d.</w:t>
            </w:r>
          </w:p>
        </w:tc>
      </w:tr>
      <w:tr w:rsidR="00AC767C" w:rsidRPr="00B2127D" w14:paraId="79BC033A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6FC3B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1734E1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 xml:space="preserve">Kompensacijos davėjas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548696" w14:textId="77777777" w:rsidR="00AC767C" w:rsidRPr="00B2127D" w:rsidRDefault="00AC767C" w:rsidP="00AC767C">
            <w:pPr>
              <w:autoSpaceDE w:val="0"/>
              <w:autoSpaceDN w:val="0"/>
              <w:contextualSpacing/>
              <w:rPr>
                <w:lang w:eastAsia="en-GB"/>
              </w:rPr>
            </w:pPr>
            <w:r w:rsidRPr="00B2127D">
              <w:rPr>
                <w:bCs/>
                <w:lang w:eastAsia="en-GB"/>
              </w:rPr>
              <w:t>Priemonės tvarkos aprašą rengs Ekonomikos ir inovacijų ministerija, administruos ir mokėjimus pareiškėjams vykdys UAB ,,Investicijų ir verslo garantijos“.</w:t>
            </w:r>
          </w:p>
        </w:tc>
      </w:tr>
      <w:tr w:rsidR="00AC767C" w:rsidRPr="00B2127D" w14:paraId="6A18EEAC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D4C700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5.</w:t>
            </w:r>
          </w:p>
          <w:p w14:paraId="49E31973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43170" w14:textId="6EA1EEE6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 xml:space="preserve">Kompensacijos </w:t>
            </w:r>
            <w:r w:rsidR="00A84530" w:rsidRPr="00B2127D">
              <w:rPr>
                <w:color w:val="000000"/>
              </w:rPr>
              <w:t>dydis</w:t>
            </w:r>
            <w:r w:rsidRPr="00B2127D">
              <w:rPr>
                <w:color w:val="000000"/>
              </w:rPr>
              <w:t xml:space="preserve"> </w:t>
            </w:r>
          </w:p>
          <w:p w14:paraId="40F9554D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highlight w:val="yellow"/>
              </w:rPr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4A4CFB" w14:textId="77777777" w:rsidR="00AC767C" w:rsidRPr="00B2127D" w:rsidRDefault="00AC767C" w:rsidP="00AC767C">
            <w:pPr>
              <w:tabs>
                <w:tab w:val="left" w:pos="0"/>
              </w:tabs>
              <w:contextualSpacing/>
              <w:jc w:val="both"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>Kompensacija gali būti skiriama pagal dvi alternatyvas:</w:t>
            </w:r>
          </w:p>
          <w:p w14:paraId="15780324" w14:textId="77777777" w:rsidR="00AC767C" w:rsidRPr="00B2127D" w:rsidRDefault="00AC767C" w:rsidP="00AC767C">
            <w:pPr>
              <w:numPr>
                <w:ilvl w:val="0"/>
                <w:numId w:val="23"/>
              </w:numPr>
              <w:tabs>
                <w:tab w:val="left" w:pos="0"/>
              </w:tabs>
              <w:ind w:left="28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B2127D">
              <w:rPr>
                <w:rFonts w:eastAsia="Calibri"/>
                <w:b/>
                <w:bCs/>
                <w:lang w:eastAsia="en-US"/>
              </w:rPr>
              <w:t>Sąskaitų apmokėjimas.</w:t>
            </w:r>
          </w:p>
          <w:p w14:paraId="545139C3" w14:textId="3244D5E6" w:rsidR="00AC767C" w:rsidRPr="00B2127D" w:rsidRDefault="00AC767C" w:rsidP="00AC767C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 xml:space="preserve">Padengiama </w:t>
            </w:r>
            <w:r w:rsidR="00B94B57" w:rsidRPr="00B2127D">
              <w:rPr>
                <w:rFonts w:eastAsia="Calibri"/>
                <w:lang w:eastAsia="en-US"/>
              </w:rPr>
              <w:t xml:space="preserve">iki </w:t>
            </w:r>
            <w:r w:rsidRPr="00B2127D">
              <w:rPr>
                <w:rFonts w:eastAsia="Calibri"/>
                <w:lang w:eastAsia="en-US"/>
              </w:rPr>
              <w:t xml:space="preserve">50 proc. </w:t>
            </w:r>
            <w:r w:rsidR="00C63305" w:rsidRPr="00B2127D">
              <w:rPr>
                <w:rFonts w:eastAsia="Calibri"/>
                <w:lang w:eastAsia="en-US"/>
              </w:rPr>
              <w:t xml:space="preserve">2021 m. lapkričio 1 d. – 2022 m. </w:t>
            </w:r>
            <w:r w:rsidR="00EA34ED" w:rsidRPr="00B2127D">
              <w:rPr>
                <w:rFonts w:eastAsia="Calibri"/>
                <w:lang w:eastAsia="en-US"/>
              </w:rPr>
              <w:t xml:space="preserve">kovo 31 d. </w:t>
            </w:r>
            <w:r w:rsidRPr="00B2127D">
              <w:rPr>
                <w:rFonts w:eastAsia="Calibri"/>
                <w:lang w:eastAsia="en-US"/>
              </w:rPr>
              <w:t>faktiškai patirtų pastoviųjų išlaidų: juridinio asmens patirtos išlaidos, pagrįstos paslaugų teikėjų išrašytomis sąskaitomis už gamtinių dujų, šilumos, elektros energijos tiekimą. PVM ir delspinigiai priemonės lėšomis nekompensuojami.</w:t>
            </w:r>
          </w:p>
          <w:p w14:paraId="4B21DFBB" w14:textId="071B25CC" w:rsidR="00AC767C" w:rsidRPr="00B2127D" w:rsidRDefault="00990BF1" w:rsidP="00AC767C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 xml:space="preserve">Didžiausia galima Kompensacijos suma vienam objektui </w:t>
            </w:r>
            <w:r w:rsidR="00AC767C" w:rsidRPr="00B2127D">
              <w:rPr>
                <w:rFonts w:eastAsia="Calibri"/>
                <w:lang w:eastAsia="en-US"/>
              </w:rPr>
              <w:t>– 50 tūkst. eurų.</w:t>
            </w:r>
          </w:p>
          <w:p w14:paraId="6D90E65E" w14:textId="77777777" w:rsidR="00AC767C" w:rsidRPr="00B2127D" w:rsidRDefault="00AC767C" w:rsidP="00AC767C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u w:val="single"/>
                <w:lang w:eastAsia="en-US"/>
              </w:rPr>
            </w:pPr>
            <w:r w:rsidRPr="00B2127D">
              <w:rPr>
                <w:rFonts w:eastAsia="Calibri"/>
                <w:u w:val="single"/>
                <w:lang w:eastAsia="en-US"/>
              </w:rPr>
              <w:t>Sąlygos:</w:t>
            </w:r>
          </w:p>
          <w:p w14:paraId="4E959D1A" w14:textId="164AD670" w:rsidR="00990BF1" w:rsidRPr="00B2127D" w:rsidRDefault="00990BF1" w:rsidP="00990BF1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>Kompensacijos gavėjo – juridinio asmens – pajamos 2021 m. smuko 40 proc. ir daugiau lyginant su 2019 m.</w:t>
            </w:r>
          </w:p>
          <w:p w14:paraId="455331B6" w14:textId="77777777" w:rsidR="00AC767C" w:rsidRPr="00B2127D" w:rsidRDefault="00AC767C" w:rsidP="00AC767C">
            <w:pPr>
              <w:tabs>
                <w:tab w:val="left" w:pos="170"/>
              </w:tabs>
              <w:ind w:left="28"/>
              <w:contextualSpacing/>
              <w:rPr>
                <w:rFonts w:eastAsia="Calibri"/>
                <w:lang w:eastAsia="en-US"/>
              </w:rPr>
            </w:pPr>
          </w:p>
          <w:p w14:paraId="23A6E444" w14:textId="77777777" w:rsidR="00AC767C" w:rsidRPr="00B2127D" w:rsidRDefault="00AC767C" w:rsidP="00AC767C">
            <w:pPr>
              <w:numPr>
                <w:ilvl w:val="0"/>
                <w:numId w:val="23"/>
              </w:numPr>
              <w:tabs>
                <w:tab w:val="left" w:pos="0"/>
              </w:tabs>
              <w:ind w:left="28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B2127D">
              <w:rPr>
                <w:rFonts w:eastAsia="Calibri"/>
                <w:b/>
                <w:bCs/>
                <w:lang w:eastAsia="en-US"/>
              </w:rPr>
              <w:t>Vienkartinė išmoka.</w:t>
            </w:r>
          </w:p>
          <w:p w14:paraId="2CB87EEC" w14:textId="0ADE87EA" w:rsidR="00AC767C" w:rsidRPr="00B2127D" w:rsidRDefault="00AC767C" w:rsidP="00AC767C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>Kompensacijos gavėjui skiriama vienkartinė 100 Eur išmoka už kambarį (numerį), esantį statinyje.</w:t>
            </w:r>
          </w:p>
          <w:p w14:paraId="3CE9ECDD" w14:textId="77777777" w:rsidR="00AC767C" w:rsidRPr="00B2127D" w:rsidRDefault="00AC767C" w:rsidP="00AC767C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u w:val="single"/>
                <w:lang w:eastAsia="en-US"/>
              </w:rPr>
            </w:pPr>
            <w:r w:rsidRPr="00B2127D">
              <w:rPr>
                <w:rFonts w:eastAsia="Calibri"/>
                <w:u w:val="single"/>
                <w:lang w:eastAsia="en-US"/>
              </w:rPr>
              <w:t>Sąlygos:</w:t>
            </w:r>
          </w:p>
          <w:p w14:paraId="17D25E05" w14:textId="6CD632E0" w:rsidR="007432F9" w:rsidRPr="00B2127D" w:rsidRDefault="00AC767C" w:rsidP="000B711C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>Klasifikuojamųjų apgyvendinimo paslaugų teikėjas įsisteigė nuo 2019 m. lapkričio</w:t>
            </w:r>
            <w:r w:rsidR="00BD68A1" w:rsidRPr="00B2127D">
              <w:rPr>
                <w:rFonts w:eastAsia="Calibri"/>
                <w:lang w:eastAsia="en-US"/>
              </w:rPr>
              <w:t xml:space="preserve"> 1 d.</w:t>
            </w:r>
            <w:r w:rsidRPr="00B2127D">
              <w:rPr>
                <w:rFonts w:eastAsia="Calibri"/>
                <w:lang w:eastAsia="en-US"/>
              </w:rPr>
              <w:t xml:space="preserve"> iki 2021 gruodžio 31 d.</w:t>
            </w:r>
            <w:r w:rsidR="000B711C" w:rsidRPr="00B2127D">
              <w:rPr>
                <w:rFonts w:eastAsia="Calibri"/>
                <w:lang w:eastAsia="en-US"/>
              </w:rPr>
              <w:t xml:space="preserve"> ir j</w:t>
            </w:r>
            <w:r w:rsidR="00452DBD" w:rsidRPr="00B2127D">
              <w:rPr>
                <w:rFonts w:eastAsia="Calibri"/>
                <w:lang w:eastAsia="en-US"/>
              </w:rPr>
              <w:t>is</w:t>
            </w:r>
            <w:r w:rsidR="00F63056" w:rsidRPr="00B2127D">
              <w:rPr>
                <w:rFonts w:eastAsia="Calibri"/>
                <w:lang w:eastAsia="en-US"/>
              </w:rPr>
              <w:t xml:space="preserve"> </w:t>
            </w:r>
            <w:r w:rsidR="00C23FDA" w:rsidRPr="00B2127D">
              <w:rPr>
                <w:rFonts w:eastAsia="Calibri"/>
                <w:lang w:eastAsia="en-US"/>
              </w:rPr>
              <w:t xml:space="preserve">2021 m. </w:t>
            </w:r>
            <w:r w:rsidR="00944B25">
              <w:rPr>
                <w:rFonts w:eastAsia="Calibri"/>
                <w:lang w:eastAsia="en-US"/>
              </w:rPr>
              <w:t>patyrė nuostolių</w:t>
            </w:r>
            <w:r w:rsidR="000B711C" w:rsidRPr="00B2127D">
              <w:rPr>
                <w:rFonts w:eastAsia="Calibri"/>
                <w:lang w:eastAsia="en-US"/>
              </w:rPr>
              <w:t>.</w:t>
            </w:r>
          </w:p>
          <w:p w14:paraId="149B988A" w14:textId="5D4B8829" w:rsidR="00402EA5" w:rsidRPr="00B2127D" w:rsidRDefault="00402EA5" w:rsidP="000B711C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</w:p>
          <w:p w14:paraId="7530BEE9" w14:textId="69344123" w:rsidR="00402EA5" w:rsidRPr="00B2127D" w:rsidDel="009809EF" w:rsidRDefault="00402EA5" w:rsidP="00402EA5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lastRenderedPageBreak/>
              <w:t>Jei bendra gautų paraiškų suma Kompensacijai gauti viršys priemonės biudžetą, išmokama Kompensacija bus skaičiuojama proporcingai nuo visų pateiktų prašymų sumos.</w:t>
            </w:r>
          </w:p>
        </w:tc>
      </w:tr>
      <w:tr w:rsidR="00AC767C" w:rsidRPr="00B2127D" w14:paraId="0F9C7DFA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892A67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lastRenderedPageBreak/>
              <w:t>6.</w:t>
            </w:r>
          </w:p>
          <w:p w14:paraId="7E2C9D29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635BE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Kompensacijų teikimo sąlygos</w:t>
            </w:r>
          </w:p>
          <w:p w14:paraId="6D9879A3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7F4439" w14:textId="677A6E30" w:rsidR="00AC767C" w:rsidRPr="00B2127D" w:rsidRDefault="00AC767C" w:rsidP="00AC767C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B2127D">
              <w:rPr>
                <w:lang w:eastAsia="en-US"/>
              </w:rPr>
              <w:t xml:space="preserve">Kompensacijos gavėjai, besikreipiantys </w:t>
            </w:r>
            <w:r w:rsidR="00ED6984" w:rsidRPr="00B2127D">
              <w:rPr>
                <w:lang w:eastAsia="en-US"/>
              </w:rPr>
              <w:t xml:space="preserve">sąskaitų apmokėjimo, </w:t>
            </w:r>
            <w:r w:rsidRPr="00B2127D">
              <w:rPr>
                <w:lang w:eastAsia="en-US"/>
              </w:rPr>
              <w:t>turi pateikti sąskaitas už šilumos, dujų, elektros energijos tiekimą.</w:t>
            </w:r>
          </w:p>
          <w:p w14:paraId="666908A9" w14:textId="27BDA1BF" w:rsidR="00AC767C" w:rsidRPr="00B2127D" w:rsidRDefault="00AC767C" w:rsidP="00AC767C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B2127D">
              <w:rPr>
                <w:lang w:eastAsia="en-US"/>
              </w:rPr>
              <w:t xml:space="preserve">Kompensacijos gavėjai, besikreipiantys </w:t>
            </w:r>
            <w:r w:rsidR="00ED6984" w:rsidRPr="00B2127D">
              <w:rPr>
                <w:lang w:eastAsia="en-US"/>
              </w:rPr>
              <w:t>vienkartinės išmokos</w:t>
            </w:r>
            <w:r w:rsidRPr="00B2127D">
              <w:rPr>
                <w:lang w:eastAsia="en-US"/>
              </w:rPr>
              <w:t xml:space="preserve">, pateikia paraišką vienkartinei </w:t>
            </w:r>
            <w:r w:rsidR="00ED6984" w:rsidRPr="00B2127D">
              <w:rPr>
                <w:lang w:eastAsia="en-US"/>
              </w:rPr>
              <w:t>K</w:t>
            </w:r>
            <w:r w:rsidRPr="00B2127D">
              <w:rPr>
                <w:lang w:eastAsia="en-US"/>
              </w:rPr>
              <w:t>ompensacijai gauti.</w:t>
            </w:r>
          </w:p>
          <w:p w14:paraId="667E1FF2" w14:textId="0CEA5E80" w:rsidR="00AC767C" w:rsidRPr="00B2127D" w:rsidRDefault="00AC767C" w:rsidP="00AC767C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B2127D">
              <w:rPr>
                <w:lang w:eastAsia="en-US"/>
              </w:rPr>
              <w:t>Kompensacijos gavėja</w:t>
            </w:r>
            <w:r w:rsidR="00452FF4" w:rsidRPr="00B2127D">
              <w:rPr>
                <w:lang w:eastAsia="en-US"/>
              </w:rPr>
              <w:t>s</w:t>
            </w:r>
            <w:r w:rsidRPr="00B2127D">
              <w:rPr>
                <w:lang w:eastAsia="en-US"/>
              </w:rPr>
              <w:t xml:space="preserve"> </w:t>
            </w:r>
            <w:r w:rsidRPr="00B2127D">
              <w:rPr>
                <w:color w:val="000000"/>
                <w:lang w:eastAsia="en-GB"/>
              </w:rPr>
              <w:t xml:space="preserve">privalo turėti </w:t>
            </w:r>
            <w:r w:rsidR="008A5C82" w:rsidRPr="00B2127D">
              <w:rPr>
                <w:color w:val="000000"/>
                <w:lang w:eastAsia="en-GB"/>
              </w:rPr>
              <w:t xml:space="preserve">galiojantį </w:t>
            </w:r>
            <w:r w:rsidRPr="00B2127D">
              <w:rPr>
                <w:color w:val="000000"/>
                <w:lang w:eastAsia="en-GB"/>
              </w:rPr>
              <w:t>Valstybinės vartotojų teisių apsaugos tarnybos išduotą klasifikuojamųjų apgyvendinimo paslaugų pažymėjimą.</w:t>
            </w:r>
            <w:r w:rsidR="005A7EBF" w:rsidRPr="00B2127D">
              <w:rPr>
                <w:color w:val="000000"/>
                <w:lang w:eastAsia="en-GB"/>
              </w:rPr>
              <w:t xml:space="preserve"> </w:t>
            </w:r>
            <w:r w:rsidR="00F63056" w:rsidRPr="00B2127D">
              <w:rPr>
                <w:color w:val="000000"/>
                <w:lang w:eastAsia="en-GB"/>
              </w:rPr>
              <w:t xml:space="preserve">Taip pat privalo </w:t>
            </w:r>
            <w:r w:rsidR="00164F19" w:rsidRPr="00B2127D">
              <w:rPr>
                <w:color w:val="000000"/>
                <w:lang w:eastAsia="en-GB"/>
              </w:rPr>
              <w:t xml:space="preserve">paraiškos teikimo </w:t>
            </w:r>
            <w:r w:rsidR="005A7EBF" w:rsidRPr="00B2127D">
              <w:rPr>
                <w:color w:val="000000"/>
                <w:lang w:eastAsia="en-GB"/>
              </w:rPr>
              <w:t>metu teik</w:t>
            </w:r>
            <w:r w:rsidR="00F63056" w:rsidRPr="00B2127D">
              <w:rPr>
                <w:color w:val="000000"/>
                <w:lang w:eastAsia="en-GB"/>
              </w:rPr>
              <w:t>ti</w:t>
            </w:r>
            <w:r w:rsidR="005A7EBF" w:rsidRPr="00B2127D">
              <w:rPr>
                <w:color w:val="000000"/>
                <w:lang w:eastAsia="en-GB"/>
              </w:rPr>
              <w:t xml:space="preserve"> </w:t>
            </w:r>
            <w:r w:rsidR="008A0C38" w:rsidRPr="00B2127D">
              <w:rPr>
                <w:color w:val="000000"/>
                <w:lang w:eastAsia="en-GB"/>
              </w:rPr>
              <w:t>klasifikuojam</w:t>
            </w:r>
            <w:r w:rsidR="00120F14" w:rsidRPr="00B2127D">
              <w:rPr>
                <w:color w:val="000000"/>
                <w:lang w:eastAsia="en-GB"/>
              </w:rPr>
              <w:t>ąsias apgyvendinimo paslaugas.</w:t>
            </w:r>
          </w:p>
        </w:tc>
      </w:tr>
      <w:tr w:rsidR="00AC767C" w:rsidRPr="00B2127D" w14:paraId="739518B5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9AB5A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F52C4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Pagalbos sumavimas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71674" w14:textId="77777777" w:rsidR="00AC767C" w:rsidRPr="00B2127D" w:rsidRDefault="00AC767C" w:rsidP="00AC767C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B2127D">
              <w:rPr>
                <w:lang w:eastAsia="en-US"/>
              </w:rPr>
              <w:t>Pagal Komunikatą teikiama valstybės pagalba gali būti sumuojama vadovaujantis Komunikato 20 ir 22 a punktų nuostatomis.</w:t>
            </w:r>
          </w:p>
        </w:tc>
      </w:tr>
      <w:tr w:rsidR="00AC767C" w:rsidRPr="00B2127D" w14:paraId="29F3ED91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E1DD47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2BAA5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Skaidrumo reikalavimai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F1B38" w14:textId="77777777" w:rsidR="00AC767C" w:rsidRPr="00B2127D" w:rsidRDefault="00AC767C" w:rsidP="00AC767C">
            <w:pPr>
              <w:rPr>
                <w:lang w:eastAsia="en-GB"/>
              </w:rPr>
            </w:pPr>
            <w:r w:rsidRPr="00B2127D">
              <w:rPr>
                <w:lang w:eastAsia="en-GB"/>
              </w:rPr>
              <w:t xml:space="preserve">Vadovaujantis Komunikato 34 punkto </w:t>
            </w:r>
            <w:r w:rsidRPr="00B2127D">
              <w:t xml:space="preserve">nuostatomis, pagal Komisijos reglamento (ES) Nr. 651/2014 III priedą </w:t>
            </w:r>
            <w:r w:rsidRPr="00B2127D">
              <w:rPr>
                <w:lang w:eastAsia="en-GB"/>
              </w:rPr>
              <w:t xml:space="preserve">būtina pateikti informacija apie suteiktą pagalbą į Europos Komisijos valstybės pagalbos skaidrumo svetainę adresu </w:t>
            </w:r>
            <w:hyperlink r:id="rId11" w:history="1">
              <w:r w:rsidRPr="00B2127D">
                <w:rPr>
                  <w:color w:val="0000FF"/>
                  <w:u w:val="single"/>
                  <w:lang w:eastAsia="en-GB"/>
                </w:rPr>
                <w:t>https://webgate.ec.europa.eu/competition/transparency/</w:t>
              </w:r>
            </w:hyperlink>
            <w:r w:rsidRPr="00B2127D">
              <w:rPr>
                <w:lang w:eastAsia="en-GB"/>
              </w:rPr>
              <w:t xml:space="preserve"> bus pateikiama ne vėliau kaip per 12 mėnesių nuo pagalbos suteikimo dienos. </w:t>
            </w:r>
          </w:p>
        </w:tc>
      </w:tr>
      <w:tr w:rsidR="00AC767C" w:rsidRPr="00B2127D" w14:paraId="088EF1DD" w14:textId="77777777" w:rsidTr="00D307F0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ED8C54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D22EB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Informacijos ir dokumentų saugojimas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A1783F" w14:textId="77777777" w:rsidR="00AC767C" w:rsidRPr="00B2127D" w:rsidRDefault="00AC767C" w:rsidP="00AC767C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GB"/>
              </w:rPr>
            </w:pPr>
            <w:r w:rsidRPr="00B2127D">
              <w:rPr>
                <w:color w:val="000000"/>
              </w:rPr>
              <w:t xml:space="preserve">Informacija ir dokumentai, susiję su pagalbos teikimu, saugomi ne trumpiau kaip 10 metų nuo paskutinės pagalbos suteikimo dienos.  </w:t>
            </w:r>
          </w:p>
        </w:tc>
      </w:tr>
    </w:tbl>
    <w:p w14:paraId="6EE17131" w14:textId="77777777" w:rsidR="00AC767C" w:rsidRPr="00B2127D" w:rsidRDefault="00AC767C" w:rsidP="00AC767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 w:cs="Arial Unicode MS"/>
          <w:color w:val="000000"/>
          <w:u w:color="000000"/>
          <w:bdr w:val="nil"/>
        </w:rPr>
      </w:pPr>
    </w:p>
    <w:p w14:paraId="59C050B2" w14:textId="77777777" w:rsidR="00AC767C" w:rsidRPr="00B2127D" w:rsidRDefault="00AC767C" w:rsidP="00AC76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17"/>
        </w:tabs>
        <w:jc w:val="center"/>
        <w:rPr>
          <w:color w:val="000000"/>
          <w:u w:color="000000"/>
          <w:bdr w:val="nil"/>
        </w:rPr>
      </w:pPr>
    </w:p>
    <w:p w14:paraId="41E4AC15" w14:textId="77777777" w:rsidR="00AC767C" w:rsidRPr="00B2127D" w:rsidRDefault="00AC767C" w:rsidP="00AC76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17"/>
        </w:tabs>
        <w:jc w:val="center"/>
        <w:rPr>
          <w:color w:val="000000"/>
          <w:u w:color="000000"/>
          <w:bdr w:val="nil"/>
        </w:rPr>
      </w:pPr>
    </w:p>
    <w:p w14:paraId="7CAA7F49" w14:textId="77777777" w:rsidR="00AC767C" w:rsidRPr="00B2127D" w:rsidRDefault="00AC767C" w:rsidP="00AC76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817"/>
        </w:tabs>
        <w:jc w:val="center"/>
        <w:rPr>
          <w:color w:val="000000"/>
          <w:sz w:val="20"/>
          <w:szCs w:val="20"/>
          <w:u w:color="000000"/>
          <w:bdr w:val="nil"/>
        </w:rPr>
      </w:pPr>
      <w:r w:rsidRPr="00B2127D">
        <w:rPr>
          <w:color w:val="000000"/>
          <w:u w:color="000000"/>
          <w:bdr w:val="nil"/>
        </w:rPr>
        <w:t>_____________</w:t>
      </w:r>
    </w:p>
    <w:p w14:paraId="238C1D5F" w14:textId="77777777" w:rsidR="00283E11" w:rsidRPr="00B2127D" w:rsidRDefault="00283E11" w:rsidP="00823B63">
      <w:pPr>
        <w:suppressAutoHyphens/>
        <w:autoSpaceDE w:val="0"/>
        <w:autoSpaceDN w:val="0"/>
        <w:adjustRightInd w:val="0"/>
        <w:ind w:firstLine="312"/>
        <w:jc w:val="center"/>
        <w:textAlignment w:val="center"/>
        <w:rPr>
          <w:color w:val="000000"/>
          <w:lang w:eastAsia="en-US"/>
        </w:rPr>
      </w:pPr>
    </w:p>
    <w:p w14:paraId="551BE68D" w14:textId="77777777" w:rsidR="00823B63" w:rsidRPr="00B2127D" w:rsidRDefault="00823B63" w:rsidP="00823B63">
      <w:pPr>
        <w:suppressAutoHyphens/>
        <w:autoSpaceDE w:val="0"/>
        <w:autoSpaceDN w:val="0"/>
        <w:adjustRightInd w:val="0"/>
        <w:jc w:val="center"/>
        <w:textAlignment w:val="center"/>
        <w:rPr>
          <w:color w:val="000000"/>
          <w:sz w:val="12"/>
          <w:szCs w:val="12"/>
          <w:lang w:eastAsia="en-US"/>
        </w:rPr>
      </w:pPr>
    </w:p>
    <w:p w14:paraId="2A6889D0" w14:textId="77777777" w:rsidR="00823B63" w:rsidRPr="00B2127D" w:rsidRDefault="00823B63" w:rsidP="00823B63">
      <w:pPr>
        <w:suppressAutoHyphens/>
        <w:autoSpaceDE w:val="0"/>
        <w:autoSpaceDN w:val="0"/>
        <w:adjustRightInd w:val="0"/>
        <w:textAlignment w:val="center"/>
        <w:rPr>
          <w:color w:val="000000"/>
          <w:sz w:val="12"/>
          <w:szCs w:val="12"/>
          <w:lang w:eastAsia="en-US"/>
        </w:rPr>
      </w:pPr>
    </w:p>
    <w:p w14:paraId="077BBB32" w14:textId="77777777" w:rsidR="00823B63" w:rsidRPr="00B2127D" w:rsidRDefault="00823B63" w:rsidP="00823B63">
      <w:pPr>
        <w:rPr>
          <w:lang w:eastAsia="en-GB"/>
        </w:rPr>
      </w:pPr>
    </w:p>
    <w:p w14:paraId="6E3412D9" w14:textId="19935718" w:rsidR="00A43C07" w:rsidRDefault="00A43C07">
      <w:r>
        <w:br w:type="page"/>
      </w:r>
    </w:p>
    <w:p w14:paraId="23E1106B" w14:textId="77777777" w:rsidR="00A43C07" w:rsidRPr="00B2127D" w:rsidRDefault="00A43C07" w:rsidP="00A43C0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5245"/>
        <w:textAlignment w:val="center"/>
        <w:rPr>
          <w:bCs/>
          <w:color w:val="000000"/>
          <w:lang w:eastAsia="en-US"/>
        </w:rPr>
      </w:pPr>
      <w:r w:rsidRPr="00B2127D">
        <w:rPr>
          <w:bCs/>
          <w:color w:val="000000"/>
          <w:lang w:eastAsia="en-US"/>
        </w:rPr>
        <w:lastRenderedPageBreak/>
        <w:t xml:space="preserve">PATVIRTINTA </w:t>
      </w:r>
    </w:p>
    <w:p w14:paraId="0C3FA946" w14:textId="77777777" w:rsidR="00A43C07" w:rsidRPr="00B2127D" w:rsidRDefault="00A43C07" w:rsidP="00A43C0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5245"/>
        <w:textAlignment w:val="center"/>
        <w:rPr>
          <w:bCs/>
          <w:color w:val="000000"/>
          <w:lang w:eastAsia="en-US"/>
        </w:rPr>
      </w:pPr>
      <w:r w:rsidRPr="00B2127D">
        <w:rPr>
          <w:bCs/>
          <w:color w:val="000000"/>
          <w:lang w:eastAsia="en-US"/>
        </w:rPr>
        <w:t>Lietuvos Respublikos Vyriausybės</w:t>
      </w:r>
    </w:p>
    <w:p w14:paraId="014D9217" w14:textId="48CE1476" w:rsidR="00A43C07" w:rsidRPr="00B2127D" w:rsidRDefault="00A43C07" w:rsidP="00A43C07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autoSpaceDE w:val="0"/>
        <w:autoSpaceDN w:val="0"/>
        <w:adjustRightInd w:val="0"/>
        <w:ind w:left="5245"/>
        <w:textAlignment w:val="center"/>
        <w:rPr>
          <w:bCs/>
          <w:color w:val="000000"/>
          <w:lang w:eastAsia="en-US"/>
        </w:rPr>
      </w:pPr>
      <w:r w:rsidRPr="00B2127D">
        <w:rPr>
          <w:bCs/>
          <w:color w:val="000000"/>
          <w:lang w:eastAsia="en-US"/>
        </w:rPr>
        <w:t xml:space="preserve">2022 m. </w:t>
      </w:r>
      <w:r w:rsidR="006C10F1">
        <w:rPr>
          <w:bCs/>
          <w:color w:val="000000"/>
          <w:lang w:eastAsia="en-US"/>
        </w:rPr>
        <w:t xml:space="preserve">            </w:t>
      </w:r>
      <w:r w:rsidRPr="00B2127D">
        <w:rPr>
          <w:bCs/>
          <w:color w:val="000000"/>
          <w:lang w:eastAsia="en-US"/>
        </w:rPr>
        <w:t xml:space="preserve">d. pasitarimo protokolu Nr. </w:t>
      </w:r>
    </w:p>
    <w:p w14:paraId="17EA1D8D" w14:textId="77777777" w:rsidR="00A43C07" w:rsidRPr="00B2127D" w:rsidRDefault="00A43C07" w:rsidP="00A43C07">
      <w:pPr>
        <w:suppressAutoHyphens/>
        <w:autoSpaceDE w:val="0"/>
        <w:autoSpaceDN w:val="0"/>
        <w:adjustRightInd w:val="0"/>
        <w:ind w:firstLine="312"/>
        <w:jc w:val="center"/>
        <w:textAlignment w:val="center"/>
        <w:rPr>
          <w:b/>
          <w:color w:val="000000"/>
          <w:lang w:eastAsia="en-US"/>
        </w:rPr>
      </w:pPr>
    </w:p>
    <w:p w14:paraId="0B7C6F9C" w14:textId="77777777" w:rsidR="00A43C07" w:rsidRPr="00B2127D" w:rsidRDefault="00A43C07" w:rsidP="00A43C07">
      <w:pPr>
        <w:suppressAutoHyphens/>
        <w:autoSpaceDE w:val="0"/>
        <w:autoSpaceDN w:val="0"/>
        <w:adjustRightInd w:val="0"/>
        <w:ind w:firstLine="312"/>
        <w:jc w:val="center"/>
        <w:textAlignment w:val="center"/>
        <w:rPr>
          <w:b/>
          <w:color w:val="000000"/>
          <w:lang w:eastAsia="en-US"/>
        </w:rPr>
      </w:pPr>
    </w:p>
    <w:p w14:paraId="3FD27A4B" w14:textId="77777777" w:rsidR="00A43C07" w:rsidRPr="00B2127D" w:rsidRDefault="00A43C07" w:rsidP="00A43C07">
      <w:pPr>
        <w:suppressAutoHyphens/>
        <w:autoSpaceDE w:val="0"/>
        <w:autoSpaceDN w:val="0"/>
        <w:adjustRightInd w:val="0"/>
        <w:ind w:firstLine="312"/>
        <w:jc w:val="center"/>
        <w:textAlignment w:val="center"/>
        <w:rPr>
          <w:b/>
          <w:bCs/>
          <w:caps/>
          <w:color w:val="000000"/>
        </w:rPr>
      </w:pPr>
      <w:r w:rsidRPr="00B2127D">
        <w:rPr>
          <w:b/>
          <w:bCs/>
          <w:caps/>
          <w:color w:val="000000"/>
          <w:lang w:eastAsia="en-US"/>
        </w:rPr>
        <w:t>priemonės „</w:t>
      </w:r>
      <w:r w:rsidRPr="00B2127D">
        <w:rPr>
          <w:b/>
          <w:bCs/>
          <w:caps/>
          <w:color w:val="000000"/>
        </w:rPr>
        <w:t>SUBSIDIJOS ATVYKSTAMOJO TURIZMO KELIONIŲ ORGANIZATORIAMS</w:t>
      </w:r>
      <w:r w:rsidRPr="00B2127D">
        <w:rPr>
          <w:b/>
          <w:bCs/>
          <w:caps/>
          <w:color w:val="000000"/>
          <w:lang w:eastAsia="en-US"/>
        </w:rPr>
        <w:t>”</w:t>
      </w:r>
      <w:r w:rsidRPr="00B2127D">
        <w:rPr>
          <w:b/>
          <w:color w:val="000000"/>
          <w:lang w:eastAsia="en-US"/>
        </w:rPr>
        <w:t xml:space="preserve"> KONCEPCIJA</w:t>
      </w:r>
    </w:p>
    <w:p w14:paraId="08AA5D70" w14:textId="77777777" w:rsidR="00A43C07" w:rsidRPr="00B2127D" w:rsidRDefault="00A43C07" w:rsidP="00A43C07">
      <w:pPr>
        <w:suppressAutoHyphens/>
        <w:autoSpaceDE w:val="0"/>
        <w:autoSpaceDN w:val="0"/>
        <w:adjustRightInd w:val="0"/>
        <w:ind w:firstLine="312"/>
        <w:jc w:val="both"/>
        <w:textAlignment w:val="center"/>
        <w:rPr>
          <w:color w:val="000000"/>
          <w:lang w:eastAsia="en-US"/>
        </w:rPr>
      </w:pPr>
    </w:p>
    <w:tbl>
      <w:tblPr>
        <w:tblW w:w="975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7063"/>
      </w:tblGrid>
      <w:tr w:rsidR="00A43C07" w:rsidRPr="00B2127D" w14:paraId="21C8AC98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CF46BE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 xml:space="preserve">Eil. </w:t>
            </w:r>
          </w:p>
          <w:p w14:paraId="4CD98B37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BE8C8E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Pagrindiniai</w:t>
            </w:r>
          </w:p>
          <w:p w14:paraId="3922F9AE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Elementai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D156BD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Paaiškinimas</w:t>
            </w:r>
          </w:p>
          <w:p w14:paraId="32F951EC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A43C07" w:rsidRPr="00B2127D" w14:paraId="3E3C513D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1FF3D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1.</w:t>
            </w:r>
          </w:p>
          <w:p w14:paraId="3DF98D98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9D02B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Teisinis pagrindas</w:t>
            </w:r>
          </w:p>
          <w:p w14:paraId="5873D431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03C15" w14:textId="4B1B0E4C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GB"/>
              </w:rPr>
            </w:pPr>
            <w:r w:rsidRPr="00B2127D">
              <w:rPr>
                <w:lang w:eastAsia="en-GB"/>
              </w:rPr>
              <w:t xml:space="preserve">2013 m. gruodžio 18 d. Komisijos reglamentas (ES) Nr. 1407/2013 dėl Sutarties dėl Europos Sąjungos veikimo 107 ir 108 straipsnių taikymo </w:t>
            </w:r>
            <w:r w:rsidRPr="00B2127D">
              <w:rPr>
                <w:i/>
                <w:iCs/>
                <w:lang w:eastAsia="en-GB"/>
              </w:rPr>
              <w:t xml:space="preserve">de </w:t>
            </w:r>
            <w:proofErr w:type="spellStart"/>
            <w:r w:rsidRPr="00B2127D">
              <w:rPr>
                <w:i/>
                <w:iCs/>
                <w:lang w:eastAsia="en-GB"/>
              </w:rPr>
              <w:t>minimis</w:t>
            </w:r>
            <w:proofErr w:type="spellEnd"/>
            <w:r w:rsidRPr="00B2127D">
              <w:rPr>
                <w:lang w:eastAsia="en-GB"/>
              </w:rPr>
              <w:t xml:space="preserve"> pagalbai su paskutiniais pakeitimais, padarytais 2020 m. liepos 2 d. Komisijos reglamentu (ES) 2020/972 (toliau – Reglamentas </w:t>
            </w:r>
            <w:r w:rsidRPr="00B2127D">
              <w:rPr>
                <w:color w:val="000000"/>
                <w:lang w:eastAsia="en-GB"/>
              </w:rPr>
              <w:t>Nr. 1407/2013)</w:t>
            </w:r>
            <w:r w:rsidR="0009087A">
              <w:rPr>
                <w:lang w:eastAsia="en-GB"/>
              </w:rPr>
              <w:t xml:space="preserve"> arba </w:t>
            </w:r>
            <w:r w:rsidR="0009087A" w:rsidRPr="00B2127D">
              <w:rPr>
                <w:lang w:eastAsia="en-GB"/>
              </w:rPr>
              <w:t>2020 m. kovo 19 d. Europos Komisijos komunikato „Laikinoji valstybės pagalbos priemonių, skirtų ekonomikai remti reaguojant į dabartinį COVID-19 protrūkį, sistema“ su paskutiniais pakeitimais, padarytais 2021 m. lapkričio 18 d. Europos Komisijos komunikatu Nr. 2021/C 473/01 (toliau – Komunikatas), 3.1 skirsnis.</w:t>
            </w:r>
          </w:p>
          <w:p w14:paraId="142DDB22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Lietuvos Respublikos smulkiojo ir vidutinio verslo plėtros įstatymas (toliau – SVV įstatymas).</w:t>
            </w:r>
          </w:p>
        </w:tc>
      </w:tr>
      <w:tr w:rsidR="00A43C07" w:rsidRPr="00B2127D" w14:paraId="2AE6473F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05593E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2.</w:t>
            </w:r>
          </w:p>
          <w:p w14:paraId="073D6F53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E487C9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Planuojamo skirti finansavimo suma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A128C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bCs/>
                <w:lang w:eastAsia="en-US"/>
              </w:rPr>
            </w:pPr>
            <w:r w:rsidRPr="00B2127D">
              <w:rPr>
                <w:color w:val="000000"/>
              </w:rPr>
              <w:t>0,4 mln. Eur iš Vyriausybės rezervo lėšų, įskaitant administravimo išlaidas.</w:t>
            </w:r>
          </w:p>
        </w:tc>
      </w:tr>
      <w:tr w:rsidR="00A43C07" w:rsidRPr="00B2127D" w14:paraId="33BA516A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48132D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1496A3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 xml:space="preserve">Subsidijos davėjas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E3DDA2" w14:textId="77777777" w:rsidR="00A43C07" w:rsidRPr="00B2127D" w:rsidRDefault="00A43C07" w:rsidP="001C4106">
            <w:pPr>
              <w:autoSpaceDE w:val="0"/>
              <w:autoSpaceDN w:val="0"/>
              <w:contextualSpacing/>
              <w:rPr>
                <w:lang w:eastAsia="en-GB"/>
              </w:rPr>
            </w:pPr>
            <w:r w:rsidRPr="00B2127D">
              <w:rPr>
                <w:bCs/>
                <w:lang w:eastAsia="en-GB"/>
              </w:rPr>
              <w:t>Priemonės tvarkos aprašą rengs Ekonomikos ir inovacijų ministerija, administruos ir mokėjimus pareiškėjams vykdys UAB ,,Investicijų ir verslo garantijos“.</w:t>
            </w:r>
          </w:p>
        </w:tc>
      </w:tr>
      <w:tr w:rsidR="00A43C07" w:rsidRPr="00B2127D" w14:paraId="1F1A3BA6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D226E1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2A3145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 xml:space="preserve">Subsidijos gavėjai 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1125D" w14:textId="77777777" w:rsidR="00A43C07" w:rsidRPr="00B2127D" w:rsidRDefault="00A43C07" w:rsidP="001C4106">
            <w:pPr>
              <w:autoSpaceDE w:val="0"/>
              <w:autoSpaceDN w:val="0"/>
              <w:contextualSpacing/>
              <w:rPr>
                <w:bCs/>
                <w:lang w:eastAsia="en-GB"/>
              </w:rPr>
            </w:pPr>
            <w:r w:rsidRPr="00B2127D">
              <w:rPr>
                <w:bCs/>
                <w:lang w:eastAsia="en-GB"/>
              </w:rPr>
              <w:t xml:space="preserve">Atvykstamojo turizmo kelionių organizatoriai, atitinkantys smulkiojo ir vidutinio verslo (toliau – SVV) subjekto statusą, pagal SVV įstatymą.  </w:t>
            </w:r>
          </w:p>
        </w:tc>
      </w:tr>
      <w:tr w:rsidR="00A43C07" w:rsidRPr="00B2127D" w14:paraId="0B06FB90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F1C2E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5.</w:t>
            </w:r>
          </w:p>
          <w:p w14:paraId="5D98F87C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819CD7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 xml:space="preserve">Subsidijos dydis </w:t>
            </w:r>
          </w:p>
          <w:p w14:paraId="176ABE3F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highlight w:val="yellow"/>
              </w:rPr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70172" w14:textId="252C1F04" w:rsidR="00A43C07" w:rsidRDefault="00A43C07" w:rsidP="001C41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="Arial Unicode MS"/>
                <w:color w:val="000000"/>
                <w:u w:color="000000"/>
                <w:bdr w:val="nil"/>
              </w:rPr>
            </w:pPr>
            <w:r w:rsidRPr="00B2127D">
              <w:rPr>
                <w:rFonts w:eastAsia="Arial Unicode MS" w:cs="Arial Unicode MS"/>
                <w:color w:val="000000"/>
                <w:u w:color="000000"/>
                <w:bdr w:val="nil"/>
              </w:rPr>
              <w:t>Subsidijai apskaičiuoti būtų pasitelkiami Lietuvos statistikos departamento duomenys „Turistų, pasinaudojusių kelionių agentūrų ir kelionių organizatorių paslaugomis, skaičius“ už laikotarpį nuo 20</w:t>
            </w:r>
            <w:r w:rsidR="005810FC">
              <w:rPr>
                <w:rFonts w:eastAsia="Arial Unicode MS" w:cs="Arial Unicode MS"/>
                <w:color w:val="000000"/>
                <w:u w:color="000000"/>
                <w:bdr w:val="nil"/>
              </w:rPr>
              <w:t>19</w:t>
            </w:r>
            <w:r w:rsidRPr="00B2127D">
              <w:rPr>
                <w:rFonts w:eastAsia="Arial Unicode MS" w:cs="Arial Unicode MS"/>
                <w:color w:val="000000"/>
                <w:u w:color="000000"/>
                <w:bdr w:val="nil"/>
              </w:rPr>
              <w:t xml:space="preserve"> m. sausio 1 d. iki 2021m. gruodžio 31 d.</w:t>
            </w:r>
          </w:p>
          <w:p w14:paraId="4D5E3D6A" w14:textId="451DC623" w:rsidR="005810FC" w:rsidRPr="00B2127D" w:rsidRDefault="005810FC" w:rsidP="005810F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="Arial Unicode MS"/>
                <w:color w:val="000000"/>
                <w:u w:color="000000"/>
                <w:bdr w:val="nil"/>
              </w:rPr>
            </w:pPr>
            <w:r w:rsidRPr="00B2127D">
              <w:rPr>
                <w:rFonts w:eastAsia="Arial Unicode MS" w:cs="Arial Unicode MS"/>
                <w:color w:val="000000"/>
                <w:u w:color="000000"/>
                <w:bdr w:val="nil"/>
              </w:rPr>
              <w:t xml:space="preserve">Didžiausia galima už 1 (vieną) atvežtą užsienio turistą skirta </w:t>
            </w:r>
            <w:r w:rsidR="00935B71">
              <w:rPr>
                <w:rFonts w:eastAsia="Arial Unicode MS" w:cs="Arial Unicode MS"/>
                <w:color w:val="000000"/>
                <w:u w:color="000000"/>
                <w:bdr w:val="nil"/>
              </w:rPr>
              <w:br/>
            </w:r>
            <w:r w:rsidRPr="00B2127D">
              <w:rPr>
                <w:rFonts w:eastAsia="Arial Unicode MS" w:cs="Arial Unicode MS"/>
                <w:color w:val="000000"/>
                <w:u w:color="000000"/>
                <w:bdr w:val="nil"/>
              </w:rPr>
              <w:t xml:space="preserve">suma </w:t>
            </w:r>
            <w:r w:rsidRPr="00B2127D">
              <w:rPr>
                <w:rFonts w:eastAsia="Calibri"/>
                <w:lang w:eastAsia="en-US"/>
              </w:rPr>
              <w:t xml:space="preserve">– </w:t>
            </w:r>
            <w:r w:rsidRPr="00B2127D">
              <w:rPr>
                <w:rFonts w:eastAsia="Arial Unicode MS" w:cs="Arial Unicode MS"/>
                <w:color w:val="000000"/>
                <w:u w:color="000000"/>
                <w:bdr w:val="nil"/>
              </w:rPr>
              <w:t>3 Eur.</w:t>
            </w:r>
          </w:p>
          <w:p w14:paraId="234F4237" w14:textId="7C4C07EB" w:rsidR="00A43C07" w:rsidRPr="00B2127D" w:rsidRDefault="00A43C07" w:rsidP="001C41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 xml:space="preserve">Didžiausia galima vienam pareiškėjui skirta suma – </w:t>
            </w:r>
            <w:r w:rsidR="00B94EF8">
              <w:rPr>
                <w:rFonts w:eastAsia="Calibri"/>
                <w:lang w:eastAsia="en-US"/>
              </w:rPr>
              <w:t>3</w:t>
            </w:r>
            <w:r w:rsidRPr="00B2127D">
              <w:rPr>
                <w:rFonts w:eastAsia="Calibri"/>
                <w:lang w:eastAsia="en-US"/>
              </w:rPr>
              <w:t>0 000 Eur.</w:t>
            </w:r>
          </w:p>
          <w:p w14:paraId="32ABFC9E" w14:textId="77777777" w:rsidR="00A43C07" w:rsidRPr="00B2127D" w:rsidDel="009809EF" w:rsidRDefault="00A43C07" w:rsidP="001C41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libri"/>
                <w:lang w:eastAsia="en-US"/>
              </w:rPr>
            </w:pPr>
            <w:r w:rsidRPr="00B2127D">
              <w:rPr>
                <w:rFonts w:eastAsia="Calibri"/>
                <w:lang w:eastAsia="en-US"/>
              </w:rPr>
              <w:t>Jei bendra gautų paraiškų suma viršys priemonei Subsidijoms išmokėti skirtą lėšų sumą, Subsidijos dydis už 1 (vieną) atvežtą turistą bus proporcingai mažinamas, atsižvelgiant į visų paraiškose pateiktų turistų skaičių.</w:t>
            </w:r>
          </w:p>
        </w:tc>
      </w:tr>
      <w:tr w:rsidR="00A43C07" w:rsidRPr="00B2127D" w14:paraId="2C394865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ED85B3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6.</w:t>
            </w:r>
          </w:p>
          <w:p w14:paraId="242EFB52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C43B8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Subsidijos teikimo sąlygos</w:t>
            </w:r>
          </w:p>
          <w:p w14:paraId="096EB5E6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9DBB52" w14:textId="6750771B" w:rsidR="001E5B40" w:rsidRDefault="001E5B40" w:rsidP="00935B71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Subsidijos</w:t>
            </w:r>
            <w:r w:rsidR="00692C2D" w:rsidRPr="00B2127D">
              <w:rPr>
                <w:rFonts w:eastAsia="Calibri"/>
                <w:lang w:eastAsia="en-US"/>
              </w:rPr>
              <w:t xml:space="preserve"> gavėjo</w:t>
            </w:r>
            <w:r>
              <w:rPr>
                <w:rFonts w:eastAsia="Calibri"/>
                <w:lang w:eastAsia="en-US"/>
              </w:rPr>
              <w:t xml:space="preserve"> </w:t>
            </w:r>
            <w:r w:rsidR="00692C2D" w:rsidRPr="00B2127D">
              <w:rPr>
                <w:rFonts w:eastAsia="Calibri"/>
                <w:lang w:eastAsia="en-US"/>
              </w:rPr>
              <w:t xml:space="preserve">pajamos 2021 m. smuko </w:t>
            </w:r>
            <w:r>
              <w:rPr>
                <w:rFonts w:eastAsia="Calibri"/>
                <w:lang w:eastAsia="en-US"/>
              </w:rPr>
              <w:t>3</w:t>
            </w:r>
            <w:r w:rsidR="00692C2D" w:rsidRPr="00B2127D">
              <w:rPr>
                <w:rFonts w:eastAsia="Calibri"/>
                <w:lang w:eastAsia="en-US"/>
              </w:rPr>
              <w:t>0 proc. ir daugiau lyginant su 2019 m.</w:t>
            </w:r>
          </w:p>
          <w:p w14:paraId="14F63A0D" w14:textId="77777777" w:rsidR="00935B71" w:rsidRPr="00935B71" w:rsidRDefault="00935B71" w:rsidP="00935B71">
            <w:pPr>
              <w:tabs>
                <w:tab w:val="left" w:pos="0"/>
              </w:tabs>
              <w:spacing w:after="200" w:line="276" w:lineRule="auto"/>
              <w:ind w:left="28"/>
              <w:contextualSpacing/>
              <w:rPr>
                <w:rFonts w:eastAsia="Calibri"/>
                <w:lang w:eastAsia="en-US"/>
              </w:rPr>
            </w:pPr>
          </w:p>
          <w:p w14:paraId="7744FA0A" w14:textId="1610E2D1" w:rsidR="00A43C07" w:rsidRPr="00B2127D" w:rsidRDefault="00A43C07" w:rsidP="001C4106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B2127D">
              <w:rPr>
                <w:lang w:eastAsia="en-US"/>
              </w:rPr>
              <w:t xml:space="preserve">Subsidijos gavėjai </w:t>
            </w:r>
            <w:r w:rsidRPr="00B2127D">
              <w:rPr>
                <w:color w:val="000000"/>
                <w:lang w:eastAsia="en-GB"/>
              </w:rPr>
              <w:t>privalo turėti Valstybinės vartotojų teisių apsaugos tarnybos išduotą atvykstamojo turizmo kelionių organizatoriaus pažymėjimą visą lyginamąjį laikotarpį.</w:t>
            </w:r>
          </w:p>
        </w:tc>
      </w:tr>
      <w:tr w:rsidR="00A43C07" w:rsidRPr="00B2127D" w14:paraId="50479597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9B20C9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lastRenderedPageBreak/>
              <w:t>7.</w:t>
            </w:r>
          </w:p>
          <w:p w14:paraId="56458D8B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EF881E" w14:textId="18195FF5" w:rsidR="00A43C07" w:rsidRPr="00B2127D" w:rsidRDefault="001E5B40" w:rsidP="001C4106">
            <w:pPr>
              <w:rPr>
                <w:lang w:eastAsia="en-GB"/>
              </w:rPr>
            </w:pPr>
            <w:r>
              <w:rPr>
                <w:color w:val="000000"/>
                <w:lang w:eastAsia="en-GB"/>
              </w:rPr>
              <w:t>P</w:t>
            </w:r>
            <w:r w:rsidR="00A43C07" w:rsidRPr="00B2127D">
              <w:rPr>
                <w:color w:val="000000"/>
                <w:lang w:eastAsia="en-GB"/>
              </w:rPr>
              <w:t>agalbos sumavima</w:t>
            </w:r>
            <w:r w:rsidR="00A43C07" w:rsidRPr="00B2127D">
              <w:rPr>
                <w:lang w:eastAsia="en-GB"/>
              </w:rPr>
              <w:t>s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F17873" w14:textId="77777777" w:rsidR="00A43C07" w:rsidRDefault="00A43C07" w:rsidP="001C4106">
            <w:pPr>
              <w:rPr>
                <w:color w:val="000000"/>
                <w:lang w:eastAsia="en-GB"/>
              </w:rPr>
            </w:pPr>
            <w:r w:rsidRPr="00B2127D">
              <w:rPr>
                <w:i/>
                <w:iCs/>
                <w:color w:val="000000"/>
                <w:lang w:eastAsia="en-GB"/>
              </w:rPr>
              <w:t xml:space="preserve">De </w:t>
            </w:r>
            <w:proofErr w:type="spellStart"/>
            <w:r w:rsidRPr="00B2127D">
              <w:rPr>
                <w:i/>
                <w:iCs/>
                <w:color w:val="000000"/>
                <w:lang w:eastAsia="en-GB"/>
              </w:rPr>
              <w:t>minimis</w:t>
            </w:r>
            <w:proofErr w:type="spellEnd"/>
            <w:r w:rsidRPr="00B2127D">
              <w:rPr>
                <w:color w:val="000000"/>
                <w:lang w:eastAsia="en-GB"/>
              </w:rPr>
              <w:t> pagalba sumuojama, kaip tai nustatyta Reglamento Nr. 1407/2013 5 straipsnyje.</w:t>
            </w:r>
          </w:p>
          <w:p w14:paraId="4045C948" w14:textId="1FA6B6AF" w:rsidR="001E5B40" w:rsidRPr="00B2127D" w:rsidRDefault="001E5B40" w:rsidP="001C4106">
            <w:pPr>
              <w:rPr>
                <w:lang w:eastAsia="en-GB"/>
              </w:rPr>
            </w:pPr>
            <w:r w:rsidRPr="00B2127D">
              <w:rPr>
                <w:lang w:eastAsia="en-US"/>
              </w:rPr>
              <w:t>Pagal Komunikatą teikiama valstybės pagalba gali būti sumuojama vadovaujantis Komunikato 20 ir 22 a punktų nuostatomis.</w:t>
            </w:r>
          </w:p>
        </w:tc>
      </w:tr>
      <w:tr w:rsidR="00A43C07" w:rsidRPr="00B2127D" w14:paraId="5279FB50" w14:textId="77777777" w:rsidTr="001C4106">
        <w:trPr>
          <w:trHeight w:val="4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291CD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E05E68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  <w:r w:rsidRPr="00B2127D">
              <w:rPr>
                <w:color w:val="000000"/>
              </w:rPr>
              <w:t>Informacijos ir dokumentų saugojimas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929C10" w14:textId="77777777" w:rsidR="00A43C07" w:rsidRPr="00B2127D" w:rsidRDefault="00A43C07" w:rsidP="001C4106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GB"/>
              </w:rPr>
            </w:pPr>
            <w:r w:rsidRPr="00B2127D">
              <w:rPr>
                <w:color w:val="000000"/>
              </w:rPr>
              <w:t xml:space="preserve">Informacija ir dokumentai, susiję su pagalbos teikimu, saugomi ne trumpiau kaip 10 metų nuo paskutinės pagalbos suteikimo dienos.  </w:t>
            </w:r>
          </w:p>
        </w:tc>
      </w:tr>
    </w:tbl>
    <w:p w14:paraId="4480FFC5" w14:textId="2CAAFC50" w:rsidR="00B80F8E" w:rsidRPr="00B2127D" w:rsidRDefault="00A43C07" w:rsidP="00A43C07">
      <w:pPr>
        <w:tabs>
          <w:tab w:val="left" w:pos="1134"/>
        </w:tabs>
        <w:spacing w:line="360" w:lineRule="auto"/>
        <w:ind w:firstLine="709"/>
        <w:jc w:val="center"/>
      </w:pPr>
      <w:r w:rsidRPr="00B2127D">
        <w:rPr>
          <w:color w:val="000000"/>
          <w:lang w:eastAsia="en-US"/>
        </w:rPr>
        <w:t>_____________________</w:t>
      </w:r>
    </w:p>
    <w:sectPr w:rsidR="00B80F8E" w:rsidRPr="00B2127D" w:rsidSect="008046D8">
      <w:head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040C" w14:textId="77777777" w:rsidR="001A54F5" w:rsidRDefault="001A54F5" w:rsidP="008046D8">
      <w:r>
        <w:separator/>
      </w:r>
    </w:p>
  </w:endnote>
  <w:endnote w:type="continuationSeparator" w:id="0">
    <w:p w14:paraId="535237FA" w14:textId="77777777" w:rsidR="001A54F5" w:rsidRDefault="001A54F5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22BD" w14:textId="77777777" w:rsidR="001A54F5" w:rsidRDefault="001A54F5" w:rsidP="008046D8">
      <w:r>
        <w:separator/>
      </w:r>
    </w:p>
  </w:footnote>
  <w:footnote w:type="continuationSeparator" w:id="0">
    <w:p w14:paraId="5D342009" w14:textId="77777777" w:rsidR="001A54F5" w:rsidRDefault="001A54F5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799B" w14:textId="7D7A1487" w:rsidR="00AC3B9C" w:rsidRDefault="00AC3B9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D6313">
      <w:rPr>
        <w:noProof/>
      </w:rPr>
      <w:t>2</w:t>
    </w:r>
    <w:r>
      <w:fldChar w:fldCharType="end"/>
    </w:r>
  </w:p>
  <w:p w14:paraId="3C7B18F5" w14:textId="77777777" w:rsidR="00AC3B9C" w:rsidRDefault="00AC3B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ED6"/>
    <w:multiLevelType w:val="hybridMultilevel"/>
    <w:tmpl w:val="ADB47A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34664"/>
    <w:multiLevelType w:val="hybridMultilevel"/>
    <w:tmpl w:val="7A8014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9100E0E"/>
    <w:multiLevelType w:val="multilevel"/>
    <w:tmpl w:val="D44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10E7D"/>
    <w:multiLevelType w:val="hybridMultilevel"/>
    <w:tmpl w:val="1A80F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F7CD0"/>
    <w:multiLevelType w:val="hybridMultilevel"/>
    <w:tmpl w:val="67DA94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61C7E"/>
    <w:multiLevelType w:val="multilevel"/>
    <w:tmpl w:val="E910B7A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4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69AF27CF"/>
    <w:multiLevelType w:val="hybridMultilevel"/>
    <w:tmpl w:val="CCF6797E"/>
    <w:lvl w:ilvl="0" w:tplc="3FC4D7BA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6253E"/>
    <w:multiLevelType w:val="hybridMultilevel"/>
    <w:tmpl w:val="DA5A3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41FC9"/>
    <w:multiLevelType w:val="multilevel"/>
    <w:tmpl w:val="2612C2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3"/>
  </w:num>
  <w:num w:numId="5">
    <w:abstractNumId w:val="8"/>
  </w:num>
  <w:num w:numId="6">
    <w:abstractNumId w:val="1"/>
  </w:num>
  <w:num w:numId="7">
    <w:abstractNumId w:val="15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18"/>
  </w:num>
  <w:num w:numId="13">
    <w:abstractNumId w:val="3"/>
  </w:num>
  <w:num w:numId="14">
    <w:abstractNumId w:val="16"/>
  </w:num>
  <w:num w:numId="15">
    <w:abstractNumId w:val="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6"/>
  </w:num>
  <w:num w:numId="19">
    <w:abstractNumId w:val="6"/>
  </w:num>
  <w:num w:numId="20">
    <w:abstractNumId w:val="16"/>
  </w:num>
  <w:num w:numId="21">
    <w:abstractNumId w:val="5"/>
  </w:num>
  <w:num w:numId="22">
    <w:abstractNumId w:val="17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AD"/>
    <w:rsid w:val="000013A0"/>
    <w:rsid w:val="0000268A"/>
    <w:rsid w:val="00015F4E"/>
    <w:rsid w:val="000227FA"/>
    <w:rsid w:val="00023A68"/>
    <w:rsid w:val="00027FDD"/>
    <w:rsid w:val="000376A1"/>
    <w:rsid w:val="00045372"/>
    <w:rsid w:val="00047ACB"/>
    <w:rsid w:val="00050D9E"/>
    <w:rsid w:val="00054196"/>
    <w:rsid w:val="0005686B"/>
    <w:rsid w:val="00065CED"/>
    <w:rsid w:val="00067A61"/>
    <w:rsid w:val="000754F2"/>
    <w:rsid w:val="00077B6E"/>
    <w:rsid w:val="00084195"/>
    <w:rsid w:val="00084862"/>
    <w:rsid w:val="00086833"/>
    <w:rsid w:val="0009087A"/>
    <w:rsid w:val="000A4C10"/>
    <w:rsid w:val="000B23C7"/>
    <w:rsid w:val="000B3FE0"/>
    <w:rsid w:val="000B4FC4"/>
    <w:rsid w:val="000B6DBF"/>
    <w:rsid w:val="000B711C"/>
    <w:rsid w:val="000C2728"/>
    <w:rsid w:val="000D00AF"/>
    <w:rsid w:val="000D0FA8"/>
    <w:rsid w:val="000D5D8A"/>
    <w:rsid w:val="000E36FC"/>
    <w:rsid w:val="000E5E73"/>
    <w:rsid w:val="000F7EF5"/>
    <w:rsid w:val="00100C5A"/>
    <w:rsid w:val="00101685"/>
    <w:rsid w:val="001023FF"/>
    <w:rsid w:val="00111D1E"/>
    <w:rsid w:val="00114B90"/>
    <w:rsid w:val="00120F14"/>
    <w:rsid w:val="00121FAC"/>
    <w:rsid w:val="00123357"/>
    <w:rsid w:val="0012448A"/>
    <w:rsid w:val="001258AD"/>
    <w:rsid w:val="00127C14"/>
    <w:rsid w:val="00130B2A"/>
    <w:rsid w:val="00133753"/>
    <w:rsid w:val="001557BC"/>
    <w:rsid w:val="00155EC8"/>
    <w:rsid w:val="001613F9"/>
    <w:rsid w:val="0016392A"/>
    <w:rsid w:val="00164DA1"/>
    <w:rsid w:val="00164F19"/>
    <w:rsid w:val="00166C64"/>
    <w:rsid w:val="00176B54"/>
    <w:rsid w:val="00193B6F"/>
    <w:rsid w:val="001A2CF3"/>
    <w:rsid w:val="001A3522"/>
    <w:rsid w:val="001A54F5"/>
    <w:rsid w:val="001B30FF"/>
    <w:rsid w:val="001C7CFE"/>
    <w:rsid w:val="001D28A6"/>
    <w:rsid w:val="001D6A9F"/>
    <w:rsid w:val="001D7EF7"/>
    <w:rsid w:val="001E5B40"/>
    <w:rsid w:val="00206FE6"/>
    <w:rsid w:val="00212C1C"/>
    <w:rsid w:val="00213360"/>
    <w:rsid w:val="002137C2"/>
    <w:rsid w:val="00237C53"/>
    <w:rsid w:val="00247747"/>
    <w:rsid w:val="00256047"/>
    <w:rsid w:val="002630FA"/>
    <w:rsid w:val="00264A30"/>
    <w:rsid w:val="002665E5"/>
    <w:rsid w:val="002746C6"/>
    <w:rsid w:val="00281000"/>
    <w:rsid w:val="00281AC1"/>
    <w:rsid w:val="00283824"/>
    <w:rsid w:val="00283E11"/>
    <w:rsid w:val="00287B24"/>
    <w:rsid w:val="002A3ED5"/>
    <w:rsid w:val="002B0B7C"/>
    <w:rsid w:val="002B64F0"/>
    <w:rsid w:val="002C460B"/>
    <w:rsid w:val="002D2EB8"/>
    <w:rsid w:val="002E38F1"/>
    <w:rsid w:val="002E6178"/>
    <w:rsid w:val="002E6E7C"/>
    <w:rsid w:val="002F657B"/>
    <w:rsid w:val="00311051"/>
    <w:rsid w:val="0031374B"/>
    <w:rsid w:val="00316087"/>
    <w:rsid w:val="003224AB"/>
    <w:rsid w:val="003250A8"/>
    <w:rsid w:val="00325CE2"/>
    <w:rsid w:val="003319E2"/>
    <w:rsid w:val="00332DA0"/>
    <w:rsid w:val="003368D4"/>
    <w:rsid w:val="00347297"/>
    <w:rsid w:val="00356A3C"/>
    <w:rsid w:val="0035754A"/>
    <w:rsid w:val="0036009B"/>
    <w:rsid w:val="00373B46"/>
    <w:rsid w:val="00380D49"/>
    <w:rsid w:val="00382166"/>
    <w:rsid w:val="00390D47"/>
    <w:rsid w:val="003916F4"/>
    <w:rsid w:val="0039488D"/>
    <w:rsid w:val="00395899"/>
    <w:rsid w:val="003A4AEB"/>
    <w:rsid w:val="003B04EC"/>
    <w:rsid w:val="003C22A7"/>
    <w:rsid w:val="003C29D0"/>
    <w:rsid w:val="003C3C23"/>
    <w:rsid w:val="003C52CA"/>
    <w:rsid w:val="003E01C4"/>
    <w:rsid w:val="003E0881"/>
    <w:rsid w:val="003E0A72"/>
    <w:rsid w:val="003F5688"/>
    <w:rsid w:val="00400012"/>
    <w:rsid w:val="004008D5"/>
    <w:rsid w:val="004014CD"/>
    <w:rsid w:val="00402EA5"/>
    <w:rsid w:val="00406298"/>
    <w:rsid w:val="00410562"/>
    <w:rsid w:val="004137EC"/>
    <w:rsid w:val="00421C91"/>
    <w:rsid w:val="00431149"/>
    <w:rsid w:val="00437BEB"/>
    <w:rsid w:val="00441863"/>
    <w:rsid w:val="00445283"/>
    <w:rsid w:val="00452DBD"/>
    <w:rsid w:val="00452FF4"/>
    <w:rsid w:val="00453A0F"/>
    <w:rsid w:val="004540D4"/>
    <w:rsid w:val="00460990"/>
    <w:rsid w:val="00464A07"/>
    <w:rsid w:val="00474EF9"/>
    <w:rsid w:val="004770CE"/>
    <w:rsid w:val="004824D8"/>
    <w:rsid w:val="004830D5"/>
    <w:rsid w:val="00485C64"/>
    <w:rsid w:val="00490B43"/>
    <w:rsid w:val="0049159C"/>
    <w:rsid w:val="004A3C7C"/>
    <w:rsid w:val="004B32F9"/>
    <w:rsid w:val="004C7581"/>
    <w:rsid w:val="004C789C"/>
    <w:rsid w:val="004C7EB7"/>
    <w:rsid w:val="004E05A5"/>
    <w:rsid w:val="005038C3"/>
    <w:rsid w:val="00504C8A"/>
    <w:rsid w:val="00510055"/>
    <w:rsid w:val="00525AEB"/>
    <w:rsid w:val="00527BBA"/>
    <w:rsid w:val="00534D3B"/>
    <w:rsid w:val="00537FC3"/>
    <w:rsid w:val="0054008D"/>
    <w:rsid w:val="005450A2"/>
    <w:rsid w:val="00554E84"/>
    <w:rsid w:val="0056261B"/>
    <w:rsid w:val="00562B2F"/>
    <w:rsid w:val="00563549"/>
    <w:rsid w:val="005637F2"/>
    <w:rsid w:val="00564888"/>
    <w:rsid w:val="00570BE4"/>
    <w:rsid w:val="005744DF"/>
    <w:rsid w:val="005810FC"/>
    <w:rsid w:val="005836CB"/>
    <w:rsid w:val="00586E86"/>
    <w:rsid w:val="005911D9"/>
    <w:rsid w:val="00596D25"/>
    <w:rsid w:val="00597C57"/>
    <w:rsid w:val="005A06F3"/>
    <w:rsid w:val="005A7EBF"/>
    <w:rsid w:val="005B540E"/>
    <w:rsid w:val="005C7B45"/>
    <w:rsid w:val="005D1F4F"/>
    <w:rsid w:val="005D67F3"/>
    <w:rsid w:val="005F31C8"/>
    <w:rsid w:val="005F51C0"/>
    <w:rsid w:val="00612D76"/>
    <w:rsid w:val="0061308F"/>
    <w:rsid w:val="0062192A"/>
    <w:rsid w:val="006267FB"/>
    <w:rsid w:val="006401AD"/>
    <w:rsid w:val="006443BE"/>
    <w:rsid w:val="006522E4"/>
    <w:rsid w:val="00667CBB"/>
    <w:rsid w:val="0067679F"/>
    <w:rsid w:val="006776F1"/>
    <w:rsid w:val="00677EB0"/>
    <w:rsid w:val="0068498C"/>
    <w:rsid w:val="00685FC8"/>
    <w:rsid w:val="00692C2D"/>
    <w:rsid w:val="0069425B"/>
    <w:rsid w:val="0069457A"/>
    <w:rsid w:val="00695C4B"/>
    <w:rsid w:val="00697772"/>
    <w:rsid w:val="006B3804"/>
    <w:rsid w:val="006B3E04"/>
    <w:rsid w:val="006B7306"/>
    <w:rsid w:val="006C10F1"/>
    <w:rsid w:val="006C2CAC"/>
    <w:rsid w:val="006D0813"/>
    <w:rsid w:val="006D4708"/>
    <w:rsid w:val="006D6FF3"/>
    <w:rsid w:val="006D7089"/>
    <w:rsid w:val="006E21F9"/>
    <w:rsid w:val="006E4365"/>
    <w:rsid w:val="006E6912"/>
    <w:rsid w:val="006F1A89"/>
    <w:rsid w:val="006F30CB"/>
    <w:rsid w:val="006F5CB5"/>
    <w:rsid w:val="00707176"/>
    <w:rsid w:val="007112E1"/>
    <w:rsid w:val="00711FA9"/>
    <w:rsid w:val="007159FB"/>
    <w:rsid w:val="0072313A"/>
    <w:rsid w:val="0073306A"/>
    <w:rsid w:val="00741C9B"/>
    <w:rsid w:val="00742F42"/>
    <w:rsid w:val="007432F9"/>
    <w:rsid w:val="00743AC5"/>
    <w:rsid w:val="00751646"/>
    <w:rsid w:val="00755410"/>
    <w:rsid w:val="00755CBC"/>
    <w:rsid w:val="00756EAF"/>
    <w:rsid w:val="007616E2"/>
    <w:rsid w:val="007705F3"/>
    <w:rsid w:val="00770823"/>
    <w:rsid w:val="007748D3"/>
    <w:rsid w:val="007860B0"/>
    <w:rsid w:val="0079232A"/>
    <w:rsid w:val="00793541"/>
    <w:rsid w:val="007A302E"/>
    <w:rsid w:val="007A35CE"/>
    <w:rsid w:val="007A4226"/>
    <w:rsid w:val="007A6233"/>
    <w:rsid w:val="007B1938"/>
    <w:rsid w:val="007B79ED"/>
    <w:rsid w:val="007C5548"/>
    <w:rsid w:val="007C78B1"/>
    <w:rsid w:val="007D56F2"/>
    <w:rsid w:val="007D6909"/>
    <w:rsid w:val="007D6BA8"/>
    <w:rsid w:val="007D6C94"/>
    <w:rsid w:val="007E2FEF"/>
    <w:rsid w:val="007E7878"/>
    <w:rsid w:val="007F3A41"/>
    <w:rsid w:val="00801D28"/>
    <w:rsid w:val="008035C3"/>
    <w:rsid w:val="00803C76"/>
    <w:rsid w:val="008046D8"/>
    <w:rsid w:val="00815112"/>
    <w:rsid w:val="0081561F"/>
    <w:rsid w:val="008175F1"/>
    <w:rsid w:val="00821209"/>
    <w:rsid w:val="0082199B"/>
    <w:rsid w:val="00823B63"/>
    <w:rsid w:val="008259FA"/>
    <w:rsid w:val="00835D13"/>
    <w:rsid w:val="00850BDE"/>
    <w:rsid w:val="00852843"/>
    <w:rsid w:val="008605CC"/>
    <w:rsid w:val="00863C36"/>
    <w:rsid w:val="00864E28"/>
    <w:rsid w:val="00876AEB"/>
    <w:rsid w:val="008812F2"/>
    <w:rsid w:val="00885D77"/>
    <w:rsid w:val="008917F4"/>
    <w:rsid w:val="00894D7B"/>
    <w:rsid w:val="00896E6D"/>
    <w:rsid w:val="008A0C38"/>
    <w:rsid w:val="008A2E2C"/>
    <w:rsid w:val="008A5C82"/>
    <w:rsid w:val="008B27AA"/>
    <w:rsid w:val="008C0E0F"/>
    <w:rsid w:val="008C5E0B"/>
    <w:rsid w:val="008D1B50"/>
    <w:rsid w:val="008D492C"/>
    <w:rsid w:val="008E6CF8"/>
    <w:rsid w:val="0090032F"/>
    <w:rsid w:val="00904C0A"/>
    <w:rsid w:val="00915F80"/>
    <w:rsid w:val="00921C9B"/>
    <w:rsid w:val="00935B71"/>
    <w:rsid w:val="009445A3"/>
    <w:rsid w:val="00944B25"/>
    <w:rsid w:val="0094688B"/>
    <w:rsid w:val="009571DB"/>
    <w:rsid w:val="0097361B"/>
    <w:rsid w:val="00976118"/>
    <w:rsid w:val="00990BF1"/>
    <w:rsid w:val="00991CCF"/>
    <w:rsid w:val="009C6C08"/>
    <w:rsid w:val="009C7420"/>
    <w:rsid w:val="009D3A55"/>
    <w:rsid w:val="009E2AC4"/>
    <w:rsid w:val="009F5B4E"/>
    <w:rsid w:val="009F654A"/>
    <w:rsid w:val="009F7E26"/>
    <w:rsid w:val="00A0498D"/>
    <w:rsid w:val="00A12490"/>
    <w:rsid w:val="00A34052"/>
    <w:rsid w:val="00A40F53"/>
    <w:rsid w:val="00A42CD0"/>
    <w:rsid w:val="00A42CFF"/>
    <w:rsid w:val="00A43C07"/>
    <w:rsid w:val="00A44CFD"/>
    <w:rsid w:val="00A47040"/>
    <w:rsid w:val="00A4799A"/>
    <w:rsid w:val="00A5082F"/>
    <w:rsid w:val="00A50DC4"/>
    <w:rsid w:val="00A53F95"/>
    <w:rsid w:val="00A55521"/>
    <w:rsid w:val="00A73279"/>
    <w:rsid w:val="00A73F3A"/>
    <w:rsid w:val="00A830BC"/>
    <w:rsid w:val="00A84530"/>
    <w:rsid w:val="00A846D1"/>
    <w:rsid w:val="00A8566F"/>
    <w:rsid w:val="00A90BF9"/>
    <w:rsid w:val="00A96DC1"/>
    <w:rsid w:val="00AA0E3A"/>
    <w:rsid w:val="00AA46BB"/>
    <w:rsid w:val="00AB34AC"/>
    <w:rsid w:val="00AC3B9C"/>
    <w:rsid w:val="00AC767C"/>
    <w:rsid w:val="00AD03E1"/>
    <w:rsid w:val="00AD45AC"/>
    <w:rsid w:val="00AE17A1"/>
    <w:rsid w:val="00AE4564"/>
    <w:rsid w:val="00AE4C44"/>
    <w:rsid w:val="00AF6631"/>
    <w:rsid w:val="00B124B8"/>
    <w:rsid w:val="00B147BB"/>
    <w:rsid w:val="00B15DBD"/>
    <w:rsid w:val="00B200EB"/>
    <w:rsid w:val="00B2127D"/>
    <w:rsid w:val="00B21C8F"/>
    <w:rsid w:val="00B242D8"/>
    <w:rsid w:val="00B27475"/>
    <w:rsid w:val="00B30F0C"/>
    <w:rsid w:val="00B37021"/>
    <w:rsid w:val="00B37FA4"/>
    <w:rsid w:val="00B47CA5"/>
    <w:rsid w:val="00B50CD9"/>
    <w:rsid w:val="00B532AC"/>
    <w:rsid w:val="00B64653"/>
    <w:rsid w:val="00B66B40"/>
    <w:rsid w:val="00B72F36"/>
    <w:rsid w:val="00B80F8E"/>
    <w:rsid w:val="00B94B57"/>
    <w:rsid w:val="00B94EF8"/>
    <w:rsid w:val="00B950EC"/>
    <w:rsid w:val="00BA2DA4"/>
    <w:rsid w:val="00BA4170"/>
    <w:rsid w:val="00BA441D"/>
    <w:rsid w:val="00BB08CC"/>
    <w:rsid w:val="00BB3E96"/>
    <w:rsid w:val="00BB525F"/>
    <w:rsid w:val="00BC0F23"/>
    <w:rsid w:val="00BC24C7"/>
    <w:rsid w:val="00BD0F46"/>
    <w:rsid w:val="00BD6132"/>
    <w:rsid w:val="00BD68A1"/>
    <w:rsid w:val="00BE0E2F"/>
    <w:rsid w:val="00BE646D"/>
    <w:rsid w:val="00BE69F7"/>
    <w:rsid w:val="00BE797F"/>
    <w:rsid w:val="00BF1D0B"/>
    <w:rsid w:val="00BF1E04"/>
    <w:rsid w:val="00BF43C3"/>
    <w:rsid w:val="00C071E7"/>
    <w:rsid w:val="00C13953"/>
    <w:rsid w:val="00C14C3E"/>
    <w:rsid w:val="00C23661"/>
    <w:rsid w:val="00C23FDA"/>
    <w:rsid w:val="00C250E9"/>
    <w:rsid w:val="00C33A56"/>
    <w:rsid w:val="00C4352C"/>
    <w:rsid w:val="00C523EA"/>
    <w:rsid w:val="00C56A20"/>
    <w:rsid w:val="00C57FEF"/>
    <w:rsid w:val="00C6193D"/>
    <w:rsid w:val="00C62393"/>
    <w:rsid w:val="00C63305"/>
    <w:rsid w:val="00C65CE8"/>
    <w:rsid w:val="00C74FFA"/>
    <w:rsid w:val="00C803E0"/>
    <w:rsid w:val="00C81925"/>
    <w:rsid w:val="00C84F84"/>
    <w:rsid w:val="00C91628"/>
    <w:rsid w:val="00C954F7"/>
    <w:rsid w:val="00CA0D6C"/>
    <w:rsid w:val="00CA6F16"/>
    <w:rsid w:val="00CA711E"/>
    <w:rsid w:val="00CB03A2"/>
    <w:rsid w:val="00CB2956"/>
    <w:rsid w:val="00CC10FC"/>
    <w:rsid w:val="00CC264E"/>
    <w:rsid w:val="00CC2750"/>
    <w:rsid w:val="00CC692B"/>
    <w:rsid w:val="00CC7F8D"/>
    <w:rsid w:val="00CD0B4D"/>
    <w:rsid w:val="00CE18EF"/>
    <w:rsid w:val="00D02C88"/>
    <w:rsid w:val="00D05187"/>
    <w:rsid w:val="00D21D0B"/>
    <w:rsid w:val="00D3078C"/>
    <w:rsid w:val="00D5486E"/>
    <w:rsid w:val="00D60638"/>
    <w:rsid w:val="00D6313A"/>
    <w:rsid w:val="00D64F73"/>
    <w:rsid w:val="00D6574F"/>
    <w:rsid w:val="00D94335"/>
    <w:rsid w:val="00DB249A"/>
    <w:rsid w:val="00DB794A"/>
    <w:rsid w:val="00DC1110"/>
    <w:rsid w:val="00DE30F5"/>
    <w:rsid w:val="00DF3DC4"/>
    <w:rsid w:val="00DF4FD0"/>
    <w:rsid w:val="00DF50EC"/>
    <w:rsid w:val="00E10DFF"/>
    <w:rsid w:val="00E11010"/>
    <w:rsid w:val="00E14AA7"/>
    <w:rsid w:val="00E20F4F"/>
    <w:rsid w:val="00E22A15"/>
    <w:rsid w:val="00E2342E"/>
    <w:rsid w:val="00E240EA"/>
    <w:rsid w:val="00E27590"/>
    <w:rsid w:val="00E37702"/>
    <w:rsid w:val="00E41B62"/>
    <w:rsid w:val="00E54D78"/>
    <w:rsid w:val="00E5525D"/>
    <w:rsid w:val="00E56425"/>
    <w:rsid w:val="00E56483"/>
    <w:rsid w:val="00E61569"/>
    <w:rsid w:val="00E6346F"/>
    <w:rsid w:val="00E63F23"/>
    <w:rsid w:val="00E64F16"/>
    <w:rsid w:val="00E65798"/>
    <w:rsid w:val="00E74076"/>
    <w:rsid w:val="00E8122D"/>
    <w:rsid w:val="00E865D9"/>
    <w:rsid w:val="00E95978"/>
    <w:rsid w:val="00EA34ED"/>
    <w:rsid w:val="00EA65E7"/>
    <w:rsid w:val="00EC311B"/>
    <w:rsid w:val="00EC57E6"/>
    <w:rsid w:val="00EC6225"/>
    <w:rsid w:val="00EC6616"/>
    <w:rsid w:val="00ED6313"/>
    <w:rsid w:val="00ED6984"/>
    <w:rsid w:val="00EF06FC"/>
    <w:rsid w:val="00EF7FBA"/>
    <w:rsid w:val="00F0158F"/>
    <w:rsid w:val="00F03404"/>
    <w:rsid w:val="00F03DC1"/>
    <w:rsid w:val="00F105C8"/>
    <w:rsid w:val="00F13DDE"/>
    <w:rsid w:val="00F1756C"/>
    <w:rsid w:val="00F206E2"/>
    <w:rsid w:val="00F2193F"/>
    <w:rsid w:val="00F33869"/>
    <w:rsid w:val="00F34E06"/>
    <w:rsid w:val="00F352F8"/>
    <w:rsid w:val="00F35548"/>
    <w:rsid w:val="00F35CF3"/>
    <w:rsid w:val="00F35E55"/>
    <w:rsid w:val="00F3604B"/>
    <w:rsid w:val="00F51B70"/>
    <w:rsid w:val="00F53080"/>
    <w:rsid w:val="00F55816"/>
    <w:rsid w:val="00F60E6B"/>
    <w:rsid w:val="00F63056"/>
    <w:rsid w:val="00F710B8"/>
    <w:rsid w:val="00F71CA8"/>
    <w:rsid w:val="00F815D4"/>
    <w:rsid w:val="00F82B36"/>
    <w:rsid w:val="00F86091"/>
    <w:rsid w:val="00F8622F"/>
    <w:rsid w:val="00F95E5C"/>
    <w:rsid w:val="00FA48C6"/>
    <w:rsid w:val="00FB0601"/>
    <w:rsid w:val="00FB4FDA"/>
    <w:rsid w:val="00FC0A9B"/>
    <w:rsid w:val="00FC36EE"/>
    <w:rsid w:val="00FC483A"/>
    <w:rsid w:val="00FC685C"/>
    <w:rsid w:val="00FC7872"/>
    <w:rsid w:val="00FD21B7"/>
    <w:rsid w:val="00FE5ACC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69394"/>
  <w15:chartTrackingRefBased/>
  <w15:docId w15:val="{D600CB47-A82F-49D8-BED9-4158EDEF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F51C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1557B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rastasis"/>
    <w:rsid w:val="00E37702"/>
    <w:rPr>
      <w:rFonts w:eastAsiaTheme="minorHAnsi"/>
    </w:rPr>
  </w:style>
  <w:style w:type="character" w:styleId="Grietas">
    <w:name w:val="Strong"/>
    <w:basedOn w:val="Numatytasispastraiposriftas"/>
    <w:uiPriority w:val="22"/>
    <w:qFormat/>
    <w:rsid w:val="005D1F4F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1F4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D1F4F"/>
    <w:rPr>
      <w:rFonts w:ascii="Times New Roman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link w:val="SUPERSChar"/>
    <w:uiPriority w:val="99"/>
    <w:unhideWhenUsed/>
    <w:qFormat/>
    <w:rsid w:val="005D1F4F"/>
    <w:rPr>
      <w:vertAlign w:val="superscript"/>
    </w:rPr>
  </w:style>
  <w:style w:type="paragraph" w:customStyle="1" w:styleId="Hyperlink1">
    <w:name w:val="Hyperlink1"/>
    <w:rsid w:val="00527BB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98" w:lineRule="auto"/>
      <w:ind w:firstLine="312"/>
      <w:jc w:val="both"/>
    </w:pPr>
    <w:rPr>
      <w:rFonts w:ascii="Times New Roman" w:eastAsia="Arial Unicode MS" w:cs="Arial Unicode MS"/>
      <w:color w:val="000000"/>
      <w:u w:color="000000"/>
      <w:bdr w:val="nil"/>
    </w:rPr>
  </w:style>
  <w:style w:type="paragraph" w:customStyle="1" w:styleId="NormalParagraphStyle">
    <w:name w:val="NormalParagraphStyle"/>
    <w:rsid w:val="00527BBA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 New Roman"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527BBA"/>
    <w:pPr>
      <w:pBdr>
        <w:top w:val="nil"/>
        <w:left w:val="nil"/>
        <w:bottom w:val="nil"/>
        <w:right w:val="nil"/>
        <w:between w:val="nil"/>
        <w:bar w:val="nil"/>
      </w:pBdr>
      <w:ind w:firstLine="720"/>
      <w:jc w:val="both"/>
    </w:pPr>
    <w:rPr>
      <w:rFonts w:ascii="Times New Roman"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BasicParagraph">
    <w:name w:val="[Basic Paragraph]"/>
    <w:rsid w:val="00527BB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88" w:lineRule="auto"/>
    </w:pPr>
    <w:rPr>
      <w:rFonts w:ascii="Times New Roman" w:eastAsia="Arial Unicode MS" w:cs="Arial Unicode MS"/>
      <w:color w:val="000000"/>
      <w:sz w:val="24"/>
      <w:szCs w:val="24"/>
      <w:u w:color="000000"/>
      <w:bdr w:val="nil"/>
    </w:rPr>
  </w:style>
  <w:style w:type="paragraph" w:styleId="Pagrindinistekstas">
    <w:name w:val="Body Text"/>
    <w:link w:val="PagrindinistekstasDiagrama"/>
    <w:rsid w:val="00527BBA"/>
    <w:pPr>
      <w:pBdr>
        <w:top w:val="nil"/>
        <w:left w:val="nil"/>
        <w:bottom w:val="nil"/>
        <w:right w:val="nil"/>
        <w:between w:val="nil"/>
        <w:bar w:val="nil"/>
      </w:pBdr>
      <w:ind w:firstLine="312"/>
      <w:jc w:val="both"/>
    </w:pPr>
    <w:rPr>
      <w:rFonts w:ascii="Times New Roman"/>
      <w:color w:val="000000"/>
      <w:u w:color="000000"/>
      <w:bdr w:val="nil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27BBA"/>
    <w:rPr>
      <w:rFonts w:ascii="Times New Roman"/>
      <w:color w:val="000000"/>
      <w:u w:color="000000"/>
      <w:bdr w:val="nil"/>
      <w:lang w:val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23B63"/>
    <w:pPr>
      <w:spacing w:after="160" w:line="240" w:lineRule="exact"/>
    </w:pPr>
    <w:rPr>
      <w:rFonts w:ascii="Calibri"/>
      <w:sz w:val="20"/>
      <w:szCs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83E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competition/transparen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18A46320CEED04ABDE027EF90090982" ma:contentTypeVersion="8" ma:contentTypeDescription="Kurkite naują dokumentą." ma:contentTypeScope="" ma:versionID="eb99172f4792f716de1d68ad37965b2d">
  <xsd:schema xmlns:xsd="http://www.w3.org/2001/XMLSchema" xmlns:xs="http://www.w3.org/2001/XMLSchema" xmlns:p="http://schemas.microsoft.com/office/2006/metadata/properties" xmlns:ns3="d27cde85-63f4-47dd-a5cc-fe762e5d73e4" targetNamespace="http://schemas.microsoft.com/office/2006/metadata/properties" ma:root="true" ma:fieldsID="dffa2d4d34525f8309cd7df82d9a44cd" ns3:_="">
    <xsd:import namespace="d27cde85-63f4-47dd-a5cc-fe762e5d7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de85-63f4-47dd-a5cc-fe762e5d7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2BEC-07CA-496B-9F61-0054A4762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E4406-7780-4DAF-9674-5CEF68A35F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2C0995-9403-4636-A3CB-F22DA36ED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de85-63f4-47dd-a5cc-fe762e5d7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FF6F8-7EF0-466D-9F4C-E20C9D04D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4386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Matusa</dc:creator>
  <cp:lastModifiedBy>Gorochovskis Marius</cp:lastModifiedBy>
  <cp:revision>19</cp:revision>
  <cp:lastPrinted>2017-09-20T10:07:00Z</cp:lastPrinted>
  <dcterms:created xsi:type="dcterms:W3CDTF">2022-01-28T12:17:00Z</dcterms:created>
  <dcterms:modified xsi:type="dcterms:W3CDTF">2022-01-31T15:06:00Z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0x010100918A46320CEED04ABDE027EF90090982</vt:lpwstr>
  </property>
</Properties>
</file>