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A82B" w14:textId="26B5CCC3" w:rsidR="008C44AA" w:rsidRDefault="0056097E" w:rsidP="00233CA0">
      <w:pPr>
        <w:spacing w:after="0" w:line="240" w:lineRule="auto"/>
        <w:jc w:val="center"/>
        <w:rPr>
          <w:rFonts w:ascii="Times New Roman" w:hAnsi="Times New Roman" w:cs="Times New Roman"/>
          <w:b/>
          <w:bCs/>
          <w:sz w:val="24"/>
          <w:szCs w:val="24"/>
        </w:rPr>
      </w:pPr>
      <w:r w:rsidRPr="0056097E">
        <w:rPr>
          <w:rFonts w:ascii="Times New Roman" w:hAnsi="Times New Roman" w:cs="Times New Roman"/>
          <w:b/>
          <w:bCs/>
          <w:sz w:val="24"/>
          <w:szCs w:val="24"/>
        </w:rPr>
        <w:t>LIETUVOS RESPUBLIKOS VYRIAUSYBĖS NUTARIMO „DĖL LIETUVOS RESPUBLIKOS VYRIAUSYBĖS 2015 M. RUGPJŪČIO 26 D. NUTARIMO</w:t>
      </w:r>
      <w:r w:rsidRPr="0056097E">
        <w:rPr>
          <w:rFonts w:ascii="Times New Roman" w:hAnsi="Times New Roman" w:cs="Times New Roman"/>
          <w:b/>
          <w:bCs/>
          <w:color w:val="000000"/>
          <w:sz w:val="24"/>
          <w:szCs w:val="24"/>
          <w:lang w:eastAsia="ar-SA"/>
        </w:rPr>
        <w:t xml:space="preserve"> NR. </w:t>
      </w:r>
      <w:r w:rsidRPr="0056097E">
        <w:rPr>
          <w:rFonts w:ascii="Times New Roman" w:hAnsi="Times New Roman" w:cs="Times New Roman"/>
          <w:b/>
          <w:bCs/>
          <w:sz w:val="24"/>
          <w:szCs w:val="24"/>
        </w:rPr>
        <w:t>914 „DĖL N</w:t>
      </w:r>
      <w:r w:rsidRPr="0056097E">
        <w:rPr>
          <w:rFonts w:ascii="Times New Roman" w:eastAsia="Yu Mincho Light" w:hAnsi="Times New Roman" w:cs="Times New Roman"/>
          <w:b/>
          <w:bCs/>
          <w:sz w:val="24"/>
          <w:szCs w:val="24"/>
        </w:rPr>
        <w:t>ACIONALINĖS ELEKTRONINIŲ SIUNTŲ PRISTATYMO, NAUDOJANT PAŠTO TINKLĄ, INFORMACINĖS SISTEMOS NUOSTATŲ PATVIRTINIMO</w:t>
      </w:r>
      <w:r w:rsidRPr="0056097E">
        <w:rPr>
          <w:rFonts w:ascii="Times New Roman" w:hAnsi="Times New Roman" w:cs="Times New Roman"/>
          <w:b/>
          <w:bCs/>
          <w:sz w:val="24"/>
          <w:szCs w:val="24"/>
        </w:rPr>
        <w:t>“</w:t>
      </w:r>
      <w:r w:rsidR="006D5C81">
        <w:rPr>
          <w:rFonts w:ascii="Times New Roman" w:hAnsi="Times New Roman" w:cs="Times New Roman"/>
          <w:b/>
          <w:bCs/>
          <w:sz w:val="24"/>
          <w:szCs w:val="24"/>
        </w:rPr>
        <w:t xml:space="preserve"> PAKEITIMO“</w:t>
      </w:r>
      <w:r>
        <w:rPr>
          <w:bCs/>
        </w:rPr>
        <w:t xml:space="preserve"> </w:t>
      </w:r>
      <w:r w:rsidR="008C44AA" w:rsidRPr="008C44AA">
        <w:rPr>
          <w:rFonts w:ascii="Times New Roman" w:hAnsi="Times New Roman" w:cs="Times New Roman"/>
          <w:b/>
          <w:bCs/>
          <w:sz w:val="24"/>
          <w:szCs w:val="24"/>
        </w:rPr>
        <w:t>PROJEKTO</w:t>
      </w:r>
    </w:p>
    <w:p w14:paraId="4A963E15" w14:textId="0E224A8C" w:rsidR="001F08ED" w:rsidRPr="008C44AA" w:rsidRDefault="008C44AA" w:rsidP="00233CA0">
      <w:pPr>
        <w:spacing w:after="0" w:line="240" w:lineRule="auto"/>
        <w:jc w:val="center"/>
        <w:rPr>
          <w:rFonts w:ascii="Times New Roman" w:hAnsi="Times New Roman" w:cs="Times New Roman"/>
          <w:b/>
          <w:bCs/>
          <w:sz w:val="24"/>
          <w:szCs w:val="24"/>
        </w:rPr>
      </w:pPr>
      <w:r w:rsidRPr="008C44AA">
        <w:rPr>
          <w:rFonts w:ascii="Times New Roman" w:hAnsi="Times New Roman" w:cs="Times New Roman"/>
          <w:b/>
          <w:bCs/>
          <w:sz w:val="24"/>
          <w:szCs w:val="24"/>
        </w:rPr>
        <w:t>DERINIMO PAŽYMA</w:t>
      </w:r>
    </w:p>
    <w:p w14:paraId="30638DF1" w14:textId="5480C44F" w:rsidR="004E59E2" w:rsidRDefault="004E59E2" w:rsidP="007B04B0">
      <w:pPr>
        <w:spacing w:after="0" w:line="240" w:lineRule="auto"/>
        <w:jc w:val="center"/>
        <w:rPr>
          <w:rFonts w:ascii="Times New Roman" w:hAnsi="Times New Roman" w:cs="Times New Roman"/>
          <w:b/>
          <w:bCs/>
          <w:sz w:val="24"/>
          <w:szCs w:val="24"/>
        </w:rPr>
      </w:pPr>
    </w:p>
    <w:p w14:paraId="6AF7F505" w14:textId="77777777" w:rsidR="00E216E6" w:rsidRDefault="00E216E6" w:rsidP="007B04B0">
      <w:pPr>
        <w:spacing w:after="0" w:line="240" w:lineRule="auto"/>
        <w:jc w:val="center"/>
        <w:rPr>
          <w:rFonts w:ascii="Times New Roman" w:hAnsi="Times New Roman" w:cs="Times New Roman"/>
          <w:b/>
          <w:bCs/>
          <w:sz w:val="24"/>
          <w:szCs w:val="24"/>
        </w:rPr>
      </w:pPr>
    </w:p>
    <w:tbl>
      <w:tblPr>
        <w:tblStyle w:val="Lentelstinklelis"/>
        <w:tblW w:w="14312" w:type="dxa"/>
        <w:tblLook w:val="04A0" w:firstRow="1" w:lastRow="0" w:firstColumn="1" w:lastColumn="0" w:noHBand="0" w:noVBand="1"/>
      </w:tblPr>
      <w:tblGrid>
        <w:gridCol w:w="2689"/>
        <w:gridCol w:w="5528"/>
        <w:gridCol w:w="6095"/>
      </w:tblGrid>
      <w:tr w:rsidR="00E64D89" w14:paraId="3A33E6FC" w14:textId="77777777" w:rsidTr="00384DA6">
        <w:tc>
          <w:tcPr>
            <w:tcW w:w="2689" w:type="dxa"/>
          </w:tcPr>
          <w:p w14:paraId="5AC172D0" w14:textId="49DB539E" w:rsidR="001F08ED" w:rsidRPr="000F76CC" w:rsidRDefault="001F08ED" w:rsidP="007B04B0">
            <w:pPr>
              <w:jc w:val="center"/>
              <w:rPr>
                <w:rFonts w:ascii="Times New Roman" w:hAnsi="Times New Roman" w:cs="Times New Roman"/>
                <w:b/>
                <w:bCs/>
                <w:sz w:val="24"/>
                <w:szCs w:val="24"/>
              </w:rPr>
            </w:pPr>
            <w:r w:rsidRPr="000F76CC">
              <w:rPr>
                <w:rFonts w:ascii="Times New Roman" w:eastAsia="Calibri" w:hAnsi="Times New Roman" w:cs="Times New Roman"/>
                <w:b/>
                <w:bCs/>
                <w:sz w:val="24"/>
                <w:szCs w:val="24"/>
              </w:rPr>
              <w:t>Institucijos pavadinimas, rašto data ir numeris</w:t>
            </w:r>
          </w:p>
        </w:tc>
        <w:tc>
          <w:tcPr>
            <w:tcW w:w="5528" w:type="dxa"/>
          </w:tcPr>
          <w:p w14:paraId="1D887D6B" w14:textId="77777777" w:rsidR="001F08ED" w:rsidRPr="000F76CC" w:rsidRDefault="001F08ED" w:rsidP="001F08ED">
            <w:pPr>
              <w:ind w:right="180"/>
              <w:jc w:val="center"/>
              <w:rPr>
                <w:rFonts w:ascii="Times New Roman" w:eastAsia="Calibri" w:hAnsi="Times New Roman" w:cs="Times New Roman"/>
                <w:b/>
                <w:bCs/>
                <w:noProof/>
                <w:sz w:val="24"/>
                <w:szCs w:val="24"/>
              </w:rPr>
            </w:pPr>
            <w:r w:rsidRPr="000F76CC">
              <w:rPr>
                <w:rFonts w:ascii="Times New Roman" w:eastAsia="Calibri" w:hAnsi="Times New Roman" w:cs="Times New Roman"/>
                <w:b/>
                <w:bCs/>
                <w:noProof/>
                <w:sz w:val="24"/>
                <w:szCs w:val="24"/>
              </w:rPr>
              <w:t>Pastabos ir pasiūlymai</w:t>
            </w:r>
          </w:p>
          <w:p w14:paraId="4A5E7984" w14:textId="77777777" w:rsidR="001F08ED" w:rsidRPr="000F76CC" w:rsidRDefault="001F08ED" w:rsidP="007B04B0">
            <w:pPr>
              <w:jc w:val="center"/>
              <w:rPr>
                <w:rFonts w:ascii="Times New Roman" w:hAnsi="Times New Roman" w:cs="Times New Roman"/>
                <w:b/>
                <w:bCs/>
                <w:sz w:val="24"/>
                <w:szCs w:val="24"/>
              </w:rPr>
            </w:pPr>
          </w:p>
        </w:tc>
        <w:tc>
          <w:tcPr>
            <w:tcW w:w="6095" w:type="dxa"/>
          </w:tcPr>
          <w:p w14:paraId="2568A2A2" w14:textId="4EE896E3" w:rsidR="001F08ED" w:rsidRPr="000F76CC" w:rsidRDefault="001F08ED" w:rsidP="007B04B0">
            <w:pPr>
              <w:jc w:val="center"/>
              <w:rPr>
                <w:rFonts w:ascii="Times New Roman" w:hAnsi="Times New Roman" w:cs="Times New Roman"/>
                <w:b/>
                <w:bCs/>
                <w:sz w:val="24"/>
                <w:szCs w:val="24"/>
              </w:rPr>
            </w:pPr>
            <w:r w:rsidRPr="000F76CC">
              <w:rPr>
                <w:rFonts w:ascii="Times New Roman" w:eastAsia="Calibri" w:hAnsi="Times New Roman" w:cs="Times New Roman"/>
                <w:b/>
                <w:bCs/>
                <w:sz w:val="24"/>
                <w:szCs w:val="24"/>
              </w:rPr>
              <w:t>Argumentai, kodėl neatsižvelgta arba tik iš dalies atsižvelgta į pastabas ir pasiūlymus</w:t>
            </w:r>
          </w:p>
        </w:tc>
      </w:tr>
      <w:tr w:rsidR="00A43245" w14:paraId="35F86935" w14:textId="77777777" w:rsidTr="00384DA6">
        <w:tc>
          <w:tcPr>
            <w:tcW w:w="2689" w:type="dxa"/>
          </w:tcPr>
          <w:p w14:paraId="51B4A535" w14:textId="16DCD100" w:rsidR="00A43245" w:rsidRPr="00541770" w:rsidRDefault="00E618F9" w:rsidP="00E618F9">
            <w:pPr>
              <w:jc w:val="center"/>
              <w:rPr>
                <w:rFonts w:ascii="Times New Roman" w:eastAsia="Calibri" w:hAnsi="Times New Roman" w:cs="Times New Roman"/>
                <w:b/>
                <w:bCs/>
              </w:rPr>
            </w:pPr>
            <w:r>
              <w:rPr>
                <w:rFonts w:ascii="Times New Roman" w:hAnsi="Times New Roman" w:cs="Times New Roman"/>
                <w:sz w:val="24"/>
                <w:szCs w:val="24"/>
              </w:rPr>
              <w:t>Lietuvos Respublikos Seimo Valstybės valdymo ir savivaldybių komiteto 2021-05-11 protokolas Nr. 113-P-11</w:t>
            </w:r>
          </w:p>
        </w:tc>
        <w:tc>
          <w:tcPr>
            <w:tcW w:w="5528" w:type="dxa"/>
          </w:tcPr>
          <w:p w14:paraId="1A32C769" w14:textId="41C73AE6" w:rsidR="00A43245" w:rsidRPr="00541770" w:rsidRDefault="00E618F9" w:rsidP="000F76CC">
            <w:pPr>
              <w:ind w:right="180"/>
              <w:jc w:val="both"/>
              <w:rPr>
                <w:rFonts w:ascii="Times New Roman" w:eastAsia="Calibri" w:hAnsi="Times New Roman" w:cs="Times New Roman"/>
                <w:b/>
                <w:bCs/>
                <w:noProof/>
              </w:rPr>
            </w:pPr>
            <w:r w:rsidRPr="00E618F9">
              <w:rPr>
                <w:rFonts w:ascii="Times New Roman" w:hAnsi="Times New Roman" w:cs="Times New Roman"/>
                <w:sz w:val="24"/>
                <w:szCs w:val="24"/>
                <w:lang w:eastAsia="lt-LT"/>
              </w:rPr>
              <w:t xml:space="preserve">Siūlo Vyriausybei centralizuotai apmokėti paslaugos teikėjui už viešojo administravimo subjektams suteiktas E. pristatymo paslaugas. </w:t>
            </w:r>
          </w:p>
        </w:tc>
        <w:tc>
          <w:tcPr>
            <w:tcW w:w="6095" w:type="dxa"/>
          </w:tcPr>
          <w:p w14:paraId="76738E8E" w14:textId="77777777" w:rsidR="00E618F9" w:rsidRDefault="00E618F9" w:rsidP="00E618F9">
            <w:pPr>
              <w:jc w:val="both"/>
              <w:rPr>
                <w:rFonts w:ascii="Times New Roman" w:hAnsi="Times New Roman" w:cs="Times New Roman"/>
                <w:b/>
                <w:bCs/>
                <w:sz w:val="24"/>
                <w:szCs w:val="24"/>
              </w:rPr>
            </w:pPr>
            <w:r>
              <w:rPr>
                <w:rFonts w:ascii="Times New Roman" w:hAnsi="Times New Roman" w:cs="Times New Roman"/>
                <w:b/>
                <w:bCs/>
                <w:sz w:val="24"/>
                <w:szCs w:val="24"/>
              </w:rPr>
              <w:t xml:space="preserve">Neatsižvelgta. </w:t>
            </w:r>
          </w:p>
          <w:p w14:paraId="4A30DFD0" w14:textId="77777777" w:rsidR="00E618F9" w:rsidRDefault="00E618F9" w:rsidP="00E618F9">
            <w:pPr>
              <w:jc w:val="both"/>
              <w:rPr>
                <w:rFonts w:ascii="Times New Roman" w:hAnsi="Times New Roman" w:cs="Times New Roman"/>
                <w:sz w:val="24"/>
                <w:szCs w:val="24"/>
              </w:rPr>
            </w:pPr>
            <w:r>
              <w:rPr>
                <w:rFonts w:ascii="Times New Roman" w:hAnsi="Times New Roman" w:cs="Times New Roman"/>
                <w:sz w:val="24"/>
                <w:szCs w:val="24"/>
              </w:rPr>
              <w:t>Šiuo metu valstybės institucijos nemokamai siunčia elektronines siuntas, tačiau už atspausdintas ir kaip pašto siuntas pristatomas siuntas institucijos moka pačios iš savo turimų asignavimų, skirtų pašto paslaugoms. Pašto išlaidos kiekvienoje valstybės institucijoje labai skirtingos ir gali  siekti nuo kelių šimtų iki keliolikos tūkst. Eur per metus. Didžiausias pašto paslaugų išlaidas patiria SODRA, VMI, policija ir kt. Pažymėtina, kad šiuo metu už paslaugas jos susimoka pačios, apmokėdamos sąskaitas kas mėnesį.</w:t>
            </w:r>
          </w:p>
          <w:p w14:paraId="5006FCB6" w14:textId="77777777" w:rsidR="00E618F9" w:rsidRDefault="00E618F9" w:rsidP="00E618F9">
            <w:pPr>
              <w:jc w:val="both"/>
              <w:rPr>
                <w:rFonts w:ascii="Times New Roman" w:hAnsi="Times New Roman" w:cs="Times New Roman"/>
                <w:sz w:val="24"/>
                <w:szCs w:val="24"/>
              </w:rPr>
            </w:pPr>
            <w:r>
              <w:rPr>
                <w:rFonts w:ascii="Times New Roman" w:hAnsi="Times New Roman" w:cs="Times New Roman"/>
                <w:sz w:val="24"/>
                <w:szCs w:val="24"/>
              </w:rPr>
              <w:t>Apmokestinus elektronines siuntas, valstybės institucijoms pašto paslaugų sąnaudos padidėtų, priklausomai nuo siunčiamų siuntų skaičiaus.</w:t>
            </w:r>
          </w:p>
          <w:p w14:paraId="3719BD44" w14:textId="77777777" w:rsidR="00E618F9" w:rsidRDefault="00E618F9" w:rsidP="00E618F9">
            <w:pPr>
              <w:jc w:val="both"/>
              <w:rPr>
                <w:rFonts w:ascii="Times New Roman" w:hAnsi="Times New Roman" w:cs="Times New Roman"/>
                <w:sz w:val="24"/>
                <w:szCs w:val="24"/>
              </w:rPr>
            </w:pPr>
            <w:r>
              <w:rPr>
                <w:rFonts w:ascii="Times New Roman" w:hAnsi="Times New Roman" w:cs="Times New Roman"/>
                <w:sz w:val="24"/>
                <w:szCs w:val="24"/>
              </w:rPr>
              <w:t>Susisiekimo ministerijos nuomone, centralizuotas apmokėjimas už paslaugas VĮ Registrų centrui negali būti įgyvendintas dėl šių priežasčių:</w:t>
            </w:r>
          </w:p>
          <w:p w14:paraId="717EA9CC" w14:textId="26192D40" w:rsidR="00E618F9" w:rsidRDefault="00E618F9" w:rsidP="00E618F9">
            <w:pPr>
              <w:jc w:val="both"/>
              <w:rPr>
                <w:rFonts w:ascii="Times New Roman" w:hAnsi="Times New Roman" w:cs="Times New Roman"/>
                <w:sz w:val="24"/>
                <w:szCs w:val="24"/>
              </w:rPr>
            </w:pPr>
            <w:r>
              <w:rPr>
                <w:rFonts w:ascii="Times New Roman" w:hAnsi="Times New Roman" w:cs="Times New Roman"/>
                <w:sz w:val="24"/>
                <w:szCs w:val="24"/>
              </w:rPr>
              <w:t xml:space="preserve">Pirma, šiam modeliui įgyvendinti Susisiekimo ministerijai, kaip Nacionalinės elektroninių siuntų </w:t>
            </w:r>
            <w:r w:rsidRPr="00E55326">
              <w:rPr>
                <w:rFonts w:ascii="Times New Roman" w:hAnsi="Times New Roman" w:cs="Times New Roman"/>
                <w:sz w:val="24"/>
                <w:szCs w:val="24"/>
              </w:rPr>
              <w:t>pristatymo, naudojant pašto tinklą informacinės sistemos (toliau</w:t>
            </w:r>
            <w:r w:rsidR="0090744C">
              <w:rPr>
                <w:rFonts w:ascii="Times New Roman" w:hAnsi="Times New Roman" w:cs="Times New Roman"/>
                <w:sz w:val="24"/>
                <w:szCs w:val="24"/>
              </w:rPr>
              <w:t xml:space="preserve"> </w:t>
            </w:r>
            <w:r w:rsidR="00916E96">
              <w:rPr>
                <w:rFonts w:ascii="Times New Roman" w:hAnsi="Times New Roman" w:cs="Times New Roman"/>
                <w:sz w:val="24"/>
                <w:szCs w:val="24"/>
              </w:rPr>
              <w:t>–</w:t>
            </w:r>
            <w:r w:rsidR="0090744C">
              <w:rPr>
                <w:rFonts w:ascii="Times New Roman" w:hAnsi="Times New Roman" w:cs="Times New Roman"/>
                <w:sz w:val="24"/>
                <w:szCs w:val="24"/>
              </w:rPr>
              <w:t xml:space="preserve"> </w:t>
            </w:r>
            <w:r w:rsidRPr="00E55326">
              <w:rPr>
                <w:rFonts w:ascii="Times New Roman" w:hAnsi="Times New Roman" w:cs="Times New Roman"/>
                <w:sz w:val="24"/>
                <w:szCs w:val="24"/>
              </w:rPr>
              <w:t>E.</w:t>
            </w:r>
            <w:r w:rsidR="0090744C">
              <w:rPr>
                <w:rFonts w:ascii="Times New Roman" w:hAnsi="Times New Roman" w:cs="Times New Roman"/>
                <w:sz w:val="24"/>
                <w:szCs w:val="24"/>
              </w:rPr>
              <w:t xml:space="preserve"> </w:t>
            </w:r>
            <w:r w:rsidRPr="00E55326">
              <w:rPr>
                <w:rFonts w:ascii="Times New Roman" w:hAnsi="Times New Roman" w:cs="Times New Roman"/>
                <w:sz w:val="24"/>
                <w:szCs w:val="24"/>
              </w:rPr>
              <w:t>pristatymo sistema)</w:t>
            </w:r>
            <w:r w:rsidRPr="00294FCE">
              <w:rPr>
                <w:rFonts w:ascii="Times New Roman" w:hAnsi="Times New Roman" w:cs="Times New Roman"/>
                <w:sz w:val="24"/>
                <w:szCs w:val="24"/>
              </w:rPr>
              <w:t xml:space="preserve"> valdytojai, būtų reikalingi papildomi valstybės </w:t>
            </w:r>
            <w:r w:rsidRPr="00294FCE">
              <w:rPr>
                <w:rFonts w:ascii="Times New Roman" w:hAnsi="Times New Roman" w:cs="Times New Roman"/>
                <w:sz w:val="24"/>
                <w:szCs w:val="24"/>
              </w:rPr>
              <w:lastRenderedPageBreak/>
              <w:t>biudžeto asignavimai, kurie nėra suplanuoti.</w:t>
            </w:r>
            <w:r w:rsidR="00C611BD">
              <w:rPr>
                <w:rFonts w:ascii="Times New Roman" w:hAnsi="Times New Roman" w:cs="Times New Roman"/>
                <w:sz w:val="24"/>
                <w:szCs w:val="24"/>
              </w:rPr>
              <w:t xml:space="preserve"> D</w:t>
            </w:r>
            <w:r>
              <w:rPr>
                <w:rFonts w:ascii="Times New Roman" w:hAnsi="Times New Roman" w:cs="Times New Roman"/>
                <w:sz w:val="24"/>
                <w:szCs w:val="24"/>
              </w:rPr>
              <w:t>ėl elektroninių siuntų įkainio nustatymo 2022 metais</w:t>
            </w:r>
            <w:r w:rsidRPr="00384DA6">
              <w:rPr>
                <w:rFonts w:ascii="Times New Roman" w:hAnsi="Times New Roman" w:cs="Times New Roman"/>
                <w:sz w:val="24"/>
                <w:szCs w:val="24"/>
              </w:rPr>
              <w:t xml:space="preserve"> </w:t>
            </w:r>
            <w:r>
              <w:rPr>
                <w:rFonts w:ascii="Times New Roman" w:hAnsi="Times New Roman" w:cs="Times New Roman"/>
                <w:sz w:val="24"/>
                <w:szCs w:val="24"/>
              </w:rPr>
              <w:t>reikėtų apie 316 tūkst. Eur. Už įprastų pašto siuntų pristatymą valstybės institucijos susimoka ir šiuo metu iš turimų asignavimų, todėl turėtų ieškoti vidinių resursų padengti papildomas išlaidas, kurios didžiajai daugumai valstybės institucijų nėra esminės. Pažymėtina, kad Finansų ministerija išvadoje pabrėžė, kad papildomas finansavimas neturi būti planuojamas.</w:t>
            </w:r>
          </w:p>
          <w:p w14:paraId="2918C2DD" w14:textId="532641B5" w:rsidR="003B7714" w:rsidRPr="00541770" w:rsidRDefault="00E618F9" w:rsidP="003B7714">
            <w:pPr>
              <w:jc w:val="both"/>
              <w:rPr>
                <w:rFonts w:ascii="Times New Roman" w:eastAsia="Calibri" w:hAnsi="Times New Roman" w:cs="Times New Roman"/>
                <w:b/>
                <w:bCs/>
              </w:rPr>
            </w:pPr>
            <w:r>
              <w:rPr>
                <w:rFonts w:ascii="Times New Roman" w:hAnsi="Times New Roman" w:cs="Times New Roman"/>
                <w:sz w:val="24"/>
                <w:szCs w:val="24"/>
              </w:rPr>
              <w:t>Antra, centralizuotas apmokėjimas nėra efektyvesnis, nes sąskaitos išrašomos automatiniu būdu, jis taip pat nesumažins ir administracinės naštos institucijoms, nes ir dabar kiekvieną mėnesį jos apmoka sąskaitas už pašto paslaugas. Priešingai, centralizuoto apmokėjimo modelio įgyvendinimui reikės sukurti apmokėjimo mechanizmą, dėl to papildomą administracinę naštą patirtų VĮ Registrų centras ir Susisiekimo ministerija.</w:t>
            </w:r>
          </w:p>
        </w:tc>
      </w:tr>
      <w:tr w:rsidR="00936330" w14:paraId="00C24FFE" w14:textId="77777777" w:rsidTr="00946B95">
        <w:trPr>
          <w:trHeight w:val="7727"/>
        </w:trPr>
        <w:tc>
          <w:tcPr>
            <w:tcW w:w="2689" w:type="dxa"/>
          </w:tcPr>
          <w:p w14:paraId="4E21FB57" w14:textId="77777777" w:rsidR="002C09A0" w:rsidRDefault="00936330" w:rsidP="002C09A0">
            <w:pPr>
              <w:jc w:val="center"/>
              <w:rPr>
                <w:rFonts w:ascii="Times New Roman" w:eastAsia="Times New Roman" w:hAnsi="Times New Roman" w:cs="Times New Roman"/>
                <w:color w:val="000000"/>
                <w:sz w:val="24"/>
                <w:szCs w:val="24"/>
                <w:lang w:eastAsia="lt-LT"/>
              </w:rPr>
            </w:pPr>
            <w:r w:rsidRPr="001B32DC">
              <w:rPr>
                <w:rFonts w:ascii="Times New Roman" w:eastAsia="Calibri" w:hAnsi="Times New Roman" w:cs="Times New Roman"/>
                <w:sz w:val="24"/>
                <w:szCs w:val="24"/>
              </w:rPr>
              <w:lastRenderedPageBreak/>
              <w:t xml:space="preserve">Vyriausybės kanceliarijos Teisės grupės </w:t>
            </w:r>
            <w:bookmarkStart w:id="0" w:name="_Hlk78880529"/>
            <w:r w:rsidRPr="001B32DC">
              <w:rPr>
                <w:rFonts w:ascii="Times New Roman" w:eastAsia="Times New Roman" w:hAnsi="Times New Roman" w:cs="Times New Roman"/>
                <w:color w:val="000000"/>
                <w:sz w:val="24"/>
                <w:szCs w:val="24"/>
                <w:lang w:eastAsia="lt-LT"/>
              </w:rPr>
              <w:t>2021 m. liepos 20 d.</w:t>
            </w:r>
            <w:r>
              <w:rPr>
                <w:rFonts w:ascii="Times New Roman" w:eastAsia="Times New Roman" w:hAnsi="Times New Roman" w:cs="Times New Roman"/>
                <w:color w:val="000000"/>
                <w:sz w:val="24"/>
                <w:szCs w:val="24"/>
                <w:lang w:eastAsia="lt-LT"/>
              </w:rPr>
              <w:t xml:space="preserve"> </w:t>
            </w:r>
            <w:r w:rsidRPr="001B32DC">
              <w:rPr>
                <w:rFonts w:ascii="Times New Roman" w:eastAsia="Calibri" w:hAnsi="Times New Roman" w:cs="Times New Roman"/>
                <w:sz w:val="24"/>
                <w:szCs w:val="24"/>
              </w:rPr>
              <w:t>išvada</w:t>
            </w:r>
            <w:r w:rsidRPr="001B32DC">
              <w:rPr>
                <w:rFonts w:ascii="Times New Roman" w:eastAsia="Times New Roman" w:hAnsi="Times New Roman" w:cs="Times New Roman"/>
                <w:color w:val="000000"/>
                <w:sz w:val="24"/>
                <w:szCs w:val="24"/>
                <w:lang w:eastAsia="lt-LT"/>
              </w:rPr>
              <w:t xml:space="preserve"> NV-1717</w:t>
            </w:r>
            <w:bookmarkEnd w:id="0"/>
          </w:p>
          <w:p w14:paraId="382E2E9E" w14:textId="1F3105C6" w:rsidR="004E59E2" w:rsidRPr="00C66337" w:rsidRDefault="004E59E2" w:rsidP="002C09A0">
            <w:pPr>
              <w:jc w:val="center"/>
              <w:rPr>
                <w:rFonts w:ascii="Times New Roman" w:eastAsia="Calibri" w:hAnsi="Times New Roman" w:cs="Times New Roman"/>
              </w:rPr>
            </w:pPr>
          </w:p>
        </w:tc>
        <w:tc>
          <w:tcPr>
            <w:tcW w:w="5528" w:type="dxa"/>
          </w:tcPr>
          <w:p w14:paraId="5EBF41E2" w14:textId="3A44E85F" w:rsidR="00936330" w:rsidRPr="00357FC2" w:rsidRDefault="00936330" w:rsidP="002C09A0">
            <w:pPr>
              <w:ind w:right="180"/>
              <w:jc w:val="both"/>
              <w:rPr>
                <w:rFonts w:ascii="Times New Roman" w:eastAsia="Calibri" w:hAnsi="Times New Roman" w:cs="Times New Roman"/>
                <w:b/>
                <w:bCs/>
                <w:noProof/>
                <w:sz w:val="24"/>
                <w:szCs w:val="24"/>
              </w:rPr>
            </w:pPr>
            <w:r w:rsidRPr="00357FC2">
              <w:rPr>
                <w:rFonts w:ascii="Times New Roman" w:hAnsi="Times New Roman" w:cs="Times New Roman"/>
                <w:color w:val="000000"/>
                <w:sz w:val="24"/>
                <w:szCs w:val="24"/>
              </w:rPr>
              <w:t>1. Nutarimo projekto 3 punkte siūloma nuostata, kad nacionalinės elektroninių siuntų pristatymo, naudojant pašto tinklą, Nacionalinės elektroninių siuntų pristatymo, naudojant pašto tinklą, informacinės sistemos (toliau – informacinė sistema) tvarkytojai – valstybės įmonė Registrų centras </w:t>
            </w:r>
            <w:r w:rsidRPr="00357FC2">
              <w:rPr>
                <w:rFonts w:ascii="Times New Roman" w:hAnsi="Times New Roman" w:cs="Times New Roman"/>
                <w:i/>
                <w:iCs/>
                <w:color w:val="000000"/>
                <w:sz w:val="24"/>
                <w:szCs w:val="24"/>
              </w:rPr>
              <w:t>ir „pašto paslaugaus teikėjas, atrinktas Lietuvos Respublikos viešųjų pirkimų įstatymo nustatyta tvarka“ </w:t>
            </w:r>
            <w:r w:rsidRPr="00357FC2">
              <w:rPr>
                <w:rFonts w:ascii="Times New Roman" w:hAnsi="Times New Roman" w:cs="Times New Roman"/>
                <w:color w:val="000000"/>
                <w:sz w:val="24"/>
                <w:szCs w:val="24"/>
              </w:rPr>
              <w:t>derintina su Viešojo administravimo įstatymo 9 straipsnio 3 dalyje vartojama formuluote „pašto</w:t>
            </w:r>
            <w:r w:rsidRPr="00357FC2">
              <w:rPr>
                <w:rFonts w:ascii="Times New Roman" w:hAnsi="Times New Roman" w:cs="Times New Roman"/>
                <w:i/>
                <w:iCs/>
                <w:color w:val="000000"/>
                <w:sz w:val="24"/>
                <w:szCs w:val="24"/>
              </w:rPr>
              <w:t> paslaugos teikėjai, pristatantys pašto siuntas, atspausdintas iš E. pristatymo sistemos“. </w:t>
            </w:r>
            <w:r w:rsidRPr="00357FC2">
              <w:rPr>
                <w:rFonts w:ascii="Times New Roman" w:hAnsi="Times New Roman" w:cs="Times New Roman"/>
                <w:color w:val="000000"/>
                <w:sz w:val="24"/>
                <w:szCs w:val="24"/>
              </w:rPr>
              <w:t>Iš Nutarimo projekto lieka neaišku, kas ir iki kada Viešųjų pirkimų įstatymo nustatyta tvarka atrinks informacinės sistemos tvarkytoją – </w:t>
            </w:r>
            <w:r w:rsidRPr="00357FC2">
              <w:rPr>
                <w:rFonts w:ascii="Times New Roman" w:hAnsi="Times New Roman" w:cs="Times New Roman"/>
                <w:i/>
                <w:iCs/>
                <w:color w:val="000000"/>
                <w:sz w:val="24"/>
                <w:szCs w:val="24"/>
              </w:rPr>
              <w:t>pašto paslaugos teikėją</w:t>
            </w:r>
            <w:r w:rsidRPr="00357FC2">
              <w:rPr>
                <w:rFonts w:ascii="Times New Roman" w:hAnsi="Times New Roman" w:cs="Times New Roman"/>
                <w:color w:val="000000"/>
                <w:sz w:val="24"/>
                <w:szCs w:val="24"/>
              </w:rPr>
              <w:t xml:space="preserve">, ar šiuo metu atrinkti pašto paslaugos teikėjai toliau teiks paslaugas, ar turės būti atrenkami iš naujo. Iš Nutarimo projektu tvirtinamų Nacionalinės elektroninių siuntų pristatymo, naudojant pašto tinklą, informacinės sistemos nuostatų (toliau – Nuostatai) 9.13 papunkčio </w:t>
            </w:r>
            <w:r w:rsidRPr="00D84526">
              <w:rPr>
                <w:rFonts w:ascii="Times New Roman" w:hAnsi="Times New Roman" w:cs="Times New Roman"/>
                <w:color w:val="000000"/>
                <w:sz w:val="24"/>
                <w:szCs w:val="24"/>
              </w:rPr>
              <w:t>redakcijos matyti, kad valstybės įmonė Registrų centras gali atrinkti ir ne vieną pašto paslaugos teikėją. Siūlytume pagrįsti šiuos aspektus Nutarimo projekto lydimoje medžiagoje ir (ar) tikslinti Nutarimo projektą.</w:t>
            </w:r>
            <w:r w:rsidR="002C09A0">
              <w:rPr>
                <w:rFonts w:ascii="Times New Roman" w:hAnsi="Times New Roman" w:cs="Times New Roman"/>
                <w:color w:val="000000"/>
                <w:sz w:val="24"/>
                <w:szCs w:val="24"/>
              </w:rPr>
              <w:t xml:space="preserve"> </w:t>
            </w:r>
          </w:p>
        </w:tc>
        <w:tc>
          <w:tcPr>
            <w:tcW w:w="6095" w:type="dxa"/>
          </w:tcPr>
          <w:p w14:paraId="05BB013D" w14:textId="77777777" w:rsidR="00D51195" w:rsidRDefault="00D51195" w:rsidP="004250CF">
            <w:pPr>
              <w:jc w:val="both"/>
              <w:rPr>
                <w:rFonts w:ascii="Times New Roman" w:hAnsi="Times New Roman" w:cs="Times New Roman"/>
                <w:b/>
                <w:bCs/>
                <w:color w:val="000000"/>
                <w:sz w:val="24"/>
                <w:szCs w:val="24"/>
              </w:rPr>
            </w:pPr>
            <w:r w:rsidRPr="00D51195">
              <w:rPr>
                <w:rFonts w:ascii="Times New Roman" w:hAnsi="Times New Roman" w:cs="Times New Roman"/>
                <w:b/>
                <w:bCs/>
                <w:color w:val="000000"/>
                <w:sz w:val="24"/>
                <w:szCs w:val="24"/>
              </w:rPr>
              <w:t xml:space="preserve">Atsižvelgta (pridedamas komentaras). </w:t>
            </w:r>
          </w:p>
          <w:p w14:paraId="57D387D6" w14:textId="2EE9B735" w:rsidR="00936330" w:rsidRDefault="00936330" w:rsidP="004250CF">
            <w:pPr>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Pr="00357FC2">
              <w:rPr>
                <w:rFonts w:ascii="Times New Roman" w:hAnsi="Times New Roman" w:cs="Times New Roman"/>
                <w:color w:val="000000"/>
                <w:sz w:val="24"/>
                <w:szCs w:val="24"/>
              </w:rPr>
              <w:t>nformacinės sistemos tvarkytoją – </w:t>
            </w:r>
            <w:r w:rsidRPr="00357FC2">
              <w:rPr>
                <w:rFonts w:ascii="Times New Roman" w:hAnsi="Times New Roman" w:cs="Times New Roman"/>
                <w:i/>
                <w:iCs/>
                <w:color w:val="000000"/>
                <w:sz w:val="24"/>
                <w:szCs w:val="24"/>
              </w:rPr>
              <w:t>pašto paslaugos teikėją</w:t>
            </w:r>
            <w:r w:rsidR="00916E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Viešųjų pirkimų įstatymo nustatyta tvarka atr</w:t>
            </w:r>
            <w:r w:rsidR="00D51195">
              <w:rPr>
                <w:rFonts w:ascii="Times New Roman" w:hAnsi="Times New Roman" w:cs="Times New Roman"/>
                <w:color w:val="000000"/>
                <w:sz w:val="24"/>
                <w:szCs w:val="24"/>
              </w:rPr>
              <w:t>e</w:t>
            </w:r>
            <w:r>
              <w:rPr>
                <w:rFonts w:ascii="Times New Roman" w:hAnsi="Times New Roman" w:cs="Times New Roman"/>
                <w:color w:val="000000"/>
                <w:sz w:val="24"/>
                <w:szCs w:val="24"/>
              </w:rPr>
              <w:t xml:space="preserve">nka valstybės įmonė Registrų centras. Pasibaigus paslaugų teikimo sutarčiai, organizuojamas naujas pirkimas, pasirašoma nauja sutartis. </w:t>
            </w:r>
          </w:p>
          <w:p w14:paraId="6A4F56D0" w14:textId="6BE59815" w:rsidR="00936330" w:rsidRPr="00541770" w:rsidRDefault="00936330" w:rsidP="002C09A0">
            <w:pPr>
              <w:jc w:val="both"/>
              <w:rPr>
                <w:rFonts w:ascii="Times New Roman" w:eastAsia="Calibri" w:hAnsi="Times New Roman" w:cs="Times New Roman"/>
                <w:b/>
                <w:bCs/>
              </w:rPr>
            </w:pPr>
            <w:r>
              <w:rPr>
                <w:rFonts w:ascii="Times New Roman" w:hAnsi="Times New Roman" w:cs="Times New Roman"/>
                <w:color w:val="000000"/>
                <w:sz w:val="24"/>
                <w:szCs w:val="24"/>
              </w:rPr>
              <w:t xml:space="preserve">Siekiant sudaryti galimybę vartotojams rinktis paslaugas atsižvelgiant į jų kainos ir kokybės santykį, manoma, kad gali būti ir keli paslaugų teikėjai, iš kurių galėtų rinktis vartotojas. </w:t>
            </w:r>
          </w:p>
        </w:tc>
      </w:tr>
      <w:tr w:rsidR="00A02DAD" w14:paraId="462DB0BF" w14:textId="77777777" w:rsidTr="00A02DAD">
        <w:trPr>
          <w:trHeight w:val="1994"/>
        </w:trPr>
        <w:tc>
          <w:tcPr>
            <w:tcW w:w="2689" w:type="dxa"/>
            <w:vMerge w:val="restart"/>
          </w:tcPr>
          <w:p w14:paraId="71633B8B" w14:textId="77777777" w:rsidR="00A02DAD" w:rsidRDefault="00A02DAD" w:rsidP="007B04B0">
            <w:pPr>
              <w:jc w:val="center"/>
              <w:rPr>
                <w:rFonts w:ascii="Times New Roman" w:eastAsia="Calibri" w:hAnsi="Times New Roman" w:cs="Times New Roman"/>
                <w:b/>
                <w:bCs/>
              </w:rPr>
            </w:pPr>
          </w:p>
          <w:p w14:paraId="48AA2FA3" w14:textId="77777777" w:rsidR="00A02DAD" w:rsidRDefault="00A02DAD" w:rsidP="007B04B0">
            <w:pPr>
              <w:jc w:val="center"/>
              <w:rPr>
                <w:rFonts w:ascii="Times New Roman" w:eastAsia="Calibri" w:hAnsi="Times New Roman" w:cs="Times New Roman"/>
                <w:b/>
                <w:bCs/>
              </w:rPr>
            </w:pPr>
          </w:p>
          <w:p w14:paraId="423C4ADB" w14:textId="77777777" w:rsidR="00A02DAD" w:rsidRDefault="00A02DAD" w:rsidP="007B04B0">
            <w:pPr>
              <w:jc w:val="center"/>
              <w:rPr>
                <w:rFonts w:ascii="Times New Roman" w:eastAsia="Calibri" w:hAnsi="Times New Roman" w:cs="Times New Roman"/>
                <w:b/>
                <w:bCs/>
              </w:rPr>
            </w:pPr>
          </w:p>
          <w:p w14:paraId="7A4FC7C5" w14:textId="77777777" w:rsidR="00A02DAD" w:rsidRDefault="00A02DAD" w:rsidP="007B04B0">
            <w:pPr>
              <w:jc w:val="center"/>
              <w:rPr>
                <w:rFonts w:ascii="Times New Roman" w:eastAsia="Calibri" w:hAnsi="Times New Roman" w:cs="Times New Roman"/>
                <w:b/>
                <w:bCs/>
              </w:rPr>
            </w:pPr>
          </w:p>
          <w:p w14:paraId="2ED51F51" w14:textId="77777777" w:rsidR="00A02DAD" w:rsidRDefault="00A02DAD" w:rsidP="007B04B0">
            <w:pPr>
              <w:jc w:val="center"/>
              <w:rPr>
                <w:rFonts w:ascii="Times New Roman" w:eastAsia="Calibri" w:hAnsi="Times New Roman" w:cs="Times New Roman"/>
                <w:b/>
                <w:bCs/>
              </w:rPr>
            </w:pPr>
          </w:p>
          <w:p w14:paraId="627C15B7" w14:textId="77777777" w:rsidR="00A02DAD" w:rsidRDefault="00A02DAD" w:rsidP="007B04B0">
            <w:pPr>
              <w:jc w:val="center"/>
              <w:rPr>
                <w:rFonts w:ascii="Times New Roman" w:eastAsia="Calibri" w:hAnsi="Times New Roman" w:cs="Times New Roman"/>
                <w:b/>
                <w:bCs/>
              </w:rPr>
            </w:pPr>
          </w:p>
          <w:p w14:paraId="10B23C6F" w14:textId="77777777" w:rsidR="00A02DAD" w:rsidRDefault="00A02DAD" w:rsidP="007B04B0">
            <w:pPr>
              <w:jc w:val="center"/>
              <w:rPr>
                <w:rFonts w:ascii="Times New Roman" w:eastAsia="Calibri" w:hAnsi="Times New Roman" w:cs="Times New Roman"/>
                <w:b/>
                <w:bCs/>
              </w:rPr>
            </w:pPr>
          </w:p>
          <w:p w14:paraId="461EA21A" w14:textId="77777777" w:rsidR="00A02DAD" w:rsidRDefault="00A02DAD" w:rsidP="007B04B0">
            <w:pPr>
              <w:jc w:val="center"/>
              <w:rPr>
                <w:rFonts w:ascii="Times New Roman" w:eastAsia="Calibri" w:hAnsi="Times New Roman" w:cs="Times New Roman"/>
                <w:b/>
                <w:bCs/>
              </w:rPr>
            </w:pPr>
          </w:p>
          <w:p w14:paraId="75064482" w14:textId="77777777" w:rsidR="00A02DAD" w:rsidRDefault="00A02DAD" w:rsidP="007B04B0">
            <w:pPr>
              <w:jc w:val="center"/>
              <w:rPr>
                <w:rFonts w:ascii="Times New Roman" w:eastAsia="Calibri" w:hAnsi="Times New Roman" w:cs="Times New Roman"/>
                <w:b/>
                <w:bCs/>
              </w:rPr>
            </w:pPr>
          </w:p>
          <w:p w14:paraId="0698FD4B" w14:textId="77777777" w:rsidR="00A02DAD" w:rsidRDefault="00A02DAD" w:rsidP="007B04B0">
            <w:pPr>
              <w:jc w:val="center"/>
              <w:rPr>
                <w:rFonts w:ascii="Times New Roman" w:eastAsia="Calibri" w:hAnsi="Times New Roman" w:cs="Times New Roman"/>
                <w:b/>
                <w:bCs/>
              </w:rPr>
            </w:pPr>
          </w:p>
          <w:p w14:paraId="66FA6201" w14:textId="77777777" w:rsidR="00A02DAD" w:rsidRDefault="00A02DAD" w:rsidP="007B04B0">
            <w:pPr>
              <w:jc w:val="center"/>
              <w:rPr>
                <w:rFonts w:ascii="Times New Roman" w:eastAsia="Calibri" w:hAnsi="Times New Roman" w:cs="Times New Roman"/>
                <w:b/>
                <w:bCs/>
              </w:rPr>
            </w:pPr>
          </w:p>
          <w:p w14:paraId="30BE630E" w14:textId="77777777" w:rsidR="00A02DAD" w:rsidRDefault="00A02DAD" w:rsidP="007B04B0">
            <w:pPr>
              <w:jc w:val="center"/>
              <w:rPr>
                <w:rFonts w:ascii="Times New Roman" w:eastAsia="Calibri" w:hAnsi="Times New Roman" w:cs="Times New Roman"/>
                <w:b/>
                <w:bCs/>
              </w:rPr>
            </w:pPr>
          </w:p>
          <w:p w14:paraId="55D2C0A9" w14:textId="77777777" w:rsidR="00A02DAD" w:rsidRDefault="00A02DAD" w:rsidP="007B04B0">
            <w:pPr>
              <w:jc w:val="center"/>
              <w:rPr>
                <w:rFonts w:ascii="Times New Roman" w:eastAsia="Calibri" w:hAnsi="Times New Roman" w:cs="Times New Roman"/>
                <w:b/>
                <w:bCs/>
              </w:rPr>
            </w:pPr>
          </w:p>
          <w:p w14:paraId="5F8429D1" w14:textId="77777777" w:rsidR="00A02DAD" w:rsidRDefault="00A02DAD" w:rsidP="007B04B0">
            <w:pPr>
              <w:jc w:val="center"/>
              <w:rPr>
                <w:rFonts w:ascii="Times New Roman" w:eastAsia="Calibri" w:hAnsi="Times New Roman" w:cs="Times New Roman"/>
                <w:b/>
                <w:bCs/>
              </w:rPr>
            </w:pPr>
          </w:p>
          <w:p w14:paraId="33ABFDD4" w14:textId="77777777" w:rsidR="00A02DAD" w:rsidRDefault="00A02DAD" w:rsidP="007B04B0">
            <w:pPr>
              <w:jc w:val="center"/>
              <w:rPr>
                <w:rFonts w:ascii="Times New Roman" w:eastAsia="Calibri" w:hAnsi="Times New Roman" w:cs="Times New Roman"/>
                <w:b/>
                <w:bCs/>
              </w:rPr>
            </w:pPr>
          </w:p>
          <w:p w14:paraId="67F7763F" w14:textId="77777777" w:rsidR="00A02DAD" w:rsidRDefault="00A02DAD" w:rsidP="007B04B0">
            <w:pPr>
              <w:jc w:val="center"/>
              <w:rPr>
                <w:rFonts w:ascii="Times New Roman" w:eastAsia="Calibri" w:hAnsi="Times New Roman" w:cs="Times New Roman"/>
                <w:b/>
                <w:bCs/>
              </w:rPr>
            </w:pPr>
          </w:p>
          <w:p w14:paraId="22618E4F" w14:textId="77777777" w:rsidR="00A02DAD" w:rsidRDefault="00A02DAD" w:rsidP="007B04B0">
            <w:pPr>
              <w:jc w:val="center"/>
              <w:rPr>
                <w:rFonts w:ascii="Times New Roman" w:eastAsia="Calibri" w:hAnsi="Times New Roman" w:cs="Times New Roman"/>
                <w:b/>
                <w:bCs/>
              </w:rPr>
            </w:pPr>
          </w:p>
          <w:p w14:paraId="0FC55A8E" w14:textId="77777777" w:rsidR="00A02DAD" w:rsidRDefault="00A02DAD" w:rsidP="007B04B0">
            <w:pPr>
              <w:jc w:val="center"/>
              <w:rPr>
                <w:rFonts w:ascii="Times New Roman" w:eastAsia="Calibri" w:hAnsi="Times New Roman" w:cs="Times New Roman"/>
                <w:b/>
                <w:bCs/>
              </w:rPr>
            </w:pPr>
          </w:p>
          <w:p w14:paraId="3DF50624" w14:textId="77777777" w:rsidR="00A02DAD" w:rsidRDefault="00A02DAD" w:rsidP="007B04B0">
            <w:pPr>
              <w:jc w:val="center"/>
              <w:rPr>
                <w:rFonts w:ascii="Times New Roman" w:eastAsia="Calibri" w:hAnsi="Times New Roman" w:cs="Times New Roman"/>
                <w:b/>
                <w:bCs/>
              </w:rPr>
            </w:pPr>
          </w:p>
          <w:p w14:paraId="27592D23" w14:textId="77777777" w:rsidR="00A02DAD" w:rsidRDefault="00A02DAD" w:rsidP="007B04B0">
            <w:pPr>
              <w:jc w:val="center"/>
              <w:rPr>
                <w:rFonts w:ascii="Times New Roman" w:eastAsia="Calibri" w:hAnsi="Times New Roman" w:cs="Times New Roman"/>
                <w:b/>
                <w:bCs/>
              </w:rPr>
            </w:pPr>
          </w:p>
          <w:p w14:paraId="6A6BD555" w14:textId="77777777" w:rsidR="00A02DAD" w:rsidRDefault="00A02DAD" w:rsidP="007B04B0">
            <w:pPr>
              <w:jc w:val="center"/>
              <w:rPr>
                <w:rFonts w:ascii="Times New Roman" w:eastAsia="Calibri" w:hAnsi="Times New Roman" w:cs="Times New Roman"/>
                <w:b/>
                <w:bCs/>
              </w:rPr>
            </w:pPr>
          </w:p>
          <w:p w14:paraId="56275991" w14:textId="77777777" w:rsidR="00A02DAD" w:rsidRDefault="00A02DAD" w:rsidP="007B04B0">
            <w:pPr>
              <w:jc w:val="center"/>
              <w:rPr>
                <w:rFonts w:ascii="Times New Roman" w:eastAsia="Calibri" w:hAnsi="Times New Roman" w:cs="Times New Roman"/>
                <w:b/>
                <w:bCs/>
              </w:rPr>
            </w:pPr>
          </w:p>
          <w:p w14:paraId="31873B86" w14:textId="77777777" w:rsidR="00A02DAD" w:rsidRDefault="00A02DAD" w:rsidP="007B04B0">
            <w:pPr>
              <w:jc w:val="center"/>
              <w:rPr>
                <w:rFonts w:ascii="Times New Roman" w:eastAsia="Calibri" w:hAnsi="Times New Roman" w:cs="Times New Roman"/>
                <w:b/>
                <w:bCs/>
              </w:rPr>
            </w:pPr>
          </w:p>
          <w:p w14:paraId="14C3700C" w14:textId="77777777" w:rsidR="00A02DAD" w:rsidRDefault="00A02DAD" w:rsidP="007B04B0">
            <w:pPr>
              <w:jc w:val="center"/>
              <w:rPr>
                <w:rFonts w:ascii="Times New Roman" w:eastAsia="Calibri" w:hAnsi="Times New Roman" w:cs="Times New Roman"/>
                <w:b/>
                <w:bCs/>
              </w:rPr>
            </w:pPr>
          </w:p>
          <w:p w14:paraId="3FE659F6" w14:textId="77777777" w:rsidR="00A02DAD" w:rsidRDefault="00A02DAD" w:rsidP="007B04B0">
            <w:pPr>
              <w:jc w:val="center"/>
              <w:rPr>
                <w:rFonts w:ascii="Times New Roman" w:eastAsia="Calibri" w:hAnsi="Times New Roman" w:cs="Times New Roman"/>
                <w:b/>
                <w:bCs/>
              </w:rPr>
            </w:pPr>
          </w:p>
          <w:p w14:paraId="01EA4764" w14:textId="77777777" w:rsidR="00A02DAD" w:rsidRDefault="00A02DAD" w:rsidP="007B04B0">
            <w:pPr>
              <w:jc w:val="center"/>
              <w:rPr>
                <w:rFonts w:ascii="Times New Roman" w:eastAsia="Calibri" w:hAnsi="Times New Roman" w:cs="Times New Roman"/>
                <w:b/>
                <w:bCs/>
              </w:rPr>
            </w:pPr>
          </w:p>
          <w:p w14:paraId="0314FC8B" w14:textId="77777777" w:rsidR="00A02DAD" w:rsidRDefault="00A02DAD" w:rsidP="007B04B0">
            <w:pPr>
              <w:jc w:val="center"/>
              <w:rPr>
                <w:rFonts w:ascii="Times New Roman" w:eastAsia="Calibri" w:hAnsi="Times New Roman" w:cs="Times New Roman"/>
                <w:b/>
                <w:bCs/>
              </w:rPr>
            </w:pPr>
          </w:p>
          <w:p w14:paraId="5B0282DA" w14:textId="77777777" w:rsidR="00A02DAD" w:rsidRDefault="00A02DAD" w:rsidP="007B04B0">
            <w:pPr>
              <w:jc w:val="center"/>
              <w:rPr>
                <w:rFonts w:ascii="Times New Roman" w:eastAsia="Calibri" w:hAnsi="Times New Roman" w:cs="Times New Roman"/>
                <w:b/>
                <w:bCs/>
              </w:rPr>
            </w:pPr>
          </w:p>
          <w:p w14:paraId="0B4736ED" w14:textId="77777777" w:rsidR="00A02DAD" w:rsidRDefault="00A02DAD" w:rsidP="007B04B0">
            <w:pPr>
              <w:jc w:val="center"/>
              <w:rPr>
                <w:rFonts w:ascii="Times New Roman" w:eastAsia="Calibri" w:hAnsi="Times New Roman" w:cs="Times New Roman"/>
                <w:b/>
                <w:bCs/>
              </w:rPr>
            </w:pPr>
          </w:p>
          <w:p w14:paraId="5AD4C2DE" w14:textId="77777777" w:rsidR="00A02DAD" w:rsidRDefault="00A02DAD" w:rsidP="007B04B0">
            <w:pPr>
              <w:jc w:val="center"/>
              <w:rPr>
                <w:rFonts w:ascii="Times New Roman" w:eastAsia="Calibri" w:hAnsi="Times New Roman" w:cs="Times New Roman"/>
                <w:b/>
                <w:bCs/>
              </w:rPr>
            </w:pPr>
          </w:p>
          <w:p w14:paraId="7749F1AE" w14:textId="77777777" w:rsidR="00A02DAD" w:rsidRDefault="00A02DAD" w:rsidP="007B04B0">
            <w:pPr>
              <w:jc w:val="center"/>
              <w:rPr>
                <w:rFonts w:ascii="Times New Roman" w:eastAsia="Calibri" w:hAnsi="Times New Roman" w:cs="Times New Roman"/>
                <w:b/>
                <w:bCs/>
              </w:rPr>
            </w:pPr>
          </w:p>
          <w:p w14:paraId="5363DC88" w14:textId="77777777" w:rsidR="00A02DAD" w:rsidRDefault="00A02DAD" w:rsidP="007B04B0">
            <w:pPr>
              <w:jc w:val="center"/>
              <w:rPr>
                <w:rFonts w:ascii="Times New Roman" w:eastAsia="Calibri" w:hAnsi="Times New Roman" w:cs="Times New Roman"/>
                <w:b/>
                <w:bCs/>
              </w:rPr>
            </w:pPr>
          </w:p>
          <w:p w14:paraId="3C036A75" w14:textId="77777777" w:rsidR="00A02DAD" w:rsidRDefault="00A02DAD" w:rsidP="007B04B0">
            <w:pPr>
              <w:jc w:val="center"/>
              <w:rPr>
                <w:rFonts w:ascii="Times New Roman" w:eastAsia="Calibri" w:hAnsi="Times New Roman" w:cs="Times New Roman"/>
                <w:b/>
                <w:bCs/>
              </w:rPr>
            </w:pPr>
          </w:p>
          <w:p w14:paraId="2E3BBCB3" w14:textId="77777777" w:rsidR="00A02DAD" w:rsidRDefault="00A02DAD" w:rsidP="007B04B0">
            <w:pPr>
              <w:jc w:val="center"/>
              <w:rPr>
                <w:rFonts w:ascii="Times New Roman" w:eastAsia="Calibri" w:hAnsi="Times New Roman" w:cs="Times New Roman"/>
                <w:b/>
                <w:bCs/>
              </w:rPr>
            </w:pPr>
          </w:p>
          <w:p w14:paraId="038AD416" w14:textId="77777777" w:rsidR="00A02DAD" w:rsidRDefault="00A02DAD" w:rsidP="007B04B0">
            <w:pPr>
              <w:jc w:val="center"/>
              <w:rPr>
                <w:rFonts w:ascii="Times New Roman" w:eastAsia="Calibri" w:hAnsi="Times New Roman" w:cs="Times New Roman"/>
                <w:b/>
                <w:bCs/>
              </w:rPr>
            </w:pPr>
          </w:p>
          <w:p w14:paraId="44580CBA" w14:textId="77777777" w:rsidR="00A02DAD" w:rsidRDefault="00A02DAD" w:rsidP="007B04B0">
            <w:pPr>
              <w:jc w:val="center"/>
              <w:rPr>
                <w:rFonts w:ascii="Times New Roman" w:eastAsia="Calibri" w:hAnsi="Times New Roman" w:cs="Times New Roman"/>
                <w:b/>
                <w:bCs/>
              </w:rPr>
            </w:pPr>
          </w:p>
          <w:p w14:paraId="24DF11D9" w14:textId="77777777" w:rsidR="00A02DAD" w:rsidRDefault="00A02DAD" w:rsidP="007B04B0">
            <w:pPr>
              <w:jc w:val="center"/>
              <w:rPr>
                <w:rFonts w:ascii="Times New Roman" w:eastAsia="Calibri" w:hAnsi="Times New Roman" w:cs="Times New Roman"/>
                <w:b/>
                <w:bCs/>
              </w:rPr>
            </w:pPr>
          </w:p>
          <w:p w14:paraId="07D9E793" w14:textId="77777777" w:rsidR="00A02DAD" w:rsidRDefault="00A02DAD" w:rsidP="007B04B0">
            <w:pPr>
              <w:jc w:val="center"/>
              <w:rPr>
                <w:rFonts w:ascii="Times New Roman" w:eastAsia="Calibri" w:hAnsi="Times New Roman" w:cs="Times New Roman"/>
                <w:b/>
                <w:bCs/>
              </w:rPr>
            </w:pPr>
          </w:p>
          <w:p w14:paraId="03A2EC7A" w14:textId="77777777" w:rsidR="00A02DAD" w:rsidRDefault="00A02DAD" w:rsidP="007B04B0">
            <w:pPr>
              <w:jc w:val="center"/>
              <w:rPr>
                <w:rFonts w:ascii="Times New Roman" w:eastAsia="Calibri" w:hAnsi="Times New Roman" w:cs="Times New Roman"/>
                <w:b/>
                <w:bCs/>
              </w:rPr>
            </w:pPr>
          </w:p>
          <w:p w14:paraId="43A55800" w14:textId="6F2B0C2E" w:rsidR="00A02DAD" w:rsidRDefault="00A02DAD" w:rsidP="007B04B0">
            <w:pPr>
              <w:jc w:val="center"/>
              <w:rPr>
                <w:rFonts w:ascii="Times New Roman" w:eastAsia="Calibri" w:hAnsi="Times New Roman" w:cs="Times New Roman"/>
                <w:b/>
                <w:bCs/>
              </w:rPr>
            </w:pPr>
          </w:p>
          <w:p w14:paraId="617F367F" w14:textId="685A94A7" w:rsidR="00B064D8" w:rsidRDefault="00B064D8" w:rsidP="007B04B0">
            <w:pPr>
              <w:jc w:val="center"/>
              <w:rPr>
                <w:rFonts w:ascii="Times New Roman" w:eastAsia="Calibri" w:hAnsi="Times New Roman" w:cs="Times New Roman"/>
                <w:b/>
                <w:bCs/>
              </w:rPr>
            </w:pPr>
          </w:p>
          <w:p w14:paraId="7605C7CC" w14:textId="56CEC3FC" w:rsidR="00B064D8" w:rsidRDefault="00B064D8" w:rsidP="007B04B0">
            <w:pPr>
              <w:jc w:val="center"/>
              <w:rPr>
                <w:rFonts w:ascii="Times New Roman" w:eastAsia="Calibri" w:hAnsi="Times New Roman" w:cs="Times New Roman"/>
                <w:b/>
                <w:bCs/>
              </w:rPr>
            </w:pPr>
          </w:p>
          <w:p w14:paraId="55418385" w14:textId="4D5F7183" w:rsidR="00B064D8" w:rsidRDefault="00B064D8" w:rsidP="007B04B0">
            <w:pPr>
              <w:jc w:val="center"/>
              <w:rPr>
                <w:rFonts w:ascii="Times New Roman" w:eastAsia="Calibri" w:hAnsi="Times New Roman" w:cs="Times New Roman"/>
                <w:b/>
                <w:bCs/>
              </w:rPr>
            </w:pPr>
          </w:p>
          <w:p w14:paraId="61929384" w14:textId="4F32227E" w:rsidR="00B064D8" w:rsidRDefault="00B064D8" w:rsidP="007B04B0">
            <w:pPr>
              <w:jc w:val="center"/>
              <w:rPr>
                <w:rFonts w:ascii="Times New Roman" w:eastAsia="Calibri" w:hAnsi="Times New Roman" w:cs="Times New Roman"/>
                <w:b/>
                <w:bCs/>
              </w:rPr>
            </w:pPr>
          </w:p>
          <w:p w14:paraId="5162190F" w14:textId="3B6833C2" w:rsidR="00B064D8" w:rsidRDefault="00B064D8" w:rsidP="007B04B0">
            <w:pPr>
              <w:jc w:val="center"/>
              <w:rPr>
                <w:rFonts w:ascii="Times New Roman" w:eastAsia="Calibri" w:hAnsi="Times New Roman" w:cs="Times New Roman"/>
                <w:b/>
                <w:bCs/>
              </w:rPr>
            </w:pPr>
          </w:p>
          <w:p w14:paraId="2796751E" w14:textId="5217B8FE" w:rsidR="00B064D8" w:rsidRDefault="00B064D8" w:rsidP="007B04B0">
            <w:pPr>
              <w:jc w:val="center"/>
              <w:rPr>
                <w:rFonts w:ascii="Times New Roman" w:eastAsia="Calibri" w:hAnsi="Times New Roman" w:cs="Times New Roman"/>
                <w:b/>
                <w:bCs/>
              </w:rPr>
            </w:pPr>
          </w:p>
          <w:p w14:paraId="7320D1D8" w14:textId="4D1F490C" w:rsidR="00B064D8" w:rsidRDefault="00B064D8" w:rsidP="007B04B0">
            <w:pPr>
              <w:jc w:val="center"/>
              <w:rPr>
                <w:rFonts w:ascii="Times New Roman" w:eastAsia="Calibri" w:hAnsi="Times New Roman" w:cs="Times New Roman"/>
                <w:b/>
                <w:bCs/>
              </w:rPr>
            </w:pPr>
          </w:p>
          <w:p w14:paraId="44423BAF" w14:textId="3BF878C0" w:rsidR="00B064D8" w:rsidRDefault="00B064D8" w:rsidP="007B04B0">
            <w:pPr>
              <w:jc w:val="center"/>
              <w:rPr>
                <w:rFonts w:ascii="Times New Roman" w:eastAsia="Calibri" w:hAnsi="Times New Roman" w:cs="Times New Roman"/>
                <w:b/>
                <w:bCs/>
              </w:rPr>
            </w:pPr>
          </w:p>
          <w:p w14:paraId="463D1EDD" w14:textId="31D5D835" w:rsidR="00B064D8" w:rsidRDefault="00B064D8" w:rsidP="007B04B0">
            <w:pPr>
              <w:jc w:val="center"/>
              <w:rPr>
                <w:rFonts w:ascii="Times New Roman" w:eastAsia="Calibri" w:hAnsi="Times New Roman" w:cs="Times New Roman"/>
                <w:b/>
                <w:bCs/>
              </w:rPr>
            </w:pPr>
          </w:p>
          <w:p w14:paraId="73D42D83" w14:textId="2DE2E6A3" w:rsidR="00B064D8" w:rsidRDefault="00B064D8" w:rsidP="007B04B0">
            <w:pPr>
              <w:jc w:val="center"/>
              <w:rPr>
                <w:rFonts w:ascii="Times New Roman" w:eastAsia="Calibri" w:hAnsi="Times New Roman" w:cs="Times New Roman"/>
                <w:b/>
                <w:bCs/>
              </w:rPr>
            </w:pPr>
          </w:p>
          <w:p w14:paraId="74B6D25B" w14:textId="24B0D06A" w:rsidR="00B064D8" w:rsidRDefault="00B064D8" w:rsidP="007B04B0">
            <w:pPr>
              <w:jc w:val="center"/>
              <w:rPr>
                <w:rFonts w:ascii="Times New Roman" w:eastAsia="Calibri" w:hAnsi="Times New Roman" w:cs="Times New Roman"/>
                <w:b/>
                <w:bCs/>
              </w:rPr>
            </w:pPr>
          </w:p>
          <w:p w14:paraId="2E3846F4" w14:textId="4006CD51" w:rsidR="00B064D8" w:rsidRDefault="00B064D8" w:rsidP="007B04B0">
            <w:pPr>
              <w:jc w:val="center"/>
              <w:rPr>
                <w:rFonts w:ascii="Times New Roman" w:eastAsia="Calibri" w:hAnsi="Times New Roman" w:cs="Times New Roman"/>
                <w:b/>
                <w:bCs/>
              </w:rPr>
            </w:pPr>
          </w:p>
          <w:p w14:paraId="5FFF6BA0" w14:textId="64D0B2BD" w:rsidR="00B064D8" w:rsidRDefault="00B064D8" w:rsidP="007B04B0">
            <w:pPr>
              <w:jc w:val="center"/>
              <w:rPr>
                <w:rFonts w:ascii="Times New Roman" w:eastAsia="Calibri" w:hAnsi="Times New Roman" w:cs="Times New Roman"/>
                <w:b/>
                <w:bCs/>
              </w:rPr>
            </w:pPr>
          </w:p>
          <w:p w14:paraId="3565DFCB" w14:textId="20472E23" w:rsidR="00B064D8" w:rsidRDefault="00B064D8" w:rsidP="007B04B0">
            <w:pPr>
              <w:jc w:val="center"/>
              <w:rPr>
                <w:rFonts w:ascii="Times New Roman" w:eastAsia="Calibri" w:hAnsi="Times New Roman" w:cs="Times New Roman"/>
                <w:b/>
                <w:bCs/>
              </w:rPr>
            </w:pPr>
          </w:p>
          <w:p w14:paraId="5EA2799F" w14:textId="1C56A930" w:rsidR="00A02DAD" w:rsidRPr="00541770" w:rsidRDefault="00A02DAD" w:rsidP="007B04B0">
            <w:pPr>
              <w:jc w:val="center"/>
              <w:rPr>
                <w:rFonts w:ascii="Times New Roman" w:eastAsia="Calibri" w:hAnsi="Times New Roman" w:cs="Times New Roman"/>
                <w:b/>
                <w:bCs/>
              </w:rPr>
            </w:pPr>
          </w:p>
        </w:tc>
        <w:tc>
          <w:tcPr>
            <w:tcW w:w="5528" w:type="dxa"/>
            <w:tcBorders>
              <w:bottom w:val="single" w:sz="4" w:space="0" w:color="auto"/>
            </w:tcBorders>
          </w:tcPr>
          <w:p w14:paraId="1A20AA2C" w14:textId="3D878F1B" w:rsidR="00A02DAD" w:rsidRPr="00702674" w:rsidRDefault="00A02DAD" w:rsidP="00357FC2">
            <w:pPr>
              <w:ind w:right="180"/>
              <w:jc w:val="both"/>
              <w:rPr>
                <w:rFonts w:ascii="Times New Roman" w:eastAsia="Calibri" w:hAnsi="Times New Roman" w:cs="Times New Roman"/>
                <w:b/>
                <w:bCs/>
                <w:noProof/>
                <w:sz w:val="24"/>
                <w:szCs w:val="24"/>
              </w:rPr>
            </w:pPr>
            <w:r w:rsidRPr="00702674">
              <w:rPr>
                <w:rFonts w:ascii="Times New Roman" w:hAnsi="Times New Roman" w:cs="Times New Roman"/>
                <w:color w:val="000000"/>
                <w:sz w:val="24"/>
                <w:szCs w:val="24"/>
              </w:rPr>
              <w:lastRenderedPageBreak/>
              <w:t>4. Siekiant Nutarimo projekto pagrįstumo ir aiškumo, siūlytina Nutarimo projekto lydimąją medžiagą papildyti informacija (pagrindimu) dėl Nutarimo projekto 6 punkte išdėstytų tam tikrų nuostatų pakeitimo nuo </w:t>
            </w:r>
            <w:r w:rsidRPr="00702674">
              <w:rPr>
                <w:rFonts w:ascii="Times New Roman" w:hAnsi="Times New Roman" w:cs="Times New Roman"/>
                <w:i/>
                <w:iCs/>
                <w:color w:val="000000"/>
                <w:sz w:val="24"/>
                <w:szCs w:val="24"/>
              </w:rPr>
              <w:t>2022 m. liepos 1 d.</w:t>
            </w:r>
            <w:r w:rsidRPr="00702674">
              <w:rPr>
                <w:rFonts w:ascii="Times New Roman" w:hAnsi="Times New Roman" w:cs="Times New Roman"/>
                <w:color w:val="000000"/>
                <w:sz w:val="24"/>
                <w:szCs w:val="24"/>
              </w:rPr>
              <w:t xml:space="preserve"> (kuo remiantis pasirinkta nurodyta data, ar nėra tikslingos pereinamosios nuostatos ir pan.). </w:t>
            </w:r>
          </w:p>
        </w:tc>
        <w:tc>
          <w:tcPr>
            <w:tcW w:w="6095" w:type="dxa"/>
            <w:tcBorders>
              <w:bottom w:val="single" w:sz="4" w:space="0" w:color="auto"/>
            </w:tcBorders>
          </w:tcPr>
          <w:p w14:paraId="6D3924BB" w14:textId="5BD06C83" w:rsidR="00A02DAD" w:rsidRPr="000F76CC" w:rsidRDefault="00A02DAD" w:rsidP="00D84526">
            <w:pPr>
              <w:rPr>
                <w:rFonts w:ascii="Times New Roman" w:eastAsia="Calibri" w:hAnsi="Times New Roman" w:cs="Times New Roman"/>
                <w:b/>
                <w:bCs/>
                <w:sz w:val="24"/>
                <w:szCs w:val="24"/>
              </w:rPr>
            </w:pPr>
            <w:r w:rsidRPr="000F76CC">
              <w:rPr>
                <w:rFonts w:ascii="Times New Roman" w:eastAsia="Calibri" w:hAnsi="Times New Roman" w:cs="Times New Roman"/>
                <w:b/>
                <w:bCs/>
                <w:sz w:val="24"/>
                <w:szCs w:val="24"/>
              </w:rPr>
              <w:t>Atsižvelgta (pridedamas komentaras).</w:t>
            </w:r>
          </w:p>
          <w:p w14:paraId="722D128D" w14:textId="6D8D8B7C" w:rsidR="00A02DAD" w:rsidRPr="00163A2B" w:rsidRDefault="00A02DAD" w:rsidP="00936330">
            <w:pPr>
              <w:jc w:val="both"/>
              <w:rPr>
                <w:rFonts w:ascii="Times New Roman" w:eastAsia="Calibri" w:hAnsi="Times New Roman" w:cs="Times New Roman"/>
              </w:rPr>
            </w:pPr>
            <w:r w:rsidRPr="002478A1">
              <w:rPr>
                <w:rFonts w:ascii="Times New Roman" w:hAnsi="Times New Roman" w:cs="Times New Roman"/>
                <w:color w:val="000000"/>
                <w:sz w:val="24"/>
                <w:szCs w:val="24"/>
              </w:rPr>
              <w:t>Nutarimo projekto 6 punkte išdėstyt</w:t>
            </w:r>
            <w:r w:rsidR="00916E96">
              <w:rPr>
                <w:rFonts w:ascii="Times New Roman" w:hAnsi="Times New Roman" w:cs="Times New Roman"/>
                <w:color w:val="000000"/>
                <w:sz w:val="24"/>
                <w:szCs w:val="24"/>
              </w:rPr>
              <w:t>ų</w:t>
            </w:r>
            <w:r w:rsidRPr="002478A1">
              <w:rPr>
                <w:rFonts w:ascii="Times New Roman" w:hAnsi="Times New Roman" w:cs="Times New Roman"/>
                <w:color w:val="000000"/>
                <w:sz w:val="24"/>
                <w:szCs w:val="24"/>
              </w:rPr>
              <w:t xml:space="preserve"> tam tikr</w:t>
            </w:r>
            <w:r w:rsidR="00916E96">
              <w:rPr>
                <w:rFonts w:ascii="Times New Roman" w:hAnsi="Times New Roman" w:cs="Times New Roman"/>
                <w:color w:val="000000"/>
                <w:sz w:val="24"/>
                <w:szCs w:val="24"/>
              </w:rPr>
              <w:t>ų</w:t>
            </w:r>
            <w:r w:rsidRPr="002478A1">
              <w:rPr>
                <w:rFonts w:ascii="Times New Roman" w:hAnsi="Times New Roman" w:cs="Times New Roman"/>
                <w:color w:val="000000"/>
                <w:sz w:val="24"/>
                <w:szCs w:val="24"/>
              </w:rPr>
              <w:t xml:space="preserve"> nuostat</w:t>
            </w:r>
            <w:r>
              <w:rPr>
                <w:rFonts w:ascii="Times New Roman" w:hAnsi="Times New Roman" w:cs="Times New Roman"/>
                <w:color w:val="000000"/>
                <w:sz w:val="24"/>
                <w:szCs w:val="24"/>
              </w:rPr>
              <w:t>ų</w:t>
            </w:r>
            <w:r w:rsidRPr="002478A1">
              <w:rPr>
                <w:rFonts w:ascii="Times New Roman" w:hAnsi="Times New Roman" w:cs="Times New Roman"/>
                <w:color w:val="000000"/>
                <w:sz w:val="24"/>
                <w:szCs w:val="24"/>
              </w:rPr>
              <w:t xml:space="preserve"> pakeitim</w:t>
            </w:r>
            <w:r>
              <w:rPr>
                <w:rFonts w:ascii="Times New Roman" w:hAnsi="Times New Roman" w:cs="Times New Roman"/>
                <w:color w:val="000000"/>
                <w:sz w:val="24"/>
                <w:szCs w:val="24"/>
              </w:rPr>
              <w:t>as</w:t>
            </w:r>
            <w:r w:rsidRPr="002478A1">
              <w:rPr>
                <w:rFonts w:ascii="Times New Roman" w:hAnsi="Times New Roman" w:cs="Times New Roman"/>
                <w:color w:val="000000"/>
                <w:sz w:val="24"/>
                <w:szCs w:val="24"/>
              </w:rPr>
              <w:t xml:space="preserve"> nuo </w:t>
            </w:r>
            <w:r w:rsidRPr="002478A1">
              <w:rPr>
                <w:rFonts w:ascii="Times New Roman" w:hAnsi="Times New Roman" w:cs="Times New Roman"/>
                <w:i/>
                <w:iCs/>
                <w:color w:val="000000"/>
                <w:sz w:val="24"/>
                <w:szCs w:val="24"/>
              </w:rPr>
              <w:t>2022 m. liepos 1 d.</w:t>
            </w:r>
            <w:r w:rsidRPr="002478A1">
              <w:rPr>
                <w:rFonts w:ascii="Times New Roman" w:hAnsi="Times New Roman" w:cs="Times New Roman"/>
                <w:color w:val="000000"/>
                <w:sz w:val="24"/>
                <w:szCs w:val="24"/>
              </w:rPr>
              <w:t> </w:t>
            </w:r>
            <w:r>
              <w:rPr>
                <w:rFonts w:ascii="Times New Roman" w:hAnsi="Times New Roman" w:cs="Times New Roman"/>
                <w:color w:val="000000"/>
                <w:sz w:val="24"/>
                <w:szCs w:val="24"/>
              </w:rPr>
              <w:t>grindžiamas tuo, kad informacinės sistemos tvarkytojui – valstybės įmonei Registrų centr</w:t>
            </w:r>
            <w:r w:rsidR="00916E96">
              <w:rPr>
                <w:rFonts w:ascii="Times New Roman" w:hAnsi="Times New Roman" w:cs="Times New Roman"/>
                <w:color w:val="000000"/>
                <w:sz w:val="24"/>
                <w:szCs w:val="24"/>
              </w:rPr>
              <w:t>ui</w:t>
            </w:r>
            <w:r>
              <w:rPr>
                <w:rFonts w:ascii="Times New Roman" w:hAnsi="Times New Roman" w:cs="Times New Roman"/>
                <w:color w:val="000000"/>
                <w:sz w:val="24"/>
                <w:szCs w:val="24"/>
              </w:rPr>
              <w:t xml:space="preserve"> reikia laiko atrinkti pašto paslaugos teikėją, kuris galėtų pristatyti ne tik registruotąsias, bet ir paprastas siuntas. Be to, šiai paslaugai teikti reikalingas sistemos vystymas, kuriam reikia laiko. </w:t>
            </w:r>
            <w:r>
              <w:rPr>
                <w:rFonts w:ascii="Times New Roman" w:eastAsia="Calibri" w:hAnsi="Times New Roman" w:cs="Times New Roman"/>
                <w:sz w:val="24"/>
                <w:szCs w:val="24"/>
              </w:rPr>
              <w:t xml:space="preserve"> </w:t>
            </w:r>
          </w:p>
        </w:tc>
      </w:tr>
      <w:tr w:rsidR="00A02DAD" w14:paraId="4A141554" w14:textId="77777777" w:rsidTr="000F5B60">
        <w:trPr>
          <w:trHeight w:val="2558"/>
        </w:trPr>
        <w:tc>
          <w:tcPr>
            <w:tcW w:w="2689" w:type="dxa"/>
            <w:vMerge/>
          </w:tcPr>
          <w:p w14:paraId="5C6B9697" w14:textId="77777777" w:rsidR="00A02DAD" w:rsidRPr="00541770" w:rsidRDefault="00A02DAD" w:rsidP="007B04B0">
            <w:pPr>
              <w:jc w:val="center"/>
              <w:rPr>
                <w:rFonts w:ascii="Times New Roman" w:eastAsia="Calibri" w:hAnsi="Times New Roman" w:cs="Times New Roman"/>
                <w:b/>
                <w:bCs/>
              </w:rPr>
            </w:pPr>
          </w:p>
        </w:tc>
        <w:tc>
          <w:tcPr>
            <w:tcW w:w="5528" w:type="dxa"/>
            <w:tcBorders>
              <w:bottom w:val="single" w:sz="4" w:space="0" w:color="auto"/>
            </w:tcBorders>
          </w:tcPr>
          <w:p w14:paraId="0C18F7D7" w14:textId="77777777" w:rsidR="00A02DAD" w:rsidRPr="00357FC2" w:rsidRDefault="00A02DAD" w:rsidP="004D7827">
            <w:pPr>
              <w:jc w:val="both"/>
              <w:rPr>
                <w:rFonts w:ascii="Times New Roman" w:eastAsia="Times New Roman" w:hAnsi="Times New Roman" w:cs="Times New Roman"/>
                <w:color w:val="000000"/>
                <w:sz w:val="24"/>
                <w:szCs w:val="24"/>
                <w:lang w:eastAsia="lt-LT"/>
              </w:rPr>
            </w:pPr>
            <w:r w:rsidRPr="00357FC2">
              <w:rPr>
                <w:rFonts w:ascii="Times New Roman" w:eastAsia="Times New Roman" w:hAnsi="Times New Roman" w:cs="Times New Roman"/>
                <w:color w:val="000000"/>
                <w:sz w:val="24"/>
                <w:szCs w:val="24"/>
                <w:lang w:eastAsia="lt-LT"/>
              </w:rPr>
              <w:t>7. Nutarimo projekto 1.2 papunktyje siūloma patvirtinti Elektroninio pristatymo paslaugų teikimo Nacionalinės elektroninių siuntų pristatymo, naudojant pašto tinklą, informacinės sistemos priemonėmis taisykles (toliau – Taisyklės), kurios šiuo metu yra patvirtintos susisiekimo ministro 2016 m. vasario 3 d. įsakymu Nr. 3-44(1.56). Siekiant išvengti dviejų analogiškus teisinius santykius reglamentuojančių teisės aktų galiojimo, siūlome įvertinti ir Nutarimo projekte numatyti vėlesnę minėtų Taisyklių įsigaliojimo datą, įvertinant terminą, per kurį susiekimo ministras pripažintų netekusiu galios savo 2016 m. vasario 3 d. įsakymą Nr. 3-44(1.56). Analogiška pastaba aktuali dėl poreikio pripažinti netekusiu galios Informacinės visuomenės plėtros komiteto prie Susiekimo ministerijos direktoriaus 2016 m. gegužės 9 d. įsakymą Nr. T-29 „Dėl Elektroninio pristatymo paslaugų kaštų skaičiavimo metodikos ir Elektroninio pristatymo paslaugų įkainių patvirtinimo“.</w:t>
            </w:r>
          </w:p>
          <w:p w14:paraId="267D0CC7" w14:textId="4CDBA80E" w:rsidR="00A02DAD" w:rsidRPr="00357FC2" w:rsidRDefault="00A02DAD" w:rsidP="004D7827">
            <w:pPr>
              <w:jc w:val="both"/>
              <w:rPr>
                <w:rFonts w:ascii="Times New Roman" w:eastAsia="Calibri" w:hAnsi="Times New Roman" w:cs="Times New Roman"/>
                <w:b/>
                <w:bCs/>
                <w:noProof/>
                <w:sz w:val="24"/>
                <w:szCs w:val="24"/>
              </w:rPr>
            </w:pPr>
            <w:r w:rsidRPr="00357FC2">
              <w:rPr>
                <w:rFonts w:ascii="Times New Roman" w:eastAsia="Times New Roman" w:hAnsi="Times New Roman" w:cs="Times New Roman"/>
                <w:color w:val="000000"/>
                <w:sz w:val="24"/>
                <w:szCs w:val="24"/>
                <w:lang w:eastAsia="lt-LT"/>
              </w:rPr>
              <w:lastRenderedPageBreak/>
              <w:t>Taip pat, atsižvelgiant Viešojo administravimo įstatymo 9 straipsnio 3 dalį, kurioje nustatyta, kad „</w:t>
            </w:r>
            <w:r w:rsidRPr="00357FC2">
              <w:rPr>
                <w:rFonts w:ascii="Times New Roman" w:eastAsia="Times New Roman" w:hAnsi="Times New Roman" w:cs="Times New Roman"/>
                <w:i/>
                <w:iCs/>
                <w:color w:val="000000"/>
                <w:sz w:val="24"/>
                <w:szCs w:val="24"/>
                <w:lang w:eastAsia="lt-LT"/>
              </w:rPr>
              <w:t xml:space="preserve">Elektroninio pristatymo paslaugų teikimo </w:t>
            </w:r>
            <w:r w:rsidRPr="00BA6A38">
              <w:rPr>
                <w:rFonts w:ascii="Times New Roman" w:eastAsia="Times New Roman" w:hAnsi="Times New Roman" w:cs="Times New Roman"/>
                <w:i/>
                <w:iCs/>
                <w:color w:val="000000"/>
                <w:sz w:val="24"/>
                <w:szCs w:val="24"/>
                <w:lang w:eastAsia="lt-LT"/>
              </w:rPr>
              <w:t>E. pristatymo sistemos priemonėmis taisykles tvirtina </w:t>
            </w:r>
            <w:r w:rsidRPr="00BA6A38">
              <w:rPr>
                <w:rFonts w:ascii="Times New Roman" w:eastAsia="Times New Roman" w:hAnsi="Times New Roman" w:cs="Times New Roman"/>
                <w:i/>
                <w:iCs/>
                <w:color w:val="000000"/>
                <w:sz w:val="24"/>
                <w:szCs w:val="24"/>
                <w:u w:val="single"/>
                <w:lang w:eastAsia="lt-LT"/>
              </w:rPr>
              <w:t>Vyriausybė arba jos įgaliota institucija</w:t>
            </w:r>
            <w:r w:rsidRPr="00BA6A38">
              <w:rPr>
                <w:rFonts w:ascii="Times New Roman" w:eastAsia="Times New Roman" w:hAnsi="Times New Roman" w:cs="Times New Roman"/>
                <w:color w:val="000000"/>
                <w:sz w:val="24"/>
                <w:szCs w:val="24"/>
                <w:lang w:eastAsia="lt-LT"/>
              </w:rPr>
              <w:t>“, ir siekiant teisėkūros efektyvumo principo užtikrinimo, siūlytina pateikti argumentus, kodėl siūloma šias Taisykles tvirtinti Vyriausybės nutarimu, o ne susisiekimo ministro įsakymu, kaip yra šiuo metu.</w:t>
            </w:r>
          </w:p>
        </w:tc>
        <w:tc>
          <w:tcPr>
            <w:tcW w:w="6095" w:type="dxa"/>
            <w:tcBorders>
              <w:bottom w:val="single" w:sz="4" w:space="0" w:color="auto"/>
            </w:tcBorders>
          </w:tcPr>
          <w:p w14:paraId="0F6705C6" w14:textId="77777777" w:rsidR="00A02DAD" w:rsidRPr="007B0DFB" w:rsidRDefault="00A02DAD" w:rsidP="00AF4672">
            <w:pPr>
              <w:jc w:val="both"/>
              <w:rPr>
                <w:rFonts w:ascii="Times New Roman" w:eastAsia="Calibri" w:hAnsi="Times New Roman" w:cs="Times New Roman"/>
                <w:b/>
                <w:bCs/>
                <w:sz w:val="24"/>
                <w:szCs w:val="24"/>
              </w:rPr>
            </w:pPr>
            <w:r w:rsidRPr="007B0DFB">
              <w:rPr>
                <w:rFonts w:ascii="Times New Roman" w:eastAsia="Calibri" w:hAnsi="Times New Roman" w:cs="Times New Roman"/>
                <w:b/>
                <w:bCs/>
                <w:sz w:val="24"/>
                <w:szCs w:val="24"/>
              </w:rPr>
              <w:lastRenderedPageBreak/>
              <w:t xml:space="preserve">Neatsižvelgta. </w:t>
            </w:r>
          </w:p>
          <w:p w14:paraId="382C9A2E" w14:textId="52454C46" w:rsidR="00A02DAD" w:rsidRPr="00AF4672" w:rsidRDefault="00A02DAD" w:rsidP="00AF4672">
            <w:pPr>
              <w:jc w:val="both"/>
              <w:rPr>
                <w:rFonts w:ascii="Times New Roman" w:eastAsia="Times New Roman" w:hAnsi="Times New Roman" w:cs="Times New Roman"/>
                <w:color w:val="000000" w:themeColor="text1"/>
                <w:spacing w:val="2"/>
                <w:sz w:val="24"/>
                <w:szCs w:val="24"/>
                <w:lang w:eastAsia="lt-LT"/>
              </w:rPr>
            </w:pPr>
            <w:r w:rsidRPr="00AF4672">
              <w:rPr>
                <w:rFonts w:ascii="Times New Roman" w:eastAsia="Times New Roman" w:hAnsi="Times New Roman" w:cs="Times New Roman"/>
                <w:color w:val="000000" w:themeColor="text1"/>
                <w:spacing w:val="2"/>
                <w:sz w:val="24"/>
                <w:szCs w:val="24"/>
                <w:lang w:eastAsia="lt-LT"/>
              </w:rPr>
              <w:t>E. pristatymo sistema skirta visų viešojo administravimo institucijų funkcijoms atlikti, be to, ja gali naudotis visi fiziniai ir juridiniai asmenys, todėl atsižvelgiant visuotinumą ir jos svarbą visų valstybės institucijų funkcijų vykdymui,</w:t>
            </w:r>
            <w:r w:rsidR="00D86FC1">
              <w:rPr>
                <w:rFonts w:ascii="Times New Roman" w:eastAsia="Times New Roman" w:hAnsi="Times New Roman" w:cs="Times New Roman"/>
                <w:color w:val="000000" w:themeColor="text1"/>
                <w:spacing w:val="2"/>
                <w:sz w:val="24"/>
                <w:szCs w:val="24"/>
                <w:lang w:eastAsia="lt-LT"/>
              </w:rPr>
              <w:t xml:space="preserve">        </w:t>
            </w:r>
            <w:r w:rsidRPr="00AF4672">
              <w:rPr>
                <w:rFonts w:ascii="Times New Roman" w:eastAsia="Times New Roman" w:hAnsi="Times New Roman" w:cs="Times New Roman"/>
                <w:color w:val="000000" w:themeColor="text1"/>
                <w:spacing w:val="2"/>
                <w:sz w:val="24"/>
                <w:szCs w:val="24"/>
                <w:lang w:eastAsia="lt-LT"/>
              </w:rPr>
              <w:t xml:space="preserve"> </w:t>
            </w:r>
            <w:r w:rsidR="00916E96" w:rsidRPr="00AF4672">
              <w:rPr>
                <w:rFonts w:ascii="Times New Roman" w:eastAsia="Times New Roman" w:hAnsi="Times New Roman" w:cs="Times New Roman"/>
                <w:color w:val="000000" w:themeColor="text1"/>
                <w:spacing w:val="2"/>
                <w:sz w:val="24"/>
                <w:szCs w:val="24"/>
                <w:lang w:eastAsia="lt-LT"/>
              </w:rPr>
              <w:t xml:space="preserve">E. pristatymo </w:t>
            </w:r>
            <w:r w:rsidRPr="00AF4672">
              <w:rPr>
                <w:rFonts w:ascii="Times New Roman" w:eastAsia="Times New Roman" w:hAnsi="Times New Roman" w:cs="Times New Roman"/>
                <w:color w:val="000000" w:themeColor="text1"/>
                <w:spacing w:val="2"/>
                <w:sz w:val="24"/>
                <w:szCs w:val="24"/>
                <w:lang w:eastAsia="lt-LT"/>
              </w:rPr>
              <w:t>sistemos nuostatus ir naudojimosi ja taisykles tikslinga tvirtinti</w:t>
            </w:r>
            <w:r w:rsidR="000D25A3">
              <w:rPr>
                <w:rFonts w:ascii="Times New Roman" w:eastAsia="Times New Roman" w:hAnsi="Times New Roman" w:cs="Times New Roman"/>
                <w:color w:val="000000" w:themeColor="text1"/>
                <w:spacing w:val="2"/>
                <w:sz w:val="24"/>
                <w:szCs w:val="24"/>
                <w:lang w:eastAsia="lt-LT"/>
              </w:rPr>
              <w:t xml:space="preserve"> </w:t>
            </w:r>
            <w:r w:rsidRPr="00AF4672">
              <w:rPr>
                <w:rFonts w:ascii="Times New Roman" w:eastAsia="Times New Roman" w:hAnsi="Times New Roman" w:cs="Times New Roman"/>
                <w:color w:val="000000" w:themeColor="text1"/>
                <w:spacing w:val="2"/>
                <w:sz w:val="24"/>
                <w:szCs w:val="24"/>
                <w:lang w:eastAsia="lt-LT"/>
              </w:rPr>
              <w:t>V</w:t>
            </w:r>
            <w:r w:rsidR="000D25A3">
              <w:rPr>
                <w:rFonts w:ascii="Times New Roman" w:eastAsia="Times New Roman" w:hAnsi="Times New Roman" w:cs="Times New Roman"/>
                <w:color w:val="000000" w:themeColor="text1"/>
                <w:spacing w:val="2"/>
                <w:sz w:val="24"/>
                <w:szCs w:val="24"/>
                <w:lang w:eastAsia="lt-LT"/>
              </w:rPr>
              <w:t>yriausybės</w:t>
            </w:r>
            <w:r w:rsidRPr="00AF4672">
              <w:rPr>
                <w:rFonts w:ascii="Times New Roman" w:eastAsia="Times New Roman" w:hAnsi="Times New Roman" w:cs="Times New Roman"/>
                <w:color w:val="000000" w:themeColor="text1"/>
                <w:spacing w:val="2"/>
                <w:sz w:val="24"/>
                <w:szCs w:val="24"/>
                <w:lang w:eastAsia="lt-LT"/>
              </w:rPr>
              <w:t xml:space="preserve"> nutarimu. </w:t>
            </w:r>
          </w:p>
          <w:p w14:paraId="265FF3AE" w14:textId="452DDEFC" w:rsidR="00A02DAD" w:rsidRPr="006B01D8" w:rsidRDefault="00A02DAD" w:rsidP="00141D32">
            <w:pPr>
              <w:jc w:val="both"/>
              <w:rPr>
                <w:rFonts w:ascii="Times New Roman" w:eastAsia="Calibri" w:hAnsi="Times New Roman" w:cs="Times New Roman"/>
                <w:sz w:val="24"/>
                <w:szCs w:val="24"/>
              </w:rPr>
            </w:pPr>
            <w:r w:rsidRPr="006B01D8">
              <w:rPr>
                <w:rFonts w:ascii="Times New Roman" w:eastAsia="Calibri" w:hAnsi="Times New Roman" w:cs="Times New Roman"/>
                <w:sz w:val="24"/>
                <w:szCs w:val="24"/>
              </w:rPr>
              <w:t xml:space="preserve">Be to, </w:t>
            </w:r>
            <w:r>
              <w:rPr>
                <w:rFonts w:ascii="Times New Roman" w:eastAsia="Calibri" w:hAnsi="Times New Roman" w:cs="Times New Roman"/>
                <w:sz w:val="24"/>
                <w:szCs w:val="24"/>
              </w:rPr>
              <w:t xml:space="preserve">svarstymų Seime metu pageidavimą tvirtinti taisykles Vyriausybės nutarimu buvo išreiškę daugelis institucijų. </w:t>
            </w:r>
          </w:p>
        </w:tc>
      </w:tr>
      <w:tr w:rsidR="00A02DAD" w14:paraId="5057A326" w14:textId="77777777" w:rsidTr="00B064D8">
        <w:trPr>
          <w:trHeight w:val="4384"/>
        </w:trPr>
        <w:tc>
          <w:tcPr>
            <w:tcW w:w="2689" w:type="dxa"/>
            <w:vMerge/>
          </w:tcPr>
          <w:p w14:paraId="2D9189D2" w14:textId="77777777" w:rsidR="00A02DAD" w:rsidRPr="00541770" w:rsidRDefault="00A02DAD" w:rsidP="007B04B0">
            <w:pPr>
              <w:jc w:val="center"/>
              <w:rPr>
                <w:rFonts w:ascii="Times New Roman" w:eastAsia="Calibri" w:hAnsi="Times New Roman" w:cs="Times New Roman"/>
                <w:b/>
                <w:bCs/>
              </w:rPr>
            </w:pPr>
          </w:p>
        </w:tc>
        <w:tc>
          <w:tcPr>
            <w:tcW w:w="5528" w:type="dxa"/>
          </w:tcPr>
          <w:p w14:paraId="436100F3" w14:textId="01CE04DE" w:rsidR="00A02DAD" w:rsidRPr="00702674" w:rsidRDefault="00A02DAD" w:rsidP="00357FC2">
            <w:pPr>
              <w:ind w:right="180"/>
              <w:jc w:val="both"/>
              <w:rPr>
                <w:rFonts w:ascii="Times New Roman" w:eastAsia="Calibri" w:hAnsi="Times New Roman" w:cs="Times New Roman"/>
                <w:b/>
                <w:bCs/>
                <w:noProof/>
                <w:sz w:val="24"/>
                <w:szCs w:val="24"/>
              </w:rPr>
            </w:pPr>
            <w:r w:rsidRPr="00702674">
              <w:rPr>
                <w:rFonts w:ascii="Times New Roman" w:hAnsi="Times New Roman" w:cs="Times New Roman"/>
                <w:color w:val="000000"/>
                <w:sz w:val="24"/>
                <w:szCs w:val="24"/>
              </w:rPr>
              <w:t>10. Remiantis Viešojo administravimo įstatymo 9 straipsnio 1 dalies nuostata, kad „viešojo administravimo subjektai turi, o </w:t>
            </w:r>
            <w:r w:rsidRPr="00702674">
              <w:rPr>
                <w:rFonts w:ascii="Times New Roman" w:hAnsi="Times New Roman" w:cs="Times New Roman"/>
                <w:i/>
                <w:iCs/>
                <w:color w:val="000000"/>
                <w:sz w:val="24"/>
                <w:szCs w:val="24"/>
              </w:rPr>
              <w:t>asmenys</w:t>
            </w:r>
            <w:r w:rsidRPr="00702674">
              <w:rPr>
                <w:rFonts w:ascii="Times New Roman" w:hAnsi="Times New Roman" w:cs="Times New Roman"/>
                <w:color w:val="000000"/>
                <w:sz w:val="24"/>
                <w:szCs w:val="24"/>
              </w:rPr>
              <w:t xml:space="preserve"> gali rengiamus oficialius elektroninius dokumentus vieni kitiems siųsti ir gauti per Nacionalinę elektroninių siuntų pristatymo naudojant pašto tinklą informacinę sistemą“, siūlytume pagrįsti Taisyklių 5 punkte nustatytus informacinės sistemos naudotojų (paslaugų gavėjų) sąlygas (apribojimus) tikslingumo, proporcingumo aspektu. </w:t>
            </w:r>
          </w:p>
        </w:tc>
        <w:tc>
          <w:tcPr>
            <w:tcW w:w="6095" w:type="dxa"/>
          </w:tcPr>
          <w:p w14:paraId="7E9BE9F8" w14:textId="77777777" w:rsidR="00A02DAD" w:rsidRDefault="00A02DAD" w:rsidP="00857418">
            <w:pPr>
              <w:rPr>
                <w:rFonts w:ascii="Times New Roman" w:eastAsia="Calibri" w:hAnsi="Times New Roman" w:cs="Times New Roman"/>
                <w:b/>
                <w:bCs/>
              </w:rPr>
            </w:pPr>
            <w:r>
              <w:rPr>
                <w:rFonts w:ascii="Times New Roman" w:eastAsia="Calibri" w:hAnsi="Times New Roman" w:cs="Times New Roman"/>
                <w:b/>
                <w:bCs/>
              </w:rPr>
              <w:t>Atsižvelgta (pridedamas komentaras).</w:t>
            </w:r>
          </w:p>
          <w:p w14:paraId="3A984A31" w14:textId="478BF810" w:rsidR="00A02DAD" w:rsidRPr="00A44C45" w:rsidRDefault="00A02DAD" w:rsidP="00EC30E7">
            <w:pPr>
              <w:jc w:val="both"/>
              <w:rPr>
                <w:rFonts w:ascii="Times New Roman" w:hAnsi="Times New Roman" w:cs="Times New Roman"/>
                <w:sz w:val="24"/>
                <w:szCs w:val="24"/>
              </w:rPr>
            </w:pPr>
            <w:r w:rsidRPr="00E641E9">
              <w:rPr>
                <w:rFonts w:ascii="Times New Roman" w:hAnsi="Times New Roman" w:cs="Times New Roman"/>
                <w:color w:val="000000"/>
                <w:sz w:val="24"/>
                <w:szCs w:val="24"/>
              </w:rPr>
              <w:t xml:space="preserve">Taisyklių </w:t>
            </w:r>
            <w:r w:rsidR="00E216E6">
              <w:rPr>
                <w:rFonts w:ascii="Times New Roman" w:hAnsi="Times New Roman" w:cs="Times New Roman"/>
                <w:color w:val="000000"/>
                <w:sz w:val="24"/>
                <w:szCs w:val="24"/>
                <w:lang w:val="en-US"/>
              </w:rPr>
              <w:t>4</w:t>
            </w:r>
            <w:r w:rsidRPr="00E641E9">
              <w:rPr>
                <w:rFonts w:ascii="Times New Roman" w:hAnsi="Times New Roman" w:cs="Times New Roman"/>
                <w:color w:val="000000"/>
                <w:sz w:val="24"/>
                <w:szCs w:val="24"/>
              </w:rPr>
              <w:t xml:space="preserve"> punkte siūloma nustatyti, kad </w:t>
            </w:r>
            <w:r w:rsidRPr="00E641E9">
              <w:rPr>
                <w:rFonts w:ascii="Times New Roman" w:hAnsi="Times New Roman" w:cs="Times New Roman"/>
                <w:sz w:val="24"/>
                <w:szCs w:val="24"/>
              </w:rPr>
              <w:t xml:space="preserve">E. pristatymo sistemos naudotojais gali būti </w:t>
            </w:r>
            <w:r w:rsidRPr="00E641E9">
              <w:rPr>
                <w:rFonts w:ascii="Times New Roman" w:hAnsi="Times New Roman" w:cs="Times New Roman"/>
                <w:i/>
                <w:iCs/>
                <w:sz w:val="24"/>
                <w:szCs w:val="24"/>
              </w:rPr>
              <w:t>visi pilnamečiai fiziniai asmenys</w:t>
            </w:r>
            <w:r w:rsidRPr="00E641E9">
              <w:rPr>
                <w:rFonts w:ascii="Times New Roman" w:hAnsi="Times New Roman" w:cs="Times New Roman"/>
                <w:sz w:val="24"/>
                <w:szCs w:val="24"/>
              </w:rPr>
              <w:t xml:space="preserve">, </w:t>
            </w:r>
            <w:r w:rsidRPr="00E641E9">
              <w:rPr>
                <w:rFonts w:ascii="Times New Roman" w:hAnsi="Times New Roman" w:cs="Times New Roman"/>
                <w:i/>
                <w:iCs/>
                <w:sz w:val="24"/>
                <w:szCs w:val="24"/>
              </w:rPr>
              <w:t>turintys</w:t>
            </w:r>
            <w:r w:rsidRPr="00E641E9">
              <w:rPr>
                <w:rFonts w:ascii="Times New Roman" w:hAnsi="Times New Roman" w:cs="Times New Roman"/>
                <w:sz w:val="24"/>
                <w:szCs w:val="24"/>
              </w:rPr>
              <w:t xml:space="preserve"> Lietuvos Respublikos teisės aktų nustatyta tvarka suteiktą </w:t>
            </w:r>
            <w:r w:rsidRPr="00A44C45">
              <w:rPr>
                <w:rFonts w:ascii="Times New Roman" w:hAnsi="Times New Roman" w:cs="Times New Roman"/>
                <w:sz w:val="24"/>
                <w:szCs w:val="24"/>
              </w:rPr>
              <w:t>asmens kodą, Lietuvos Respublikoje įregistruoti juridiniai asmenys, jų filialai ir atstovybės, turintys Lietuvos Respublikos teisės aktų nustatyta tvarka suteiktą juridinio asmens kodą, nes pagal Viešojo administravimo įstatymą  e. siunta turi registruotosios pašto siuntos teisinę galią, todėl</w:t>
            </w:r>
            <w:r w:rsidR="00916E96">
              <w:rPr>
                <w:rFonts w:ascii="Times New Roman" w:hAnsi="Times New Roman" w:cs="Times New Roman"/>
                <w:sz w:val="24"/>
                <w:szCs w:val="24"/>
              </w:rPr>
              <w:t>,</w:t>
            </w:r>
            <w:r w:rsidRPr="00A44C45">
              <w:rPr>
                <w:rFonts w:ascii="Times New Roman" w:hAnsi="Times New Roman" w:cs="Times New Roman"/>
                <w:sz w:val="24"/>
                <w:szCs w:val="24"/>
              </w:rPr>
              <w:t xml:space="preserve"> pvz.</w:t>
            </w:r>
            <w:r w:rsidR="00916E96">
              <w:rPr>
                <w:rFonts w:ascii="Times New Roman" w:hAnsi="Times New Roman" w:cs="Times New Roman"/>
                <w:sz w:val="24"/>
                <w:szCs w:val="24"/>
              </w:rPr>
              <w:t>,</w:t>
            </w:r>
            <w:r w:rsidRPr="00A44C45">
              <w:rPr>
                <w:rFonts w:ascii="Times New Roman" w:hAnsi="Times New Roman" w:cs="Times New Roman"/>
                <w:sz w:val="24"/>
                <w:szCs w:val="24"/>
              </w:rPr>
              <w:t xml:space="preserve"> nepilnamečiai asmenys negali būti šios sistemos naudotojais. </w:t>
            </w:r>
          </w:p>
          <w:p w14:paraId="7B6E44F0" w14:textId="2F92616A" w:rsidR="00A02DAD" w:rsidRPr="00541770" w:rsidRDefault="00A02DAD" w:rsidP="00A02DAD">
            <w:pPr>
              <w:jc w:val="both"/>
              <w:rPr>
                <w:rFonts w:ascii="Times New Roman" w:eastAsia="Calibri" w:hAnsi="Times New Roman" w:cs="Times New Roman"/>
                <w:b/>
                <w:bCs/>
              </w:rPr>
            </w:pPr>
            <w:r>
              <w:rPr>
                <w:rFonts w:ascii="Times New Roman" w:hAnsi="Times New Roman" w:cs="Times New Roman"/>
                <w:sz w:val="24"/>
                <w:szCs w:val="24"/>
              </w:rPr>
              <w:t xml:space="preserve">Norint siųsti ar gauti siuntą reikalingos autentifikavimo </w:t>
            </w:r>
            <w:r w:rsidRPr="00EC52E3">
              <w:rPr>
                <w:rFonts w:ascii="Times New Roman" w:hAnsi="Times New Roman" w:cs="Times New Roman"/>
                <w:sz w:val="24"/>
                <w:szCs w:val="24"/>
              </w:rPr>
              <w:t>(prisijungimo ir asmens identifikavimo būdai) priemonės, kuri</w:t>
            </w:r>
            <w:r w:rsidR="00916E96">
              <w:rPr>
                <w:rFonts w:ascii="Times New Roman" w:hAnsi="Times New Roman" w:cs="Times New Roman"/>
                <w:sz w:val="24"/>
                <w:szCs w:val="24"/>
              </w:rPr>
              <w:t>os</w:t>
            </w:r>
            <w:r w:rsidRPr="00EC52E3">
              <w:rPr>
                <w:rFonts w:ascii="Times New Roman" w:hAnsi="Times New Roman" w:cs="Times New Roman"/>
                <w:sz w:val="24"/>
                <w:szCs w:val="24"/>
              </w:rPr>
              <w:t xml:space="preserve"> leidžia prisijungti fiziniams asmenims, turintiems asmens kodą</w:t>
            </w:r>
            <w:r w:rsidR="00916E96">
              <w:rPr>
                <w:rFonts w:ascii="Times New Roman" w:hAnsi="Times New Roman" w:cs="Times New Roman"/>
                <w:sz w:val="24"/>
                <w:szCs w:val="24"/>
              </w:rPr>
              <w:t>,</w:t>
            </w:r>
            <w:r w:rsidRPr="00EC52E3">
              <w:rPr>
                <w:rFonts w:ascii="Times New Roman" w:hAnsi="Times New Roman" w:cs="Times New Roman"/>
                <w:sz w:val="24"/>
                <w:szCs w:val="24"/>
              </w:rPr>
              <w:t xml:space="preserve"> ir juridiniams asmenims, turintiems juridinio asmens kodą. </w:t>
            </w:r>
          </w:p>
        </w:tc>
      </w:tr>
      <w:tr w:rsidR="004E59E2" w14:paraId="0AEBE854" w14:textId="77777777" w:rsidTr="00D51D57">
        <w:trPr>
          <w:trHeight w:val="3864"/>
        </w:trPr>
        <w:tc>
          <w:tcPr>
            <w:tcW w:w="2689" w:type="dxa"/>
          </w:tcPr>
          <w:p w14:paraId="6CF8753F" w14:textId="77777777" w:rsidR="004E59E2" w:rsidRDefault="004E59E2" w:rsidP="007B04B0">
            <w:pPr>
              <w:jc w:val="center"/>
              <w:rPr>
                <w:rFonts w:ascii="Times New Roman" w:eastAsia="Calibri" w:hAnsi="Times New Roman" w:cs="Times New Roman"/>
                <w:b/>
                <w:bCs/>
              </w:rPr>
            </w:pPr>
          </w:p>
          <w:p w14:paraId="0F6C6E5D" w14:textId="77777777" w:rsidR="00B064D8" w:rsidRDefault="00B064D8" w:rsidP="007B04B0">
            <w:pPr>
              <w:jc w:val="center"/>
              <w:rPr>
                <w:rFonts w:ascii="Times New Roman" w:eastAsia="Calibri" w:hAnsi="Times New Roman" w:cs="Times New Roman"/>
                <w:b/>
                <w:bCs/>
              </w:rPr>
            </w:pPr>
          </w:p>
          <w:p w14:paraId="2584B789" w14:textId="77777777" w:rsidR="00B064D8" w:rsidRDefault="00B064D8" w:rsidP="007B04B0">
            <w:pPr>
              <w:jc w:val="center"/>
              <w:rPr>
                <w:rFonts w:ascii="Times New Roman" w:eastAsia="Calibri" w:hAnsi="Times New Roman" w:cs="Times New Roman"/>
                <w:b/>
                <w:bCs/>
              </w:rPr>
            </w:pPr>
          </w:p>
          <w:p w14:paraId="62F949DA" w14:textId="77777777" w:rsidR="00B064D8" w:rsidRDefault="00B064D8" w:rsidP="007B04B0">
            <w:pPr>
              <w:jc w:val="center"/>
              <w:rPr>
                <w:rFonts w:ascii="Times New Roman" w:eastAsia="Calibri" w:hAnsi="Times New Roman" w:cs="Times New Roman"/>
                <w:b/>
                <w:bCs/>
              </w:rPr>
            </w:pPr>
          </w:p>
          <w:p w14:paraId="771F6878" w14:textId="77777777" w:rsidR="00B064D8" w:rsidRDefault="00B064D8" w:rsidP="007B04B0">
            <w:pPr>
              <w:jc w:val="center"/>
              <w:rPr>
                <w:rFonts w:ascii="Times New Roman" w:eastAsia="Calibri" w:hAnsi="Times New Roman" w:cs="Times New Roman"/>
                <w:b/>
                <w:bCs/>
              </w:rPr>
            </w:pPr>
          </w:p>
          <w:p w14:paraId="7F77835A" w14:textId="10931F2B" w:rsidR="00B064D8" w:rsidRPr="00541770" w:rsidRDefault="00B064D8" w:rsidP="007B04B0">
            <w:pPr>
              <w:jc w:val="center"/>
              <w:rPr>
                <w:rFonts w:ascii="Times New Roman" w:eastAsia="Calibri" w:hAnsi="Times New Roman" w:cs="Times New Roman"/>
                <w:b/>
                <w:bCs/>
              </w:rPr>
            </w:pPr>
          </w:p>
        </w:tc>
        <w:tc>
          <w:tcPr>
            <w:tcW w:w="5528" w:type="dxa"/>
          </w:tcPr>
          <w:p w14:paraId="1716A39A" w14:textId="52DFF14B" w:rsidR="004E59E2" w:rsidRPr="00702674" w:rsidRDefault="004E59E2" w:rsidP="004D7827">
            <w:pPr>
              <w:jc w:val="both"/>
              <w:rPr>
                <w:rFonts w:ascii="Times New Roman" w:eastAsia="Times New Roman" w:hAnsi="Times New Roman" w:cs="Times New Roman"/>
                <w:color w:val="000000"/>
                <w:sz w:val="24"/>
                <w:szCs w:val="24"/>
                <w:lang w:eastAsia="lt-LT"/>
              </w:rPr>
            </w:pPr>
            <w:r w:rsidRPr="00702674">
              <w:rPr>
                <w:rFonts w:ascii="Times New Roman" w:eastAsia="Times New Roman" w:hAnsi="Times New Roman" w:cs="Times New Roman"/>
                <w:color w:val="000000"/>
                <w:sz w:val="24"/>
                <w:szCs w:val="24"/>
                <w:lang w:eastAsia="lt-LT"/>
              </w:rPr>
              <w:t>13. Taisyklių 23 punkte nustatyta, kad paslaugų teikėjas turi teisę sustabdyti paslaugų teikimą, jei paslaugų gavėjas neatsi</w:t>
            </w:r>
            <w:r w:rsidR="00916E96">
              <w:rPr>
                <w:rFonts w:ascii="Times New Roman" w:eastAsia="Times New Roman" w:hAnsi="Times New Roman" w:cs="Times New Roman"/>
                <w:color w:val="000000"/>
                <w:sz w:val="24"/>
                <w:szCs w:val="24"/>
                <w:lang w:eastAsia="lt-LT"/>
              </w:rPr>
              <w:t>s</w:t>
            </w:r>
            <w:r w:rsidRPr="00702674">
              <w:rPr>
                <w:rFonts w:ascii="Times New Roman" w:eastAsia="Times New Roman" w:hAnsi="Times New Roman" w:cs="Times New Roman"/>
                <w:color w:val="000000"/>
                <w:sz w:val="24"/>
                <w:szCs w:val="24"/>
                <w:lang w:eastAsia="lt-LT"/>
              </w:rPr>
              <w:t>kaito už suteiktas paslaugąs per du mėnesius. Tačiau prie paslaugų teikimo nutraukimo atvejų atsiskaitymo už suteiktas paslaugas kriterijus nebėra minimas. Siūlome įvertinti teisinio reguliavimo nuoseklumą šiuo aspektu.</w:t>
            </w:r>
          </w:p>
          <w:p w14:paraId="26F70A4F" w14:textId="4B30517C" w:rsidR="004E59E2" w:rsidRPr="00702674" w:rsidRDefault="004E59E2" w:rsidP="004D7827">
            <w:pPr>
              <w:jc w:val="both"/>
              <w:rPr>
                <w:rFonts w:ascii="Times New Roman" w:eastAsia="Calibri" w:hAnsi="Times New Roman" w:cs="Times New Roman"/>
                <w:b/>
                <w:bCs/>
                <w:noProof/>
                <w:sz w:val="24"/>
                <w:szCs w:val="24"/>
              </w:rPr>
            </w:pPr>
            <w:r w:rsidRPr="00702674">
              <w:rPr>
                <w:rFonts w:ascii="Times New Roman" w:eastAsia="Times New Roman" w:hAnsi="Times New Roman" w:cs="Times New Roman"/>
                <w:color w:val="000000"/>
                <w:sz w:val="24"/>
                <w:szCs w:val="24"/>
                <w:lang w:eastAsia="lt-LT"/>
              </w:rPr>
              <w:t xml:space="preserve">Taip pat siūlytina pakartotinai įvertinti Aplinkos ministerijos teiktą pastabą dėl Taisyklėse nustatytos paslaugos teikėjo teisės laikinai sustabdyti arba visiškai nutraukti paslaugų teikimą atitikties Viešojo administravimo įstatymo 9 straipsnio 1 punktui, kuriame nustatyta viešojo administravimo subjektų pareiga naudotis informacine sistema. </w:t>
            </w:r>
          </w:p>
        </w:tc>
        <w:tc>
          <w:tcPr>
            <w:tcW w:w="6095" w:type="dxa"/>
          </w:tcPr>
          <w:p w14:paraId="5C2B545F" w14:textId="77777777" w:rsidR="004E59E2" w:rsidRPr="004E59E2" w:rsidRDefault="004E59E2" w:rsidP="004250CF">
            <w:pPr>
              <w:rPr>
                <w:rFonts w:ascii="Times New Roman" w:eastAsia="Calibri" w:hAnsi="Times New Roman" w:cs="Times New Roman"/>
                <w:b/>
                <w:bCs/>
                <w:sz w:val="24"/>
                <w:szCs w:val="24"/>
              </w:rPr>
            </w:pPr>
            <w:r w:rsidRPr="004E59E2">
              <w:rPr>
                <w:rFonts w:ascii="Times New Roman" w:eastAsia="Calibri" w:hAnsi="Times New Roman" w:cs="Times New Roman"/>
                <w:b/>
                <w:bCs/>
                <w:sz w:val="24"/>
                <w:szCs w:val="24"/>
              </w:rPr>
              <w:t xml:space="preserve">Atsižvelgta iš dalies. </w:t>
            </w:r>
          </w:p>
          <w:p w14:paraId="6E5340DA" w14:textId="6AB91475" w:rsidR="004E59E2" w:rsidRPr="00541770" w:rsidRDefault="004E59E2" w:rsidP="004250CF">
            <w:pPr>
              <w:jc w:val="both"/>
              <w:rPr>
                <w:rFonts w:ascii="Times New Roman" w:eastAsia="Calibri" w:hAnsi="Times New Roman" w:cs="Times New Roman"/>
                <w:b/>
                <w:bCs/>
              </w:rPr>
            </w:pPr>
            <w:r>
              <w:rPr>
                <w:rFonts w:ascii="Times New Roman" w:hAnsi="Times New Roman" w:cs="Times New Roman"/>
                <w:sz w:val="24"/>
                <w:szCs w:val="24"/>
              </w:rPr>
              <w:t>Nors Viešojo administravimo įstatymas</w:t>
            </w:r>
            <w:r w:rsidRPr="00CE4CE2">
              <w:rPr>
                <w:rFonts w:ascii="Times New Roman" w:hAnsi="Times New Roman" w:cs="Times New Roman"/>
                <w:color w:val="000000"/>
                <w:sz w:val="24"/>
                <w:szCs w:val="24"/>
              </w:rPr>
              <w:t xml:space="preserve"> įpareigoja viešojo administravimo subjektus naudotis E</w:t>
            </w:r>
            <w:r w:rsidR="00916E96">
              <w:rPr>
                <w:rFonts w:ascii="Times New Roman" w:hAnsi="Times New Roman" w:cs="Times New Roman"/>
                <w:color w:val="000000"/>
                <w:sz w:val="24"/>
                <w:szCs w:val="24"/>
              </w:rPr>
              <w:t>.</w:t>
            </w:r>
            <w:r w:rsidRPr="00CE4CE2">
              <w:rPr>
                <w:rFonts w:ascii="Times New Roman" w:hAnsi="Times New Roman" w:cs="Times New Roman"/>
                <w:color w:val="000000"/>
                <w:sz w:val="24"/>
                <w:szCs w:val="24"/>
              </w:rPr>
              <w:t xml:space="preserve"> pristatym</w:t>
            </w:r>
            <w:r w:rsidR="00916E96">
              <w:rPr>
                <w:rFonts w:ascii="Times New Roman" w:hAnsi="Times New Roman" w:cs="Times New Roman"/>
                <w:color w:val="000000"/>
                <w:sz w:val="24"/>
                <w:szCs w:val="24"/>
              </w:rPr>
              <w:t>o</w:t>
            </w:r>
            <w:r w:rsidRPr="00CE4CE2">
              <w:rPr>
                <w:rFonts w:ascii="Times New Roman" w:hAnsi="Times New Roman" w:cs="Times New Roman"/>
                <w:color w:val="000000"/>
                <w:sz w:val="24"/>
                <w:szCs w:val="24"/>
              </w:rPr>
              <w:t xml:space="preserve"> sistema,</w:t>
            </w:r>
            <w:r>
              <w:rPr>
                <w:rFonts w:ascii="Times New Roman" w:hAnsi="Times New Roman" w:cs="Times New Roman"/>
                <w:color w:val="000000"/>
                <w:sz w:val="24"/>
                <w:szCs w:val="24"/>
              </w:rPr>
              <w:t xml:space="preserve"> tačiau E. pristatymo sistemos naudotojai privalo laiku ir tinkamai vykdyti teisės aktuose, reglamentuojančiuose naudojimąsi E. pristatymo sistema, nustatytas E. pristatymo sistemos naudotojų pareigas. Tik tokiais atvejais, po įspėjimų arba dėl nenumatytų E. pristatymo sistemos veiklos sutrikimų paslaugų teikimas būtų stabdomas. Manome, kad tai pagrįsti ir objektyvūs kriterijai, kurie bus taikomi ne tik viešiesiems subjektams, bet ir privatiems asmenims. </w:t>
            </w:r>
          </w:p>
        </w:tc>
      </w:tr>
    </w:tbl>
    <w:p w14:paraId="45301570" w14:textId="77777777" w:rsidR="00E23C2B" w:rsidRDefault="00E23C2B" w:rsidP="007B04B0">
      <w:pPr>
        <w:spacing w:after="0" w:line="240" w:lineRule="auto"/>
        <w:jc w:val="center"/>
        <w:rPr>
          <w:rFonts w:ascii="Times New Roman" w:hAnsi="Times New Roman" w:cs="Times New Roman"/>
          <w:sz w:val="24"/>
          <w:szCs w:val="24"/>
        </w:rPr>
      </w:pPr>
    </w:p>
    <w:p w14:paraId="487D95FC" w14:textId="34C358BD" w:rsidR="001F08ED" w:rsidRPr="00333E04" w:rsidRDefault="00333E04" w:rsidP="007B04B0">
      <w:pPr>
        <w:spacing w:after="0" w:line="240" w:lineRule="auto"/>
        <w:jc w:val="center"/>
        <w:rPr>
          <w:rFonts w:ascii="Times New Roman" w:hAnsi="Times New Roman" w:cs="Times New Roman"/>
          <w:sz w:val="24"/>
          <w:szCs w:val="24"/>
        </w:rPr>
      </w:pPr>
      <w:r w:rsidRPr="00333E04">
        <w:rPr>
          <w:rFonts w:ascii="Times New Roman" w:hAnsi="Times New Roman" w:cs="Times New Roman"/>
          <w:sz w:val="24"/>
          <w:szCs w:val="24"/>
        </w:rPr>
        <w:t>_______________________</w:t>
      </w:r>
    </w:p>
    <w:sectPr w:rsidR="001F08ED" w:rsidRPr="00333E04" w:rsidSect="00144BFA">
      <w:headerReference w:type="default" r:id="rId7"/>
      <w:pgSz w:w="16838" w:h="11906" w:orient="landscape"/>
      <w:pgMar w:top="851" w:right="1440" w:bottom="2836"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91C2" w14:textId="77777777" w:rsidR="00D26608" w:rsidRDefault="00D26608" w:rsidP="00CE4CE2">
      <w:pPr>
        <w:spacing w:after="0" w:line="240" w:lineRule="auto"/>
      </w:pPr>
      <w:r>
        <w:separator/>
      </w:r>
    </w:p>
  </w:endnote>
  <w:endnote w:type="continuationSeparator" w:id="0">
    <w:p w14:paraId="14808B53" w14:textId="77777777" w:rsidR="00D26608" w:rsidRDefault="00D26608" w:rsidP="00CE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Arial"/>
    <w:charset w:val="BA"/>
    <w:family w:val="auto"/>
    <w:pitch w:val="variable"/>
  </w:font>
  <w:font w:name="Tahoma">
    <w:panose1 w:val="020B0604030504040204"/>
    <w:charset w:val="00"/>
    <w:family w:val="swiss"/>
    <w:pitch w:val="variable"/>
    <w:sig w:usb0="E1002EFF" w:usb1="C000605B" w:usb2="00000029" w:usb3="00000000" w:csb0="000101FF" w:csb1="00000000"/>
  </w:font>
  <w:font w:name="Yu Mincho 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EC1F" w14:textId="77777777" w:rsidR="00D26608" w:rsidRDefault="00D26608" w:rsidP="00CE4CE2">
      <w:pPr>
        <w:spacing w:after="0" w:line="240" w:lineRule="auto"/>
      </w:pPr>
      <w:r>
        <w:separator/>
      </w:r>
    </w:p>
  </w:footnote>
  <w:footnote w:type="continuationSeparator" w:id="0">
    <w:p w14:paraId="55854E69" w14:textId="77777777" w:rsidR="00D26608" w:rsidRDefault="00D26608" w:rsidP="00CE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136316"/>
      <w:docPartObj>
        <w:docPartGallery w:val="Page Numbers (Top of Page)"/>
        <w:docPartUnique/>
      </w:docPartObj>
    </w:sdtPr>
    <w:sdtEndPr/>
    <w:sdtContent>
      <w:p w14:paraId="194F6736" w14:textId="5E3752FE" w:rsidR="007E683C" w:rsidRDefault="007E683C">
        <w:pPr>
          <w:pStyle w:val="Antrats"/>
          <w:jc w:val="center"/>
        </w:pPr>
        <w:r>
          <w:fldChar w:fldCharType="begin"/>
        </w:r>
        <w:r>
          <w:instrText>PAGE   \* MERGEFORMAT</w:instrText>
        </w:r>
        <w:r>
          <w:fldChar w:fldCharType="separate"/>
        </w:r>
        <w:r>
          <w:rPr>
            <w:lang w:val="lt-LT"/>
          </w:rPr>
          <w:t>2</w:t>
        </w:r>
        <w:r>
          <w:fldChar w:fldCharType="end"/>
        </w:r>
      </w:p>
    </w:sdtContent>
  </w:sdt>
  <w:p w14:paraId="3E3578C5" w14:textId="77777777" w:rsidR="007E683C" w:rsidRDefault="007E68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6DD"/>
    <w:multiLevelType w:val="hybridMultilevel"/>
    <w:tmpl w:val="4F5879B2"/>
    <w:lvl w:ilvl="0" w:tplc="23B4FD14">
      <w:start w:val="1"/>
      <w:numFmt w:val="bullet"/>
      <w:lvlText w:val=""/>
      <w:lvlJc w:val="left"/>
      <w:pPr>
        <w:tabs>
          <w:tab w:val="num" w:pos="720"/>
        </w:tabs>
        <w:ind w:left="720" w:hanging="360"/>
      </w:pPr>
      <w:rPr>
        <w:rFonts w:ascii="Wingdings" w:hAnsi="Wingdings" w:hint="default"/>
      </w:rPr>
    </w:lvl>
    <w:lvl w:ilvl="1" w:tplc="95AC835A" w:tentative="1">
      <w:start w:val="1"/>
      <w:numFmt w:val="bullet"/>
      <w:lvlText w:val=""/>
      <w:lvlJc w:val="left"/>
      <w:pPr>
        <w:tabs>
          <w:tab w:val="num" w:pos="1440"/>
        </w:tabs>
        <w:ind w:left="1440" w:hanging="360"/>
      </w:pPr>
      <w:rPr>
        <w:rFonts w:ascii="Wingdings" w:hAnsi="Wingdings" w:hint="default"/>
      </w:rPr>
    </w:lvl>
    <w:lvl w:ilvl="2" w:tplc="7200E4A2" w:tentative="1">
      <w:start w:val="1"/>
      <w:numFmt w:val="bullet"/>
      <w:lvlText w:val=""/>
      <w:lvlJc w:val="left"/>
      <w:pPr>
        <w:tabs>
          <w:tab w:val="num" w:pos="2160"/>
        </w:tabs>
        <w:ind w:left="2160" w:hanging="360"/>
      </w:pPr>
      <w:rPr>
        <w:rFonts w:ascii="Wingdings" w:hAnsi="Wingdings" w:hint="default"/>
      </w:rPr>
    </w:lvl>
    <w:lvl w:ilvl="3" w:tplc="D53A9188" w:tentative="1">
      <w:start w:val="1"/>
      <w:numFmt w:val="bullet"/>
      <w:lvlText w:val=""/>
      <w:lvlJc w:val="left"/>
      <w:pPr>
        <w:tabs>
          <w:tab w:val="num" w:pos="2880"/>
        </w:tabs>
        <w:ind w:left="2880" w:hanging="360"/>
      </w:pPr>
      <w:rPr>
        <w:rFonts w:ascii="Wingdings" w:hAnsi="Wingdings" w:hint="default"/>
      </w:rPr>
    </w:lvl>
    <w:lvl w:ilvl="4" w:tplc="B8681006" w:tentative="1">
      <w:start w:val="1"/>
      <w:numFmt w:val="bullet"/>
      <w:lvlText w:val=""/>
      <w:lvlJc w:val="left"/>
      <w:pPr>
        <w:tabs>
          <w:tab w:val="num" w:pos="3600"/>
        </w:tabs>
        <w:ind w:left="3600" w:hanging="360"/>
      </w:pPr>
      <w:rPr>
        <w:rFonts w:ascii="Wingdings" w:hAnsi="Wingdings" w:hint="default"/>
      </w:rPr>
    </w:lvl>
    <w:lvl w:ilvl="5" w:tplc="F8E87A12" w:tentative="1">
      <w:start w:val="1"/>
      <w:numFmt w:val="bullet"/>
      <w:lvlText w:val=""/>
      <w:lvlJc w:val="left"/>
      <w:pPr>
        <w:tabs>
          <w:tab w:val="num" w:pos="4320"/>
        </w:tabs>
        <w:ind w:left="4320" w:hanging="360"/>
      </w:pPr>
      <w:rPr>
        <w:rFonts w:ascii="Wingdings" w:hAnsi="Wingdings" w:hint="default"/>
      </w:rPr>
    </w:lvl>
    <w:lvl w:ilvl="6" w:tplc="8348C2EC" w:tentative="1">
      <w:start w:val="1"/>
      <w:numFmt w:val="bullet"/>
      <w:lvlText w:val=""/>
      <w:lvlJc w:val="left"/>
      <w:pPr>
        <w:tabs>
          <w:tab w:val="num" w:pos="5040"/>
        </w:tabs>
        <w:ind w:left="5040" w:hanging="360"/>
      </w:pPr>
      <w:rPr>
        <w:rFonts w:ascii="Wingdings" w:hAnsi="Wingdings" w:hint="default"/>
      </w:rPr>
    </w:lvl>
    <w:lvl w:ilvl="7" w:tplc="4D367E48" w:tentative="1">
      <w:start w:val="1"/>
      <w:numFmt w:val="bullet"/>
      <w:lvlText w:val=""/>
      <w:lvlJc w:val="left"/>
      <w:pPr>
        <w:tabs>
          <w:tab w:val="num" w:pos="5760"/>
        </w:tabs>
        <w:ind w:left="5760" w:hanging="360"/>
      </w:pPr>
      <w:rPr>
        <w:rFonts w:ascii="Wingdings" w:hAnsi="Wingdings" w:hint="default"/>
      </w:rPr>
    </w:lvl>
    <w:lvl w:ilvl="8" w:tplc="2CF8A1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228FB"/>
    <w:multiLevelType w:val="hybridMultilevel"/>
    <w:tmpl w:val="8BA0EEA8"/>
    <w:lvl w:ilvl="0" w:tplc="4E381C28">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2" w15:restartNumberingAfterBreak="0">
    <w:nsid w:val="319A23A1"/>
    <w:multiLevelType w:val="hybridMultilevel"/>
    <w:tmpl w:val="D0640FF6"/>
    <w:lvl w:ilvl="0" w:tplc="430817A8">
      <w:start w:val="6"/>
      <w:numFmt w:val="decimal"/>
      <w:lvlText w:val="%1."/>
      <w:lvlJc w:val="left"/>
      <w:pPr>
        <w:ind w:left="360" w:hanging="360"/>
      </w:pPr>
      <w:rPr>
        <w:rFonts w:asciiTheme="minorHAnsi" w:hAnsiTheme="minorHAnsi" w:cstheme="minorBidi" w:hint="default"/>
        <w:b w:val="0"/>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35C1D29"/>
    <w:multiLevelType w:val="hybridMultilevel"/>
    <w:tmpl w:val="1E282C94"/>
    <w:lvl w:ilvl="0" w:tplc="0427000F">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7C6BE5"/>
    <w:multiLevelType w:val="hybridMultilevel"/>
    <w:tmpl w:val="F31285D4"/>
    <w:lvl w:ilvl="0" w:tplc="4E6037E6">
      <w:start w:val="5"/>
      <w:numFmt w:val="upperLetter"/>
      <w:lvlText w:val="%1."/>
      <w:lvlJc w:val="left"/>
      <w:pPr>
        <w:ind w:left="720" w:hanging="360"/>
      </w:pPr>
      <w:rPr>
        <w:rFonts w:eastAsiaTheme="minorHAnsi"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9C6BE4"/>
    <w:multiLevelType w:val="hybridMultilevel"/>
    <w:tmpl w:val="F5869C3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0D2839"/>
    <w:multiLevelType w:val="hybridMultilevel"/>
    <w:tmpl w:val="BED2386A"/>
    <w:lvl w:ilvl="0" w:tplc="9AAE9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E61138"/>
    <w:multiLevelType w:val="hybridMultilevel"/>
    <w:tmpl w:val="FE7ED7D2"/>
    <w:lvl w:ilvl="0" w:tplc="5B765B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79F1B87"/>
    <w:multiLevelType w:val="hybridMultilevel"/>
    <w:tmpl w:val="CDA83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484756"/>
    <w:multiLevelType w:val="hybridMultilevel"/>
    <w:tmpl w:val="77B856B8"/>
    <w:lvl w:ilvl="0" w:tplc="9E324A86">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D35ADD"/>
    <w:multiLevelType w:val="hybridMultilevel"/>
    <w:tmpl w:val="A02C21F2"/>
    <w:lvl w:ilvl="0" w:tplc="0427000F">
      <w:start w:val="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3"/>
  </w:num>
  <w:num w:numId="8">
    <w:abstractNumId w:val="10"/>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E7"/>
    <w:rsid w:val="00000CB0"/>
    <w:rsid w:val="00007CDC"/>
    <w:rsid w:val="00025E71"/>
    <w:rsid w:val="000267C3"/>
    <w:rsid w:val="0003219D"/>
    <w:rsid w:val="00034663"/>
    <w:rsid w:val="00034BA4"/>
    <w:rsid w:val="00041565"/>
    <w:rsid w:val="00064321"/>
    <w:rsid w:val="0007168D"/>
    <w:rsid w:val="0008022E"/>
    <w:rsid w:val="00082A62"/>
    <w:rsid w:val="0008626B"/>
    <w:rsid w:val="00097DB8"/>
    <w:rsid w:val="000A5EA0"/>
    <w:rsid w:val="000A7972"/>
    <w:rsid w:val="000C3FBC"/>
    <w:rsid w:val="000C58F7"/>
    <w:rsid w:val="000D1E6C"/>
    <w:rsid w:val="000D25A3"/>
    <w:rsid w:val="000D2F5B"/>
    <w:rsid w:val="000E7557"/>
    <w:rsid w:val="000F1971"/>
    <w:rsid w:val="000F76CC"/>
    <w:rsid w:val="00106649"/>
    <w:rsid w:val="00116737"/>
    <w:rsid w:val="001169EB"/>
    <w:rsid w:val="001268E0"/>
    <w:rsid w:val="001336A2"/>
    <w:rsid w:val="00141D32"/>
    <w:rsid w:val="00144533"/>
    <w:rsid w:val="00144BFA"/>
    <w:rsid w:val="00154252"/>
    <w:rsid w:val="00161D89"/>
    <w:rsid w:val="00163A2B"/>
    <w:rsid w:val="00174A21"/>
    <w:rsid w:val="001761E1"/>
    <w:rsid w:val="001853BB"/>
    <w:rsid w:val="00186246"/>
    <w:rsid w:val="001864B4"/>
    <w:rsid w:val="00190728"/>
    <w:rsid w:val="00190E55"/>
    <w:rsid w:val="001A3521"/>
    <w:rsid w:val="001A6EA8"/>
    <w:rsid w:val="001B32DC"/>
    <w:rsid w:val="001B3851"/>
    <w:rsid w:val="001B3941"/>
    <w:rsid w:val="001B6972"/>
    <w:rsid w:val="001C26DC"/>
    <w:rsid w:val="001C333E"/>
    <w:rsid w:val="001D51D4"/>
    <w:rsid w:val="001D7712"/>
    <w:rsid w:val="001D7D42"/>
    <w:rsid w:val="001E25DA"/>
    <w:rsid w:val="001E6197"/>
    <w:rsid w:val="001E783D"/>
    <w:rsid w:val="001F08ED"/>
    <w:rsid w:val="002034BE"/>
    <w:rsid w:val="00207363"/>
    <w:rsid w:val="002218E7"/>
    <w:rsid w:val="0022227A"/>
    <w:rsid w:val="002313F3"/>
    <w:rsid w:val="00233CA0"/>
    <w:rsid w:val="00235D5F"/>
    <w:rsid w:val="002401D2"/>
    <w:rsid w:val="0024256F"/>
    <w:rsid w:val="002430F3"/>
    <w:rsid w:val="002478A1"/>
    <w:rsid w:val="002537EF"/>
    <w:rsid w:val="002549F9"/>
    <w:rsid w:val="00262B33"/>
    <w:rsid w:val="00274280"/>
    <w:rsid w:val="002824FA"/>
    <w:rsid w:val="00294FCE"/>
    <w:rsid w:val="002A0C0D"/>
    <w:rsid w:val="002A5641"/>
    <w:rsid w:val="002B17B6"/>
    <w:rsid w:val="002C09A0"/>
    <w:rsid w:val="002C2009"/>
    <w:rsid w:val="002C2AD2"/>
    <w:rsid w:val="002D65E0"/>
    <w:rsid w:val="002D6817"/>
    <w:rsid w:val="002E3B17"/>
    <w:rsid w:val="002E4852"/>
    <w:rsid w:val="002F1591"/>
    <w:rsid w:val="003045A4"/>
    <w:rsid w:val="003053A2"/>
    <w:rsid w:val="003053B3"/>
    <w:rsid w:val="003102C3"/>
    <w:rsid w:val="0031057C"/>
    <w:rsid w:val="00310CEC"/>
    <w:rsid w:val="00310FE3"/>
    <w:rsid w:val="0031323B"/>
    <w:rsid w:val="00317FBA"/>
    <w:rsid w:val="00322C4F"/>
    <w:rsid w:val="003270AA"/>
    <w:rsid w:val="00333E04"/>
    <w:rsid w:val="00347125"/>
    <w:rsid w:val="00350DF5"/>
    <w:rsid w:val="00351912"/>
    <w:rsid w:val="003526B5"/>
    <w:rsid w:val="00357FC2"/>
    <w:rsid w:val="003623E0"/>
    <w:rsid w:val="0036408D"/>
    <w:rsid w:val="00366778"/>
    <w:rsid w:val="00367EBE"/>
    <w:rsid w:val="00370C84"/>
    <w:rsid w:val="003760A7"/>
    <w:rsid w:val="00381F95"/>
    <w:rsid w:val="00384DA6"/>
    <w:rsid w:val="00394327"/>
    <w:rsid w:val="003A6FE4"/>
    <w:rsid w:val="003B35C0"/>
    <w:rsid w:val="003B3778"/>
    <w:rsid w:val="003B7714"/>
    <w:rsid w:val="003D2CAF"/>
    <w:rsid w:val="003D33B4"/>
    <w:rsid w:val="003E236A"/>
    <w:rsid w:val="003E5014"/>
    <w:rsid w:val="00400E2F"/>
    <w:rsid w:val="0040661B"/>
    <w:rsid w:val="00415150"/>
    <w:rsid w:val="004229B9"/>
    <w:rsid w:val="00422F59"/>
    <w:rsid w:val="004250CF"/>
    <w:rsid w:val="0043220C"/>
    <w:rsid w:val="00441324"/>
    <w:rsid w:val="00442156"/>
    <w:rsid w:val="00444E7B"/>
    <w:rsid w:val="00456A61"/>
    <w:rsid w:val="00462CBE"/>
    <w:rsid w:val="00463C2A"/>
    <w:rsid w:val="00465013"/>
    <w:rsid w:val="00475889"/>
    <w:rsid w:val="00494355"/>
    <w:rsid w:val="0049701E"/>
    <w:rsid w:val="004A0DF6"/>
    <w:rsid w:val="004A3284"/>
    <w:rsid w:val="004A3894"/>
    <w:rsid w:val="004B6DE1"/>
    <w:rsid w:val="004C7623"/>
    <w:rsid w:val="004C779A"/>
    <w:rsid w:val="004D3415"/>
    <w:rsid w:val="004D5E46"/>
    <w:rsid w:val="004D7827"/>
    <w:rsid w:val="004E2C1A"/>
    <w:rsid w:val="004E59E2"/>
    <w:rsid w:val="004E7436"/>
    <w:rsid w:val="004E7AEE"/>
    <w:rsid w:val="005011B7"/>
    <w:rsid w:val="00502813"/>
    <w:rsid w:val="005059D0"/>
    <w:rsid w:val="005111FB"/>
    <w:rsid w:val="00512A41"/>
    <w:rsid w:val="005133AE"/>
    <w:rsid w:val="005259F2"/>
    <w:rsid w:val="00532C1B"/>
    <w:rsid w:val="0054781F"/>
    <w:rsid w:val="005556BD"/>
    <w:rsid w:val="0056075F"/>
    <w:rsid w:val="0056097E"/>
    <w:rsid w:val="005617FB"/>
    <w:rsid w:val="00562DF1"/>
    <w:rsid w:val="00585D44"/>
    <w:rsid w:val="00586B5D"/>
    <w:rsid w:val="005873F4"/>
    <w:rsid w:val="005934B2"/>
    <w:rsid w:val="005A1813"/>
    <w:rsid w:val="005A2396"/>
    <w:rsid w:val="005B6925"/>
    <w:rsid w:val="005D243A"/>
    <w:rsid w:val="005D27DA"/>
    <w:rsid w:val="005E1C46"/>
    <w:rsid w:val="005E5192"/>
    <w:rsid w:val="005E5DBF"/>
    <w:rsid w:val="005E7180"/>
    <w:rsid w:val="005E74A8"/>
    <w:rsid w:val="005F5AF7"/>
    <w:rsid w:val="005F622B"/>
    <w:rsid w:val="00604CD5"/>
    <w:rsid w:val="00606DAF"/>
    <w:rsid w:val="00610CA3"/>
    <w:rsid w:val="00611F1E"/>
    <w:rsid w:val="006128D4"/>
    <w:rsid w:val="00613209"/>
    <w:rsid w:val="00615C92"/>
    <w:rsid w:val="006207EF"/>
    <w:rsid w:val="00624CBB"/>
    <w:rsid w:val="00643110"/>
    <w:rsid w:val="00644B81"/>
    <w:rsid w:val="00653FE0"/>
    <w:rsid w:val="00661890"/>
    <w:rsid w:val="0067488C"/>
    <w:rsid w:val="00680413"/>
    <w:rsid w:val="006838A1"/>
    <w:rsid w:val="00685B58"/>
    <w:rsid w:val="00693F0B"/>
    <w:rsid w:val="006958C0"/>
    <w:rsid w:val="006A0A62"/>
    <w:rsid w:val="006A33A6"/>
    <w:rsid w:val="006A425F"/>
    <w:rsid w:val="006B01D8"/>
    <w:rsid w:val="006B2607"/>
    <w:rsid w:val="006B6F8A"/>
    <w:rsid w:val="006C22C7"/>
    <w:rsid w:val="006C4044"/>
    <w:rsid w:val="006C7DD4"/>
    <w:rsid w:val="006D269A"/>
    <w:rsid w:val="006D56A1"/>
    <w:rsid w:val="006D5C81"/>
    <w:rsid w:val="006D5D02"/>
    <w:rsid w:val="006E6344"/>
    <w:rsid w:val="006E6E16"/>
    <w:rsid w:val="006F00EA"/>
    <w:rsid w:val="006F3055"/>
    <w:rsid w:val="006F5EF6"/>
    <w:rsid w:val="00701C0C"/>
    <w:rsid w:val="00702674"/>
    <w:rsid w:val="00707641"/>
    <w:rsid w:val="00707702"/>
    <w:rsid w:val="00716174"/>
    <w:rsid w:val="007173B7"/>
    <w:rsid w:val="00733E53"/>
    <w:rsid w:val="00733E7D"/>
    <w:rsid w:val="0075182F"/>
    <w:rsid w:val="00753069"/>
    <w:rsid w:val="007618CF"/>
    <w:rsid w:val="007665BF"/>
    <w:rsid w:val="00772B81"/>
    <w:rsid w:val="00780A9E"/>
    <w:rsid w:val="0078528C"/>
    <w:rsid w:val="00793D55"/>
    <w:rsid w:val="00797197"/>
    <w:rsid w:val="007A2255"/>
    <w:rsid w:val="007A23E6"/>
    <w:rsid w:val="007A4396"/>
    <w:rsid w:val="007A5E75"/>
    <w:rsid w:val="007B04B0"/>
    <w:rsid w:val="007B0DFB"/>
    <w:rsid w:val="007B1A39"/>
    <w:rsid w:val="007B320C"/>
    <w:rsid w:val="007B5380"/>
    <w:rsid w:val="007D0AFB"/>
    <w:rsid w:val="007D29A8"/>
    <w:rsid w:val="007D4CAA"/>
    <w:rsid w:val="007D4F15"/>
    <w:rsid w:val="007E2902"/>
    <w:rsid w:val="007E683C"/>
    <w:rsid w:val="00810E7C"/>
    <w:rsid w:val="008115AF"/>
    <w:rsid w:val="0081601D"/>
    <w:rsid w:val="008208D7"/>
    <w:rsid w:val="00832493"/>
    <w:rsid w:val="00840C25"/>
    <w:rsid w:val="00841EA1"/>
    <w:rsid w:val="008466EC"/>
    <w:rsid w:val="00850325"/>
    <w:rsid w:val="00853882"/>
    <w:rsid w:val="00857418"/>
    <w:rsid w:val="00861F0C"/>
    <w:rsid w:val="0086743B"/>
    <w:rsid w:val="00872887"/>
    <w:rsid w:val="0087313D"/>
    <w:rsid w:val="00875771"/>
    <w:rsid w:val="0087614B"/>
    <w:rsid w:val="008827D2"/>
    <w:rsid w:val="00883C56"/>
    <w:rsid w:val="00887A16"/>
    <w:rsid w:val="008902CC"/>
    <w:rsid w:val="00891299"/>
    <w:rsid w:val="008B59CC"/>
    <w:rsid w:val="008C1429"/>
    <w:rsid w:val="008C1FF2"/>
    <w:rsid w:val="008C44AA"/>
    <w:rsid w:val="008C5640"/>
    <w:rsid w:val="008C59DB"/>
    <w:rsid w:val="008D1805"/>
    <w:rsid w:val="008D5822"/>
    <w:rsid w:val="008E0288"/>
    <w:rsid w:val="008F585A"/>
    <w:rsid w:val="009024F0"/>
    <w:rsid w:val="00903E7B"/>
    <w:rsid w:val="009057D3"/>
    <w:rsid w:val="00905D9E"/>
    <w:rsid w:val="0090744C"/>
    <w:rsid w:val="00916E96"/>
    <w:rsid w:val="009172A5"/>
    <w:rsid w:val="00920755"/>
    <w:rsid w:val="00925A7D"/>
    <w:rsid w:val="0093261B"/>
    <w:rsid w:val="00933786"/>
    <w:rsid w:val="00936330"/>
    <w:rsid w:val="00941258"/>
    <w:rsid w:val="009516B2"/>
    <w:rsid w:val="009569DB"/>
    <w:rsid w:val="009569E8"/>
    <w:rsid w:val="0096638F"/>
    <w:rsid w:val="00967F23"/>
    <w:rsid w:val="00977A58"/>
    <w:rsid w:val="00986D32"/>
    <w:rsid w:val="009942DE"/>
    <w:rsid w:val="009A0E78"/>
    <w:rsid w:val="009A1635"/>
    <w:rsid w:val="009A4519"/>
    <w:rsid w:val="009A5700"/>
    <w:rsid w:val="009A599D"/>
    <w:rsid w:val="009B29B7"/>
    <w:rsid w:val="009B6720"/>
    <w:rsid w:val="009B6D07"/>
    <w:rsid w:val="009C4490"/>
    <w:rsid w:val="009D5805"/>
    <w:rsid w:val="009D794D"/>
    <w:rsid w:val="009F19F5"/>
    <w:rsid w:val="009F7B59"/>
    <w:rsid w:val="00A00D00"/>
    <w:rsid w:val="00A02DAD"/>
    <w:rsid w:val="00A12617"/>
    <w:rsid w:val="00A1322C"/>
    <w:rsid w:val="00A151A8"/>
    <w:rsid w:val="00A16158"/>
    <w:rsid w:val="00A322DB"/>
    <w:rsid w:val="00A35711"/>
    <w:rsid w:val="00A36E16"/>
    <w:rsid w:val="00A40FB8"/>
    <w:rsid w:val="00A43245"/>
    <w:rsid w:val="00A44C45"/>
    <w:rsid w:val="00A5161C"/>
    <w:rsid w:val="00A5738E"/>
    <w:rsid w:val="00A635C5"/>
    <w:rsid w:val="00A63D54"/>
    <w:rsid w:val="00A6401C"/>
    <w:rsid w:val="00A74BE7"/>
    <w:rsid w:val="00A76B3F"/>
    <w:rsid w:val="00A826D8"/>
    <w:rsid w:val="00A830F1"/>
    <w:rsid w:val="00A832CF"/>
    <w:rsid w:val="00A83947"/>
    <w:rsid w:val="00A91FF5"/>
    <w:rsid w:val="00A97AA2"/>
    <w:rsid w:val="00AA317F"/>
    <w:rsid w:val="00AA4E05"/>
    <w:rsid w:val="00AA6D1A"/>
    <w:rsid w:val="00AC2EE6"/>
    <w:rsid w:val="00AE1309"/>
    <w:rsid w:val="00AE23AC"/>
    <w:rsid w:val="00AE7B02"/>
    <w:rsid w:val="00AF4672"/>
    <w:rsid w:val="00AF55B8"/>
    <w:rsid w:val="00B00CB4"/>
    <w:rsid w:val="00B064D8"/>
    <w:rsid w:val="00B11DC9"/>
    <w:rsid w:val="00B15150"/>
    <w:rsid w:val="00B15428"/>
    <w:rsid w:val="00B15DA4"/>
    <w:rsid w:val="00B22DCB"/>
    <w:rsid w:val="00B336D7"/>
    <w:rsid w:val="00B35391"/>
    <w:rsid w:val="00B36EEE"/>
    <w:rsid w:val="00B37C4B"/>
    <w:rsid w:val="00B44FBD"/>
    <w:rsid w:val="00B6127D"/>
    <w:rsid w:val="00B716E5"/>
    <w:rsid w:val="00B762B3"/>
    <w:rsid w:val="00B80F53"/>
    <w:rsid w:val="00B82E84"/>
    <w:rsid w:val="00B8695D"/>
    <w:rsid w:val="00B86F97"/>
    <w:rsid w:val="00B94AA2"/>
    <w:rsid w:val="00B95B44"/>
    <w:rsid w:val="00BA006B"/>
    <w:rsid w:val="00BA434D"/>
    <w:rsid w:val="00BA6A38"/>
    <w:rsid w:val="00BB7919"/>
    <w:rsid w:val="00BC1394"/>
    <w:rsid w:val="00BC341A"/>
    <w:rsid w:val="00BC54C6"/>
    <w:rsid w:val="00BC64B8"/>
    <w:rsid w:val="00BC6CB1"/>
    <w:rsid w:val="00BD3106"/>
    <w:rsid w:val="00BD546B"/>
    <w:rsid w:val="00BE412D"/>
    <w:rsid w:val="00BE5D94"/>
    <w:rsid w:val="00BE6B69"/>
    <w:rsid w:val="00BF1471"/>
    <w:rsid w:val="00C07E02"/>
    <w:rsid w:val="00C27B29"/>
    <w:rsid w:val="00C318EB"/>
    <w:rsid w:val="00C4187C"/>
    <w:rsid w:val="00C51920"/>
    <w:rsid w:val="00C608B0"/>
    <w:rsid w:val="00C611BD"/>
    <w:rsid w:val="00C654E3"/>
    <w:rsid w:val="00C66337"/>
    <w:rsid w:val="00C67521"/>
    <w:rsid w:val="00C722C1"/>
    <w:rsid w:val="00CA332B"/>
    <w:rsid w:val="00CA37B8"/>
    <w:rsid w:val="00CA4BFA"/>
    <w:rsid w:val="00CB00F3"/>
    <w:rsid w:val="00CB2EAB"/>
    <w:rsid w:val="00CD6353"/>
    <w:rsid w:val="00CD7E21"/>
    <w:rsid w:val="00CE117E"/>
    <w:rsid w:val="00CE37CC"/>
    <w:rsid w:val="00CE3F9B"/>
    <w:rsid w:val="00CE4CE2"/>
    <w:rsid w:val="00CF059A"/>
    <w:rsid w:val="00CF0A51"/>
    <w:rsid w:val="00CF0DE0"/>
    <w:rsid w:val="00CF3752"/>
    <w:rsid w:val="00CF38F5"/>
    <w:rsid w:val="00CF53E6"/>
    <w:rsid w:val="00CF5D3A"/>
    <w:rsid w:val="00D01426"/>
    <w:rsid w:val="00D0342E"/>
    <w:rsid w:val="00D068AA"/>
    <w:rsid w:val="00D12E30"/>
    <w:rsid w:val="00D13480"/>
    <w:rsid w:val="00D143B1"/>
    <w:rsid w:val="00D2371D"/>
    <w:rsid w:val="00D26608"/>
    <w:rsid w:val="00D32D6C"/>
    <w:rsid w:val="00D35844"/>
    <w:rsid w:val="00D40DF8"/>
    <w:rsid w:val="00D43405"/>
    <w:rsid w:val="00D4615D"/>
    <w:rsid w:val="00D46AA3"/>
    <w:rsid w:val="00D479E1"/>
    <w:rsid w:val="00D5003A"/>
    <w:rsid w:val="00D51195"/>
    <w:rsid w:val="00D55A9F"/>
    <w:rsid w:val="00D71CD7"/>
    <w:rsid w:val="00D71FF5"/>
    <w:rsid w:val="00D75536"/>
    <w:rsid w:val="00D84526"/>
    <w:rsid w:val="00D86FC1"/>
    <w:rsid w:val="00D90E29"/>
    <w:rsid w:val="00D9635A"/>
    <w:rsid w:val="00D97D86"/>
    <w:rsid w:val="00DB52AC"/>
    <w:rsid w:val="00DC045F"/>
    <w:rsid w:val="00DC1E33"/>
    <w:rsid w:val="00DD551E"/>
    <w:rsid w:val="00DD5EAA"/>
    <w:rsid w:val="00DE3287"/>
    <w:rsid w:val="00DF50E0"/>
    <w:rsid w:val="00DF6743"/>
    <w:rsid w:val="00DF6EA6"/>
    <w:rsid w:val="00E12514"/>
    <w:rsid w:val="00E2047F"/>
    <w:rsid w:val="00E20951"/>
    <w:rsid w:val="00E216E6"/>
    <w:rsid w:val="00E23C2B"/>
    <w:rsid w:val="00E27FB6"/>
    <w:rsid w:val="00E3497E"/>
    <w:rsid w:val="00E40324"/>
    <w:rsid w:val="00E42DAC"/>
    <w:rsid w:val="00E46CC5"/>
    <w:rsid w:val="00E50764"/>
    <w:rsid w:val="00E55326"/>
    <w:rsid w:val="00E55EC8"/>
    <w:rsid w:val="00E618F9"/>
    <w:rsid w:val="00E641E9"/>
    <w:rsid w:val="00E64D89"/>
    <w:rsid w:val="00E65EDD"/>
    <w:rsid w:val="00E66607"/>
    <w:rsid w:val="00E741F6"/>
    <w:rsid w:val="00E83027"/>
    <w:rsid w:val="00E835DB"/>
    <w:rsid w:val="00E8451A"/>
    <w:rsid w:val="00EA60DB"/>
    <w:rsid w:val="00EA660A"/>
    <w:rsid w:val="00EB4DD3"/>
    <w:rsid w:val="00EB678A"/>
    <w:rsid w:val="00EC19AD"/>
    <w:rsid w:val="00EC30E7"/>
    <w:rsid w:val="00EC52E3"/>
    <w:rsid w:val="00ED0727"/>
    <w:rsid w:val="00ED7CC7"/>
    <w:rsid w:val="00EE4431"/>
    <w:rsid w:val="00EE5E8F"/>
    <w:rsid w:val="00EE62AB"/>
    <w:rsid w:val="00EF1E05"/>
    <w:rsid w:val="00EF5361"/>
    <w:rsid w:val="00F212E7"/>
    <w:rsid w:val="00F25E87"/>
    <w:rsid w:val="00F25EFF"/>
    <w:rsid w:val="00F4191F"/>
    <w:rsid w:val="00F44389"/>
    <w:rsid w:val="00F50E81"/>
    <w:rsid w:val="00F516D0"/>
    <w:rsid w:val="00F649A9"/>
    <w:rsid w:val="00F64AEC"/>
    <w:rsid w:val="00F65614"/>
    <w:rsid w:val="00F660CF"/>
    <w:rsid w:val="00F73FA1"/>
    <w:rsid w:val="00F857C1"/>
    <w:rsid w:val="00FB5CDD"/>
    <w:rsid w:val="00FB692A"/>
    <w:rsid w:val="00FC49EE"/>
    <w:rsid w:val="00FC5AF0"/>
    <w:rsid w:val="00FD4642"/>
    <w:rsid w:val="00FE38A7"/>
    <w:rsid w:val="00FE6A1F"/>
    <w:rsid w:val="00FF1DB7"/>
    <w:rsid w:val="00FF6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9B1E"/>
  <w15:chartTrackingRefBased/>
  <w15:docId w15:val="{7D77541B-E583-489D-85A3-B0099DBB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4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9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C44AA"/>
    <w:pPr>
      <w:widowControl w:val="0"/>
      <w:suppressAutoHyphens/>
      <w:spacing w:after="0" w:line="240" w:lineRule="auto"/>
      <w:ind w:left="720"/>
      <w:contextualSpacing/>
    </w:pPr>
    <w:rPr>
      <w:rFonts w:ascii="Times New Roman" w:eastAsia="Andale Sans UI" w:hAnsi="Times New Roman" w:cs="Tahoma"/>
      <w:sz w:val="24"/>
      <w:szCs w:val="24"/>
      <w:lang w:bidi="en-US"/>
    </w:rPr>
  </w:style>
  <w:style w:type="character" w:customStyle="1" w:styleId="normaltextrun">
    <w:name w:val="normaltextrun"/>
    <w:basedOn w:val="Numatytasispastraiposriftas"/>
    <w:rsid w:val="00CE4CE2"/>
  </w:style>
  <w:style w:type="paragraph" w:styleId="Puslapioinaostekstas">
    <w:name w:val="footnote text"/>
    <w:basedOn w:val="prastasis"/>
    <w:link w:val="PuslapioinaostekstasDiagrama"/>
    <w:uiPriority w:val="99"/>
    <w:unhideWhenUsed/>
    <w:rsid w:val="00CE4CE2"/>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E4C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CE4CE2"/>
    <w:rPr>
      <w:vertAlign w:val="superscript"/>
    </w:rPr>
  </w:style>
  <w:style w:type="paragraph" w:customStyle="1" w:styleId="paragraph">
    <w:name w:val="paragraph"/>
    <w:basedOn w:val="prastasis"/>
    <w:rsid w:val="00CE4CE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nhideWhenUsed/>
    <w:rsid w:val="005934B2"/>
    <w:pPr>
      <w:spacing w:after="200"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5934B2"/>
    <w:rPr>
      <w:rFonts w:ascii="Calibri" w:eastAsia="Calibri" w:hAnsi="Calibri" w:cs="Times New Roman"/>
      <w:sz w:val="20"/>
      <w:szCs w:val="20"/>
    </w:rPr>
  </w:style>
  <w:style w:type="character" w:styleId="Hipersaitas">
    <w:name w:val="Hyperlink"/>
    <w:uiPriority w:val="99"/>
    <w:unhideWhenUsed/>
    <w:rsid w:val="00367EBE"/>
    <w:rPr>
      <w:strike w:val="0"/>
      <w:dstrike w:val="0"/>
      <w:color w:val="000055"/>
      <w:u w:val="none"/>
      <w:effect w:val="none"/>
    </w:rPr>
  </w:style>
  <w:style w:type="paragraph" w:styleId="Pagrindinistekstas">
    <w:name w:val="Body Text"/>
    <w:basedOn w:val="prastasis"/>
    <w:link w:val="PagrindinistekstasDiagrama"/>
    <w:uiPriority w:val="99"/>
    <w:unhideWhenUsed/>
    <w:rsid w:val="00367EBE"/>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uiPriority w:val="99"/>
    <w:rsid w:val="00367EBE"/>
    <w:rPr>
      <w:rFonts w:ascii="Times New Roman" w:eastAsia="Times New Roman" w:hAnsi="Times New Roman" w:cs="Times New Roman"/>
      <w:sz w:val="24"/>
      <w:szCs w:val="24"/>
      <w:lang w:val="en-US"/>
    </w:rPr>
  </w:style>
  <w:style w:type="paragraph" w:customStyle="1" w:styleId="default">
    <w:name w:val="default"/>
    <w:basedOn w:val="prastasis"/>
    <w:rsid w:val="001D51D4"/>
    <w:pPr>
      <w:spacing w:before="100" w:beforeAutospacing="1" w:after="100" w:afterAutospacing="1" w:line="240" w:lineRule="auto"/>
    </w:pPr>
    <w:rPr>
      <w:rFonts w:ascii="Calibri" w:hAnsi="Calibri" w:cs="Calibri"/>
      <w:lang w:eastAsia="lt-LT"/>
    </w:rPr>
  </w:style>
  <w:style w:type="paragraph" w:styleId="Antrats">
    <w:name w:val="header"/>
    <w:basedOn w:val="prastasis"/>
    <w:link w:val="AntratsDiagrama"/>
    <w:uiPriority w:val="99"/>
    <w:unhideWhenUsed/>
    <w:rsid w:val="001D51D4"/>
    <w:pPr>
      <w:tabs>
        <w:tab w:val="center" w:pos="4819"/>
        <w:tab w:val="right" w:pos="9638"/>
      </w:tabs>
      <w:spacing w:after="0" w:line="240" w:lineRule="auto"/>
    </w:pPr>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link w:val="Antrats"/>
    <w:uiPriority w:val="99"/>
    <w:rsid w:val="001D51D4"/>
    <w:rPr>
      <w:rFonts w:ascii="Times New Roman" w:eastAsia="Times New Roman" w:hAnsi="Times New Roman" w:cs="Times New Roman"/>
      <w:sz w:val="24"/>
      <w:szCs w:val="24"/>
      <w:lang w:val="en-US"/>
    </w:rPr>
  </w:style>
  <w:style w:type="paragraph" w:styleId="Pagrindinistekstas3">
    <w:name w:val="Body Text 3"/>
    <w:basedOn w:val="prastasis"/>
    <w:link w:val="Pagrindinistekstas3Diagrama"/>
    <w:uiPriority w:val="99"/>
    <w:unhideWhenUsed/>
    <w:rsid w:val="00B15DA4"/>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B15DA4"/>
    <w:rPr>
      <w:sz w:val="16"/>
      <w:szCs w:val="16"/>
    </w:rPr>
  </w:style>
  <w:style w:type="paragraph" w:styleId="Porat">
    <w:name w:val="footer"/>
    <w:basedOn w:val="prastasis"/>
    <w:link w:val="PoratDiagrama"/>
    <w:uiPriority w:val="99"/>
    <w:unhideWhenUsed/>
    <w:rsid w:val="007E683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E683C"/>
  </w:style>
  <w:style w:type="character" w:styleId="Komentaronuoroda">
    <w:name w:val="annotation reference"/>
    <w:basedOn w:val="Numatytasispastraiposriftas"/>
    <w:rsid w:val="003E236A"/>
    <w:rPr>
      <w:sz w:val="16"/>
      <w:szCs w:val="16"/>
    </w:rPr>
  </w:style>
  <w:style w:type="paragraph" w:styleId="Komentarotema">
    <w:name w:val="annotation subject"/>
    <w:basedOn w:val="Komentarotekstas"/>
    <w:next w:val="Komentarotekstas"/>
    <w:link w:val="KomentarotemaDiagrama"/>
    <w:uiPriority w:val="99"/>
    <w:semiHidden/>
    <w:unhideWhenUsed/>
    <w:rsid w:val="008D5822"/>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D5822"/>
    <w:rPr>
      <w:rFonts w:ascii="Calibri" w:eastAsia="Calibri" w:hAnsi="Calibri" w:cs="Times New Roman"/>
      <w:b/>
      <w:bCs/>
      <w:sz w:val="20"/>
      <w:szCs w:val="20"/>
    </w:rPr>
  </w:style>
  <w:style w:type="character" w:styleId="Neapdorotaspaminjimas">
    <w:name w:val="Unresolved Mention"/>
    <w:basedOn w:val="Numatytasispastraiposriftas"/>
    <w:uiPriority w:val="99"/>
    <w:semiHidden/>
    <w:unhideWhenUsed/>
    <w:rsid w:val="006B6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6769">
      <w:bodyDiv w:val="1"/>
      <w:marLeft w:val="0"/>
      <w:marRight w:val="0"/>
      <w:marTop w:val="0"/>
      <w:marBottom w:val="0"/>
      <w:divBdr>
        <w:top w:val="none" w:sz="0" w:space="0" w:color="auto"/>
        <w:left w:val="none" w:sz="0" w:space="0" w:color="auto"/>
        <w:bottom w:val="none" w:sz="0" w:space="0" w:color="auto"/>
        <w:right w:val="none" w:sz="0" w:space="0" w:color="auto"/>
      </w:divBdr>
      <w:divsChild>
        <w:div w:id="1413968196">
          <w:marLeft w:val="0"/>
          <w:marRight w:val="0"/>
          <w:marTop w:val="0"/>
          <w:marBottom w:val="0"/>
          <w:divBdr>
            <w:top w:val="none" w:sz="0" w:space="0" w:color="auto"/>
            <w:left w:val="none" w:sz="0" w:space="0" w:color="auto"/>
            <w:bottom w:val="none" w:sz="0" w:space="0" w:color="auto"/>
            <w:right w:val="none" w:sz="0" w:space="0" w:color="auto"/>
          </w:divBdr>
          <w:divsChild>
            <w:div w:id="2242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8254">
      <w:bodyDiv w:val="1"/>
      <w:marLeft w:val="0"/>
      <w:marRight w:val="0"/>
      <w:marTop w:val="0"/>
      <w:marBottom w:val="0"/>
      <w:divBdr>
        <w:top w:val="none" w:sz="0" w:space="0" w:color="auto"/>
        <w:left w:val="none" w:sz="0" w:space="0" w:color="auto"/>
        <w:bottom w:val="none" w:sz="0" w:space="0" w:color="auto"/>
        <w:right w:val="none" w:sz="0" w:space="0" w:color="auto"/>
      </w:divBdr>
    </w:div>
    <w:div w:id="425074419">
      <w:bodyDiv w:val="1"/>
      <w:marLeft w:val="0"/>
      <w:marRight w:val="0"/>
      <w:marTop w:val="0"/>
      <w:marBottom w:val="0"/>
      <w:divBdr>
        <w:top w:val="none" w:sz="0" w:space="0" w:color="auto"/>
        <w:left w:val="none" w:sz="0" w:space="0" w:color="auto"/>
        <w:bottom w:val="none" w:sz="0" w:space="0" w:color="auto"/>
        <w:right w:val="none" w:sz="0" w:space="0" w:color="auto"/>
      </w:divBdr>
      <w:divsChild>
        <w:div w:id="818377261">
          <w:marLeft w:val="0"/>
          <w:marRight w:val="0"/>
          <w:marTop w:val="0"/>
          <w:marBottom w:val="0"/>
          <w:divBdr>
            <w:top w:val="none" w:sz="0" w:space="0" w:color="auto"/>
            <w:left w:val="none" w:sz="0" w:space="0" w:color="auto"/>
            <w:bottom w:val="none" w:sz="0" w:space="0" w:color="auto"/>
            <w:right w:val="none" w:sz="0" w:space="0" w:color="auto"/>
          </w:divBdr>
          <w:divsChild>
            <w:div w:id="8602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7443">
      <w:bodyDiv w:val="1"/>
      <w:marLeft w:val="0"/>
      <w:marRight w:val="0"/>
      <w:marTop w:val="0"/>
      <w:marBottom w:val="0"/>
      <w:divBdr>
        <w:top w:val="none" w:sz="0" w:space="0" w:color="auto"/>
        <w:left w:val="none" w:sz="0" w:space="0" w:color="auto"/>
        <w:bottom w:val="none" w:sz="0" w:space="0" w:color="auto"/>
        <w:right w:val="none" w:sz="0" w:space="0" w:color="auto"/>
      </w:divBdr>
    </w:div>
    <w:div w:id="781608724">
      <w:bodyDiv w:val="1"/>
      <w:marLeft w:val="0"/>
      <w:marRight w:val="0"/>
      <w:marTop w:val="0"/>
      <w:marBottom w:val="0"/>
      <w:divBdr>
        <w:top w:val="none" w:sz="0" w:space="0" w:color="auto"/>
        <w:left w:val="none" w:sz="0" w:space="0" w:color="auto"/>
        <w:bottom w:val="none" w:sz="0" w:space="0" w:color="auto"/>
        <w:right w:val="none" w:sz="0" w:space="0" w:color="auto"/>
      </w:divBdr>
    </w:div>
    <w:div w:id="824317868">
      <w:bodyDiv w:val="1"/>
      <w:marLeft w:val="0"/>
      <w:marRight w:val="0"/>
      <w:marTop w:val="0"/>
      <w:marBottom w:val="0"/>
      <w:divBdr>
        <w:top w:val="none" w:sz="0" w:space="0" w:color="auto"/>
        <w:left w:val="none" w:sz="0" w:space="0" w:color="auto"/>
        <w:bottom w:val="none" w:sz="0" w:space="0" w:color="auto"/>
        <w:right w:val="none" w:sz="0" w:space="0" w:color="auto"/>
      </w:divBdr>
    </w:div>
    <w:div w:id="980815565">
      <w:bodyDiv w:val="1"/>
      <w:marLeft w:val="0"/>
      <w:marRight w:val="0"/>
      <w:marTop w:val="0"/>
      <w:marBottom w:val="0"/>
      <w:divBdr>
        <w:top w:val="none" w:sz="0" w:space="0" w:color="auto"/>
        <w:left w:val="none" w:sz="0" w:space="0" w:color="auto"/>
        <w:bottom w:val="none" w:sz="0" w:space="0" w:color="auto"/>
        <w:right w:val="none" w:sz="0" w:space="0" w:color="auto"/>
      </w:divBdr>
      <w:divsChild>
        <w:div w:id="890578352">
          <w:marLeft w:val="0"/>
          <w:marRight w:val="0"/>
          <w:marTop w:val="0"/>
          <w:marBottom w:val="0"/>
          <w:divBdr>
            <w:top w:val="none" w:sz="0" w:space="0" w:color="auto"/>
            <w:left w:val="none" w:sz="0" w:space="0" w:color="auto"/>
            <w:bottom w:val="none" w:sz="0" w:space="0" w:color="auto"/>
            <w:right w:val="none" w:sz="0" w:space="0" w:color="auto"/>
          </w:divBdr>
          <w:divsChild>
            <w:div w:id="15928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3348">
      <w:bodyDiv w:val="1"/>
      <w:marLeft w:val="0"/>
      <w:marRight w:val="0"/>
      <w:marTop w:val="0"/>
      <w:marBottom w:val="0"/>
      <w:divBdr>
        <w:top w:val="none" w:sz="0" w:space="0" w:color="auto"/>
        <w:left w:val="none" w:sz="0" w:space="0" w:color="auto"/>
        <w:bottom w:val="none" w:sz="0" w:space="0" w:color="auto"/>
        <w:right w:val="none" w:sz="0" w:space="0" w:color="auto"/>
      </w:divBdr>
      <w:divsChild>
        <w:div w:id="711922124">
          <w:marLeft w:val="547"/>
          <w:marRight w:val="0"/>
          <w:marTop w:val="86"/>
          <w:marBottom w:val="0"/>
          <w:divBdr>
            <w:top w:val="none" w:sz="0" w:space="0" w:color="auto"/>
            <w:left w:val="none" w:sz="0" w:space="0" w:color="auto"/>
            <w:bottom w:val="none" w:sz="0" w:space="0" w:color="auto"/>
            <w:right w:val="none" w:sz="0" w:space="0" w:color="auto"/>
          </w:divBdr>
        </w:div>
      </w:divsChild>
    </w:div>
    <w:div w:id="1191139010">
      <w:bodyDiv w:val="1"/>
      <w:marLeft w:val="0"/>
      <w:marRight w:val="0"/>
      <w:marTop w:val="0"/>
      <w:marBottom w:val="0"/>
      <w:divBdr>
        <w:top w:val="none" w:sz="0" w:space="0" w:color="auto"/>
        <w:left w:val="none" w:sz="0" w:space="0" w:color="auto"/>
        <w:bottom w:val="none" w:sz="0" w:space="0" w:color="auto"/>
        <w:right w:val="none" w:sz="0" w:space="0" w:color="auto"/>
      </w:divBdr>
      <w:divsChild>
        <w:div w:id="484400970">
          <w:marLeft w:val="0"/>
          <w:marRight w:val="0"/>
          <w:marTop w:val="0"/>
          <w:marBottom w:val="0"/>
          <w:divBdr>
            <w:top w:val="none" w:sz="0" w:space="0" w:color="auto"/>
            <w:left w:val="none" w:sz="0" w:space="0" w:color="auto"/>
            <w:bottom w:val="none" w:sz="0" w:space="0" w:color="auto"/>
            <w:right w:val="none" w:sz="0" w:space="0" w:color="auto"/>
          </w:divBdr>
        </w:div>
      </w:divsChild>
    </w:div>
    <w:div w:id="1311399047">
      <w:bodyDiv w:val="1"/>
      <w:marLeft w:val="0"/>
      <w:marRight w:val="0"/>
      <w:marTop w:val="0"/>
      <w:marBottom w:val="0"/>
      <w:divBdr>
        <w:top w:val="none" w:sz="0" w:space="0" w:color="auto"/>
        <w:left w:val="none" w:sz="0" w:space="0" w:color="auto"/>
        <w:bottom w:val="none" w:sz="0" w:space="0" w:color="auto"/>
        <w:right w:val="none" w:sz="0" w:space="0" w:color="auto"/>
      </w:divBdr>
    </w:div>
    <w:div w:id="1440416186">
      <w:bodyDiv w:val="1"/>
      <w:marLeft w:val="0"/>
      <w:marRight w:val="0"/>
      <w:marTop w:val="0"/>
      <w:marBottom w:val="0"/>
      <w:divBdr>
        <w:top w:val="none" w:sz="0" w:space="0" w:color="auto"/>
        <w:left w:val="none" w:sz="0" w:space="0" w:color="auto"/>
        <w:bottom w:val="none" w:sz="0" w:space="0" w:color="auto"/>
        <w:right w:val="none" w:sz="0" w:space="0" w:color="auto"/>
      </w:divBdr>
      <w:divsChild>
        <w:div w:id="801312044">
          <w:marLeft w:val="0"/>
          <w:marRight w:val="0"/>
          <w:marTop w:val="0"/>
          <w:marBottom w:val="0"/>
          <w:divBdr>
            <w:top w:val="none" w:sz="0" w:space="0" w:color="auto"/>
            <w:left w:val="none" w:sz="0" w:space="0" w:color="auto"/>
            <w:bottom w:val="none" w:sz="0" w:space="0" w:color="auto"/>
            <w:right w:val="none" w:sz="0" w:space="0" w:color="auto"/>
          </w:divBdr>
          <w:divsChild>
            <w:div w:id="19046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57339">
      <w:bodyDiv w:val="1"/>
      <w:marLeft w:val="0"/>
      <w:marRight w:val="0"/>
      <w:marTop w:val="0"/>
      <w:marBottom w:val="0"/>
      <w:divBdr>
        <w:top w:val="none" w:sz="0" w:space="0" w:color="auto"/>
        <w:left w:val="none" w:sz="0" w:space="0" w:color="auto"/>
        <w:bottom w:val="none" w:sz="0" w:space="0" w:color="auto"/>
        <w:right w:val="none" w:sz="0" w:space="0" w:color="auto"/>
      </w:divBdr>
    </w:div>
    <w:div w:id="1497455856">
      <w:bodyDiv w:val="1"/>
      <w:marLeft w:val="0"/>
      <w:marRight w:val="0"/>
      <w:marTop w:val="0"/>
      <w:marBottom w:val="0"/>
      <w:divBdr>
        <w:top w:val="none" w:sz="0" w:space="0" w:color="auto"/>
        <w:left w:val="none" w:sz="0" w:space="0" w:color="auto"/>
        <w:bottom w:val="none" w:sz="0" w:space="0" w:color="auto"/>
        <w:right w:val="none" w:sz="0" w:space="0" w:color="auto"/>
      </w:divBdr>
    </w:div>
    <w:div w:id="1569338054">
      <w:bodyDiv w:val="1"/>
      <w:marLeft w:val="0"/>
      <w:marRight w:val="0"/>
      <w:marTop w:val="0"/>
      <w:marBottom w:val="0"/>
      <w:divBdr>
        <w:top w:val="none" w:sz="0" w:space="0" w:color="auto"/>
        <w:left w:val="none" w:sz="0" w:space="0" w:color="auto"/>
        <w:bottom w:val="none" w:sz="0" w:space="0" w:color="auto"/>
        <w:right w:val="none" w:sz="0" w:space="0" w:color="auto"/>
      </w:divBdr>
    </w:div>
    <w:div w:id="1587112124">
      <w:bodyDiv w:val="1"/>
      <w:marLeft w:val="0"/>
      <w:marRight w:val="0"/>
      <w:marTop w:val="0"/>
      <w:marBottom w:val="0"/>
      <w:divBdr>
        <w:top w:val="none" w:sz="0" w:space="0" w:color="auto"/>
        <w:left w:val="none" w:sz="0" w:space="0" w:color="auto"/>
        <w:bottom w:val="none" w:sz="0" w:space="0" w:color="auto"/>
        <w:right w:val="none" w:sz="0" w:space="0" w:color="auto"/>
      </w:divBdr>
      <w:divsChild>
        <w:div w:id="1426146134">
          <w:marLeft w:val="0"/>
          <w:marRight w:val="0"/>
          <w:marTop w:val="0"/>
          <w:marBottom w:val="0"/>
          <w:divBdr>
            <w:top w:val="none" w:sz="0" w:space="0" w:color="auto"/>
            <w:left w:val="none" w:sz="0" w:space="0" w:color="auto"/>
            <w:bottom w:val="none" w:sz="0" w:space="0" w:color="auto"/>
            <w:right w:val="none" w:sz="0" w:space="0" w:color="auto"/>
          </w:divBdr>
          <w:divsChild>
            <w:div w:id="21450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5583">
      <w:bodyDiv w:val="1"/>
      <w:marLeft w:val="0"/>
      <w:marRight w:val="0"/>
      <w:marTop w:val="0"/>
      <w:marBottom w:val="0"/>
      <w:divBdr>
        <w:top w:val="none" w:sz="0" w:space="0" w:color="auto"/>
        <w:left w:val="none" w:sz="0" w:space="0" w:color="auto"/>
        <w:bottom w:val="none" w:sz="0" w:space="0" w:color="auto"/>
        <w:right w:val="none" w:sz="0" w:space="0" w:color="auto"/>
      </w:divBdr>
      <w:divsChild>
        <w:div w:id="1420060612">
          <w:marLeft w:val="0"/>
          <w:marRight w:val="0"/>
          <w:marTop w:val="0"/>
          <w:marBottom w:val="0"/>
          <w:divBdr>
            <w:top w:val="none" w:sz="0" w:space="0" w:color="auto"/>
            <w:left w:val="none" w:sz="0" w:space="0" w:color="auto"/>
            <w:bottom w:val="none" w:sz="0" w:space="0" w:color="auto"/>
            <w:right w:val="none" w:sz="0" w:space="0" w:color="auto"/>
          </w:divBdr>
          <w:divsChild>
            <w:div w:id="20170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3858">
      <w:bodyDiv w:val="1"/>
      <w:marLeft w:val="0"/>
      <w:marRight w:val="0"/>
      <w:marTop w:val="0"/>
      <w:marBottom w:val="0"/>
      <w:divBdr>
        <w:top w:val="none" w:sz="0" w:space="0" w:color="auto"/>
        <w:left w:val="none" w:sz="0" w:space="0" w:color="auto"/>
        <w:bottom w:val="none" w:sz="0" w:space="0" w:color="auto"/>
        <w:right w:val="none" w:sz="0" w:space="0" w:color="auto"/>
      </w:divBdr>
    </w:div>
    <w:div w:id="1676957668">
      <w:bodyDiv w:val="1"/>
      <w:marLeft w:val="0"/>
      <w:marRight w:val="0"/>
      <w:marTop w:val="0"/>
      <w:marBottom w:val="0"/>
      <w:divBdr>
        <w:top w:val="none" w:sz="0" w:space="0" w:color="auto"/>
        <w:left w:val="none" w:sz="0" w:space="0" w:color="auto"/>
        <w:bottom w:val="none" w:sz="0" w:space="0" w:color="auto"/>
        <w:right w:val="none" w:sz="0" w:space="0" w:color="auto"/>
      </w:divBdr>
    </w:div>
    <w:div w:id="1724912736">
      <w:bodyDiv w:val="1"/>
      <w:marLeft w:val="0"/>
      <w:marRight w:val="0"/>
      <w:marTop w:val="0"/>
      <w:marBottom w:val="0"/>
      <w:divBdr>
        <w:top w:val="none" w:sz="0" w:space="0" w:color="auto"/>
        <w:left w:val="none" w:sz="0" w:space="0" w:color="auto"/>
        <w:bottom w:val="none" w:sz="0" w:space="0" w:color="auto"/>
        <w:right w:val="none" w:sz="0" w:space="0" w:color="auto"/>
      </w:divBdr>
    </w:div>
    <w:div w:id="1842967882">
      <w:bodyDiv w:val="1"/>
      <w:marLeft w:val="0"/>
      <w:marRight w:val="0"/>
      <w:marTop w:val="0"/>
      <w:marBottom w:val="0"/>
      <w:divBdr>
        <w:top w:val="none" w:sz="0" w:space="0" w:color="auto"/>
        <w:left w:val="none" w:sz="0" w:space="0" w:color="auto"/>
        <w:bottom w:val="none" w:sz="0" w:space="0" w:color="auto"/>
        <w:right w:val="none" w:sz="0" w:space="0" w:color="auto"/>
      </w:divBdr>
      <w:divsChild>
        <w:div w:id="814108236">
          <w:marLeft w:val="0"/>
          <w:marRight w:val="0"/>
          <w:marTop w:val="0"/>
          <w:marBottom w:val="0"/>
          <w:divBdr>
            <w:top w:val="none" w:sz="0" w:space="0" w:color="auto"/>
            <w:left w:val="none" w:sz="0" w:space="0" w:color="auto"/>
            <w:bottom w:val="none" w:sz="0" w:space="0" w:color="auto"/>
            <w:right w:val="none" w:sz="0" w:space="0" w:color="auto"/>
          </w:divBdr>
          <w:divsChild>
            <w:div w:id="18234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5326">
      <w:bodyDiv w:val="1"/>
      <w:marLeft w:val="0"/>
      <w:marRight w:val="0"/>
      <w:marTop w:val="0"/>
      <w:marBottom w:val="0"/>
      <w:divBdr>
        <w:top w:val="none" w:sz="0" w:space="0" w:color="auto"/>
        <w:left w:val="none" w:sz="0" w:space="0" w:color="auto"/>
        <w:bottom w:val="none" w:sz="0" w:space="0" w:color="auto"/>
        <w:right w:val="none" w:sz="0" w:space="0" w:color="auto"/>
      </w:divBdr>
      <w:divsChild>
        <w:div w:id="1097293862">
          <w:marLeft w:val="0"/>
          <w:marRight w:val="0"/>
          <w:marTop w:val="0"/>
          <w:marBottom w:val="0"/>
          <w:divBdr>
            <w:top w:val="none" w:sz="0" w:space="0" w:color="auto"/>
            <w:left w:val="none" w:sz="0" w:space="0" w:color="auto"/>
            <w:bottom w:val="none" w:sz="0" w:space="0" w:color="auto"/>
            <w:right w:val="none" w:sz="0" w:space="0" w:color="auto"/>
          </w:divBdr>
          <w:divsChild>
            <w:div w:id="9769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9415">
      <w:bodyDiv w:val="1"/>
      <w:marLeft w:val="0"/>
      <w:marRight w:val="0"/>
      <w:marTop w:val="0"/>
      <w:marBottom w:val="0"/>
      <w:divBdr>
        <w:top w:val="none" w:sz="0" w:space="0" w:color="auto"/>
        <w:left w:val="none" w:sz="0" w:space="0" w:color="auto"/>
        <w:bottom w:val="none" w:sz="0" w:space="0" w:color="auto"/>
        <w:right w:val="none" w:sz="0" w:space="0" w:color="auto"/>
      </w:divBdr>
      <w:divsChild>
        <w:div w:id="357777338">
          <w:marLeft w:val="0"/>
          <w:marRight w:val="0"/>
          <w:marTop w:val="0"/>
          <w:marBottom w:val="0"/>
          <w:divBdr>
            <w:top w:val="none" w:sz="0" w:space="0" w:color="auto"/>
            <w:left w:val="none" w:sz="0" w:space="0" w:color="auto"/>
            <w:bottom w:val="none" w:sz="0" w:space="0" w:color="auto"/>
            <w:right w:val="none" w:sz="0" w:space="0" w:color="auto"/>
          </w:divBdr>
          <w:divsChild>
            <w:div w:id="19753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25591">
      <w:bodyDiv w:val="1"/>
      <w:marLeft w:val="0"/>
      <w:marRight w:val="0"/>
      <w:marTop w:val="0"/>
      <w:marBottom w:val="0"/>
      <w:divBdr>
        <w:top w:val="none" w:sz="0" w:space="0" w:color="auto"/>
        <w:left w:val="none" w:sz="0" w:space="0" w:color="auto"/>
        <w:bottom w:val="none" w:sz="0" w:space="0" w:color="auto"/>
        <w:right w:val="none" w:sz="0" w:space="0" w:color="auto"/>
      </w:divBdr>
      <w:divsChild>
        <w:div w:id="187911314">
          <w:marLeft w:val="0"/>
          <w:marRight w:val="0"/>
          <w:marTop w:val="0"/>
          <w:marBottom w:val="0"/>
          <w:divBdr>
            <w:top w:val="none" w:sz="0" w:space="0" w:color="auto"/>
            <w:left w:val="none" w:sz="0" w:space="0" w:color="auto"/>
            <w:bottom w:val="none" w:sz="0" w:space="0" w:color="auto"/>
            <w:right w:val="none" w:sz="0" w:space="0" w:color="auto"/>
          </w:divBdr>
          <w:divsChild>
            <w:div w:id="8323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6187</Words>
  <Characters>3527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2021-08-26T06:45:00Z</dcterms:created>
  <dc:creator>Asta Balevičiūtė</dc:creator>
  <cp:lastModifiedBy>Asta Balevičiūtė</cp:lastModifiedBy>
  <dcterms:modified xsi:type="dcterms:W3CDTF">2021-09-02T10:47:00Z</dcterms:modified>
  <cp:revision>6</cp:revision>
</cp:coreProperties>
</file>