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09FB" w14:textId="77777777" w:rsidR="00A25780" w:rsidRPr="005B0591" w:rsidRDefault="00A25780" w:rsidP="00F535E8">
      <w:pPr>
        <w:spacing w:after="0" w:line="240" w:lineRule="auto"/>
        <w:jc w:val="center"/>
        <w:rPr>
          <w:rFonts w:ascii="Times New Roman" w:hAnsi="Times New Roman" w:cs="Times New Roman"/>
          <w:b/>
          <w:sz w:val="24"/>
          <w:szCs w:val="24"/>
        </w:rPr>
      </w:pPr>
      <w:r w:rsidRPr="005B0591">
        <w:rPr>
          <w:rFonts w:ascii="Times New Roman" w:hAnsi="Times New Roman" w:cs="Times New Roman"/>
          <w:b/>
          <w:sz w:val="24"/>
          <w:szCs w:val="24"/>
        </w:rPr>
        <w:t xml:space="preserve">LIETUVOS RESPUBLIKOS </w:t>
      </w:r>
    </w:p>
    <w:p w14:paraId="24C9DC8B" w14:textId="77777777" w:rsidR="00A25780" w:rsidRPr="005B0591" w:rsidRDefault="00F535E8" w:rsidP="00F535E8">
      <w:pPr>
        <w:spacing w:after="0" w:line="240" w:lineRule="auto"/>
        <w:jc w:val="center"/>
        <w:rPr>
          <w:rFonts w:ascii="Times New Roman" w:hAnsi="Times New Roman" w:cs="Times New Roman"/>
          <w:b/>
          <w:sz w:val="24"/>
          <w:szCs w:val="24"/>
        </w:rPr>
      </w:pPr>
      <w:r w:rsidRPr="005B0591">
        <w:rPr>
          <w:rFonts w:ascii="Times New Roman" w:hAnsi="Times New Roman" w:cs="Times New Roman"/>
          <w:b/>
          <w:bCs/>
          <w:caps/>
          <w:sz w:val="24"/>
          <w:szCs w:val="24"/>
        </w:rPr>
        <w:t xml:space="preserve">TEISĖJŲ ATLYGINIMŲ ĮSTATYMO NR. X-1771 PAKEITIMO </w:t>
      </w:r>
      <w:r w:rsidR="009E5A56" w:rsidRPr="005B0591">
        <w:rPr>
          <w:rFonts w:ascii="Times New Roman" w:hAnsi="Times New Roman" w:cs="Times New Roman"/>
          <w:b/>
          <w:sz w:val="24"/>
          <w:szCs w:val="24"/>
        </w:rPr>
        <w:t>ĮSTATYMO PROJEKTO</w:t>
      </w:r>
    </w:p>
    <w:p w14:paraId="6F1E8BB9" w14:textId="77777777" w:rsidR="00A25780" w:rsidRPr="005B0591" w:rsidRDefault="00A25780" w:rsidP="00A25780">
      <w:pPr>
        <w:spacing w:after="0" w:line="240" w:lineRule="auto"/>
        <w:jc w:val="center"/>
        <w:rPr>
          <w:rFonts w:ascii="Times New Roman" w:hAnsi="Times New Roman" w:cs="Times New Roman"/>
          <w:b/>
          <w:sz w:val="24"/>
          <w:szCs w:val="24"/>
        </w:rPr>
      </w:pPr>
      <w:r w:rsidRPr="005B0591">
        <w:rPr>
          <w:rFonts w:ascii="Times New Roman" w:hAnsi="Times New Roman" w:cs="Times New Roman"/>
          <w:b/>
          <w:sz w:val="24"/>
          <w:szCs w:val="24"/>
        </w:rPr>
        <w:t>DERINIMO PAŽYMA</w:t>
      </w:r>
    </w:p>
    <w:p w14:paraId="01E32023" w14:textId="77777777" w:rsidR="00F03B7E" w:rsidRPr="005B0591" w:rsidRDefault="00F03B7E" w:rsidP="00A25780">
      <w:pPr>
        <w:spacing w:after="0" w:line="240" w:lineRule="auto"/>
        <w:jc w:val="center"/>
        <w:rPr>
          <w:rFonts w:ascii="Times New Roman" w:hAnsi="Times New Roman" w:cs="Times New Roman"/>
          <w:b/>
          <w:sz w:val="24"/>
          <w:szCs w:val="24"/>
        </w:rPr>
      </w:pPr>
    </w:p>
    <w:tbl>
      <w:tblPr>
        <w:tblStyle w:val="Lentelstinklelis"/>
        <w:tblW w:w="14998" w:type="dxa"/>
        <w:tblInd w:w="-459" w:type="dxa"/>
        <w:tblLayout w:type="fixed"/>
        <w:tblLook w:val="04A0" w:firstRow="1" w:lastRow="0" w:firstColumn="1" w:lastColumn="0" w:noHBand="0" w:noVBand="1"/>
      </w:tblPr>
      <w:tblGrid>
        <w:gridCol w:w="2503"/>
        <w:gridCol w:w="6525"/>
        <w:gridCol w:w="5970"/>
      </w:tblGrid>
      <w:tr w:rsidR="00526891" w:rsidRPr="005B0591" w14:paraId="535596DB" w14:textId="77777777" w:rsidTr="005B0591">
        <w:tc>
          <w:tcPr>
            <w:tcW w:w="2503" w:type="dxa"/>
          </w:tcPr>
          <w:p w14:paraId="01548FCC" w14:textId="77777777" w:rsidR="00F03B7E" w:rsidRPr="005B0591" w:rsidRDefault="00C50533" w:rsidP="00A25780">
            <w:pPr>
              <w:jc w:val="center"/>
              <w:rPr>
                <w:rFonts w:ascii="Times New Roman" w:hAnsi="Times New Roman" w:cs="Times New Roman"/>
                <w:b/>
                <w:sz w:val="24"/>
                <w:szCs w:val="24"/>
              </w:rPr>
            </w:pPr>
            <w:r w:rsidRPr="005B0591">
              <w:rPr>
                <w:rFonts w:ascii="Times New Roman" w:hAnsi="Times New Roman" w:cs="Times New Roman"/>
                <w:b/>
                <w:sz w:val="24"/>
                <w:szCs w:val="24"/>
              </w:rPr>
              <w:t>Institucijos pavadinimas, rašto data ir numeris</w:t>
            </w:r>
          </w:p>
        </w:tc>
        <w:tc>
          <w:tcPr>
            <w:tcW w:w="6525" w:type="dxa"/>
          </w:tcPr>
          <w:p w14:paraId="241D379E" w14:textId="77777777" w:rsidR="00F03B7E" w:rsidRPr="005B0591" w:rsidRDefault="00C50533" w:rsidP="00A25780">
            <w:pPr>
              <w:jc w:val="center"/>
              <w:rPr>
                <w:rFonts w:ascii="Times New Roman" w:hAnsi="Times New Roman" w:cs="Times New Roman"/>
                <w:b/>
                <w:sz w:val="24"/>
                <w:szCs w:val="24"/>
              </w:rPr>
            </w:pPr>
            <w:r w:rsidRPr="005B0591">
              <w:rPr>
                <w:rFonts w:ascii="Times New Roman" w:hAnsi="Times New Roman" w:cs="Times New Roman"/>
                <w:b/>
                <w:sz w:val="24"/>
                <w:szCs w:val="24"/>
              </w:rPr>
              <w:t>Pastabos ir pasiūlymai</w:t>
            </w:r>
          </w:p>
        </w:tc>
        <w:tc>
          <w:tcPr>
            <w:tcW w:w="5970" w:type="dxa"/>
          </w:tcPr>
          <w:p w14:paraId="0FEB5CD8" w14:textId="77777777" w:rsidR="00F03B7E" w:rsidRPr="005B0591" w:rsidRDefault="007A1E0A" w:rsidP="00A25780">
            <w:pPr>
              <w:jc w:val="center"/>
              <w:rPr>
                <w:rFonts w:ascii="Times New Roman" w:hAnsi="Times New Roman" w:cs="Times New Roman"/>
                <w:b/>
                <w:sz w:val="24"/>
                <w:szCs w:val="24"/>
              </w:rPr>
            </w:pPr>
            <w:r w:rsidRPr="005B0591">
              <w:rPr>
                <w:rFonts w:ascii="Times New Roman" w:hAnsi="Times New Roman" w:cs="Times New Roman"/>
                <w:b/>
                <w:sz w:val="24"/>
                <w:szCs w:val="24"/>
              </w:rPr>
              <w:t>Žyma apie nepriimtas pastabas ir pasiūlymus</w:t>
            </w:r>
          </w:p>
        </w:tc>
      </w:tr>
      <w:tr w:rsidR="005B0591" w:rsidRPr="005B0591" w14:paraId="6204C239" w14:textId="77777777" w:rsidTr="005B0591">
        <w:tc>
          <w:tcPr>
            <w:tcW w:w="2503" w:type="dxa"/>
          </w:tcPr>
          <w:p w14:paraId="74510264" w14:textId="163C2D48" w:rsidR="005B0591" w:rsidRPr="005B0591" w:rsidRDefault="005B0591" w:rsidP="005B0591">
            <w:pPr>
              <w:jc w:val="center"/>
              <w:rPr>
                <w:rFonts w:ascii="Times New Roman" w:hAnsi="Times New Roman" w:cs="Times New Roman"/>
                <w:b/>
                <w:sz w:val="24"/>
                <w:szCs w:val="24"/>
              </w:rPr>
            </w:pPr>
            <w:r w:rsidRPr="005B0591">
              <w:rPr>
                <w:rFonts w:ascii="Times New Roman" w:hAnsi="Times New Roman" w:cs="Times New Roman"/>
                <w:sz w:val="24"/>
                <w:szCs w:val="24"/>
              </w:rPr>
              <w:t>Lietuvos Respublikos vidaus reikalų ministerijos 2020 m. rugpjūčio 12 d. raštas Nr. </w:t>
            </w:r>
            <w:r w:rsidRPr="005B0591">
              <w:rPr>
                <w:rFonts w:ascii="Times New Roman" w:hAnsi="Times New Roman" w:cs="Times New Roman"/>
                <w:color w:val="000000"/>
                <w:sz w:val="24"/>
                <w:szCs w:val="24"/>
                <w:shd w:val="clear" w:color="auto" w:fill="FFFFFF"/>
              </w:rPr>
              <w:t>1D-4615</w:t>
            </w:r>
          </w:p>
        </w:tc>
        <w:tc>
          <w:tcPr>
            <w:tcW w:w="6525" w:type="dxa"/>
          </w:tcPr>
          <w:p w14:paraId="62D5A452" w14:textId="61F7583E" w:rsidR="005B0591" w:rsidRPr="005B0591" w:rsidRDefault="005B0591" w:rsidP="005B0591">
            <w:pPr>
              <w:ind w:firstLine="250"/>
              <w:jc w:val="both"/>
              <w:rPr>
                <w:rFonts w:ascii="Times New Roman" w:hAnsi="Times New Roman" w:cs="Times New Roman"/>
                <w:b/>
                <w:sz w:val="24"/>
                <w:szCs w:val="24"/>
              </w:rPr>
            </w:pPr>
            <w:r w:rsidRPr="005B0591">
              <w:rPr>
                <w:rFonts w:ascii="Times New Roman" w:eastAsia="Times New Roman" w:hAnsi="Times New Roman" w:cs="Times New Roman"/>
                <w:color w:val="000000"/>
                <w:sz w:val="24"/>
                <w:szCs w:val="24"/>
                <w:lang w:eastAsia="lt-LT"/>
              </w:rPr>
              <w:t>Atkreiptinas dėmesys į tai, kad minėto įstatymo projekto 1 straipsnyje dėstomo Lietuvos Respublikos teisėjų darbo apmokėjimo įstatymo 3 straipsnyje nustatyta Lietuvos Respublikos valstybės politikų, teisėjų, valstybės pareigūnų, valstybės tarnautojų, valstybės ir savivaldybių biudžetinių įstaigų darbuotojų pareiginės algos (atlyginimo) bazinio dydžio (toliau – bazinis dydis) tvirtinimo tvarka keičiama, atsisakant nuostatos, kad </w:t>
            </w:r>
            <w:r w:rsidRPr="005B0591">
              <w:rPr>
                <w:rFonts w:ascii="Times New Roman" w:eastAsia="Times New Roman" w:hAnsi="Times New Roman" w:cs="Times New Roman"/>
                <w:color w:val="000000"/>
                <w:sz w:val="24"/>
                <w:szCs w:val="24"/>
                <w:shd w:val="clear" w:color="auto" w:fill="FFFFFF"/>
                <w:lang w:eastAsia="lt-LT"/>
              </w:rPr>
              <w:t>Lietuvos Respublikos </w:t>
            </w:r>
            <w:r w:rsidRPr="005B0591">
              <w:rPr>
                <w:rFonts w:ascii="Times New Roman" w:eastAsia="Times New Roman" w:hAnsi="Times New Roman" w:cs="Times New Roman"/>
                <w:color w:val="000000"/>
                <w:sz w:val="24"/>
                <w:szCs w:val="24"/>
                <w:lang w:eastAsia="lt-LT"/>
              </w:rPr>
              <w:t>Seimas </w:t>
            </w:r>
            <w:r w:rsidRPr="005B0591">
              <w:rPr>
                <w:rFonts w:ascii="Times New Roman" w:eastAsia="Times New Roman" w:hAnsi="Times New Roman" w:cs="Times New Roman"/>
                <w:b/>
                <w:bCs/>
                <w:color w:val="000000"/>
                <w:sz w:val="24"/>
                <w:szCs w:val="24"/>
                <w:lang w:eastAsia="lt-LT"/>
              </w:rPr>
              <w:t>bazinį dydį tvirtina iki Seimo pavasario sesijos pabaigos</w:t>
            </w:r>
            <w:r w:rsidRPr="005B0591">
              <w:rPr>
                <w:rFonts w:ascii="Times New Roman" w:eastAsia="Times New Roman" w:hAnsi="Times New Roman" w:cs="Times New Roman"/>
                <w:color w:val="000000"/>
                <w:sz w:val="24"/>
                <w:szCs w:val="24"/>
                <w:lang w:eastAsia="lt-LT"/>
              </w:rPr>
              <w:t xml:space="preserve">. Įstatymo projekto aiškinamojo rašto 4 punkte nurodyta, kad tokios nuostatos atsisakoma, nes ji praktikoje neįgyvendinama (netaikoma). Pažymėtina, kad </w:t>
            </w:r>
            <w:r w:rsidRPr="005B0591">
              <w:rPr>
                <w:rFonts w:ascii="Times New Roman" w:eastAsia="Times New Roman" w:hAnsi="Times New Roman" w:cs="Times New Roman"/>
                <w:color w:val="000000"/>
                <w:sz w:val="24"/>
                <w:szCs w:val="24"/>
                <w:shd w:val="clear" w:color="auto" w:fill="FFFFFF"/>
                <w:lang w:eastAsia="lt-LT"/>
              </w:rPr>
              <w:t>Lietuvos</w:t>
            </w:r>
            <w:r>
              <w:rPr>
                <w:rFonts w:ascii="Times New Roman" w:eastAsia="Times New Roman" w:hAnsi="Times New Roman" w:cs="Times New Roman"/>
                <w:color w:val="000000"/>
                <w:sz w:val="24"/>
                <w:szCs w:val="24"/>
                <w:shd w:val="clear" w:color="auto" w:fill="FFFFFF"/>
                <w:lang w:eastAsia="lt-LT"/>
              </w:rPr>
              <w:t xml:space="preserve"> R</w:t>
            </w:r>
            <w:r w:rsidRPr="005B0591">
              <w:rPr>
                <w:rFonts w:ascii="Times New Roman" w:eastAsia="Times New Roman" w:hAnsi="Times New Roman" w:cs="Times New Roman"/>
                <w:color w:val="000000"/>
                <w:sz w:val="24"/>
                <w:szCs w:val="24"/>
                <w:shd w:val="clear" w:color="auto" w:fill="FFFFFF"/>
                <w:lang w:eastAsia="lt-LT"/>
              </w:rPr>
              <w:t>espublikos</w:t>
            </w:r>
            <w:r>
              <w:rPr>
                <w:rFonts w:ascii="Times New Roman" w:eastAsia="Times New Roman" w:hAnsi="Times New Roman" w:cs="Times New Roman"/>
                <w:color w:val="000000"/>
                <w:sz w:val="24"/>
                <w:szCs w:val="24"/>
                <w:shd w:val="clear" w:color="auto" w:fill="FFFFFF"/>
                <w:lang w:eastAsia="lt-LT"/>
              </w:rPr>
              <w:t xml:space="preserve"> </w:t>
            </w:r>
            <w:r w:rsidRPr="005B0591">
              <w:rPr>
                <w:rFonts w:ascii="Times New Roman" w:eastAsia="Times New Roman" w:hAnsi="Times New Roman" w:cs="Times New Roman"/>
                <w:color w:val="000000"/>
                <w:sz w:val="24"/>
                <w:szCs w:val="24"/>
                <w:lang w:eastAsia="lt-LT"/>
              </w:rPr>
              <w:t>valstybės</w:t>
            </w:r>
            <w:r>
              <w:rPr>
                <w:rFonts w:ascii="Times New Roman" w:eastAsia="Times New Roman" w:hAnsi="Times New Roman" w:cs="Times New Roman"/>
                <w:color w:val="000000"/>
                <w:sz w:val="24"/>
                <w:szCs w:val="24"/>
                <w:lang w:eastAsia="lt-LT"/>
              </w:rPr>
              <w:t xml:space="preserve"> </w:t>
            </w:r>
            <w:r w:rsidRPr="005B0591">
              <w:rPr>
                <w:rFonts w:ascii="Times New Roman" w:eastAsia="Times New Roman" w:hAnsi="Times New Roman" w:cs="Times New Roman"/>
                <w:color w:val="000000"/>
                <w:sz w:val="24"/>
                <w:szCs w:val="24"/>
                <w:lang w:eastAsia="lt-LT"/>
              </w:rPr>
              <w:t>tarnybos</w:t>
            </w:r>
            <w:r>
              <w:rPr>
                <w:rFonts w:ascii="Times New Roman" w:eastAsia="Times New Roman" w:hAnsi="Times New Roman" w:cs="Times New Roman"/>
                <w:color w:val="000000"/>
                <w:sz w:val="24"/>
                <w:szCs w:val="24"/>
                <w:lang w:eastAsia="lt-LT"/>
              </w:rPr>
              <w:t xml:space="preserve"> </w:t>
            </w:r>
            <w:r w:rsidRPr="005B0591">
              <w:rPr>
                <w:rFonts w:ascii="Times New Roman" w:eastAsia="Times New Roman" w:hAnsi="Times New Roman" w:cs="Times New Roman"/>
                <w:color w:val="000000"/>
                <w:sz w:val="24"/>
                <w:szCs w:val="24"/>
                <w:lang w:eastAsia="lt-LT"/>
              </w:rPr>
              <w:t>įstatymo</w:t>
            </w:r>
            <w:r>
              <w:rPr>
                <w:rFonts w:ascii="Times New Roman" w:eastAsia="Times New Roman" w:hAnsi="Times New Roman" w:cs="Times New Roman"/>
                <w:color w:val="000000"/>
                <w:sz w:val="24"/>
                <w:szCs w:val="24"/>
                <w:lang w:eastAsia="lt-LT"/>
              </w:rPr>
              <w:t xml:space="preserve"> </w:t>
            </w:r>
            <w:r w:rsidRPr="005B0591">
              <w:rPr>
                <w:rFonts w:ascii="Times New Roman" w:eastAsia="Times New Roman" w:hAnsi="Times New Roman" w:cs="Times New Roman"/>
                <w:color w:val="000000"/>
                <w:sz w:val="24"/>
                <w:szCs w:val="24"/>
                <w:lang w:eastAsia="lt-LT"/>
              </w:rPr>
              <w:t>29</w:t>
            </w:r>
            <w:r>
              <w:rPr>
                <w:rFonts w:ascii="Times New Roman" w:eastAsia="Times New Roman" w:hAnsi="Times New Roman" w:cs="Times New Roman"/>
                <w:color w:val="000000"/>
                <w:sz w:val="24"/>
                <w:szCs w:val="24"/>
                <w:lang w:eastAsia="lt-LT"/>
              </w:rPr>
              <w:t xml:space="preserve"> </w:t>
            </w:r>
            <w:r w:rsidRPr="005B0591">
              <w:rPr>
                <w:rFonts w:ascii="Times New Roman" w:eastAsia="Times New Roman" w:hAnsi="Times New Roman" w:cs="Times New Roman"/>
                <w:color w:val="000000"/>
                <w:sz w:val="24"/>
                <w:szCs w:val="24"/>
                <w:lang w:eastAsia="lt-LT"/>
              </w:rPr>
              <w:t>straipsnio</w:t>
            </w:r>
            <w:r>
              <w:rPr>
                <w:rFonts w:ascii="Times New Roman" w:eastAsia="Times New Roman" w:hAnsi="Times New Roman" w:cs="Times New Roman"/>
                <w:color w:val="000000"/>
                <w:sz w:val="24"/>
                <w:szCs w:val="24"/>
                <w:lang w:eastAsia="lt-LT"/>
              </w:rPr>
              <w:t xml:space="preserve"> </w:t>
            </w:r>
            <w:r w:rsidRPr="005B0591">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w:t>
            </w:r>
            <w:r w:rsidRPr="005B0591">
              <w:rPr>
                <w:rFonts w:ascii="Times New Roman" w:eastAsia="Times New Roman" w:hAnsi="Times New Roman" w:cs="Times New Roman"/>
                <w:color w:val="000000"/>
                <w:sz w:val="24"/>
                <w:szCs w:val="24"/>
                <w:lang w:eastAsia="lt-LT"/>
              </w:rPr>
              <w:t xml:space="preserve">dalyje, </w:t>
            </w:r>
            <w:r w:rsidRPr="005B0591">
              <w:rPr>
                <w:rFonts w:ascii="Times New Roman" w:eastAsia="Times New Roman" w:hAnsi="Times New Roman" w:cs="Times New Roman"/>
                <w:color w:val="000000"/>
                <w:sz w:val="24"/>
                <w:szCs w:val="24"/>
                <w:shd w:val="clear" w:color="auto" w:fill="FFFFFF"/>
                <w:lang w:eastAsia="lt-LT"/>
              </w:rPr>
              <w:t xml:space="preserve">Lietuvos Respublikos </w:t>
            </w:r>
            <w:r w:rsidRPr="005B0591">
              <w:rPr>
                <w:rFonts w:ascii="Times New Roman" w:eastAsia="Times New Roman" w:hAnsi="Times New Roman" w:cs="Times New Roman"/>
                <w:color w:val="000000"/>
                <w:sz w:val="24"/>
                <w:szCs w:val="24"/>
                <w:lang w:eastAsia="lt-LT"/>
              </w:rPr>
              <w:t>vidaus tarnybos statuto 53</w:t>
            </w:r>
            <w:r>
              <w:rPr>
                <w:rFonts w:ascii="Times New Roman" w:eastAsia="Times New Roman" w:hAnsi="Times New Roman" w:cs="Times New Roman"/>
                <w:color w:val="000000"/>
                <w:sz w:val="24"/>
                <w:szCs w:val="24"/>
                <w:lang w:eastAsia="lt-LT"/>
              </w:rPr>
              <w:t> </w:t>
            </w:r>
            <w:r w:rsidRPr="005B0591">
              <w:rPr>
                <w:rFonts w:ascii="Times New Roman" w:eastAsia="Times New Roman" w:hAnsi="Times New Roman" w:cs="Times New Roman"/>
                <w:color w:val="000000"/>
                <w:sz w:val="24"/>
                <w:szCs w:val="24"/>
                <w:lang w:eastAsia="lt-LT"/>
              </w:rPr>
              <w:t xml:space="preserve">straipsnio 1 dalyje ir </w:t>
            </w:r>
            <w:r w:rsidRPr="005B0591">
              <w:rPr>
                <w:rFonts w:ascii="Times New Roman" w:eastAsia="Times New Roman" w:hAnsi="Times New Roman" w:cs="Times New Roman"/>
                <w:color w:val="000000"/>
                <w:sz w:val="24"/>
                <w:szCs w:val="24"/>
                <w:shd w:val="clear" w:color="auto" w:fill="FFFFFF"/>
                <w:lang w:eastAsia="lt-LT"/>
              </w:rPr>
              <w:t xml:space="preserve">Lietuvos Respublikos </w:t>
            </w:r>
            <w:r w:rsidRPr="005B0591">
              <w:rPr>
                <w:rFonts w:ascii="Times New Roman" w:eastAsia="Times New Roman" w:hAnsi="Times New Roman" w:cs="Times New Roman"/>
                <w:color w:val="000000"/>
                <w:sz w:val="24"/>
                <w:szCs w:val="24"/>
                <w:lang w:eastAsia="lt-LT"/>
              </w:rPr>
              <w:t xml:space="preserve">valstybės ir savivaldybių įstaigų darbuotojų darbo apmokėjimo ir komisijų narių atlygio už darbą įstatymo 6 straipsnyje yra nustatyta kitokia bazinio dydžio tvarka, kuri </w:t>
            </w:r>
            <w:r w:rsidRPr="005B0591">
              <w:rPr>
                <w:rFonts w:ascii="Times New Roman" w:eastAsia="Times New Roman" w:hAnsi="Times New Roman" w:cs="Times New Roman"/>
                <w:b/>
                <w:bCs/>
                <w:color w:val="000000"/>
                <w:sz w:val="24"/>
                <w:szCs w:val="24"/>
                <w:lang w:eastAsia="lt-LT"/>
              </w:rPr>
              <w:t>įpareigoja Seimą šį dydį patvirtinti iki Seimo pavasario sesijos pabaigos</w:t>
            </w:r>
            <w:r w:rsidRPr="005B0591">
              <w:rPr>
                <w:rFonts w:ascii="Times New Roman" w:eastAsia="Times New Roman" w:hAnsi="Times New Roman" w:cs="Times New Roman"/>
                <w:color w:val="000000"/>
                <w:sz w:val="24"/>
                <w:szCs w:val="24"/>
                <w:lang w:eastAsia="lt-LT"/>
              </w:rPr>
              <w:t xml:space="preserve">. Atsižvelgus į </w:t>
            </w:r>
            <w:r w:rsidRPr="005B0591">
              <w:rPr>
                <w:rFonts w:ascii="Times New Roman" w:eastAsia="Times New Roman" w:hAnsi="Times New Roman" w:cs="Times New Roman"/>
                <w:color w:val="000000"/>
                <w:sz w:val="24"/>
                <w:szCs w:val="24"/>
                <w:shd w:val="clear" w:color="auto" w:fill="FFFFFF"/>
                <w:lang w:eastAsia="lt-LT"/>
              </w:rPr>
              <w:t xml:space="preserve">Lietuvos Respublikos </w:t>
            </w:r>
            <w:r w:rsidRPr="005B0591">
              <w:rPr>
                <w:rFonts w:ascii="Times New Roman" w:eastAsia="Times New Roman" w:hAnsi="Times New Roman" w:cs="Times New Roman"/>
                <w:color w:val="000000"/>
                <w:sz w:val="24"/>
                <w:szCs w:val="24"/>
                <w:lang w:eastAsia="lt-LT"/>
              </w:rPr>
              <w:t>teisėkūros pagrindų įstatymo 3 straipsnyje įtvirtintus aiškumo ir sistemiškumo principus, manytina, kad bazinio dydžio tvirtinimo tvarka turi derėti tarpusavyje visuose įstatymuose, neatsižvelgiant į jų reguliavimo dalyką, todėl siūlytina ir pirmiau nurodytuose įstatymuose keisti bazinio dydžio tvirtinimo tvarką.</w:t>
            </w:r>
          </w:p>
        </w:tc>
        <w:tc>
          <w:tcPr>
            <w:tcW w:w="5970" w:type="dxa"/>
          </w:tcPr>
          <w:p w14:paraId="658B6CD2" w14:textId="77777777" w:rsidR="005B0591" w:rsidRPr="005B0591" w:rsidRDefault="005B0591" w:rsidP="00C729BC">
            <w:pPr>
              <w:ind w:firstLine="243"/>
              <w:jc w:val="both"/>
              <w:rPr>
                <w:rFonts w:ascii="Times New Roman" w:hAnsi="Times New Roman" w:cs="Times New Roman"/>
                <w:b/>
                <w:sz w:val="24"/>
                <w:szCs w:val="24"/>
              </w:rPr>
            </w:pPr>
            <w:r w:rsidRPr="005B0591">
              <w:rPr>
                <w:rFonts w:ascii="Times New Roman" w:hAnsi="Times New Roman" w:cs="Times New Roman"/>
                <w:b/>
                <w:sz w:val="24"/>
                <w:szCs w:val="24"/>
              </w:rPr>
              <w:t>Neatsižvelgta.</w:t>
            </w:r>
          </w:p>
          <w:p w14:paraId="390DD081" w14:textId="690121C1" w:rsidR="005B0591" w:rsidRPr="005B0591" w:rsidRDefault="005B0591" w:rsidP="00C729BC">
            <w:pPr>
              <w:ind w:firstLine="243"/>
              <w:jc w:val="both"/>
              <w:rPr>
                <w:rFonts w:ascii="Times New Roman" w:hAnsi="Times New Roman" w:cs="Times New Roman"/>
                <w:b/>
                <w:sz w:val="24"/>
                <w:szCs w:val="24"/>
              </w:rPr>
            </w:pPr>
            <w:r w:rsidRPr="005B0591">
              <w:rPr>
                <w:rFonts w:ascii="Times New Roman" w:eastAsia="Times New Roman" w:hAnsi="Times New Roman" w:cs="Times New Roman"/>
                <w:color w:val="000000"/>
                <w:sz w:val="24"/>
                <w:szCs w:val="24"/>
                <w:shd w:val="clear" w:color="auto" w:fill="FFFFFF"/>
                <w:lang w:eastAsia="lt-LT"/>
              </w:rPr>
              <w:t xml:space="preserve">Lietuvos Respublikos </w:t>
            </w:r>
            <w:r w:rsidRPr="005B0591">
              <w:rPr>
                <w:rFonts w:ascii="Times New Roman" w:eastAsia="Times New Roman" w:hAnsi="Times New Roman" w:cs="Times New Roman"/>
                <w:color w:val="000000"/>
                <w:sz w:val="24"/>
                <w:szCs w:val="24"/>
                <w:lang w:eastAsia="lt-LT"/>
              </w:rPr>
              <w:t xml:space="preserve">valstybės ir savivaldybių įstaigų darbuotojų darbo apmokėjimo ir komisijų narių atlygio už darbą įstatymo pakeitimo įstatymo bei Lietuvos Respublikos teisėjų atlyginimų įstatymo Nr. X-1771 pakeitimo įstatymo projektai, kuriuose, be kitų pakeitimų, bus bazinio dydžio tvirtinimo tvarkos pakeitimas, bus teikiami Lietuvos Respublikos Seimui svarstyti rudens sesijoje. </w:t>
            </w:r>
            <w:r w:rsidRPr="005B0591">
              <w:rPr>
                <w:rFonts w:ascii="Times New Roman" w:hAnsi="Times New Roman" w:cs="Times New Roman"/>
                <w:color w:val="000000"/>
                <w:sz w:val="24"/>
                <w:szCs w:val="24"/>
                <w:lang w:eastAsia="lt-LT"/>
              </w:rPr>
              <w:t xml:space="preserve">Analogiškus pakeitimus reikėtų atlikti ir </w:t>
            </w:r>
            <w:r w:rsidRPr="005B0591">
              <w:rPr>
                <w:rStyle w:val="Komentaronuoroda"/>
              </w:rPr>
              <w:t> </w:t>
            </w:r>
            <w:r w:rsidRPr="005B0591">
              <w:rPr>
                <w:rFonts w:ascii="Times New Roman" w:hAnsi="Times New Roman" w:cs="Times New Roman"/>
                <w:color w:val="000000"/>
                <w:sz w:val="24"/>
                <w:szCs w:val="24"/>
                <w:lang w:eastAsia="lt-LT"/>
              </w:rPr>
              <w:t>Lietuvos Respublikos valstybės tarnybos įstatyme, Lietuvos Respublikos vidaus tarnybos statute, Lietuvos Respublikos valstybės politikų ir valstybės pareigūnų darbo apmokėjimo įstatyme, teikiant Seimui šių įstatymų pakeitimo projektus (taip būtų m</w:t>
            </w:r>
            <w:r w:rsidRPr="005B0591">
              <w:rPr>
                <w:rFonts w:ascii="Times New Roman" w:hAnsi="Times New Roman" w:cs="Times New Roman"/>
                <w:sz w:val="24"/>
                <w:szCs w:val="24"/>
              </w:rPr>
              <w:t>ažinamas priimamų teisės aktų skaičius).</w:t>
            </w:r>
            <w:r w:rsidRPr="005B0591">
              <w:rPr>
                <w:rFonts w:ascii="Times New Roman" w:eastAsia="Times New Roman" w:hAnsi="Times New Roman" w:cs="Times New Roman"/>
                <w:sz w:val="24"/>
                <w:szCs w:val="24"/>
                <w:lang w:eastAsia="lt-LT"/>
              </w:rPr>
              <w:t xml:space="preserve"> </w:t>
            </w:r>
            <w:r w:rsidRPr="005B0591">
              <w:rPr>
                <w:rFonts w:ascii="Times New Roman" w:eastAsia="Times New Roman" w:hAnsi="Times New Roman" w:cs="Times New Roman"/>
                <w:color w:val="000000"/>
                <w:sz w:val="24"/>
                <w:szCs w:val="24"/>
                <w:lang w:eastAsia="lt-LT"/>
              </w:rPr>
              <w:t>Pažymėtina, kad Lietuvos Respublikos valstybės tarnybos įstatymo pakeitimo įstatymo ir Lietuvos Respublikos vidaus tarnybos statuto pakeitimo įstatymo projektus Lietuvos Respublikos vidaus reikalų ministerija taip pat teiks Seimui svarstyti rudens sesijoje.</w:t>
            </w:r>
          </w:p>
        </w:tc>
      </w:tr>
      <w:tr w:rsidR="00526891" w:rsidRPr="005B0591" w14:paraId="57482B44" w14:textId="77777777" w:rsidTr="005B0591">
        <w:trPr>
          <w:trHeight w:val="59"/>
        </w:trPr>
        <w:tc>
          <w:tcPr>
            <w:tcW w:w="2503" w:type="dxa"/>
          </w:tcPr>
          <w:p w14:paraId="3F396922" w14:textId="199FCAB7" w:rsidR="009A6077" w:rsidRPr="005B0591" w:rsidRDefault="009A6077" w:rsidP="00D116D2">
            <w:pPr>
              <w:rPr>
                <w:rFonts w:ascii="Times New Roman" w:hAnsi="Times New Roman" w:cs="Times New Roman"/>
                <w:sz w:val="24"/>
                <w:szCs w:val="24"/>
              </w:rPr>
            </w:pPr>
            <w:r w:rsidRPr="005B0591">
              <w:rPr>
                <w:rFonts w:ascii="Times New Roman" w:hAnsi="Times New Roman" w:cs="Times New Roman"/>
                <w:sz w:val="24"/>
                <w:szCs w:val="24"/>
              </w:rPr>
              <w:t xml:space="preserve">Teisėjų Tarybos </w:t>
            </w:r>
            <w:r w:rsidR="00286C79" w:rsidRPr="005B0591">
              <w:rPr>
                <w:rFonts w:ascii="Times New Roman" w:hAnsi="Times New Roman" w:cs="Times New Roman"/>
                <w:sz w:val="24"/>
                <w:szCs w:val="24"/>
              </w:rPr>
              <w:t>20</w:t>
            </w:r>
            <w:r w:rsidRPr="005B0591">
              <w:rPr>
                <w:rFonts w:ascii="Times New Roman" w:hAnsi="Times New Roman" w:cs="Times New Roman"/>
                <w:sz w:val="24"/>
                <w:szCs w:val="24"/>
              </w:rPr>
              <w:t>20</w:t>
            </w:r>
            <w:r w:rsidR="00DA22B5" w:rsidRPr="005B0591">
              <w:rPr>
                <w:rFonts w:ascii="Times New Roman" w:hAnsi="Times New Roman" w:cs="Times New Roman"/>
                <w:sz w:val="24"/>
                <w:szCs w:val="24"/>
              </w:rPr>
              <w:t> </w:t>
            </w:r>
            <w:r w:rsidR="00286C79" w:rsidRPr="005B0591">
              <w:rPr>
                <w:rFonts w:ascii="Times New Roman" w:hAnsi="Times New Roman" w:cs="Times New Roman"/>
                <w:sz w:val="24"/>
                <w:szCs w:val="24"/>
              </w:rPr>
              <w:t xml:space="preserve">m. </w:t>
            </w:r>
            <w:r w:rsidRPr="005B0591">
              <w:rPr>
                <w:rFonts w:ascii="Times New Roman" w:hAnsi="Times New Roman" w:cs="Times New Roman"/>
                <w:sz w:val="24"/>
                <w:szCs w:val="24"/>
              </w:rPr>
              <w:t xml:space="preserve">balandžio </w:t>
            </w:r>
            <w:r w:rsidR="007B2997" w:rsidRPr="005B0591">
              <w:rPr>
                <w:rFonts w:ascii="Times New Roman" w:hAnsi="Times New Roman" w:cs="Times New Roman"/>
                <w:sz w:val="24"/>
                <w:szCs w:val="24"/>
              </w:rPr>
              <w:t>13</w:t>
            </w:r>
            <w:r w:rsidR="00DA22B5" w:rsidRPr="005B0591">
              <w:rPr>
                <w:rFonts w:ascii="Times New Roman" w:hAnsi="Times New Roman" w:cs="Times New Roman"/>
                <w:sz w:val="24"/>
                <w:szCs w:val="24"/>
              </w:rPr>
              <w:t> </w:t>
            </w:r>
            <w:r w:rsidRPr="005B0591">
              <w:rPr>
                <w:rFonts w:ascii="Times New Roman" w:hAnsi="Times New Roman" w:cs="Times New Roman"/>
                <w:sz w:val="24"/>
                <w:szCs w:val="24"/>
              </w:rPr>
              <w:t>d. raštas</w:t>
            </w:r>
            <w:r w:rsidR="00286C79" w:rsidRPr="005B0591">
              <w:rPr>
                <w:rFonts w:ascii="Times New Roman" w:hAnsi="Times New Roman" w:cs="Times New Roman"/>
                <w:sz w:val="24"/>
                <w:szCs w:val="24"/>
              </w:rPr>
              <w:t xml:space="preserve"> Nr.</w:t>
            </w:r>
            <w:r w:rsidR="00301AB4" w:rsidRPr="005B0591">
              <w:rPr>
                <w:rFonts w:ascii="Times New Roman" w:hAnsi="Times New Roman" w:cs="Times New Roman"/>
                <w:sz w:val="24"/>
                <w:szCs w:val="24"/>
              </w:rPr>
              <w:t> </w:t>
            </w:r>
            <w:r w:rsidRPr="005B0591">
              <w:rPr>
                <w:rFonts w:ascii="Times New Roman" w:hAnsi="Times New Roman" w:cs="Times New Roman"/>
                <w:sz w:val="24"/>
                <w:szCs w:val="24"/>
              </w:rPr>
              <w:t>36P</w:t>
            </w:r>
            <w:r w:rsidR="00301AB4" w:rsidRPr="005B0591">
              <w:rPr>
                <w:rFonts w:ascii="Times New Roman" w:hAnsi="Times New Roman" w:cs="Times New Roman"/>
                <w:sz w:val="24"/>
                <w:szCs w:val="24"/>
              </w:rPr>
              <w:noBreakHyphen/>
            </w:r>
            <w:r w:rsidRPr="005B0591">
              <w:rPr>
                <w:rFonts w:ascii="Times New Roman" w:hAnsi="Times New Roman" w:cs="Times New Roman"/>
                <w:sz w:val="24"/>
                <w:szCs w:val="24"/>
              </w:rPr>
              <w:t>43</w:t>
            </w:r>
            <w:r w:rsidR="00301AB4" w:rsidRPr="005B0591">
              <w:rPr>
                <w:rFonts w:ascii="Times New Roman" w:hAnsi="Times New Roman" w:cs="Times New Roman"/>
                <w:sz w:val="24"/>
                <w:szCs w:val="24"/>
              </w:rPr>
              <w:noBreakHyphen/>
            </w:r>
            <w:r w:rsidRPr="005B0591">
              <w:rPr>
                <w:rFonts w:ascii="Times New Roman" w:hAnsi="Times New Roman" w:cs="Times New Roman"/>
                <w:sz w:val="24"/>
                <w:szCs w:val="24"/>
              </w:rPr>
              <w:t>(7.1.10)</w:t>
            </w:r>
          </w:p>
          <w:p w14:paraId="1883025D" w14:textId="77777777" w:rsidR="00286C79" w:rsidRPr="005B0591" w:rsidRDefault="00286C79" w:rsidP="009A6077">
            <w:pPr>
              <w:jc w:val="both"/>
              <w:rPr>
                <w:rFonts w:ascii="Times New Roman" w:hAnsi="Times New Roman" w:cs="Times New Roman"/>
                <w:sz w:val="24"/>
                <w:szCs w:val="24"/>
              </w:rPr>
            </w:pPr>
          </w:p>
        </w:tc>
        <w:tc>
          <w:tcPr>
            <w:tcW w:w="6525" w:type="dxa"/>
          </w:tcPr>
          <w:p w14:paraId="73E254F5" w14:textId="77777777" w:rsidR="00B674D9" w:rsidRPr="005B0591" w:rsidRDefault="00B674D9" w:rsidP="00B674D9">
            <w:pPr>
              <w:pStyle w:val="Pavadinimas"/>
              <w:spacing w:after="0"/>
              <w:ind w:right="-1" w:firstLine="322"/>
              <w:jc w:val="both"/>
              <w:rPr>
                <w:b/>
                <w:i/>
                <w:iCs/>
                <w:caps w:val="0"/>
              </w:rPr>
            </w:pPr>
            <w:r w:rsidRPr="005B0591">
              <w:rPr>
                <w:b/>
                <w:i/>
                <w:iCs/>
                <w:caps w:val="0"/>
              </w:rPr>
              <w:lastRenderedPageBreak/>
              <w:t xml:space="preserve">1. Dėl teisėjų atlyginimų didinimo </w:t>
            </w:r>
          </w:p>
          <w:p w14:paraId="4CE22793" w14:textId="77777777" w:rsidR="00B674D9" w:rsidRPr="005B0591" w:rsidRDefault="00B674D9" w:rsidP="00B674D9">
            <w:pPr>
              <w:tabs>
                <w:tab w:val="left" w:pos="993"/>
              </w:tabs>
              <w:ind w:firstLine="322"/>
              <w:jc w:val="both"/>
              <w:rPr>
                <w:rFonts w:ascii="Times New Roman" w:hAnsi="Times New Roman"/>
                <w:sz w:val="24"/>
                <w:szCs w:val="24"/>
              </w:rPr>
            </w:pPr>
            <w:r w:rsidRPr="005B0591">
              <w:rPr>
                <w:rFonts w:ascii="Times New Roman" w:hAnsi="Times New Roman"/>
                <w:sz w:val="24"/>
                <w:szCs w:val="24"/>
              </w:rPr>
              <w:t xml:space="preserve">Pateiktu derinti Įstatymo projektu nėra keliamas klausimas dėl Lietuvos bendrosios kompetencijos ir specializuotų teismų teisėjų </w:t>
            </w:r>
            <w:r w:rsidRPr="005B0591">
              <w:rPr>
                <w:rFonts w:ascii="Times New Roman" w:hAnsi="Times New Roman"/>
                <w:sz w:val="24"/>
                <w:szCs w:val="24"/>
              </w:rPr>
              <w:lastRenderedPageBreak/>
              <w:t>darbo užmokesčio padidinimo, nors toks klausimas dėl neaiškių priežasčių nesprendžiamas ilgus metus.</w:t>
            </w:r>
          </w:p>
          <w:p w14:paraId="1B1513E3" w14:textId="77777777" w:rsidR="00B674D9" w:rsidRPr="005B0591" w:rsidRDefault="00B674D9" w:rsidP="00B674D9">
            <w:pPr>
              <w:tabs>
                <w:tab w:val="left" w:pos="993"/>
              </w:tabs>
              <w:ind w:firstLine="322"/>
              <w:jc w:val="both"/>
              <w:rPr>
                <w:rFonts w:ascii="Times New Roman" w:hAnsi="Times New Roman"/>
                <w:sz w:val="24"/>
                <w:szCs w:val="24"/>
              </w:rPr>
            </w:pPr>
            <w:r w:rsidRPr="005B0591">
              <w:rPr>
                <w:rFonts w:ascii="Times New Roman" w:hAnsi="Times New Roman"/>
                <w:sz w:val="24"/>
                <w:szCs w:val="24"/>
              </w:rPr>
              <w:t xml:space="preserve">Teisingumą Lietuvos Respublikoje vykdo tik teismai (Lietuvos Respublikos Konstitucijos 109 straipsnio pirmoji dalis). Teisėjas, kuriam tenka pareiga nagrinėti visuomenėje kylančius konfliktus, taip pat asmens konfliktus su valstybe, turi būti ne tik aukštos profesinės kvalifikacijos bei nepriekaištingos reputacijos, bet ir materialiai nepriklausomas, saugus dėl savo ateities (Lietuvos Respublikos Konstitucinio Teismo 2001 m. liepos 12 d. nutarimas). Teisėjams nustatytos materialinės ir socialinės garantijos turi būti tokios, kad atitiktų konstitucinį teisėjo statusą ir jo orumą, o valstybei </w:t>
            </w:r>
            <w:r w:rsidRPr="005B0591">
              <w:rPr>
                <w:rFonts w:ascii="Times New Roman" w:hAnsi="Times New Roman"/>
                <w:bCs/>
                <w:sz w:val="24"/>
                <w:szCs w:val="24"/>
              </w:rPr>
              <w:t>tenka pareiga nustatyti tokį teisėjo atlyginimą, kuris atitiktų teisminės valdžios ir teisėjo statusą, vykdomas funkcijas ir atsakomybę</w:t>
            </w:r>
            <w:r w:rsidRPr="005B0591">
              <w:rPr>
                <w:rFonts w:ascii="Times New Roman" w:hAnsi="Times New Roman"/>
                <w:sz w:val="24"/>
                <w:szCs w:val="24"/>
              </w:rPr>
              <w:t xml:space="preserve"> (Konstitucinio Teismo 2006 m. rugpjūčio 8 d. sprendimas, 2007 m. spalio 22 d., 2010 m. birželio 29 d. nutarimai, 2011 m. vasario 14 d. nutarimai).</w:t>
            </w:r>
          </w:p>
          <w:p w14:paraId="12A8AB02" w14:textId="257DE964" w:rsidR="00B674D9" w:rsidRPr="005B0591" w:rsidRDefault="00B674D9" w:rsidP="00B674D9">
            <w:pPr>
              <w:pStyle w:val="Betarp"/>
              <w:ind w:firstLine="322"/>
              <w:jc w:val="both"/>
              <w:rPr>
                <w:rFonts w:ascii="Times New Roman" w:hAnsi="Times New Roman"/>
                <w:sz w:val="24"/>
                <w:szCs w:val="24"/>
              </w:rPr>
            </w:pPr>
            <w:r w:rsidRPr="005B0591">
              <w:rPr>
                <w:rFonts w:ascii="Times New Roman" w:hAnsi="Times New Roman"/>
                <w:sz w:val="24"/>
                <w:szCs w:val="24"/>
              </w:rPr>
              <w:t>Matydami pastarųjų metų ekonominio augimo valstybėje tendencijas bei įgyvendintas politines iniciatyvas selektyviai žymiai didinant prokurorų bei įvairių teisėtvarkos institucijų pareigūnų ir valstybės tarnautojų darbo apmokėjimą, pastebime akivaizdų politinį nenorą panašiais būdais spręsti teisėjų atlyginimų klausimą remiantis įvairiais argumentais: pradedant nuo deklaruojamų ketinimų iš esmės keisti viešojo sektoriaus darbuotojų darbo apmokėjimo sistemą ir baigiant viešais, reikia tikėtis, individualiais politiniais pareiškimais dėl ir taip</w:t>
            </w:r>
            <w:r w:rsidR="00A54AD2" w:rsidRPr="005B0591">
              <w:rPr>
                <w:rFonts w:ascii="Times New Roman" w:hAnsi="Times New Roman"/>
                <w:sz w:val="24"/>
                <w:szCs w:val="24"/>
              </w:rPr>
              <w:t xml:space="preserve"> didelių teisėjų atlyginimų.</w:t>
            </w:r>
          </w:p>
          <w:p w14:paraId="6BB52066" w14:textId="4CBBED02" w:rsidR="00B674D9" w:rsidRPr="005B0591" w:rsidRDefault="00B674D9" w:rsidP="00B674D9">
            <w:pPr>
              <w:pStyle w:val="Betarp"/>
              <w:ind w:firstLine="322"/>
              <w:jc w:val="both"/>
              <w:rPr>
                <w:rFonts w:ascii="Times New Roman" w:hAnsi="Times New Roman"/>
                <w:sz w:val="24"/>
                <w:szCs w:val="24"/>
              </w:rPr>
            </w:pPr>
            <w:r w:rsidRPr="005B0591">
              <w:rPr>
                <w:rFonts w:ascii="Times New Roman" w:hAnsi="Times New Roman"/>
                <w:sz w:val="24"/>
                <w:szCs w:val="24"/>
              </w:rPr>
              <w:t xml:space="preserve">Sisteminiai viešojo sektoriaus darbuotojų darbo apmokėjimo pokyčiai, savaime suprantama, yra sveikintini ir laukiami. Tačiau tai ilgų diskusijų ir politinių susitarimų reikalaujantis procesas, todėl, kaip taisyklė, užtrunka. Teisėjų bendruomenė, kuriai atstovaujame, laukia greitų ir laiko subrandintų sprendimų sprendžiant teisėjų darbo apmokėjimo klausimus. Nebematome poreikio kartoti jau ne kartą teiktus faktus apie tai, kad lyginamuoju aspektu pažvelgus į teisėjų atlyginimų dydžius </w:t>
            </w:r>
            <w:r w:rsidRPr="005B0591">
              <w:rPr>
                <w:rFonts w:ascii="Times New Roman" w:hAnsi="Times New Roman"/>
                <w:sz w:val="24"/>
                <w:szCs w:val="24"/>
              </w:rPr>
              <w:lastRenderedPageBreak/>
              <w:t>ES</w:t>
            </w:r>
            <w:r w:rsidR="00A54AD2" w:rsidRPr="005B0591">
              <w:rPr>
                <w:rFonts w:ascii="Times New Roman" w:hAnsi="Times New Roman"/>
                <w:sz w:val="24"/>
                <w:szCs w:val="24"/>
              </w:rPr>
              <w:t> </w:t>
            </w:r>
            <w:r w:rsidRPr="005B0591">
              <w:rPr>
                <w:rFonts w:ascii="Times New Roman" w:hAnsi="Times New Roman"/>
                <w:sz w:val="24"/>
                <w:szCs w:val="24"/>
              </w:rPr>
              <w:t xml:space="preserve">valstybėse, esame apgailėtinoje sąrašo pabaigoje. Ir tai yra faktas, nekalbantis apie kitų valdžių norą paisyti ES valstybėse taikomų standartų požiūryje į teismus ir teisėjus. </w:t>
            </w:r>
          </w:p>
          <w:p w14:paraId="1EA8DD7F" w14:textId="4D09280F" w:rsidR="00B674D9" w:rsidRPr="005B0591" w:rsidRDefault="00B674D9" w:rsidP="00B674D9">
            <w:pPr>
              <w:pStyle w:val="Betarp"/>
              <w:ind w:firstLine="322"/>
              <w:jc w:val="both"/>
              <w:rPr>
                <w:rFonts w:ascii="Times New Roman" w:hAnsi="Times New Roman"/>
                <w:strike/>
                <w:sz w:val="24"/>
                <w:szCs w:val="24"/>
              </w:rPr>
            </w:pPr>
            <w:r w:rsidRPr="005B0591">
              <w:rPr>
                <w:rFonts w:ascii="Times New Roman" w:hAnsi="Times New Roman"/>
                <w:sz w:val="24"/>
                <w:szCs w:val="24"/>
              </w:rPr>
              <w:t xml:space="preserve">Kalbant apie nacionalinius ypatumus, o būtent, kad viešojo sektoriaus darbuotojų atlyginimai Lietuvoje, apskritai, yra maži, neišskiriant nei vienos viešojo sektoriaus darbuotojų grupės, norime pažymėti, kad tokie argumentai nėra pagrindas nespręsti teisėjų darbo apmokėjimo klausimo. Tai daryti yra būtina, </w:t>
            </w:r>
            <w:proofErr w:type="spellStart"/>
            <w:r w:rsidR="00D9643A" w:rsidRPr="005B0591">
              <w:rPr>
                <w:rFonts w:ascii="Times New Roman" w:hAnsi="Times New Roman"/>
                <w:i/>
                <w:iCs/>
                <w:sz w:val="24"/>
                <w:szCs w:val="24"/>
              </w:rPr>
              <w:t>inter</w:t>
            </w:r>
            <w:proofErr w:type="spellEnd"/>
            <w:r w:rsidR="00D9643A" w:rsidRPr="005B0591">
              <w:rPr>
                <w:rFonts w:ascii="Times New Roman" w:hAnsi="Times New Roman"/>
                <w:i/>
                <w:iCs/>
                <w:sz w:val="24"/>
                <w:szCs w:val="24"/>
              </w:rPr>
              <w:t> </w:t>
            </w:r>
            <w:r w:rsidRPr="005B0591">
              <w:rPr>
                <w:rFonts w:ascii="Times New Roman" w:hAnsi="Times New Roman"/>
                <w:i/>
                <w:iCs/>
                <w:sz w:val="24"/>
                <w:szCs w:val="24"/>
              </w:rPr>
              <w:t>alia</w:t>
            </w:r>
            <w:r w:rsidRPr="005B0591">
              <w:rPr>
                <w:rFonts w:ascii="Times New Roman" w:hAnsi="Times New Roman"/>
                <w:sz w:val="24"/>
                <w:szCs w:val="24"/>
              </w:rPr>
              <w:t>, ir siekiant pašalinti akivaizdžias sistemines disproporcijas. Dar kartą atkreipiame dėmesį į jas pateikdami faktus esamos situacijos l</w:t>
            </w:r>
            <w:r w:rsidR="00D9643A" w:rsidRPr="005B0591">
              <w:rPr>
                <w:rFonts w:ascii="Times New Roman" w:hAnsi="Times New Roman"/>
                <w:sz w:val="24"/>
                <w:szCs w:val="24"/>
              </w:rPr>
              <w:t>yginamojo vertinimo pagrindais.</w:t>
            </w:r>
            <w:r w:rsidRPr="005B0591">
              <w:rPr>
                <w:rFonts w:ascii="Times New Roman" w:hAnsi="Times New Roman"/>
                <w:sz w:val="24"/>
                <w:szCs w:val="24"/>
              </w:rPr>
              <w:t xml:space="preserve"> Tai darydami matome, kad valstybinį kaltinimą baudžiamosiose bylose palaikančių, baudžiamąjį persekiojimą vykdančių ir kvotos organų veiklą kontroliuojanč</w:t>
            </w:r>
            <w:r w:rsidR="00D9643A" w:rsidRPr="005B0591">
              <w:rPr>
                <w:rFonts w:ascii="Times New Roman" w:hAnsi="Times New Roman"/>
                <w:sz w:val="24"/>
                <w:szCs w:val="24"/>
              </w:rPr>
              <w:t>ių prokurorų (Konstitucijos 118 </w:t>
            </w:r>
            <w:r w:rsidRPr="005B0591">
              <w:rPr>
                <w:rFonts w:ascii="Times New Roman" w:hAnsi="Times New Roman"/>
                <w:sz w:val="24"/>
                <w:szCs w:val="24"/>
              </w:rPr>
              <w:t>straipsnio pirmoji dalis) atlyginimai yra didesni už teisėjų, turinčių išimtinį konstitucinį mandatą įvykdyti teisingumą ir ne tik baudžiamosiose bylose. Šiuo metu Teisėjų atlyginimų įstatyme nustatytas Lietuvos Aukščiausiojo Teismo pirmininko fiksuotas atlyginimo koeficientas – 21,7, šio Teismo skyriaus pirmininko – 20,2, teisėjo – 19,2, o Lietuvos Respublikos prokuratūros įstatymo 1 priede nustatytas generalinio prokuroro pareiginės algos koeficientas – 22,9, generalinio prokuroro pavaduotojo – 21,2, taip pat pažymėtina, kad prokurorams už suteiktą specialųjį statusą su darbo užmokesčiu gali būti mokama p</w:t>
            </w:r>
            <w:r w:rsidRPr="005B0591">
              <w:rPr>
                <w:rFonts w:ascii="Times New Roman" w:hAnsi="Times New Roman"/>
                <w:color w:val="000000"/>
                <w:sz w:val="24"/>
                <w:szCs w:val="24"/>
              </w:rPr>
              <w:t>riemoka pagal Prokuratūros įstatymo 16</w:t>
            </w:r>
            <w:r w:rsidRPr="005B0591">
              <w:rPr>
                <w:rFonts w:ascii="Times New Roman" w:hAnsi="Times New Roman"/>
                <w:color w:val="000000"/>
                <w:sz w:val="24"/>
                <w:szCs w:val="24"/>
                <w:vertAlign w:val="superscript"/>
              </w:rPr>
              <w:t>1</w:t>
            </w:r>
            <w:r w:rsidRPr="005B0591">
              <w:rPr>
                <w:rFonts w:ascii="Times New Roman" w:hAnsi="Times New Roman"/>
                <w:color w:val="000000"/>
                <w:sz w:val="24"/>
                <w:szCs w:val="24"/>
              </w:rPr>
              <w:t> straipsnį, kurios suma gali siekti iki 30 procentų pareiginės algos</w:t>
            </w:r>
            <w:r w:rsidRPr="005B0591">
              <w:rPr>
                <w:rFonts w:ascii="Times New Roman" w:hAnsi="Times New Roman"/>
                <w:sz w:val="24"/>
                <w:szCs w:val="24"/>
              </w:rPr>
              <w:t xml:space="preserve">. </w:t>
            </w:r>
          </w:p>
          <w:p w14:paraId="4F460F1A" w14:textId="59BC398B" w:rsidR="00B674D9" w:rsidRPr="005B0591" w:rsidRDefault="00B674D9" w:rsidP="00B674D9">
            <w:pPr>
              <w:ind w:firstLine="322"/>
              <w:jc w:val="both"/>
              <w:rPr>
                <w:rFonts w:ascii="Times New Roman" w:eastAsiaTheme="minorEastAsia" w:hAnsi="Times New Roman" w:cs="Times New Roman"/>
                <w:sz w:val="24"/>
                <w:szCs w:val="24"/>
                <w:lang w:eastAsia="lt-LT"/>
              </w:rPr>
            </w:pPr>
            <w:r w:rsidRPr="005B0591">
              <w:rPr>
                <w:rFonts w:ascii="Times New Roman" w:eastAsiaTheme="minorEastAsia" w:hAnsi="Times New Roman" w:cs="Times New Roman"/>
                <w:sz w:val="24"/>
                <w:szCs w:val="24"/>
                <w:lang w:eastAsia="lt-LT"/>
              </w:rPr>
              <w:t>Iš viešai skelbiamos informacijo</w:t>
            </w:r>
            <w:r w:rsidR="00D9643A" w:rsidRPr="005B0591">
              <w:rPr>
                <w:rFonts w:ascii="Times New Roman" w:eastAsiaTheme="minorEastAsia" w:hAnsi="Times New Roman" w:cs="Times New Roman"/>
                <w:sz w:val="24"/>
                <w:szCs w:val="24"/>
                <w:lang w:eastAsia="lt-LT"/>
              </w:rPr>
              <w:t>s apie atskirose įstaigose 2020 </w:t>
            </w:r>
            <w:r w:rsidRPr="005B0591">
              <w:rPr>
                <w:rFonts w:ascii="Times New Roman" w:eastAsiaTheme="minorEastAsia" w:hAnsi="Times New Roman" w:cs="Times New Roman"/>
                <w:sz w:val="24"/>
                <w:szCs w:val="24"/>
                <w:lang w:eastAsia="lt-LT"/>
              </w:rPr>
              <w:t xml:space="preserve">m. IV </w:t>
            </w:r>
            <w:proofErr w:type="spellStart"/>
            <w:r w:rsidRPr="005B0591">
              <w:rPr>
                <w:rFonts w:ascii="Times New Roman" w:eastAsiaTheme="minorEastAsia" w:hAnsi="Times New Roman" w:cs="Times New Roman"/>
                <w:sz w:val="24"/>
                <w:szCs w:val="24"/>
                <w:lang w:eastAsia="lt-LT"/>
              </w:rPr>
              <w:t>ketv</w:t>
            </w:r>
            <w:proofErr w:type="spellEnd"/>
            <w:r w:rsidRPr="005B0591">
              <w:rPr>
                <w:rFonts w:ascii="Times New Roman" w:eastAsiaTheme="minorEastAsia" w:hAnsi="Times New Roman" w:cs="Times New Roman"/>
                <w:sz w:val="24"/>
                <w:szCs w:val="24"/>
                <w:lang w:eastAsia="lt-LT"/>
              </w:rPr>
              <w:t xml:space="preserve">. ir 2021 m. II </w:t>
            </w:r>
            <w:proofErr w:type="spellStart"/>
            <w:r w:rsidRPr="005B0591">
              <w:rPr>
                <w:rFonts w:ascii="Times New Roman" w:eastAsiaTheme="minorEastAsia" w:hAnsi="Times New Roman" w:cs="Times New Roman"/>
                <w:sz w:val="24"/>
                <w:szCs w:val="24"/>
                <w:lang w:eastAsia="lt-LT"/>
              </w:rPr>
              <w:t>ketv</w:t>
            </w:r>
            <w:proofErr w:type="spellEnd"/>
            <w:r w:rsidRPr="005B0591">
              <w:rPr>
                <w:rFonts w:ascii="Times New Roman" w:eastAsiaTheme="minorEastAsia" w:hAnsi="Times New Roman" w:cs="Times New Roman"/>
                <w:sz w:val="24"/>
                <w:szCs w:val="24"/>
                <w:lang w:eastAsia="lt-LT"/>
              </w:rPr>
              <w:t xml:space="preserve">. išmokėtą vidutinį darbo užmokestį matyti, kad Lietuvos Respublikos generalinės prokuratūros generalinis prokuroras ar jo pavaduotojai gauna didesnį darbo užmokestį nei bet kuris net ir aukščiausios grandies bendrosios kompetencijos ar specializuoto teismo teisėjas (įskaitant teismo ar skyriaus pirmininką). Generalinės prokuratūros prokuroro, apygardos prokuratūros vyriausiojo </w:t>
            </w:r>
            <w:r w:rsidRPr="005B0591">
              <w:rPr>
                <w:rFonts w:ascii="Times New Roman" w:eastAsiaTheme="minorEastAsia" w:hAnsi="Times New Roman" w:cs="Times New Roman"/>
                <w:sz w:val="24"/>
                <w:szCs w:val="24"/>
                <w:lang w:eastAsia="lt-LT"/>
              </w:rPr>
              <w:lastRenderedPageBreak/>
              <w:t>prokuroro ar jo pavaduotojų atlyginimai yra faktiškai lygūs Lietuvos apeliacinio teismo pirmininko ar skyriaus pirmininkų gaunamam darbo užmokesčiui ir yra atitinkamai didesni už likusių žemesnės grandies teismų teisėjų atlyginimus.</w:t>
            </w:r>
          </w:p>
          <w:p w14:paraId="4DBE3A9A" w14:textId="77777777" w:rsidR="00B674D9" w:rsidRPr="005B0591" w:rsidRDefault="00B674D9" w:rsidP="00B674D9">
            <w:pPr>
              <w:ind w:firstLine="322"/>
              <w:jc w:val="both"/>
              <w:rPr>
                <w:rFonts w:ascii="Times New Roman" w:eastAsiaTheme="minorEastAsia" w:hAnsi="Times New Roman" w:cs="Times New Roman"/>
                <w:sz w:val="24"/>
                <w:szCs w:val="24"/>
                <w:lang w:eastAsia="lt-LT"/>
              </w:rPr>
            </w:pPr>
            <w:r w:rsidRPr="005B0591">
              <w:rPr>
                <w:rFonts w:ascii="Times New Roman" w:eastAsiaTheme="minorEastAsia" w:hAnsi="Times New Roman" w:cs="Times New Roman"/>
                <w:sz w:val="24"/>
                <w:szCs w:val="24"/>
                <w:lang w:eastAsia="lt-LT"/>
              </w:rPr>
              <w:t>Specialiųjų tyrimų tarnybos vadovas ar netgi šios įstaigos atskiros valdybos viršininkas gauna didesnį atlyginimą, nei bet kuris Lietuvos bendrosios kompetencijos ar specializuoto teismo teisėjas (įskaitant pirmininkus ir jų pavaduotojus ar skyriaus pirmininkus). Atkreiptinas dėmesys, kad teisėjams mokama tik pareiginė alga ir priedas už tarnybos Lietuvos valstybei stažą, ir jie negali gauti kitokio atlyginimo, išskyrus užmokestį už pedagoginę ar kūrybinę veiklą, todėl lyginant tik pareiginę algą su kitais pareigūnais nėra matomas kitų pareigūnų gaunamas papildomas atlygis už laipsnį, rangą ir pan.</w:t>
            </w:r>
          </w:p>
          <w:p w14:paraId="15DAFDD7" w14:textId="6B7FE3F3" w:rsidR="00B674D9" w:rsidRPr="005B0591" w:rsidRDefault="00B674D9" w:rsidP="00B674D9">
            <w:pPr>
              <w:tabs>
                <w:tab w:val="left" w:pos="993"/>
              </w:tabs>
              <w:ind w:firstLine="322"/>
              <w:jc w:val="both"/>
              <w:rPr>
                <w:rFonts w:ascii="Times New Roman" w:hAnsi="Times New Roman"/>
                <w:sz w:val="24"/>
                <w:szCs w:val="24"/>
              </w:rPr>
            </w:pPr>
            <w:r w:rsidRPr="005B0591">
              <w:rPr>
                <w:rFonts w:ascii="Times New Roman" w:eastAsia="Times New Roman" w:hAnsi="Times New Roman" w:cs="Arial"/>
                <w:sz w:val="24"/>
                <w:szCs w:val="24"/>
              </w:rPr>
              <w:t>Lyginant teisėjų atlyginimus ir su kitų valstybės institucijų pareigūnų ir valstybės tarnautojų atlyginimais, taip pat matyti, kad Lietuvos teisėjai gauna mažesnius atlyginimus ne tik už ministrus, bet taip pat už ministerijų kanclerius, departamentų direktorius. Didesnį atlygį už teisėjus gauna ir vykdomosios valdžios žemesnės</w:t>
            </w:r>
            <w:r w:rsidR="00D9643A" w:rsidRPr="005B0591">
              <w:rPr>
                <w:rFonts w:ascii="Times New Roman" w:eastAsia="Times New Roman" w:hAnsi="Times New Roman" w:cs="Arial"/>
                <w:sz w:val="24"/>
                <w:szCs w:val="24"/>
              </w:rPr>
              <w:t xml:space="preserve"> grandies struktūrinių vienetų </w:t>
            </w:r>
            <w:r w:rsidRPr="005B0591">
              <w:rPr>
                <w:rFonts w:ascii="Times New Roman" w:hAnsi="Times New Roman"/>
                <w:sz w:val="24"/>
                <w:szCs w:val="24"/>
              </w:rPr>
              <w:t xml:space="preserve">– </w:t>
            </w:r>
            <w:r w:rsidRPr="005B0591">
              <w:rPr>
                <w:rFonts w:ascii="Times New Roman" w:eastAsia="Times New Roman" w:hAnsi="Times New Roman" w:cs="Arial"/>
                <w:sz w:val="24"/>
                <w:szCs w:val="24"/>
              </w:rPr>
              <w:t xml:space="preserve">Viešojo saugumo tarnybos prie Vidaus reikalų ministerijos, Valstybinės mokesčių inspekcijos, Užimtumo tarnybos prie Lietuvos Respublikos socialinės apsaugos ir darbo ministerijos, Nacionalinės žemės tarnybos prie Žemės ūkio ministerijos ir kiti </w:t>
            </w:r>
            <w:r w:rsidRPr="005B0591">
              <w:rPr>
                <w:rFonts w:ascii="Times New Roman" w:hAnsi="Times New Roman"/>
                <w:sz w:val="24"/>
                <w:szCs w:val="24"/>
              </w:rPr>
              <w:t>–</w:t>
            </w:r>
            <w:r w:rsidRPr="005B0591">
              <w:rPr>
                <w:rFonts w:ascii="Times New Roman" w:eastAsia="Times New Roman" w:hAnsi="Times New Roman" w:cs="Arial"/>
                <w:sz w:val="24"/>
                <w:szCs w:val="24"/>
              </w:rPr>
              <w:t xml:space="preserve"> vadovai bei vadovaujančias pareigas einantys asmenys.</w:t>
            </w:r>
          </w:p>
          <w:p w14:paraId="0D48D70F" w14:textId="251AE994" w:rsidR="00B674D9" w:rsidRPr="005B0591" w:rsidRDefault="00B674D9" w:rsidP="00B674D9">
            <w:pPr>
              <w:tabs>
                <w:tab w:val="left" w:pos="993"/>
              </w:tabs>
              <w:ind w:firstLine="322"/>
              <w:jc w:val="both"/>
              <w:rPr>
                <w:rFonts w:ascii="Times New Roman" w:hAnsi="Times New Roman"/>
                <w:sz w:val="24"/>
                <w:szCs w:val="24"/>
              </w:rPr>
            </w:pPr>
            <w:r w:rsidRPr="005B0591">
              <w:rPr>
                <w:rFonts w:ascii="Times New Roman" w:hAnsi="Times New Roman"/>
                <w:sz w:val="24"/>
                <w:szCs w:val="24"/>
              </w:rPr>
              <w:t>Jei gerėjanti valstybės ekonominė padėtis (iki COVID</w:t>
            </w:r>
            <w:r w:rsidR="00D9643A" w:rsidRPr="005B0591">
              <w:rPr>
                <w:rFonts w:ascii="Times New Roman" w:hAnsi="Times New Roman"/>
                <w:sz w:val="24"/>
                <w:szCs w:val="24"/>
              </w:rPr>
              <w:noBreakHyphen/>
            </w:r>
            <w:r w:rsidRPr="005B0591">
              <w:rPr>
                <w:rFonts w:ascii="Times New Roman" w:hAnsi="Times New Roman"/>
                <w:sz w:val="24"/>
                <w:szCs w:val="24"/>
              </w:rPr>
              <w:t>19</w:t>
            </w:r>
            <w:r w:rsidR="0039229F" w:rsidRPr="005B0591">
              <w:rPr>
                <w:rFonts w:ascii="Times New Roman" w:hAnsi="Times New Roman"/>
                <w:sz w:val="24"/>
                <w:szCs w:val="24"/>
              </w:rPr>
              <w:t> </w:t>
            </w:r>
            <w:r w:rsidRPr="005B0591">
              <w:rPr>
                <w:rFonts w:ascii="Times New Roman" w:hAnsi="Times New Roman"/>
                <w:sz w:val="24"/>
                <w:szCs w:val="24"/>
              </w:rPr>
              <w:t xml:space="preserve">pandemijos) </w:t>
            </w:r>
            <w:r w:rsidR="00D9643A" w:rsidRPr="005B0591">
              <w:rPr>
                <w:rFonts w:ascii="Times New Roman" w:hAnsi="Times New Roman"/>
                <w:bCs/>
                <w:sz w:val="24"/>
                <w:szCs w:val="24"/>
              </w:rPr>
              <w:t xml:space="preserve">per laikotarpį nuo 2014 </w:t>
            </w:r>
            <w:r w:rsidRPr="005B0591">
              <w:rPr>
                <w:rFonts w:ascii="Times New Roman" w:hAnsi="Times New Roman"/>
                <w:bCs/>
                <w:sz w:val="24"/>
                <w:szCs w:val="24"/>
              </w:rPr>
              <w:t xml:space="preserve">m. iki 2021 m. </w:t>
            </w:r>
            <w:r w:rsidRPr="005B0591">
              <w:rPr>
                <w:rFonts w:ascii="Times New Roman" w:hAnsi="Times New Roman"/>
                <w:sz w:val="24"/>
                <w:szCs w:val="24"/>
              </w:rPr>
              <w:t xml:space="preserve">leido reikšmingai didinti </w:t>
            </w:r>
            <w:r w:rsidRPr="005B0591">
              <w:rPr>
                <w:rFonts w:ascii="Times New Roman" w:hAnsi="Times New Roman"/>
                <w:bCs/>
                <w:sz w:val="24"/>
                <w:szCs w:val="24"/>
              </w:rPr>
              <w:t xml:space="preserve">pareiginės algos koeficientus karjeros valstybės tarnautojams, statutiniams valstybės tarnautojams, biudžetinių įstaigų darbuotojams, dirbantiems pagal darbo sutartį, merams ir jų pavaduotojams, prokurorams, žvalgybos pareigūnams, Specialiųjų tyrimų tarnybos pareigūnams, Lietuvos administracinių ginčų komisijos pirmininkui, jo pavaduotojui ir nariams, tai </w:t>
            </w:r>
            <w:r w:rsidRPr="005B0591">
              <w:rPr>
                <w:rFonts w:ascii="Times New Roman" w:hAnsi="Times New Roman"/>
                <w:sz w:val="24"/>
                <w:szCs w:val="24"/>
              </w:rPr>
              <w:t xml:space="preserve">visų grandžių teismų, išskyrus apylinkių, teisėjų </w:t>
            </w:r>
            <w:r w:rsidRPr="005B0591">
              <w:rPr>
                <w:rFonts w:ascii="Times New Roman" w:hAnsi="Times New Roman"/>
                <w:sz w:val="24"/>
                <w:szCs w:val="24"/>
              </w:rPr>
              <w:lastRenderedPageBreak/>
              <w:t xml:space="preserve">pareiginės algos nuo 2009 m. nebuvo didinamos, o jų padidėjimas </w:t>
            </w:r>
            <w:r w:rsidR="006501A2" w:rsidRPr="005B0591">
              <w:rPr>
                <w:rFonts w:ascii="Times New Roman" w:hAnsi="Times New Roman"/>
                <w:sz w:val="24"/>
                <w:szCs w:val="24"/>
              </w:rPr>
              <w:t xml:space="preserve">5 proc. per 12 metų yra tik </w:t>
            </w:r>
            <w:r w:rsidRPr="005B0591">
              <w:rPr>
                <w:rFonts w:ascii="Times New Roman" w:hAnsi="Times New Roman"/>
                <w:sz w:val="24"/>
                <w:szCs w:val="24"/>
              </w:rPr>
              <w:t>bazinio dydžio kilimo padarinys. Atkreiptinas dėmesys, kad teisėjų atlyginimai vis dar nepasiekė 2008 m. atlyginimų lygio.</w:t>
            </w:r>
          </w:p>
          <w:p w14:paraId="3E6F0589" w14:textId="0FD6BB89" w:rsidR="00B674D9" w:rsidRPr="005B0591" w:rsidRDefault="006501A2" w:rsidP="00B674D9">
            <w:pPr>
              <w:pStyle w:val="Betarp"/>
              <w:ind w:firstLine="322"/>
              <w:jc w:val="both"/>
              <w:rPr>
                <w:rFonts w:ascii="Times New Roman" w:hAnsi="Times New Roman"/>
                <w:sz w:val="24"/>
                <w:szCs w:val="24"/>
              </w:rPr>
            </w:pPr>
            <w:r w:rsidRPr="005B0591">
              <w:rPr>
                <w:rFonts w:ascii="Times New Roman" w:hAnsi="Times New Roman"/>
                <w:sz w:val="24"/>
                <w:szCs w:val="24"/>
              </w:rPr>
              <w:t>Dėl teisėjams</w:t>
            </w:r>
            <w:r w:rsidR="00B674D9" w:rsidRPr="005B0591">
              <w:rPr>
                <w:rFonts w:ascii="Times New Roman" w:hAnsi="Times New Roman"/>
                <w:sz w:val="24"/>
                <w:szCs w:val="24"/>
              </w:rPr>
              <w:t xml:space="preserve"> būtinų aukščiausių kvalifikacinių reikalavimų bei didžiulės atsakomybės naštos ir neadekvataus atlygio teisėjo profesija praranda savo prestižą ir tampa nepatraukli. To patvirtinimas yra faktas, </w:t>
            </w:r>
            <w:r w:rsidR="00D9643A" w:rsidRPr="005B0591">
              <w:rPr>
                <w:rFonts w:ascii="Times New Roman" w:hAnsi="Times New Roman"/>
                <w:sz w:val="24"/>
                <w:szCs w:val="24"/>
              </w:rPr>
              <w:t>jog priešingai nei daugumoje ES </w:t>
            </w:r>
            <w:r w:rsidR="00B674D9" w:rsidRPr="005B0591">
              <w:rPr>
                <w:rFonts w:ascii="Times New Roman" w:hAnsi="Times New Roman"/>
                <w:sz w:val="24"/>
                <w:szCs w:val="24"/>
              </w:rPr>
              <w:t>valstybių, geriausi Lietuvos teisininkai nesiekia teisėjo karjeros. Negana to, ima ryškėti nauja susirūpinimą kelianti tendencija – ilgametę patirtį turintys teisėjai traukiasi iš teisėjo pareigų savo noru. Šie nerimą keliantys ženklai rodo, kad ilgalaikėje perspektyvoje teismams bei politinei valdžiai teks spręsti ne tik teisėjų darbo krūvio ar adekvataus užmokesčio, bet ir teisingumo vykdymo kokybės problemas, kurių ne</w:t>
            </w:r>
            <w:r w:rsidRPr="005B0591">
              <w:rPr>
                <w:rFonts w:ascii="Times New Roman" w:hAnsi="Times New Roman"/>
                <w:sz w:val="24"/>
                <w:szCs w:val="24"/>
              </w:rPr>
              <w:t xml:space="preserve">galima vertinti tik finansiniu </w:t>
            </w:r>
            <w:r w:rsidR="00B674D9" w:rsidRPr="005B0591">
              <w:rPr>
                <w:rFonts w:ascii="Times New Roman" w:hAnsi="Times New Roman"/>
                <w:sz w:val="24"/>
                <w:szCs w:val="24"/>
              </w:rPr>
              <w:t>aspektu. Tai kartu ir pasitikėjimo viena iš valstybės valdžių klausimas. Adekvatus teisėjo profesijai atlyginimas yra viena iš e</w:t>
            </w:r>
            <w:r w:rsidR="00D9643A" w:rsidRPr="005B0591">
              <w:rPr>
                <w:rFonts w:ascii="Times New Roman" w:hAnsi="Times New Roman"/>
                <w:sz w:val="24"/>
                <w:szCs w:val="24"/>
              </w:rPr>
              <w:t xml:space="preserve">fektyvių priemonių, padedančių </w:t>
            </w:r>
            <w:r w:rsidR="00B674D9" w:rsidRPr="005B0591">
              <w:rPr>
                <w:rFonts w:ascii="Times New Roman" w:hAnsi="Times New Roman"/>
                <w:sz w:val="24"/>
                <w:szCs w:val="24"/>
              </w:rPr>
              <w:t xml:space="preserve">užtikrinti teisingumo vykdymo efektyvumą visais aspektais. </w:t>
            </w:r>
          </w:p>
          <w:p w14:paraId="44341D41" w14:textId="4B3D163E" w:rsidR="00B674D9" w:rsidRPr="005B0591" w:rsidRDefault="00B674D9" w:rsidP="00B674D9">
            <w:pPr>
              <w:pStyle w:val="Betarp"/>
              <w:ind w:firstLine="322"/>
              <w:jc w:val="both"/>
              <w:rPr>
                <w:rFonts w:ascii="Times New Roman" w:hAnsi="Times New Roman"/>
                <w:sz w:val="24"/>
                <w:szCs w:val="24"/>
              </w:rPr>
            </w:pPr>
            <w:r w:rsidRPr="005B0591">
              <w:rPr>
                <w:rFonts w:ascii="Times New Roman" w:hAnsi="Times New Roman"/>
                <w:sz w:val="24"/>
                <w:szCs w:val="24"/>
              </w:rPr>
              <w:t xml:space="preserve">Kita opi problema, kurią mes siekiame įveikti </w:t>
            </w:r>
            <w:r w:rsidRPr="005B0591">
              <w:rPr>
                <w:rFonts w:ascii="Times New Roman" w:eastAsia="Times New Roman" w:hAnsi="Times New Roman"/>
                <w:color w:val="000000"/>
                <w:sz w:val="24"/>
                <w:szCs w:val="24"/>
              </w:rPr>
              <w:t xml:space="preserve">– </w:t>
            </w:r>
            <w:r w:rsidRPr="005B0591">
              <w:rPr>
                <w:rFonts w:ascii="Times New Roman" w:hAnsi="Times New Roman"/>
                <w:sz w:val="24"/>
                <w:szCs w:val="24"/>
              </w:rPr>
              <w:t>objektyviais kriterijais apibrėžto ir pakankamo teismų finansavimo, kaip teismų nepriklausomumo ir efektyvaus teismų sistemos funkciona</w:t>
            </w:r>
            <w:r w:rsidR="006501A2" w:rsidRPr="005B0591">
              <w:rPr>
                <w:rFonts w:ascii="Times New Roman" w:hAnsi="Times New Roman"/>
                <w:sz w:val="24"/>
                <w:szCs w:val="24"/>
              </w:rPr>
              <w:t>vimo prielaidos, užtikrinimas.</w:t>
            </w:r>
          </w:p>
          <w:p w14:paraId="1E532134" w14:textId="030282E6" w:rsidR="00B674D9" w:rsidRPr="005B0591" w:rsidRDefault="00B674D9" w:rsidP="00B674D9">
            <w:pPr>
              <w:pStyle w:val="Betarp"/>
              <w:ind w:firstLine="322"/>
              <w:jc w:val="both"/>
              <w:rPr>
                <w:rFonts w:ascii="Times New Roman" w:hAnsi="Times New Roman"/>
                <w:sz w:val="24"/>
                <w:szCs w:val="24"/>
              </w:rPr>
            </w:pPr>
            <w:r w:rsidRPr="005B0591">
              <w:rPr>
                <w:rFonts w:ascii="Times New Roman" w:hAnsi="Times New Roman"/>
                <w:sz w:val="24"/>
                <w:szCs w:val="24"/>
              </w:rPr>
              <w:t>Lietuvos valstybės skiriamos lėšos teismų sistemai yra vienos mažiausių ES. 2020 m. ir 2</w:t>
            </w:r>
            <w:r w:rsidR="006501A2" w:rsidRPr="005B0591">
              <w:rPr>
                <w:rFonts w:ascii="Times New Roman" w:hAnsi="Times New Roman"/>
                <w:sz w:val="24"/>
                <w:szCs w:val="24"/>
              </w:rPr>
              <w:t xml:space="preserve">021 </w:t>
            </w:r>
            <w:r w:rsidRPr="005B0591">
              <w:rPr>
                <w:rFonts w:ascii="Times New Roman" w:hAnsi="Times New Roman"/>
                <w:sz w:val="24"/>
                <w:szCs w:val="24"/>
              </w:rPr>
              <w:t>m. ES teisingumo rezultatų suvestinėje pateiktais Eurostato duomenimis, 2018 m. ir 2019 m. teismų sistemos lėšos, tenkančios vienam gyventojui, buvo mažesnės tik Kipre.</w:t>
            </w:r>
            <w:r w:rsidRPr="005B0591">
              <w:rPr>
                <w:rStyle w:val="Puslapioinaosnuoroda"/>
                <w:rFonts w:ascii="Times New Roman" w:hAnsi="Times New Roman"/>
                <w:iCs/>
                <w:sz w:val="24"/>
                <w:szCs w:val="24"/>
              </w:rPr>
              <w:footnoteReference w:id="1"/>
            </w:r>
            <w:r w:rsidRPr="005B0591">
              <w:rPr>
                <w:rFonts w:ascii="Times New Roman" w:hAnsi="Times New Roman"/>
                <w:sz w:val="24"/>
                <w:szCs w:val="24"/>
              </w:rPr>
              <w:t xml:space="preserve"> </w:t>
            </w:r>
          </w:p>
          <w:p w14:paraId="762D9284" w14:textId="77777777" w:rsidR="00B674D9" w:rsidRPr="005B0591" w:rsidRDefault="00B674D9" w:rsidP="00B674D9">
            <w:pPr>
              <w:pStyle w:val="Betarp"/>
              <w:ind w:firstLine="322"/>
              <w:jc w:val="both"/>
              <w:rPr>
                <w:rFonts w:ascii="Times New Roman" w:hAnsi="Times New Roman"/>
                <w:sz w:val="24"/>
                <w:szCs w:val="24"/>
              </w:rPr>
            </w:pPr>
            <w:r w:rsidRPr="005B0591">
              <w:rPr>
                <w:rFonts w:ascii="Times New Roman" w:hAnsi="Times New Roman"/>
                <w:sz w:val="24"/>
                <w:szCs w:val="24"/>
              </w:rPr>
              <w:t xml:space="preserve">Teisėjų taryba, atsižvelgdama į tai, kas išdėstyta, įvertinusi teisėjų pareiginių algų pokytį 2008–2021 m., palyginusi viešai skelbiamą įvairių biudžetinių institucijų 2020 m. vidutinį darbo </w:t>
            </w:r>
            <w:r w:rsidRPr="005B0591">
              <w:rPr>
                <w:rFonts w:ascii="Times New Roman" w:hAnsi="Times New Roman"/>
                <w:sz w:val="24"/>
                <w:szCs w:val="24"/>
              </w:rPr>
              <w:lastRenderedPageBreak/>
              <w:t xml:space="preserve">užmokestį, įskaitant teisėsaugos pareigūnų darbo užmokestį, atkreipdama dėmesį, kad teisėjams mokama tik pareiginė alga ir priedas už tarnybos Lietuvos valstybei stažą, ir jie negali gauti kitokio atlyginimo, išskyrus užmokestį už pedagoginę ar kūrybinę veiklą, todėl lyginant tik pareiginę algą su kitais pareigūnais būtų „nematomas“ kitų pareigūnų gaunamas papildomas atlygis už laipsnį, rangą ir pan., siūlo svarstyti ir rasti galimybes Įstatymo projekte įtvirtinti nuostatas, sudarančias pagrindą bendrosios kompetencijos ir specializuotų teismų teisėjų atlyginimų koeficientus padidinti 13 proc., t. y. lygiai tiek, kiek buvo padidinti aukščiausių kategorijų valstybės tarnautojų pareiginės algos koeficientai, atitaisant ankstesniais metais padarytas valstybės biudžeto sektoriaus atlyginimų išbalansavimo klaidas. </w:t>
            </w:r>
          </w:p>
          <w:p w14:paraId="1F6E8412" w14:textId="2A5DC9A4" w:rsidR="00745756" w:rsidRPr="005B0591" w:rsidRDefault="00745756" w:rsidP="00B674D9">
            <w:pPr>
              <w:pStyle w:val="Betarp"/>
              <w:ind w:firstLine="322"/>
              <w:jc w:val="both"/>
              <w:rPr>
                <w:rFonts w:ascii="Times New Roman" w:hAnsi="Times New Roman"/>
                <w:sz w:val="24"/>
                <w:szCs w:val="24"/>
              </w:rPr>
            </w:pPr>
            <w:r w:rsidRPr="005B0591">
              <w:rPr>
                <w:rFonts w:ascii="Times New Roman" w:hAnsi="Times New Roman"/>
                <w:sz w:val="24"/>
                <w:szCs w:val="24"/>
              </w:rPr>
              <w:t>Siūloma Įstatymo projekto priedo II skyriaus redakcija:</w:t>
            </w:r>
          </w:p>
          <w:tbl>
            <w:tblPr>
              <w:tblW w:w="6407" w:type="dxa"/>
              <w:tblLayout w:type="fixed"/>
              <w:tblCellMar>
                <w:left w:w="10" w:type="dxa"/>
                <w:right w:w="10" w:type="dxa"/>
              </w:tblCellMar>
              <w:tblLook w:val="04A0" w:firstRow="1" w:lastRow="0" w:firstColumn="1" w:lastColumn="0" w:noHBand="0" w:noVBand="1"/>
            </w:tblPr>
            <w:tblGrid>
              <w:gridCol w:w="420"/>
              <w:gridCol w:w="1735"/>
              <w:gridCol w:w="1134"/>
              <w:gridCol w:w="1276"/>
              <w:gridCol w:w="1134"/>
              <w:gridCol w:w="708"/>
            </w:tblGrid>
            <w:tr w:rsidR="00745756" w:rsidRPr="005B0591" w14:paraId="5ADD4171" w14:textId="77777777" w:rsidTr="00745756">
              <w:trPr>
                <w:trHeight w:val="23"/>
                <w:tblHeader/>
              </w:trPr>
              <w:tc>
                <w:tcPr>
                  <w:tcW w:w="42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E61893D"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Eil. Nr.</w:t>
                  </w:r>
                </w:p>
              </w:tc>
              <w:tc>
                <w:tcPr>
                  <w:tcW w:w="1735" w:type="dxa"/>
                  <w:vMerge w:val="restart"/>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0EDACCE5"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Įstaigos pavadinimas</w:t>
                  </w:r>
                </w:p>
              </w:tc>
              <w:tc>
                <w:tcPr>
                  <w:tcW w:w="4252" w:type="dxa"/>
                  <w:gridSpan w:val="4"/>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7AF31799"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Pareiginės algos koeficientas</w:t>
                  </w:r>
                </w:p>
              </w:tc>
            </w:tr>
            <w:tr w:rsidR="00745756" w:rsidRPr="005B0591" w14:paraId="6C21BA95" w14:textId="77777777" w:rsidTr="00745756">
              <w:trPr>
                <w:trHeight w:val="1473"/>
                <w:tblHeader/>
              </w:trPr>
              <w:tc>
                <w:tcPr>
                  <w:tcW w:w="420"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5246570" w14:textId="77777777" w:rsidR="00745756" w:rsidRPr="005B0591" w:rsidRDefault="00745756" w:rsidP="00745756">
                  <w:pPr>
                    <w:spacing w:after="0" w:line="240" w:lineRule="auto"/>
                    <w:rPr>
                      <w:rFonts w:ascii="Times New Roman" w:hAnsi="Times New Roman"/>
                      <w:sz w:val="24"/>
                      <w:szCs w:val="24"/>
                    </w:rPr>
                  </w:pPr>
                </w:p>
              </w:tc>
              <w:tc>
                <w:tcPr>
                  <w:tcW w:w="1735" w:type="dxa"/>
                  <w:vMerge/>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10546E47" w14:textId="77777777" w:rsidR="00745756" w:rsidRPr="005B0591" w:rsidRDefault="00745756" w:rsidP="00745756">
                  <w:pPr>
                    <w:spacing w:after="0" w:line="240" w:lineRule="auto"/>
                    <w:rPr>
                      <w:rFonts w:ascii="Times New Roman" w:hAnsi="Times New Roman"/>
                      <w:sz w:val="24"/>
                      <w:szCs w:val="24"/>
                    </w:rPr>
                  </w:pP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1217658C" w14:textId="53A3B68A" w:rsidR="00745756" w:rsidRPr="005B0591" w:rsidRDefault="00745756" w:rsidP="00745756">
                  <w:pPr>
                    <w:spacing w:after="0" w:line="240" w:lineRule="auto"/>
                    <w:jc w:val="center"/>
                    <w:rPr>
                      <w:rFonts w:ascii="Times New Roman" w:hAnsi="Times New Roman"/>
                      <w:sz w:val="24"/>
                      <w:szCs w:val="24"/>
                    </w:rPr>
                  </w:pPr>
                  <w:proofErr w:type="spellStart"/>
                  <w:r w:rsidRPr="005B0591">
                    <w:rPr>
                      <w:rFonts w:ascii="Times New Roman" w:hAnsi="Times New Roman"/>
                      <w:sz w:val="24"/>
                      <w:szCs w:val="24"/>
                    </w:rPr>
                    <w:t>pirminin</w:t>
                  </w:r>
                  <w:proofErr w:type="spellEnd"/>
                  <w:r w:rsidR="00D9643A" w:rsidRPr="005B0591">
                    <w:rPr>
                      <w:rFonts w:ascii="Times New Roman" w:hAnsi="Times New Roman"/>
                      <w:sz w:val="24"/>
                      <w:szCs w:val="24"/>
                    </w:rPr>
                    <w:t>-</w:t>
                  </w:r>
                  <w:r w:rsidRPr="005B0591">
                    <w:rPr>
                      <w:rFonts w:ascii="Times New Roman" w:hAnsi="Times New Roman"/>
                      <w:sz w:val="24"/>
                      <w:szCs w:val="24"/>
                    </w:rPr>
                    <w:t xml:space="preserve">ko ar jį </w:t>
                  </w:r>
                  <w:proofErr w:type="spellStart"/>
                  <w:r w:rsidRPr="005B0591">
                    <w:rPr>
                      <w:rFonts w:ascii="Times New Roman" w:hAnsi="Times New Roman"/>
                      <w:sz w:val="24"/>
                      <w:szCs w:val="24"/>
                    </w:rPr>
                    <w:t>pavaduo</w:t>
                  </w:r>
                  <w:r w:rsidR="00D9643A" w:rsidRPr="005B0591">
                    <w:rPr>
                      <w:rFonts w:ascii="Times New Roman" w:hAnsi="Times New Roman"/>
                      <w:sz w:val="24"/>
                      <w:szCs w:val="24"/>
                    </w:rPr>
                    <w:t>-</w:t>
                  </w:r>
                  <w:r w:rsidRPr="005B0591">
                    <w:rPr>
                      <w:rFonts w:ascii="Times New Roman" w:hAnsi="Times New Roman"/>
                      <w:sz w:val="24"/>
                      <w:szCs w:val="24"/>
                    </w:rPr>
                    <w:t>jančiojo</w:t>
                  </w:r>
                  <w:proofErr w:type="spellEnd"/>
                  <w:r w:rsidRPr="005B0591">
                    <w:rPr>
                      <w:rFonts w:ascii="Times New Roman" w:hAnsi="Times New Roman"/>
                      <w:sz w:val="24"/>
                      <w:szCs w:val="24"/>
                    </w:rPr>
                    <w:t xml:space="preserve"> (kai nėra etatinio </w:t>
                  </w:r>
                  <w:proofErr w:type="spellStart"/>
                  <w:r w:rsidRPr="005B0591">
                    <w:rPr>
                      <w:rFonts w:ascii="Times New Roman" w:hAnsi="Times New Roman"/>
                      <w:sz w:val="24"/>
                      <w:szCs w:val="24"/>
                    </w:rPr>
                    <w:t>pavaduo</w:t>
                  </w:r>
                  <w:proofErr w:type="spellEnd"/>
                  <w:r w:rsidR="00D9643A" w:rsidRPr="005B0591">
                    <w:rPr>
                      <w:rFonts w:ascii="Times New Roman" w:hAnsi="Times New Roman"/>
                      <w:sz w:val="24"/>
                      <w:szCs w:val="24"/>
                    </w:rPr>
                    <w:t>-</w:t>
                  </w:r>
                  <w:r w:rsidRPr="005B0591">
                    <w:rPr>
                      <w:rFonts w:ascii="Times New Roman" w:hAnsi="Times New Roman"/>
                      <w:sz w:val="24"/>
                      <w:szCs w:val="24"/>
                    </w:rPr>
                    <w:t>tojo)</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269F77D7"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pirmininko pavaduotojo</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4EC52DA0" w14:textId="4A9EB8DA"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 xml:space="preserve">skyriaus </w:t>
                  </w:r>
                  <w:proofErr w:type="spellStart"/>
                  <w:r w:rsidRPr="005B0591">
                    <w:rPr>
                      <w:rFonts w:ascii="Times New Roman" w:hAnsi="Times New Roman"/>
                      <w:sz w:val="24"/>
                      <w:szCs w:val="24"/>
                    </w:rPr>
                    <w:t>pirminin</w:t>
                  </w:r>
                  <w:proofErr w:type="spellEnd"/>
                  <w:r w:rsidR="00D9643A" w:rsidRPr="005B0591">
                    <w:rPr>
                      <w:rFonts w:ascii="Times New Roman" w:hAnsi="Times New Roman"/>
                      <w:sz w:val="24"/>
                      <w:szCs w:val="24"/>
                    </w:rPr>
                    <w:t>-</w:t>
                  </w:r>
                  <w:r w:rsidRPr="005B0591">
                    <w:rPr>
                      <w:rFonts w:ascii="Times New Roman" w:hAnsi="Times New Roman"/>
                      <w:sz w:val="24"/>
                      <w:szCs w:val="24"/>
                    </w:rPr>
                    <w:t>ko</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7D7427A4"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teisėjo</w:t>
                  </w:r>
                </w:p>
              </w:tc>
            </w:tr>
            <w:tr w:rsidR="00745756" w:rsidRPr="005B0591" w14:paraId="66A1BB2D" w14:textId="77777777" w:rsidTr="00745756">
              <w:trPr>
                <w:trHeight w:val="23"/>
              </w:trPr>
              <w:tc>
                <w:tcPr>
                  <w:tcW w:w="420" w:type="dxa"/>
                  <w:tcBorders>
                    <w:left w:val="single" w:sz="8" w:space="0" w:color="000000"/>
                    <w:bottom w:val="single" w:sz="8" w:space="0" w:color="000000"/>
                    <w:right w:val="single" w:sz="8" w:space="0" w:color="000000"/>
                  </w:tcBorders>
                  <w:tcMar>
                    <w:top w:w="0" w:type="dxa"/>
                    <w:left w:w="40" w:type="dxa"/>
                    <w:bottom w:w="0" w:type="dxa"/>
                    <w:right w:w="40" w:type="dxa"/>
                  </w:tcMar>
                </w:tcPr>
                <w:p w14:paraId="64FFD7A5"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1.</w:t>
                  </w:r>
                </w:p>
              </w:tc>
              <w:tc>
                <w:tcPr>
                  <w:tcW w:w="1735" w:type="dxa"/>
                  <w:tcBorders>
                    <w:bottom w:val="single" w:sz="8" w:space="0" w:color="000000"/>
                    <w:right w:val="single" w:sz="8" w:space="0" w:color="000000"/>
                  </w:tcBorders>
                  <w:tcMar>
                    <w:top w:w="0" w:type="dxa"/>
                    <w:left w:w="40" w:type="dxa"/>
                    <w:bottom w:w="0" w:type="dxa"/>
                    <w:right w:w="40" w:type="dxa"/>
                  </w:tcMar>
                </w:tcPr>
                <w:p w14:paraId="4600B5F9" w14:textId="77777777" w:rsidR="00745756" w:rsidRPr="005B0591" w:rsidRDefault="00745756" w:rsidP="00745756">
                  <w:pPr>
                    <w:spacing w:after="0" w:line="240" w:lineRule="auto"/>
                    <w:rPr>
                      <w:rFonts w:ascii="Times New Roman" w:hAnsi="Times New Roman"/>
                      <w:sz w:val="24"/>
                      <w:szCs w:val="24"/>
                    </w:rPr>
                  </w:pPr>
                  <w:r w:rsidRPr="005B0591">
                    <w:rPr>
                      <w:rFonts w:ascii="Times New Roman" w:hAnsi="Times New Roman"/>
                      <w:sz w:val="24"/>
                      <w:szCs w:val="24"/>
                    </w:rPr>
                    <w:t>Lietuvos Aukščiausiasis Teismas</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2451F3EA" w14:textId="77777777" w:rsidR="00745756" w:rsidRPr="005B0591" w:rsidRDefault="00745756" w:rsidP="00745756">
                  <w:pPr>
                    <w:spacing w:after="0" w:line="240" w:lineRule="auto"/>
                    <w:jc w:val="center"/>
                  </w:pPr>
                  <w:r w:rsidRPr="005B0591">
                    <w:rPr>
                      <w:rFonts w:ascii="Times New Roman" w:hAnsi="Times New Roman"/>
                      <w:strike/>
                      <w:sz w:val="24"/>
                      <w:szCs w:val="24"/>
                    </w:rPr>
                    <w:t>21,7</w:t>
                  </w:r>
                  <w:r w:rsidRPr="005B0591">
                    <w:rPr>
                      <w:rFonts w:ascii="Times New Roman" w:hAnsi="Times New Roman"/>
                      <w:sz w:val="24"/>
                      <w:szCs w:val="24"/>
                    </w:rPr>
                    <w:t xml:space="preserve"> </w:t>
                  </w:r>
                  <w:r w:rsidRPr="005B0591">
                    <w:rPr>
                      <w:rFonts w:ascii="Times New Roman" w:hAnsi="Times New Roman"/>
                      <w:b/>
                      <w:bCs/>
                      <w:sz w:val="24"/>
                      <w:szCs w:val="24"/>
                    </w:rPr>
                    <w:t>24,52</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77072568"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6832F8F8" w14:textId="77777777" w:rsidR="00745756" w:rsidRPr="005B0591" w:rsidRDefault="00745756" w:rsidP="00745756">
                  <w:pPr>
                    <w:spacing w:after="0" w:line="240" w:lineRule="auto"/>
                    <w:jc w:val="center"/>
                  </w:pPr>
                  <w:r w:rsidRPr="005B0591">
                    <w:rPr>
                      <w:rFonts w:ascii="Times New Roman" w:hAnsi="Times New Roman"/>
                      <w:strike/>
                      <w:sz w:val="24"/>
                      <w:szCs w:val="24"/>
                    </w:rPr>
                    <w:t>20,2</w:t>
                  </w:r>
                  <w:r w:rsidRPr="005B0591">
                    <w:rPr>
                      <w:rFonts w:ascii="Times New Roman" w:hAnsi="Times New Roman"/>
                      <w:sz w:val="24"/>
                      <w:szCs w:val="24"/>
                    </w:rPr>
                    <w:t xml:space="preserve"> </w:t>
                  </w:r>
                  <w:r w:rsidRPr="005B0591">
                    <w:rPr>
                      <w:rFonts w:ascii="Times New Roman" w:hAnsi="Times New Roman"/>
                      <w:b/>
                      <w:bCs/>
                      <w:sz w:val="24"/>
                      <w:szCs w:val="24"/>
                    </w:rPr>
                    <w:t>22,83</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06863B68" w14:textId="77777777" w:rsidR="00745756" w:rsidRPr="005B0591" w:rsidRDefault="00745756" w:rsidP="00745756">
                  <w:pPr>
                    <w:spacing w:after="0" w:line="240" w:lineRule="auto"/>
                    <w:jc w:val="center"/>
                  </w:pPr>
                  <w:r w:rsidRPr="005B0591">
                    <w:rPr>
                      <w:rFonts w:ascii="Times New Roman" w:hAnsi="Times New Roman"/>
                      <w:strike/>
                      <w:sz w:val="24"/>
                      <w:szCs w:val="24"/>
                    </w:rPr>
                    <w:t>19,2</w:t>
                  </w:r>
                  <w:r w:rsidRPr="005B0591">
                    <w:rPr>
                      <w:rFonts w:ascii="Times New Roman" w:hAnsi="Times New Roman"/>
                      <w:sz w:val="24"/>
                      <w:szCs w:val="24"/>
                    </w:rPr>
                    <w:t xml:space="preserve"> </w:t>
                  </w:r>
                  <w:r w:rsidRPr="005B0591">
                    <w:rPr>
                      <w:rFonts w:ascii="Times New Roman" w:hAnsi="Times New Roman"/>
                      <w:b/>
                      <w:bCs/>
                      <w:sz w:val="24"/>
                      <w:szCs w:val="24"/>
                    </w:rPr>
                    <w:t>21,7</w:t>
                  </w:r>
                </w:p>
              </w:tc>
            </w:tr>
            <w:tr w:rsidR="00745756" w:rsidRPr="005B0591" w14:paraId="4F7400D2" w14:textId="77777777" w:rsidTr="00745756">
              <w:trPr>
                <w:trHeight w:val="23"/>
              </w:trPr>
              <w:tc>
                <w:tcPr>
                  <w:tcW w:w="420" w:type="dxa"/>
                  <w:tcBorders>
                    <w:left w:val="single" w:sz="8" w:space="0" w:color="000000"/>
                    <w:bottom w:val="single" w:sz="8" w:space="0" w:color="000000"/>
                    <w:right w:val="single" w:sz="8" w:space="0" w:color="000000"/>
                  </w:tcBorders>
                  <w:tcMar>
                    <w:top w:w="0" w:type="dxa"/>
                    <w:left w:w="40" w:type="dxa"/>
                    <w:bottom w:w="0" w:type="dxa"/>
                    <w:right w:w="40" w:type="dxa"/>
                  </w:tcMar>
                </w:tcPr>
                <w:p w14:paraId="6596A89A"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2.</w:t>
                  </w:r>
                </w:p>
              </w:tc>
              <w:tc>
                <w:tcPr>
                  <w:tcW w:w="1735" w:type="dxa"/>
                  <w:tcBorders>
                    <w:bottom w:val="single" w:sz="8" w:space="0" w:color="000000"/>
                    <w:right w:val="single" w:sz="8" w:space="0" w:color="000000"/>
                  </w:tcBorders>
                  <w:tcMar>
                    <w:top w:w="0" w:type="dxa"/>
                    <w:left w:w="40" w:type="dxa"/>
                    <w:bottom w:w="0" w:type="dxa"/>
                    <w:right w:w="40" w:type="dxa"/>
                  </w:tcMar>
                </w:tcPr>
                <w:p w14:paraId="5FCF146E" w14:textId="77777777" w:rsidR="00745756" w:rsidRPr="005B0591" w:rsidRDefault="00745756" w:rsidP="00745756">
                  <w:pPr>
                    <w:spacing w:after="0" w:line="240" w:lineRule="auto"/>
                    <w:rPr>
                      <w:rFonts w:ascii="Times New Roman" w:hAnsi="Times New Roman"/>
                      <w:sz w:val="24"/>
                      <w:szCs w:val="24"/>
                    </w:rPr>
                  </w:pPr>
                  <w:r w:rsidRPr="005B0591">
                    <w:rPr>
                      <w:rFonts w:ascii="Times New Roman" w:hAnsi="Times New Roman"/>
                      <w:sz w:val="24"/>
                      <w:szCs w:val="24"/>
                    </w:rPr>
                    <w:t>Lietuvos vyriausiasis administracinis teismas</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264F9CCD" w14:textId="77777777" w:rsidR="00745756" w:rsidRPr="005B0591" w:rsidRDefault="00745756" w:rsidP="00745756">
                  <w:pPr>
                    <w:spacing w:after="0" w:line="240" w:lineRule="auto"/>
                    <w:jc w:val="center"/>
                  </w:pPr>
                  <w:r w:rsidRPr="005B0591">
                    <w:rPr>
                      <w:rFonts w:ascii="Times New Roman" w:hAnsi="Times New Roman"/>
                      <w:strike/>
                      <w:sz w:val="24"/>
                      <w:szCs w:val="24"/>
                    </w:rPr>
                    <w:t>20,9</w:t>
                  </w:r>
                  <w:r w:rsidRPr="005B0591">
                    <w:rPr>
                      <w:rFonts w:ascii="Times New Roman" w:hAnsi="Times New Roman"/>
                      <w:sz w:val="24"/>
                      <w:szCs w:val="24"/>
                    </w:rPr>
                    <w:t xml:space="preserve"> </w:t>
                  </w:r>
                  <w:r w:rsidRPr="005B0591">
                    <w:rPr>
                      <w:rFonts w:ascii="Times New Roman" w:hAnsi="Times New Roman"/>
                      <w:b/>
                      <w:bCs/>
                      <w:sz w:val="24"/>
                      <w:szCs w:val="24"/>
                    </w:rPr>
                    <w:t>23,62</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573F19F8" w14:textId="77777777" w:rsidR="00745756" w:rsidRPr="005B0591" w:rsidRDefault="00745756" w:rsidP="00745756">
                  <w:pPr>
                    <w:spacing w:after="0" w:line="240" w:lineRule="auto"/>
                    <w:jc w:val="center"/>
                  </w:pPr>
                  <w:r w:rsidRPr="005B0591">
                    <w:rPr>
                      <w:rFonts w:ascii="Times New Roman" w:hAnsi="Times New Roman"/>
                      <w:strike/>
                      <w:sz w:val="24"/>
                      <w:szCs w:val="24"/>
                    </w:rPr>
                    <w:t>19,7</w:t>
                  </w:r>
                  <w:r w:rsidRPr="005B0591">
                    <w:rPr>
                      <w:rFonts w:ascii="Times New Roman" w:hAnsi="Times New Roman"/>
                      <w:sz w:val="24"/>
                      <w:szCs w:val="24"/>
                    </w:rPr>
                    <w:t xml:space="preserve"> </w:t>
                  </w:r>
                  <w:r w:rsidRPr="005B0591">
                    <w:rPr>
                      <w:rFonts w:ascii="Times New Roman" w:hAnsi="Times New Roman"/>
                      <w:b/>
                      <w:bCs/>
                      <w:sz w:val="24"/>
                      <w:szCs w:val="24"/>
                    </w:rPr>
                    <w:t>22,26</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2AD43376"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29C6ECB7" w14:textId="77777777" w:rsidR="00745756" w:rsidRPr="005B0591" w:rsidRDefault="00745756" w:rsidP="00745756">
                  <w:pPr>
                    <w:spacing w:after="0" w:line="240" w:lineRule="auto"/>
                    <w:jc w:val="center"/>
                  </w:pPr>
                  <w:r w:rsidRPr="005B0591">
                    <w:rPr>
                      <w:rFonts w:ascii="Times New Roman" w:hAnsi="Times New Roman"/>
                      <w:strike/>
                      <w:sz w:val="24"/>
                      <w:szCs w:val="24"/>
                    </w:rPr>
                    <w:t>18,7</w:t>
                  </w:r>
                  <w:r w:rsidRPr="005B0591">
                    <w:rPr>
                      <w:rFonts w:ascii="Times New Roman" w:hAnsi="Times New Roman"/>
                      <w:sz w:val="24"/>
                      <w:szCs w:val="24"/>
                    </w:rPr>
                    <w:t xml:space="preserve"> </w:t>
                  </w:r>
                  <w:r w:rsidRPr="005B0591">
                    <w:rPr>
                      <w:rFonts w:ascii="Times New Roman" w:hAnsi="Times New Roman"/>
                      <w:b/>
                      <w:bCs/>
                      <w:sz w:val="24"/>
                      <w:szCs w:val="24"/>
                    </w:rPr>
                    <w:t>21,13</w:t>
                  </w:r>
                </w:p>
              </w:tc>
            </w:tr>
            <w:tr w:rsidR="00745756" w:rsidRPr="005B0591" w14:paraId="18F229AC" w14:textId="77777777" w:rsidTr="00745756">
              <w:trPr>
                <w:trHeight w:val="23"/>
              </w:trPr>
              <w:tc>
                <w:tcPr>
                  <w:tcW w:w="420" w:type="dxa"/>
                  <w:tcBorders>
                    <w:left w:val="single" w:sz="8" w:space="0" w:color="000000"/>
                    <w:bottom w:val="single" w:sz="8" w:space="0" w:color="000000"/>
                    <w:right w:val="single" w:sz="8" w:space="0" w:color="000000"/>
                  </w:tcBorders>
                  <w:tcMar>
                    <w:top w:w="0" w:type="dxa"/>
                    <w:left w:w="40" w:type="dxa"/>
                    <w:bottom w:w="0" w:type="dxa"/>
                    <w:right w:w="40" w:type="dxa"/>
                  </w:tcMar>
                </w:tcPr>
                <w:p w14:paraId="3050580C"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3.</w:t>
                  </w:r>
                </w:p>
              </w:tc>
              <w:tc>
                <w:tcPr>
                  <w:tcW w:w="1735" w:type="dxa"/>
                  <w:tcBorders>
                    <w:bottom w:val="single" w:sz="8" w:space="0" w:color="000000"/>
                    <w:right w:val="single" w:sz="8" w:space="0" w:color="000000"/>
                  </w:tcBorders>
                  <w:tcMar>
                    <w:top w:w="0" w:type="dxa"/>
                    <w:left w:w="40" w:type="dxa"/>
                    <w:bottom w:w="0" w:type="dxa"/>
                    <w:right w:w="40" w:type="dxa"/>
                  </w:tcMar>
                </w:tcPr>
                <w:p w14:paraId="154EA372" w14:textId="77777777" w:rsidR="00745756" w:rsidRPr="005B0591" w:rsidRDefault="00745756" w:rsidP="00745756">
                  <w:pPr>
                    <w:spacing w:after="0" w:line="240" w:lineRule="auto"/>
                    <w:rPr>
                      <w:rFonts w:ascii="Times New Roman" w:hAnsi="Times New Roman"/>
                      <w:sz w:val="24"/>
                      <w:szCs w:val="24"/>
                    </w:rPr>
                  </w:pPr>
                  <w:r w:rsidRPr="005B0591">
                    <w:rPr>
                      <w:rFonts w:ascii="Times New Roman" w:hAnsi="Times New Roman"/>
                      <w:sz w:val="24"/>
                      <w:szCs w:val="24"/>
                    </w:rPr>
                    <w:t>Lietuvos apeliacinis teismas</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04E11326" w14:textId="77777777" w:rsidR="00745756" w:rsidRPr="005B0591" w:rsidRDefault="00745756" w:rsidP="00745756">
                  <w:pPr>
                    <w:spacing w:after="0" w:line="240" w:lineRule="auto"/>
                    <w:jc w:val="center"/>
                  </w:pPr>
                  <w:r w:rsidRPr="005B0591">
                    <w:rPr>
                      <w:rFonts w:ascii="Times New Roman" w:hAnsi="Times New Roman"/>
                      <w:strike/>
                      <w:sz w:val="24"/>
                      <w:szCs w:val="24"/>
                    </w:rPr>
                    <w:t>20,2</w:t>
                  </w:r>
                  <w:r w:rsidRPr="005B0591">
                    <w:rPr>
                      <w:rFonts w:ascii="Times New Roman" w:hAnsi="Times New Roman"/>
                      <w:sz w:val="24"/>
                      <w:szCs w:val="24"/>
                    </w:rPr>
                    <w:t xml:space="preserve"> </w:t>
                  </w:r>
                  <w:r w:rsidRPr="005B0591">
                    <w:rPr>
                      <w:rFonts w:ascii="Times New Roman" w:hAnsi="Times New Roman"/>
                      <w:b/>
                      <w:bCs/>
                      <w:sz w:val="24"/>
                      <w:szCs w:val="24"/>
                    </w:rPr>
                    <w:t>22,83</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49A85E43"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5B3518CA" w14:textId="77777777" w:rsidR="00745756" w:rsidRPr="005B0591" w:rsidRDefault="00745756" w:rsidP="00745756">
                  <w:pPr>
                    <w:spacing w:after="0" w:line="240" w:lineRule="auto"/>
                    <w:jc w:val="center"/>
                  </w:pPr>
                  <w:r w:rsidRPr="005B0591">
                    <w:rPr>
                      <w:rFonts w:ascii="Times New Roman" w:hAnsi="Times New Roman"/>
                      <w:strike/>
                      <w:sz w:val="24"/>
                      <w:szCs w:val="24"/>
                    </w:rPr>
                    <w:t>19,2</w:t>
                  </w:r>
                  <w:r w:rsidRPr="005B0591">
                    <w:rPr>
                      <w:rFonts w:ascii="Times New Roman" w:hAnsi="Times New Roman"/>
                      <w:sz w:val="24"/>
                      <w:szCs w:val="24"/>
                    </w:rPr>
                    <w:t xml:space="preserve"> </w:t>
                  </w:r>
                  <w:r w:rsidRPr="005B0591">
                    <w:rPr>
                      <w:rFonts w:ascii="Times New Roman" w:hAnsi="Times New Roman"/>
                      <w:b/>
                      <w:bCs/>
                      <w:sz w:val="24"/>
                      <w:szCs w:val="24"/>
                    </w:rPr>
                    <w:t>21,7</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1F04DF2B" w14:textId="77777777" w:rsidR="00745756" w:rsidRPr="005B0591" w:rsidRDefault="00745756" w:rsidP="00745756">
                  <w:pPr>
                    <w:spacing w:after="0" w:line="240" w:lineRule="auto"/>
                    <w:jc w:val="center"/>
                  </w:pPr>
                  <w:r w:rsidRPr="005B0591">
                    <w:rPr>
                      <w:rFonts w:ascii="Times New Roman" w:hAnsi="Times New Roman"/>
                      <w:strike/>
                      <w:sz w:val="24"/>
                      <w:szCs w:val="24"/>
                    </w:rPr>
                    <w:t>18,2</w:t>
                  </w:r>
                  <w:r w:rsidRPr="005B0591">
                    <w:rPr>
                      <w:rFonts w:ascii="Times New Roman" w:hAnsi="Times New Roman"/>
                      <w:sz w:val="24"/>
                      <w:szCs w:val="24"/>
                    </w:rPr>
                    <w:t xml:space="preserve"> </w:t>
                  </w:r>
                  <w:r w:rsidRPr="005B0591">
                    <w:rPr>
                      <w:rFonts w:ascii="Times New Roman" w:hAnsi="Times New Roman"/>
                      <w:b/>
                      <w:bCs/>
                      <w:sz w:val="24"/>
                      <w:szCs w:val="24"/>
                    </w:rPr>
                    <w:t>20,57</w:t>
                  </w:r>
                </w:p>
              </w:tc>
            </w:tr>
            <w:tr w:rsidR="00745756" w:rsidRPr="005B0591" w14:paraId="5801864E" w14:textId="77777777" w:rsidTr="00745756">
              <w:trPr>
                <w:trHeight w:val="23"/>
              </w:trPr>
              <w:tc>
                <w:tcPr>
                  <w:tcW w:w="420" w:type="dxa"/>
                  <w:tcBorders>
                    <w:left w:val="single" w:sz="8" w:space="0" w:color="000000"/>
                    <w:bottom w:val="single" w:sz="8" w:space="0" w:color="000000"/>
                    <w:right w:val="single" w:sz="8" w:space="0" w:color="000000"/>
                  </w:tcBorders>
                  <w:tcMar>
                    <w:top w:w="0" w:type="dxa"/>
                    <w:left w:w="40" w:type="dxa"/>
                    <w:bottom w:w="0" w:type="dxa"/>
                    <w:right w:w="40" w:type="dxa"/>
                  </w:tcMar>
                </w:tcPr>
                <w:p w14:paraId="1D35760A"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lastRenderedPageBreak/>
                    <w:t>4.</w:t>
                  </w:r>
                </w:p>
              </w:tc>
              <w:tc>
                <w:tcPr>
                  <w:tcW w:w="1735" w:type="dxa"/>
                  <w:tcBorders>
                    <w:bottom w:val="single" w:sz="8" w:space="0" w:color="000000"/>
                    <w:right w:val="single" w:sz="8" w:space="0" w:color="000000"/>
                  </w:tcBorders>
                  <w:tcMar>
                    <w:top w:w="0" w:type="dxa"/>
                    <w:left w:w="40" w:type="dxa"/>
                    <w:bottom w:w="0" w:type="dxa"/>
                    <w:right w:w="40" w:type="dxa"/>
                  </w:tcMar>
                </w:tcPr>
                <w:p w14:paraId="26FE2D35" w14:textId="77777777" w:rsidR="00745756" w:rsidRPr="005B0591" w:rsidRDefault="00745756" w:rsidP="00745756">
                  <w:pPr>
                    <w:spacing w:after="0" w:line="240" w:lineRule="auto"/>
                    <w:rPr>
                      <w:rFonts w:ascii="Times New Roman" w:hAnsi="Times New Roman"/>
                      <w:sz w:val="24"/>
                      <w:szCs w:val="24"/>
                    </w:rPr>
                  </w:pPr>
                  <w:r w:rsidRPr="005B0591">
                    <w:rPr>
                      <w:rFonts w:ascii="Times New Roman" w:hAnsi="Times New Roman"/>
                      <w:sz w:val="24"/>
                      <w:szCs w:val="24"/>
                    </w:rPr>
                    <w:t>Apygardų teismai</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0019205A" w14:textId="77777777" w:rsidR="00745756" w:rsidRPr="005B0591" w:rsidRDefault="00745756" w:rsidP="00745756">
                  <w:pPr>
                    <w:spacing w:after="0" w:line="240" w:lineRule="auto"/>
                    <w:jc w:val="center"/>
                  </w:pPr>
                  <w:r w:rsidRPr="005B0591">
                    <w:rPr>
                      <w:rFonts w:ascii="Times New Roman" w:hAnsi="Times New Roman"/>
                      <w:strike/>
                      <w:sz w:val="24"/>
                      <w:szCs w:val="24"/>
                    </w:rPr>
                    <w:t>19,2</w:t>
                  </w:r>
                  <w:r w:rsidRPr="005B0591">
                    <w:rPr>
                      <w:rFonts w:ascii="Times New Roman" w:hAnsi="Times New Roman"/>
                      <w:sz w:val="24"/>
                      <w:szCs w:val="24"/>
                    </w:rPr>
                    <w:t xml:space="preserve"> </w:t>
                  </w:r>
                  <w:r w:rsidRPr="005B0591">
                    <w:rPr>
                      <w:rFonts w:ascii="Times New Roman" w:hAnsi="Times New Roman"/>
                      <w:b/>
                      <w:bCs/>
                      <w:sz w:val="24"/>
                      <w:szCs w:val="24"/>
                    </w:rPr>
                    <w:t>21,7</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5EFAC4DB"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555EED2F" w14:textId="77777777" w:rsidR="00745756" w:rsidRPr="005B0591" w:rsidRDefault="00745756" w:rsidP="00745756">
                  <w:pPr>
                    <w:spacing w:after="0" w:line="240" w:lineRule="auto"/>
                    <w:jc w:val="center"/>
                  </w:pPr>
                  <w:r w:rsidRPr="005B0591">
                    <w:rPr>
                      <w:rFonts w:ascii="Times New Roman" w:hAnsi="Times New Roman"/>
                      <w:strike/>
                      <w:sz w:val="24"/>
                      <w:szCs w:val="24"/>
                    </w:rPr>
                    <w:t>18,2</w:t>
                  </w:r>
                  <w:r w:rsidRPr="005B0591">
                    <w:rPr>
                      <w:rFonts w:ascii="Times New Roman" w:hAnsi="Times New Roman"/>
                      <w:sz w:val="24"/>
                      <w:szCs w:val="24"/>
                    </w:rPr>
                    <w:t xml:space="preserve"> </w:t>
                  </w:r>
                  <w:r w:rsidRPr="005B0591">
                    <w:rPr>
                      <w:rFonts w:ascii="Times New Roman" w:hAnsi="Times New Roman"/>
                      <w:b/>
                      <w:bCs/>
                      <w:sz w:val="24"/>
                      <w:szCs w:val="24"/>
                    </w:rPr>
                    <w:t>20,57</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35BE1392" w14:textId="77777777" w:rsidR="00745756" w:rsidRPr="005B0591" w:rsidRDefault="00745756" w:rsidP="00745756">
                  <w:pPr>
                    <w:spacing w:after="0" w:line="240" w:lineRule="auto"/>
                    <w:jc w:val="center"/>
                  </w:pPr>
                  <w:r w:rsidRPr="005B0591">
                    <w:rPr>
                      <w:rFonts w:ascii="Times New Roman" w:hAnsi="Times New Roman"/>
                      <w:strike/>
                      <w:sz w:val="24"/>
                      <w:szCs w:val="24"/>
                    </w:rPr>
                    <w:t>17,2</w:t>
                  </w:r>
                  <w:r w:rsidRPr="005B0591">
                    <w:rPr>
                      <w:rFonts w:ascii="Times New Roman" w:hAnsi="Times New Roman"/>
                      <w:sz w:val="24"/>
                      <w:szCs w:val="24"/>
                    </w:rPr>
                    <w:t xml:space="preserve"> </w:t>
                  </w:r>
                  <w:r w:rsidRPr="005B0591">
                    <w:rPr>
                      <w:rFonts w:ascii="Times New Roman" w:hAnsi="Times New Roman"/>
                      <w:b/>
                      <w:bCs/>
                      <w:sz w:val="24"/>
                      <w:szCs w:val="24"/>
                    </w:rPr>
                    <w:t>19,44</w:t>
                  </w:r>
                </w:p>
              </w:tc>
            </w:tr>
            <w:tr w:rsidR="00745756" w:rsidRPr="005B0591" w14:paraId="25FE502A" w14:textId="77777777" w:rsidTr="00745756">
              <w:trPr>
                <w:trHeight w:val="23"/>
              </w:trPr>
              <w:tc>
                <w:tcPr>
                  <w:tcW w:w="420" w:type="dxa"/>
                  <w:tcBorders>
                    <w:left w:val="single" w:sz="8" w:space="0" w:color="000000"/>
                    <w:bottom w:val="single" w:sz="8" w:space="0" w:color="000000"/>
                    <w:right w:val="single" w:sz="8" w:space="0" w:color="000000"/>
                  </w:tcBorders>
                  <w:tcMar>
                    <w:top w:w="0" w:type="dxa"/>
                    <w:left w:w="40" w:type="dxa"/>
                    <w:bottom w:w="0" w:type="dxa"/>
                    <w:right w:w="40" w:type="dxa"/>
                  </w:tcMar>
                </w:tcPr>
                <w:p w14:paraId="4D8A3600"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5.</w:t>
                  </w:r>
                </w:p>
              </w:tc>
              <w:tc>
                <w:tcPr>
                  <w:tcW w:w="1735" w:type="dxa"/>
                  <w:tcBorders>
                    <w:bottom w:val="single" w:sz="8" w:space="0" w:color="000000"/>
                    <w:right w:val="single" w:sz="8" w:space="0" w:color="000000"/>
                  </w:tcBorders>
                  <w:tcMar>
                    <w:top w:w="0" w:type="dxa"/>
                    <w:left w:w="40" w:type="dxa"/>
                    <w:bottom w:w="0" w:type="dxa"/>
                    <w:right w:w="40" w:type="dxa"/>
                  </w:tcMar>
                </w:tcPr>
                <w:p w14:paraId="4A468BC5" w14:textId="77777777" w:rsidR="00745756" w:rsidRPr="005B0591" w:rsidRDefault="00745756" w:rsidP="00745756">
                  <w:pPr>
                    <w:spacing w:after="0" w:line="240" w:lineRule="auto"/>
                    <w:rPr>
                      <w:rFonts w:ascii="Times New Roman" w:hAnsi="Times New Roman"/>
                      <w:sz w:val="24"/>
                      <w:szCs w:val="24"/>
                    </w:rPr>
                  </w:pPr>
                  <w:r w:rsidRPr="005B0591">
                    <w:rPr>
                      <w:rFonts w:ascii="Times New Roman" w:hAnsi="Times New Roman"/>
                      <w:sz w:val="24"/>
                      <w:szCs w:val="24"/>
                    </w:rPr>
                    <w:t>Apygardų administraciniai teismai</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0F6CE261" w14:textId="77777777" w:rsidR="00745756" w:rsidRPr="005B0591" w:rsidRDefault="00745756" w:rsidP="00745756">
                  <w:pPr>
                    <w:spacing w:after="0" w:line="240" w:lineRule="auto"/>
                    <w:jc w:val="center"/>
                  </w:pPr>
                  <w:r w:rsidRPr="005B0591">
                    <w:rPr>
                      <w:rFonts w:ascii="Times New Roman" w:hAnsi="Times New Roman"/>
                      <w:strike/>
                      <w:sz w:val="24"/>
                      <w:szCs w:val="24"/>
                    </w:rPr>
                    <w:t>19,2</w:t>
                  </w:r>
                  <w:r w:rsidRPr="005B0591">
                    <w:rPr>
                      <w:rFonts w:ascii="Times New Roman" w:hAnsi="Times New Roman"/>
                      <w:sz w:val="24"/>
                      <w:szCs w:val="24"/>
                    </w:rPr>
                    <w:t xml:space="preserve"> </w:t>
                  </w:r>
                  <w:r w:rsidRPr="005B0591">
                    <w:rPr>
                      <w:rFonts w:ascii="Times New Roman" w:hAnsi="Times New Roman"/>
                      <w:b/>
                      <w:bCs/>
                      <w:sz w:val="24"/>
                      <w:szCs w:val="24"/>
                    </w:rPr>
                    <w:t>21,7</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5F356699" w14:textId="77777777" w:rsidR="00745756" w:rsidRPr="005B0591" w:rsidRDefault="00745756" w:rsidP="00745756">
                  <w:pPr>
                    <w:spacing w:after="0" w:line="240" w:lineRule="auto"/>
                    <w:jc w:val="center"/>
                  </w:pPr>
                  <w:r w:rsidRPr="005B0591">
                    <w:rPr>
                      <w:rFonts w:ascii="Times New Roman" w:hAnsi="Times New Roman"/>
                      <w:strike/>
                      <w:sz w:val="24"/>
                      <w:szCs w:val="24"/>
                    </w:rPr>
                    <w:t>18,2</w:t>
                  </w:r>
                  <w:r w:rsidRPr="005B0591">
                    <w:rPr>
                      <w:rFonts w:ascii="Times New Roman" w:hAnsi="Times New Roman"/>
                      <w:sz w:val="24"/>
                      <w:szCs w:val="24"/>
                    </w:rPr>
                    <w:t xml:space="preserve"> </w:t>
                  </w:r>
                  <w:r w:rsidRPr="005B0591">
                    <w:rPr>
                      <w:rFonts w:ascii="Times New Roman" w:hAnsi="Times New Roman"/>
                      <w:b/>
                      <w:bCs/>
                      <w:sz w:val="24"/>
                      <w:szCs w:val="24"/>
                    </w:rPr>
                    <w:t>20,57</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1EADE0BD"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0F936E62" w14:textId="77777777" w:rsidR="00745756" w:rsidRPr="005B0591" w:rsidRDefault="00745756" w:rsidP="00745756">
                  <w:pPr>
                    <w:spacing w:after="0" w:line="240" w:lineRule="auto"/>
                    <w:jc w:val="center"/>
                  </w:pPr>
                  <w:r w:rsidRPr="005B0591">
                    <w:rPr>
                      <w:rFonts w:ascii="Times New Roman" w:hAnsi="Times New Roman"/>
                      <w:strike/>
                      <w:sz w:val="24"/>
                      <w:szCs w:val="24"/>
                    </w:rPr>
                    <w:t>17,2</w:t>
                  </w:r>
                  <w:r w:rsidRPr="005B0591">
                    <w:rPr>
                      <w:rFonts w:ascii="Times New Roman" w:hAnsi="Times New Roman"/>
                      <w:sz w:val="24"/>
                      <w:szCs w:val="24"/>
                    </w:rPr>
                    <w:t xml:space="preserve"> </w:t>
                  </w:r>
                  <w:r w:rsidRPr="005B0591">
                    <w:rPr>
                      <w:rFonts w:ascii="Times New Roman" w:hAnsi="Times New Roman"/>
                      <w:b/>
                      <w:bCs/>
                      <w:sz w:val="24"/>
                      <w:szCs w:val="24"/>
                    </w:rPr>
                    <w:t>19,44</w:t>
                  </w:r>
                </w:p>
              </w:tc>
            </w:tr>
            <w:tr w:rsidR="00745756" w:rsidRPr="005B0591" w14:paraId="4F042611" w14:textId="77777777" w:rsidTr="00745756">
              <w:trPr>
                <w:trHeight w:val="23"/>
              </w:trPr>
              <w:tc>
                <w:tcPr>
                  <w:tcW w:w="420" w:type="dxa"/>
                  <w:tcBorders>
                    <w:left w:val="single" w:sz="8" w:space="0" w:color="000000"/>
                    <w:bottom w:val="single" w:sz="8" w:space="0" w:color="000000"/>
                    <w:right w:val="single" w:sz="8" w:space="0" w:color="000000"/>
                  </w:tcBorders>
                  <w:tcMar>
                    <w:top w:w="0" w:type="dxa"/>
                    <w:left w:w="40" w:type="dxa"/>
                    <w:bottom w:w="0" w:type="dxa"/>
                    <w:right w:w="40" w:type="dxa"/>
                  </w:tcMar>
                </w:tcPr>
                <w:p w14:paraId="28561554"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6.</w:t>
                  </w:r>
                </w:p>
              </w:tc>
              <w:tc>
                <w:tcPr>
                  <w:tcW w:w="1735" w:type="dxa"/>
                  <w:tcBorders>
                    <w:bottom w:val="single" w:sz="8" w:space="0" w:color="000000"/>
                    <w:right w:val="single" w:sz="8" w:space="0" w:color="000000"/>
                  </w:tcBorders>
                  <w:tcMar>
                    <w:top w:w="0" w:type="dxa"/>
                    <w:left w:w="40" w:type="dxa"/>
                    <w:bottom w:w="0" w:type="dxa"/>
                    <w:right w:w="40" w:type="dxa"/>
                  </w:tcMar>
                </w:tcPr>
                <w:p w14:paraId="097D0897" w14:textId="77777777" w:rsidR="00745756" w:rsidRPr="005B0591" w:rsidRDefault="00745756" w:rsidP="00745756">
                  <w:pPr>
                    <w:spacing w:after="0" w:line="240" w:lineRule="auto"/>
                    <w:rPr>
                      <w:rFonts w:ascii="Times New Roman" w:hAnsi="Times New Roman"/>
                      <w:sz w:val="24"/>
                      <w:szCs w:val="24"/>
                    </w:rPr>
                  </w:pPr>
                  <w:r w:rsidRPr="005B0591">
                    <w:rPr>
                      <w:rFonts w:ascii="Times New Roman" w:hAnsi="Times New Roman"/>
                      <w:sz w:val="24"/>
                      <w:szCs w:val="24"/>
                    </w:rPr>
                    <w:t>Apylinkių teismai</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1CBF50DD" w14:textId="77777777" w:rsidR="00745756" w:rsidRPr="005B0591" w:rsidRDefault="00745756" w:rsidP="00745756">
                  <w:pPr>
                    <w:spacing w:after="0" w:line="240" w:lineRule="auto"/>
                    <w:jc w:val="center"/>
                  </w:pPr>
                  <w:r w:rsidRPr="005B0591">
                    <w:rPr>
                      <w:rFonts w:ascii="Times New Roman" w:hAnsi="Times New Roman"/>
                      <w:strike/>
                      <w:sz w:val="24"/>
                      <w:szCs w:val="24"/>
                    </w:rPr>
                    <w:t>18,2</w:t>
                  </w:r>
                  <w:r w:rsidRPr="005B0591">
                    <w:rPr>
                      <w:rFonts w:ascii="Times New Roman" w:hAnsi="Times New Roman"/>
                      <w:sz w:val="24"/>
                      <w:szCs w:val="24"/>
                    </w:rPr>
                    <w:t xml:space="preserve"> </w:t>
                  </w:r>
                  <w:r w:rsidRPr="005B0591">
                    <w:rPr>
                      <w:rFonts w:ascii="Times New Roman" w:hAnsi="Times New Roman"/>
                      <w:b/>
                      <w:bCs/>
                      <w:sz w:val="24"/>
                      <w:szCs w:val="24"/>
                    </w:rPr>
                    <w:t>20,7</w:t>
                  </w:r>
                </w:p>
              </w:tc>
              <w:tc>
                <w:tcPr>
                  <w:tcW w:w="1276" w:type="dxa"/>
                  <w:tcBorders>
                    <w:bottom w:val="single" w:sz="8" w:space="0" w:color="000000"/>
                    <w:right w:val="single" w:sz="8" w:space="0" w:color="000000"/>
                  </w:tcBorders>
                  <w:tcMar>
                    <w:top w:w="0" w:type="dxa"/>
                    <w:left w:w="40" w:type="dxa"/>
                    <w:bottom w:w="0" w:type="dxa"/>
                    <w:right w:w="40" w:type="dxa"/>
                  </w:tcMar>
                  <w:vAlign w:val="center"/>
                </w:tcPr>
                <w:p w14:paraId="728DF71D" w14:textId="77777777" w:rsidR="00745756" w:rsidRPr="005B0591" w:rsidRDefault="00745756" w:rsidP="00745756">
                  <w:pPr>
                    <w:spacing w:after="0" w:line="240" w:lineRule="auto"/>
                    <w:jc w:val="center"/>
                  </w:pPr>
                  <w:r w:rsidRPr="005B0591">
                    <w:rPr>
                      <w:rFonts w:ascii="Times New Roman" w:hAnsi="Times New Roman"/>
                      <w:strike/>
                      <w:sz w:val="24"/>
                      <w:szCs w:val="24"/>
                    </w:rPr>
                    <w:t>17,2</w:t>
                  </w:r>
                  <w:r w:rsidRPr="005B0591">
                    <w:rPr>
                      <w:rFonts w:ascii="Times New Roman" w:hAnsi="Times New Roman"/>
                      <w:sz w:val="24"/>
                      <w:szCs w:val="24"/>
                    </w:rPr>
                    <w:t xml:space="preserve"> </w:t>
                  </w:r>
                  <w:r w:rsidRPr="005B0591">
                    <w:rPr>
                      <w:rFonts w:ascii="Times New Roman" w:hAnsi="Times New Roman"/>
                      <w:b/>
                      <w:bCs/>
                      <w:sz w:val="24"/>
                      <w:szCs w:val="24"/>
                    </w:rPr>
                    <w:t>19,57</w:t>
                  </w:r>
                </w:p>
              </w:tc>
              <w:tc>
                <w:tcPr>
                  <w:tcW w:w="1134" w:type="dxa"/>
                  <w:tcBorders>
                    <w:bottom w:val="single" w:sz="8" w:space="0" w:color="000000"/>
                    <w:right w:val="single" w:sz="8" w:space="0" w:color="000000"/>
                  </w:tcBorders>
                  <w:tcMar>
                    <w:top w:w="0" w:type="dxa"/>
                    <w:left w:w="40" w:type="dxa"/>
                    <w:bottom w:w="0" w:type="dxa"/>
                    <w:right w:w="40" w:type="dxa"/>
                  </w:tcMar>
                  <w:vAlign w:val="center"/>
                </w:tcPr>
                <w:p w14:paraId="4B4E02A7" w14:textId="77777777" w:rsidR="00745756" w:rsidRPr="005B0591" w:rsidRDefault="00745756" w:rsidP="00745756">
                  <w:pPr>
                    <w:spacing w:after="0" w:line="240" w:lineRule="auto"/>
                    <w:jc w:val="center"/>
                    <w:rPr>
                      <w:rFonts w:ascii="Times New Roman" w:hAnsi="Times New Roman"/>
                      <w:sz w:val="24"/>
                      <w:szCs w:val="24"/>
                    </w:rPr>
                  </w:pPr>
                  <w:r w:rsidRPr="005B0591">
                    <w:rPr>
                      <w:rFonts w:ascii="Times New Roman" w:hAnsi="Times New Roman"/>
                      <w:sz w:val="24"/>
                      <w:szCs w:val="24"/>
                    </w:rPr>
                    <w:t>–</w:t>
                  </w:r>
                </w:p>
              </w:tc>
              <w:tc>
                <w:tcPr>
                  <w:tcW w:w="708" w:type="dxa"/>
                  <w:tcBorders>
                    <w:bottom w:val="single" w:sz="8" w:space="0" w:color="000000"/>
                    <w:right w:val="single" w:sz="8" w:space="0" w:color="000000"/>
                  </w:tcBorders>
                  <w:tcMar>
                    <w:top w:w="0" w:type="dxa"/>
                    <w:left w:w="40" w:type="dxa"/>
                    <w:bottom w:w="0" w:type="dxa"/>
                    <w:right w:w="40" w:type="dxa"/>
                  </w:tcMar>
                  <w:vAlign w:val="center"/>
                </w:tcPr>
                <w:p w14:paraId="0AC8A8E6" w14:textId="77777777" w:rsidR="00745756" w:rsidRPr="005B0591" w:rsidRDefault="00745756" w:rsidP="00745756">
                  <w:pPr>
                    <w:spacing w:after="0" w:line="240" w:lineRule="auto"/>
                    <w:jc w:val="center"/>
                  </w:pPr>
                  <w:r w:rsidRPr="005B0591">
                    <w:rPr>
                      <w:rFonts w:ascii="Times New Roman" w:hAnsi="Times New Roman"/>
                      <w:strike/>
                      <w:sz w:val="24"/>
                      <w:szCs w:val="24"/>
                    </w:rPr>
                    <w:t>16,2</w:t>
                  </w:r>
                  <w:r w:rsidRPr="005B0591">
                    <w:rPr>
                      <w:rFonts w:ascii="Times New Roman" w:hAnsi="Times New Roman"/>
                      <w:sz w:val="24"/>
                      <w:szCs w:val="24"/>
                    </w:rPr>
                    <w:t xml:space="preserve"> </w:t>
                  </w:r>
                  <w:r w:rsidRPr="005B0591">
                    <w:rPr>
                      <w:rFonts w:ascii="Times New Roman" w:hAnsi="Times New Roman"/>
                      <w:b/>
                      <w:bCs/>
                      <w:sz w:val="24"/>
                      <w:szCs w:val="24"/>
                    </w:rPr>
                    <w:t>18,44</w:t>
                  </w:r>
                </w:p>
              </w:tc>
            </w:tr>
          </w:tbl>
          <w:p w14:paraId="5EF8F1BE" w14:textId="2AE6859F" w:rsidR="00286C79" w:rsidRPr="005B0591" w:rsidRDefault="00286C79" w:rsidP="004D4124">
            <w:pPr>
              <w:pStyle w:val="Betarp"/>
              <w:jc w:val="both"/>
              <w:rPr>
                <w:rFonts w:ascii="Times New Roman" w:eastAsia="Times New Roman" w:hAnsi="Times New Roman" w:cs="Times New Roman"/>
                <w:sz w:val="24"/>
                <w:szCs w:val="24"/>
              </w:rPr>
            </w:pPr>
          </w:p>
        </w:tc>
        <w:tc>
          <w:tcPr>
            <w:tcW w:w="5970" w:type="dxa"/>
          </w:tcPr>
          <w:p w14:paraId="0F5EDF44" w14:textId="77777777" w:rsidR="00E36F45" w:rsidRPr="005B0591" w:rsidRDefault="00FE5290" w:rsidP="00B674D9">
            <w:pPr>
              <w:ind w:firstLine="171"/>
              <w:jc w:val="both"/>
              <w:rPr>
                <w:rFonts w:ascii="Times New Roman" w:hAnsi="Times New Roman" w:cs="Times New Roman"/>
                <w:b/>
                <w:sz w:val="24"/>
                <w:szCs w:val="24"/>
              </w:rPr>
            </w:pPr>
            <w:r w:rsidRPr="005B0591">
              <w:rPr>
                <w:rFonts w:ascii="Times New Roman" w:hAnsi="Times New Roman" w:cs="Times New Roman"/>
                <w:b/>
                <w:sz w:val="24"/>
                <w:szCs w:val="24"/>
              </w:rPr>
              <w:lastRenderedPageBreak/>
              <w:t>Nea</w:t>
            </w:r>
            <w:r w:rsidR="00E36F45" w:rsidRPr="005B0591">
              <w:rPr>
                <w:rFonts w:ascii="Times New Roman" w:hAnsi="Times New Roman" w:cs="Times New Roman"/>
                <w:b/>
                <w:sz w:val="24"/>
                <w:szCs w:val="24"/>
              </w:rPr>
              <w:t xml:space="preserve">tsižvelgta. </w:t>
            </w:r>
          </w:p>
          <w:p w14:paraId="2ED2C391" w14:textId="7568B818" w:rsidR="00B674D9" w:rsidRPr="005B0591" w:rsidRDefault="00B674D9" w:rsidP="00B674D9">
            <w:pPr>
              <w:ind w:firstLine="171"/>
              <w:jc w:val="both"/>
              <w:rPr>
                <w:rFonts w:ascii="Times New Roman" w:hAnsi="Times New Roman" w:cs="Times New Roman"/>
                <w:sz w:val="24"/>
                <w:szCs w:val="24"/>
              </w:rPr>
            </w:pPr>
            <w:r w:rsidRPr="005B0591">
              <w:rPr>
                <w:rFonts w:ascii="Times New Roman" w:hAnsi="Times New Roman" w:cs="Times New Roman"/>
                <w:sz w:val="24"/>
                <w:szCs w:val="24"/>
              </w:rPr>
              <w:t>Lietuvos Respublikos Vyriausybės 2021–2024 metų teisėkūros plano, patvirtinto Vyriausybės 2021 m. kovo 31</w:t>
            </w:r>
            <w:r w:rsidR="005F4189" w:rsidRPr="005B0591">
              <w:rPr>
                <w:rFonts w:ascii="Times New Roman" w:hAnsi="Times New Roman" w:cs="Times New Roman"/>
                <w:sz w:val="24"/>
                <w:szCs w:val="24"/>
              </w:rPr>
              <w:t> </w:t>
            </w:r>
            <w:r w:rsidRPr="005B0591">
              <w:rPr>
                <w:rFonts w:ascii="Times New Roman" w:hAnsi="Times New Roman" w:cs="Times New Roman"/>
                <w:sz w:val="24"/>
                <w:szCs w:val="24"/>
              </w:rPr>
              <w:t>d. pasitarimo sprendimo (protokolo Nr. 18, 1</w:t>
            </w:r>
            <w:r w:rsidR="005F4189" w:rsidRPr="005B0591">
              <w:rPr>
                <w:rFonts w:ascii="Times New Roman" w:hAnsi="Times New Roman" w:cs="Times New Roman"/>
                <w:sz w:val="24"/>
                <w:szCs w:val="24"/>
              </w:rPr>
              <w:t> </w:t>
            </w:r>
            <w:r w:rsidRPr="005B0591">
              <w:rPr>
                <w:rFonts w:ascii="Times New Roman" w:hAnsi="Times New Roman" w:cs="Times New Roman"/>
                <w:sz w:val="24"/>
                <w:szCs w:val="24"/>
              </w:rPr>
              <w:t xml:space="preserve">klausimas) </w:t>
            </w:r>
            <w:r w:rsidRPr="005B0591">
              <w:rPr>
                <w:rFonts w:ascii="Times New Roman" w:hAnsi="Times New Roman" w:cs="Times New Roman"/>
                <w:sz w:val="24"/>
                <w:szCs w:val="24"/>
              </w:rPr>
              <w:lastRenderedPageBreak/>
              <w:t>1 priedu (toliau – Teisėkūros planas), 150 punkte nurodyta, kad Lietuvos Respublikos teisėjų atlyginimų įstatymo Nr.</w:t>
            </w:r>
            <w:r w:rsidR="00721160" w:rsidRPr="005B0591">
              <w:rPr>
                <w:rFonts w:ascii="Times New Roman" w:hAnsi="Times New Roman" w:cs="Times New Roman"/>
                <w:sz w:val="24"/>
                <w:szCs w:val="24"/>
              </w:rPr>
              <w:t> </w:t>
            </w:r>
            <w:r w:rsidRPr="005B0591">
              <w:rPr>
                <w:rFonts w:ascii="Times New Roman" w:hAnsi="Times New Roman" w:cs="Times New Roman"/>
                <w:sz w:val="24"/>
                <w:szCs w:val="24"/>
              </w:rPr>
              <w:t>X</w:t>
            </w:r>
            <w:r w:rsidR="00721160" w:rsidRPr="005B0591">
              <w:rPr>
                <w:rFonts w:ascii="Times New Roman" w:hAnsi="Times New Roman" w:cs="Times New Roman"/>
                <w:sz w:val="24"/>
                <w:szCs w:val="24"/>
              </w:rPr>
              <w:noBreakHyphen/>
            </w:r>
            <w:r w:rsidRPr="005B0591">
              <w:rPr>
                <w:rFonts w:ascii="Times New Roman" w:hAnsi="Times New Roman" w:cs="Times New Roman"/>
                <w:sz w:val="24"/>
                <w:szCs w:val="24"/>
              </w:rPr>
              <w:t>1771 pakeitimo įstatymo projekto (toliau – Įstatymo projektas) tikslas – įgyvendinti Lietuvos Respublikos Konstitucinio Teismo nutarimą, teisėjams mokamo priedo už ištarnautus Lietuvos valstybei metus skaičiavimo tvarką ir bazinio dydžio sąvoką suvienodinti su Lietuvos Respublikos valstybės tarnybos įstatyme nustatyta tvarka ir sąvoka. Pareiginių algų koeficientų didinimas Teisėkūros plane nenumatytas.</w:t>
            </w:r>
          </w:p>
          <w:p w14:paraId="66A55D34" w14:textId="4D6B6E5F" w:rsidR="00B674D9" w:rsidRPr="005B0591" w:rsidRDefault="00B674D9" w:rsidP="00B674D9">
            <w:pPr>
              <w:ind w:firstLine="171"/>
              <w:jc w:val="both"/>
              <w:rPr>
                <w:rFonts w:ascii="Times New Roman" w:hAnsi="Times New Roman" w:cs="Times New Roman"/>
                <w:sz w:val="24"/>
                <w:szCs w:val="24"/>
              </w:rPr>
            </w:pPr>
            <w:r w:rsidRPr="005B0591">
              <w:rPr>
                <w:rFonts w:ascii="Times New Roman" w:hAnsi="Times New Roman" w:cs="Times New Roman"/>
                <w:sz w:val="24"/>
                <w:szCs w:val="24"/>
              </w:rPr>
              <w:t>Be to, paminėtina, kad valstybės politikų ir valstybės pareigūnų darbo užmokestis nuo 2014 m., kai buvo atkurti prieš ekonominę krizę galioję pareiginių algų dydžiai, nė karto nebuvo sistemiškai didintas.</w:t>
            </w:r>
          </w:p>
          <w:p w14:paraId="45A7F3FE" w14:textId="3E391476" w:rsidR="00E857F5" w:rsidRPr="005B0591" w:rsidRDefault="00E857F5" w:rsidP="00A1785A">
            <w:pPr>
              <w:jc w:val="both"/>
              <w:rPr>
                <w:rFonts w:ascii="Times New Roman" w:hAnsi="Times New Roman" w:cs="Times New Roman"/>
                <w:sz w:val="24"/>
                <w:szCs w:val="24"/>
              </w:rPr>
            </w:pPr>
          </w:p>
        </w:tc>
      </w:tr>
      <w:tr w:rsidR="00334F5A" w:rsidRPr="002F3688" w14:paraId="7985D807" w14:textId="77777777" w:rsidTr="005B0591">
        <w:trPr>
          <w:trHeight w:val="845"/>
        </w:trPr>
        <w:tc>
          <w:tcPr>
            <w:tcW w:w="2503" w:type="dxa"/>
          </w:tcPr>
          <w:p w14:paraId="06B0C14C" w14:textId="77777777" w:rsidR="00334F5A" w:rsidRPr="005B0591" w:rsidRDefault="00334F5A" w:rsidP="000B2D67">
            <w:pPr>
              <w:jc w:val="both"/>
              <w:rPr>
                <w:rFonts w:ascii="Times New Roman" w:hAnsi="Times New Roman" w:cs="Times New Roman"/>
                <w:sz w:val="24"/>
                <w:szCs w:val="24"/>
              </w:rPr>
            </w:pPr>
          </w:p>
        </w:tc>
        <w:tc>
          <w:tcPr>
            <w:tcW w:w="6525" w:type="dxa"/>
          </w:tcPr>
          <w:p w14:paraId="471271C6" w14:textId="03C8DC22" w:rsidR="006177E2" w:rsidRPr="005B0591" w:rsidRDefault="006177E2" w:rsidP="006177E2">
            <w:pPr>
              <w:ind w:firstLine="322"/>
              <w:jc w:val="both"/>
              <w:rPr>
                <w:rFonts w:ascii="Times New Roman" w:hAnsi="Times New Roman" w:cs="Times New Roman"/>
                <w:i/>
                <w:sz w:val="24"/>
                <w:szCs w:val="24"/>
              </w:rPr>
            </w:pPr>
            <w:r w:rsidRPr="005B0591">
              <w:rPr>
                <w:rFonts w:ascii="Times New Roman" w:hAnsi="Times New Roman" w:cs="Times New Roman"/>
                <w:b/>
                <w:bCs/>
                <w:i/>
                <w:iCs/>
                <w:color w:val="000000"/>
                <w:sz w:val="24"/>
                <w:szCs w:val="24"/>
                <w:shd w:val="clear" w:color="auto" w:fill="FFFFFF"/>
              </w:rPr>
              <w:t>4.</w:t>
            </w:r>
            <w:r w:rsidRPr="005B0591">
              <w:rPr>
                <w:rFonts w:ascii="Times New Roman" w:hAnsi="Times New Roman" w:cs="Times New Roman"/>
                <w:color w:val="000000"/>
                <w:sz w:val="24"/>
                <w:szCs w:val="24"/>
                <w:shd w:val="clear" w:color="auto" w:fill="FFFFFF"/>
              </w:rPr>
              <w:t xml:space="preserve"> </w:t>
            </w:r>
            <w:r w:rsidRPr="005B0591">
              <w:rPr>
                <w:rFonts w:ascii="Times New Roman" w:hAnsi="Times New Roman" w:cs="Times New Roman"/>
                <w:b/>
                <w:bCs/>
                <w:i/>
                <w:iCs/>
                <w:sz w:val="24"/>
                <w:szCs w:val="24"/>
              </w:rPr>
              <w:t>Dėl lėšų poreikio</w:t>
            </w:r>
          </w:p>
          <w:p w14:paraId="29A38D60" w14:textId="77777777" w:rsidR="006177E2" w:rsidRPr="005B0591" w:rsidRDefault="006177E2" w:rsidP="006177E2">
            <w:pPr>
              <w:ind w:firstLine="322"/>
              <w:jc w:val="both"/>
              <w:rPr>
                <w:rFonts w:ascii="Times New Roman" w:eastAsia="Times New Roman" w:hAnsi="Times New Roman" w:cs="Times New Roman"/>
                <w:sz w:val="24"/>
                <w:szCs w:val="24"/>
              </w:rPr>
            </w:pPr>
            <w:r w:rsidRPr="005B0591">
              <w:rPr>
                <w:rFonts w:ascii="Times New Roman" w:eastAsia="Times New Roman" w:hAnsi="Times New Roman" w:cs="Times New Roman"/>
                <w:sz w:val="24"/>
                <w:szCs w:val="24"/>
              </w:rPr>
              <w:t xml:space="preserve">Aiškinamajame rašte nurodoma, kad papildomų valstybės biudžeto lėšų bendrosios kompetencijos ir specializuotų teismų teisėjams už darbą ir budėjimą poilsio ir švenčių dienomis mokėti nereikės, nes šios lėšos teismams skiriamos pagal </w:t>
            </w:r>
            <w:r w:rsidRPr="005B0591">
              <w:rPr>
                <w:rFonts w:ascii="Times New Roman" w:eastAsia="Times New Roman" w:hAnsi="Times New Roman" w:cs="Times New Roman"/>
                <w:sz w:val="24"/>
                <w:szCs w:val="24"/>
                <w:lang w:eastAsia="lt-LT"/>
              </w:rPr>
              <w:t>Kompensavimo teisėjams už darbą poilsio ir švenčių dienomis bei budėjimą tvarkos aprašo, patvirtinto Teisėjų tarybos 2014 m. gruodžio 19 d. nutarimu Nr. 13P</w:t>
            </w:r>
            <w:r w:rsidRPr="005B0591">
              <w:rPr>
                <w:rFonts w:ascii="Times New Roman" w:eastAsia="Times New Roman" w:hAnsi="Times New Roman" w:cs="Times New Roman"/>
                <w:sz w:val="24"/>
                <w:szCs w:val="24"/>
                <w:lang w:eastAsia="lt-LT"/>
              </w:rPr>
              <w:noBreakHyphen/>
              <w:t>167</w:t>
            </w:r>
            <w:r w:rsidRPr="005B0591">
              <w:rPr>
                <w:rFonts w:ascii="Times New Roman" w:eastAsia="Times New Roman" w:hAnsi="Times New Roman" w:cs="Times New Roman"/>
                <w:sz w:val="24"/>
                <w:szCs w:val="24"/>
                <w:lang w:eastAsia="lt-LT"/>
              </w:rPr>
              <w:noBreakHyphen/>
              <w:t xml:space="preserve">(7.1.2) „Dėl Pavyzdinio kompensavimo teisėjams už viršvalandinį darbą, darbą poilsio ir švenčių dienomis bei budėjimą tvarkos aprašo patvirtinimo“ (toliau – Aprašas) </w:t>
            </w:r>
            <w:r w:rsidRPr="005B0591">
              <w:rPr>
                <w:rFonts w:ascii="Times New Roman" w:eastAsia="Times New Roman" w:hAnsi="Times New Roman" w:cs="Times New Roman"/>
                <w:sz w:val="24"/>
                <w:szCs w:val="24"/>
              </w:rPr>
              <w:t>nuostatas.</w:t>
            </w:r>
          </w:p>
          <w:p w14:paraId="02736A8E" w14:textId="2742328E" w:rsidR="006177E2" w:rsidRPr="005B0591" w:rsidRDefault="006177E2" w:rsidP="006177E2">
            <w:pPr>
              <w:ind w:firstLine="322"/>
              <w:jc w:val="both"/>
              <w:rPr>
                <w:rFonts w:ascii="Times New Roman" w:eastAsia="Times New Roman" w:hAnsi="Times New Roman" w:cs="Times New Roman"/>
                <w:color w:val="000000"/>
                <w:sz w:val="24"/>
                <w:szCs w:val="24"/>
                <w:shd w:val="clear" w:color="auto" w:fill="FFFFFF"/>
              </w:rPr>
            </w:pPr>
            <w:r w:rsidRPr="005B0591">
              <w:rPr>
                <w:rFonts w:ascii="Times New Roman" w:eastAsia="Times New Roman" w:hAnsi="Times New Roman" w:cs="Times New Roman"/>
                <w:sz w:val="24"/>
                <w:szCs w:val="24"/>
              </w:rPr>
              <w:t xml:space="preserve">Teisėjų tarybos 2018 </w:t>
            </w:r>
            <w:r w:rsidR="00D9643A" w:rsidRPr="005B0591">
              <w:rPr>
                <w:rFonts w:ascii="Times New Roman" w:eastAsia="Times New Roman" w:hAnsi="Times New Roman" w:cs="Times New Roman"/>
                <w:sz w:val="24"/>
                <w:szCs w:val="24"/>
              </w:rPr>
              <w:t>m. balandžio 27 d. nutarimo Nr. 13P</w:t>
            </w:r>
            <w:r w:rsidR="00D9643A" w:rsidRPr="005B0591">
              <w:rPr>
                <w:rFonts w:ascii="Times New Roman" w:eastAsia="Times New Roman" w:hAnsi="Times New Roman" w:cs="Times New Roman"/>
                <w:sz w:val="24"/>
                <w:szCs w:val="24"/>
              </w:rPr>
              <w:noBreakHyphen/>
            </w:r>
            <w:r w:rsidRPr="005B0591">
              <w:rPr>
                <w:rFonts w:ascii="Times New Roman" w:eastAsia="Times New Roman" w:hAnsi="Times New Roman" w:cs="Times New Roman"/>
                <w:sz w:val="24"/>
                <w:szCs w:val="24"/>
              </w:rPr>
              <w:t>39</w:t>
            </w:r>
            <w:r w:rsidR="00D9643A" w:rsidRPr="005B0591">
              <w:rPr>
                <w:rFonts w:ascii="Times New Roman" w:eastAsia="Times New Roman" w:hAnsi="Times New Roman" w:cs="Times New Roman"/>
                <w:sz w:val="24"/>
                <w:szCs w:val="24"/>
              </w:rPr>
              <w:noBreakHyphen/>
            </w:r>
            <w:r w:rsidRPr="005B0591">
              <w:rPr>
                <w:rFonts w:ascii="Times New Roman" w:eastAsia="Times New Roman" w:hAnsi="Times New Roman" w:cs="Times New Roman"/>
                <w:sz w:val="24"/>
                <w:szCs w:val="24"/>
              </w:rPr>
              <w:t xml:space="preserve">(7.1.2) „Dėl </w:t>
            </w:r>
            <w:r w:rsidRPr="005B0591">
              <w:rPr>
                <w:rFonts w:ascii="Times New Roman" w:eastAsia="Times New Roman" w:hAnsi="Times New Roman" w:cs="Times New Roman"/>
                <w:sz w:val="24"/>
                <w:szCs w:val="24"/>
                <w:lang w:eastAsia="lt-LT"/>
              </w:rPr>
              <w:t>Teisėjų tarybos 2014 m. gruodžio 19 d. nutarimo Nr. 13P</w:t>
            </w:r>
            <w:r w:rsidRPr="005B0591">
              <w:rPr>
                <w:rFonts w:ascii="Times New Roman" w:eastAsia="Times New Roman" w:hAnsi="Times New Roman" w:cs="Times New Roman"/>
                <w:sz w:val="24"/>
                <w:szCs w:val="24"/>
                <w:lang w:eastAsia="lt-LT"/>
              </w:rPr>
              <w:noBreakHyphen/>
              <w:t>167</w:t>
            </w:r>
            <w:r w:rsidRPr="005B0591">
              <w:rPr>
                <w:rFonts w:ascii="Times New Roman" w:eastAsia="Times New Roman" w:hAnsi="Times New Roman" w:cs="Times New Roman"/>
                <w:sz w:val="24"/>
                <w:szCs w:val="24"/>
                <w:lang w:eastAsia="lt-LT"/>
              </w:rPr>
              <w:noBreakHyphen/>
              <w:t xml:space="preserve">(7.1.2) „Dėl Pavyzdinio kompensavimo teisėjams už viršvalandinį darbą, darbą poilsio ir švenčių dienomis bei budėjimą tvarkos </w:t>
            </w:r>
            <w:r w:rsidR="00D9643A" w:rsidRPr="005B0591">
              <w:rPr>
                <w:rFonts w:ascii="Times New Roman" w:eastAsia="Times New Roman" w:hAnsi="Times New Roman" w:cs="Times New Roman"/>
                <w:sz w:val="24"/>
                <w:szCs w:val="24"/>
                <w:lang w:eastAsia="lt-LT"/>
              </w:rPr>
              <w:t>aprašo patvirtinimo“ pakeitimo“</w:t>
            </w:r>
            <w:r w:rsidRPr="005B0591">
              <w:rPr>
                <w:rFonts w:ascii="Times New Roman" w:eastAsia="Times New Roman" w:hAnsi="Times New Roman" w:cs="Times New Roman"/>
                <w:sz w:val="24"/>
                <w:szCs w:val="24"/>
                <w:lang w:eastAsia="lt-LT"/>
              </w:rPr>
              <w:t xml:space="preserve"> </w:t>
            </w:r>
            <w:r w:rsidR="00D9643A" w:rsidRPr="005B0591">
              <w:rPr>
                <w:rFonts w:ascii="Times New Roman" w:eastAsia="Times New Roman" w:hAnsi="Times New Roman" w:cs="Times New Roman"/>
                <w:sz w:val="24"/>
                <w:szCs w:val="24"/>
              </w:rPr>
              <w:t>2.1 </w:t>
            </w:r>
            <w:r w:rsidRPr="005B0591">
              <w:rPr>
                <w:rFonts w:ascii="Times New Roman" w:eastAsia="Times New Roman" w:hAnsi="Times New Roman" w:cs="Times New Roman"/>
                <w:sz w:val="24"/>
                <w:szCs w:val="24"/>
              </w:rPr>
              <w:t xml:space="preserve">papunkčiu teismams buvo rekomenduota </w:t>
            </w:r>
            <w:r w:rsidRPr="005B0591">
              <w:rPr>
                <w:rFonts w:ascii="Times New Roman" w:eastAsia="Times New Roman" w:hAnsi="Times New Roman" w:cs="Times New Roman"/>
                <w:color w:val="000000"/>
                <w:sz w:val="24"/>
                <w:szCs w:val="24"/>
                <w:shd w:val="clear" w:color="auto" w:fill="FFFFFF"/>
              </w:rPr>
              <w:t xml:space="preserve">budėjimus teismuose organizuoti suderinus su policija, prokuratūra, </w:t>
            </w:r>
            <w:r w:rsidRPr="005B0591">
              <w:rPr>
                <w:rFonts w:ascii="Times New Roman" w:eastAsia="Times New Roman" w:hAnsi="Times New Roman" w:cs="Times New Roman"/>
                <w:sz w:val="24"/>
                <w:szCs w:val="24"/>
              </w:rPr>
              <w:t xml:space="preserve">budint teisme paprastai </w:t>
            </w:r>
            <w:r w:rsidRPr="005B0591">
              <w:rPr>
                <w:rFonts w:ascii="Times New Roman" w:eastAsia="Times New Roman" w:hAnsi="Times New Roman" w:cs="Times New Roman"/>
                <w:color w:val="000000"/>
                <w:sz w:val="24"/>
                <w:szCs w:val="24"/>
                <w:shd w:val="clear" w:color="auto" w:fill="FFFFFF"/>
              </w:rPr>
              <w:t>antrą poilsio dieną arba antrą šventinę dieną (jei iš eilės eina daugiau nei viena šventinė diena), jei objektyviai įmanoma, ne ilgiau 2–4</w:t>
            </w:r>
            <w:r w:rsidR="0039229F" w:rsidRPr="005B0591">
              <w:rPr>
                <w:rFonts w:ascii="Times New Roman" w:eastAsia="Times New Roman" w:hAnsi="Times New Roman" w:cs="Times New Roman"/>
                <w:color w:val="000000"/>
                <w:sz w:val="24"/>
                <w:szCs w:val="24"/>
                <w:shd w:val="clear" w:color="auto" w:fill="FFFFFF"/>
              </w:rPr>
              <w:t> </w:t>
            </w:r>
            <w:r w:rsidRPr="005B0591">
              <w:rPr>
                <w:rFonts w:ascii="Times New Roman" w:eastAsia="Times New Roman" w:hAnsi="Times New Roman" w:cs="Times New Roman"/>
                <w:color w:val="000000"/>
                <w:sz w:val="24"/>
                <w:szCs w:val="24"/>
                <w:shd w:val="clear" w:color="auto" w:fill="FFFFFF"/>
              </w:rPr>
              <w:t xml:space="preserve">valandas. </w:t>
            </w:r>
          </w:p>
          <w:p w14:paraId="20CB726D" w14:textId="2D7623E1" w:rsidR="006177E2" w:rsidRPr="005B0591" w:rsidRDefault="006177E2" w:rsidP="006177E2">
            <w:pPr>
              <w:ind w:firstLine="322"/>
              <w:jc w:val="both"/>
              <w:rPr>
                <w:rFonts w:ascii="Times New Roman" w:eastAsia="Times New Roman" w:hAnsi="Times New Roman" w:cs="Times New Roman"/>
                <w:color w:val="000000"/>
                <w:sz w:val="24"/>
                <w:szCs w:val="24"/>
                <w:shd w:val="clear" w:color="auto" w:fill="FFFFFF"/>
              </w:rPr>
            </w:pPr>
            <w:r w:rsidRPr="005B0591">
              <w:rPr>
                <w:rFonts w:ascii="Times New Roman" w:eastAsia="Times New Roman" w:hAnsi="Times New Roman" w:cs="Times New Roman"/>
                <w:sz w:val="24"/>
                <w:szCs w:val="24"/>
              </w:rPr>
              <w:t>Pažymėtina, kad finansavimas teisėjams už darbą ir budėjimą poilsio ir švenčių dienomis šiuo metu skiriamas atsižvelgus į esamą teismų poreikį. Iki šiol poreikis bendrosios kompetencijos ir specializuotų teismų teisėjams dirbti ir budėti poilsio ir švenčių dienomis buvo minimalus – š</w:t>
            </w:r>
            <w:r w:rsidRPr="005B0591">
              <w:rPr>
                <w:rFonts w:ascii="Times New Roman" w:eastAsia="Times New Roman" w:hAnsi="Times New Roman" w:cs="Times New Roman"/>
                <w:color w:val="000000"/>
                <w:sz w:val="24"/>
                <w:szCs w:val="24"/>
                <w:lang w:eastAsia="lt-LT"/>
              </w:rPr>
              <w:t>iuo metu teismai budi tik sekmadieniais, dažniausiai po 2 val., ir tik 1</w:t>
            </w:r>
            <w:r w:rsidR="005051C9" w:rsidRPr="005B0591">
              <w:rPr>
                <w:rFonts w:ascii="Times New Roman" w:eastAsia="Times New Roman" w:hAnsi="Times New Roman" w:cs="Times New Roman"/>
                <w:color w:val="000000"/>
                <w:sz w:val="24"/>
                <w:szCs w:val="24"/>
                <w:lang w:eastAsia="lt-LT"/>
              </w:rPr>
              <w:t>–</w:t>
            </w:r>
            <w:r w:rsidRPr="005B0591">
              <w:rPr>
                <w:rFonts w:ascii="Times New Roman" w:eastAsia="Times New Roman" w:hAnsi="Times New Roman" w:cs="Times New Roman"/>
                <w:color w:val="000000"/>
                <w:sz w:val="24"/>
                <w:szCs w:val="24"/>
                <w:lang w:eastAsia="lt-LT"/>
              </w:rPr>
              <w:t xml:space="preserve">2 teismo rūmai </w:t>
            </w:r>
            <w:r w:rsidRPr="005B0591">
              <w:rPr>
                <w:rFonts w:ascii="Times New Roman" w:eastAsia="Times New Roman" w:hAnsi="Times New Roman" w:cs="Times New Roman"/>
                <w:color w:val="000000"/>
                <w:sz w:val="24"/>
                <w:szCs w:val="24"/>
                <w:lang w:eastAsia="lt-LT"/>
              </w:rPr>
              <w:lastRenderedPageBreak/>
              <w:t>(dažniausiai centriniai), budi 1 teisėjas ir 1 teismo posėdžių sekretorius.</w:t>
            </w:r>
            <w:r w:rsidRPr="005B0591">
              <w:rPr>
                <w:rFonts w:ascii="Times New Roman" w:eastAsia="Times New Roman" w:hAnsi="Times New Roman" w:cs="Times New Roman"/>
                <w:sz w:val="24"/>
                <w:szCs w:val="24"/>
              </w:rPr>
              <w:t xml:space="preserve"> </w:t>
            </w:r>
          </w:p>
          <w:p w14:paraId="37F172DA" w14:textId="3618CF2F" w:rsidR="006177E2" w:rsidRPr="005B0591" w:rsidRDefault="006177E2" w:rsidP="006177E2">
            <w:pPr>
              <w:ind w:firstLine="322"/>
              <w:jc w:val="both"/>
              <w:rPr>
                <w:rFonts w:ascii="Times New Roman" w:eastAsia="Times New Roman" w:hAnsi="Times New Roman" w:cs="Times New Roman"/>
                <w:color w:val="000000"/>
                <w:sz w:val="24"/>
                <w:szCs w:val="24"/>
              </w:rPr>
            </w:pPr>
            <w:r w:rsidRPr="005B0591">
              <w:rPr>
                <w:rFonts w:ascii="Times New Roman" w:eastAsia="Times New Roman" w:hAnsi="Times New Roman" w:cs="Times New Roman"/>
                <w:color w:val="000000"/>
                <w:sz w:val="24"/>
                <w:szCs w:val="24"/>
                <w:shd w:val="clear" w:color="auto" w:fill="FFFFFF"/>
              </w:rPr>
              <w:t xml:space="preserve">Tačiau atkreiptinas dėmesys į naujas įstatymų leidybos iniciatyvas, kurios, labai tikėtina, lems ryškų </w:t>
            </w:r>
            <w:r w:rsidRPr="005B0591">
              <w:rPr>
                <w:rFonts w:ascii="Times New Roman" w:eastAsia="Times New Roman" w:hAnsi="Times New Roman" w:cs="Times New Roman"/>
                <w:sz w:val="24"/>
                <w:szCs w:val="24"/>
              </w:rPr>
              <w:t>poreikio bendrosios kompetencijos ir specializuotų teismų teisėjams dirbti ir budėti poilsio ir švenčių dienomis</w:t>
            </w:r>
            <w:r w:rsidRPr="005B0591">
              <w:rPr>
                <w:rFonts w:ascii="Times New Roman" w:eastAsia="Times New Roman" w:hAnsi="Times New Roman" w:cs="Times New Roman"/>
                <w:color w:val="000000"/>
                <w:sz w:val="24"/>
                <w:szCs w:val="24"/>
                <w:shd w:val="clear" w:color="auto" w:fill="FFFFFF"/>
              </w:rPr>
              <w:t xml:space="preserve"> didėjimą. Akivaizdus pavyzdys yra Lietuvos Respublikos socialinės </w:t>
            </w:r>
            <w:r w:rsidRPr="005B0591">
              <w:rPr>
                <w:rFonts w:ascii="Times New Roman" w:eastAsia="Times New Roman" w:hAnsi="Times New Roman" w:cs="Times New Roman"/>
                <w:sz w:val="24"/>
                <w:szCs w:val="24"/>
                <w:shd w:val="clear" w:color="auto" w:fill="FFFFFF"/>
              </w:rPr>
              <w:t xml:space="preserve">apsaugos ir darbo ministerijos parengti </w:t>
            </w:r>
            <w:bookmarkStart w:id="0" w:name="_Hlk80261342"/>
            <w:r w:rsidRPr="005B0591">
              <w:rPr>
                <w:rFonts w:ascii="Times New Roman" w:eastAsia="Times New Roman" w:hAnsi="Times New Roman" w:cs="Times New Roman"/>
                <w:sz w:val="24"/>
                <w:szCs w:val="24"/>
                <w:shd w:val="clear" w:color="auto" w:fill="FFFFFF"/>
              </w:rPr>
              <w:t>Lietuvos Respublikos apsaugos nuo smurto artimoje aplinkoje įstatymo Nr. XI-1425 pakeitimo įstatymo ir Lietuvos Respublikos administracinių nusižengimų kodekso 489 straipsnio pakeitimo įstatymo projektai (Lietuvos Respublikos Seimo Teisės aktų informacinėje sistemoje regis</w:t>
            </w:r>
            <w:r w:rsidR="00D9643A" w:rsidRPr="005B0591">
              <w:rPr>
                <w:rFonts w:ascii="Times New Roman" w:eastAsia="Times New Roman" w:hAnsi="Times New Roman" w:cs="Times New Roman"/>
                <w:sz w:val="24"/>
                <w:szCs w:val="24"/>
                <w:shd w:val="clear" w:color="auto" w:fill="FFFFFF"/>
              </w:rPr>
              <w:t>tracijos Nr. 20-15061(4) ir Nr. </w:t>
            </w:r>
            <w:r w:rsidRPr="005B0591">
              <w:rPr>
                <w:rFonts w:ascii="Times New Roman" w:eastAsia="Times New Roman" w:hAnsi="Times New Roman" w:cs="Times New Roman"/>
                <w:sz w:val="24"/>
                <w:szCs w:val="24"/>
                <w:shd w:val="clear" w:color="auto" w:fill="FFFFFF"/>
              </w:rPr>
              <w:t>20-15062(4)) (toliau – Projektai)</w:t>
            </w:r>
            <w:bookmarkEnd w:id="0"/>
            <w:r w:rsidRPr="005B0591">
              <w:rPr>
                <w:rFonts w:ascii="Times New Roman" w:eastAsia="Times New Roman" w:hAnsi="Times New Roman" w:cs="Times New Roman"/>
                <w:sz w:val="24"/>
                <w:szCs w:val="24"/>
                <w:shd w:val="clear" w:color="auto" w:fill="FFFFFF"/>
              </w:rPr>
              <w:t xml:space="preserve">, kuriuose siūloma įtvirtinti naują prevencinę priemonę – Apsaugos nuo smurto </w:t>
            </w:r>
            <w:r w:rsidRPr="005B0591">
              <w:rPr>
                <w:rFonts w:ascii="Times New Roman" w:eastAsia="Times New Roman" w:hAnsi="Times New Roman" w:cs="Times New Roman"/>
                <w:color w:val="000000"/>
                <w:sz w:val="24"/>
                <w:szCs w:val="24"/>
                <w:shd w:val="clear" w:color="auto" w:fill="FFFFFF"/>
              </w:rPr>
              <w:t xml:space="preserve">orderį. Šio orderio pratęsimo klausimą apylinkės teismas </w:t>
            </w:r>
            <w:r w:rsidRPr="005B0591">
              <w:rPr>
                <w:rFonts w:ascii="Times New Roman" w:eastAsia="Times New Roman" w:hAnsi="Times New Roman" w:cs="Times New Roman"/>
                <w:color w:val="000000"/>
                <w:sz w:val="24"/>
                <w:szCs w:val="24"/>
              </w:rPr>
              <w:t xml:space="preserve">turėtų išspręsti ne vėliau kaip per 24 valandas nuo policijos pareigūno kreipimosi, o skundą dėl sprendimo </w:t>
            </w:r>
            <w:r w:rsidRPr="005B0591">
              <w:rPr>
                <w:rFonts w:ascii="Times New Roman" w:eastAsia="Times New Roman" w:hAnsi="Times New Roman" w:cs="Times New Roman"/>
                <w:color w:val="000000"/>
                <w:sz w:val="24"/>
                <w:szCs w:val="24"/>
                <w:shd w:val="clear" w:color="auto" w:fill="FFFFFF"/>
              </w:rPr>
              <w:t>skirti</w:t>
            </w:r>
            <w:r w:rsidR="00B64AE8" w:rsidRPr="005B0591">
              <w:rPr>
                <w:rFonts w:ascii="Times New Roman" w:eastAsia="Times New Roman" w:hAnsi="Times New Roman" w:cs="Times New Roman"/>
                <w:color w:val="000000"/>
                <w:sz w:val="24"/>
                <w:szCs w:val="24"/>
                <w:shd w:val="clear" w:color="auto" w:fill="FFFFFF"/>
              </w:rPr>
              <w:t xml:space="preserve"> </w:t>
            </w:r>
            <w:r w:rsidRPr="005B0591">
              <w:rPr>
                <w:rFonts w:ascii="Times New Roman" w:eastAsia="Times New Roman" w:hAnsi="Times New Roman" w:cs="Times New Roman"/>
                <w:color w:val="000000"/>
                <w:sz w:val="24"/>
                <w:szCs w:val="24"/>
                <w:shd w:val="clear" w:color="auto" w:fill="FFFFFF"/>
              </w:rPr>
              <w:t>/</w:t>
            </w:r>
            <w:r w:rsidR="00B64AE8" w:rsidRPr="005B0591">
              <w:rPr>
                <w:rFonts w:ascii="Times New Roman" w:eastAsia="Times New Roman" w:hAnsi="Times New Roman" w:cs="Times New Roman"/>
                <w:color w:val="000000"/>
                <w:sz w:val="24"/>
                <w:szCs w:val="24"/>
                <w:shd w:val="clear" w:color="auto" w:fill="FFFFFF"/>
              </w:rPr>
              <w:t xml:space="preserve"> </w:t>
            </w:r>
            <w:r w:rsidRPr="005B0591">
              <w:rPr>
                <w:rFonts w:ascii="Times New Roman" w:eastAsia="Times New Roman" w:hAnsi="Times New Roman" w:cs="Times New Roman"/>
                <w:color w:val="000000"/>
                <w:sz w:val="24"/>
                <w:szCs w:val="24"/>
                <w:shd w:val="clear" w:color="auto" w:fill="FFFFFF"/>
              </w:rPr>
              <w:t xml:space="preserve">atsisakyti skirti orderį – per </w:t>
            </w:r>
            <w:r w:rsidRPr="005B0591">
              <w:rPr>
                <w:rFonts w:ascii="Times New Roman" w:eastAsia="Times New Roman" w:hAnsi="Times New Roman" w:cs="Times New Roman"/>
                <w:color w:val="000000"/>
                <w:sz w:val="24"/>
                <w:szCs w:val="24"/>
              </w:rPr>
              <w:t>2 dienas nuo skundo gavimo dienos. </w:t>
            </w:r>
          </w:p>
          <w:p w14:paraId="45F4422C" w14:textId="284B41C3" w:rsidR="00334F5A" w:rsidRPr="005B0591" w:rsidRDefault="006177E2" w:rsidP="006177E2">
            <w:pPr>
              <w:suppressAutoHyphens/>
              <w:autoSpaceDN w:val="0"/>
              <w:ind w:firstLine="322"/>
              <w:jc w:val="both"/>
              <w:textAlignment w:val="baseline"/>
              <w:rPr>
                <w:rFonts w:ascii="Times New Roman" w:eastAsia="Times New Roman" w:hAnsi="Times New Roman" w:cs="Times New Roman"/>
                <w:sz w:val="24"/>
                <w:szCs w:val="24"/>
              </w:rPr>
            </w:pPr>
            <w:r w:rsidRPr="005B0591">
              <w:rPr>
                <w:rFonts w:ascii="Times New Roman" w:eastAsia="Times New Roman" w:hAnsi="Times New Roman" w:cs="Times New Roman"/>
                <w:color w:val="000000"/>
                <w:sz w:val="24"/>
                <w:szCs w:val="24"/>
                <w:lang w:eastAsia="lt-LT"/>
              </w:rPr>
              <w:t xml:space="preserve">Priėmus Projektus, dėl juose nustatytų itin trumpų su Apsaugos nuo smurto orderiu susijusių klausimų nagrinėjimo terminų, atsirastų poreikis ilgesniam </w:t>
            </w:r>
            <w:r w:rsidRPr="005B0591">
              <w:rPr>
                <w:rFonts w:ascii="Times New Roman" w:eastAsia="Times New Roman" w:hAnsi="Times New Roman" w:cs="Times New Roman"/>
                <w:sz w:val="24"/>
                <w:szCs w:val="24"/>
              </w:rPr>
              <w:t>bendrosios kompetencijos ir specializuotų teismų</w:t>
            </w:r>
            <w:r w:rsidRPr="005B0591">
              <w:rPr>
                <w:rFonts w:ascii="Times New Roman" w:eastAsia="Times New Roman" w:hAnsi="Times New Roman" w:cs="Times New Roman"/>
                <w:color w:val="000000"/>
                <w:sz w:val="24"/>
                <w:szCs w:val="24"/>
                <w:lang w:eastAsia="lt-LT"/>
              </w:rPr>
              <w:t xml:space="preserve"> teisėjų budėjimui – teismai turėtų organizuoti budėjimą ir šeštadieniais. Atitinkamai kompensavimui už tokį budėjimą bus reikalingos papildomos lėšos, kurių pagrindimas yra pateiktas </w:t>
            </w:r>
            <w:r w:rsidRPr="005B0591">
              <w:rPr>
                <w:rFonts w:ascii="Times New Roman" w:eastAsia="Times New Roman" w:hAnsi="Times New Roman" w:cs="Times New Roman"/>
                <w:color w:val="000000"/>
                <w:sz w:val="24"/>
                <w:szCs w:val="24"/>
                <w:shd w:val="clear" w:color="auto" w:fill="FFFFFF"/>
              </w:rPr>
              <w:t xml:space="preserve">Socialinės apsaugos ir darbo ministerijai teikiant pastabas dėl Projektų (Projektų įgyvendinimui, preliminariais paskaičiavimais, </w:t>
            </w:r>
            <w:r w:rsidRPr="005B0591">
              <w:rPr>
                <w:rFonts w:ascii="Times New Roman" w:eastAsia="Times New Roman" w:hAnsi="Times New Roman" w:cs="Times New Roman"/>
                <w:sz w:val="24"/>
                <w:szCs w:val="24"/>
              </w:rPr>
              <w:t>reikalinga 363 000 eurų papildomų valstybės biudžeto lėšų, skirtų 12 apylinkės teismų 1</w:t>
            </w:r>
            <w:r w:rsidR="005051C9" w:rsidRPr="005B0591">
              <w:rPr>
                <w:rFonts w:ascii="Times New Roman" w:eastAsia="Times New Roman" w:hAnsi="Times New Roman" w:cs="Times New Roman"/>
                <w:sz w:val="24"/>
                <w:szCs w:val="24"/>
              </w:rPr>
              <w:t>–</w:t>
            </w:r>
            <w:r w:rsidRPr="005B0591">
              <w:rPr>
                <w:rFonts w:ascii="Times New Roman" w:eastAsia="Times New Roman" w:hAnsi="Times New Roman" w:cs="Times New Roman"/>
                <w:sz w:val="24"/>
                <w:szCs w:val="24"/>
              </w:rPr>
              <w:t>2 rūmų 1 teisėjo ir 1</w:t>
            </w:r>
            <w:r w:rsidR="0039229F" w:rsidRPr="005B0591">
              <w:rPr>
                <w:rFonts w:ascii="Times New Roman" w:eastAsia="Times New Roman" w:hAnsi="Times New Roman" w:cs="Times New Roman"/>
                <w:sz w:val="24"/>
                <w:szCs w:val="24"/>
              </w:rPr>
              <w:t> </w:t>
            </w:r>
            <w:r w:rsidRPr="005B0591">
              <w:rPr>
                <w:rFonts w:ascii="Times New Roman" w:eastAsia="Times New Roman" w:hAnsi="Times New Roman" w:cs="Times New Roman"/>
                <w:sz w:val="24"/>
                <w:szCs w:val="24"/>
              </w:rPr>
              <w:t>teismo posėdžių sekretoriaus budėjimo laikui apmokėti, kad būtų užtikrintas budėjimas po 4 val. šeštadienį, sekmadienį ir švenčių dienomis).</w:t>
            </w:r>
          </w:p>
        </w:tc>
        <w:tc>
          <w:tcPr>
            <w:tcW w:w="5970" w:type="dxa"/>
          </w:tcPr>
          <w:p w14:paraId="469B695A" w14:textId="5C004B08" w:rsidR="00334F5A" w:rsidRPr="005B0591" w:rsidRDefault="005264DB" w:rsidP="002077BC">
            <w:pPr>
              <w:ind w:firstLine="312"/>
              <w:jc w:val="both"/>
              <w:rPr>
                <w:rFonts w:ascii="Times New Roman" w:hAnsi="Times New Roman" w:cs="Times New Roman"/>
                <w:b/>
                <w:sz w:val="24"/>
                <w:szCs w:val="24"/>
              </w:rPr>
            </w:pPr>
            <w:r w:rsidRPr="005B0591">
              <w:rPr>
                <w:rFonts w:ascii="Times New Roman" w:hAnsi="Times New Roman" w:cs="Times New Roman"/>
                <w:b/>
                <w:sz w:val="24"/>
                <w:szCs w:val="24"/>
              </w:rPr>
              <w:lastRenderedPageBreak/>
              <w:t>Neatsižvelgta</w:t>
            </w:r>
            <w:r w:rsidR="00B434E5" w:rsidRPr="005B0591">
              <w:rPr>
                <w:rFonts w:ascii="Times New Roman" w:hAnsi="Times New Roman" w:cs="Times New Roman"/>
                <w:b/>
                <w:sz w:val="24"/>
                <w:szCs w:val="24"/>
              </w:rPr>
              <w:t>.</w:t>
            </w:r>
          </w:p>
          <w:p w14:paraId="4EE1CE35" w14:textId="296220E8" w:rsidR="00323C0C" w:rsidRPr="005B0591" w:rsidRDefault="005264DB" w:rsidP="00323C0C">
            <w:pPr>
              <w:ind w:firstLine="312"/>
              <w:jc w:val="both"/>
              <w:rPr>
                <w:rFonts w:ascii="Times New Roman" w:eastAsia="Times New Roman" w:hAnsi="Times New Roman" w:cs="Times New Roman"/>
                <w:color w:val="000000"/>
                <w:sz w:val="24"/>
                <w:szCs w:val="24"/>
                <w:lang w:eastAsia="lt-LT"/>
              </w:rPr>
            </w:pPr>
            <w:r w:rsidRPr="005B0591">
              <w:rPr>
                <w:rFonts w:ascii="Times New Roman" w:eastAsia="Times New Roman" w:hAnsi="Times New Roman" w:cs="Times New Roman"/>
                <w:sz w:val="24"/>
                <w:szCs w:val="24"/>
                <w:shd w:val="clear" w:color="auto" w:fill="FFFFFF"/>
              </w:rPr>
              <w:t>Lietuvos Respublikos apsaugos nuo smurto artimoje aplinkoje įstatymo Nr. XI-1425 pakeitimo įstatymo ir Lietuvos Respublikos administracinių nusižengimų kodekso 489 straipsnio pakeitimo įstatymo projekt</w:t>
            </w:r>
            <w:r w:rsidR="00323C0C" w:rsidRPr="005B0591">
              <w:rPr>
                <w:rFonts w:ascii="Times New Roman" w:eastAsia="Times New Roman" w:hAnsi="Times New Roman" w:cs="Times New Roman"/>
                <w:sz w:val="24"/>
                <w:szCs w:val="24"/>
                <w:shd w:val="clear" w:color="auto" w:fill="FFFFFF"/>
              </w:rPr>
              <w:t xml:space="preserve">ų (toliau – Projektai) įsigaliojimo data – 2023 m. sausio 1 d. Lietuvos Respublikos finansų ministerija, išnagrinėjusi pateiktus derinti projektus ir įvertinusi </w:t>
            </w:r>
            <w:r w:rsidR="00323C0C" w:rsidRPr="005B0591">
              <w:rPr>
                <w:rFonts w:ascii="Times New Roman" w:hAnsi="Times New Roman" w:cs="Times New Roman"/>
                <w:color w:val="000000"/>
                <w:sz w:val="24"/>
                <w:szCs w:val="24"/>
              </w:rPr>
              <w:t>papildomą valstybės b</w:t>
            </w:r>
            <w:r w:rsidR="00721160" w:rsidRPr="005B0591">
              <w:rPr>
                <w:rFonts w:ascii="Times New Roman" w:hAnsi="Times New Roman" w:cs="Times New Roman"/>
                <w:color w:val="000000"/>
                <w:sz w:val="24"/>
                <w:szCs w:val="24"/>
              </w:rPr>
              <w:t>iudžeto</w:t>
            </w:r>
            <w:r w:rsidR="001072CA" w:rsidRPr="005B0591">
              <w:rPr>
                <w:rFonts w:ascii="Times New Roman" w:hAnsi="Times New Roman" w:cs="Times New Roman"/>
                <w:color w:val="000000"/>
                <w:sz w:val="24"/>
                <w:szCs w:val="24"/>
              </w:rPr>
              <w:t> </w:t>
            </w:r>
            <w:r w:rsidR="00721160" w:rsidRPr="005B0591">
              <w:rPr>
                <w:rFonts w:ascii="Times New Roman" w:hAnsi="Times New Roman" w:cs="Times New Roman"/>
                <w:color w:val="000000"/>
                <w:sz w:val="24"/>
                <w:szCs w:val="24"/>
              </w:rPr>
              <w:t>lėšų</w:t>
            </w:r>
            <w:r w:rsidR="001072CA" w:rsidRPr="005B0591">
              <w:rPr>
                <w:rFonts w:ascii="Times New Roman" w:hAnsi="Times New Roman" w:cs="Times New Roman"/>
                <w:color w:val="000000"/>
                <w:sz w:val="24"/>
                <w:szCs w:val="24"/>
              </w:rPr>
              <w:t> </w:t>
            </w:r>
            <w:r w:rsidR="00721160" w:rsidRPr="005B0591">
              <w:rPr>
                <w:rFonts w:ascii="Times New Roman" w:hAnsi="Times New Roman" w:cs="Times New Roman"/>
                <w:color w:val="000000"/>
                <w:sz w:val="24"/>
                <w:szCs w:val="24"/>
              </w:rPr>
              <w:t>poreikį,</w:t>
            </w:r>
            <w:r w:rsidR="001072CA" w:rsidRPr="005B0591">
              <w:rPr>
                <w:rFonts w:ascii="Times New Roman" w:hAnsi="Times New Roman" w:cs="Times New Roman"/>
                <w:color w:val="000000"/>
                <w:sz w:val="24"/>
                <w:szCs w:val="24"/>
              </w:rPr>
              <w:t> </w:t>
            </w:r>
            <w:r w:rsidR="00721160" w:rsidRPr="005B0591">
              <w:rPr>
                <w:rFonts w:ascii="Times New Roman" w:hAnsi="Times New Roman" w:cs="Times New Roman"/>
                <w:color w:val="000000"/>
                <w:sz w:val="24"/>
                <w:szCs w:val="24"/>
              </w:rPr>
              <w:t>savo</w:t>
            </w:r>
            <w:r w:rsidR="001072CA" w:rsidRPr="005B0591">
              <w:rPr>
                <w:rFonts w:ascii="Times New Roman" w:hAnsi="Times New Roman" w:cs="Times New Roman"/>
                <w:color w:val="000000"/>
                <w:sz w:val="24"/>
                <w:szCs w:val="24"/>
              </w:rPr>
              <w:t> </w:t>
            </w:r>
            <w:r w:rsidR="00721160" w:rsidRPr="005B0591">
              <w:rPr>
                <w:rFonts w:ascii="Times New Roman" w:hAnsi="Times New Roman" w:cs="Times New Roman"/>
                <w:color w:val="000000"/>
                <w:sz w:val="24"/>
                <w:szCs w:val="24"/>
              </w:rPr>
              <w:t>2021</w:t>
            </w:r>
            <w:r w:rsidR="001072CA" w:rsidRPr="005B0591">
              <w:rPr>
                <w:rFonts w:ascii="Times New Roman" w:hAnsi="Times New Roman" w:cs="Times New Roman"/>
                <w:color w:val="000000"/>
                <w:sz w:val="24"/>
                <w:szCs w:val="24"/>
              </w:rPr>
              <w:t> </w:t>
            </w:r>
            <w:r w:rsidR="00721160" w:rsidRPr="005B0591">
              <w:rPr>
                <w:rFonts w:ascii="Times New Roman" w:hAnsi="Times New Roman" w:cs="Times New Roman"/>
                <w:color w:val="000000"/>
                <w:sz w:val="24"/>
                <w:szCs w:val="24"/>
              </w:rPr>
              <w:t>m.</w:t>
            </w:r>
            <w:r w:rsidR="001072CA" w:rsidRPr="005B0591">
              <w:rPr>
                <w:rFonts w:ascii="Times New Roman" w:hAnsi="Times New Roman" w:cs="Times New Roman"/>
                <w:color w:val="000000"/>
                <w:sz w:val="24"/>
                <w:szCs w:val="24"/>
              </w:rPr>
              <w:t> </w:t>
            </w:r>
            <w:r w:rsidR="00721160" w:rsidRPr="005B0591">
              <w:rPr>
                <w:rFonts w:ascii="Times New Roman" w:hAnsi="Times New Roman" w:cs="Times New Roman"/>
                <w:color w:val="000000"/>
                <w:sz w:val="24"/>
                <w:szCs w:val="24"/>
              </w:rPr>
              <w:t>rugpjūčio</w:t>
            </w:r>
            <w:r w:rsidR="001072CA" w:rsidRPr="005B0591">
              <w:rPr>
                <w:rFonts w:ascii="Times New Roman" w:hAnsi="Times New Roman" w:cs="Times New Roman"/>
                <w:color w:val="000000"/>
                <w:sz w:val="24"/>
                <w:szCs w:val="24"/>
              </w:rPr>
              <w:t> </w:t>
            </w:r>
            <w:r w:rsidR="00323C0C" w:rsidRPr="005B0591">
              <w:rPr>
                <w:rFonts w:ascii="Times New Roman" w:hAnsi="Times New Roman" w:cs="Times New Roman"/>
                <w:color w:val="000000"/>
                <w:sz w:val="24"/>
                <w:szCs w:val="24"/>
              </w:rPr>
              <w:t>18</w:t>
            </w:r>
            <w:r w:rsidR="00721160" w:rsidRPr="005B0591">
              <w:rPr>
                <w:rFonts w:ascii="Times New Roman" w:hAnsi="Times New Roman" w:cs="Times New Roman"/>
                <w:color w:val="000000"/>
                <w:sz w:val="24"/>
                <w:szCs w:val="24"/>
              </w:rPr>
              <w:t> </w:t>
            </w:r>
            <w:r w:rsidR="00323C0C" w:rsidRPr="005B0591">
              <w:rPr>
                <w:rFonts w:ascii="Times New Roman" w:hAnsi="Times New Roman" w:cs="Times New Roman"/>
                <w:color w:val="000000"/>
                <w:sz w:val="24"/>
                <w:szCs w:val="24"/>
              </w:rPr>
              <w:t>d.</w:t>
            </w:r>
            <w:r w:rsidR="00721160" w:rsidRPr="005B0591">
              <w:rPr>
                <w:rFonts w:ascii="Times New Roman" w:hAnsi="Times New Roman" w:cs="Times New Roman"/>
                <w:color w:val="000000"/>
                <w:sz w:val="24"/>
                <w:szCs w:val="24"/>
              </w:rPr>
              <w:t> </w:t>
            </w:r>
            <w:r w:rsidR="00323C0C" w:rsidRPr="005B0591">
              <w:rPr>
                <w:rFonts w:ascii="Times New Roman" w:hAnsi="Times New Roman" w:cs="Times New Roman"/>
                <w:color w:val="000000"/>
                <w:sz w:val="24"/>
                <w:szCs w:val="24"/>
              </w:rPr>
              <w:t>išvadoje</w:t>
            </w:r>
            <w:r w:rsidR="00721160" w:rsidRPr="005B0591">
              <w:rPr>
                <w:rFonts w:ascii="Times New Roman" w:hAnsi="Times New Roman" w:cs="Times New Roman"/>
                <w:color w:val="000000"/>
                <w:sz w:val="24"/>
                <w:szCs w:val="24"/>
              </w:rPr>
              <w:t> </w:t>
            </w:r>
            <w:r w:rsidR="00323C0C" w:rsidRPr="005B0591">
              <w:rPr>
                <w:rFonts w:ascii="Times New Roman" w:hAnsi="Times New Roman" w:cs="Times New Roman"/>
                <w:color w:val="000000"/>
                <w:sz w:val="24"/>
                <w:szCs w:val="24"/>
              </w:rPr>
              <w:t>Nr.</w:t>
            </w:r>
            <w:r w:rsidR="00721160" w:rsidRPr="005B0591">
              <w:rPr>
                <w:rFonts w:ascii="Times New Roman" w:hAnsi="Times New Roman" w:cs="Times New Roman"/>
                <w:color w:val="000000"/>
                <w:sz w:val="24"/>
                <w:szCs w:val="24"/>
              </w:rPr>
              <w:t> </w:t>
            </w:r>
            <w:r w:rsidR="00323C0C" w:rsidRPr="005B0591">
              <w:rPr>
                <w:rFonts w:ascii="Times New Roman" w:hAnsi="Times New Roman" w:cs="Times New Roman"/>
                <w:color w:val="000000"/>
                <w:sz w:val="24"/>
                <w:szCs w:val="24"/>
                <w:shd w:val="clear" w:color="auto" w:fill="FFFFFF"/>
              </w:rPr>
              <w:t>((2.119Mr</w:t>
            </w:r>
            <w:r w:rsidR="001072CA" w:rsidRPr="005B0591">
              <w:rPr>
                <w:rFonts w:ascii="Times New Roman" w:hAnsi="Times New Roman" w:cs="Times New Roman"/>
                <w:color w:val="000000"/>
                <w:sz w:val="24"/>
                <w:szCs w:val="24"/>
                <w:shd w:val="clear" w:color="auto" w:fill="FFFFFF"/>
              </w:rPr>
              <w:noBreakHyphen/>
            </w:r>
            <w:r w:rsidR="00323C0C" w:rsidRPr="005B0591">
              <w:rPr>
                <w:rFonts w:ascii="Times New Roman" w:hAnsi="Times New Roman" w:cs="Times New Roman"/>
                <w:color w:val="000000"/>
                <w:sz w:val="24"/>
                <w:szCs w:val="24"/>
                <w:shd w:val="clear" w:color="auto" w:fill="FFFFFF"/>
              </w:rPr>
              <w:t>02)</w:t>
            </w:r>
            <w:r w:rsidR="001072CA" w:rsidRPr="005B0591">
              <w:rPr>
                <w:rFonts w:ascii="Times New Roman" w:hAnsi="Times New Roman" w:cs="Times New Roman"/>
                <w:color w:val="000000"/>
                <w:sz w:val="24"/>
                <w:szCs w:val="24"/>
                <w:shd w:val="clear" w:color="auto" w:fill="FFFFFF"/>
              </w:rPr>
              <w:noBreakHyphen/>
            </w:r>
            <w:r w:rsidR="00323C0C" w:rsidRPr="005B0591">
              <w:rPr>
                <w:rFonts w:ascii="Times New Roman" w:hAnsi="Times New Roman" w:cs="Times New Roman"/>
                <w:color w:val="000000"/>
                <w:sz w:val="24"/>
                <w:szCs w:val="24"/>
                <w:shd w:val="clear" w:color="auto" w:fill="FFFFFF"/>
              </w:rPr>
              <w:t>5K</w:t>
            </w:r>
            <w:r w:rsidR="001072CA" w:rsidRPr="005B0591">
              <w:rPr>
                <w:rFonts w:ascii="Times New Roman" w:hAnsi="Times New Roman" w:cs="Times New Roman"/>
                <w:color w:val="000000"/>
                <w:sz w:val="24"/>
                <w:szCs w:val="24"/>
                <w:shd w:val="clear" w:color="auto" w:fill="FFFFFF"/>
              </w:rPr>
              <w:noBreakHyphen/>
            </w:r>
            <w:r w:rsidR="00323C0C" w:rsidRPr="005B0591">
              <w:rPr>
                <w:rFonts w:ascii="Times New Roman" w:hAnsi="Times New Roman" w:cs="Times New Roman"/>
                <w:color w:val="000000"/>
                <w:sz w:val="24"/>
                <w:szCs w:val="24"/>
                <w:shd w:val="clear" w:color="auto" w:fill="FFFFFF"/>
              </w:rPr>
              <w:t>2113817)</w:t>
            </w:r>
            <w:r w:rsidR="001072CA" w:rsidRPr="005B0591">
              <w:rPr>
                <w:rFonts w:ascii="Times New Roman" w:hAnsi="Times New Roman" w:cs="Times New Roman"/>
                <w:color w:val="000000"/>
                <w:sz w:val="24"/>
                <w:szCs w:val="24"/>
                <w:shd w:val="clear" w:color="auto" w:fill="FFFFFF"/>
              </w:rPr>
              <w:noBreakHyphen/>
            </w:r>
            <w:r w:rsidR="00323C0C" w:rsidRPr="005B0591">
              <w:rPr>
                <w:rFonts w:ascii="Times New Roman" w:hAnsi="Times New Roman" w:cs="Times New Roman"/>
                <w:color w:val="000000"/>
                <w:sz w:val="24"/>
                <w:szCs w:val="24"/>
                <w:shd w:val="clear" w:color="auto" w:fill="FFFFFF"/>
              </w:rPr>
              <w:t>6K</w:t>
            </w:r>
            <w:r w:rsidR="00721160" w:rsidRPr="005B0591">
              <w:rPr>
                <w:rFonts w:ascii="Times New Roman" w:hAnsi="Times New Roman" w:cs="Times New Roman"/>
                <w:color w:val="000000"/>
                <w:sz w:val="24"/>
                <w:szCs w:val="24"/>
                <w:shd w:val="clear" w:color="auto" w:fill="FFFFFF"/>
              </w:rPr>
              <w:noBreakHyphen/>
            </w:r>
            <w:r w:rsidR="00323C0C" w:rsidRPr="005B0591">
              <w:rPr>
                <w:rFonts w:ascii="Times New Roman" w:hAnsi="Times New Roman" w:cs="Times New Roman"/>
                <w:color w:val="000000"/>
                <w:sz w:val="24"/>
                <w:szCs w:val="24"/>
                <w:shd w:val="clear" w:color="auto" w:fill="FFFFFF"/>
              </w:rPr>
              <w:t>2104979 informavo, kad</w:t>
            </w:r>
            <w:r w:rsidR="006909D5" w:rsidRPr="005B0591">
              <w:rPr>
                <w:rFonts w:ascii="Times New Roman" w:hAnsi="Times New Roman" w:cs="Times New Roman"/>
                <w:color w:val="000000"/>
                <w:sz w:val="24"/>
                <w:szCs w:val="24"/>
                <w:shd w:val="clear" w:color="auto" w:fill="FFFFFF"/>
              </w:rPr>
              <w:t>,</w:t>
            </w:r>
            <w:r w:rsidR="00323C0C" w:rsidRPr="005B0591">
              <w:rPr>
                <w:rFonts w:ascii="Times New Roman" w:hAnsi="Times New Roman" w:cs="Times New Roman"/>
                <w:color w:val="000000"/>
                <w:sz w:val="24"/>
                <w:szCs w:val="24"/>
                <w:shd w:val="clear" w:color="auto" w:fill="FFFFFF"/>
              </w:rPr>
              <w:t xml:space="preserve"> </w:t>
            </w:r>
            <w:r w:rsidR="00721160" w:rsidRPr="005B0591">
              <w:rPr>
                <w:rFonts w:ascii="Times New Roman" w:eastAsia="Times New Roman" w:hAnsi="Times New Roman" w:cs="Times New Roman"/>
                <w:color w:val="000000"/>
                <w:sz w:val="24"/>
                <w:szCs w:val="24"/>
                <w:lang w:eastAsia="lt-LT"/>
              </w:rPr>
              <w:t>atsižvelg</w:t>
            </w:r>
            <w:r w:rsidR="00FD23F8" w:rsidRPr="005B0591">
              <w:rPr>
                <w:rFonts w:ascii="Times New Roman" w:eastAsia="Times New Roman" w:hAnsi="Times New Roman" w:cs="Times New Roman"/>
                <w:color w:val="000000"/>
                <w:sz w:val="24"/>
                <w:szCs w:val="24"/>
                <w:lang w:eastAsia="lt-LT"/>
              </w:rPr>
              <w:t>usi</w:t>
            </w:r>
            <w:r w:rsidR="00721160" w:rsidRPr="005B0591">
              <w:rPr>
                <w:rFonts w:ascii="Times New Roman" w:eastAsia="Times New Roman" w:hAnsi="Times New Roman" w:cs="Times New Roman"/>
                <w:color w:val="000000"/>
                <w:sz w:val="24"/>
                <w:szCs w:val="24"/>
                <w:lang w:eastAsia="lt-LT"/>
              </w:rPr>
              <w:t xml:space="preserve"> į</w:t>
            </w:r>
            <w:r w:rsidR="001072CA" w:rsidRPr="005B0591">
              <w:rPr>
                <w:rFonts w:ascii="Times New Roman" w:eastAsia="Times New Roman" w:hAnsi="Times New Roman" w:cs="Times New Roman"/>
                <w:color w:val="000000"/>
                <w:sz w:val="24"/>
                <w:szCs w:val="24"/>
                <w:lang w:eastAsia="lt-LT"/>
              </w:rPr>
              <w:t xml:space="preserve"> </w:t>
            </w:r>
            <w:r w:rsidR="00721160" w:rsidRPr="005B0591">
              <w:rPr>
                <w:rFonts w:ascii="Times New Roman" w:eastAsia="Times New Roman" w:hAnsi="Times New Roman" w:cs="Times New Roman"/>
                <w:color w:val="000000"/>
                <w:sz w:val="24"/>
                <w:szCs w:val="24"/>
                <w:lang w:eastAsia="lt-LT"/>
              </w:rPr>
              <w:t>2021</w:t>
            </w:r>
            <w:r w:rsidR="001072CA" w:rsidRPr="005B0591">
              <w:rPr>
                <w:rFonts w:ascii="Times New Roman" w:eastAsia="Times New Roman" w:hAnsi="Times New Roman" w:cs="Times New Roman"/>
                <w:color w:val="000000"/>
                <w:sz w:val="24"/>
                <w:szCs w:val="24"/>
                <w:lang w:eastAsia="lt-LT"/>
              </w:rPr>
              <w:t xml:space="preserve"> </w:t>
            </w:r>
            <w:r w:rsidR="00323C0C" w:rsidRPr="005B0591">
              <w:rPr>
                <w:rFonts w:ascii="Times New Roman" w:eastAsia="Times New Roman" w:hAnsi="Times New Roman" w:cs="Times New Roman"/>
                <w:color w:val="000000"/>
                <w:sz w:val="24"/>
                <w:szCs w:val="24"/>
                <w:lang w:eastAsia="lt-LT"/>
              </w:rPr>
              <w:t>m. rugpjūčio 4 d. neformal</w:t>
            </w:r>
            <w:r w:rsidR="006909D5" w:rsidRPr="005B0591">
              <w:rPr>
                <w:rFonts w:ascii="Times New Roman" w:eastAsia="Times New Roman" w:hAnsi="Times New Roman" w:cs="Times New Roman"/>
                <w:color w:val="000000"/>
                <w:sz w:val="24"/>
                <w:szCs w:val="24"/>
                <w:lang w:eastAsia="lt-LT"/>
              </w:rPr>
              <w:t>iame</w:t>
            </w:r>
            <w:r w:rsidR="00323C0C" w:rsidRPr="005B0591">
              <w:rPr>
                <w:rFonts w:ascii="Times New Roman" w:eastAsia="Times New Roman" w:hAnsi="Times New Roman" w:cs="Times New Roman"/>
                <w:color w:val="000000"/>
                <w:sz w:val="24"/>
                <w:szCs w:val="24"/>
                <w:lang w:eastAsia="lt-LT"/>
              </w:rPr>
              <w:t xml:space="preserve"> ministrų pasitarim</w:t>
            </w:r>
            <w:r w:rsidR="006909D5" w:rsidRPr="005B0591">
              <w:rPr>
                <w:rFonts w:ascii="Times New Roman" w:eastAsia="Times New Roman" w:hAnsi="Times New Roman" w:cs="Times New Roman"/>
                <w:color w:val="000000"/>
                <w:sz w:val="24"/>
                <w:szCs w:val="24"/>
                <w:lang w:eastAsia="lt-LT"/>
              </w:rPr>
              <w:t>e</w:t>
            </w:r>
            <w:r w:rsidR="00323C0C" w:rsidRPr="005B0591">
              <w:rPr>
                <w:rFonts w:ascii="Times New Roman" w:eastAsia="Times New Roman" w:hAnsi="Times New Roman" w:cs="Times New Roman"/>
                <w:color w:val="000000"/>
                <w:sz w:val="24"/>
                <w:szCs w:val="24"/>
                <w:lang w:eastAsia="lt-LT"/>
              </w:rPr>
              <w:t xml:space="preserve"> „Dėl ministrų valdymo sritims, taip pat kitiems valstybės biudžeto asignavimų valdytojams planuojamų maksimalių valstybės biudžeto asignavimų sumų 2022–2024 metų strateginių veiklos planų projektams parengti“ </w:t>
            </w:r>
            <w:r w:rsidR="006909D5" w:rsidRPr="005B0591">
              <w:rPr>
                <w:rFonts w:ascii="Times New Roman" w:eastAsia="Times New Roman" w:hAnsi="Times New Roman" w:cs="Times New Roman"/>
                <w:color w:val="000000"/>
                <w:sz w:val="24"/>
                <w:szCs w:val="24"/>
                <w:lang w:eastAsia="lt-LT"/>
              </w:rPr>
              <w:t xml:space="preserve">duotus </w:t>
            </w:r>
            <w:r w:rsidR="00323C0C" w:rsidRPr="005B0591">
              <w:rPr>
                <w:rFonts w:ascii="Times New Roman" w:eastAsia="Times New Roman" w:hAnsi="Times New Roman" w:cs="Times New Roman"/>
                <w:color w:val="000000"/>
                <w:sz w:val="24"/>
                <w:szCs w:val="24"/>
                <w:lang w:eastAsia="lt-LT"/>
              </w:rPr>
              <w:t xml:space="preserve">pavedimus, Socialinės apsaugos ir darbo ministerijai, Vidaus reikalų ministerijai ir Teisėjų tarybai </w:t>
            </w:r>
            <w:r w:rsidR="00A81850" w:rsidRPr="005B0591">
              <w:rPr>
                <w:rFonts w:ascii="Times New Roman" w:eastAsia="Times New Roman" w:hAnsi="Times New Roman" w:cs="Times New Roman"/>
                <w:color w:val="000000"/>
                <w:sz w:val="24"/>
                <w:szCs w:val="24"/>
                <w:lang w:eastAsia="lt-LT"/>
              </w:rPr>
              <w:t xml:space="preserve">pranešė apie </w:t>
            </w:r>
            <w:r w:rsidR="00323C0C" w:rsidRPr="005B0591">
              <w:rPr>
                <w:rFonts w:ascii="Times New Roman" w:eastAsia="Times New Roman" w:hAnsi="Times New Roman" w:cs="Times New Roman"/>
                <w:color w:val="000000"/>
                <w:sz w:val="24"/>
                <w:szCs w:val="24"/>
                <w:lang w:eastAsia="lt-LT"/>
              </w:rPr>
              <w:t>2022–2024 m</w:t>
            </w:r>
            <w:r w:rsidR="00A81850" w:rsidRPr="005B0591">
              <w:rPr>
                <w:rFonts w:ascii="Times New Roman" w:eastAsia="Times New Roman" w:hAnsi="Times New Roman" w:cs="Times New Roman"/>
                <w:color w:val="000000"/>
                <w:sz w:val="24"/>
                <w:szCs w:val="24"/>
                <w:lang w:eastAsia="lt-LT"/>
              </w:rPr>
              <w:t>.</w:t>
            </w:r>
            <w:r w:rsidR="00323C0C" w:rsidRPr="005B0591">
              <w:rPr>
                <w:rFonts w:ascii="Times New Roman" w:eastAsia="Times New Roman" w:hAnsi="Times New Roman" w:cs="Times New Roman"/>
                <w:color w:val="000000"/>
                <w:sz w:val="24"/>
                <w:szCs w:val="24"/>
                <w:lang w:eastAsia="lt-LT"/>
              </w:rPr>
              <w:t xml:space="preserve"> numatomus maksimalius asignavimų limitus </w:t>
            </w:r>
            <w:r w:rsidR="00FD23F8" w:rsidRPr="005B0591">
              <w:rPr>
                <w:rFonts w:ascii="Times New Roman" w:eastAsia="Times New Roman" w:hAnsi="Times New Roman" w:cs="Times New Roman"/>
                <w:color w:val="000000"/>
                <w:sz w:val="24"/>
                <w:szCs w:val="24"/>
                <w:lang w:eastAsia="lt-LT"/>
              </w:rPr>
              <w:t xml:space="preserve">ir apie tai, kad </w:t>
            </w:r>
            <w:r w:rsidR="00323C0C" w:rsidRPr="005B0591">
              <w:rPr>
                <w:rFonts w:ascii="Times New Roman" w:eastAsia="Times New Roman" w:hAnsi="Times New Roman" w:cs="Times New Roman"/>
                <w:color w:val="000000"/>
                <w:sz w:val="24"/>
                <w:szCs w:val="24"/>
                <w:lang w:eastAsia="lt-LT"/>
              </w:rPr>
              <w:t>lėš</w:t>
            </w:r>
            <w:r w:rsidR="00A81850" w:rsidRPr="005B0591">
              <w:rPr>
                <w:rFonts w:ascii="Times New Roman" w:eastAsia="Times New Roman" w:hAnsi="Times New Roman" w:cs="Times New Roman"/>
                <w:color w:val="000000"/>
                <w:sz w:val="24"/>
                <w:szCs w:val="24"/>
                <w:lang w:eastAsia="lt-LT"/>
              </w:rPr>
              <w:t>ų</w:t>
            </w:r>
            <w:r w:rsidR="00323C0C" w:rsidRPr="005B0591">
              <w:rPr>
                <w:rFonts w:ascii="Times New Roman" w:eastAsia="Times New Roman" w:hAnsi="Times New Roman" w:cs="Times New Roman"/>
                <w:color w:val="000000"/>
                <w:sz w:val="24"/>
                <w:szCs w:val="24"/>
                <w:lang w:eastAsia="lt-LT"/>
              </w:rPr>
              <w:t xml:space="preserve"> įstatymų projektams įgyvendinti 2023–2024 m. nenumatyt</w:t>
            </w:r>
            <w:r w:rsidR="00A81850" w:rsidRPr="005B0591">
              <w:rPr>
                <w:rFonts w:ascii="Times New Roman" w:eastAsia="Times New Roman" w:hAnsi="Times New Roman" w:cs="Times New Roman"/>
                <w:color w:val="000000"/>
                <w:sz w:val="24"/>
                <w:szCs w:val="24"/>
                <w:lang w:eastAsia="lt-LT"/>
              </w:rPr>
              <w:t>a</w:t>
            </w:r>
            <w:r w:rsidR="00323C0C" w:rsidRPr="005B0591">
              <w:rPr>
                <w:rFonts w:ascii="Times New Roman" w:eastAsia="Times New Roman" w:hAnsi="Times New Roman" w:cs="Times New Roman"/>
                <w:color w:val="000000"/>
                <w:sz w:val="24"/>
                <w:szCs w:val="24"/>
                <w:lang w:eastAsia="lt-LT"/>
              </w:rPr>
              <w:t>.</w:t>
            </w:r>
          </w:p>
          <w:p w14:paraId="47B0AAD5" w14:textId="5BB2B3E6" w:rsidR="00323C0C" w:rsidRPr="00323C0C" w:rsidRDefault="0002422A" w:rsidP="00323C0C">
            <w:pPr>
              <w:ind w:firstLine="312"/>
              <w:jc w:val="both"/>
              <w:rPr>
                <w:rFonts w:ascii="Times New Roman" w:eastAsia="Times New Roman" w:hAnsi="Times New Roman" w:cs="Times New Roman"/>
                <w:color w:val="000000"/>
                <w:sz w:val="24"/>
                <w:szCs w:val="24"/>
                <w:lang w:eastAsia="lt-LT"/>
              </w:rPr>
            </w:pPr>
            <w:r w:rsidRPr="005B0591">
              <w:rPr>
                <w:rFonts w:ascii="Times New Roman" w:eastAsia="Times New Roman" w:hAnsi="Times New Roman" w:cs="Times New Roman"/>
                <w:color w:val="000000"/>
                <w:sz w:val="24"/>
                <w:szCs w:val="24"/>
                <w:lang w:eastAsia="lt-LT"/>
              </w:rPr>
              <w:t>Finansų ministerija</w:t>
            </w:r>
            <w:r w:rsidR="00323C0C" w:rsidRPr="005B0591">
              <w:rPr>
                <w:rFonts w:ascii="Times New Roman" w:eastAsia="Times New Roman" w:hAnsi="Times New Roman" w:cs="Times New Roman"/>
                <w:color w:val="000000"/>
                <w:sz w:val="24"/>
                <w:szCs w:val="24"/>
                <w:lang w:eastAsia="lt-LT"/>
              </w:rPr>
              <w:t xml:space="preserve"> atkreipė dėmesį</w:t>
            </w:r>
            <w:r w:rsidRPr="005B0591">
              <w:rPr>
                <w:rFonts w:ascii="Times New Roman" w:eastAsia="Times New Roman" w:hAnsi="Times New Roman" w:cs="Times New Roman"/>
                <w:color w:val="000000"/>
                <w:sz w:val="24"/>
                <w:szCs w:val="24"/>
                <w:lang w:eastAsia="lt-LT"/>
              </w:rPr>
              <w:t xml:space="preserve"> ir į tai</w:t>
            </w:r>
            <w:r w:rsidR="00323C0C" w:rsidRPr="005B0591">
              <w:rPr>
                <w:rFonts w:ascii="Times New Roman" w:eastAsia="Times New Roman" w:hAnsi="Times New Roman" w:cs="Times New Roman"/>
                <w:color w:val="000000"/>
                <w:sz w:val="24"/>
                <w:szCs w:val="24"/>
                <w:lang w:eastAsia="lt-LT"/>
              </w:rPr>
              <w:t>, kad</w:t>
            </w:r>
            <w:r w:rsidRPr="005B0591">
              <w:rPr>
                <w:rFonts w:ascii="Times New Roman" w:eastAsia="Times New Roman" w:hAnsi="Times New Roman" w:cs="Times New Roman"/>
                <w:color w:val="000000"/>
                <w:sz w:val="24"/>
                <w:szCs w:val="24"/>
                <w:lang w:eastAsia="lt-LT"/>
              </w:rPr>
              <w:t>,</w:t>
            </w:r>
            <w:r w:rsidR="00323C0C" w:rsidRPr="005B0591">
              <w:rPr>
                <w:rFonts w:ascii="Times New Roman" w:eastAsia="Times New Roman" w:hAnsi="Times New Roman" w:cs="Times New Roman"/>
                <w:color w:val="000000"/>
                <w:sz w:val="24"/>
                <w:szCs w:val="24"/>
                <w:lang w:eastAsia="lt-LT"/>
              </w:rPr>
              <w:t xml:space="preserve"> atsižvelgiant į </w:t>
            </w:r>
            <w:r w:rsidRPr="005B0591">
              <w:rPr>
                <w:rFonts w:ascii="Times New Roman" w:eastAsia="Times New Roman" w:hAnsi="Times New Roman" w:cs="Times New Roman"/>
                <w:color w:val="000000"/>
                <w:sz w:val="24"/>
                <w:szCs w:val="24"/>
                <w:lang w:eastAsia="lt-LT"/>
              </w:rPr>
              <w:t xml:space="preserve">neapibrėžtumą, išaugusį </w:t>
            </w:r>
            <w:r w:rsidR="00323C0C" w:rsidRPr="005B0591">
              <w:rPr>
                <w:rFonts w:ascii="Times New Roman" w:eastAsia="Times New Roman" w:hAnsi="Times New Roman" w:cs="Times New Roman"/>
                <w:color w:val="000000"/>
                <w:sz w:val="24"/>
                <w:szCs w:val="24"/>
                <w:lang w:eastAsia="lt-LT"/>
              </w:rPr>
              <w:t>dėl COVID</w:t>
            </w:r>
            <w:r w:rsidR="00721160" w:rsidRPr="005B0591">
              <w:rPr>
                <w:rFonts w:ascii="Times New Roman" w:eastAsia="Times New Roman" w:hAnsi="Times New Roman" w:cs="Times New Roman"/>
                <w:color w:val="000000"/>
                <w:sz w:val="24"/>
                <w:szCs w:val="24"/>
                <w:lang w:eastAsia="lt-LT"/>
              </w:rPr>
              <w:noBreakHyphen/>
            </w:r>
            <w:r w:rsidR="00323C0C" w:rsidRPr="005B0591">
              <w:rPr>
                <w:rFonts w:ascii="Times New Roman" w:eastAsia="Times New Roman" w:hAnsi="Times New Roman" w:cs="Times New Roman"/>
                <w:color w:val="000000"/>
                <w:sz w:val="24"/>
                <w:szCs w:val="24"/>
                <w:lang w:eastAsia="lt-LT"/>
              </w:rPr>
              <w:t xml:space="preserve">19 pandemijos, didelį neužtikrintumą dėl globalios ekonomikos atsigavimo, stiprėjančias geopolitines įtampas ir išliekančias rizikas dėl šalies ekonominės raidos, taip pat į išaugusią valdžios sektoriaus skolą bei poreikį vykdyti narystės NATO </w:t>
            </w:r>
            <w:r w:rsidR="00323C0C" w:rsidRPr="005B0591">
              <w:rPr>
                <w:rFonts w:ascii="Times New Roman" w:eastAsia="Times New Roman" w:hAnsi="Times New Roman" w:cs="Times New Roman"/>
                <w:color w:val="000000"/>
                <w:sz w:val="24"/>
                <w:szCs w:val="24"/>
                <w:lang w:eastAsia="lt-LT"/>
              </w:rPr>
              <w:lastRenderedPageBreak/>
              <w:t>ir kitose tarptautinėse organizacijose įsipareigojimus, valstybės išlaidų didinimas gali būti labai ribotas.</w:t>
            </w:r>
          </w:p>
          <w:p w14:paraId="5ED05626" w14:textId="6CB4C6CD" w:rsidR="00B434E5" w:rsidRPr="00323C0C" w:rsidRDefault="00B434E5" w:rsidP="000B2D67">
            <w:pPr>
              <w:jc w:val="both"/>
              <w:rPr>
                <w:rFonts w:ascii="Times New Roman" w:eastAsia="Times New Roman" w:hAnsi="Times New Roman" w:cs="Times New Roman"/>
                <w:sz w:val="24"/>
                <w:szCs w:val="24"/>
                <w:shd w:val="clear" w:color="auto" w:fill="FFFFFF"/>
              </w:rPr>
            </w:pPr>
          </w:p>
        </w:tc>
      </w:tr>
    </w:tbl>
    <w:p w14:paraId="1B4A2FCF" w14:textId="77777777" w:rsidR="000B2D67" w:rsidRPr="00D116D2" w:rsidRDefault="000B2D67" w:rsidP="003A3BAF">
      <w:pPr>
        <w:rPr>
          <w:rFonts w:ascii="Times New Roman" w:hAnsi="Times New Roman" w:cs="Times New Roman"/>
          <w:sz w:val="24"/>
          <w:szCs w:val="24"/>
        </w:rPr>
      </w:pPr>
    </w:p>
    <w:sectPr w:rsidR="000B2D67" w:rsidRPr="00D116D2" w:rsidSect="00721160">
      <w:headerReference w:type="default" r:id="rId8"/>
      <w:pgSz w:w="16838" w:h="11906" w:orient="landscape"/>
      <w:pgMar w:top="1701"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C99F" w14:textId="77777777" w:rsidR="008F5D2A" w:rsidRDefault="008F5D2A" w:rsidP="00D854FF">
      <w:pPr>
        <w:spacing w:after="0" w:line="240" w:lineRule="auto"/>
      </w:pPr>
      <w:r>
        <w:separator/>
      </w:r>
    </w:p>
  </w:endnote>
  <w:endnote w:type="continuationSeparator" w:id="0">
    <w:p w14:paraId="11C2FEC1" w14:textId="77777777" w:rsidR="008F5D2A" w:rsidRDefault="008F5D2A" w:rsidP="00D8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DA9B" w14:textId="77777777" w:rsidR="008F5D2A" w:rsidRDefault="008F5D2A" w:rsidP="00D854FF">
      <w:pPr>
        <w:spacing w:after="0" w:line="240" w:lineRule="auto"/>
      </w:pPr>
      <w:r>
        <w:separator/>
      </w:r>
    </w:p>
  </w:footnote>
  <w:footnote w:type="continuationSeparator" w:id="0">
    <w:p w14:paraId="5E31DEE9" w14:textId="77777777" w:rsidR="008F5D2A" w:rsidRDefault="008F5D2A" w:rsidP="00D854FF">
      <w:pPr>
        <w:spacing w:after="0" w:line="240" w:lineRule="auto"/>
      </w:pPr>
      <w:r>
        <w:continuationSeparator/>
      </w:r>
    </w:p>
  </w:footnote>
  <w:footnote w:id="1">
    <w:p w14:paraId="4D5ACEDC" w14:textId="4DE5940D" w:rsidR="00B674D9" w:rsidRDefault="00B674D9" w:rsidP="00EF70CB">
      <w:pPr>
        <w:pStyle w:val="Puslapioinaostekstas"/>
        <w:ind w:right="425"/>
        <w:jc w:val="both"/>
      </w:pPr>
      <w:r>
        <w:rPr>
          <w:rStyle w:val="Puslapioinaosnuoroda"/>
        </w:rPr>
        <w:footnoteRef/>
      </w:r>
      <w:r>
        <w:t xml:space="preserve"> </w:t>
      </w:r>
      <w:r>
        <w:rPr>
          <w:rFonts w:ascii="Times New Roman" w:hAnsi="Times New Roman"/>
        </w:rPr>
        <w:t>Komisijos komunikatas Europos Parlamentui, Tarybai, Europos Centriniam Bankui, Europos ekonomikos ir socialinių reikalų komitetui ir Regionų komitetui. 2020 m. ES</w:t>
      </w:r>
      <w:r w:rsidR="00505228">
        <w:rPr>
          <w:rFonts w:ascii="Times New Roman" w:hAnsi="Times New Roman"/>
        </w:rPr>
        <w:t> </w:t>
      </w:r>
      <w:r>
        <w:rPr>
          <w:rFonts w:ascii="Times New Roman" w:hAnsi="Times New Roman"/>
        </w:rPr>
        <w:t xml:space="preserve">teisingumo rezultatų suvestinė: </w:t>
      </w:r>
      <w:hyperlink r:id="rId1" w:history="1">
        <w:r w:rsidRPr="00E151B2">
          <w:rPr>
            <w:rStyle w:val="Hipersaitas"/>
            <w:rFonts w:ascii="Times New Roman" w:hAnsi="Times New Roman"/>
          </w:rPr>
          <w:t>https://ec.europa.eu/info/sites/info/files/justice_scoreboard_2020_en.pdf</w:t>
        </w:r>
      </w:hyperlink>
      <w:r>
        <w:rPr>
          <w:rFonts w:ascii="Times New Roman" w:hAnsi="Times New Roman"/>
        </w:rPr>
        <w:t xml:space="preserve"> (32 diagrama), 2021 m. ES teisingumo rezultatų suvestinė: </w:t>
      </w:r>
      <w:hyperlink r:id="rId2" w:history="1">
        <w:r w:rsidRPr="00E151B2">
          <w:rPr>
            <w:rStyle w:val="Hipersaitas"/>
            <w:rFonts w:ascii="Times New Roman" w:hAnsi="Times New Roman"/>
          </w:rPr>
          <w:t>https://ec.europa.eu/info/files/eu-justice-scoreboard-2021</w:t>
        </w:r>
      </w:hyperlink>
      <w:r>
        <w:rPr>
          <w:rFonts w:ascii="Times New Roman" w:hAnsi="Times New Roman"/>
        </w:rPr>
        <w:t xml:space="preserve"> (29 diagrama).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23696"/>
      <w:docPartObj>
        <w:docPartGallery w:val="Page Numbers (Top of Page)"/>
        <w:docPartUnique/>
      </w:docPartObj>
    </w:sdtPr>
    <w:sdtEndPr/>
    <w:sdtContent>
      <w:p w14:paraId="446FEAE5" w14:textId="77777777" w:rsidR="00042A78" w:rsidRDefault="00042A78">
        <w:pPr>
          <w:pStyle w:val="Antrats"/>
          <w:jc w:val="center"/>
        </w:pPr>
        <w:r>
          <w:fldChar w:fldCharType="begin"/>
        </w:r>
        <w:r>
          <w:instrText>PAGE   \* MERGEFORMAT</w:instrText>
        </w:r>
        <w:r>
          <w:fldChar w:fldCharType="separate"/>
        </w:r>
        <w:r w:rsidR="00B64AE8">
          <w:rPr>
            <w:noProof/>
          </w:rPr>
          <w:t>2</w:t>
        </w:r>
        <w:r>
          <w:fldChar w:fldCharType="end"/>
        </w:r>
      </w:p>
    </w:sdtContent>
  </w:sdt>
  <w:p w14:paraId="14932517" w14:textId="77777777" w:rsidR="00042A78" w:rsidRDefault="00042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0F7C"/>
    <w:multiLevelType w:val="hybridMultilevel"/>
    <w:tmpl w:val="B7527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02607"/>
    <w:multiLevelType w:val="hybridMultilevel"/>
    <w:tmpl w:val="1DF49600"/>
    <w:lvl w:ilvl="0" w:tplc="D512AC58">
      <w:start w:val="1"/>
      <w:numFmt w:val="decimal"/>
      <w:lvlText w:val="%1."/>
      <w:lvlJc w:val="left"/>
      <w:pPr>
        <w:ind w:left="1495"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80"/>
    <w:rsid w:val="0000221A"/>
    <w:rsid w:val="000101E8"/>
    <w:rsid w:val="0001058C"/>
    <w:rsid w:val="0001385B"/>
    <w:rsid w:val="00014A73"/>
    <w:rsid w:val="000161ED"/>
    <w:rsid w:val="00017E65"/>
    <w:rsid w:val="0002422A"/>
    <w:rsid w:val="00024D3C"/>
    <w:rsid w:val="00026854"/>
    <w:rsid w:val="000348F5"/>
    <w:rsid w:val="00035756"/>
    <w:rsid w:val="000357A0"/>
    <w:rsid w:val="00042A78"/>
    <w:rsid w:val="00053585"/>
    <w:rsid w:val="00053D46"/>
    <w:rsid w:val="00062A7A"/>
    <w:rsid w:val="0006694F"/>
    <w:rsid w:val="00067AAE"/>
    <w:rsid w:val="00071A18"/>
    <w:rsid w:val="000720FE"/>
    <w:rsid w:val="00077DEF"/>
    <w:rsid w:val="0008326A"/>
    <w:rsid w:val="00091272"/>
    <w:rsid w:val="00096DE5"/>
    <w:rsid w:val="000A04F1"/>
    <w:rsid w:val="000A1513"/>
    <w:rsid w:val="000B06AE"/>
    <w:rsid w:val="000B28FA"/>
    <w:rsid w:val="000B2D67"/>
    <w:rsid w:val="000D48D8"/>
    <w:rsid w:val="000D5657"/>
    <w:rsid w:val="000E409E"/>
    <w:rsid w:val="000E4E81"/>
    <w:rsid w:val="00100206"/>
    <w:rsid w:val="00104850"/>
    <w:rsid w:val="001072CA"/>
    <w:rsid w:val="00107404"/>
    <w:rsid w:val="001102E7"/>
    <w:rsid w:val="00110372"/>
    <w:rsid w:val="001116E2"/>
    <w:rsid w:val="00120ED7"/>
    <w:rsid w:val="001210F6"/>
    <w:rsid w:val="001250D7"/>
    <w:rsid w:val="00130328"/>
    <w:rsid w:val="00134F83"/>
    <w:rsid w:val="00140AFB"/>
    <w:rsid w:val="001515AB"/>
    <w:rsid w:val="00155E2C"/>
    <w:rsid w:val="00156A3B"/>
    <w:rsid w:val="00156A75"/>
    <w:rsid w:val="0016053E"/>
    <w:rsid w:val="00165246"/>
    <w:rsid w:val="0016537A"/>
    <w:rsid w:val="00180560"/>
    <w:rsid w:val="0018418A"/>
    <w:rsid w:val="00186B6C"/>
    <w:rsid w:val="00187852"/>
    <w:rsid w:val="001937D0"/>
    <w:rsid w:val="001A5AAC"/>
    <w:rsid w:val="001A74E8"/>
    <w:rsid w:val="001A7DC0"/>
    <w:rsid w:val="001B0566"/>
    <w:rsid w:val="001B32E9"/>
    <w:rsid w:val="001B345E"/>
    <w:rsid w:val="001B79AF"/>
    <w:rsid w:val="001B7A00"/>
    <w:rsid w:val="001B7D70"/>
    <w:rsid w:val="001C1936"/>
    <w:rsid w:val="001C2260"/>
    <w:rsid w:val="001C7D2E"/>
    <w:rsid w:val="001D02EC"/>
    <w:rsid w:val="001D3A0F"/>
    <w:rsid w:val="001E0743"/>
    <w:rsid w:val="001E3132"/>
    <w:rsid w:val="001F42E8"/>
    <w:rsid w:val="001F59FB"/>
    <w:rsid w:val="001F7AE6"/>
    <w:rsid w:val="00203239"/>
    <w:rsid w:val="002033FE"/>
    <w:rsid w:val="00204453"/>
    <w:rsid w:val="002049D1"/>
    <w:rsid w:val="002077BC"/>
    <w:rsid w:val="0021311D"/>
    <w:rsid w:val="00215EE3"/>
    <w:rsid w:val="00221194"/>
    <w:rsid w:val="00222829"/>
    <w:rsid w:val="002239B2"/>
    <w:rsid w:val="00241EFC"/>
    <w:rsid w:val="00254DD9"/>
    <w:rsid w:val="002625EE"/>
    <w:rsid w:val="00265BAA"/>
    <w:rsid w:val="00266807"/>
    <w:rsid w:val="002669AF"/>
    <w:rsid w:val="0027090F"/>
    <w:rsid w:val="00271A7F"/>
    <w:rsid w:val="002767C9"/>
    <w:rsid w:val="00282094"/>
    <w:rsid w:val="00286C79"/>
    <w:rsid w:val="00286DFA"/>
    <w:rsid w:val="00291B9D"/>
    <w:rsid w:val="002948B7"/>
    <w:rsid w:val="00294AE9"/>
    <w:rsid w:val="00296144"/>
    <w:rsid w:val="002979E8"/>
    <w:rsid w:val="002A300B"/>
    <w:rsid w:val="002A370A"/>
    <w:rsid w:val="002B766B"/>
    <w:rsid w:val="002C50DC"/>
    <w:rsid w:val="002C6BB7"/>
    <w:rsid w:val="002D177E"/>
    <w:rsid w:val="002E6669"/>
    <w:rsid w:val="002F1DC6"/>
    <w:rsid w:val="002F3688"/>
    <w:rsid w:val="00301AB4"/>
    <w:rsid w:val="00303A84"/>
    <w:rsid w:val="00304849"/>
    <w:rsid w:val="00310FBE"/>
    <w:rsid w:val="003146BA"/>
    <w:rsid w:val="00320850"/>
    <w:rsid w:val="00323C0C"/>
    <w:rsid w:val="00324F3A"/>
    <w:rsid w:val="00332A92"/>
    <w:rsid w:val="00334F5A"/>
    <w:rsid w:val="00337AAD"/>
    <w:rsid w:val="00340AEE"/>
    <w:rsid w:val="00340E6B"/>
    <w:rsid w:val="003414A8"/>
    <w:rsid w:val="00342ED2"/>
    <w:rsid w:val="00343ECD"/>
    <w:rsid w:val="00345316"/>
    <w:rsid w:val="00346254"/>
    <w:rsid w:val="00350396"/>
    <w:rsid w:val="003523D0"/>
    <w:rsid w:val="003615B3"/>
    <w:rsid w:val="003618D4"/>
    <w:rsid w:val="003632F3"/>
    <w:rsid w:val="00363934"/>
    <w:rsid w:val="00377B09"/>
    <w:rsid w:val="00384D48"/>
    <w:rsid w:val="003914E1"/>
    <w:rsid w:val="0039229F"/>
    <w:rsid w:val="00396F95"/>
    <w:rsid w:val="003A3BAF"/>
    <w:rsid w:val="003A4536"/>
    <w:rsid w:val="003B0353"/>
    <w:rsid w:val="003B25BF"/>
    <w:rsid w:val="003C2B75"/>
    <w:rsid w:val="003C48BC"/>
    <w:rsid w:val="003C5103"/>
    <w:rsid w:val="003C6235"/>
    <w:rsid w:val="003D1A38"/>
    <w:rsid w:val="003D3443"/>
    <w:rsid w:val="003D3E0A"/>
    <w:rsid w:val="003D657F"/>
    <w:rsid w:val="003E3EAE"/>
    <w:rsid w:val="003E555F"/>
    <w:rsid w:val="003E5A93"/>
    <w:rsid w:val="003E7E7D"/>
    <w:rsid w:val="003E7F32"/>
    <w:rsid w:val="003F3C2C"/>
    <w:rsid w:val="004024E1"/>
    <w:rsid w:val="00404127"/>
    <w:rsid w:val="00414EC1"/>
    <w:rsid w:val="004161BF"/>
    <w:rsid w:val="004259F0"/>
    <w:rsid w:val="004301CA"/>
    <w:rsid w:val="004321E9"/>
    <w:rsid w:val="00434CF2"/>
    <w:rsid w:val="004407F9"/>
    <w:rsid w:val="004410D4"/>
    <w:rsid w:val="0044114E"/>
    <w:rsid w:val="004454CF"/>
    <w:rsid w:val="00457D8A"/>
    <w:rsid w:val="0046042D"/>
    <w:rsid w:val="00477616"/>
    <w:rsid w:val="00484952"/>
    <w:rsid w:val="00487665"/>
    <w:rsid w:val="004906DF"/>
    <w:rsid w:val="00492122"/>
    <w:rsid w:val="00492D9D"/>
    <w:rsid w:val="004A2038"/>
    <w:rsid w:val="004A625D"/>
    <w:rsid w:val="004A6F1C"/>
    <w:rsid w:val="004B0D94"/>
    <w:rsid w:val="004B50FD"/>
    <w:rsid w:val="004C7A03"/>
    <w:rsid w:val="004D00F3"/>
    <w:rsid w:val="004D4124"/>
    <w:rsid w:val="004E2115"/>
    <w:rsid w:val="004E387D"/>
    <w:rsid w:val="004E78F7"/>
    <w:rsid w:val="004E7CA6"/>
    <w:rsid w:val="00504847"/>
    <w:rsid w:val="00504C24"/>
    <w:rsid w:val="005051C9"/>
    <w:rsid w:val="00505228"/>
    <w:rsid w:val="0051770A"/>
    <w:rsid w:val="00522F15"/>
    <w:rsid w:val="005264DB"/>
    <w:rsid w:val="00526891"/>
    <w:rsid w:val="00527E07"/>
    <w:rsid w:val="00537F80"/>
    <w:rsid w:val="00541889"/>
    <w:rsid w:val="0054350C"/>
    <w:rsid w:val="00543AB0"/>
    <w:rsid w:val="00545241"/>
    <w:rsid w:val="00550C8F"/>
    <w:rsid w:val="00553300"/>
    <w:rsid w:val="005543CE"/>
    <w:rsid w:val="00556FFB"/>
    <w:rsid w:val="00557856"/>
    <w:rsid w:val="00560248"/>
    <w:rsid w:val="00560373"/>
    <w:rsid w:val="00561297"/>
    <w:rsid w:val="005642D3"/>
    <w:rsid w:val="0056570D"/>
    <w:rsid w:val="00571BF2"/>
    <w:rsid w:val="00572CD7"/>
    <w:rsid w:val="005730C3"/>
    <w:rsid w:val="0057487D"/>
    <w:rsid w:val="00582A42"/>
    <w:rsid w:val="005841AC"/>
    <w:rsid w:val="0058630F"/>
    <w:rsid w:val="00587C5C"/>
    <w:rsid w:val="005A4CF0"/>
    <w:rsid w:val="005A68BB"/>
    <w:rsid w:val="005B0591"/>
    <w:rsid w:val="005B32CF"/>
    <w:rsid w:val="005B6CDD"/>
    <w:rsid w:val="005C10D6"/>
    <w:rsid w:val="005C11D1"/>
    <w:rsid w:val="005C2B40"/>
    <w:rsid w:val="005C3BB5"/>
    <w:rsid w:val="005C71FB"/>
    <w:rsid w:val="005D0980"/>
    <w:rsid w:val="005D0B81"/>
    <w:rsid w:val="005D22EA"/>
    <w:rsid w:val="005D3877"/>
    <w:rsid w:val="005D6CB1"/>
    <w:rsid w:val="005E0700"/>
    <w:rsid w:val="005E12C0"/>
    <w:rsid w:val="005E53EB"/>
    <w:rsid w:val="005E5DAE"/>
    <w:rsid w:val="005E629D"/>
    <w:rsid w:val="005F0F26"/>
    <w:rsid w:val="005F331D"/>
    <w:rsid w:val="005F4189"/>
    <w:rsid w:val="005F4502"/>
    <w:rsid w:val="005F4696"/>
    <w:rsid w:val="005F50D9"/>
    <w:rsid w:val="00602E1D"/>
    <w:rsid w:val="006034B8"/>
    <w:rsid w:val="0060770C"/>
    <w:rsid w:val="00613932"/>
    <w:rsid w:val="00614FEA"/>
    <w:rsid w:val="006177E2"/>
    <w:rsid w:val="00626F58"/>
    <w:rsid w:val="00627586"/>
    <w:rsid w:val="00642CB4"/>
    <w:rsid w:val="00645C26"/>
    <w:rsid w:val="0064706E"/>
    <w:rsid w:val="006501A2"/>
    <w:rsid w:val="00650DFD"/>
    <w:rsid w:val="00651269"/>
    <w:rsid w:val="00653C6B"/>
    <w:rsid w:val="0065400C"/>
    <w:rsid w:val="00654415"/>
    <w:rsid w:val="006562EB"/>
    <w:rsid w:val="00666577"/>
    <w:rsid w:val="0067086E"/>
    <w:rsid w:val="0067667F"/>
    <w:rsid w:val="00684A92"/>
    <w:rsid w:val="006909D5"/>
    <w:rsid w:val="006914A5"/>
    <w:rsid w:val="006A3A47"/>
    <w:rsid w:val="006B15F9"/>
    <w:rsid w:val="006C0748"/>
    <w:rsid w:val="006C121A"/>
    <w:rsid w:val="006C7D73"/>
    <w:rsid w:val="006D0484"/>
    <w:rsid w:val="006D387B"/>
    <w:rsid w:val="006E423C"/>
    <w:rsid w:val="006F3116"/>
    <w:rsid w:val="006F416D"/>
    <w:rsid w:val="0070254B"/>
    <w:rsid w:val="00707ABC"/>
    <w:rsid w:val="00712536"/>
    <w:rsid w:val="00721160"/>
    <w:rsid w:val="007229A9"/>
    <w:rsid w:val="00735D44"/>
    <w:rsid w:val="00745756"/>
    <w:rsid w:val="007556DF"/>
    <w:rsid w:val="00756683"/>
    <w:rsid w:val="00760391"/>
    <w:rsid w:val="0077063B"/>
    <w:rsid w:val="00791692"/>
    <w:rsid w:val="007917F1"/>
    <w:rsid w:val="00793E55"/>
    <w:rsid w:val="007A1E0A"/>
    <w:rsid w:val="007A5974"/>
    <w:rsid w:val="007A7FE9"/>
    <w:rsid w:val="007B2997"/>
    <w:rsid w:val="007B2C96"/>
    <w:rsid w:val="007C0B87"/>
    <w:rsid w:val="007C7068"/>
    <w:rsid w:val="007D7CB6"/>
    <w:rsid w:val="007E222B"/>
    <w:rsid w:val="007F0F24"/>
    <w:rsid w:val="008035A7"/>
    <w:rsid w:val="0080558A"/>
    <w:rsid w:val="008068BD"/>
    <w:rsid w:val="00807236"/>
    <w:rsid w:val="00810928"/>
    <w:rsid w:val="008172F9"/>
    <w:rsid w:val="00824A22"/>
    <w:rsid w:val="00826772"/>
    <w:rsid w:val="00831967"/>
    <w:rsid w:val="00835579"/>
    <w:rsid w:val="00837CFB"/>
    <w:rsid w:val="00853299"/>
    <w:rsid w:val="00853F80"/>
    <w:rsid w:val="008618FB"/>
    <w:rsid w:val="008719D4"/>
    <w:rsid w:val="00880BB0"/>
    <w:rsid w:val="00887005"/>
    <w:rsid w:val="0089283A"/>
    <w:rsid w:val="00897913"/>
    <w:rsid w:val="008A749F"/>
    <w:rsid w:val="008B242C"/>
    <w:rsid w:val="008B363B"/>
    <w:rsid w:val="008C3741"/>
    <w:rsid w:val="008C4F46"/>
    <w:rsid w:val="008C5086"/>
    <w:rsid w:val="008C5F55"/>
    <w:rsid w:val="008D55FC"/>
    <w:rsid w:val="008D578B"/>
    <w:rsid w:val="008E75AB"/>
    <w:rsid w:val="008F144C"/>
    <w:rsid w:val="008F5D2A"/>
    <w:rsid w:val="009006F6"/>
    <w:rsid w:val="0090597D"/>
    <w:rsid w:val="00911B06"/>
    <w:rsid w:val="00914523"/>
    <w:rsid w:val="0091592D"/>
    <w:rsid w:val="00915DF9"/>
    <w:rsid w:val="00934C00"/>
    <w:rsid w:val="009401FA"/>
    <w:rsid w:val="0095356E"/>
    <w:rsid w:val="009606B5"/>
    <w:rsid w:val="009651AF"/>
    <w:rsid w:val="0097502B"/>
    <w:rsid w:val="00976B46"/>
    <w:rsid w:val="00980389"/>
    <w:rsid w:val="0098038C"/>
    <w:rsid w:val="00981524"/>
    <w:rsid w:val="00996C67"/>
    <w:rsid w:val="00997B93"/>
    <w:rsid w:val="009A0141"/>
    <w:rsid w:val="009A6077"/>
    <w:rsid w:val="009B4F50"/>
    <w:rsid w:val="009C1BF3"/>
    <w:rsid w:val="009C7ED9"/>
    <w:rsid w:val="009D3F01"/>
    <w:rsid w:val="009E3637"/>
    <w:rsid w:val="009E5A56"/>
    <w:rsid w:val="009F2093"/>
    <w:rsid w:val="009F29CB"/>
    <w:rsid w:val="009F486E"/>
    <w:rsid w:val="009F6524"/>
    <w:rsid w:val="00A000AF"/>
    <w:rsid w:val="00A04098"/>
    <w:rsid w:val="00A04AD1"/>
    <w:rsid w:val="00A101FF"/>
    <w:rsid w:val="00A11919"/>
    <w:rsid w:val="00A13BF8"/>
    <w:rsid w:val="00A15CA4"/>
    <w:rsid w:val="00A17316"/>
    <w:rsid w:val="00A1785A"/>
    <w:rsid w:val="00A2036C"/>
    <w:rsid w:val="00A25780"/>
    <w:rsid w:val="00A320AB"/>
    <w:rsid w:val="00A34F75"/>
    <w:rsid w:val="00A35677"/>
    <w:rsid w:val="00A356B7"/>
    <w:rsid w:val="00A4753D"/>
    <w:rsid w:val="00A54AD2"/>
    <w:rsid w:val="00A61FB3"/>
    <w:rsid w:val="00A645A6"/>
    <w:rsid w:val="00A666EE"/>
    <w:rsid w:val="00A8082F"/>
    <w:rsid w:val="00A80D81"/>
    <w:rsid w:val="00A81259"/>
    <w:rsid w:val="00A81850"/>
    <w:rsid w:val="00A82494"/>
    <w:rsid w:val="00A8678E"/>
    <w:rsid w:val="00A91AF2"/>
    <w:rsid w:val="00A946F0"/>
    <w:rsid w:val="00AA5288"/>
    <w:rsid w:val="00AB28D4"/>
    <w:rsid w:val="00AC19F1"/>
    <w:rsid w:val="00AC30F4"/>
    <w:rsid w:val="00AC37D6"/>
    <w:rsid w:val="00AD00C6"/>
    <w:rsid w:val="00AD3D20"/>
    <w:rsid w:val="00AD6EAD"/>
    <w:rsid w:val="00AE3524"/>
    <w:rsid w:val="00AE59EC"/>
    <w:rsid w:val="00AF159E"/>
    <w:rsid w:val="00AF2484"/>
    <w:rsid w:val="00B111A1"/>
    <w:rsid w:val="00B1366D"/>
    <w:rsid w:val="00B26CE5"/>
    <w:rsid w:val="00B434E5"/>
    <w:rsid w:val="00B47C9D"/>
    <w:rsid w:val="00B62317"/>
    <w:rsid w:val="00B628C7"/>
    <w:rsid w:val="00B64AE8"/>
    <w:rsid w:val="00B674D9"/>
    <w:rsid w:val="00B75078"/>
    <w:rsid w:val="00B750AB"/>
    <w:rsid w:val="00B837E4"/>
    <w:rsid w:val="00B8416B"/>
    <w:rsid w:val="00B851C1"/>
    <w:rsid w:val="00B90C0C"/>
    <w:rsid w:val="00B911D0"/>
    <w:rsid w:val="00BA3704"/>
    <w:rsid w:val="00BA514A"/>
    <w:rsid w:val="00BA737C"/>
    <w:rsid w:val="00BB6C12"/>
    <w:rsid w:val="00BC0773"/>
    <w:rsid w:val="00BD784D"/>
    <w:rsid w:val="00BE4676"/>
    <w:rsid w:val="00BE69AB"/>
    <w:rsid w:val="00BE7EFD"/>
    <w:rsid w:val="00BF0CC0"/>
    <w:rsid w:val="00BF5943"/>
    <w:rsid w:val="00C01824"/>
    <w:rsid w:val="00C312E8"/>
    <w:rsid w:val="00C33A13"/>
    <w:rsid w:val="00C408E9"/>
    <w:rsid w:val="00C41F47"/>
    <w:rsid w:val="00C47804"/>
    <w:rsid w:val="00C50533"/>
    <w:rsid w:val="00C5661D"/>
    <w:rsid w:val="00C62D46"/>
    <w:rsid w:val="00C676AA"/>
    <w:rsid w:val="00C67DF2"/>
    <w:rsid w:val="00C729BC"/>
    <w:rsid w:val="00C742B0"/>
    <w:rsid w:val="00C75944"/>
    <w:rsid w:val="00C75D10"/>
    <w:rsid w:val="00C77D58"/>
    <w:rsid w:val="00C84D81"/>
    <w:rsid w:val="00C91DD6"/>
    <w:rsid w:val="00C94BA2"/>
    <w:rsid w:val="00CA4564"/>
    <w:rsid w:val="00CA4FF5"/>
    <w:rsid w:val="00CC12C4"/>
    <w:rsid w:val="00CC40ED"/>
    <w:rsid w:val="00CC6D91"/>
    <w:rsid w:val="00CC7C0D"/>
    <w:rsid w:val="00CD3982"/>
    <w:rsid w:val="00CD5E65"/>
    <w:rsid w:val="00CE1E59"/>
    <w:rsid w:val="00CE2598"/>
    <w:rsid w:val="00CF263B"/>
    <w:rsid w:val="00CF5EC3"/>
    <w:rsid w:val="00D01689"/>
    <w:rsid w:val="00D05B71"/>
    <w:rsid w:val="00D07F83"/>
    <w:rsid w:val="00D10B1E"/>
    <w:rsid w:val="00D116D2"/>
    <w:rsid w:val="00D12DB0"/>
    <w:rsid w:val="00D17488"/>
    <w:rsid w:val="00D22239"/>
    <w:rsid w:val="00D277EE"/>
    <w:rsid w:val="00D35A02"/>
    <w:rsid w:val="00D46422"/>
    <w:rsid w:val="00D53A0F"/>
    <w:rsid w:val="00D6075F"/>
    <w:rsid w:val="00D64936"/>
    <w:rsid w:val="00D655D6"/>
    <w:rsid w:val="00D721A0"/>
    <w:rsid w:val="00D8009B"/>
    <w:rsid w:val="00D8481C"/>
    <w:rsid w:val="00D854FF"/>
    <w:rsid w:val="00D9643A"/>
    <w:rsid w:val="00DA22B5"/>
    <w:rsid w:val="00DA56AF"/>
    <w:rsid w:val="00DB0976"/>
    <w:rsid w:val="00DB3F66"/>
    <w:rsid w:val="00DB641A"/>
    <w:rsid w:val="00DC00A0"/>
    <w:rsid w:val="00DD0450"/>
    <w:rsid w:val="00DD298C"/>
    <w:rsid w:val="00DD3B11"/>
    <w:rsid w:val="00DD3EA8"/>
    <w:rsid w:val="00DE36EA"/>
    <w:rsid w:val="00DF53B8"/>
    <w:rsid w:val="00DF6E5C"/>
    <w:rsid w:val="00DF7126"/>
    <w:rsid w:val="00E0004D"/>
    <w:rsid w:val="00E00773"/>
    <w:rsid w:val="00E047AB"/>
    <w:rsid w:val="00E07A41"/>
    <w:rsid w:val="00E13311"/>
    <w:rsid w:val="00E142C3"/>
    <w:rsid w:val="00E21902"/>
    <w:rsid w:val="00E21A8E"/>
    <w:rsid w:val="00E26226"/>
    <w:rsid w:val="00E32195"/>
    <w:rsid w:val="00E367C6"/>
    <w:rsid w:val="00E36A84"/>
    <w:rsid w:val="00E36F45"/>
    <w:rsid w:val="00E40F4C"/>
    <w:rsid w:val="00E41AAD"/>
    <w:rsid w:val="00E41C0A"/>
    <w:rsid w:val="00E45B28"/>
    <w:rsid w:val="00E47155"/>
    <w:rsid w:val="00E4734E"/>
    <w:rsid w:val="00E5038E"/>
    <w:rsid w:val="00E54F3F"/>
    <w:rsid w:val="00E643D3"/>
    <w:rsid w:val="00E70325"/>
    <w:rsid w:val="00E82D21"/>
    <w:rsid w:val="00E83E78"/>
    <w:rsid w:val="00E857F5"/>
    <w:rsid w:val="00E86138"/>
    <w:rsid w:val="00E877B6"/>
    <w:rsid w:val="00EA0DFD"/>
    <w:rsid w:val="00EA2CE8"/>
    <w:rsid w:val="00EA5B1B"/>
    <w:rsid w:val="00EB4E7E"/>
    <w:rsid w:val="00EB597C"/>
    <w:rsid w:val="00EC40DF"/>
    <w:rsid w:val="00EC5CD6"/>
    <w:rsid w:val="00ED7973"/>
    <w:rsid w:val="00EE2F5C"/>
    <w:rsid w:val="00EE65A1"/>
    <w:rsid w:val="00EF1076"/>
    <w:rsid w:val="00EF3D99"/>
    <w:rsid w:val="00EF70CB"/>
    <w:rsid w:val="00F03B7E"/>
    <w:rsid w:val="00F05801"/>
    <w:rsid w:val="00F13C28"/>
    <w:rsid w:val="00F14689"/>
    <w:rsid w:val="00F14F7A"/>
    <w:rsid w:val="00F15E71"/>
    <w:rsid w:val="00F208D4"/>
    <w:rsid w:val="00F23E66"/>
    <w:rsid w:val="00F26888"/>
    <w:rsid w:val="00F32F7B"/>
    <w:rsid w:val="00F34F96"/>
    <w:rsid w:val="00F35264"/>
    <w:rsid w:val="00F3555C"/>
    <w:rsid w:val="00F36560"/>
    <w:rsid w:val="00F42409"/>
    <w:rsid w:val="00F43715"/>
    <w:rsid w:val="00F437F8"/>
    <w:rsid w:val="00F44961"/>
    <w:rsid w:val="00F535E8"/>
    <w:rsid w:val="00F66135"/>
    <w:rsid w:val="00F719C3"/>
    <w:rsid w:val="00F80346"/>
    <w:rsid w:val="00F86887"/>
    <w:rsid w:val="00F922A8"/>
    <w:rsid w:val="00F955DC"/>
    <w:rsid w:val="00F961A9"/>
    <w:rsid w:val="00FA3E40"/>
    <w:rsid w:val="00FA648A"/>
    <w:rsid w:val="00FA6E4F"/>
    <w:rsid w:val="00FA7D11"/>
    <w:rsid w:val="00FB3EDB"/>
    <w:rsid w:val="00FB5C46"/>
    <w:rsid w:val="00FB6B9B"/>
    <w:rsid w:val="00FB6BC8"/>
    <w:rsid w:val="00FC043E"/>
    <w:rsid w:val="00FC38EB"/>
    <w:rsid w:val="00FC5EBD"/>
    <w:rsid w:val="00FD13A7"/>
    <w:rsid w:val="00FD23F8"/>
    <w:rsid w:val="00FD2CC8"/>
    <w:rsid w:val="00FD356A"/>
    <w:rsid w:val="00FD52A1"/>
    <w:rsid w:val="00FD6304"/>
    <w:rsid w:val="00FE206C"/>
    <w:rsid w:val="00FE4301"/>
    <w:rsid w:val="00FE5290"/>
    <w:rsid w:val="00FE6A52"/>
    <w:rsid w:val="00FE7D48"/>
    <w:rsid w:val="00FF1E29"/>
    <w:rsid w:val="00FF4AB7"/>
    <w:rsid w:val="00FF5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3FCFC"/>
  <w15:docId w15:val="{AE80E702-03B7-4CA8-AB23-6A5A43EA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 w:type="paragraph" w:styleId="Betarp">
    <w:name w:val="No Spacing"/>
    <w:uiPriority w:val="1"/>
    <w:qFormat/>
    <w:rsid w:val="002049D1"/>
    <w:pPr>
      <w:spacing w:after="0" w:line="240" w:lineRule="auto"/>
    </w:pPr>
    <w:rPr>
      <w:rFonts w:eastAsiaTheme="minorEastAsia"/>
      <w:sz w:val="21"/>
      <w:szCs w:val="21"/>
      <w:lang w:eastAsia="lt-LT"/>
    </w:rPr>
  </w:style>
  <w:style w:type="paragraph" w:styleId="Pagrindiniotekstotrauka">
    <w:name w:val="Body Text Indent"/>
    <w:basedOn w:val="prastasis"/>
    <w:link w:val="PagrindiniotekstotraukaDiagrama"/>
    <w:rsid w:val="002049D1"/>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PagrindiniotekstotraukaDiagrama">
    <w:name w:val="Pagrindinio teksto įtrauka Diagrama"/>
    <w:basedOn w:val="Numatytasispastraiposriftas"/>
    <w:link w:val="Pagrindiniotekstotrauka"/>
    <w:rsid w:val="002049D1"/>
    <w:rPr>
      <w:rFonts w:ascii="Times New Roman" w:eastAsia="Times New Roman" w:hAnsi="Times New Roman" w:cs="Times New Roman"/>
      <w:sz w:val="24"/>
      <w:szCs w:val="24"/>
      <w:lang w:eastAsia="zh-CN"/>
    </w:rPr>
  </w:style>
  <w:style w:type="paragraph" w:styleId="Pagrindinistekstas">
    <w:name w:val="Body Text"/>
    <w:basedOn w:val="prastasis"/>
    <w:link w:val="PagrindinistekstasDiagrama"/>
    <w:uiPriority w:val="99"/>
    <w:semiHidden/>
    <w:unhideWhenUsed/>
    <w:rsid w:val="001B345E"/>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semiHidden/>
    <w:rsid w:val="001B345E"/>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D35A02"/>
    <w:pPr>
      <w:spacing w:before="100" w:beforeAutospacing="1" w:after="100" w:afterAutospacing="1" w:line="240" w:lineRule="auto"/>
    </w:pPr>
    <w:rPr>
      <w:rFonts w:ascii="Times New Roman" w:hAnsi="Times New Roman" w:cs="Times New Roman"/>
      <w:sz w:val="24"/>
      <w:szCs w:val="24"/>
      <w:lang w:eastAsia="lt-LT"/>
    </w:rPr>
  </w:style>
  <w:style w:type="paragraph" w:styleId="Data">
    <w:name w:val="Date"/>
    <w:basedOn w:val="Antrats"/>
    <w:link w:val="DataDiagrama"/>
    <w:rsid w:val="008D55FC"/>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8D55F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26CE5"/>
    <w:rPr>
      <w:color w:val="0000FF" w:themeColor="hyperlink"/>
      <w:u w:val="single"/>
    </w:rPr>
  </w:style>
  <w:style w:type="paragraph" w:styleId="Pavadinimas">
    <w:name w:val="Title"/>
    <w:basedOn w:val="prastasis"/>
    <w:link w:val="PavadinimasDiagrama"/>
    <w:uiPriority w:val="10"/>
    <w:qFormat/>
    <w:rsid w:val="00745756"/>
    <w:pPr>
      <w:spacing w:before="40" w:after="40" w:line="240" w:lineRule="auto"/>
      <w:ind w:right="1959"/>
    </w:pPr>
    <w:rPr>
      <w:rFonts w:ascii="Times New Roman" w:eastAsia="Times New Roman" w:hAnsi="Times New Roman" w:cs="Times New Roman"/>
      <w:caps/>
      <w:sz w:val="24"/>
      <w:szCs w:val="24"/>
      <w:lang w:eastAsia="lt-LT"/>
    </w:rPr>
  </w:style>
  <w:style w:type="character" w:customStyle="1" w:styleId="PavadinimasDiagrama">
    <w:name w:val="Pavadinimas Diagrama"/>
    <w:basedOn w:val="Numatytasispastraiposriftas"/>
    <w:link w:val="Pavadinimas"/>
    <w:uiPriority w:val="10"/>
    <w:rsid w:val="00745756"/>
    <w:rPr>
      <w:rFonts w:ascii="Times New Roman" w:eastAsia="Times New Roman" w:hAnsi="Times New Roman" w:cs="Times New Roman"/>
      <w:caps/>
      <w:sz w:val="24"/>
      <w:szCs w:val="24"/>
      <w:lang w:eastAsia="lt-LT"/>
    </w:rPr>
  </w:style>
  <w:style w:type="paragraph" w:styleId="Puslapioinaostekstas">
    <w:name w:val="footnote text"/>
    <w:aliases w:val="Char1,atask Puslapio išnašos tekstas,Footnote,Footnote Diagrama,Footnote Text Char Char,Footnote Char Char,Footnote Char,fn,Footnote Text Char1 Char Char2,Footnote Text OCR Char1 Char1 Char,Footnot,Ch,FT"/>
    <w:basedOn w:val="prastasis"/>
    <w:link w:val="PuslapioinaostekstasDiagrama"/>
    <w:uiPriority w:val="99"/>
    <w:semiHidden/>
    <w:unhideWhenUsed/>
    <w:qFormat/>
    <w:rsid w:val="00745756"/>
    <w:pPr>
      <w:spacing w:after="0" w:line="240" w:lineRule="auto"/>
    </w:pPr>
    <w:rPr>
      <w:rFonts w:ascii="Calibri" w:eastAsia="Times New Roman" w:hAnsi="Calibri" w:cs="Times New Roman"/>
      <w:sz w:val="20"/>
      <w:szCs w:val="20"/>
      <w:lang w:eastAsia="lt-LT"/>
    </w:rPr>
  </w:style>
  <w:style w:type="character" w:customStyle="1" w:styleId="PuslapioinaostekstasDiagrama">
    <w:name w:val="Puslapio išnašos tekstas Diagrama"/>
    <w:aliases w:val="Char1 Diagrama,atask Puslapio išnašos tekstas Diagrama,Footnote Diagrama1,Footnote Diagrama Diagrama,Footnote Text Char Char Diagrama,Footnote Char Char Diagrama,Footnote Char Diagrama,fn Diagrama,Footnot Diagrama"/>
    <w:basedOn w:val="Numatytasispastraiposriftas"/>
    <w:link w:val="Puslapioinaostekstas"/>
    <w:uiPriority w:val="99"/>
    <w:semiHidden/>
    <w:rsid w:val="00745756"/>
    <w:rPr>
      <w:rFonts w:ascii="Calibri" w:eastAsia="Times New Roman" w:hAnsi="Calibri" w:cs="Times New Roman"/>
      <w:sz w:val="20"/>
      <w:szCs w:val="20"/>
      <w:lang w:eastAsia="lt-LT"/>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fr,• Isnasos nuoroda"/>
    <w:basedOn w:val="Numatytasispastraiposriftas"/>
    <w:link w:val="FootnotesymbolCarZchn"/>
    <w:uiPriority w:val="99"/>
    <w:unhideWhenUsed/>
    <w:qFormat/>
    <w:rsid w:val="00745756"/>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745756"/>
    <w:pPr>
      <w:spacing w:after="160" w:line="240" w:lineRule="exact"/>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79191">
      <w:bodyDiv w:val="1"/>
      <w:marLeft w:val="0"/>
      <w:marRight w:val="0"/>
      <w:marTop w:val="0"/>
      <w:marBottom w:val="0"/>
      <w:divBdr>
        <w:top w:val="none" w:sz="0" w:space="0" w:color="auto"/>
        <w:left w:val="none" w:sz="0" w:space="0" w:color="auto"/>
        <w:bottom w:val="none" w:sz="0" w:space="0" w:color="auto"/>
        <w:right w:val="none" w:sz="0" w:space="0" w:color="auto"/>
      </w:divBdr>
    </w:div>
    <w:div w:id="628244292">
      <w:bodyDiv w:val="1"/>
      <w:marLeft w:val="0"/>
      <w:marRight w:val="0"/>
      <w:marTop w:val="0"/>
      <w:marBottom w:val="0"/>
      <w:divBdr>
        <w:top w:val="none" w:sz="0" w:space="0" w:color="auto"/>
        <w:left w:val="none" w:sz="0" w:space="0" w:color="auto"/>
        <w:bottom w:val="none" w:sz="0" w:space="0" w:color="auto"/>
        <w:right w:val="none" w:sz="0" w:space="0" w:color="auto"/>
      </w:divBdr>
    </w:div>
    <w:div w:id="658653742">
      <w:bodyDiv w:val="1"/>
      <w:marLeft w:val="0"/>
      <w:marRight w:val="0"/>
      <w:marTop w:val="0"/>
      <w:marBottom w:val="0"/>
      <w:divBdr>
        <w:top w:val="none" w:sz="0" w:space="0" w:color="auto"/>
        <w:left w:val="none" w:sz="0" w:space="0" w:color="auto"/>
        <w:bottom w:val="none" w:sz="0" w:space="0" w:color="auto"/>
        <w:right w:val="none" w:sz="0" w:space="0" w:color="auto"/>
      </w:divBdr>
    </w:div>
    <w:div w:id="1131480699">
      <w:bodyDiv w:val="1"/>
      <w:marLeft w:val="0"/>
      <w:marRight w:val="0"/>
      <w:marTop w:val="0"/>
      <w:marBottom w:val="0"/>
      <w:divBdr>
        <w:top w:val="none" w:sz="0" w:space="0" w:color="auto"/>
        <w:left w:val="none" w:sz="0" w:space="0" w:color="auto"/>
        <w:bottom w:val="none" w:sz="0" w:space="0" w:color="auto"/>
        <w:right w:val="none" w:sz="0" w:space="0" w:color="auto"/>
      </w:divBdr>
    </w:div>
    <w:div w:id="1244335836">
      <w:bodyDiv w:val="1"/>
      <w:marLeft w:val="0"/>
      <w:marRight w:val="0"/>
      <w:marTop w:val="0"/>
      <w:marBottom w:val="0"/>
      <w:divBdr>
        <w:top w:val="none" w:sz="0" w:space="0" w:color="auto"/>
        <w:left w:val="none" w:sz="0" w:space="0" w:color="auto"/>
        <w:bottom w:val="none" w:sz="0" w:space="0" w:color="auto"/>
        <w:right w:val="none" w:sz="0" w:space="0" w:color="auto"/>
      </w:divBdr>
    </w:div>
    <w:div w:id="1247766866">
      <w:bodyDiv w:val="1"/>
      <w:marLeft w:val="0"/>
      <w:marRight w:val="0"/>
      <w:marTop w:val="0"/>
      <w:marBottom w:val="0"/>
      <w:divBdr>
        <w:top w:val="none" w:sz="0" w:space="0" w:color="auto"/>
        <w:left w:val="none" w:sz="0" w:space="0" w:color="auto"/>
        <w:bottom w:val="none" w:sz="0" w:space="0" w:color="auto"/>
        <w:right w:val="none" w:sz="0" w:space="0" w:color="auto"/>
      </w:divBdr>
    </w:div>
    <w:div w:id="1693068909">
      <w:bodyDiv w:val="1"/>
      <w:marLeft w:val="0"/>
      <w:marRight w:val="0"/>
      <w:marTop w:val="0"/>
      <w:marBottom w:val="0"/>
      <w:divBdr>
        <w:top w:val="none" w:sz="0" w:space="0" w:color="auto"/>
        <w:left w:val="none" w:sz="0" w:space="0" w:color="auto"/>
        <w:bottom w:val="none" w:sz="0" w:space="0" w:color="auto"/>
        <w:right w:val="none" w:sz="0" w:space="0" w:color="auto"/>
      </w:divBdr>
    </w:div>
    <w:div w:id="1762529970">
      <w:bodyDiv w:val="1"/>
      <w:marLeft w:val="0"/>
      <w:marRight w:val="0"/>
      <w:marTop w:val="0"/>
      <w:marBottom w:val="0"/>
      <w:divBdr>
        <w:top w:val="none" w:sz="0" w:space="0" w:color="auto"/>
        <w:left w:val="none" w:sz="0" w:space="0" w:color="auto"/>
        <w:bottom w:val="none" w:sz="0" w:space="0" w:color="auto"/>
        <w:right w:val="none" w:sz="0" w:space="0" w:color="auto"/>
      </w:divBdr>
    </w:div>
    <w:div w:id="20684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c.europa.eu/info/sites/info/files/justice_scoreboard_2020_en.pdf"
                 TargetMode="External"
                 Type="http://schemas.openxmlformats.org/officeDocument/2006/relationships/hyperlink"/>
   <Relationship Id="rId2" Target="https://ec.europa.eu/info/files/eu-justice-scoreboard-202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F38A-159E-4A80-81FF-078FE3C7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11561</Words>
  <Characters>6590</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2021-08-26T08:28:00Z</dcterms:created>
  <dc:creator>Vanda Dudienė</dc:creator>
  <cp:lastModifiedBy>Agnė Nakčerienė</cp:lastModifiedBy>
  <cp:lastPrinted>2017-05-26T06:01:00Z</cp:lastPrinted>
  <dcterms:modified xsi:type="dcterms:W3CDTF">2021-08-26T11:36:00Z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462130172</vt:i4>
  </property>
  <property fmtid="{D5CDD505-2E9C-101B-9397-08002B2CF9AE}" pid="4" name="_EmailSubject">
    <vt:lpwstr>Sveika, siunčiu viską, išskyrus aiškinamąjį</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