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8276" w14:textId="77777777" w:rsidR="00CB1EF9" w:rsidRPr="00546301" w:rsidRDefault="00CB1EF9" w:rsidP="00CB1EF9">
      <w:pPr>
        <w:pStyle w:val="Antrat2"/>
        <w:spacing w:line="276" w:lineRule="auto"/>
        <w:rPr>
          <w:szCs w:val="24"/>
          <w:lang w:val="lt-LT"/>
        </w:rPr>
      </w:pPr>
      <w:r w:rsidRPr="00C408E3">
        <w:rPr>
          <w:szCs w:val="24"/>
          <w:lang w:val="lt-LT"/>
        </w:rPr>
        <w:t>Lietuvos Respublikos apsaugos nuo smurto artimoje aplinkoje įstatymo Nr. XI-1425 pakeitimo įstatymo</w:t>
      </w:r>
      <w:r>
        <w:rPr>
          <w:szCs w:val="24"/>
          <w:lang w:val="lt-LT"/>
        </w:rPr>
        <w:t xml:space="preserve"> PROJEKTO</w:t>
      </w:r>
    </w:p>
    <w:p w14:paraId="6BEEAF26" w14:textId="1F5A478F" w:rsidR="00CB1EF9" w:rsidRDefault="00CB1EF9" w:rsidP="00CB1EF9">
      <w:pPr>
        <w:spacing w:after="0" w:line="276" w:lineRule="auto"/>
        <w:jc w:val="center"/>
        <w:rPr>
          <w:rFonts w:ascii="Times New Roman" w:hAnsi="Times New Roman" w:cs="Times New Roman"/>
          <w:b/>
          <w:sz w:val="24"/>
          <w:szCs w:val="24"/>
        </w:rPr>
      </w:pPr>
      <w:r w:rsidRPr="00546301">
        <w:rPr>
          <w:rFonts w:ascii="Times New Roman" w:hAnsi="Times New Roman" w:cs="Times New Roman"/>
          <w:b/>
          <w:sz w:val="24"/>
          <w:szCs w:val="24"/>
        </w:rPr>
        <w:t>DERINIMO PAŽYMA</w:t>
      </w:r>
    </w:p>
    <w:p w14:paraId="6577F9D6" w14:textId="77777777" w:rsidR="00CB1EF9" w:rsidRPr="00546301" w:rsidRDefault="00CB1EF9" w:rsidP="00CB1EF9">
      <w:pPr>
        <w:spacing w:after="0" w:line="276" w:lineRule="auto"/>
        <w:jc w:val="center"/>
        <w:rPr>
          <w:rFonts w:ascii="Times New Roman" w:hAnsi="Times New Roman" w:cs="Times New Roman"/>
          <w:b/>
          <w:sz w:val="24"/>
          <w:szCs w:val="24"/>
        </w:rPr>
      </w:pPr>
    </w:p>
    <w:tbl>
      <w:tblPr>
        <w:tblStyle w:val="Lentelstinklelis"/>
        <w:tblW w:w="14657" w:type="dxa"/>
        <w:tblLook w:val="04A0" w:firstRow="1" w:lastRow="0" w:firstColumn="1" w:lastColumn="0" w:noHBand="0" w:noVBand="1"/>
      </w:tblPr>
      <w:tblGrid>
        <w:gridCol w:w="1523"/>
        <w:gridCol w:w="8389"/>
        <w:gridCol w:w="4745"/>
      </w:tblGrid>
      <w:tr w:rsidR="008838CB" w:rsidRPr="00602D1F" w14:paraId="65CBA6A1" w14:textId="77777777" w:rsidTr="00D5157C">
        <w:tc>
          <w:tcPr>
            <w:tcW w:w="1271" w:type="dxa"/>
          </w:tcPr>
          <w:p w14:paraId="7FBC662F" w14:textId="033B0343"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t>Teisėjų tarybos 2021-08-13 raštas Nr. 36P-99-(7.1.10.)</w:t>
            </w:r>
          </w:p>
        </w:tc>
        <w:tc>
          <w:tcPr>
            <w:tcW w:w="8567" w:type="dxa"/>
          </w:tcPr>
          <w:p w14:paraId="1531776F" w14:textId="77777777" w:rsidR="008838CB" w:rsidRPr="00602D1F" w:rsidRDefault="008838CB" w:rsidP="00602D1F">
            <w:pPr>
              <w:jc w:val="both"/>
              <w:rPr>
                <w:rFonts w:ascii="Times New Roman" w:hAnsi="Times New Roman" w:cs="Times New Roman"/>
                <w:bCs/>
                <w:sz w:val="24"/>
                <w:szCs w:val="24"/>
              </w:rPr>
            </w:pPr>
            <w:r w:rsidRPr="00602D1F">
              <w:rPr>
                <w:rFonts w:ascii="Times New Roman" w:hAnsi="Times New Roman" w:cs="Times New Roman"/>
                <w:b/>
                <w:bCs/>
                <w:i/>
                <w:iCs/>
                <w:color w:val="000000"/>
                <w:sz w:val="24"/>
                <w:szCs w:val="24"/>
              </w:rPr>
              <w:t xml:space="preserve">2. </w:t>
            </w:r>
            <w:r w:rsidRPr="00602D1F">
              <w:rPr>
                <w:rFonts w:ascii="Times New Roman" w:eastAsiaTheme="minorEastAsia" w:hAnsi="Times New Roman" w:cs="Times New Roman"/>
                <w:b/>
                <w:i/>
                <w:sz w:val="24"/>
                <w:szCs w:val="24"/>
              </w:rPr>
              <w:t>Dėl A</w:t>
            </w:r>
            <w:r w:rsidRPr="00602D1F">
              <w:rPr>
                <w:rFonts w:ascii="Times New Roman" w:hAnsi="Times New Roman" w:cs="Times New Roman"/>
                <w:b/>
                <w:i/>
                <w:sz w:val="24"/>
                <w:szCs w:val="24"/>
              </w:rPr>
              <w:t>psaugos nuo smurto orderio</w:t>
            </w:r>
          </w:p>
          <w:p w14:paraId="25BF905A" w14:textId="77777777" w:rsidR="008838CB" w:rsidRPr="00602D1F" w:rsidRDefault="008838CB" w:rsidP="00602D1F">
            <w:pPr>
              <w:jc w:val="both"/>
              <w:rPr>
                <w:rFonts w:ascii="Times New Roman" w:hAnsi="Times New Roman" w:cs="Times New Roman"/>
                <w:i/>
                <w:sz w:val="24"/>
                <w:szCs w:val="24"/>
              </w:rPr>
            </w:pPr>
            <w:r w:rsidRPr="00602D1F">
              <w:rPr>
                <w:rFonts w:ascii="Times New Roman" w:hAnsi="Times New Roman" w:cs="Times New Roman"/>
                <w:i/>
                <w:sz w:val="24"/>
                <w:szCs w:val="24"/>
              </w:rPr>
              <w:t xml:space="preserve">2.1. Dėl rizikos vertinimo </w:t>
            </w:r>
          </w:p>
          <w:p w14:paraId="41119AEC" w14:textId="77777777" w:rsidR="008838CB" w:rsidRPr="00602D1F" w:rsidRDefault="008838CB" w:rsidP="00602D1F">
            <w:pPr>
              <w:jc w:val="both"/>
              <w:rPr>
                <w:rFonts w:ascii="Times New Roman" w:hAnsi="Times New Roman" w:cs="Times New Roman"/>
                <w:bCs/>
                <w:sz w:val="24"/>
                <w:szCs w:val="24"/>
              </w:rPr>
            </w:pPr>
            <w:r w:rsidRPr="00602D1F">
              <w:rPr>
                <w:rFonts w:ascii="Times New Roman" w:hAnsi="Times New Roman" w:cs="Times New Roman"/>
                <w:iCs/>
                <w:sz w:val="24"/>
                <w:szCs w:val="24"/>
              </w:rPr>
              <w:t>Pagal Įstatymo projekto 8 straipsnio 2 dalį A</w:t>
            </w:r>
            <w:r w:rsidRPr="00602D1F">
              <w:rPr>
                <w:rFonts w:ascii="Times New Roman" w:hAnsi="Times New Roman" w:cs="Times New Roman"/>
                <w:bCs/>
                <w:sz w:val="24"/>
                <w:szCs w:val="24"/>
              </w:rPr>
              <w:t>psaugos nuo smurto artimoje aplinkoje orderį (toliau – Orderis) policijos pareigūnas skiria, kai atlikus vertinimą nustatoma smurto artimoje aplinkoje pavojaus rizika. Įstatymo projekte nėra pateikta pavojaus rizikos vertinimo sąvoka, tik pažymima, kad smurto artimoje aplinkoje pavojaus rizikos vertinimo kriterijus nustato vidaus reikalų ministras. Sutiktina, kad smurto artimoje aplinkoje pavojaus rizikos vertinimas svarbus policijai ir teismui sprendžiant Orderio skyrimo ir jo galiojimo pratęsimo klausimus, tačiau pastebėtina, kad nėra aiškus pavojaus rizikos vertinimo santykis su kituose Įstatymo projekto straipsniuose nustatomu pakartotinio smurto artimoje aplinkoje rizikos veiksnių vertinimu (toliau – pakartotinio smurto rizikos vertinimas), atliekamu specializuotos kompleksinės pagalbos centro (toliau – SKPC) ir kurio tvarką tvirtina vidaus reikalų ministras ir socialinės apsaugos ir darbo ministras (8 straipsnio 4 dalies 4 punktas, 8 straipsnio 7 dalis, 14 straipsnio 4 dalies 2 punktas). Įstatymo projekte nėra numatyta, kokiu tikslu atliekamas pakartotinio smurto rizikos vertinimas, kur tokio vertinimo išvados naudojamos, kam jos pateikiamos ir pan.</w:t>
            </w:r>
          </w:p>
          <w:p w14:paraId="598F3CF8" w14:textId="5B711B7C"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bCs/>
                <w:sz w:val="24"/>
                <w:szCs w:val="24"/>
              </w:rPr>
              <w:t>Atsižvelgus į tai, kas išdėstyta, siūlytina tikslinti Įstatymo projekto nuostatas, jose atskleidžiant smurto artimoje aplinkoje pavojaus rizikos ir pakartotinio smurto rizikos vertinimo santykį bei nustatant pakartotinio smurto rizikos vertinimo išvadų tolimesnį naudojimą prevencijos, pagalbos teikimo tikslais ar teisinėse procedūrose, pavyzdžiui, teismui sprendžiant dėl Orderio pratęsimo.</w:t>
            </w:r>
          </w:p>
        </w:tc>
        <w:tc>
          <w:tcPr>
            <w:tcW w:w="4819" w:type="dxa"/>
          </w:tcPr>
          <w:p w14:paraId="1556F4DA" w14:textId="77777777" w:rsidR="008838CB" w:rsidRPr="00602D1F" w:rsidRDefault="008838CB" w:rsidP="00602D1F">
            <w:pPr>
              <w:rPr>
                <w:rFonts w:ascii="Times New Roman" w:hAnsi="Times New Roman" w:cs="Times New Roman"/>
                <w:b/>
                <w:bCs/>
                <w:sz w:val="24"/>
                <w:szCs w:val="24"/>
              </w:rPr>
            </w:pPr>
            <w:r w:rsidRPr="00602D1F">
              <w:rPr>
                <w:rFonts w:ascii="Times New Roman" w:hAnsi="Times New Roman" w:cs="Times New Roman"/>
                <w:b/>
                <w:bCs/>
                <w:sz w:val="24"/>
                <w:szCs w:val="24"/>
              </w:rPr>
              <w:t>Atsižvelgta iš dalies.</w:t>
            </w:r>
          </w:p>
          <w:p w14:paraId="43FBFD5A" w14:textId="77777777" w:rsidR="008838CB" w:rsidRPr="00602D1F" w:rsidRDefault="008838CB" w:rsidP="00602D1F">
            <w:pPr>
              <w:rPr>
                <w:rFonts w:ascii="Times New Roman" w:hAnsi="Times New Roman" w:cs="Times New Roman"/>
                <w:b/>
                <w:bCs/>
                <w:i/>
                <w:iCs/>
                <w:sz w:val="24"/>
                <w:szCs w:val="24"/>
              </w:rPr>
            </w:pPr>
          </w:p>
          <w:p w14:paraId="35333B57" w14:textId="50DF31A2"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Nuostatos, susijusios su </w:t>
            </w:r>
            <w:r w:rsidR="008D7D86" w:rsidRPr="008D7D86">
              <w:rPr>
                <w:rFonts w:ascii="Times New Roman" w:hAnsi="Times New Roman" w:cs="Times New Roman"/>
                <w:sz w:val="24"/>
                <w:szCs w:val="24"/>
              </w:rPr>
              <w:t>Lietuvos Respublikos apsaugos nuo smurto artimoje aplinkoje įstatymo projekt</w:t>
            </w:r>
            <w:r w:rsidR="008D7D86">
              <w:rPr>
                <w:rFonts w:ascii="Times New Roman" w:hAnsi="Times New Roman" w:cs="Times New Roman"/>
                <w:sz w:val="24"/>
                <w:szCs w:val="24"/>
              </w:rPr>
              <w:t xml:space="preserve">e </w:t>
            </w:r>
            <w:r w:rsidR="008D7D86" w:rsidRPr="008D7D86">
              <w:rPr>
                <w:rFonts w:ascii="Times New Roman" w:hAnsi="Times New Roman" w:cs="Times New Roman"/>
                <w:sz w:val="24"/>
                <w:szCs w:val="24"/>
              </w:rPr>
              <w:t xml:space="preserve"> (toliau</w:t>
            </w:r>
            <w:r w:rsidR="008D7D86">
              <w:rPr>
                <w:rFonts w:ascii="Times New Roman" w:hAnsi="Times New Roman" w:cs="Times New Roman"/>
                <w:sz w:val="24"/>
                <w:szCs w:val="24"/>
              </w:rPr>
              <w:t xml:space="preserve"> –</w:t>
            </w:r>
            <w:r w:rsidR="008D7D86" w:rsidRPr="008D7D86">
              <w:rPr>
                <w:rFonts w:ascii="Times New Roman" w:hAnsi="Times New Roman" w:cs="Times New Roman"/>
                <w:sz w:val="24"/>
                <w:szCs w:val="24"/>
              </w:rPr>
              <w:t xml:space="preserve"> Įstatymo projektas)</w:t>
            </w:r>
            <w:r w:rsidRPr="00602D1F">
              <w:rPr>
                <w:rFonts w:ascii="Times New Roman" w:hAnsi="Times New Roman" w:cs="Times New Roman"/>
                <w:sz w:val="24"/>
                <w:szCs w:val="24"/>
              </w:rPr>
              <w:t xml:space="preserve"> įtvirtintų vertinimų santykių bei šių vertinimų rezultatų tolimesnių panaudojimu patikslintos.</w:t>
            </w:r>
          </w:p>
          <w:p w14:paraId="097843B0" w14:textId="77777777" w:rsidR="008838CB" w:rsidRPr="00602D1F" w:rsidRDefault="008838CB" w:rsidP="00602D1F">
            <w:pPr>
              <w:jc w:val="both"/>
              <w:rPr>
                <w:rFonts w:ascii="Times New Roman" w:hAnsi="Times New Roman" w:cs="Times New Roman"/>
                <w:sz w:val="24"/>
                <w:szCs w:val="24"/>
              </w:rPr>
            </w:pPr>
          </w:p>
          <w:p w14:paraId="79A90FAF" w14:textId="65C96A90" w:rsidR="008838CB" w:rsidRPr="00602D1F" w:rsidRDefault="008838CB" w:rsidP="00602D1F">
            <w:pPr>
              <w:jc w:val="both"/>
              <w:rPr>
                <w:rFonts w:ascii="Times New Roman" w:hAnsi="Times New Roman" w:cs="Times New Roman"/>
                <w:b/>
                <w:bCs/>
                <w:sz w:val="24"/>
                <w:szCs w:val="24"/>
              </w:rPr>
            </w:pPr>
            <w:r w:rsidRPr="00602D1F">
              <w:rPr>
                <w:rFonts w:ascii="Times New Roman" w:hAnsi="Times New Roman" w:cs="Times New Roman"/>
                <w:sz w:val="24"/>
                <w:szCs w:val="24"/>
              </w:rPr>
              <w:t>Manytina, kad įstatymo projekte papildomos sąvokos apibrėžimas nėra tikslingas, atsižvelgiant į tai, kad tiek pavojaus rizikos vertinimas, kuris atliekamas policijos pareigūno, tiek pakartotinio smurto artimoje aplinkoje rizikos veiksnių vertinimas, kuri atlieka specializuoti kompleksinės pagalbos centrai, bus detaliau reglamentuoti poįstatyminiais teisės aktais.</w:t>
            </w:r>
          </w:p>
        </w:tc>
      </w:tr>
      <w:tr w:rsidR="008838CB" w:rsidRPr="00602D1F" w14:paraId="29EE3003" w14:textId="77777777" w:rsidTr="00D5157C">
        <w:tc>
          <w:tcPr>
            <w:tcW w:w="1271" w:type="dxa"/>
          </w:tcPr>
          <w:p w14:paraId="5291A7FE" w14:textId="77777777" w:rsidR="008838CB" w:rsidRPr="00602D1F" w:rsidRDefault="008838CB" w:rsidP="00602D1F">
            <w:pPr>
              <w:rPr>
                <w:rFonts w:ascii="Times New Roman" w:hAnsi="Times New Roman" w:cs="Times New Roman"/>
                <w:sz w:val="24"/>
                <w:szCs w:val="24"/>
              </w:rPr>
            </w:pPr>
          </w:p>
        </w:tc>
        <w:tc>
          <w:tcPr>
            <w:tcW w:w="8567" w:type="dxa"/>
          </w:tcPr>
          <w:p w14:paraId="5E1FDEF4" w14:textId="77777777" w:rsidR="008838CB" w:rsidRPr="00602D1F" w:rsidRDefault="008838CB" w:rsidP="00602D1F">
            <w:pPr>
              <w:jc w:val="both"/>
              <w:rPr>
                <w:rFonts w:ascii="Times New Roman" w:hAnsi="Times New Roman" w:cs="Times New Roman"/>
                <w:bCs/>
                <w:i/>
                <w:iCs/>
                <w:sz w:val="24"/>
                <w:szCs w:val="24"/>
              </w:rPr>
            </w:pPr>
            <w:r w:rsidRPr="00602D1F">
              <w:rPr>
                <w:rFonts w:ascii="Times New Roman" w:hAnsi="Times New Roman" w:cs="Times New Roman"/>
                <w:bCs/>
                <w:i/>
                <w:iCs/>
                <w:sz w:val="24"/>
                <w:szCs w:val="24"/>
              </w:rPr>
              <w:t>2.3. Dėl informavimo apie Orderį</w:t>
            </w:r>
          </w:p>
          <w:p w14:paraId="38E69FD4" w14:textId="62132C58" w:rsidR="008838CB" w:rsidRPr="00602D1F" w:rsidRDefault="008838CB" w:rsidP="00602D1F">
            <w:pPr>
              <w:jc w:val="both"/>
              <w:rPr>
                <w:rFonts w:ascii="Times New Roman" w:hAnsi="Times New Roman" w:cs="Times New Roman"/>
                <w:bCs/>
                <w:sz w:val="24"/>
                <w:szCs w:val="24"/>
              </w:rPr>
            </w:pPr>
            <w:r w:rsidRPr="00602D1F">
              <w:rPr>
                <w:rFonts w:ascii="Times New Roman" w:hAnsi="Times New Roman" w:cs="Times New Roman"/>
                <w:bCs/>
                <w:sz w:val="24"/>
                <w:szCs w:val="24"/>
              </w:rPr>
              <w:t xml:space="preserve">Siekiant nuoseklumo ir logiškumo, siūlytina tikslinti Įstatymo projekto 8 straipsnio 5 dalį, 1 punkte numatant, kad policijos pareigūnas apie Orderio </w:t>
            </w:r>
            <w:r w:rsidRPr="00602D1F">
              <w:rPr>
                <w:rFonts w:ascii="Times New Roman" w:hAnsi="Times New Roman" w:cs="Times New Roman"/>
                <w:bCs/>
                <w:i/>
                <w:iCs/>
                <w:sz w:val="24"/>
                <w:szCs w:val="24"/>
              </w:rPr>
              <w:t>neskyrimą</w:t>
            </w:r>
            <w:r w:rsidRPr="00602D1F">
              <w:rPr>
                <w:rFonts w:ascii="Times New Roman" w:hAnsi="Times New Roman" w:cs="Times New Roman"/>
                <w:bCs/>
                <w:sz w:val="24"/>
                <w:szCs w:val="24"/>
              </w:rPr>
              <w:t xml:space="preserve"> pirmiausiai privalo informuoti smurto artimoje aplinkoje pavojų patiriantį asmenį, kuriam Apsaugos nuo smurto orderio neskyrimas aktualiausias, o po to jau ir smurto artimoje aplinkoje pavojų keliantį asmenį. Taip pat diskutuotina, ar tikslinga informuojant smurto artimoje aplinkoje pavojų keliantį asmenį nurodyti informaciją apie artimiausias įstaigas, kuriose teikiamos nakvynės paslaugos, jeigu Orderis nebuvo skirtas. </w:t>
            </w:r>
          </w:p>
        </w:tc>
        <w:tc>
          <w:tcPr>
            <w:tcW w:w="4819" w:type="dxa"/>
          </w:tcPr>
          <w:p w14:paraId="3F66724A" w14:textId="77777777" w:rsidR="008838CB" w:rsidRPr="00602D1F" w:rsidRDefault="008838CB" w:rsidP="00602D1F">
            <w:pPr>
              <w:rPr>
                <w:rFonts w:ascii="Times New Roman" w:hAnsi="Times New Roman" w:cs="Times New Roman"/>
                <w:b/>
                <w:bCs/>
                <w:sz w:val="24"/>
                <w:szCs w:val="24"/>
              </w:rPr>
            </w:pPr>
            <w:r w:rsidRPr="00602D1F">
              <w:rPr>
                <w:rFonts w:ascii="Times New Roman" w:hAnsi="Times New Roman" w:cs="Times New Roman"/>
                <w:b/>
                <w:bCs/>
                <w:sz w:val="24"/>
                <w:szCs w:val="24"/>
              </w:rPr>
              <w:t>Neatsižvelgta.</w:t>
            </w:r>
          </w:p>
          <w:p w14:paraId="760354AC" w14:textId="77777777" w:rsidR="008838CB" w:rsidRPr="00602D1F" w:rsidRDefault="008838CB" w:rsidP="00602D1F">
            <w:pPr>
              <w:rPr>
                <w:rFonts w:ascii="Times New Roman" w:hAnsi="Times New Roman" w:cs="Times New Roman"/>
                <w:sz w:val="24"/>
                <w:szCs w:val="24"/>
              </w:rPr>
            </w:pPr>
          </w:p>
          <w:p w14:paraId="2C83F070" w14:textId="70EEB66B"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Laikantis nuoseklumo su </w:t>
            </w:r>
            <w:r w:rsidR="008D7D86">
              <w:rPr>
                <w:rFonts w:ascii="Times New Roman" w:hAnsi="Times New Roman" w:cs="Times New Roman"/>
                <w:sz w:val="24"/>
                <w:szCs w:val="24"/>
              </w:rPr>
              <w:t xml:space="preserve">Įstatymo projekto </w:t>
            </w:r>
            <w:r w:rsidRPr="00602D1F">
              <w:rPr>
                <w:rFonts w:ascii="Times New Roman" w:hAnsi="Times New Roman" w:cs="Times New Roman"/>
                <w:sz w:val="24"/>
                <w:szCs w:val="24"/>
              </w:rPr>
              <w:t xml:space="preserve">8 str. 4 d., punktų išdėstymo tvarką keisti nėra tikslinga. </w:t>
            </w:r>
          </w:p>
          <w:p w14:paraId="4584C48D" w14:textId="77777777" w:rsidR="008838CB" w:rsidRPr="00602D1F" w:rsidRDefault="008838CB" w:rsidP="00602D1F">
            <w:pPr>
              <w:jc w:val="both"/>
              <w:rPr>
                <w:rFonts w:ascii="Times New Roman" w:hAnsi="Times New Roman" w:cs="Times New Roman"/>
                <w:sz w:val="24"/>
                <w:szCs w:val="24"/>
              </w:rPr>
            </w:pPr>
          </w:p>
          <w:p w14:paraId="028E58B8" w14:textId="461CC001"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Pastebėtina, kad informuoti smurto artimoje aplinkoje pavojų keliantį asmenį apie nakvynės įstaigas yra aktualu, siekiant savanoriško asmens pasitraukimo iš galimos smurto situacijos, kai neužtenka duomenų pradėti ikiteisminį tyrimą ar skirti </w:t>
            </w:r>
            <w:r w:rsidR="009C4FB2">
              <w:rPr>
                <w:rFonts w:ascii="Times New Roman" w:hAnsi="Times New Roman" w:cs="Times New Roman"/>
                <w:sz w:val="24"/>
                <w:szCs w:val="24"/>
              </w:rPr>
              <w:t xml:space="preserve">apsaugos nuo smurto artimoje aplinkoje </w:t>
            </w:r>
            <w:r w:rsidRPr="00602D1F">
              <w:rPr>
                <w:rFonts w:ascii="Times New Roman" w:hAnsi="Times New Roman" w:cs="Times New Roman"/>
                <w:sz w:val="24"/>
                <w:szCs w:val="24"/>
              </w:rPr>
              <w:t xml:space="preserve">orderį. Lygiai taip pat, informuoti smurto artimoje aplinkoje pavojų </w:t>
            </w:r>
            <w:r w:rsidRPr="00602D1F">
              <w:rPr>
                <w:rFonts w:ascii="Times New Roman" w:hAnsi="Times New Roman" w:cs="Times New Roman"/>
                <w:sz w:val="24"/>
                <w:szCs w:val="24"/>
              </w:rPr>
              <w:lastRenderedPageBreak/>
              <w:t>patiriantį asmenį apie galimybę pasitraukti iš situacijos į paslaugas teikiančias įstaigas, jei asmuo jaučiasi nesaugiai.</w:t>
            </w:r>
          </w:p>
        </w:tc>
      </w:tr>
      <w:tr w:rsidR="008838CB" w:rsidRPr="00602D1F" w14:paraId="0247D79F" w14:textId="77777777" w:rsidTr="00D5157C">
        <w:tc>
          <w:tcPr>
            <w:tcW w:w="1271" w:type="dxa"/>
          </w:tcPr>
          <w:p w14:paraId="080EFE4E" w14:textId="106CCDBF"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lastRenderedPageBreak/>
              <w:t>Lietuvos Respublikos generalinės prokuratūros 2021-08-13 raštas Nr. 17.2.-2293</w:t>
            </w:r>
          </w:p>
        </w:tc>
        <w:tc>
          <w:tcPr>
            <w:tcW w:w="8567" w:type="dxa"/>
            <w:shd w:val="clear" w:color="auto" w:fill="auto"/>
          </w:tcPr>
          <w:p w14:paraId="423E9FEC" w14:textId="655950CE" w:rsidR="008838CB" w:rsidRPr="00602D1F" w:rsidRDefault="008838CB" w:rsidP="00602D1F">
            <w:pPr>
              <w:pStyle w:val="Antrats1"/>
              <w:widowControl w:val="0"/>
              <w:tabs>
                <w:tab w:val="clear" w:pos="4320"/>
              </w:tabs>
              <w:jc w:val="both"/>
              <w:rPr>
                <w:szCs w:val="24"/>
              </w:rPr>
            </w:pPr>
            <w:r w:rsidRPr="00602D1F">
              <w:rPr>
                <w:rStyle w:val="Numatytasispastraiposriftas1"/>
                <w:iCs/>
                <w:szCs w:val="24"/>
              </w:rPr>
              <w:t xml:space="preserve">2. Projekto 2 straipsnio </w:t>
            </w:r>
            <w:r w:rsidRPr="00602D1F">
              <w:rPr>
                <w:rStyle w:val="Numatytasispastraiposriftas1"/>
                <w:szCs w:val="24"/>
              </w:rPr>
              <w:t xml:space="preserve">(Pagrindinės šio įstatymo sąvokos) </w:t>
            </w:r>
            <w:r w:rsidRPr="00602D1F">
              <w:rPr>
                <w:rStyle w:val="Numatytasispastraiposriftas1"/>
                <w:iCs/>
                <w:szCs w:val="24"/>
              </w:rPr>
              <w:t>5 ir 6 punktuose pateikiant smurto artimoje aplinkoje pavojų keliančio asmens ir smurto artimoje aplinkoje patiriančio asmens sąvokas, naudojama formuluotė „pagrįstas įtarimas“. Manytina, kad šiame įstatyme būtina apibrėžti kriterijus, kurie lemia pagrįstą įtarimą, kad asmuo yra smurto artimoje aplinkoje pavojų keliantis asmuo arba smurto artimoje aplinkoje pavojų patiriantis asmuo, nes šiuo metu projekte pateikiamos sąvokos yra neinformatyvios ir jas galima pakankamai plačiai interpretuoti.</w:t>
            </w:r>
          </w:p>
        </w:tc>
        <w:tc>
          <w:tcPr>
            <w:tcW w:w="4819" w:type="dxa"/>
            <w:shd w:val="clear" w:color="auto" w:fill="auto"/>
          </w:tcPr>
          <w:p w14:paraId="2E56DAAE" w14:textId="77777777" w:rsidR="008838CB" w:rsidRPr="00602D1F" w:rsidRDefault="008838CB" w:rsidP="00602D1F">
            <w:pPr>
              <w:rPr>
                <w:rFonts w:ascii="Times New Roman" w:hAnsi="Times New Roman" w:cs="Times New Roman"/>
                <w:b/>
                <w:bCs/>
                <w:sz w:val="24"/>
                <w:szCs w:val="24"/>
              </w:rPr>
            </w:pPr>
            <w:r w:rsidRPr="00602D1F">
              <w:rPr>
                <w:rFonts w:ascii="Times New Roman" w:hAnsi="Times New Roman" w:cs="Times New Roman"/>
                <w:b/>
                <w:bCs/>
                <w:sz w:val="24"/>
                <w:szCs w:val="24"/>
              </w:rPr>
              <w:t>Neatsižvelgta.</w:t>
            </w:r>
          </w:p>
          <w:p w14:paraId="55100EA4" w14:textId="77777777" w:rsidR="008838CB" w:rsidRPr="00602D1F" w:rsidRDefault="008838CB" w:rsidP="00602D1F">
            <w:pPr>
              <w:rPr>
                <w:rFonts w:ascii="Times New Roman" w:hAnsi="Times New Roman" w:cs="Times New Roman"/>
                <w:sz w:val="24"/>
                <w:szCs w:val="24"/>
              </w:rPr>
            </w:pPr>
          </w:p>
          <w:p w14:paraId="640E83B7"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Sąvoka „pagrįstas įtarimas“ yra vertinamojo pobūdžio, todėl įstatymo projekte nėra įmanoma ar tikslinga įvardinti visas įmanomas aplinkybes, kuriomis vadovaujantis policijos pareigūnas galėtų priimti atitinkamus sprendimus, siekiant, pirmiausia, apsaugoti asmenį, kuris patiria smurto riziką.</w:t>
            </w:r>
          </w:p>
          <w:p w14:paraId="1BDFF107" w14:textId="77777777" w:rsidR="008838CB" w:rsidRPr="00602D1F" w:rsidRDefault="008838CB" w:rsidP="00602D1F">
            <w:pPr>
              <w:jc w:val="both"/>
              <w:rPr>
                <w:rFonts w:ascii="Times New Roman" w:hAnsi="Times New Roman" w:cs="Times New Roman"/>
                <w:sz w:val="24"/>
                <w:szCs w:val="24"/>
              </w:rPr>
            </w:pPr>
          </w:p>
          <w:p w14:paraId="7789F34D" w14:textId="792E6272" w:rsidR="008838CB" w:rsidRPr="00602D1F" w:rsidRDefault="008838CB" w:rsidP="00602D1F">
            <w:pPr>
              <w:rPr>
                <w:rFonts w:ascii="Times New Roman" w:hAnsi="Times New Roman" w:cs="Times New Roman"/>
                <w:i/>
                <w:iCs/>
                <w:sz w:val="24"/>
                <w:szCs w:val="24"/>
              </w:rPr>
            </w:pPr>
            <w:r w:rsidRPr="00602D1F">
              <w:rPr>
                <w:rFonts w:ascii="Times New Roman" w:hAnsi="Times New Roman" w:cs="Times New Roman"/>
                <w:sz w:val="24"/>
                <w:szCs w:val="24"/>
              </w:rPr>
              <w:t>Pastebėtina, kad panašios formuluotės yra naudojamos ir Baudžiamojo proceso kodekse, pvz., 68</w:t>
            </w:r>
            <w:r w:rsidRPr="00602D1F">
              <w:rPr>
                <w:rFonts w:ascii="Times New Roman" w:hAnsi="Times New Roman" w:cs="Times New Roman"/>
                <w:sz w:val="24"/>
                <w:szCs w:val="24"/>
                <w:vertAlign w:val="superscript"/>
              </w:rPr>
              <w:t>1</w:t>
            </w:r>
            <w:r w:rsidRPr="00602D1F">
              <w:rPr>
                <w:rFonts w:ascii="Times New Roman" w:hAnsi="Times New Roman" w:cs="Times New Roman"/>
                <w:sz w:val="24"/>
                <w:szCs w:val="24"/>
              </w:rPr>
              <w:t xml:space="preserve"> str. 1 d., 76 str. 3 d., 132</w:t>
            </w:r>
            <w:r w:rsidRPr="00602D1F">
              <w:rPr>
                <w:rFonts w:ascii="Times New Roman" w:hAnsi="Times New Roman" w:cs="Times New Roman"/>
                <w:sz w:val="24"/>
                <w:szCs w:val="24"/>
                <w:vertAlign w:val="superscript"/>
              </w:rPr>
              <w:t xml:space="preserve">1 </w:t>
            </w:r>
            <w:r w:rsidRPr="00602D1F">
              <w:rPr>
                <w:rFonts w:ascii="Times New Roman" w:hAnsi="Times New Roman" w:cs="Times New Roman"/>
                <w:sz w:val="24"/>
                <w:szCs w:val="24"/>
              </w:rPr>
              <w:t>str. 1 d.</w:t>
            </w:r>
          </w:p>
        </w:tc>
      </w:tr>
      <w:tr w:rsidR="008838CB" w:rsidRPr="00602D1F" w14:paraId="392BB944" w14:textId="77777777" w:rsidTr="00D5157C">
        <w:tc>
          <w:tcPr>
            <w:tcW w:w="1271" w:type="dxa"/>
          </w:tcPr>
          <w:p w14:paraId="345F97D1" w14:textId="77777777" w:rsidR="008838CB" w:rsidRPr="00602D1F" w:rsidRDefault="008838CB" w:rsidP="00602D1F">
            <w:pPr>
              <w:rPr>
                <w:rFonts w:ascii="Times New Roman" w:hAnsi="Times New Roman" w:cs="Times New Roman"/>
                <w:sz w:val="24"/>
                <w:szCs w:val="24"/>
              </w:rPr>
            </w:pPr>
          </w:p>
        </w:tc>
        <w:tc>
          <w:tcPr>
            <w:tcW w:w="8567" w:type="dxa"/>
          </w:tcPr>
          <w:p w14:paraId="524FE9C5" w14:textId="5E0B1899" w:rsidR="008838CB" w:rsidRPr="00602D1F" w:rsidRDefault="008838CB" w:rsidP="00602D1F">
            <w:pPr>
              <w:pStyle w:val="Antrats1"/>
              <w:widowControl w:val="0"/>
              <w:tabs>
                <w:tab w:val="clear" w:pos="4320"/>
              </w:tabs>
              <w:jc w:val="both"/>
              <w:rPr>
                <w:szCs w:val="24"/>
              </w:rPr>
            </w:pPr>
            <w:r w:rsidRPr="00602D1F">
              <w:rPr>
                <w:rStyle w:val="Numatytasispastraiposriftas1"/>
                <w:iCs/>
                <w:szCs w:val="24"/>
              </w:rPr>
              <w:t xml:space="preserve">3. Manytina, kad projekto 4 straipsnio </w:t>
            </w:r>
            <w:r w:rsidRPr="00602D1F">
              <w:rPr>
                <w:rStyle w:val="Numatytasispastraiposriftas1"/>
                <w:szCs w:val="24"/>
              </w:rPr>
              <w:t>(Institucijų ir įstaigų kompetencija smurto artimoje aplinkoje prevencijos, apsaugos nuo smurto artimoje aplinkoje ir specializuotos kompleksinės pagalbos smurto artimoje aplinkoje pavojų patiriančiam asmeniui ar smurtą patyrusiam asmeniui teikimo srityse)</w:t>
            </w:r>
            <w:r w:rsidRPr="00602D1F">
              <w:rPr>
                <w:rStyle w:val="Numatytasispastraiposriftas1"/>
                <w:iCs/>
                <w:szCs w:val="24"/>
              </w:rPr>
              <w:t xml:space="preserve"> 12 punkte turėtų būti konkrečiai įvardinta savivaldybės vykdomoji institucija, kuriai tenka šiame punkte nurodytos pareigos.</w:t>
            </w:r>
          </w:p>
        </w:tc>
        <w:tc>
          <w:tcPr>
            <w:tcW w:w="4819" w:type="dxa"/>
          </w:tcPr>
          <w:p w14:paraId="4C3456AF" w14:textId="77777777" w:rsidR="008838CB" w:rsidRPr="00602D1F" w:rsidRDefault="008838CB" w:rsidP="00602D1F">
            <w:pPr>
              <w:rPr>
                <w:rFonts w:ascii="Times New Roman" w:hAnsi="Times New Roman" w:cs="Times New Roman"/>
                <w:b/>
                <w:bCs/>
                <w:sz w:val="24"/>
                <w:szCs w:val="24"/>
              </w:rPr>
            </w:pPr>
            <w:r w:rsidRPr="00602D1F">
              <w:rPr>
                <w:rFonts w:ascii="Times New Roman" w:hAnsi="Times New Roman" w:cs="Times New Roman"/>
                <w:b/>
                <w:bCs/>
                <w:sz w:val="24"/>
                <w:szCs w:val="24"/>
              </w:rPr>
              <w:t>Neatsižvelgta.</w:t>
            </w:r>
          </w:p>
          <w:p w14:paraId="657CFAC9" w14:textId="77777777" w:rsidR="008838CB" w:rsidRPr="00602D1F" w:rsidRDefault="008838CB" w:rsidP="00602D1F">
            <w:pPr>
              <w:rPr>
                <w:rFonts w:ascii="Times New Roman" w:hAnsi="Times New Roman" w:cs="Times New Roman"/>
                <w:sz w:val="24"/>
                <w:szCs w:val="24"/>
              </w:rPr>
            </w:pPr>
          </w:p>
          <w:p w14:paraId="5EC7FC6D" w14:textId="305DC29A" w:rsidR="008838CB" w:rsidRPr="00602D1F" w:rsidRDefault="008D7D86" w:rsidP="00602D1F">
            <w:pPr>
              <w:jc w:val="both"/>
              <w:rPr>
                <w:rFonts w:ascii="Times New Roman" w:hAnsi="Times New Roman" w:cs="Times New Roman"/>
                <w:sz w:val="24"/>
                <w:szCs w:val="24"/>
              </w:rPr>
            </w:pPr>
            <w:r>
              <w:rPr>
                <w:rFonts w:ascii="Times New Roman" w:hAnsi="Times New Roman" w:cs="Times New Roman"/>
                <w:sz w:val="24"/>
                <w:szCs w:val="24"/>
              </w:rPr>
              <w:t>Įstatymo projekte v</w:t>
            </w:r>
            <w:r w:rsidR="008838CB" w:rsidRPr="00602D1F">
              <w:rPr>
                <w:rFonts w:ascii="Times New Roman" w:hAnsi="Times New Roman" w:cs="Times New Roman"/>
                <w:sz w:val="24"/>
                <w:szCs w:val="24"/>
              </w:rPr>
              <w:t>artojama sąvoka yra suderinta su Vietos savivaldos įstatymu, todėl tikslesnės vykdomosios institucijos įvardijimas, vadovaujantis Vietos savivaldos įstatymo 3 str. 3 d. 2 p. nėra tikslingas.</w:t>
            </w:r>
          </w:p>
        </w:tc>
      </w:tr>
      <w:tr w:rsidR="008838CB" w:rsidRPr="00602D1F" w14:paraId="2C396940" w14:textId="77777777" w:rsidTr="00D5157C">
        <w:tc>
          <w:tcPr>
            <w:tcW w:w="1271" w:type="dxa"/>
          </w:tcPr>
          <w:p w14:paraId="4A3E9A45" w14:textId="77777777" w:rsidR="008838CB" w:rsidRPr="00602D1F" w:rsidRDefault="008838CB" w:rsidP="00602D1F">
            <w:pPr>
              <w:rPr>
                <w:rFonts w:ascii="Times New Roman" w:hAnsi="Times New Roman" w:cs="Times New Roman"/>
                <w:sz w:val="24"/>
                <w:szCs w:val="24"/>
              </w:rPr>
            </w:pPr>
          </w:p>
        </w:tc>
        <w:tc>
          <w:tcPr>
            <w:tcW w:w="8567" w:type="dxa"/>
            <w:shd w:val="clear" w:color="auto" w:fill="auto"/>
          </w:tcPr>
          <w:p w14:paraId="5EB122C1" w14:textId="49A9BD6B" w:rsidR="008838CB" w:rsidRPr="00602D1F" w:rsidRDefault="008838CB" w:rsidP="00602D1F">
            <w:pPr>
              <w:pStyle w:val="Standard"/>
              <w:widowControl w:val="0"/>
              <w:tabs>
                <w:tab w:val="right" w:pos="8640"/>
              </w:tabs>
              <w:suppressAutoHyphens/>
              <w:jc w:val="both"/>
              <w:rPr>
                <w:sz w:val="24"/>
                <w:szCs w:val="24"/>
              </w:rPr>
            </w:pPr>
            <w:r w:rsidRPr="00602D1F">
              <w:rPr>
                <w:rStyle w:val="Numatytasispastraiposriftas1"/>
                <w:sz w:val="24"/>
                <w:szCs w:val="24"/>
                <w:lang w:eastAsia="en-US"/>
              </w:rPr>
              <w:t xml:space="preserve">7. Projekto 8 straipsnio </w:t>
            </w:r>
            <w:r w:rsidRPr="00602D1F">
              <w:rPr>
                <w:rStyle w:val="Numatytasispastraiposriftas1"/>
                <w:iCs/>
                <w:sz w:val="24"/>
                <w:szCs w:val="24"/>
                <w:lang w:eastAsia="en-US"/>
              </w:rPr>
              <w:t>(Apsaugos nuo smurto orderio skyrimas)</w:t>
            </w:r>
            <w:r w:rsidRPr="00602D1F">
              <w:rPr>
                <w:rStyle w:val="Numatytasispastraiposriftas1"/>
                <w:sz w:val="24"/>
                <w:szCs w:val="24"/>
                <w:lang w:eastAsia="en-US"/>
              </w:rPr>
              <w:t xml:space="preserve"> 4 ir 5 punktuose numatoma policijos pareigūnų teisė informuoti konkrečiai išvardintus asmenis apie apsaugos nuo smurto orderio skyrimą ar neskyrimą ne tik elektroninių ryšių priemonėmis, bet ir raštu, t. y. ir laišku, kuris pasiektų adresatą jau pasibaigus 9 straipsnyje (Sprendimo dėl apsaugos nuo smurto orderio apskundimas)</w:t>
            </w:r>
            <w:r w:rsidRPr="00602D1F">
              <w:rPr>
                <w:sz w:val="24"/>
                <w:szCs w:val="24"/>
                <w:lang w:eastAsia="en-US"/>
              </w:rPr>
              <w:t xml:space="preserve"> </w:t>
            </w:r>
            <w:r w:rsidRPr="00602D1F">
              <w:rPr>
                <w:rStyle w:val="Numatytasispastraiposriftas1"/>
                <w:sz w:val="24"/>
                <w:szCs w:val="24"/>
                <w:lang w:eastAsia="en-US"/>
              </w:rPr>
              <w:t xml:space="preserve">numatytam 1 darbo dienos apsaugos nuo smurto orderio skyrimo ar neskyrimo apskundimo  terminui. Ši padėtis taisytina, apskundimo terminą susiejant ne su apsaugos nuo smurto orderio skyrimo ar neskyrimo momentu, bet su asmens sužinojimo apie apsaugos nuo smurto orderio skyrimo ar neskyrimo momentu. Atkreiptinas dėmesys, kad 8 straipsnio 4 punkte numatyta, kad policijos pareigūno vadovo sprendimai, numatyti 8 straipsnio 3 punkte, gali būti skundžiami apylinkės teismui per 24 valandas </w:t>
            </w:r>
            <w:r w:rsidRPr="00602D1F">
              <w:rPr>
                <w:rStyle w:val="Numatytasispastraiposriftas1"/>
                <w:b/>
                <w:bCs/>
                <w:sz w:val="24"/>
                <w:szCs w:val="24"/>
                <w:lang w:eastAsia="en-US"/>
              </w:rPr>
              <w:t>nuo jų įteikimo</w:t>
            </w:r>
            <w:r w:rsidRPr="00602D1F">
              <w:rPr>
                <w:rStyle w:val="Numatytasispastraiposriftas1"/>
                <w:sz w:val="24"/>
                <w:szCs w:val="24"/>
                <w:lang w:eastAsia="en-US"/>
              </w:rPr>
              <w:t xml:space="preserve"> momento.</w:t>
            </w:r>
          </w:p>
        </w:tc>
        <w:tc>
          <w:tcPr>
            <w:tcW w:w="4819" w:type="dxa"/>
            <w:shd w:val="clear" w:color="auto" w:fill="auto"/>
          </w:tcPr>
          <w:p w14:paraId="6B84E921"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62F17C92" w14:textId="56C65FB0" w:rsidR="008838CB" w:rsidRPr="00602D1F" w:rsidRDefault="008838CB" w:rsidP="00602D1F">
            <w:pPr>
              <w:rPr>
                <w:rFonts w:ascii="Times New Roman" w:hAnsi="Times New Roman" w:cs="Times New Roman"/>
                <w:i/>
                <w:iCs/>
                <w:sz w:val="24"/>
                <w:szCs w:val="24"/>
              </w:rPr>
            </w:pPr>
          </w:p>
          <w:p w14:paraId="1351D548" w14:textId="35CAC73D"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Atkreiptinas dėmesys, kad pirminėje stadijoje apsaugos nuo smurto </w:t>
            </w:r>
            <w:r w:rsidR="008D7D86">
              <w:rPr>
                <w:rFonts w:ascii="Times New Roman" w:hAnsi="Times New Roman" w:cs="Times New Roman"/>
                <w:sz w:val="24"/>
                <w:szCs w:val="24"/>
              </w:rPr>
              <w:t xml:space="preserve">artimoje aplinkoje </w:t>
            </w:r>
            <w:r w:rsidRPr="00602D1F">
              <w:rPr>
                <w:rFonts w:ascii="Times New Roman" w:hAnsi="Times New Roman" w:cs="Times New Roman"/>
                <w:sz w:val="24"/>
                <w:szCs w:val="24"/>
              </w:rPr>
              <w:t>orderis galioja 72 val., todėl siūlomas teisinis reglamentavimas, pirmiausia, siūlomas atsižvelgiant į šį terminą.</w:t>
            </w:r>
          </w:p>
          <w:p w14:paraId="3487A6E1" w14:textId="5319CFFE" w:rsidR="008838CB" w:rsidRPr="00602D1F" w:rsidRDefault="008838CB" w:rsidP="00602D1F">
            <w:pPr>
              <w:jc w:val="both"/>
              <w:rPr>
                <w:rFonts w:ascii="Times New Roman" w:hAnsi="Times New Roman" w:cs="Times New Roman"/>
                <w:sz w:val="24"/>
                <w:szCs w:val="24"/>
              </w:rPr>
            </w:pPr>
          </w:p>
          <w:p w14:paraId="204D1D57" w14:textId="52981E6C"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Atsižvelgiant į tai, Įstatymo projekto rengėjai laikosi pozicijos, kad informavimas elektroninių ryšių priemonėmis yra efektyviausias ir greičiausias šio įstatymo projekte kontekste, tačiau išskirtiniais atvejais paliekama galimybė ta padaryti ir raštu.</w:t>
            </w:r>
          </w:p>
          <w:p w14:paraId="1B6702D0" w14:textId="59E39B49" w:rsidR="008838CB" w:rsidRPr="00602D1F" w:rsidRDefault="008838CB" w:rsidP="00602D1F">
            <w:pPr>
              <w:jc w:val="both"/>
              <w:rPr>
                <w:rFonts w:ascii="Times New Roman" w:hAnsi="Times New Roman" w:cs="Times New Roman"/>
                <w:sz w:val="24"/>
                <w:szCs w:val="24"/>
              </w:rPr>
            </w:pPr>
          </w:p>
          <w:p w14:paraId="0BC9226E" w14:textId="41E065FE"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lastRenderedPageBreak/>
              <w:t xml:space="preserve">Pastebėtina, kad absoliučioje daugumoje situacijų policijos pareigūnai informuos asmenis apie taikomus įpareigojimus pačioje įvykio vietoje (t. y. iškart paskyrus </w:t>
            </w:r>
            <w:r w:rsidR="00002C19">
              <w:rPr>
                <w:rFonts w:ascii="Times New Roman" w:hAnsi="Times New Roman" w:cs="Times New Roman"/>
                <w:sz w:val="24"/>
                <w:szCs w:val="24"/>
              </w:rPr>
              <w:t xml:space="preserve">apsaugos nuo smurto artimoje aplinkoje </w:t>
            </w:r>
            <w:r w:rsidRPr="00602D1F">
              <w:rPr>
                <w:rFonts w:ascii="Times New Roman" w:hAnsi="Times New Roman" w:cs="Times New Roman"/>
                <w:sz w:val="24"/>
                <w:szCs w:val="24"/>
              </w:rPr>
              <w:t>orderį).</w:t>
            </w:r>
          </w:p>
          <w:p w14:paraId="512DB38B" w14:textId="614DB841" w:rsidR="008838CB" w:rsidRPr="00602D1F" w:rsidRDefault="008838CB" w:rsidP="00602D1F">
            <w:pPr>
              <w:jc w:val="both"/>
              <w:rPr>
                <w:rFonts w:ascii="Times New Roman" w:hAnsi="Times New Roman" w:cs="Times New Roman"/>
                <w:sz w:val="24"/>
                <w:szCs w:val="24"/>
              </w:rPr>
            </w:pPr>
          </w:p>
          <w:p w14:paraId="4C8F3036" w14:textId="12BD9CA0"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Papildomai, analogiškas reglamentavimas jau egzistuoja Baudžiamojo proceso kodekse, pvz., 3</w:t>
            </w:r>
            <w:r w:rsidRPr="00602D1F">
              <w:rPr>
                <w:rFonts w:ascii="Times New Roman" w:hAnsi="Times New Roman" w:cs="Times New Roman"/>
                <w:sz w:val="24"/>
                <w:szCs w:val="24"/>
                <w:vertAlign w:val="superscript"/>
              </w:rPr>
              <w:t>1</w:t>
            </w:r>
            <w:r w:rsidRPr="00602D1F">
              <w:rPr>
                <w:rFonts w:ascii="Times New Roman" w:hAnsi="Times New Roman" w:cs="Times New Roman"/>
                <w:sz w:val="24"/>
                <w:szCs w:val="24"/>
              </w:rPr>
              <w:t xml:space="preserve"> str. 1 d.,. 128 str. 1 d., 313 str. 4 d., 364 str. 3 d., 422 str. 1 d. ir kt.</w:t>
            </w:r>
          </w:p>
        </w:tc>
      </w:tr>
      <w:tr w:rsidR="008838CB" w:rsidRPr="00602D1F" w14:paraId="3459F12F" w14:textId="77777777" w:rsidTr="00D5157C">
        <w:tc>
          <w:tcPr>
            <w:tcW w:w="1271" w:type="dxa"/>
          </w:tcPr>
          <w:p w14:paraId="3A417D4C" w14:textId="77777777" w:rsidR="008838CB" w:rsidRPr="00602D1F" w:rsidRDefault="008838CB" w:rsidP="00602D1F">
            <w:pPr>
              <w:rPr>
                <w:rFonts w:ascii="Times New Roman" w:hAnsi="Times New Roman" w:cs="Times New Roman"/>
                <w:sz w:val="24"/>
                <w:szCs w:val="24"/>
              </w:rPr>
            </w:pPr>
          </w:p>
        </w:tc>
        <w:tc>
          <w:tcPr>
            <w:tcW w:w="8567" w:type="dxa"/>
          </w:tcPr>
          <w:p w14:paraId="7D7092AA" w14:textId="582E54E7" w:rsidR="008838CB" w:rsidRPr="00602D1F" w:rsidRDefault="008838CB" w:rsidP="00602D1F">
            <w:pPr>
              <w:pStyle w:val="Standard"/>
              <w:widowControl w:val="0"/>
              <w:tabs>
                <w:tab w:val="right" w:pos="8640"/>
              </w:tabs>
              <w:suppressAutoHyphens/>
              <w:jc w:val="both"/>
              <w:rPr>
                <w:sz w:val="24"/>
                <w:szCs w:val="24"/>
              </w:rPr>
            </w:pPr>
            <w:r w:rsidRPr="00602D1F">
              <w:rPr>
                <w:rStyle w:val="Numatytasispastraiposriftas1"/>
                <w:sz w:val="24"/>
                <w:szCs w:val="24"/>
                <w:lang w:eastAsia="en-US"/>
              </w:rPr>
              <w:t>9. Projekto 11 straipsnio (Smurto artimoje aplinkoje pavojų keliančio asmens teisės)</w:t>
            </w:r>
            <w:r w:rsidRPr="00602D1F">
              <w:rPr>
                <w:sz w:val="24"/>
                <w:szCs w:val="24"/>
                <w:lang w:eastAsia="en-US"/>
              </w:rPr>
              <w:t xml:space="preserve"> </w:t>
            </w:r>
            <w:r w:rsidRPr="00602D1F">
              <w:rPr>
                <w:rStyle w:val="Numatytasispastraiposriftas1"/>
                <w:sz w:val="24"/>
                <w:szCs w:val="24"/>
                <w:lang w:eastAsia="en-US"/>
              </w:rPr>
              <w:t>6 punkte numatyta smurto artimoje aplinkoje pavojų keliančio asmens teisė skųsti policijos pareigūno sprendimą skirti apsaugos nuo smurto orderį, todėl 10 straipsnyje (Smurto artimoje aplinkoje pavojų patiriančio asmens ir smurtą patyrusio asmens teisės)</w:t>
            </w:r>
            <w:r w:rsidRPr="00602D1F">
              <w:rPr>
                <w:sz w:val="24"/>
                <w:szCs w:val="24"/>
                <w:lang w:eastAsia="en-US"/>
              </w:rPr>
              <w:t xml:space="preserve"> </w:t>
            </w:r>
            <w:r w:rsidRPr="00602D1F">
              <w:rPr>
                <w:rStyle w:val="Numatytasispastraiposriftas1"/>
                <w:sz w:val="24"/>
                <w:szCs w:val="24"/>
                <w:lang w:eastAsia="en-US"/>
              </w:rPr>
              <w:t>turėtų būti numatyta smurto artimoje aplinkoje pavojų patiriančio asmens ir smurtą patyrusio asmens teisė skųsti policijos pareigūno sprendimą neskirti apsaugos nuo smurto orderį.</w:t>
            </w:r>
          </w:p>
        </w:tc>
        <w:tc>
          <w:tcPr>
            <w:tcW w:w="4819" w:type="dxa"/>
          </w:tcPr>
          <w:p w14:paraId="72FBA098"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30B64A3F" w14:textId="77777777" w:rsidR="008838CB" w:rsidRPr="00602D1F" w:rsidRDefault="008838CB" w:rsidP="00602D1F">
            <w:pPr>
              <w:rPr>
                <w:rFonts w:ascii="Times New Roman" w:hAnsi="Times New Roman" w:cs="Times New Roman"/>
                <w:sz w:val="24"/>
                <w:szCs w:val="24"/>
              </w:rPr>
            </w:pPr>
          </w:p>
          <w:p w14:paraId="62B77D97" w14:textId="3508B036"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Apskundimo teisės jau yra numatytos 10 str. 1 d. 2 p. ir 11 str. 1 p.</w:t>
            </w:r>
          </w:p>
        </w:tc>
      </w:tr>
      <w:tr w:rsidR="008838CB" w:rsidRPr="00602D1F" w14:paraId="7EFACF4F" w14:textId="77777777" w:rsidTr="00D5157C">
        <w:tc>
          <w:tcPr>
            <w:tcW w:w="1271" w:type="dxa"/>
          </w:tcPr>
          <w:p w14:paraId="02F850A3" w14:textId="77777777" w:rsidR="008838CB" w:rsidRPr="00602D1F" w:rsidRDefault="008838CB" w:rsidP="00602D1F">
            <w:pPr>
              <w:rPr>
                <w:rFonts w:ascii="Times New Roman" w:hAnsi="Times New Roman" w:cs="Times New Roman"/>
                <w:sz w:val="24"/>
                <w:szCs w:val="24"/>
              </w:rPr>
            </w:pPr>
          </w:p>
        </w:tc>
        <w:tc>
          <w:tcPr>
            <w:tcW w:w="8567" w:type="dxa"/>
          </w:tcPr>
          <w:p w14:paraId="5DB4B345" w14:textId="77777777" w:rsidR="008838CB" w:rsidRPr="00602D1F" w:rsidRDefault="008838CB" w:rsidP="00602D1F">
            <w:pPr>
              <w:pStyle w:val="Antrats1"/>
              <w:widowControl w:val="0"/>
              <w:tabs>
                <w:tab w:val="clear" w:pos="4320"/>
              </w:tabs>
              <w:jc w:val="both"/>
              <w:rPr>
                <w:szCs w:val="24"/>
              </w:rPr>
            </w:pPr>
            <w:r w:rsidRPr="00602D1F">
              <w:rPr>
                <w:rStyle w:val="Numatytasispastraiposriftas1"/>
                <w:b/>
                <w:bCs/>
                <w:szCs w:val="24"/>
              </w:rPr>
              <w:t xml:space="preserve">Dėl </w:t>
            </w:r>
            <w:r w:rsidRPr="00602D1F">
              <w:rPr>
                <w:rStyle w:val="Numatytasispastraiposriftas1"/>
                <w:b/>
                <w:bCs/>
                <w:iCs/>
                <w:szCs w:val="24"/>
              </w:rPr>
              <w:t>ANK projekto.</w:t>
            </w:r>
          </w:p>
          <w:p w14:paraId="0B3A368A" w14:textId="4163EA26" w:rsidR="008838CB" w:rsidRPr="00602D1F" w:rsidRDefault="008838CB" w:rsidP="00602D1F">
            <w:pPr>
              <w:pStyle w:val="Antrats1"/>
              <w:widowControl w:val="0"/>
              <w:tabs>
                <w:tab w:val="clear" w:pos="4320"/>
              </w:tabs>
              <w:jc w:val="both"/>
              <w:rPr>
                <w:szCs w:val="24"/>
              </w:rPr>
            </w:pPr>
            <w:r w:rsidRPr="00602D1F">
              <w:rPr>
                <w:rStyle w:val="Numatytasispastraiposriftas1"/>
                <w:szCs w:val="24"/>
              </w:rPr>
              <w:t xml:space="preserve">Nepritariame ANK 489 straipsnio 1 dalies pakeitimo projektui, nes galiojančioje šios normos redakcijoje aiškiai numatyta, kad baudžiama už melagingą pranešimą apie smurtą artimoje aplinkoje. Piktnaudžiavimo smurtą patyrusio asmens teisėmis sąvoka gali apimti ir melagingą pranešimą apie smurtą artimoje aplinkoje, tačiau išskyrus atsakomybę už melagingą pranešimą, melagingas pranešimas apie smurtą artimoje aplinkoje gali būti efektyviau užkardomas, tuo labiau kad ir Lietuvos Respublikos baudžiamasis kodeksas turi specialų 236 straipsnį, numatantį baudžiamąją atsakomybę už melagingą įskundimą ar pranešimą apie nebūtą nusikaltimą  </w:t>
            </w:r>
          </w:p>
        </w:tc>
        <w:tc>
          <w:tcPr>
            <w:tcW w:w="4819" w:type="dxa"/>
          </w:tcPr>
          <w:p w14:paraId="2B99CF1F"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46AB9268" w14:textId="09D11335" w:rsidR="008838CB" w:rsidRPr="00602D1F" w:rsidRDefault="008838CB" w:rsidP="00602D1F">
            <w:pPr>
              <w:rPr>
                <w:rFonts w:ascii="Times New Roman" w:hAnsi="Times New Roman" w:cs="Times New Roman"/>
                <w:sz w:val="24"/>
                <w:szCs w:val="24"/>
              </w:rPr>
            </w:pPr>
          </w:p>
          <w:p w14:paraId="34DA8E47" w14:textId="007AF596"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Šiuo metu Administracinių nusižengimų kodekso 489 str. įtvirtinta nusižengimo sudėtis yra speciali teisės norma 493 str. atžvilgiu ir yra perteklinė bei kelianti teisės taikymo problemų. </w:t>
            </w:r>
          </w:p>
          <w:p w14:paraId="082C3378" w14:textId="22BF2A02" w:rsidR="008838CB" w:rsidRPr="00602D1F" w:rsidRDefault="008838CB" w:rsidP="00602D1F">
            <w:pPr>
              <w:jc w:val="both"/>
              <w:rPr>
                <w:rFonts w:ascii="Times New Roman" w:hAnsi="Times New Roman" w:cs="Times New Roman"/>
                <w:sz w:val="24"/>
                <w:szCs w:val="24"/>
              </w:rPr>
            </w:pPr>
          </w:p>
          <w:p w14:paraId="1ABB6289" w14:textId="7D2DD4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Pastebėtina, kad absoliuti daugumą pranešimų apie smurtą artimoje aplinkoje yra gaunama būtent per Bendrąjį pagalbos centrą (kviečiant policiją).</w:t>
            </w:r>
          </w:p>
          <w:p w14:paraId="6A509805" w14:textId="30E4F53F" w:rsidR="008838CB" w:rsidRPr="00602D1F" w:rsidRDefault="008838CB" w:rsidP="00602D1F">
            <w:pPr>
              <w:jc w:val="both"/>
              <w:rPr>
                <w:rFonts w:ascii="Times New Roman" w:hAnsi="Times New Roman" w:cs="Times New Roman"/>
                <w:sz w:val="24"/>
                <w:szCs w:val="24"/>
              </w:rPr>
            </w:pPr>
          </w:p>
          <w:p w14:paraId="5AA14E46" w14:textId="6FE5734A"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Kaip tinkamai pastebėta, Administracinių nusižengimų kodekso 489 str. pakeitimas nesudaro sąlygų atsirasti nebaudžiamumui, nes:</w:t>
            </w:r>
          </w:p>
          <w:p w14:paraId="0FA8025A" w14:textId="06CBA573"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1. egzistuoja analogiška administracinio nusižengimo sudėtis Administracinių nusižengimų kodekso 493 str.;</w:t>
            </w:r>
          </w:p>
          <w:p w14:paraId="4D96CEB8" w14:textId="6B30D7F3"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2. Baudžiamasis kodeksas numato galimybę taikyti baudžiamąją atsakomybę dėl melagingo skundo, pareiškimo, pranešimo, parodymų </w:t>
            </w:r>
            <w:r w:rsidRPr="00602D1F">
              <w:rPr>
                <w:rFonts w:ascii="Times New Roman" w:hAnsi="Times New Roman" w:cs="Times New Roman"/>
                <w:sz w:val="24"/>
                <w:szCs w:val="24"/>
              </w:rPr>
              <w:lastRenderedPageBreak/>
              <w:t>(235 str.) bei dėl melagingo įskundimo ar pranešimo apie nebūtą nusikaltimą (236 str.);</w:t>
            </w:r>
          </w:p>
          <w:p w14:paraId="7F454DFA" w14:textId="3B87871F"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3. išskirtiniais atvejais galės būti taikomas Administracinių nusižengimų kodekso 489 str. numatyta administracinio nusižengimo sudėtis dėl piktnaudžiavimo smurtą patyrusio asmens teisėmis. </w:t>
            </w:r>
          </w:p>
          <w:p w14:paraId="534AFDE3" w14:textId="1EB56F0F" w:rsidR="008838CB" w:rsidRPr="00602D1F" w:rsidRDefault="008838CB" w:rsidP="00A02385">
            <w:pPr>
              <w:rPr>
                <w:rFonts w:ascii="Times New Roman" w:hAnsi="Times New Roman" w:cs="Times New Roman"/>
                <w:sz w:val="24"/>
                <w:szCs w:val="24"/>
              </w:rPr>
            </w:pPr>
          </w:p>
        </w:tc>
      </w:tr>
      <w:tr w:rsidR="008838CB" w:rsidRPr="00602D1F" w14:paraId="5416D43D" w14:textId="77777777" w:rsidTr="00D5157C">
        <w:tc>
          <w:tcPr>
            <w:tcW w:w="1271" w:type="dxa"/>
          </w:tcPr>
          <w:p w14:paraId="7D3AECDA" w14:textId="7362F163"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lastRenderedPageBreak/>
              <w:t>Lietuvos savivaldybių asociacijos 2021-08-16 raštas Nr. (11)-SD-568</w:t>
            </w:r>
          </w:p>
        </w:tc>
        <w:tc>
          <w:tcPr>
            <w:tcW w:w="8567" w:type="dxa"/>
            <w:shd w:val="clear" w:color="auto" w:fill="auto"/>
          </w:tcPr>
          <w:p w14:paraId="589D53D7" w14:textId="0734D3CE"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Projektu savivaldybėms didinama administracinė ir finansinė našta. Pvz., Projekto 4 str. 12 d. 4 p. numatyta, kad savivaldybės vykdomoji institucija organizuoja socialinių paslaugų teikimą smurto artimoje aplinkoje pavojų patiriantiems asmenims ar smurtą patyrusiems asmenims bei smurto artimoje aplinkoje pavojų keliantiems asmenims (laikinas apgyvendinimas ar laikinas apnakvindinimas smurto artimoje aplinkoje pavojų patiriantiems asmenims ar smurtą patyrusiems asmenims bei smurto artimoje aplinkoje pavojų keliantiems asmenims, jei būtina, suteikiamas nedelsiant bet kuriuo paros metu). Ne visose savivaldybėse yra įstaigų, kuriose galėtų būti teikiamos apgyvendinimo paslaugos, nėra ir tam skirtinų lėšų. Sukuriamos papildomos pareigos, kurioms nenumatomas papildomas finansavimas. Todėl pakartotinai prašome paskaičiuoti ir numatyti lėšas Projekto nuostatų įgyvendinimui.</w:t>
            </w:r>
          </w:p>
        </w:tc>
        <w:tc>
          <w:tcPr>
            <w:tcW w:w="4819" w:type="dxa"/>
            <w:shd w:val="clear" w:color="auto" w:fill="auto"/>
          </w:tcPr>
          <w:p w14:paraId="05FA681F" w14:textId="77777777" w:rsidR="008838CB" w:rsidRPr="00602D1F" w:rsidRDefault="008838CB" w:rsidP="00602D1F">
            <w:pPr>
              <w:jc w:val="both"/>
              <w:rPr>
                <w:rFonts w:ascii="Times New Roman" w:hAnsi="Times New Roman" w:cs="Times New Roman"/>
                <w:b/>
                <w:bCs/>
                <w:sz w:val="24"/>
                <w:szCs w:val="24"/>
              </w:rPr>
            </w:pPr>
            <w:r w:rsidRPr="00602D1F">
              <w:rPr>
                <w:rFonts w:ascii="Times New Roman" w:hAnsi="Times New Roman" w:cs="Times New Roman"/>
                <w:b/>
                <w:bCs/>
                <w:sz w:val="24"/>
                <w:szCs w:val="24"/>
              </w:rPr>
              <w:t>Neatsižvelgta.</w:t>
            </w:r>
          </w:p>
          <w:p w14:paraId="2BC745E3" w14:textId="77777777" w:rsidR="008838CB" w:rsidRPr="00602D1F" w:rsidRDefault="008838CB" w:rsidP="00602D1F">
            <w:pPr>
              <w:jc w:val="both"/>
              <w:rPr>
                <w:rFonts w:ascii="Times New Roman" w:hAnsi="Times New Roman" w:cs="Times New Roman"/>
                <w:sz w:val="24"/>
                <w:szCs w:val="24"/>
              </w:rPr>
            </w:pPr>
          </w:p>
          <w:p w14:paraId="18115844" w14:textId="47F954BC"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Vadovaujantis Socialinių paslaugų įstatymo 13 str., savivaldybė atsako už socialinių paslaugų teikimo savo teritorijos gyventojams užtikrinimą planuodama ir organizuodama socialines paslaugas, kontroliuodama bendrųjų socialinių paslaugų ir socialinės priežiūros kokybę. Savivaldybė vertina ir analizuoja gyventojų socialinių paslaugų poreikius,  prognozuoja ir nustato socialinių paslaugų teikimo mastą ir rūšis,  vertina ir nustato socialinių paslaugų finansavimo poreikį.</w:t>
            </w:r>
          </w:p>
          <w:p w14:paraId="6C73EAA3" w14:textId="77777777" w:rsidR="008838CB" w:rsidRPr="00602D1F" w:rsidRDefault="008838CB" w:rsidP="00602D1F">
            <w:pPr>
              <w:jc w:val="both"/>
              <w:rPr>
                <w:rFonts w:ascii="Times New Roman" w:hAnsi="Times New Roman" w:cs="Times New Roman"/>
                <w:sz w:val="24"/>
                <w:szCs w:val="24"/>
              </w:rPr>
            </w:pPr>
          </w:p>
          <w:p w14:paraId="35FD696D"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Vadovaujantis Vietos savivaldos įstatymo 6 straipsnio 12 punktu, savarankiškai savivaldybių funkcijai priskiriamas ,,socialinių paslaugų teikimo užtikrinimas planuojant ir organizuojant socialines paslaugas, kontroliuojant bendrųjų socialinių paslaugų ir socialinės priežiūros kokybę, taip pat socialinių paslaugų įstaigų steigimas ir išlaikymas“. </w:t>
            </w:r>
          </w:p>
          <w:p w14:paraId="55C237F7"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                                                           </w:t>
            </w:r>
          </w:p>
          <w:p w14:paraId="26A647A2" w14:textId="1313A906"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Atsižvelgiant į tai, manytina, kad įstatymo projektu nėra sukuriamos papildomos pareigos savivaldybėms, susijusios su socialinėmis paslaugomis. Tiek galimai nuo smurto nukentėję asmenys, tiek smurto riziką keliantys asmenys yra tokie pat savivaldybės gyventojai, kuriems pagal poreikį turi būti organizuotos </w:t>
            </w:r>
            <w:r w:rsidRPr="00602D1F">
              <w:rPr>
                <w:rFonts w:ascii="Times New Roman" w:hAnsi="Times New Roman" w:cs="Times New Roman"/>
                <w:sz w:val="24"/>
                <w:szCs w:val="24"/>
              </w:rPr>
              <w:lastRenderedPageBreak/>
              <w:t>socialinės paslaugos. Laikino apgyvendinimo ar apnakvindinimo paslauga nėra nauja socialinė paslauga, kurią dar tik reikia vystyti. Statistikos departamento duomenimis, 2020 m. šalyje veikė 92 laikino apgyvendinimo įstaigos. Nėra nei vienos apskrities, kuriose nebūtų tokių įstaigų, todėl, jeigu savivaldybėje iki šiol nėra įstaigos, galinčios apgyvendinti asmenį (šeimą) bet kuriuo paros metu, tokia galimybė gali būti numatoma bendradarbiaujant su gretimomis savivaldybėmis. Atkreiptinas dėmesys, kad laikino apgyvendinimo poreikis gali būti ne vien dėl smurto, bet ir dėl gyventojų patiriamų  nelaimių, krizinių ar vaiko teisių pažeidimo atvejų, todėl tokių paslaugų galimybė turėtų būti numatyta kiekvienoje savivaldybėje.</w:t>
            </w:r>
          </w:p>
        </w:tc>
      </w:tr>
      <w:tr w:rsidR="008838CB" w:rsidRPr="00602D1F" w14:paraId="36050F44" w14:textId="77777777" w:rsidTr="00D5157C">
        <w:tc>
          <w:tcPr>
            <w:tcW w:w="1271" w:type="dxa"/>
          </w:tcPr>
          <w:p w14:paraId="5A964DA5" w14:textId="6A24D872"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lastRenderedPageBreak/>
              <w:t>Švietimo, mokslo ir sporto ministerijos 2021-08-19 raštas Nr. SR-3430</w:t>
            </w:r>
          </w:p>
        </w:tc>
        <w:tc>
          <w:tcPr>
            <w:tcW w:w="8567" w:type="dxa"/>
          </w:tcPr>
          <w:p w14:paraId="1C598A5B"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Įvertinę derinti pateiktus minėtus teisės aktų projektus, siūlome patikslinti Lietuvos Respublikos apsaugos nuo smurto artimoje aplinkoje įstatymo Nr. XI-1425 pakeitimo įstatymo projekto (toliau – Įstatymo projektas) 4 straipsnio 2 dalį ir ją išdėstyti taip:</w:t>
            </w:r>
          </w:p>
          <w:p w14:paraId="321D7756" w14:textId="77777777" w:rsidR="008838CB" w:rsidRPr="00602D1F" w:rsidRDefault="008838CB" w:rsidP="00602D1F">
            <w:pPr>
              <w:jc w:val="both"/>
              <w:rPr>
                <w:rFonts w:ascii="Times New Roman" w:hAnsi="Times New Roman" w:cs="Times New Roman"/>
                <w:bCs/>
                <w:sz w:val="24"/>
                <w:szCs w:val="24"/>
              </w:rPr>
            </w:pPr>
            <w:r w:rsidRPr="00602D1F">
              <w:rPr>
                <w:rFonts w:ascii="Times New Roman" w:hAnsi="Times New Roman" w:cs="Times New Roman"/>
                <w:sz w:val="24"/>
                <w:szCs w:val="24"/>
              </w:rPr>
              <w:t>„</w:t>
            </w:r>
            <w:sdt>
              <w:sdtPr>
                <w:rPr>
                  <w:rFonts w:ascii="Times New Roman" w:hAnsi="Times New Roman" w:cs="Times New Roman"/>
                  <w:sz w:val="24"/>
                  <w:szCs w:val="24"/>
                </w:rPr>
                <w:alias w:val="Numeris"/>
                <w:tag w:val="nr_83c4968107dc40ce8d52d261f5daf970"/>
                <w:id w:val="19718247"/>
              </w:sdtPr>
              <w:sdtEndPr/>
              <w:sdtContent>
                <w:r w:rsidRPr="00602D1F">
                  <w:rPr>
                    <w:rFonts w:ascii="Times New Roman" w:hAnsi="Times New Roman" w:cs="Times New Roman"/>
                    <w:bCs/>
                    <w:sz w:val="24"/>
                    <w:szCs w:val="24"/>
                  </w:rPr>
                  <w:t>2</w:t>
                </w:r>
              </w:sdtContent>
            </w:sdt>
            <w:r w:rsidRPr="00602D1F">
              <w:rPr>
                <w:rFonts w:ascii="Times New Roman" w:hAnsi="Times New Roman" w:cs="Times New Roman"/>
                <w:bCs/>
                <w:sz w:val="24"/>
                <w:szCs w:val="24"/>
              </w:rPr>
              <w:t xml:space="preserve">. Lietuvos Respublikos švietimo, mokslo ir sporto ministerija </w:t>
            </w:r>
            <w:sdt>
              <w:sdtPr>
                <w:rPr>
                  <w:rFonts w:ascii="Times New Roman" w:hAnsi="Times New Roman" w:cs="Times New Roman"/>
                  <w:sz w:val="24"/>
                  <w:szCs w:val="24"/>
                </w:rPr>
                <w:alias w:val="4 str. 2 d. 1 p."/>
                <w:tag w:val="part_0b423498acc34ef29f9b094ad6366e92"/>
                <w:id w:val="19718249"/>
              </w:sdtPr>
              <w:sdtEndPr/>
              <w:sdtContent>
                <w:r w:rsidRPr="00602D1F">
                  <w:rPr>
                    <w:rFonts w:ascii="Times New Roman" w:hAnsi="Times New Roman" w:cs="Times New Roman"/>
                    <w:bCs/>
                    <w:sz w:val="24"/>
                    <w:szCs w:val="24"/>
                  </w:rPr>
                  <w:t xml:space="preserve">užtikrina privalomą </w:t>
                </w:r>
                <w:r w:rsidRPr="00602D1F">
                  <w:rPr>
                    <w:rFonts w:ascii="Times New Roman" w:hAnsi="Times New Roman" w:cs="Times New Roman"/>
                    <w:b/>
                    <w:bCs/>
                    <w:sz w:val="24"/>
                    <w:szCs w:val="24"/>
                  </w:rPr>
                  <w:t xml:space="preserve">temų, </w:t>
                </w:r>
                <w:r w:rsidRPr="00602D1F">
                  <w:rPr>
                    <w:rFonts w:ascii="Times New Roman" w:hAnsi="Times New Roman" w:cs="Times New Roman"/>
                    <w:bCs/>
                    <w:strike/>
                    <w:sz w:val="24"/>
                    <w:szCs w:val="24"/>
                  </w:rPr>
                  <w:t>mokymo medžiagos, parengtos</w:t>
                </w:r>
                <w:r w:rsidRPr="00602D1F">
                  <w:rPr>
                    <w:rFonts w:ascii="Times New Roman" w:hAnsi="Times New Roman" w:cs="Times New Roman"/>
                    <w:bCs/>
                    <w:sz w:val="24"/>
                    <w:szCs w:val="24"/>
                  </w:rPr>
                  <w:t xml:space="preserve"> atsižvelgiant į besimokančiųjų gebėjimus ir amžių, apie moterų ir vyrų lygybę, nestereotipinius moterų ir vyrų vaidmenis, tarpusavio pagalbą, socialinius-emocinius gebėjimus, nesmurtinius konfliktų sprendimo būdus, teisę į asmens neliečiamybę, integravimą į ikimokyklinio, priešmokyklinio ir bendrojo ugdymo programas. </w:t>
                </w:r>
              </w:sdtContent>
            </w:sdt>
          </w:p>
          <w:sdt>
            <w:sdtPr>
              <w:rPr>
                <w:rFonts w:ascii="Times New Roman" w:hAnsi="Times New Roman" w:cs="Times New Roman"/>
                <w:strike/>
                <w:sz w:val="24"/>
                <w:szCs w:val="24"/>
              </w:rPr>
              <w:alias w:val="4 str. 2 d. 2 p."/>
              <w:tag w:val="part_ff980c8a6ad145aa841c7eacb7aaf341"/>
              <w:id w:val="19718251"/>
            </w:sdtPr>
            <w:sdtEndPr/>
            <w:sdtContent>
              <w:p w14:paraId="2F77F383" w14:textId="77777777" w:rsidR="008838CB" w:rsidRPr="00602D1F" w:rsidRDefault="00FB0AF5" w:rsidP="00602D1F">
                <w:pPr>
                  <w:jc w:val="both"/>
                  <w:rPr>
                    <w:rFonts w:ascii="Times New Roman" w:hAnsi="Times New Roman" w:cs="Times New Roman"/>
                    <w:strike/>
                    <w:sz w:val="24"/>
                    <w:szCs w:val="24"/>
                  </w:rPr>
                </w:pPr>
                <w:sdt>
                  <w:sdtPr>
                    <w:rPr>
                      <w:rFonts w:ascii="Times New Roman" w:hAnsi="Times New Roman" w:cs="Times New Roman"/>
                      <w:strike/>
                      <w:sz w:val="24"/>
                      <w:szCs w:val="24"/>
                    </w:rPr>
                    <w:alias w:val="Numeris"/>
                    <w:tag w:val="nr_ff980c8a6ad145aa841c7eacb7aaf341"/>
                    <w:id w:val="19718250"/>
                  </w:sdtPr>
                  <w:sdtEndPr/>
                  <w:sdtContent>
                    <w:r w:rsidR="008838CB" w:rsidRPr="00602D1F">
                      <w:rPr>
                        <w:rFonts w:ascii="Times New Roman" w:hAnsi="Times New Roman" w:cs="Times New Roman"/>
                        <w:bCs/>
                        <w:strike/>
                        <w:sz w:val="24"/>
                        <w:szCs w:val="24"/>
                      </w:rPr>
                      <w:t>2</w:t>
                    </w:r>
                  </w:sdtContent>
                </w:sdt>
                <w:r w:rsidR="008838CB" w:rsidRPr="00602D1F">
                  <w:rPr>
                    <w:rFonts w:ascii="Times New Roman" w:hAnsi="Times New Roman" w:cs="Times New Roman"/>
                    <w:bCs/>
                    <w:strike/>
                    <w:sz w:val="24"/>
                    <w:szCs w:val="24"/>
                  </w:rPr>
                  <w:t>) koordinuoja pedagogų kvalifikacijos tobulinimą smurto artimoje aplinkoje prevencijos, atpažinimo ir pagalbos smurto artimoje aplinkoje pavojų patiriantiems asmenims ar smurtą patyrusiems asmenims teikimo srityje.</w:t>
                </w:r>
                <w:r w:rsidR="008838CB" w:rsidRPr="00602D1F">
                  <w:rPr>
                    <w:rFonts w:ascii="Times New Roman" w:hAnsi="Times New Roman" w:cs="Times New Roman"/>
                    <w:bCs/>
                    <w:sz w:val="24"/>
                    <w:szCs w:val="24"/>
                  </w:rPr>
                  <w:t>“</w:t>
                </w:r>
              </w:p>
            </w:sdtContent>
          </w:sdt>
          <w:p w14:paraId="27C5B731" w14:textId="77777777" w:rsidR="008838CB" w:rsidRPr="00602D1F" w:rsidRDefault="008838CB" w:rsidP="00602D1F">
            <w:pPr>
              <w:pStyle w:val="prastasiniatinklio"/>
              <w:shd w:val="clear" w:color="auto" w:fill="FFFFFF"/>
              <w:spacing w:before="0" w:beforeAutospacing="0" w:after="0" w:afterAutospacing="0"/>
              <w:jc w:val="both"/>
              <w:rPr>
                <w:color w:val="201F1E"/>
              </w:rPr>
            </w:pPr>
            <w:r w:rsidRPr="00602D1F">
              <w:rPr>
                <w:bCs/>
                <w:color w:val="201F1E"/>
                <w:bdr w:val="none" w:sz="0" w:space="0" w:color="auto" w:frame="1"/>
              </w:rPr>
              <w:t>Siūlome išbraukti Įstatymo projekto 4 straipsnio 2 dalies 2 punktą, nes:</w:t>
            </w:r>
          </w:p>
          <w:p w14:paraId="67119B08" w14:textId="77777777" w:rsidR="008838CB" w:rsidRPr="00602D1F" w:rsidRDefault="008838CB" w:rsidP="00602D1F">
            <w:pPr>
              <w:pStyle w:val="prastasiniatinklio"/>
              <w:shd w:val="clear" w:color="auto" w:fill="FFFFFF"/>
              <w:tabs>
                <w:tab w:val="left" w:pos="810"/>
              </w:tabs>
              <w:spacing w:before="0" w:beforeAutospacing="0" w:after="0" w:afterAutospacing="0"/>
              <w:ind w:left="90"/>
              <w:jc w:val="both"/>
              <w:rPr>
                <w:color w:val="201F1E"/>
              </w:rPr>
            </w:pPr>
            <w:r w:rsidRPr="00602D1F">
              <w:rPr>
                <w:color w:val="201F1E"/>
                <w:bdr w:val="none" w:sz="0" w:space="0" w:color="auto" w:frame="1"/>
              </w:rPr>
              <w:t>1.      Sąvoka „pedagogas“ – profesinė kvalifikacija ir šiame kontekste jos vartoti nedera.</w:t>
            </w:r>
          </w:p>
          <w:p w14:paraId="29755FA5" w14:textId="77777777" w:rsidR="008838CB" w:rsidRPr="00602D1F" w:rsidRDefault="008838CB" w:rsidP="00602D1F">
            <w:pPr>
              <w:pStyle w:val="prastasiniatinklio"/>
              <w:shd w:val="clear" w:color="auto" w:fill="FFFFFF"/>
              <w:tabs>
                <w:tab w:val="left" w:pos="810"/>
              </w:tabs>
              <w:spacing w:before="0" w:beforeAutospacing="0" w:after="0" w:afterAutospacing="0"/>
              <w:ind w:left="90"/>
              <w:jc w:val="both"/>
              <w:rPr>
                <w:color w:val="201F1E"/>
                <w:bdr w:val="none" w:sz="0" w:space="0" w:color="auto" w:frame="1"/>
              </w:rPr>
            </w:pPr>
            <w:r w:rsidRPr="00602D1F">
              <w:rPr>
                <w:color w:val="201F1E"/>
                <w:bdr w:val="none" w:sz="0" w:space="0" w:color="auto" w:frame="1"/>
              </w:rPr>
              <w:t xml:space="preserve">2.   Neaiškus subjektas. Greičiausiai Įstatymo projekto rengėjai turėjo omenyje „pedagoginius darbuotojus“. Atkreiptinas dėmesys, kad pedagoginiai darbuotojai – asmenys, dirbantys pačiose įvairiausiose švietimo įstaigose (ir aukštosiose mokyklose, ir profesinio mokymo įstaigose, ne tik ikimokyklinio ar bendrojo ugdymo įstaigose). </w:t>
            </w:r>
          </w:p>
          <w:p w14:paraId="16E2F956" w14:textId="77777777" w:rsidR="008838CB" w:rsidRPr="00602D1F" w:rsidRDefault="008838CB" w:rsidP="00602D1F">
            <w:pPr>
              <w:pStyle w:val="prastasiniatinklio"/>
              <w:shd w:val="clear" w:color="auto" w:fill="FFFFFF"/>
              <w:tabs>
                <w:tab w:val="left" w:pos="810"/>
              </w:tabs>
              <w:spacing w:before="0" w:beforeAutospacing="0" w:after="0" w:afterAutospacing="0"/>
              <w:ind w:left="90"/>
              <w:jc w:val="both"/>
              <w:rPr>
                <w:color w:val="201F1E"/>
              </w:rPr>
            </w:pPr>
            <w:r w:rsidRPr="00602D1F">
              <w:rPr>
                <w:color w:val="201F1E"/>
                <w:bdr w:val="none" w:sz="0" w:space="0" w:color="auto" w:frame="1"/>
              </w:rPr>
              <w:t>3.      ŠMSM neturi nei galimybių, nei išteklių šio Įstatymo projekte numatytai funkcijai vykdyti</w:t>
            </w:r>
            <w:r w:rsidRPr="00602D1F">
              <w:rPr>
                <w:iCs/>
                <w:color w:val="201F1E"/>
                <w:bdr w:val="none" w:sz="0" w:space="0" w:color="auto" w:frame="1"/>
              </w:rPr>
              <w:t xml:space="preserve">, t. y. „koordinuoti pedagogų kvalifikacijos tobulinimą smurto </w:t>
            </w:r>
            <w:r w:rsidRPr="00602D1F">
              <w:rPr>
                <w:iCs/>
                <w:color w:val="201F1E"/>
                <w:bdr w:val="none" w:sz="0" w:space="0" w:color="auto" w:frame="1"/>
              </w:rPr>
              <w:lastRenderedPageBreak/>
              <w:t>artimoje aplinkoje prevencijos, atpažinimo ir pagalbos smurto artimoje aplinkoje pavojų patiriantiems asmenims ar smurtą patyrusiems asmenims teikimo srityje“.</w:t>
            </w:r>
          </w:p>
          <w:p w14:paraId="1C841B28" w14:textId="77777777" w:rsidR="008838CB" w:rsidRPr="00602D1F" w:rsidRDefault="008838CB" w:rsidP="00602D1F">
            <w:pPr>
              <w:pStyle w:val="prastasiniatinklio"/>
              <w:shd w:val="clear" w:color="auto" w:fill="FFFFFF"/>
              <w:tabs>
                <w:tab w:val="left" w:pos="810"/>
              </w:tabs>
              <w:spacing w:before="0" w:beforeAutospacing="0" w:after="0" w:afterAutospacing="0"/>
              <w:ind w:left="90"/>
              <w:jc w:val="both"/>
              <w:rPr>
                <w:color w:val="201F1E"/>
              </w:rPr>
            </w:pPr>
            <w:r w:rsidRPr="00602D1F">
              <w:rPr>
                <w:color w:val="201F1E"/>
                <w:bdr w:val="none" w:sz="0" w:space="0" w:color="auto" w:frame="1"/>
              </w:rPr>
              <w:t>4.    Neaišku, kokio rezultato tikimasi, įrašius tokią prievolę ŠMSM. Be to, toks siūlymas būtų perteklinis, nes jau galiojantis Lietuvos Respublikos švietimo įstatymas ir įgyvendinamieji teisės aktai reglamentuoja, kad kiekviena mokykla įgyvendina bent kelias prevencines programas, o pagalbos mokiniui specialistai, dirbantys mokyklose bei pedagoginėse psichologinėse tarnybose ir švietimo pagalbos tarnybose, privalo teikti reikiamą pagalbą mokiniams ir konsultuoti (psichologai) smurtavusius / patyrusius smurtą mokytojus.</w:t>
            </w:r>
          </w:p>
          <w:p w14:paraId="532DAA00" w14:textId="1FCE5DB6" w:rsidR="008838CB" w:rsidRPr="00602D1F" w:rsidRDefault="008838CB" w:rsidP="00602D1F">
            <w:pPr>
              <w:pStyle w:val="prastasiniatinklio"/>
              <w:shd w:val="clear" w:color="auto" w:fill="FFFFFF"/>
              <w:tabs>
                <w:tab w:val="left" w:pos="810"/>
              </w:tabs>
              <w:spacing w:before="0" w:beforeAutospacing="0" w:after="0" w:afterAutospacing="0"/>
              <w:ind w:left="90"/>
              <w:jc w:val="both"/>
              <w:rPr>
                <w:color w:val="201F1E"/>
              </w:rPr>
            </w:pPr>
            <w:r w:rsidRPr="00602D1F">
              <w:rPr>
                <w:color w:val="201F1E"/>
                <w:bdr w:val="none" w:sz="0" w:space="0" w:color="auto" w:frame="1"/>
              </w:rPr>
              <w:t xml:space="preserve"> 5.  Be to, atkreipiame dėmesį, kad  Įstatymo projekto 4 straipsnio 1 dalies 5 punkte numatyta, kad Socialinės apsaugos ir darbo ministerija organizuoja visuomenės švietimo ir informavimo kampanijas, skatinančias netoleruoti smurto artimoje aplinkoje. Todėl manome, kad šis punktas apima ir pedagoginius darbuotojus, kurie yra neatskiriama visuomenės dalis ir taip pat dalyvaus švietimo ir informavimo kampanijose, kurias organizuos Socialinės apsaugos ir darbo ministerija.</w:t>
            </w:r>
          </w:p>
        </w:tc>
        <w:tc>
          <w:tcPr>
            <w:tcW w:w="4819" w:type="dxa"/>
          </w:tcPr>
          <w:p w14:paraId="48A74E9D"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lastRenderedPageBreak/>
              <w:t>Atsižvelgta iš dalies.</w:t>
            </w:r>
          </w:p>
          <w:p w14:paraId="21F605C3" w14:textId="77777777" w:rsidR="008838CB" w:rsidRPr="00602D1F" w:rsidRDefault="008838CB" w:rsidP="00602D1F">
            <w:pPr>
              <w:rPr>
                <w:rFonts w:ascii="Times New Roman" w:hAnsi="Times New Roman" w:cs="Times New Roman"/>
                <w:sz w:val="24"/>
                <w:szCs w:val="24"/>
              </w:rPr>
            </w:pPr>
          </w:p>
          <w:p w14:paraId="710F35CE" w14:textId="0A930B00"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Įstatymo projekte laikomasi logikos, kad už konkrečių profesijų atstovų kompetencijų ugdymą yra atsakingos ministerijos pagal kompetenciją.</w:t>
            </w:r>
          </w:p>
          <w:p w14:paraId="02E890B6" w14:textId="77777777" w:rsidR="008838CB" w:rsidRPr="00602D1F" w:rsidRDefault="008838CB" w:rsidP="00602D1F">
            <w:pPr>
              <w:jc w:val="both"/>
              <w:rPr>
                <w:rFonts w:ascii="Times New Roman" w:hAnsi="Times New Roman" w:cs="Times New Roman"/>
                <w:sz w:val="24"/>
                <w:szCs w:val="24"/>
              </w:rPr>
            </w:pPr>
          </w:p>
          <w:p w14:paraId="3E54AC4A"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Socialinės apsaugos ir darbo ministerijos bendrosios priemonės, nors ir yra orientuotos į plačiąją visuomenę ir be jokios abejonės pasiekia kartu ir mokytojus bei kitų aktualių profesijų atstovus, nėra pakankamos siekiant išugdyti specialiai reikalingas kompetencijas kiekvienoje profesijoje, kiek tai susiję su smurtu artimoje aplinkoje.</w:t>
            </w:r>
          </w:p>
          <w:p w14:paraId="4764ED37" w14:textId="77777777" w:rsidR="008838CB" w:rsidRPr="00602D1F" w:rsidRDefault="008838CB" w:rsidP="00602D1F">
            <w:pPr>
              <w:jc w:val="both"/>
              <w:rPr>
                <w:rFonts w:ascii="Times New Roman" w:hAnsi="Times New Roman" w:cs="Times New Roman"/>
                <w:sz w:val="24"/>
                <w:szCs w:val="24"/>
              </w:rPr>
            </w:pPr>
          </w:p>
          <w:p w14:paraId="19DFB3E5" w14:textId="4BD97765"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Švietimas yra esminis smurto artimoje aplinkoje prevencijos elementas, pirmiausia integruojant moterų ir vyrų lygybės (suprantant, kad nelygybė ir galios disbalansas yra pirminis smurto artimoje aplinkoje šaltinis) bei smurto atpažinimo aspektus į formalųjį </w:t>
            </w:r>
            <w:r w:rsidRPr="00602D1F">
              <w:rPr>
                <w:rFonts w:ascii="Times New Roman" w:hAnsi="Times New Roman" w:cs="Times New Roman"/>
                <w:sz w:val="24"/>
                <w:szCs w:val="24"/>
              </w:rPr>
              <w:lastRenderedPageBreak/>
              <w:t>švietimą, tačiau taip pat suvokiant, kad pedagoginiai darbuotojai turi turėti kompetencijas tinkamai dėstyti šį turinį ir veikti kaip pagalba atpažįstant galimus smurto artimoje aplinkoje atvejus ir apie juos pranešant atsakingiems subjektams (13 str. 4 d.).</w:t>
            </w:r>
          </w:p>
        </w:tc>
      </w:tr>
      <w:tr w:rsidR="008838CB" w:rsidRPr="00602D1F" w14:paraId="7A4378ED" w14:textId="77777777" w:rsidTr="00D5157C">
        <w:tc>
          <w:tcPr>
            <w:tcW w:w="1271" w:type="dxa"/>
          </w:tcPr>
          <w:p w14:paraId="148320EF" w14:textId="3B29EEE1"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lastRenderedPageBreak/>
              <w:t>Policijos departamento prie Lietuvos Respublikos vidaus reikalų ministerijos 2021-08-19 raštas Nr. 5-S-14090</w:t>
            </w:r>
          </w:p>
        </w:tc>
        <w:tc>
          <w:tcPr>
            <w:tcW w:w="8567" w:type="dxa"/>
          </w:tcPr>
          <w:p w14:paraId="05932ABF" w14:textId="578E808C" w:rsidR="008838CB" w:rsidRPr="00602D1F" w:rsidRDefault="008838CB" w:rsidP="00602D1F">
            <w:pPr>
              <w:jc w:val="both"/>
              <w:rPr>
                <w:rFonts w:ascii="Times New Roman" w:hAnsi="Times New Roman" w:cs="Times New Roman"/>
                <w:sz w:val="24"/>
                <w:szCs w:val="24"/>
              </w:rPr>
            </w:pPr>
            <w:r w:rsidRPr="00602D1F">
              <w:rPr>
                <w:rStyle w:val="Numatytasispastraiposriftas1"/>
                <w:rFonts w:ascii="Times New Roman" w:hAnsi="Times New Roman" w:cs="Times New Roman"/>
                <w:bCs/>
                <w:color w:val="000000"/>
                <w:sz w:val="24"/>
                <w:szCs w:val="24"/>
              </w:rPr>
              <w:t xml:space="preserve">1. Įstatymo projekto 4 straipsnio 8 dalies 2 punktą siūlome dėstyti taip: „Ginklų ir šaudmenų kontrolės įstatymo nustatyta tvarka neišduoda arba panaikina leidimą laikyti ar leidimą nešiotis ginklus </w:t>
            </w:r>
            <w:r w:rsidRPr="00602D1F">
              <w:rPr>
                <w:rStyle w:val="Numatytasispastraiposriftas1"/>
                <w:rFonts w:ascii="Times New Roman" w:hAnsi="Times New Roman" w:cs="Times New Roman"/>
                <w:color w:val="000000"/>
                <w:sz w:val="24"/>
                <w:szCs w:val="24"/>
              </w:rPr>
              <w:t>arba paima ginklus iš pavojų keliančio asmens, iki apsaugos nuo smurto orderio galiojimo pabaigos.“</w:t>
            </w:r>
          </w:p>
        </w:tc>
        <w:tc>
          <w:tcPr>
            <w:tcW w:w="4819" w:type="dxa"/>
          </w:tcPr>
          <w:p w14:paraId="10504BEF"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t>Atsižvelgta iš dalies.</w:t>
            </w:r>
          </w:p>
          <w:p w14:paraId="3C46E0CC" w14:textId="77777777" w:rsidR="008838CB" w:rsidRPr="00602D1F" w:rsidRDefault="008838CB" w:rsidP="00602D1F">
            <w:pPr>
              <w:rPr>
                <w:rFonts w:ascii="Times New Roman" w:hAnsi="Times New Roman" w:cs="Times New Roman"/>
                <w:b/>
                <w:bCs/>
                <w:sz w:val="24"/>
                <w:szCs w:val="24"/>
              </w:rPr>
            </w:pPr>
          </w:p>
          <w:p w14:paraId="79DBA485" w14:textId="71B4A961"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Siekiant maksimaliai apsaugoti (galimai) nukentėjusius nuo smurto artimoje aplinkoje nėra aišku, kodėl Policijos departamentas siūlo išbraukti galimybė paimti ginklus ikiteisminio tyrimo atvejais ar priėmus apkaltinamąjį teismo nuosprendį, ypač atsižvelgiant į tai, kad Ginklų ir šaudmenų kontrolės įstatymo reglamentavimas nėra pakankamas pagrindas, nes minėtame įstatyme išvardinti ginklų paėmimo pagrindai ne visais atvejais apima visas smurto artimoje aplinkoje formas.</w:t>
            </w:r>
          </w:p>
        </w:tc>
      </w:tr>
      <w:tr w:rsidR="008838CB" w:rsidRPr="00602D1F" w14:paraId="5800778C" w14:textId="77777777" w:rsidTr="00D5157C">
        <w:tc>
          <w:tcPr>
            <w:tcW w:w="1271" w:type="dxa"/>
          </w:tcPr>
          <w:p w14:paraId="09A9560A" w14:textId="77777777" w:rsidR="008838CB" w:rsidRPr="00602D1F" w:rsidRDefault="008838CB" w:rsidP="00602D1F">
            <w:pPr>
              <w:rPr>
                <w:rFonts w:ascii="Times New Roman" w:hAnsi="Times New Roman" w:cs="Times New Roman"/>
                <w:sz w:val="24"/>
                <w:szCs w:val="24"/>
              </w:rPr>
            </w:pPr>
          </w:p>
        </w:tc>
        <w:tc>
          <w:tcPr>
            <w:tcW w:w="8567" w:type="dxa"/>
          </w:tcPr>
          <w:p w14:paraId="405676CE" w14:textId="57BD7C55" w:rsidR="008838CB" w:rsidRPr="00602D1F" w:rsidRDefault="008838CB" w:rsidP="00602D1F">
            <w:pPr>
              <w:jc w:val="both"/>
              <w:rPr>
                <w:rFonts w:ascii="Times New Roman" w:hAnsi="Times New Roman" w:cs="Times New Roman"/>
                <w:sz w:val="24"/>
                <w:szCs w:val="24"/>
              </w:rPr>
            </w:pPr>
            <w:r w:rsidRPr="00602D1F">
              <w:rPr>
                <w:rStyle w:val="Numatytasispastraiposriftas1"/>
                <w:rFonts w:ascii="Times New Roman" w:hAnsi="Times New Roman" w:cs="Times New Roman"/>
                <w:sz w:val="24"/>
                <w:szCs w:val="24"/>
              </w:rPr>
              <w:t>2.</w:t>
            </w:r>
            <w:r w:rsidRPr="00602D1F">
              <w:rPr>
                <w:rStyle w:val="Numatytasispastraiposriftas1"/>
                <w:rFonts w:ascii="Times New Roman" w:hAnsi="Times New Roman" w:cs="Times New Roman"/>
                <w:bCs/>
                <w:color w:val="000000"/>
                <w:sz w:val="24"/>
                <w:szCs w:val="24"/>
              </w:rPr>
              <w:t xml:space="preserve"> Nesutinkame su Įstatymo projekto 8 straipsnio 4 dalies nuostata, kad policijos pareigūnas nedelsdamas raštu ar elektroninių ryšių priemonėmis pateikdamas informaciją apie skirtą apsaugos nuo smurto orderį turi nurodyti ne tik apsaugos nuo smurto orderio skyrimo datą ir laiką, bet ir atlikto smurto artimoje aplinkoje pavojaus rizikos vertinimo rezultatus. Pažymėtina, kad atlikto smurto artimoje aplinkoje pavojaus rizikos vertinimas – tai vidinės veiklos dokumentas, kuris neturėtų būti teikiamas kitoms institucijoms, dėl to jo pateikimas vertintinas kaip perteklinis.</w:t>
            </w:r>
          </w:p>
        </w:tc>
        <w:tc>
          <w:tcPr>
            <w:tcW w:w="4819" w:type="dxa"/>
          </w:tcPr>
          <w:p w14:paraId="69770851"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537D2C30" w14:textId="77777777" w:rsidR="008838CB" w:rsidRPr="00602D1F" w:rsidRDefault="008838CB" w:rsidP="00602D1F">
            <w:pPr>
              <w:rPr>
                <w:rFonts w:ascii="Times New Roman" w:hAnsi="Times New Roman" w:cs="Times New Roman"/>
                <w:sz w:val="24"/>
                <w:szCs w:val="24"/>
              </w:rPr>
            </w:pPr>
          </w:p>
          <w:p w14:paraId="5A14C990" w14:textId="3E5EB01A"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Siūlomu reglamentavimu siekiama kuo glaudesnio bendradarbiavimo tarp skirtingų institucijų, todėl tinkamas ir greitas informacijos dalijimasis yra esminis nukentėjusiųjų interesų apsaugos elementas. Šiuo konkrečiu atveju:</w:t>
            </w:r>
          </w:p>
          <w:p w14:paraId="1D43CDC3" w14:textId="3289C092"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1) smurto artimoje aplinkoje pavojų keliančiam asmeniui bei smurto artimoje aplinkoje pavojų </w:t>
            </w:r>
            <w:r w:rsidRPr="00602D1F">
              <w:rPr>
                <w:rFonts w:ascii="Times New Roman" w:hAnsi="Times New Roman" w:cs="Times New Roman"/>
                <w:sz w:val="24"/>
                <w:szCs w:val="24"/>
              </w:rPr>
              <w:lastRenderedPageBreak/>
              <w:t>patiriančiam asmeniui - informacija gali būti aktuali imantis tolimesnių savo teisių gynimo priemonių;</w:t>
            </w:r>
          </w:p>
          <w:p w14:paraId="6A083A27"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2) Valstybės vaiko teisių apsaugos ir įvaikinimo tarnybai – informacija aktuali siekiant kuo efektyviau užkirsti kelią vaiko teisių pažeidimams;</w:t>
            </w:r>
          </w:p>
          <w:p w14:paraId="50188704" w14:textId="5BF91AEB"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3) specializuotos kompleksinės pagalbos centrui – pirmiausia, atliekant pakartotinės rizikos vertinimą ir, antra, teikiant pagalbą asmeniui.</w:t>
            </w:r>
          </w:p>
        </w:tc>
      </w:tr>
      <w:tr w:rsidR="008838CB" w:rsidRPr="00602D1F" w14:paraId="2E8BA496" w14:textId="77777777" w:rsidTr="00D5157C">
        <w:tc>
          <w:tcPr>
            <w:tcW w:w="1271" w:type="dxa"/>
          </w:tcPr>
          <w:p w14:paraId="4627BFAB" w14:textId="77777777" w:rsidR="008838CB" w:rsidRPr="00602D1F" w:rsidRDefault="008838CB" w:rsidP="00602D1F">
            <w:pPr>
              <w:rPr>
                <w:rFonts w:ascii="Times New Roman" w:hAnsi="Times New Roman" w:cs="Times New Roman"/>
                <w:sz w:val="24"/>
                <w:szCs w:val="24"/>
              </w:rPr>
            </w:pPr>
          </w:p>
        </w:tc>
        <w:tc>
          <w:tcPr>
            <w:tcW w:w="8567" w:type="dxa"/>
          </w:tcPr>
          <w:p w14:paraId="7DF0E37A" w14:textId="3F0E57C7" w:rsidR="008838CB" w:rsidRPr="00602D1F" w:rsidRDefault="008838CB" w:rsidP="00602D1F">
            <w:pPr>
              <w:jc w:val="both"/>
              <w:rPr>
                <w:rFonts w:ascii="Times New Roman" w:hAnsi="Times New Roman" w:cs="Times New Roman"/>
                <w:sz w:val="24"/>
                <w:szCs w:val="24"/>
              </w:rPr>
            </w:pPr>
            <w:r w:rsidRPr="00602D1F">
              <w:rPr>
                <w:rStyle w:val="Numatytasispastraiposriftas1"/>
                <w:rFonts w:ascii="Times New Roman" w:hAnsi="Times New Roman" w:cs="Times New Roman"/>
                <w:bCs/>
                <w:color w:val="000000"/>
                <w:sz w:val="24"/>
                <w:szCs w:val="24"/>
              </w:rPr>
              <w:t>3. Atsižvelgdami į tai, kad vykusiuose darbo susitikimuose dėl Įstatymo projekto nuostatų buvo sutarta, dėl ko konkrečiai būtinas smurto artimoje aplinkoje pavojų patiriančio asmens sutikimas, siūlome Įstatymo projekto 8 straipsnio 4 dalies 4 punkto nuostatą dėstyti taip: „specializuotos kompleksinės pagalbos centrą, kuris privalo susisiekti su smurto artimoje aplinkoje pavojų patiriančiu asmeniu ir jam pasiūlyti specializuotą kompleksinę pagalbą, jei jis sutinka ją gauti, bei atlikti pakartotinio smurto artimoje aplinkoje rizikos veiksnių vertinimą, jei smurto artimoje aplinkoje pavojų patiriantis asmuo bendradarbiauja su specializuotos kompleksinės pagalbos centru“.</w:t>
            </w:r>
          </w:p>
        </w:tc>
        <w:tc>
          <w:tcPr>
            <w:tcW w:w="4819" w:type="dxa"/>
          </w:tcPr>
          <w:p w14:paraId="530608AC" w14:textId="7092A0AB" w:rsidR="008838CB" w:rsidRPr="00602D1F" w:rsidRDefault="008838CB" w:rsidP="00602D1F">
            <w:pPr>
              <w:rPr>
                <w:rFonts w:ascii="Times New Roman" w:hAnsi="Times New Roman" w:cs="Times New Roman"/>
                <w:b/>
                <w:bCs/>
                <w:sz w:val="24"/>
                <w:szCs w:val="24"/>
              </w:rPr>
            </w:pPr>
            <w:r w:rsidRPr="00602D1F">
              <w:rPr>
                <w:rFonts w:ascii="Times New Roman" w:hAnsi="Times New Roman" w:cs="Times New Roman"/>
                <w:b/>
                <w:bCs/>
                <w:sz w:val="24"/>
                <w:szCs w:val="24"/>
              </w:rPr>
              <w:t>Atsižvelgta iš dalies.</w:t>
            </w:r>
          </w:p>
          <w:p w14:paraId="52CD040F" w14:textId="77777777" w:rsidR="008838CB" w:rsidRPr="00602D1F" w:rsidRDefault="008838CB" w:rsidP="00602D1F">
            <w:pPr>
              <w:rPr>
                <w:rFonts w:ascii="Times New Roman" w:hAnsi="Times New Roman" w:cs="Times New Roman"/>
                <w:sz w:val="24"/>
                <w:szCs w:val="24"/>
              </w:rPr>
            </w:pPr>
          </w:p>
          <w:p w14:paraId="1D53AFCA" w14:textId="05F6B200"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Siūloma formuluotė yra mažiau aiški teisiniu požiūriu, todėl įstatymo projekte siūloma palikti aiškų reglamentavimą, kad asmuo turi pasirinkimą sutikti arba nesutikti: 1) kad būtų atliktas pakartotinio smurto artimoje aplinkoje rizikos veiksnių vertinimas; 2) gauti specializuotą kompleksinę pagalbą.</w:t>
            </w:r>
          </w:p>
        </w:tc>
      </w:tr>
      <w:tr w:rsidR="008838CB" w:rsidRPr="00602D1F" w14:paraId="6015D3FB" w14:textId="77777777" w:rsidTr="00D5157C">
        <w:tc>
          <w:tcPr>
            <w:tcW w:w="1271" w:type="dxa"/>
          </w:tcPr>
          <w:p w14:paraId="3B2223B4" w14:textId="77777777" w:rsidR="008838CB" w:rsidRPr="00602D1F" w:rsidRDefault="008838CB" w:rsidP="00602D1F">
            <w:pPr>
              <w:rPr>
                <w:rFonts w:ascii="Times New Roman" w:hAnsi="Times New Roman" w:cs="Times New Roman"/>
                <w:sz w:val="24"/>
                <w:szCs w:val="24"/>
              </w:rPr>
            </w:pPr>
          </w:p>
        </w:tc>
        <w:tc>
          <w:tcPr>
            <w:tcW w:w="8567" w:type="dxa"/>
          </w:tcPr>
          <w:p w14:paraId="27C07314" w14:textId="4C54EE4B"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4. Policijos departamentas ne kartą yra pažymėjęs, kad atitinkamų subjektų informavimas (Įstatymo projekto 8 straipsnio 4 dalies nuostatos), kalbant apie apsaugos nuo smurto orderio skyrimą, yra būtinas tik tuo atveju, jei buvo priimtas sprendimas jį skirti. Tais atvejais, kai jis nebus skirtas, tik smurto artimoje aplinkoje pavojų patiriantis asmuo turi būti informuotas apie apsaugos nuo smurto orderio neskyrimo apskundimo tvarką. Kitų subjektų informavimas šiuo atveju vertintinas kaip perteklinis. Atsižvelgdami į tai, nesutinkame su Įstatymo projekto 8 straipsnio 5 dalies nuostata. Papildomai pažymime, kad atitinkamu policijos pareigūno sprendimu bus įforminamas tik sprendimas skirti apsaugos nuo smurto orderį (t. y. jei jis nebus skiriamas, atskiro sprendimo dėl apsaugos nuo smurto orderio neskyrimo nebus).</w:t>
            </w:r>
          </w:p>
        </w:tc>
        <w:tc>
          <w:tcPr>
            <w:tcW w:w="4819" w:type="dxa"/>
          </w:tcPr>
          <w:p w14:paraId="5F735A87"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228D227D" w14:textId="77777777" w:rsidR="008838CB" w:rsidRPr="00602D1F" w:rsidRDefault="008838CB" w:rsidP="00602D1F">
            <w:pPr>
              <w:rPr>
                <w:rFonts w:ascii="Times New Roman" w:hAnsi="Times New Roman" w:cs="Times New Roman"/>
                <w:sz w:val="24"/>
                <w:szCs w:val="24"/>
              </w:rPr>
            </w:pPr>
          </w:p>
          <w:p w14:paraId="1D0B9312" w14:textId="770F5DFF"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Siūlomu reglamentavimu siekiama kuo glaudesnio bendradarbiavimo tarp skirtingų institucijų, todėl tinkamas ir greitas informacijos dalijimasis yra esminis nukentėjusiųjų interesų apsaugos elementas. Net ir tuo atveju, kai Policijos pareigūnas konkrečiu atveju nuspręs neskirti</w:t>
            </w:r>
            <w:r w:rsidR="00002C19">
              <w:rPr>
                <w:rFonts w:ascii="Times New Roman" w:hAnsi="Times New Roman" w:cs="Times New Roman"/>
                <w:sz w:val="24"/>
                <w:szCs w:val="24"/>
              </w:rPr>
              <w:t xml:space="preserve"> apsaugos nuo smurto artimoje aplinkoje</w:t>
            </w:r>
            <w:r w:rsidRPr="00602D1F">
              <w:rPr>
                <w:rFonts w:ascii="Times New Roman" w:hAnsi="Times New Roman" w:cs="Times New Roman"/>
                <w:sz w:val="24"/>
                <w:szCs w:val="24"/>
              </w:rPr>
              <w:t xml:space="preserve"> orderio, Valstybės vaiko teisių apsaugos ir įvaikinimo tarnyba turi gauti informaciją apie galimą smurto įvykį, kad galėtų įvertinti vaiko situaciją. Specializuotos kompleksinės pagalbos centras taip pat turi būti informuotas apie galimą smurto įvykį, įskaitant policijos pareigūno priimtus sprendimus dėl </w:t>
            </w:r>
            <w:r w:rsidR="00002C19">
              <w:rPr>
                <w:rFonts w:ascii="Times New Roman" w:hAnsi="Times New Roman" w:cs="Times New Roman"/>
                <w:sz w:val="24"/>
                <w:szCs w:val="24"/>
              </w:rPr>
              <w:t>apsaugos nuo smur</w:t>
            </w:r>
            <w:r w:rsidR="00D5157C">
              <w:rPr>
                <w:rFonts w:ascii="Times New Roman" w:hAnsi="Times New Roman" w:cs="Times New Roman"/>
                <w:sz w:val="24"/>
                <w:szCs w:val="24"/>
              </w:rPr>
              <w:t>t</w:t>
            </w:r>
            <w:r w:rsidR="00002C19">
              <w:rPr>
                <w:rFonts w:ascii="Times New Roman" w:hAnsi="Times New Roman" w:cs="Times New Roman"/>
                <w:sz w:val="24"/>
                <w:szCs w:val="24"/>
              </w:rPr>
              <w:t xml:space="preserve">o artimoje aplinkoje </w:t>
            </w:r>
            <w:r w:rsidRPr="00602D1F">
              <w:rPr>
                <w:rFonts w:ascii="Times New Roman" w:hAnsi="Times New Roman" w:cs="Times New Roman"/>
                <w:sz w:val="24"/>
                <w:szCs w:val="24"/>
              </w:rPr>
              <w:t xml:space="preserve">orderio ir atitinkamai pagal situaciją sudaryti pagalbos </w:t>
            </w:r>
            <w:r w:rsidRPr="00602D1F">
              <w:rPr>
                <w:rFonts w:ascii="Times New Roman" w:hAnsi="Times New Roman" w:cs="Times New Roman"/>
                <w:sz w:val="24"/>
                <w:szCs w:val="24"/>
              </w:rPr>
              <w:lastRenderedPageBreak/>
              <w:t>asmeniui planą. Smurto artimoje aplinkoje pavojų keliančiam asmeniui bei smurto artimoje aplinkoje pavojų patiriančiam asmeniui - informacija aktuali imantis tolimesnių savo teisių gynimo priemonių</w:t>
            </w:r>
          </w:p>
        </w:tc>
      </w:tr>
      <w:tr w:rsidR="008838CB" w:rsidRPr="00602D1F" w14:paraId="2849E7A3" w14:textId="77777777" w:rsidTr="00D5157C">
        <w:tc>
          <w:tcPr>
            <w:tcW w:w="1271" w:type="dxa"/>
          </w:tcPr>
          <w:p w14:paraId="35122B24" w14:textId="77777777" w:rsidR="008838CB" w:rsidRPr="00602D1F" w:rsidRDefault="008838CB" w:rsidP="00602D1F">
            <w:pPr>
              <w:rPr>
                <w:rFonts w:ascii="Times New Roman" w:hAnsi="Times New Roman" w:cs="Times New Roman"/>
                <w:sz w:val="24"/>
                <w:szCs w:val="24"/>
              </w:rPr>
            </w:pPr>
          </w:p>
        </w:tc>
        <w:tc>
          <w:tcPr>
            <w:tcW w:w="8567" w:type="dxa"/>
          </w:tcPr>
          <w:p w14:paraId="150DDF1E" w14:textId="2324C2CE"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5. Pakartotinai teikiame pastabą dėl Įstatymo projekto 8 straipsnio 6 dalies nuostatos. Atsižvelgiant į tai, kad Įstatymo projekto 8 straipsnis nustato Apsaugos nuo smurto orderio skyrimą ir kitus su šios prevencinės apsaugos priemonės taikymu susijusius aspektus, Įstatymo projekto 8 straipsnio 6 dalyje brauktinas teiginys: „Smurto artimoje aplinkoje pavojų keliančio asmens iškeldinimo tvarką nustato Lietuvos Respublikos Vyriausybės įgaliota institucija.“ Atitinkamai tikslintinas Įstatymo projekto aiškinamojo rašto 12 punktas.</w:t>
            </w:r>
          </w:p>
        </w:tc>
        <w:tc>
          <w:tcPr>
            <w:tcW w:w="4819" w:type="dxa"/>
          </w:tcPr>
          <w:p w14:paraId="654DAA5F"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33523C99" w14:textId="77777777" w:rsidR="008838CB" w:rsidRPr="00602D1F" w:rsidRDefault="008838CB" w:rsidP="00602D1F">
            <w:pPr>
              <w:rPr>
                <w:rFonts w:ascii="Times New Roman" w:hAnsi="Times New Roman" w:cs="Times New Roman"/>
                <w:sz w:val="24"/>
                <w:szCs w:val="24"/>
              </w:rPr>
            </w:pPr>
          </w:p>
          <w:p w14:paraId="330D15A9"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Įstatymo projektu siūlomos normos nėra pakankamos siekiant užtikrinti tinkamą asmens iškeldinimą, užtikrinant veiksmų proporcingumą bei visų suinteresuotų asmenų teisių užtikrinimą, todėl reikalingas poįstatyminis teisės aktas, kuris nustatytų detalų veiksmų algoritmą.</w:t>
            </w:r>
          </w:p>
          <w:p w14:paraId="0AC1ECF9" w14:textId="77777777" w:rsidR="008838CB" w:rsidRPr="00602D1F" w:rsidRDefault="008838CB" w:rsidP="00602D1F">
            <w:pPr>
              <w:jc w:val="both"/>
              <w:rPr>
                <w:rFonts w:ascii="Times New Roman" w:hAnsi="Times New Roman" w:cs="Times New Roman"/>
                <w:sz w:val="24"/>
                <w:szCs w:val="24"/>
              </w:rPr>
            </w:pPr>
          </w:p>
          <w:p w14:paraId="50354FF9" w14:textId="5DA82DFC"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Pastebėtina, kad šiuo metu jau galioja Lietuvos policijos generalinio komisaro 2018-07-02 įsakymas Nr. 5-V-611 „Dėl Policijos pareigūnų reagavimo į pranešimus apie smurtą artimoje aplinkoje, teismo sprendimo dėl laikinųjų smurtą patyrusio asmens apsaugos užtikrinimo priemonių skyrimo vykdymo ir šio sprendimo vykdymo kontrolės tvarkos aprašo patvirtinimo“, kuris, įsigaliojus </w:t>
            </w:r>
            <w:r w:rsidR="00912908">
              <w:rPr>
                <w:rFonts w:ascii="Times New Roman" w:hAnsi="Times New Roman" w:cs="Times New Roman"/>
                <w:sz w:val="24"/>
                <w:szCs w:val="24"/>
              </w:rPr>
              <w:t>Įstatymo projektui</w:t>
            </w:r>
            <w:r w:rsidRPr="00602D1F">
              <w:rPr>
                <w:rFonts w:ascii="Times New Roman" w:hAnsi="Times New Roman" w:cs="Times New Roman"/>
                <w:sz w:val="24"/>
                <w:szCs w:val="24"/>
              </w:rPr>
              <w:t>, turės būti peržiūrėtas ir papildytas naujomis nuostatomis.</w:t>
            </w:r>
          </w:p>
        </w:tc>
      </w:tr>
      <w:tr w:rsidR="008838CB" w:rsidRPr="00602D1F" w14:paraId="7154C7DA" w14:textId="77777777" w:rsidTr="00D5157C">
        <w:tc>
          <w:tcPr>
            <w:tcW w:w="1271" w:type="dxa"/>
          </w:tcPr>
          <w:p w14:paraId="0082F9FD" w14:textId="77777777" w:rsidR="008838CB" w:rsidRPr="00602D1F" w:rsidRDefault="008838CB" w:rsidP="00602D1F">
            <w:pPr>
              <w:rPr>
                <w:rFonts w:ascii="Times New Roman" w:hAnsi="Times New Roman" w:cs="Times New Roman"/>
                <w:sz w:val="24"/>
                <w:szCs w:val="24"/>
              </w:rPr>
            </w:pPr>
            <w:bookmarkStart w:id="0" w:name="_Hlk80347858"/>
          </w:p>
        </w:tc>
        <w:tc>
          <w:tcPr>
            <w:tcW w:w="8567" w:type="dxa"/>
            <w:shd w:val="clear" w:color="auto" w:fill="auto"/>
          </w:tcPr>
          <w:p w14:paraId="3BBD0007" w14:textId="3E7E2664"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6. Atsižvelgdami į šio rašto 3 punkte teiktą pasiūlymą, siūlome tikslinti Įstatymo projekto 8 straipsnio 7 dalies nuostatą.</w:t>
            </w:r>
          </w:p>
        </w:tc>
        <w:tc>
          <w:tcPr>
            <w:tcW w:w="4819" w:type="dxa"/>
            <w:shd w:val="clear" w:color="auto" w:fill="auto"/>
          </w:tcPr>
          <w:p w14:paraId="7F3DA7B6"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757043F3" w14:textId="77777777" w:rsidR="008838CB" w:rsidRPr="00602D1F" w:rsidRDefault="008838CB" w:rsidP="00602D1F">
            <w:pPr>
              <w:rPr>
                <w:rFonts w:ascii="Times New Roman" w:hAnsi="Times New Roman" w:cs="Times New Roman"/>
                <w:sz w:val="24"/>
                <w:szCs w:val="24"/>
              </w:rPr>
            </w:pPr>
          </w:p>
          <w:p w14:paraId="5CB6F152" w14:textId="195304CC"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3 pastabos.</w:t>
            </w:r>
          </w:p>
        </w:tc>
      </w:tr>
      <w:bookmarkEnd w:id="0"/>
      <w:tr w:rsidR="008838CB" w:rsidRPr="00602D1F" w14:paraId="222CC6AB" w14:textId="77777777" w:rsidTr="00D5157C">
        <w:tc>
          <w:tcPr>
            <w:tcW w:w="1271" w:type="dxa"/>
          </w:tcPr>
          <w:p w14:paraId="2760C7DA" w14:textId="77777777" w:rsidR="008838CB" w:rsidRPr="00602D1F" w:rsidRDefault="008838CB" w:rsidP="00602D1F">
            <w:pPr>
              <w:rPr>
                <w:rFonts w:ascii="Times New Roman" w:hAnsi="Times New Roman" w:cs="Times New Roman"/>
                <w:sz w:val="24"/>
                <w:szCs w:val="24"/>
              </w:rPr>
            </w:pPr>
          </w:p>
        </w:tc>
        <w:tc>
          <w:tcPr>
            <w:tcW w:w="8567" w:type="dxa"/>
          </w:tcPr>
          <w:p w14:paraId="46DFBFC6" w14:textId="0643CEA2"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7. Policijos departamentas nepritaria Įstatymo projekto 8 straipsnio 9 dalyje ir 9 straipsnio 5 dalyje įtvirtintai nuostatai apsaugos nuo smurto orderio pratęsimo bei sprendimų dėl jo apskundimo klausimus nagrinėti Lietuvos Respublikos baudžiamojo proceso kodekso tvarka. Policijos departamentas laikosi teiktos pozicijos, kad tokiu atveju nebus užtikrintas greitas ir efektyvus procesas smurto artimoje aplinkoje pavojų patiriančio asmens atžvilgiu, o atvirkščiai – atsiras nemažai papildomų griežtų procedūrinių reikalavimų, kurie pareikalaus tiek papildomo laiko, tiek ir žmogiškųjų išteklių.</w:t>
            </w:r>
          </w:p>
        </w:tc>
        <w:tc>
          <w:tcPr>
            <w:tcW w:w="4819" w:type="dxa"/>
          </w:tcPr>
          <w:p w14:paraId="3942E11C"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2A78A2DA" w14:textId="77777777" w:rsidR="008838CB" w:rsidRPr="00602D1F" w:rsidRDefault="008838CB" w:rsidP="00602D1F">
            <w:pPr>
              <w:rPr>
                <w:rFonts w:ascii="Times New Roman" w:hAnsi="Times New Roman" w:cs="Times New Roman"/>
                <w:sz w:val="24"/>
                <w:szCs w:val="24"/>
              </w:rPr>
            </w:pPr>
          </w:p>
          <w:p w14:paraId="2B5AA6E5" w14:textId="263BC689"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Atsižvelgiant į tai, kad smurto artimoje aplinkoje klausimai, pirmiausia, yra susiję su baudžiamosios teisės dalyku, pasirinkta, kad </w:t>
            </w:r>
            <w:r w:rsidR="00D5157C">
              <w:rPr>
                <w:rFonts w:ascii="Times New Roman" w:hAnsi="Times New Roman" w:cs="Times New Roman"/>
                <w:sz w:val="24"/>
                <w:szCs w:val="24"/>
              </w:rPr>
              <w:t xml:space="preserve">apsaugos nuo smurto artimoje aplinkoje </w:t>
            </w:r>
            <w:r w:rsidRPr="00602D1F">
              <w:rPr>
                <w:rFonts w:ascii="Times New Roman" w:hAnsi="Times New Roman" w:cs="Times New Roman"/>
                <w:sz w:val="24"/>
                <w:szCs w:val="24"/>
              </w:rPr>
              <w:t xml:space="preserve">orderio klausimai turėtų būti nagrinėjami Baudžiamojo proceso tvarka. Policijos departamento ir </w:t>
            </w:r>
            <w:r w:rsidRPr="00602D1F">
              <w:rPr>
                <w:rFonts w:ascii="Times New Roman" w:hAnsi="Times New Roman" w:cs="Times New Roman"/>
                <w:sz w:val="24"/>
                <w:szCs w:val="24"/>
              </w:rPr>
              <w:lastRenderedPageBreak/>
              <w:t xml:space="preserve">Vidaus reikalų ministerijos ankščiau teikti pasiūlymai, kad </w:t>
            </w:r>
            <w:r w:rsidR="00D5157C">
              <w:rPr>
                <w:rFonts w:ascii="Times New Roman" w:hAnsi="Times New Roman" w:cs="Times New Roman"/>
                <w:sz w:val="24"/>
                <w:szCs w:val="24"/>
              </w:rPr>
              <w:t xml:space="preserve">apsaugos nuo smurto artimoje aplinkoje </w:t>
            </w:r>
            <w:r w:rsidRPr="00602D1F">
              <w:rPr>
                <w:rFonts w:ascii="Times New Roman" w:hAnsi="Times New Roman" w:cs="Times New Roman"/>
                <w:sz w:val="24"/>
                <w:szCs w:val="24"/>
              </w:rPr>
              <w:t xml:space="preserve">orderio klausimai turėtų būti nagrinėjami Administracinių nusižengimų kodekso nustatyta tvarka nėra įmanomi, nes </w:t>
            </w:r>
            <w:r w:rsidR="00D5157C">
              <w:rPr>
                <w:rFonts w:ascii="Times New Roman" w:hAnsi="Times New Roman" w:cs="Times New Roman"/>
                <w:sz w:val="24"/>
                <w:szCs w:val="24"/>
              </w:rPr>
              <w:t xml:space="preserve">apsaugos nuo smurto artimoje aplinkoje </w:t>
            </w:r>
            <w:r w:rsidRPr="00602D1F">
              <w:rPr>
                <w:rFonts w:ascii="Times New Roman" w:hAnsi="Times New Roman" w:cs="Times New Roman"/>
                <w:sz w:val="24"/>
                <w:szCs w:val="24"/>
              </w:rPr>
              <w:t>orderio pratęsimo ir (ar) apskundimo klausimams nagrinėti Administracinių nusižengimų kodekso normos nėra pakankamos.</w:t>
            </w:r>
          </w:p>
          <w:p w14:paraId="4A4D5099" w14:textId="77777777" w:rsidR="008838CB" w:rsidRPr="00602D1F" w:rsidRDefault="008838CB" w:rsidP="00602D1F">
            <w:pPr>
              <w:jc w:val="both"/>
              <w:rPr>
                <w:rFonts w:ascii="Times New Roman" w:hAnsi="Times New Roman" w:cs="Times New Roman"/>
                <w:sz w:val="24"/>
                <w:szCs w:val="24"/>
              </w:rPr>
            </w:pPr>
          </w:p>
          <w:p w14:paraId="10CCF702" w14:textId="46904E0B"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Papildomai pastebėtina, kad šiuo klausimu buvo siekiama maksimalaus konsensuso ir šiam pasirinkimui pritaria didžioji dauguma suinteresuotų subjektų, dalyvavusių </w:t>
            </w:r>
            <w:r w:rsidR="00931668">
              <w:rPr>
                <w:rFonts w:ascii="Times New Roman" w:hAnsi="Times New Roman" w:cs="Times New Roman"/>
                <w:sz w:val="24"/>
                <w:szCs w:val="24"/>
              </w:rPr>
              <w:t>Į</w:t>
            </w:r>
            <w:r w:rsidRPr="00602D1F">
              <w:rPr>
                <w:rFonts w:ascii="Times New Roman" w:hAnsi="Times New Roman" w:cs="Times New Roman"/>
                <w:sz w:val="24"/>
                <w:szCs w:val="24"/>
              </w:rPr>
              <w:t>statymo projekto rengimo procese.</w:t>
            </w:r>
          </w:p>
        </w:tc>
      </w:tr>
      <w:tr w:rsidR="008838CB" w:rsidRPr="00602D1F" w14:paraId="61B5D1CD" w14:textId="77777777" w:rsidTr="00D5157C">
        <w:tc>
          <w:tcPr>
            <w:tcW w:w="1271" w:type="dxa"/>
          </w:tcPr>
          <w:p w14:paraId="1BB667F5" w14:textId="77777777" w:rsidR="008838CB" w:rsidRPr="00602D1F" w:rsidRDefault="008838CB" w:rsidP="00602D1F">
            <w:pPr>
              <w:rPr>
                <w:rFonts w:ascii="Times New Roman" w:hAnsi="Times New Roman" w:cs="Times New Roman"/>
                <w:sz w:val="24"/>
                <w:szCs w:val="24"/>
              </w:rPr>
            </w:pPr>
          </w:p>
        </w:tc>
        <w:tc>
          <w:tcPr>
            <w:tcW w:w="8567" w:type="dxa"/>
          </w:tcPr>
          <w:p w14:paraId="6E94472D"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8. Siūlome keisti Įstatymo projekto 8 straipsnio 9 dalį ir ją išdėstyti taip: </w:t>
            </w:r>
          </w:p>
          <w:p w14:paraId="0B129AA9" w14:textId="63C3EE2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„Apylinkės teismas ne vėliau kaip per 24 valandas nuo policijos pareigūno kreipimosi dėl apsaugos nuo smurto orderio pratęsimo ir ne vėliau kaip iki 72 valandų apsaugos nuo smurto orderio galiojimo termino pabaigos rašytinio proceso tvarka priima sprendimą pratęsti apsaugos nuo smurto orderį smurto artimoje aplinkoje pavojų keliančiam asmeniui (nurodo orderio galiojimo terminą, sąlygas, įpareigojimus) ar sprendimą jo nepratęsti. Apylinkės teismas policijos pareigūno sprendimą skirti apsaugos nuo smurto orderį 72 valandoms gali pratęsti iki 12 kalendorinių dienų. Smurto artimoje aplinkoje pavojų keliančiam asmeniui skirto apsaugos nuo smurto orderio taikymo terminas negali būti ilgesnis kaip 15 kalendorinių dienų. Jei apylinkės teismas nepratęsia apsaugos nuo smurto orderio termino, apsaugos nuo smurto orderis nenustoja galioti, kol nepasibaigs šio straipsnio 2 dalyje nurodytas apsaugos nuo smurto orderio terminas.“ </w:t>
            </w:r>
          </w:p>
          <w:p w14:paraId="20FAF9C1" w14:textId="3C14F548"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Pažymėtina, kad apsaugos nuo smurto orderio pratęsimo klausimo nagrinėjimas žodinio proceso tvarka pareikalautų neproporcingai didelių laiko ir žmogiškųjų išteklių sąnaudų, smurto artimoje aplinkoje pavojų keliančiam asmeniui vengiant dalyvauti procese, procesiniai sprendimai būtų nepriimami ir tai apsunkintų proceso greitumą (atsižvelgiant į trumpus terminus, ypač didelė rizika įžvelgiama savaitgaliais ir švenčių dienomis). Taip pat pabrėžtina, kad prognozuojamų pratęsimų skaičius – iki 7 000 atvejų per metus, tai labai didelis srautas ir net nedidelė dalis žodinių procesų lems reikšmingų resursų poreikį.</w:t>
            </w:r>
          </w:p>
          <w:p w14:paraId="3FBEEDE8" w14:textId="1FAFD4A5"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Akcentuotina, kad apsaugos nuo smurto orderio nepratęsimas neturėtų nutraukti Įstatymo projekto 2 dalyje apsaugos nuo smurto orderio galiojimo, nes nagrinėjamu </w:t>
            </w:r>
            <w:r w:rsidRPr="00602D1F">
              <w:rPr>
                <w:rFonts w:ascii="Times New Roman" w:hAnsi="Times New Roman" w:cs="Times New Roman"/>
                <w:sz w:val="24"/>
                <w:szCs w:val="24"/>
              </w:rPr>
              <w:lastRenderedPageBreak/>
              <w:t xml:space="preserve">atveju sprendžiamas apsaugos nuo smurto orderio pratęsimo, o ne nutraukimo klausimas.  </w:t>
            </w:r>
          </w:p>
        </w:tc>
        <w:tc>
          <w:tcPr>
            <w:tcW w:w="4819" w:type="dxa"/>
          </w:tcPr>
          <w:p w14:paraId="6D0DF586"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lastRenderedPageBreak/>
              <w:t>Neatsižvelgta.</w:t>
            </w:r>
          </w:p>
          <w:p w14:paraId="184EED6F" w14:textId="77777777" w:rsidR="008838CB" w:rsidRPr="00602D1F" w:rsidRDefault="008838CB" w:rsidP="00602D1F">
            <w:pPr>
              <w:rPr>
                <w:rFonts w:ascii="Times New Roman" w:hAnsi="Times New Roman" w:cs="Times New Roman"/>
                <w:sz w:val="24"/>
                <w:szCs w:val="24"/>
              </w:rPr>
            </w:pPr>
          </w:p>
          <w:p w14:paraId="76489A47" w14:textId="30A93E4B"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Siūloma formuluotė sukurtų teisinį neaiškumą šiais aspektais:</w:t>
            </w:r>
          </w:p>
          <w:p w14:paraId="4C8EEC0C" w14:textId="1E16665B"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1) dėl proceso, kurio tvarka yra nagrinėjami </w:t>
            </w:r>
            <w:r w:rsidR="00D5157C">
              <w:rPr>
                <w:rFonts w:ascii="Times New Roman" w:hAnsi="Times New Roman" w:cs="Times New Roman"/>
                <w:sz w:val="24"/>
                <w:szCs w:val="24"/>
              </w:rPr>
              <w:t xml:space="preserve">apsaugos nuo smurto artimoje aplinkoje </w:t>
            </w:r>
            <w:r w:rsidRPr="00602D1F">
              <w:rPr>
                <w:rFonts w:ascii="Times New Roman" w:hAnsi="Times New Roman" w:cs="Times New Roman"/>
                <w:sz w:val="24"/>
                <w:szCs w:val="24"/>
              </w:rPr>
              <w:t>orderio pratęsimo klausimai, reglamentavimo;</w:t>
            </w:r>
          </w:p>
          <w:p w14:paraId="5B6AD7F3" w14:textId="0A302936"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2) dėl galimybės nagrinėti </w:t>
            </w:r>
            <w:r w:rsidR="00D5157C">
              <w:rPr>
                <w:rFonts w:ascii="Times New Roman" w:hAnsi="Times New Roman" w:cs="Times New Roman"/>
                <w:sz w:val="24"/>
                <w:szCs w:val="24"/>
              </w:rPr>
              <w:t xml:space="preserve">apsaugos nuo smurto artimoje aplinkoje </w:t>
            </w:r>
            <w:r w:rsidRPr="00602D1F">
              <w:rPr>
                <w:rFonts w:ascii="Times New Roman" w:hAnsi="Times New Roman" w:cs="Times New Roman"/>
                <w:sz w:val="24"/>
                <w:szCs w:val="24"/>
              </w:rPr>
              <w:t>orderio pratęsimo klausimą žodinio proceso metu, kai teismas, įvertinęs visus jam pateiktus duomenis, mano, kad jų nėra pakankamai arba mano, kad šalys turėtų būti išklausytos žodžiu;</w:t>
            </w:r>
          </w:p>
          <w:p w14:paraId="1AB9B733" w14:textId="5F4EC96F"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3) terminų skaičiavimo, per kiek laiko teismas turi išnagrinėti skundą.</w:t>
            </w:r>
          </w:p>
        </w:tc>
      </w:tr>
      <w:tr w:rsidR="008838CB" w:rsidRPr="00602D1F" w14:paraId="14839673" w14:textId="77777777" w:rsidTr="00D5157C">
        <w:tc>
          <w:tcPr>
            <w:tcW w:w="1271" w:type="dxa"/>
          </w:tcPr>
          <w:p w14:paraId="2C3E70E0" w14:textId="77777777" w:rsidR="008838CB" w:rsidRPr="00602D1F" w:rsidRDefault="008838CB" w:rsidP="00602D1F">
            <w:pPr>
              <w:rPr>
                <w:rFonts w:ascii="Times New Roman" w:hAnsi="Times New Roman" w:cs="Times New Roman"/>
                <w:sz w:val="24"/>
                <w:szCs w:val="24"/>
              </w:rPr>
            </w:pPr>
          </w:p>
        </w:tc>
        <w:tc>
          <w:tcPr>
            <w:tcW w:w="8567" w:type="dxa"/>
          </w:tcPr>
          <w:p w14:paraId="727CFCCA" w14:textId="11C38CF1"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9. Siūlome tikslinti Įstatymo projekto 8 straipsnio 14 dalį ir ją dėstyti taip: „Visais atvejais, kai pradėtas ikiteisminis tyrimas dėl smurto artimoje aplinkoje ir paskirta bent viena kardomoji priemonė, Apsaugos nuo smurto orderis nustoja galioti.“ Pakartotinai pažymime, kad, pradėjus ikiteisminį tyrimą, procesas vyksta vadovaujantis Baudžiamojo proceso kodekso normomis ir šiuo atveju apsaugos nuo smurto orderio institutas, kaip prevencinė apsaugos priemonė, negali būti dubliuojamas su kitu procesu ir baudžiamojo proceso prievartos priemonėmis.</w:t>
            </w:r>
          </w:p>
        </w:tc>
        <w:tc>
          <w:tcPr>
            <w:tcW w:w="4819" w:type="dxa"/>
          </w:tcPr>
          <w:p w14:paraId="2EDA3FEA"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02D3D3A5" w14:textId="77777777" w:rsidR="008838CB" w:rsidRPr="00602D1F" w:rsidRDefault="008838CB" w:rsidP="00602D1F">
            <w:pPr>
              <w:rPr>
                <w:rFonts w:ascii="Times New Roman" w:hAnsi="Times New Roman" w:cs="Times New Roman"/>
                <w:sz w:val="24"/>
                <w:szCs w:val="24"/>
              </w:rPr>
            </w:pPr>
          </w:p>
          <w:p w14:paraId="3FFAD329" w14:textId="24C3590F"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Atsižvelgiant į Baudžiamojo proceso kodekse įtvirtintą kardomųjų priemonių sąrašą, buvo įvertintas galimų kardomųjų priemonių efektyvumas apsaugant smurto artimoje aplinkoje riziką patiriančio asmens interesų apsaugos aspektu. Pastebėtina, kad tik kelios, įstatymo projekte įvardintos, kardomosios priemonės galėtų būti laikomos pakankamai efektyvios apsaugant asmenį galimo smurto artimoje aplinkoje atvejais, todėl nėra pagrindo sudaryti sąlygas pasibaigti </w:t>
            </w:r>
            <w:r w:rsidR="00D5157C">
              <w:rPr>
                <w:rFonts w:ascii="Times New Roman" w:hAnsi="Times New Roman" w:cs="Times New Roman"/>
                <w:sz w:val="24"/>
                <w:szCs w:val="24"/>
              </w:rPr>
              <w:t xml:space="preserve">apsaugos nuo smurto artimoje aplinkoje </w:t>
            </w:r>
            <w:r w:rsidRPr="00602D1F">
              <w:rPr>
                <w:rFonts w:ascii="Times New Roman" w:hAnsi="Times New Roman" w:cs="Times New Roman"/>
                <w:sz w:val="24"/>
                <w:szCs w:val="24"/>
              </w:rPr>
              <w:t>orderio galiojimai, pvz., sustabdžius specialiąją teisę ar paėmus dokumentus.</w:t>
            </w:r>
          </w:p>
        </w:tc>
      </w:tr>
      <w:tr w:rsidR="008838CB" w:rsidRPr="00602D1F" w14:paraId="11BAF07E" w14:textId="77777777" w:rsidTr="00D5157C">
        <w:tc>
          <w:tcPr>
            <w:tcW w:w="1271" w:type="dxa"/>
          </w:tcPr>
          <w:p w14:paraId="7979D818" w14:textId="77777777" w:rsidR="008838CB" w:rsidRPr="00602D1F" w:rsidRDefault="008838CB" w:rsidP="00602D1F">
            <w:pPr>
              <w:rPr>
                <w:rFonts w:ascii="Times New Roman" w:hAnsi="Times New Roman" w:cs="Times New Roman"/>
                <w:sz w:val="24"/>
                <w:szCs w:val="24"/>
              </w:rPr>
            </w:pPr>
          </w:p>
        </w:tc>
        <w:tc>
          <w:tcPr>
            <w:tcW w:w="8567" w:type="dxa"/>
          </w:tcPr>
          <w:p w14:paraId="5263FD84" w14:textId="36F668D9"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10. Atsižvelgdami į šio rašto 4 punkte teiktą pastabą, siūlome Įstatymo projekto 10 straipsnio 1 dalies 2 punktą dėstyti taip: „gauti iš policijos pareigūno informaciją apie skirtą apsaugos nuo smurto orderį (jo taikymo pradžią, pabaigą, įpareigojimus smurto artimoje aplinkoje pavojų keliančiam asmeniui), arba apie apskundimo tvarką, kai smurto artimoje aplinkoje pavojų keliančiam asmeniui nebus skirtas apsaugos nuo smurto orderis“.</w:t>
            </w:r>
          </w:p>
        </w:tc>
        <w:tc>
          <w:tcPr>
            <w:tcW w:w="4819" w:type="dxa"/>
          </w:tcPr>
          <w:p w14:paraId="7F9ABAA6"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46A6515B" w14:textId="77777777" w:rsidR="008838CB" w:rsidRPr="00602D1F" w:rsidRDefault="008838CB" w:rsidP="00602D1F">
            <w:pPr>
              <w:rPr>
                <w:rFonts w:ascii="Times New Roman" w:hAnsi="Times New Roman" w:cs="Times New Roman"/>
                <w:sz w:val="24"/>
                <w:szCs w:val="24"/>
              </w:rPr>
            </w:pPr>
          </w:p>
          <w:p w14:paraId="610180E6" w14:textId="28AFCF69"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2 ir 4 pastabų.</w:t>
            </w:r>
          </w:p>
        </w:tc>
      </w:tr>
      <w:tr w:rsidR="008838CB" w:rsidRPr="00602D1F" w14:paraId="42794AAF" w14:textId="77777777" w:rsidTr="00D5157C">
        <w:tc>
          <w:tcPr>
            <w:tcW w:w="1271" w:type="dxa"/>
          </w:tcPr>
          <w:p w14:paraId="42EF40DF" w14:textId="77777777" w:rsidR="008838CB" w:rsidRPr="00602D1F" w:rsidRDefault="008838CB" w:rsidP="00602D1F">
            <w:pPr>
              <w:rPr>
                <w:rFonts w:ascii="Times New Roman" w:hAnsi="Times New Roman" w:cs="Times New Roman"/>
                <w:sz w:val="24"/>
                <w:szCs w:val="24"/>
              </w:rPr>
            </w:pPr>
          </w:p>
        </w:tc>
        <w:tc>
          <w:tcPr>
            <w:tcW w:w="8567" w:type="dxa"/>
          </w:tcPr>
          <w:p w14:paraId="6F9872A4" w14:textId="0BCDFFC1"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11. Atsižvelgdami į Įstatymo projekto 11 straipsnio 1 punkto nuostatą (nustatytas informavimas apie apsaugos nuo smurto orderio skyrimo apskundimo tvarką), siūlome išbraukti Įstatymo projekto 11 straipsnio 6 punkto nuostatą kaip perteklinę.</w:t>
            </w:r>
          </w:p>
        </w:tc>
        <w:tc>
          <w:tcPr>
            <w:tcW w:w="4819" w:type="dxa"/>
          </w:tcPr>
          <w:p w14:paraId="5FE2F07D"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0A063A2F" w14:textId="77777777" w:rsidR="008838CB" w:rsidRPr="00602D1F" w:rsidRDefault="008838CB" w:rsidP="00602D1F">
            <w:pPr>
              <w:rPr>
                <w:rFonts w:ascii="Times New Roman" w:hAnsi="Times New Roman" w:cs="Times New Roman"/>
                <w:sz w:val="24"/>
                <w:szCs w:val="24"/>
              </w:rPr>
            </w:pPr>
          </w:p>
          <w:p w14:paraId="4672F04B" w14:textId="3C36AA0F"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Įstatymo projekte laikomasi aiškaus teisių (IV skyrius) ir kompetencijų išvardijimo (4 str.) principo, todėl išbraukti nuostata nėra tikslinga.</w:t>
            </w:r>
          </w:p>
        </w:tc>
      </w:tr>
      <w:tr w:rsidR="008838CB" w:rsidRPr="00602D1F" w14:paraId="18127B89" w14:textId="77777777" w:rsidTr="00D5157C">
        <w:tc>
          <w:tcPr>
            <w:tcW w:w="1271" w:type="dxa"/>
          </w:tcPr>
          <w:p w14:paraId="3DBEE0F5" w14:textId="77777777" w:rsidR="008838CB" w:rsidRPr="00602D1F" w:rsidRDefault="008838CB" w:rsidP="00602D1F">
            <w:pPr>
              <w:rPr>
                <w:rFonts w:ascii="Times New Roman" w:hAnsi="Times New Roman" w:cs="Times New Roman"/>
                <w:sz w:val="24"/>
                <w:szCs w:val="24"/>
              </w:rPr>
            </w:pPr>
          </w:p>
        </w:tc>
        <w:tc>
          <w:tcPr>
            <w:tcW w:w="8567" w:type="dxa"/>
          </w:tcPr>
          <w:p w14:paraId="5EC8F856" w14:textId="40E0B9FF"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12. Įstatymo projekto 12 straipsnio 6 dalį siūlome dėstyti taip: „Ikiteisminio tyrimo pareigūnas ar prokuroras, įtariamajam dėl smurto artimoje aplinkoje skyręs kardomąją priemonę arba inicijavęs jos skyrimą, nedelsdamas, bet ne vėliau kaip kitą dieną, elektroninių ryšių priemonėmis ar raštu apie priimtus sprendimus informuoja smurtą patyrusį asmenį ir (ar) vaiko atstovą pagal įstatymą (jei smurtą artimoje aplinkoje patiria vaikas) apie šios priemonės skyrimą, pakeitimą arba panaikinimą (nurodo priemonės pavadinimą, jos skyrimo datą ir galiojimo laikotarpį).“</w:t>
            </w:r>
          </w:p>
        </w:tc>
        <w:tc>
          <w:tcPr>
            <w:tcW w:w="4819" w:type="dxa"/>
          </w:tcPr>
          <w:p w14:paraId="239DEFBE"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Neatsižvelgta.</w:t>
            </w:r>
          </w:p>
          <w:p w14:paraId="7780BE20" w14:textId="77777777" w:rsidR="008838CB" w:rsidRPr="00602D1F" w:rsidRDefault="008838CB" w:rsidP="00602D1F">
            <w:pPr>
              <w:rPr>
                <w:rFonts w:ascii="Times New Roman" w:hAnsi="Times New Roman" w:cs="Times New Roman"/>
                <w:sz w:val="24"/>
                <w:szCs w:val="24"/>
              </w:rPr>
            </w:pPr>
          </w:p>
          <w:p w14:paraId="5EEBD335" w14:textId="1A1FDC6C"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Įstatymo projekte siūloma formuluotė yra suderinta su Baudžiamojo proceso kodekso 119 str.</w:t>
            </w:r>
          </w:p>
        </w:tc>
      </w:tr>
      <w:tr w:rsidR="008838CB" w:rsidRPr="00602D1F" w14:paraId="3CE18B43" w14:textId="77777777" w:rsidTr="00D5157C">
        <w:tc>
          <w:tcPr>
            <w:tcW w:w="1271" w:type="dxa"/>
          </w:tcPr>
          <w:p w14:paraId="7D024B8B" w14:textId="77777777" w:rsidR="008838CB" w:rsidRPr="00602D1F" w:rsidRDefault="008838CB" w:rsidP="00602D1F">
            <w:pPr>
              <w:rPr>
                <w:rFonts w:ascii="Times New Roman" w:hAnsi="Times New Roman" w:cs="Times New Roman"/>
                <w:sz w:val="24"/>
                <w:szCs w:val="24"/>
              </w:rPr>
            </w:pPr>
          </w:p>
        </w:tc>
        <w:tc>
          <w:tcPr>
            <w:tcW w:w="8567" w:type="dxa"/>
          </w:tcPr>
          <w:p w14:paraId="2D3ED1B0"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13. Įstatymo projekto 13 straipsnio 1 dalyje be įvardijamos informacijos, kurią turi pateikti policijos pareigūnai smurto artimoje aplinkoje pavojų patiriančiam asmeniui ar smurtą patyrusiam asmeniui, nustatoma (t. y. pateikiama nuoroda), kad šiems asmenims taip pat turi būti pateikta informacija, nurodyta 2016 m. balandžio 27 d. Europos Parlamento ir Tarybos reglamento (ES) 2016/679 dėl fizinių asmenų apsaugos tvarkant asmens duomenis ir dėl laisvo tokių duomenų judėjimo ir kuriuo panaikinama Direktyva 95/46/EB (Bendrasis duomenų apsaugos reglamentas) 13 straipsnyje (Informacija, kuri turi būti pateikta, kai asmens duomenys renkami iš duomenų subjekto). Aptariamos Įstatymo projekto nuostatos dalis yra nauja ir nebuvo derinta ir (ar) aptarta su Policijos departamentu. Nėra aišku, kokia konkrečiai informacija turėtų būti pateikiama pagal Bendrojo duomenų apsaugos reglamento 13 straipsnį (pažymėtina, kad jis gan platus).</w:t>
            </w:r>
          </w:p>
          <w:p w14:paraId="5C191BF0" w14:textId="203D54F1"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Taip pat siūlome tikslinti Įstatymo projekto 13 straipsnio 1 dalies nuostatos pradžią ir dėstyti ją taip: „</w:t>
            </w:r>
            <w:bookmarkStart w:id="1" w:name="_Hlk80349748"/>
            <w:r w:rsidRPr="00602D1F">
              <w:rPr>
                <w:rFonts w:ascii="Times New Roman" w:hAnsi="Times New Roman" w:cs="Times New Roman"/>
                <w:sz w:val="24"/>
                <w:szCs w:val="24"/>
              </w:rPr>
              <w:t>Reaguodami į pranešimą dėl smurto artimoje aplinkoje, policijos pareigūnai informuoja</w:t>
            </w:r>
            <w:bookmarkEnd w:id="1"/>
            <w:r w:rsidRPr="00602D1F">
              <w:rPr>
                <w:rFonts w:ascii="Times New Roman" w:hAnsi="Times New Roman" w:cs="Times New Roman"/>
                <w:sz w:val="24"/>
                <w:szCs w:val="24"/>
              </w:rPr>
              <w:t xml:space="preserve"> &lt;...&gt;“.</w:t>
            </w:r>
          </w:p>
        </w:tc>
        <w:tc>
          <w:tcPr>
            <w:tcW w:w="4819" w:type="dxa"/>
          </w:tcPr>
          <w:p w14:paraId="073149F1" w14:textId="7777777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b/>
                <w:bCs/>
                <w:sz w:val="24"/>
                <w:szCs w:val="24"/>
              </w:rPr>
              <w:t>Atsižvelgta iš dalies</w:t>
            </w:r>
            <w:r w:rsidRPr="00602D1F">
              <w:rPr>
                <w:rFonts w:ascii="Times New Roman" w:hAnsi="Times New Roman" w:cs="Times New Roman"/>
                <w:sz w:val="24"/>
                <w:szCs w:val="24"/>
              </w:rPr>
              <w:t>.</w:t>
            </w:r>
          </w:p>
          <w:p w14:paraId="3B4A3200" w14:textId="77777777" w:rsidR="008838CB" w:rsidRPr="00602D1F" w:rsidRDefault="008838CB" w:rsidP="00602D1F">
            <w:pPr>
              <w:rPr>
                <w:rFonts w:ascii="Times New Roman" w:hAnsi="Times New Roman" w:cs="Times New Roman"/>
                <w:sz w:val="24"/>
                <w:szCs w:val="24"/>
              </w:rPr>
            </w:pPr>
          </w:p>
          <w:p w14:paraId="12E9988C"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Bendrojo duomenų apsaugos reglamento 13 str. numato baigtinį informacijos, kuri turi būti pateikta duomenų subjektui, sąrašą.</w:t>
            </w:r>
          </w:p>
          <w:p w14:paraId="3039DB57" w14:textId="77777777" w:rsidR="008838CB" w:rsidRPr="00602D1F" w:rsidRDefault="008838CB" w:rsidP="00602D1F">
            <w:pPr>
              <w:jc w:val="both"/>
              <w:rPr>
                <w:rFonts w:ascii="Times New Roman" w:hAnsi="Times New Roman" w:cs="Times New Roman"/>
                <w:sz w:val="24"/>
                <w:szCs w:val="24"/>
              </w:rPr>
            </w:pPr>
          </w:p>
          <w:p w14:paraId="4A51BD8C" w14:textId="624FF31E"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Pastebėtina, kad Bendrojo duomenų apsaugos reglamento 13 str. nurodyta informacija gali būti lengvai standartizuota ir pateikiama vienoda, kartu su kita informacija, kurią policijos pareigūnai turės pateikti asmenims.</w:t>
            </w:r>
          </w:p>
        </w:tc>
      </w:tr>
      <w:tr w:rsidR="008838CB" w:rsidRPr="00602D1F" w14:paraId="40FAAD19" w14:textId="77777777" w:rsidTr="00D5157C">
        <w:tc>
          <w:tcPr>
            <w:tcW w:w="1271" w:type="dxa"/>
          </w:tcPr>
          <w:p w14:paraId="2F8F7F42" w14:textId="6C85EBB2"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t>Vidaus reikalų ministerijos 2021-08-27 raštas Nr. 1D-4914</w:t>
            </w:r>
          </w:p>
        </w:tc>
        <w:tc>
          <w:tcPr>
            <w:tcW w:w="8567" w:type="dxa"/>
            <w:tcBorders>
              <w:top w:val="single" w:sz="4" w:space="0" w:color="auto"/>
            </w:tcBorders>
          </w:tcPr>
          <w:p w14:paraId="2F11E16B" w14:textId="19B9AE97" w:rsidR="008838CB" w:rsidRPr="00602D1F" w:rsidRDefault="008838CB" w:rsidP="00602D1F">
            <w:pPr>
              <w:pStyle w:val="Antrats"/>
              <w:tabs>
                <w:tab w:val="clear" w:pos="4153"/>
                <w:tab w:val="clear" w:pos="8306"/>
              </w:tabs>
              <w:jc w:val="both"/>
              <w:rPr>
                <w:bCs/>
                <w:szCs w:val="24"/>
              </w:rPr>
            </w:pPr>
            <w:r w:rsidRPr="00602D1F">
              <w:rPr>
                <w:bCs/>
                <w:szCs w:val="24"/>
              </w:rPr>
              <w:t xml:space="preserve">1. Atsižvelgdami į tai, kad pagal ANSAAĮ yra teikiama </w:t>
            </w:r>
            <w:r w:rsidRPr="00602D1F">
              <w:rPr>
                <w:bCs/>
                <w:i/>
                <w:szCs w:val="24"/>
              </w:rPr>
              <w:t xml:space="preserve">specializuota kompleksinė </w:t>
            </w:r>
            <w:r w:rsidRPr="00602D1F">
              <w:rPr>
                <w:bCs/>
                <w:szCs w:val="24"/>
              </w:rPr>
              <w:t>pagalba, taip pat į 4 straipsnio pavadinimo formuluotę, siūlome atitinkamai tikslinti ir 3 straipsnio formuluotę ir vietoj žodžių „pagalbos smurtą artimoje aplinkoje patiriantiems asmenims“ rašyti žodžius „specializuotos kompleksinės pagalbos smurto artimoje aplinkoje pavojų patiriantiems asmenims“.</w:t>
            </w:r>
          </w:p>
        </w:tc>
        <w:tc>
          <w:tcPr>
            <w:tcW w:w="4819" w:type="dxa"/>
            <w:tcBorders>
              <w:top w:val="single" w:sz="4" w:space="0" w:color="auto"/>
            </w:tcBorders>
          </w:tcPr>
          <w:p w14:paraId="0CDB2C24" w14:textId="77777777" w:rsidR="008838CB" w:rsidRPr="00602D1F" w:rsidRDefault="008838CB" w:rsidP="00602D1F">
            <w:pPr>
              <w:rPr>
                <w:rFonts w:ascii="Times New Roman" w:hAnsi="Times New Roman" w:cs="Times New Roman"/>
                <w:b/>
                <w:bCs/>
                <w:sz w:val="24"/>
                <w:szCs w:val="24"/>
              </w:rPr>
            </w:pPr>
            <w:r w:rsidRPr="00602D1F">
              <w:rPr>
                <w:rFonts w:ascii="Times New Roman" w:hAnsi="Times New Roman" w:cs="Times New Roman"/>
                <w:b/>
                <w:bCs/>
                <w:sz w:val="24"/>
                <w:szCs w:val="24"/>
              </w:rPr>
              <w:t>Atsižvelgta iš dalies.</w:t>
            </w:r>
          </w:p>
          <w:p w14:paraId="5E62DFE6" w14:textId="77777777" w:rsidR="008838CB" w:rsidRPr="00602D1F" w:rsidRDefault="008838CB" w:rsidP="00602D1F">
            <w:pPr>
              <w:rPr>
                <w:rFonts w:ascii="Times New Roman" w:hAnsi="Times New Roman" w:cs="Times New Roman"/>
                <w:b/>
                <w:bCs/>
                <w:sz w:val="24"/>
                <w:szCs w:val="24"/>
              </w:rPr>
            </w:pPr>
          </w:p>
          <w:p w14:paraId="5C018290" w14:textId="73845A98"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Sąvoka „pagalba“ apima platesnį spektrą pagalbos formų, nei „specializuota kompleksinė pagalba“, todėl principai aktualūs ir kitais atvejais, pvz., teikiant užimtumo ar socialines paslaugas.</w:t>
            </w:r>
          </w:p>
        </w:tc>
      </w:tr>
      <w:tr w:rsidR="008838CB" w:rsidRPr="00602D1F" w14:paraId="1029BE04" w14:textId="77777777" w:rsidTr="00D5157C">
        <w:tc>
          <w:tcPr>
            <w:tcW w:w="1271" w:type="dxa"/>
          </w:tcPr>
          <w:p w14:paraId="4842E31E" w14:textId="77777777" w:rsidR="008838CB" w:rsidRPr="00602D1F" w:rsidRDefault="008838CB" w:rsidP="00602D1F">
            <w:pPr>
              <w:rPr>
                <w:rFonts w:ascii="Times New Roman" w:hAnsi="Times New Roman" w:cs="Times New Roman"/>
                <w:sz w:val="24"/>
                <w:szCs w:val="24"/>
              </w:rPr>
            </w:pPr>
          </w:p>
        </w:tc>
        <w:tc>
          <w:tcPr>
            <w:tcW w:w="8567" w:type="dxa"/>
          </w:tcPr>
          <w:p w14:paraId="2D637BCE" w14:textId="77777777" w:rsidR="008838CB" w:rsidRPr="00602D1F" w:rsidRDefault="008838CB" w:rsidP="00602D1F">
            <w:pPr>
              <w:pStyle w:val="Antrats"/>
              <w:tabs>
                <w:tab w:val="clear" w:pos="4153"/>
                <w:tab w:val="clear" w:pos="8306"/>
              </w:tabs>
              <w:jc w:val="both"/>
              <w:rPr>
                <w:bCs/>
                <w:szCs w:val="24"/>
              </w:rPr>
            </w:pPr>
            <w:r w:rsidRPr="00602D1F">
              <w:rPr>
                <w:bCs/>
                <w:szCs w:val="24"/>
              </w:rPr>
              <w:t>3. Siekiant užtikrinti geresnę smurto artimoje aplinkoje pavojų patiriančių asmenų apsaugą, siūlome tikslinti ANSAAĮ 4 straipsnio 8 dalies 2 punktą ir jį išdėstyti taip:</w:t>
            </w:r>
          </w:p>
          <w:p w14:paraId="490FE10C" w14:textId="6410637D" w:rsidR="008838CB" w:rsidRPr="00602D1F" w:rsidRDefault="008838CB" w:rsidP="00602D1F">
            <w:pPr>
              <w:pStyle w:val="Antrats"/>
              <w:tabs>
                <w:tab w:val="clear" w:pos="4153"/>
                <w:tab w:val="clear" w:pos="8306"/>
              </w:tabs>
              <w:jc w:val="both"/>
              <w:rPr>
                <w:color w:val="000000"/>
                <w:szCs w:val="24"/>
              </w:rPr>
            </w:pPr>
            <w:r w:rsidRPr="00602D1F">
              <w:rPr>
                <w:rFonts w:eastAsia="Calibri"/>
                <w:bCs/>
                <w:color w:val="000000"/>
                <w:szCs w:val="24"/>
                <w:lang w:eastAsia="lt-LT"/>
              </w:rPr>
              <w:t xml:space="preserve">„2) Ginklų ir šaudmenų kontrolės įstatymo nustatyta tvarka neišduoda arba panaikina leidimą laikyti ar leidimą nešiotis ginklus </w:t>
            </w:r>
            <w:r w:rsidRPr="00602D1F">
              <w:rPr>
                <w:color w:val="000000"/>
                <w:szCs w:val="24"/>
              </w:rPr>
              <w:t>arba paima ginklus iš smurto artimoje aplinkoje pavojų keliančio asmens iki apsaugos nuo smurto orderio galiojimo pabaigos.“</w:t>
            </w:r>
          </w:p>
        </w:tc>
        <w:tc>
          <w:tcPr>
            <w:tcW w:w="4819" w:type="dxa"/>
          </w:tcPr>
          <w:p w14:paraId="589E90ED"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t>Atsižvelgta iš dalies.</w:t>
            </w:r>
          </w:p>
          <w:p w14:paraId="7E53005C" w14:textId="77777777" w:rsidR="008838CB" w:rsidRPr="00602D1F" w:rsidRDefault="008838CB" w:rsidP="00602D1F">
            <w:pPr>
              <w:rPr>
                <w:rFonts w:ascii="Times New Roman" w:hAnsi="Times New Roman" w:cs="Times New Roman"/>
                <w:sz w:val="24"/>
                <w:szCs w:val="24"/>
              </w:rPr>
            </w:pPr>
          </w:p>
          <w:p w14:paraId="01395976" w14:textId="4AC01A4A"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1.</w:t>
            </w:r>
          </w:p>
        </w:tc>
      </w:tr>
      <w:tr w:rsidR="008838CB" w:rsidRPr="00602D1F" w14:paraId="23F59062" w14:textId="77777777" w:rsidTr="00D5157C">
        <w:tc>
          <w:tcPr>
            <w:tcW w:w="1271" w:type="dxa"/>
          </w:tcPr>
          <w:p w14:paraId="105B49B8" w14:textId="77777777" w:rsidR="008838CB" w:rsidRPr="00602D1F" w:rsidRDefault="008838CB" w:rsidP="00602D1F">
            <w:pPr>
              <w:rPr>
                <w:rFonts w:ascii="Times New Roman" w:hAnsi="Times New Roman" w:cs="Times New Roman"/>
                <w:sz w:val="24"/>
                <w:szCs w:val="24"/>
              </w:rPr>
            </w:pPr>
          </w:p>
        </w:tc>
        <w:tc>
          <w:tcPr>
            <w:tcW w:w="8567" w:type="dxa"/>
          </w:tcPr>
          <w:p w14:paraId="7A66740E" w14:textId="77777777" w:rsidR="008838CB" w:rsidRPr="00602D1F" w:rsidRDefault="008838CB" w:rsidP="00602D1F">
            <w:pPr>
              <w:pStyle w:val="Antrats"/>
              <w:tabs>
                <w:tab w:val="clear" w:pos="4153"/>
                <w:tab w:val="clear" w:pos="8306"/>
              </w:tabs>
              <w:jc w:val="both"/>
              <w:rPr>
                <w:color w:val="000000"/>
                <w:szCs w:val="24"/>
              </w:rPr>
            </w:pPr>
            <w:r w:rsidRPr="00602D1F">
              <w:rPr>
                <w:color w:val="000000"/>
                <w:szCs w:val="24"/>
              </w:rPr>
              <w:t xml:space="preserve">4. Nesutiktina su ANSAAĮ 8 straipsnio 4 dalies nauja nuostata, kad policijos pareigūnas apie skirtą apsaugos nuo smurto orderį informuoja visas minėtoje dalyje nurodytas institucijas, </w:t>
            </w:r>
            <w:r w:rsidRPr="00602D1F">
              <w:rPr>
                <w:i/>
                <w:color w:val="000000"/>
                <w:szCs w:val="24"/>
              </w:rPr>
              <w:t>nurodydamas ir atlikto smurto artimoje aplinkoje pavojaus rizikos vertinimo rezultatus</w:t>
            </w:r>
            <w:r w:rsidRPr="00602D1F">
              <w:rPr>
                <w:color w:val="000000"/>
                <w:szCs w:val="24"/>
              </w:rPr>
              <w:t xml:space="preserve">. Pabrėžtina, kad atliktas smurto artimoje aplinkoje pavojaus rizikos vertinimas yra vidinės veiklos dokumentas, kurio neturėtų būti teikiamas kitoms institucijoms. Jo turinys galėtų būti naudingas nebent išskirtinai specializuotos kompleksinės pagalbos centrui, atliksiančiam pakartotinio smurto artimoje aplinkoje rizikos veiksnių vertinimą. Atsižvelgiant į tai, kad duomenų perdavimo tvarka specializuotos pagalbos centrui yra nustatyta atskiru ANSAAĮ 13 straipsniu, siūlome papildyti minėto straipsnio 2 dalį, kad specializuotos </w:t>
            </w:r>
            <w:r w:rsidRPr="00602D1F">
              <w:rPr>
                <w:color w:val="000000"/>
                <w:szCs w:val="24"/>
              </w:rPr>
              <w:lastRenderedPageBreak/>
              <w:t>kompleksinės pagalbos centrui taip pat pateikiama informacija, ar buvo skirtas apsaugos nuo smurto orderis (taikymo pradžia, pabaiga, taikomi įpareigojimai, atlikto smurto artimoje aplinkoje pavojaus rizikos vertinimo rezultatai).</w:t>
            </w:r>
          </w:p>
          <w:p w14:paraId="477F36B2" w14:textId="77777777" w:rsidR="008838CB" w:rsidRPr="00602D1F" w:rsidRDefault="008838CB" w:rsidP="00602D1F">
            <w:pPr>
              <w:pStyle w:val="Antrats"/>
              <w:tabs>
                <w:tab w:val="clear" w:pos="4153"/>
                <w:tab w:val="clear" w:pos="8306"/>
              </w:tabs>
              <w:jc w:val="both"/>
              <w:rPr>
                <w:color w:val="000000"/>
                <w:szCs w:val="24"/>
              </w:rPr>
            </w:pPr>
            <w:r w:rsidRPr="00602D1F">
              <w:rPr>
                <w:color w:val="000000"/>
                <w:szCs w:val="24"/>
              </w:rPr>
              <w:t>Siūlome tikslinti ANSAAĮ 8 straipsnio 4 dalį išbraukiant iš jos nuostatą dėl atlikto smurto artimoje aplinkoje pavojaus rizikos vertinimo rezultatų pateikimo</w:t>
            </w:r>
            <w:r w:rsidRPr="00602D1F">
              <w:rPr>
                <w:i/>
                <w:color w:val="000000"/>
                <w:szCs w:val="24"/>
              </w:rPr>
              <w:t xml:space="preserve"> </w:t>
            </w:r>
            <w:r w:rsidRPr="00602D1F">
              <w:rPr>
                <w:color w:val="000000"/>
                <w:szCs w:val="24"/>
              </w:rPr>
              <w:t>ir patikslinant 8 straipsnio 4 dalies 4 punktą:</w:t>
            </w:r>
          </w:p>
          <w:p w14:paraId="1927C720" w14:textId="2B262596" w:rsidR="008838CB" w:rsidRPr="00602D1F" w:rsidRDefault="008838CB" w:rsidP="00602D1F">
            <w:pPr>
              <w:pStyle w:val="Antrats"/>
              <w:tabs>
                <w:tab w:val="clear" w:pos="4153"/>
                <w:tab w:val="clear" w:pos="8306"/>
              </w:tabs>
              <w:jc w:val="both"/>
              <w:rPr>
                <w:bCs/>
                <w:szCs w:val="24"/>
              </w:rPr>
            </w:pPr>
            <w:r w:rsidRPr="00602D1F">
              <w:rPr>
                <w:color w:val="000000"/>
                <w:szCs w:val="24"/>
              </w:rPr>
              <w:t xml:space="preserve">„4) specializuotos kompleksinės pagalbos centrą, </w:t>
            </w:r>
            <w:r w:rsidRPr="00602D1F">
              <w:rPr>
                <w:rFonts w:eastAsia="Calibri"/>
                <w:bCs/>
                <w:color w:val="000000"/>
                <w:szCs w:val="24"/>
                <w:lang w:eastAsia="lt-LT"/>
              </w:rPr>
              <w:t>kuris privalo susisiekti su smurto artimoje aplinkoje pavojų patiriančiu asmeniu ir jam pasiūlyti specializuotą kompleksinę pagalbą, jei jis sutinka ją gauti, bei atlikti pakartotinio smurto artimoje aplinkoje rizikos veiksnių vertinimą, jei smurto artimoje aplinkoje pavojų patiriantis asmuo bendradarbiauja su specializuotos kompleksinės pagalbos centru.“</w:t>
            </w:r>
          </w:p>
        </w:tc>
        <w:tc>
          <w:tcPr>
            <w:tcW w:w="4819" w:type="dxa"/>
          </w:tcPr>
          <w:p w14:paraId="5B22EB89" w14:textId="70F00FB8"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lastRenderedPageBreak/>
              <w:t>Neatsižvelgta.</w:t>
            </w:r>
          </w:p>
          <w:p w14:paraId="65B2C866" w14:textId="77777777" w:rsidR="008838CB" w:rsidRPr="00602D1F" w:rsidRDefault="008838CB" w:rsidP="00602D1F">
            <w:pPr>
              <w:rPr>
                <w:rFonts w:ascii="Times New Roman" w:hAnsi="Times New Roman" w:cs="Times New Roman"/>
                <w:sz w:val="24"/>
                <w:szCs w:val="24"/>
              </w:rPr>
            </w:pPr>
          </w:p>
          <w:p w14:paraId="260EE1B4" w14:textId="1829C0BA"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2.</w:t>
            </w:r>
          </w:p>
        </w:tc>
      </w:tr>
      <w:tr w:rsidR="008838CB" w:rsidRPr="00602D1F" w14:paraId="2369C48E" w14:textId="77777777" w:rsidTr="00D5157C">
        <w:tc>
          <w:tcPr>
            <w:tcW w:w="1271" w:type="dxa"/>
          </w:tcPr>
          <w:p w14:paraId="795B6219" w14:textId="77777777" w:rsidR="008838CB" w:rsidRPr="00602D1F" w:rsidRDefault="008838CB" w:rsidP="00602D1F">
            <w:pPr>
              <w:rPr>
                <w:rFonts w:ascii="Times New Roman" w:hAnsi="Times New Roman" w:cs="Times New Roman"/>
                <w:sz w:val="24"/>
                <w:szCs w:val="24"/>
              </w:rPr>
            </w:pPr>
          </w:p>
        </w:tc>
        <w:tc>
          <w:tcPr>
            <w:tcW w:w="8567" w:type="dxa"/>
          </w:tcPr>
          <w:p w14:paraId="41CF4880" w14:textId="5C17D099" w:rsidR="008838CB" w:rsidRPr="00602D1F" w:rsidRDefault="008838CB" w:rsidP="00602D1F">
            <w:pPr>
              <w:pStyle w:val="Antrats"/>
              <w:tabs>
                <w:tab w:val="clear" w:pos="4153"/>
                <w:tab w:val="clear" w:pos="8306"/>
              </w:tabs>
              <w:jc w:val="both"/>
              <w:rPr>
                <w:rFonts w:eastAsia="Calibri"/>
                <w:bCs/>
                <w:color w:val="000000"/>
                <w:szCs w:val="24"/>
                <w:lang w:eastAsia="lt-LT"/>
              </w:rPr>
            </w:pPr>
            <w:r w:rsidRPr="00602D1F">
              <w:rPr>
                <w:bCs/>
                <w:szCs w:val="24"/>
              </w:rPr>
              <w:t xml:space="preserve">5. Pabrėžtina, kad </w:t>
            </w:r>
            <w:r w:rsidRPr="00602D1F">
              <w:rPr>
                <w:rFonts w:eastAsia="Calibri"/>
                <w:bCs/>
                <w:color w:val="000000"/>
                <w:szCs w:val="24"/>
                <w:lang w:eastAsia="lt-LT"/>
              </w:rPr>
              <w:t>informuoti atitinkamus subjektus (ANSAAĮ 8 straipsnio 4 dalies nuostatos) būtina tik tuo atveju, jei buvo priimtas sprendimas skirti apsaugos nuo smurto orderį, o priėmus sprendimą jo neskirti – apie apsaugos nuo smurto orderio neskyrimo apskundimo tvarką turėtų būti informuotas tik smurto artimoje aplinkoje pavojų patiriantis asmuo. Kitų subjektų informavimas pastaruoju atveju vertintinas kaip perteklinis. Atsižvelgdami į tai, nesutinkame su ANSAAĮ 8 straipsnio 5 dalies nuostata.</w:t>
            </w:r>
          </w:p>
        </w:tc>
        <w:tc>
          <w:tcPr>
            <w:tcW w:w="4819" w:type="dxa"/>
          </w:tcPr>
          <w:p w14:paraId="2F59AFFE"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t>Neatsižvelgta.</w:t>
            </w:r>
          </w:p>
          <w:p w14:paraId="1EC171A7" w14:textId="77777777" w:rsidR="008838CB" w:rsidRPr="00602D1F" w:rsidRDefault="008838CB" w:rsidP="00602D1F">
            <w:pPr>
              <w:rPr>
                <w:rFonts w:ascii="Times New Roman" w:hAnsi="Times New Roman" w:cs="Times New Roman"/>
                <w:sz w:val="24"/>
                <w:szCs w:val="24"/>
              </w:rPr>
            </w:pPr>
          </w:p>
          <w:p w14:paraId="481D343C" w14:textId="1BFE6625"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4.</w:t>
            </w:r>
          </w:p>
        </w:tc>
      </w:tr>
      <w:tr w:rsidR="008838CB" w:rsidRPr="00602D1F" w14:paraId="0DD67695" w14:textId="77777777" w:rsidTr="00D5157C">
        <w:tc>
          <w:tcPr>
            <w:tcW w:w="1271" w:type="dxa"/>
          </w:tcPr>
          <w:p w14:paraId="1FF4DD4A" w14:textId="77777777" w:rsidR="008838CB" w:rsidRPr="00602D1F" w:rsidRDefault="008838CB" w:rsidP="00602D1F">
            <w:pPr>
              <w:rPr>
                <w:rFonts w:ascii="Times New Roman" w:hAnsi="Times New Roman" w:cs="Times New Roman"/>
                <w:sz w:val="24"/>
                <w:szCs w:val="24"/>
              </w:rPr>
            </w:pPr>
          </w:p>
        </w:tc>
        <w:tc>
          <w:tcPr>
            <w:tcW w:w="8567" w:type="dxa"/>
          </w:tcPr>
          <w:p w14:paraId="0FDA1469" w14:textId="1794900C" w:rsidR="008838CB" w:rsidRPr="00602D1F" w:rsidRDefault="008838CB" w:rsidP="00602D1F">
            <w:pPr>
              <w:pStyle w:val="Antrats"/>
              <w:tabs>
                <w:tab w:val="clear" w:pos="4153"/>
                <w:tab w:val="clear" w:pos="8306"/>
              </w:tabs>
              <w:jc w:val="both"/>
              <w:rPr>
                <w:color w:val="000000"/>
                <w:szCs w:val="24"/>
                <w:lang w:eastAsia="lt-LT"/>
              </w:rPr>
            </w:pPr>
            <w:r w:rsidRPr="00602D1F">
              <w:rPr>
                <w:color w:val="000000"/>
                <w:szCs w:val="24"/>
                <w:lang w:eastAsia="lt-LT"/>
              </w:rPr>
              <w:t>6. Atsižvelgiant į tai, kad ANSAAĮ 8 straipsnis nustato apsaugos nuo smurto orderio skyrimą ir kitus su šios prevencinės apsaugos priemonės taikymu susijusius aspektus, ANSAAĮ 8 straipsnio 6 dalyje brauktina nuostata „Smurto artimoje aplinkoje pavojų keliančio asmens iškeldinimo tvarką nustato Lietuvos Respublikos Vyriausybės įgaliota institucija.“</w:t>
            </w:r>
          </w:p>
        </w:tc>
        <w:tc>
          <w:tcPr>
            <w:tcW w:w="4819" w:type="dxa"/>
          </w:tcPr>
          <w:p w14:paraId="79DA94AB"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t>Neatsižvelgta.</w:t>
            </w:r>
          </w:p>
          <w:p w14:paraId="51864F0B" w14:textId="77777777" w:rsidR="008838CB" w:rsidRPr="00602D1F" w:rsidRDefault="008838CB" w:rsidP="00602D1F">
            <w:pPr>
              <w:rPr>
                <w:rFonts w:ascii="Times New Roman" w:hAnsi="Times New Roman" w:cs="Times New Roman"/>
                <w:sz w:val="24"/>
                <w:szCs w:val="24"/>
              </w:rPr>
            </w:pPr>
          </w:p>
          <w:p w14:paraId="3C4DC049" w14:textId="66F5528F"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5.</w:t>
            </w:r>
          </w:p>
        </w:tc>
      </w:tr>
      <w:tr w:rsidR="008838CB" w:rsidRPr="00602D1F" w14:paraId="4961805D" w14:textId="77777777" w:rsidTr="00D5157C">
        <w:tc>
          <w:tcPr>
            <w:tcW w:w="1271" w:type="dxa"/>
          </w:tcPr>
          <w:p w14:paraId="5B883EF3" w14:textId="77777777" w:rsidR="008838CB" w:rsidRPr="00602D1F" w:rsidRDefault="008838CB" w:rsidP="00602D1F">
            <w:pPr>
              <w:rPr>
                <w:rFonts w:ascii="Times New Roman" w:hAnsi="Times New Roman" w:cs="Times New Roman"/>
                <w:sz w:val="24"/>
                <w:szCs w:val="24"/>
              </w:rPr>
            </w:pPr>
          </w:p>
        </w:tc>
        <w:tc>
          <w:tcPr>
            <w:tcW w:w="8567" w:type="dxa"/>
          </w:tcPr>
          <w:p w14:paraId="14E3C76C" w14:textId="23FBFE3F" w:rsidR="008838CB" w:rsidRPr="00602D1F" w:rsidRDefault="008838CB" w:rsidP="00602D1F">
            <w:pPr>
              <w:pStyle w:val="Antrats"/>
              <w:tabs>
                <w:tab w:val="clear" w:pos="4153"/>
                <w:tab w:val="clear" w:pos="8306"/>
              </w:tabs>
              <w:jc w:val="both"/>
              <w:rPr>
                <w:szCs w:val="24"/>
              </w:rPr>
            </w:pPr>
            <w:r w:rsidRPr="00602D1F">
              <w:rPr>
                <w:szCs w:val="24"/>
              </w:rPr>
              <w:t>9. Pažymime, kad apsaugos nuo smurto orderio pratęsimo nagrinėjimas (ANSAAĮ 8 straipsnio 9 dalis) ir sprendimų dėl apsaugos nuo smurto orderio apskundimo (ANSAAĮ 9 straipsnio 5 dalis) nagrinėjimas Baudžiamojo proceso kodekso nustatyta tvarka kelia rizikas, kad tokiu atveju nebus užtikrintas greitas ir efektyvus procesas smurto artimoje aplinkoje pavojų patiriančio asmens atžvilgiu ir dėl nemažai papildomų griežtų procedūrinių reikalavimų pareikalaus tiek daugiau laiko sąnaudų, tiek ir papildomų žmogiškųjų išteklių (įskaitant reikalingą prokuroro dalyvavimą).</w:t>
            </w:r>
          </w:p>
        </w:tc>
        <w:tc>
          <w:tcPr>
            <w:tcW w:w="4819" w:type="dxa"/>
          </w:tcPr>
          <w:p w14:paraId="1BB0C83A"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t>Neatsižvelgta.</w:t>
            </w:r>
          </w:p>
          <w:p w14:paraId="67FE28A4" w14:textId="77777777" w:rsidR="008838CB" w:rsidRPr="00602D1F" w:rsidRDefault="008838CB" w:rsidP="00602D1F">
            <w:pPr>
              <w:rPr>
                <w:rFonts w:ascii="Times New Roman" w:hAnsi="Times New Roman" w:cs="Times New Roman"/>
                <w:sz w:val="24"/>
                <w:szCs w:val="24"/>
              </w:rPr>
            </w:pPr>
          </w:p>
          <w:p w14:paraId="0166373B" w14:textId="141E5660"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7.</w:t>
            </w:r>
          </w:p>
        </w:tc>
      </w:tr>
      <w:tr w:rsidR="008838CB" w:rsidRPr="00602D1F" w14:paraId="79D74D7F" w14:textId="77777777" w:rsidTr="00D5157C">
        <w:tc>
          <w:tcPr>
            <w:tcW w:w="1271" w:type="dxa"/>
          </w:tcPr>
          <w:p w14:paraId="33549807" w14:textId="77777777" w:rsidR="008838CB" w:rsidRPr="00602D1F" w:rsidRDefault="008838CB" w:rsidP="00602D1F">
            <w:pPr>
              <w:rPr>
                <w:rFonts w:ascii="Times New Roman" w:hAnsi="Times New Roman" w:cs="Times New Roman"/>
                <w:sz w:val="24"/>
                <w:szCs w:val="24"/>
              </w:rPr>
            </w:pPr>
          </w:p>
        </w:tc>
        <w:tc>
          <w:tcPr>
            <w:tcW w:w="8567" w:type="dxa"/>
            <w:shd w:val="clear" w:color="auto" w:fill="auto"/>
          </w:tcPr>
          <w:p w14:paraId="75104547" w14:textId="77777777" w:rsidR="008838CB" w:rsidRPr="00602D1F" w:rsidRDefault="008838CB" w:rsidP="00602D1F">
            <w:pPr>
              <w:pStyle w:val="Antrats"/>
              <w:tabs>
                <w:tab w:val="clear" w:pos="4153"/>
                <w:tab w:val="clear" w:pos="8306"/>
              </w:tabs>
              <w:jc w:val="both"/>
              <w:rPr>
                <w:szCs w:val="24"/>
              </w:rPr>
            </w:pPr>
            <w:r w:rsidRPr="00602D1F">
              <w:rPr>
                <w:szCs w:val="24"/>
              </w:rPr>
              <w:t xml:space="preserve">10. Atsižvelgdami į šio rašto 9 punkte išdėstytas rizikas, taip pat į tai, kad teismas </w:t>
            </w:r>
            <w:r w:rsidRPr="00602D1F">
              <w:rPr>
                <w:bCs/>
                <w:color w:val="000000"/>
                <w:szCs w:val="24"/>
              </w:rPr>
              <w:t xml:space="preserve">sprendžia apsaugos nuo smurto orderio pratęsimo, o ne nutraukimo, klausimą, be to, </w:t>
            </w:r>
            <w:r w:rsidRPr="00602D1F">
              <w:rPr>
                <w:szCs w:val="24"/>
              </w:rPr>
              <w:t>72 valandų laikotarpis reikalingas bet kokiu atveju psichologiškai atsistatyti ir konfliktinei situacijai atšalti, s</w:t>
            </w:r>
            <w:r w:rsidRPr="00602D1F">
              <w:rPr>
                <w:bCs/>
                <w:color w:val="000000"/>
                <w:szCs w:val="24"/>
              </w:rPr>
              <w:t xml:space="preserve">iūlome keisti ANSAAĮ 8 straipsnio 9 dalį ir ją išdėstyti taip: </w:t>
            </w:r>
          </w:p>
          <w:p w14:paraId="0C3E9D52" w14:textId="77777777" w:rsidR="008838CB" w:rsidRPr="00602D1F" w:rsidRDefault="008838CB" w:rsidP="00602D1F">
            <w:pPr>
              <w:pStyle w:val="Antrats"/>
              <w:tabs>
                <w:tab w:val="clear" w:pos="4153"/>
                <w:tab w:val="clear" w:pos="8306"/>
              </w:tabs>
              <w:jc w:val="both"/>
              <w:rPr>
                <w:bCs/>
                <w:szCs w:val="24"/>
                <w:highlight w:val="yellow"/>
              </w:rPr>
            </w:pPr>
            <w:r w:rsidRPr="00602D1F">
              <w:rPr>
                <w:bCs/>
                <w:szCs w:val="24"/>
              </w:rPr>
              <w:t xml:space="preserve">„Apylinkės teismas ne vėliau kaip per 24 valandas nuo policijos pareigūno kreipimosi dėl apsaugos nuo smurto orderio pratęsimo ir ne vėliau kaip iki </w:t>
            </w:r>
            <w:r w:rsidRPr="00602D1F">
              <w:rPr>
                <w:szCs w:val="24"/>
              </w:rPr>
              <w:t xml:space="preserve">apsaugos nuo smurto </w:t>
            </w:r>
            <w:r w:rsidRPr="00602D1F">
              <w:rPr>
                <w:szCs w:val="24"/>
              </w:rPr>
              <w:lastRenderedPageBreak/>
              <w:t>orderio termino, nurodyto šio straipsnio 2 dalyje, pabaigos</w:t>
            </w:r>
            <w:r w:rsidRPr="00602D1F">
              <w:rPr>
                <w:bCs/>
                <w:szCs w:val="24"/>
              </w:rPr>
              <w:t xml:space="preserve"> rašytinio proceso tvarka priima sprendimą pratęsti apsaugos nuo smurto orderį smurto artimoje aplinkoje pavojų keliančiam asmeniui (nurodo orderio galiojimo terminą, sąlygas, įpareigojimus) ar sprendimą jo nepratęsti. Apylinkės teismas policijos pareigūno sprendimą skirti apsaugos nuo smurto orderį 72 valandoms gali pratęsti iki 12 kalendorinių dienų. Smurto artimoje aplinkoje pavojų keliančiam asmeniui skirto apsaugos nuo smurto orderio taikymo terminas negali būti ilgesnis kaip 15 kalendorinių dienų. Jei apylinkės teismas nepratęsia apsaugos nuo smurto orderio termino, apsaugos nuo smurto orderis nenustoja galioti, kol nepasibaigs šio straipsnio 2 dalyje nurodytas apsaugos nuo smurto orderio terminas.</w:t>
            </w:r>
            <w:r w:rsidRPr="00602D1F">
              <w:rPr>
                <w:bCs/>
                <w:color w:val="000000"/>
                <w:szCs w:val="24"/>
              </w:rPr>
              <w:t>“</w:t>
            </w:r>
            <w:r w:rsidRPr="00602D1F">
              <w:rPr>
                <w:bCs/>
                <w:szCs w:val="24"/>
              </w:rPr>
              <w:t xml:space="preserve"> </w:t>
            </w:r>
          </w:p>
          <w:p w14:paraId="4F5910E5" w14:textId="367B237C" w:rsidR="008838CB" w:rsidRPr="00602D1F" w:rsidRDefault="008838CB" w:rsidP="00602D1F">
            <w:pPr>
              <w:pStyle w:val="Antrats"/>
              <w:tabs>
                <w:tab w:val="clear" w:pos="4153"/>
                <w:tab w:val="clear" w:pos="8306"/>
              </w:tabs>
              <w:jc w:val="both"/>
              <w:rPr>
                <w:szCs w:val="24"/>
              </w:rPr>
            </w:pPr>
            <w:r w:rsidRPr="00602D1F">
              <w:rPr>
                <w:bCs/>
                <w:szCs w:val="24"/>
              </w:rPr>
              <w:t xml:space="preserve">Pažymėtina, kad </w:t>
            </w:r>
            <w:r w:rsidRPr="00602D1F">
              <w:rPr>
                <w:bCs/>
                <w:color w:val="000000"/>
                <w:szCs w:val="24"/>
              </w:rPr>
              <w:t xml:space="preserve">apsaugos nuo smurto orderio pratęsimo klausimo nagrinėjimas žodinio proceso tvarka pareikalautų neproporcingai didelių laiko ir žmogiškųjų išteklių sąnaudų, be to, kyla rizika, kad, smurto artimoje aplinkoje pavojų keliančiam asmeniui vengiant dalyvauti procese, procesiniai sprendimai būtų nepriimami ir vilkintų procesą (atsižvelgiant į trumpus terminus, ypač didelė rizika savaitgaliais ir švenčių dienomis). </w:t>
            </w:r>
          </w:p>
        </w:tc>
        <w:tc>
          <w:tcPr>
            <w:tcW w:w="4819" w:type="dxa"/>
            <w:shd w:val="clear" w:color="auto" w:fill="auto"/>
          </w:tcPr>
          <w:p w14:paraId="609E360C"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lastRenderedPageBreak/>
              <w:t>Neatsižvelgta.</w:t>
            </w:r>
          </w:p>
          <w:p w14:paraId="308C4BC4" w14:textId="77777777" w:rsidR="008838CB" w:rsidRPr="00602D1F" w:rsidRDefault="008838CB" w:rsidP="00602D1F">
            <w:pPr>
              <w:rPr>
                <w:rFonts w:ascii="Times New Roman" w:hAnsi="Times New Roman" w:cs="Times New Roman"/>
                <w:sz w:val="24"/>
                <w:szCs w:val="24"/>
              </w:rPr>
            </w:pPr>
          </w:p>
          <w:p w14:paraId="26E9FE8E" w14:textId="45570D13"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8.</w:t>
            </w:r>
          </w:p>
        </w:tc>
      </w:tr>
      <w:tr w:rsidR="008838CB" w:rsidRPr="00602D1F" w14:paraId="51579A4C" w14:textId="77777777" w:rsidTr="00D5157C">
        <w:tc>
          <w:tcPr>
            <w:tcW w:w="1271" w:type="dxa"/>
          </w:tcPr>
          <w:p w14:paraId="5379FC72" w14:textId="77777777" w:rsidR="008838CB" w:rsidRPr="00602D1F" w:rsidRDefault="008838CB" w:rsidP="00602D1F">
            <w:pPr>
              <w:rPr>
                <w:rFonts w:ascii="Times New Roman" w:hAnsi="Times New Roman" w:cs="Times New Roman"/>
                <w:sz w:val="24"/>
                <w:szCs w:val="24"/>
              </w:rPr>
            </w:pPr>
          </w:p>
        </w:tc>
        <w:tc>
          <w:tcPr>
            <w:tcW w:w="8567" w:type="dxa"/>
          </w:tcPr>
          <w:p w14:paraId="5F2B03C7" w14:textId="1D343365" w:rsidR="008838CB" w:rsidRPr="00602D1F" w:rsidRDefault="008838CB" w:rsidP="00602D1F">
            <w:pPr>
              <w:pStyle w:val="Standard"/>
              <w:jc w:val="both"/>
              <w:rPr>
                <w:color w:val="000000"/>
                <w:sz w:val="24"/>
                <w:szCs w:val="24"/>
              </w:rPr>
            </w:pPr>
            <w:r w:rsidRPr="00602D1F">
              <w:rPr>
                <w:bCs/>
                <w:color w:val="000000"/>
                <w:sz w:val="24"/>
                <w:szCs w:val="24"/>
              </w:rPr>
              <w:t>11</w:t>
            </w:r>
            <w:r w:rsidRPr="00602D1F">
              <w:rPr>
                <w:color w:val="000000"/>
                <w:sz w:val="24"/>
                <w:szCs w:val="24"/>
              </w:rPr>
              <w:t xml:space="preserve">. Siūlome tikslinti ANSAAĮ 8 straipsnio 14 dalį ir ją išdėstyti taip: </w:t>
            </w:r>
          </w:p>
          <w:p w14:paraId="09D69508" w14:textId="79ABF1F4" w:rsidR="008838CB" w:rsidRPr="00602D1F" w:rsidRDefault="008838CB" w:rsidP="00602D1F">
            <w:pPr>
              <w:pStyle w:val="Standard"/>
              <w:jc w:val="both"/>
              <w:rPr>
                <w:color w:val="000000"/>
                <w:sz w:val="24"/>
                <w:szCs w:val="24"/>
              </w:rPr>
            </w:pPr>
            <w:r w:rsidRPr="00602D1F">
              <w:rPr>
                <w:color w:val="000000"/>
                <w:sz w:val="24"/>
                <w:szCs w:val="24"/>
              </w:rPr>
              <w:t xml:space="preserve">„Visais atvejais, kai pradėtas ikiteisminis tyrimas dėl smurto artimoje aplinkoje ir paskirta bent viena kardomoji priemonė, apsaugos nuo smurto orderis nustoja galioti.“ </w:t>
            </w:r>
          </w:p>
        </w:tc>
        <w:tc>
          <w:tcPr>
            <w:tcW w:w="4819" w:type="dxa"/>
          </w:tcPr>
          <w:p w14:paraId="1E6DD08D"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t>Neatsižvelgta.</w:t>
            </w:r>
          </w:p>
          <w:p w14:paraId="75E66B97" w14:textId="77777777" w:rsidR="008838CB" w:rsidRPr="00602D1F" w:rsidRDefault="008838CB" w:rsidP="00602D1F">
            <w:pPr>
              <w:rPr>
                <w:rFonts w:ascii="Times New Roman" w:hAnsi="Times New Roman" w:cs="Times New Roman"/>
                <w:sz w:val="24"/>
                <w:szCs w:val="24"/>
              </w:rPr>
            </w:pPr>
          </w:p>
          <w:p w14:paraId="082011CD" w14:textId="35549D7E"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9.</w:t>
            </w:r>
          </w:p>
        </w:tc>
      </w:tr>
      <w:tr w:rsidR="008838CB" w:rsidRPr="00602D1F" w14:paraId="62A631B2" w14:textId="77777777" w:rsidTr="00D5157C">
        <w:tc>
          <w:tcPr>
            <w:tcW w:w="1271" w:type="dxa"/>
          </w:tcPr>
          <w:p w14:paraId="67E7BE89" w14:textId="77777777" w:rsidR="008838CB" w:rsidRPr="00602D1F" w:rsidRDefault="008838CB" w:rsidP="00602D1F">
            <w:pPr>
              <w:rPr>
                <w:rFonts w:ascii="Times New Roman" w:hAnsi="Times New Roman" w:cs="Times New Roman"/>
                <w:sz w:val="24"/>
                <w:szCs w:val="24"/>
              </w:rPr>
            </w:pPr>
          </w:p>
        </w:tc>
        <w:tc>
          <w:tcPr>
            <w:tcW w:w="8567" w:type="dxa"/>
            <w:shd w:val="clear" w:color="auto" w:fill="auto"/>
          </w:tcPr>
          <w:p w14:paraId="01B1CC37" w14:textId="77777777" w:rsidR="008838CB" w:rsidRPr="00602D1F" w:rsidRDefault="008838CB" w:rsidP="00602D1F">
            <w:pPr>
              <w:pStyle w:val="Standard"/>
              <w:jc w:val="both"/>
              <w:rPr>
                <w:bCs/>
                <w:color w:val="000000"/>
                <w:sz w:val="24"/>
                <w:szCs w:val="24"/>
              </w:rPr>
            </w:pPr>
            <w:r w:rsidRPr="00602D1F">
              <w:rPr>
                <w:sz w:val="24"/>
                <w:szCs w:val="24"/>
              </w:rPr>
              <w:t>1</w:t>
            </w:r>
            <w:r w:rsidRPr="00602D1F">
              <w:rPr>
                <w:color w:val="000000"/>
                <w:sz w:val="24"/>
                <w:szCs w:val="24"/>
              </w:rPr>
              <w:t>2</w:t>
            </w:r>
            <w:r w:rsidRPr="00602D1F">
              <w:rPr>
                <w:sz w:val="24"/>
                <w:szCs w:val="24"/>
              </w:rPr>
              <w:t xml:space="preserve">. </w:t>
            </w:r>
            <w:r w:rsidRPr="00602D1F">
              <w:rPr>
                <w:bCs/>
                <w:color w:val="000000"/>
                <w:sz w:val="24"/>
                <w:szCs w:val="24"/>
              </w:rPr>
              <w:t xml:space="preserve">ANSAAĮ 12 straipsnio 6 dalį siūlome dėstyti taip: </w:t>
            </w:r>
          </w:p>
          <w:p w14:paraId="40857F5C" w14:textId="30FADFFA" w:rsidR="008838CB" w:rsidRPr="00602D1F" w:rsidRDefault="008838CB" w:rsidP="00602D1F">
            <w:pPr>
              <w:pStyle w:val="Standard"/>
              <w:jc w:val="both"/>
              <w:rPr>
                <w:sz w:val="24"/>
                <w:szCs w:val="24"/>
              </w:rPr>
            </w:pPr>
            <w:r w:rsidRPr="00602D1F">
              <w:rPr>
                <w:bCs/>
                <w:color w:val="000000"/>
                <w:sz w:val="24"/>
                <w:szCs w:val="24"/>
              </w:rPr>
              <w:t>„Ikiteisminio tyrimo pareig</w:t>
            </w:r>
            <w:r w:rsidRPr="00602D1F">
              <w:rPr>
                <w:bCs/>
                <w:sz w:val="24"/>
                <w:szCs w:val="24"/>
              </w:rPr>
              <w:t>ūnas ar prokuroras,</w:t>
            </w:r>
            <w:r w:rsidRPr="00602D1F">
              <w:rPr>
                <w:bCs/>
                <w:color w:val="000000"/>
                <w:sz w:val="24"/>
                <w:szCs w:val="24"/>
              </w:rPr>
              <w:t xml:space="preserve"> įtariamajam dėl smurto artimoje aplinkoje skyr</w:t>
            </w:r>
            <w:r w:rsidRPr="00602D1F">
              <w:rPr>
                <w:bCs/>
                <w:sz w:val="24"/>
                <w:szCs w:val="24"/>
              </w:rPr>
              <w:t xml:space="preserve">ęs kardomąją priemonę arba inicijavęs jos skyrimą, nedelsdamas, bet ne vėliau kaip kitą dieną, elektroninių ryšių priemonėmis ar raštu apie priimtus sprendimus informuoja </w:t>
            </w:r>
            <w:r w:rsidRPr="00602D1F">
              <w:rPr>
                <w:bCs/>
                <w:color w:val="000000"/>
                <w:sz w:val="24"/>
                <w:szCs w:val="24"/>
              </w:rPr>
              <w:t>smurt</w:t>
            </w:r>
            <w:r w:rsidRPr="00602D1F">
              <w:rPr>
                <w:bCs/>
                <w:sz w:val="24"/>
                <w:szCs w:val="24"/>
              </w:rPr>
              <w:t>ą patyrusį asmenį ir (ar) vaiko atstovą pagal įstatymą (jei smurtą artimoje aplinkoje patiria vaikas) apie šios priemonės skyrimą, pakeitimą arba panaikinimą (nurodo priemonės pavadinimą, jos skyrimo datą ir galiojimo laikotarpį).“</w:t>
            </w:r>
          </w:p>
        </w:tc>
        <w:tc>
          <w:tcPr>
            <w:tcW w:w="4819" w:type="dxa"/>
            <w:shd w:val="clear" w:color="auto" w:fill="auto"/>
          </w:tcPr>
          <w:p w14:paraId="58E40C0C"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t>Neatsižvelgta.</w:t>
            </w:r>
          </w:p>
          <w:p w14:paraId="3FAF177A" w14:textId="77777777" w:rsidR="008838CB" w:rsidRPr="00602D1F" w:rsidRDefault="008838CB" w:rsidP="00602D1F">
            <w:pPr>
              <w:rPr>
                <w:rFonts w:ascii="Times New Roman" w:hAnsi="Times New Roman" w:cs="Times New Roman"/>
                <w:sz w:val="24"/>
                <w:szCs w:val="24"/>
              </w:rPr>
            </w:pPr>
          </w:p>
          <w:p w14:paraId="5C73D459" w14:textId="0A668C22"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12.</w:t>
            </w:r>
          </w:p>
        </w:tc>
      </w:tr>
      <w:tr w:rsidR="008838CB" w:rsidRPr="00602D1F" w14:paraId="13CE927A" w14:textId="77777777" w:rsidTr="00D5157C">
        <w:tc>
          <w:tcPr>
            <w:tcW w:w="1271" w:type="dxa"/>
          </w:tcPr>
          <w:p w14:paraId="25A11B73" w14:textId="77777777" w:rsidR="008838CB" w:rsidRPr="00602D1F" w:rsidRDefault="008838CB" w:rsidP="00602D1F">
            <w:pPr>
              <w:rPr>
                <w:rFonts w:ascii="Times New Roman" w:hAnsi="Times New Roman" w:cs="Times New Roman"/>
                <w:sz w:val="24"/>
                <w:szCs w:val="24"/>
              </w:rPr>
            </w:pPr>
          </w:p>
        </w:tc>
        <w:tc>
          <w:tcPr>
            <w:tcW w:w="8567" w:type="dxa"/>
          </w:tcPr>
          <w:p w14:paraId="30A6BE8E" w14:textId="5E3CEF75" w:rsidR="008838CB" w:rsidRPr="00602D1F" w:rsidRDefault="008838CB" w:rsidP="00602D1F">
            <w:pPr>
              <w:pStyle w:val="Standard"/>
              <w:jc w:val="both"/>
              <w:rPr>
                <w:sz w:val="24"/>
                <w:szCs w:val="24"/>
              </w:rPr>
            </w:pPr>
            <w:r w:rsidRPr="00602D1F">
              <w:rPr>
                <w:sz w:val="24"/>
                <w:szCs w:val="24"/>
              </w:rPr>
              <w:t>13. ANSAAĮ 13 straipsnio 1 dalyje įtvirtinta nauja (nederinta) nuostata, kad policijos pareigūnai smurto artimoje aplinkoje pavojų patiriančiam asmeniui ar smurtą patyrusiam asmeniui, be kita ko, pateikia ir informaciją, nurodytą 2016 m. balandžio 27 d. Europos Parlamento ir Tarybos reglamento (ES) 2016/679 dėl fizinių asmenų apsaugos tvarkant asmens duomenis ir dėl laisvo tokių duomenų judėjimo ir kuriuo panaikinama Direktyva 95/46/EB (Bendrasis duomenų apsaugos reglamentas, BDAR) 13 straipsnyje (Informacija, kuri turi būti pateikta, kai asmens duomenys renkami iš duomenų subjekto). Atsižvelgiant į tai, kad BDAR 13 straipsnis yra gana platus, todėl tampa neaišku, kokia konkrečiai informacija pagal jį turėtų būti pateikiama.</w:t>
            </w:r>
          </w:p>
        </w:tc>
        <w:tc>
          <w:tcPr>
            <w:tcW w:w="4819" w:type="dxa"/>
          </w:tcPr>
          <w:p w14:paraId="5FAE36B5" w14:textId="77777777" w:rsidR="008838CB" w:rsidRPr="00602D1F" w:rsidRDefault="008838CB" w:rsidP="00602D1F">
            <w:pPr>
              <w:rPr>
                <w:rFonts w:ascii="Times New Roman" w:hAnsi="Times New Roman" w:cs="Times New Roman"/>
                <w:b/>
                <w:bCs/>
                <w:color w:val="000000"/>
                <w:sz w:val="24"/>
                <w:szCs w:val="24"/>
              </w:rPr>
            </w:pPr>
            <w:r w:rsidRPr="00602D1F">
              <w:rPr>
                <w:rFonts w:ascii="Times New Roman" w:hAnsi="Times New Roman" w:cs="Times New Roman"/>
                <w:b/>
                <w:bCs/>
                <w:color w:val="000000"/>
                <w:sz w:val="24"/>
                <w:szCs w:val="24"/>
              </w:rPr>
              <w:t>Neatsižvelgta.</w:t>
            </w:r>
          </w:p>
          <w:p w14:paraId="39759DAA" w14:textId="77777777" w:rsidR="008838CB" w:rsidRPr="00602D1F" w:rsidRDefault="008838CB" w:rsidP="00602D1F">
            <w:pPr>
              <w:rPr>
                <w:rFonts w:ascii="Times New Roman" w:hAnsi="Times New Roman" w:cs="Times New Roman"/>
                <w:sz w:val="24"/>
                <w:szCs w:val="24"/>
              </w:rPr>
            </w:pPr>
          </w:p>
          <w:p w14:paraId="07E914C6" w14:textId="713D1E6B"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Žr. argumentus prie Policijos departamento pastabos Nr. 13.</w:t>
            </w:r>
          </w:p>
        </w:tc>
      </w:tr>
      <w:tr w:rsidR="008838CB" w:rsidRPr="00602D1F" w14:paraId="384FD721" w14:textId="77777777" w:rsidTr="00D5157C">
        <w:tc>
          <w:tcPr>
            <w:tcW w:w="1271" w:type="dxa"/>
          </w:tcPr>
          <w:p w14:paraId="2BD961DF" w14:textId="41A1131B"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lastRenderedPageBreak/>
              <w:t>Lietuvos moterų teisių įtvirtinimo asociacijos 2021-08-13 raštas Nr. 21/07/05</w:t>
            </w:r>
          </w:p>
        </w:tc>
        <w:tc>
          <w:tcPr>
            <w:tcW w:w="8567" w:type="dxa"/>
          </w:tcPr>
          <w:p w14:paraId="2A4AE995" w14:textId="77777777" w:rsidR="008838CB" w:rsidRPr="00602D1F" w:rsidRDefault="008838CB" w:rsidP="00602D1F">
            <w:pPr>
              <w:widowControl w:val="0"/>
              <w:suppressAutoHyphens/>
              <w:jc w:val="both"/>
              <w:rPr>
                <w:rFonts w:ascii="Times New Roman" w:eastAsia="DejaVu Sans" w:hAnsi="Times New Roman" w:cs="Times New Roman"/>
                <w:b/>
                <w:bCs/>
                <w:iCs/>
                <w:kern w:val="1"/>
                <w:sz w:val="24"/>
                <w:szCs w:val="24"/>
                <w:lang w:eastAsia="ar-SA"/>
              </w:rPr>
            </w:pPr>
            <w:r w:rsidRPr="00602D1F">
              <w:rPr>
                <w:rFonts w:ascii="Times New Roman" w:eastAsia="DejaVu Sans" w:hAnsi="Times New Roman" w:cs="Times New Roman"/>
                <w:b/>
                <w:bCs/>
                <w:iCs/>
                <w:kern w:val="1"/>
                <w:sz w:val="24"/>
                <w:szCs w:val="24"/>
                <w:lang w:eastAsia="ar-SA"/>
              </w:rPr>
              <w:t>3. Dėl Projekto 16 straipsnio 1 dalies 3 punkto</w:t>
            </w:r>
          </w:p>
          <w:p w14:paraId="16EFB1DA" w14:textId="77777777" w:rsidR="008838CB" w:rsidRPr="00602D1F" w:rsidRDefault="008838CB" w:rsidP="00602D1F">
            <w:pPr>
              <w:widowControl w:val="0"/>
              <w:suppressAutoHyphens/>
              <w:jc w:val="both"/>
              <w:rPr>
                <w:rFonts w:ascii="Times New Roman" w:hAnsi="Times New Roman" w:cs="Times New Roman"/>
                <w:sz w:val="24"/>
                <w:szCs w:val="24"/>
              </w:rPr>
            </w:pPr>
            <w:r w:rsidRPr="00602D1F">
              <w:rPr>
                <w:rFonts w:ascii="Times New Roman" w:hAnsi="Times New Roman" w:cs="Times New Roman"/>
                <w:sz w:val="24"/>
                <w:szCs w:val="24"/>
              </w:rPr>
              <w:t>Asociacijos nariai savo veiklą organizuoja vadovaudamiesi LR Apsaugos nuo smurto artimoje aplinkoje įstatymu, LR Socialinės apsaugos ir darbo ministro  įsakymu „D</w:t>
            </w:r>
            <w:r w:rsidRPr="00602D1F">
              <w:rPr>
                <w:rFonts w:ascii="Times New Roman" w:hAnsi="Times New Roman" w:cs="Times New Roman"/>
                <w:bCs/>
                <w:sz w:val="24"/>
                <w:szCs w:val="24"/>
              </w:rPr>
              <w:t>ėl specializuotos pagalbos centrų veiklos aprašo patvirtinimo“</w:t>
            </w:r>
            <w:r w:rsidRPr="00602D1F">
              <w:rPr>
                <w:rFonts w:ascii="Times New Roman" w:hAnsi="Times New Roman" w:cs="Times New Roman"/>
                <w:b/>
                <w:bCs/>
                <w:sz w:val="24"/>
                <w:szCs w:val="24"/>
              </w:rPr>
              <w:t xml:space="preserve"> </w:t>
            </w:r>
            <w:r w:rsidRPr="00602D1F">
              <w:rPr>
                <w:rFonts w:ascii="Times New Roman" w:hAnsi="Times New Roman" w:cs="Times New Roman"/>
                <w:sz w:val="24"/>
                <w:szCs w:val="24"/>
              </w:rPr>
              <w:t xml:space="preserve">(2012 m. gegužės 7 d. Nr. A1-227, Vilnius), Specializuotos kompleksinės pagalbos centrų, priklausančių Lietuvos moterų teisių įtvirtinimo asociacijai, pagalbos teikimo proceso aprašu. </w:t>
            </w:r>
          </w:p>
          <w:p w14:paraId="0486BEEE" w14:textId="77777777" w:rsidR="008838CB" w:rsidRPr="00602D1F" w:rsidRDefault="008838CB" w:rsidP="00602D1F">
            <w:pPr>
              <w:widowControl w:val="0"/>
              <w:suppressAutoHyphens/>
              <w:jc w:val="both"/>
              <w:rPr>
                <w:rFonts w:ascii="Times New Roman" w:hAnsi="Times New Roman" w:cs="Times New Roman"/>
                <w:sz w:val="24"/>
                <w:szCs w:val="24"/>
              </w:rPr>
            </w:pPr>
            <w:r w:rsidRPr="00602D1F">
              <w:rPr>
                <w:rFonts w:ascii="Times New Roman" w:hAnsi="Times New Roman" w:cs="Times New Roman"/>
                <w:sz w:val="24"/>
                <w:szCs w:val="24"/>
              </w:rPr>
              <w:t xml:space="preserve">Tiek </w:t>
            </w:r>
            <w:r w:rsidRPr="00602D1F">
              <w:rPr>
                <w:rFonts w:ascii="Times New Roman" w:hAnsi="Times New Roman" w:cs="Times New Roman"/>
                <w:bCs/>
                <w:sz w:val="24"/>
                <w:szCs w:val="24"/>
              </w:rPr>
              <w:t xml:space="preserve">Specializuotos pagalbos centrų veiklos apraše, tiek ir </w:t>
            </w:r>
            <w:r w:rsidRPr="00602D1F">
              <w:rPr>
                <w:rFonts w:ascii="Times New Roman" w:hAnsi="Times New Roman" w:cs="Times New Roman"/>
                <w:sz w:val="24"/>
                <w:szCs w:val="24"/>
              </w:rPr>
              <w:t>Specializuotos kompleksinės pagalbos centrų, priklausančių Lietuvos moterų teisių įtvirtinimo asociacijai, pagalbos teikimo proceso apraše, yra nustatyta Specializuotos kompleksinės pagalbos centrų darbo tvarka, reikalavimai specialistams ir jų rengimas, pagalbos teikimo proceso organizavimo tvarka. Šiuose dokumentuose Specializuotos kompleksinės pagalbos centrų koordinatoriams ir konsultantams keliamas reikalavimas turėti ne mažesnę kaip 3 metų darbo patirtį smurto artimoje aplinkoje ir smurto lyties pagrindu mažinimo ir/ar lyčių lygybės srityje. Šis reikalavimas minėtų specialistų darbo patirčiai nustatytas, atsižvelgiant į specializuotos kompleksinės pagalbos teikimo smurtą artimoje aplinkoje patyrusiems asmenims specifiką ir asociacijos narių ilgametę darbo patirtį smurto artimoje aplinkoje įveikimo srityje bei siekiant užtikrinti šios pagalbos kokybę ir efektyvumą. Minėtas reikalavimas galioja nuo pat Specializuotos kompleksinės pagalbos centrų veiklos pradžios, todėl nėra jokių objektyvių priežasčių, dėl kurių jis turėtų būti sumažintas, vadovaujantis įprasta praktika jis turėtų būti dar labiau padidintas.</w:t>
            </w:r>
          </w:p>
          <w:p w14:paraId="405775EB" w14:textId="77777777" w:rsidR="008838CB" w:rsidRPr="00602D1F" w:rsidRDefault="008838CB" w:rsidP="00602D1F">
            <w:pPr>
              <w:widowControl w:val="0"/>
              <w:suppressAutoHyphens/>
              <w:jc w:val="both"/>
              <w:rPr>
                <w:rFonts w:ascii="Times New Roman" w:eastAsia="DejaVu Sans" w:hAnsi="Times New Roman" w:cs="Times New Roman"/>
                <w:bCs/>
                <w:kern w:val="1"/>
                <w:sz w:val="24"/>
                <w:szCs w:val="24"/>
                <w:lang w:eastAsia="ar-SA"/>
              </w:rPr>
            </w:pPr>
            <w:r w:rsidRPr="00602D1F">
              <w:rPr>
                <w:rFonts w:ascii="Times New Roman" w:eastAsia="DejaVu Sans" w:hAnsi="Times New Roman" w:cs="Times New Roman"/>
                <w:bCs/>
                <w:kern w:val="1"/>
                <w:sz w:val="24"/>
                <w:szCs w:val="24"/>
                <w:lang w:eastAsia="ar-SA"/>
              </w:rPr>
              <w:t xml:space="preserve">Siūlome 16 straipsnio 1 dalies 3 punktą išdėstyti taip: </w:t>
            </w:r>
          </w:p>
          <w:p w14:paraId="4D8C7C4E" w14:textId="7653A0D1" w:rsidR="008838CB" w:rsidRPr="00602D1F" w:rsidRDefault="008838CB" w:rsidP="00602D1F">
            <w:pPr>
              <w:jc w:val="both"/>
              <w:rPr>
                <w:rFonts w:ascii="Times New Roman" w:hAnsi="Times New Roman" w:cs="Times New Roman"/>
                <w:i/>
                <w:iCs/>
                <w:sz w:val="24"/>
                <w:szCs w:val="24"/>
              </w:rPr>
            </w:pPr>
            <w:r w:rsidRPr="00602D1F">
              <w:rPr>
                <w:rFonts w:ascii="Times New Roman" w:eastAsia="DejaVu Sans" w:hAnsi="Times New Roman" w:cs="Times New Roman"/>
                <w:bCs/>
                <w:i/>
                <w:kern w:val="1"/>
                <w:sz w:val="24"/>
                <w:szCs w:val="24"/>
                <w:lang w:eastAsia="ar-SA"/>
              </w:rPr>
              <w:t>„</w:t>
            </w:r>
            <w:r w:rsidRPr="00602D1F">
              <w:rPr>
                <w:rFonts w:ascii="Times New Roman" w:hAnsi="Times New Roman" w:cs="Times New Roman"/>
                <w:bCs/>
                <w:i/>
                <w:sz w:val="24"/>
                <w:szCs w:val="24"/>
              </w:rPr>
              <w:t>3) pageidaujančios teikti specializuotą kompleksinę pagalbą įstaigos darbuotojai, kurie dirbs tiesiogiai su smurto artimoje aplinkoje pavojų patiriančiais asmenimis ar smurtą patyrusiais asmenimis, turi aukštąjį socialinių mokslų studijų srities išsilavinimą arba ne mažesnę nei 3 metų darbo, teikiant specializuotą kompleksinę pagalbą smurto artimoje aplinkoje pavojų patiriantiems asmenimis ar smurtą patyrusiems asmenims, patirtį bei darbo žmogaus teisių ir (ar) lygių galimybių srityje patirties. Asmenys, siekiantys dirbti konsultantais, turi būti išklausę ne mažiau kaip 16 akademinių valandų praktinei veiklai SKPC pasirengti skirtus mokymus, suteikiančius žinių iš psichologinio konsultavimo, teisės aktų taikymo, teisėsaugos institucijų bei kitų valstybės institucijų veiklos bei žmogaus teisių apsaugos ir įtvirtinimo sričių.“</w:t>
            </w:r>
          </w:p>
        </w:tc>
        <w:tc>
          <w:tcPr>
            <w:tcW w:w="4819" w:type="dxa"/>
          </w:tcPr>
          <w:p w14:paraId="1450E008" w14:textId="77777777" w:rsidR="008838CB" w:rsidRPr="00602D1F" w:rsidRDefault="008838CB" w:rsidP="00602D1F">
            <w:pPr>
              <w:rPr>
                <w:rFonts w:ascii="Times New Roman" w:hAnsi="Times New Roman" w:cs="Times New Roman"/>
                <w:b/>
                <w:bCs/>
                <w:sz w:val="24"/>
                <w:szCs w:val="24"/>
              </w:rPr>
            </w:pPr>
            <w:r w:rsidRPr="00602D1F">
              <w:rPr>
                <w:rFonts w:ascii="Times New Roman" w:hAnsi="Times New Roman" w:cs="Times New Roman"/>
                <w:b/>
                <w:bCs/>
                <w:sz w:val="24"/>
                <w:szCs w:val="24"/>
              </w:rPr>
              <w:t>Neatsižvelgta.</w:t>
            </w:r>
          </w:p>
          <w:p w14:paraId="7DAF3E10" w14:textId="77777777" w:rsidR="008838CB" w:rsidRPr="00602D1F" w:rsidRDefault="008838CB" w:rsidP="00602D1F">
            <w:pPr>
              <w:rPr>
                <w:rFonts w:ascii="Times New Roman" w:hAnsi="Times New Roman" w:cs="Times New Roman"/>
                <w:b/>
                <w:bCs/>
                <w:sz w:val="24"/>
                <w:szCs w:val="24"/>
              </w:rPr>
            </w:pPr>
          </w:p>
          <w:p w14:paraId="2189A370" w14:textId="46ECE921" w:rsidR="008838CB" w:rsidRPr="00602D1F" w:rsidRDefault="008838CB" w:rsidP="00602D1F">
            <w:pPr>
              <w:jc w:val="both"/>
              <w:rPr>
                <w:rFonts w:ascii="Times New Roman" w:hAnsi="Times New Roman" w:cs="Times New Roman"/>
                <w:b/>
                <w:bCs/>
                <w:sz w:val="24"/>
                <w:szCs w:val="24"/>
              </w:rPr>
            </w:pPr>
            <w:r w:rsidRPr="00602D1F">
              <w:rPr>
                <w:rFonts w:ascii="Times New Roman" w:hAnsi="Times New Roman" w:cs="Times New Roman"/>
                <w:sz w:val="24"/>
                <w:szCs w:val="24"/>
              </w:rPr>
              <w:t>Siekiant išlaikyti teisinės sistemos nuoseklumą su Pagalbos nuo nusikalstamos veikos nukentėjusiems asmenims įstatymo reglamentavimu, nustatyti (13 str. 1 d, 3 p.) perteklinius patirties reikalavimus numatyti nėra tikslinga.</w:t>
            </w:r>
          </w:p>
        </w:tc>
      </w:tr>
      <w:tr w:rsidR="008838CB" w:rsidRPr="00602D1F" w14:paraId="09EC3185" w14:textId="77777777" w:rsidTr="00D5157C">
        <w:tc>
          <w:tcPr>
            <w:tcW w:w="1271" w:type="dxa"/>
          </w:tcPr>
          <w:p w14:paraId="2332C162" w14:textId="7767E6F4"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t>Vyriausybės kanceliarijos Teisės grupės 2021-</w:t>
            </w:r>
            <w:r w:rsidRPr="00602D1F">
              <w:rPr>
                <w:rFonts w:ascii="Times New Roman" w:hAnsi="Times New Roman" w:cs="Times New Roman"/>
                <w:sz w:val="24"/>
                <w:szCs w:val="24"/>
              </w:rPr>
              <w:lastRenderedPageBreak/>
              <w:t>06-22 išvada Nr. NV-1484</w:t>
            </w:r>
          </w:p>
        </w:tc>
        <w:tc>
          <w:tcPr>
            <w:tcW w:w="8567" w:type="dxa"/>
          </w:tcPr>
          <w:p w14:paraId="6D318DE6" w14:textId="5950A3DA"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lastRenderedPageBreak/>
              <w:t xml:space="preserve">1. Sistemiškai vertinant Projekto 1 straipsniu nauja redakcija dėstomo Lietuvos Respublikos smurto artimoje aplinkoje įstatymo Nr.XI-1425 (toliau – Įstatymo projektas) siūlomą reguliavimą, pažymime, kad Įstatymo projekte siūlomas reguliavimas dėl smurto artimoje aplinkoje prevencijos  bei pagalbos smurto artimoje aplinkoje teikimo valdymo nėra aiškus ir pakankamas. Įstatymo projekte siūloma  </w:t>
            </w:r>
            <w:r w:rsidRPr="00602D1F">
              <w:rPr>
                <w:rFonts w:ascii="Times New Roman" w:eastAsia="DejaVu Sans" w:hAnsi="Times New Roman" w:cs="Times New Roman"/>
                <w:iCs/>
                <w:kern w:val="1"/>
                <w:sz w:val="24"/>
                <w:szCs w:val="24"/>
                <w:lang w:eastAsia="ar-SA"/>
              </w:rPr>
              <w:lastRenderedPageBreak/>
              <w:t>nustatyti, kad pagalbą smurto artimoje aplinkoje pavojų patiriantiems asmenims ar smurtą patyrusiems asmenims (beje,  minėtos pagalbos sąvoka nėra pateikiama, tad pagalbos turinys lieka neapibrėžtas, suprantamas skirtingai, įvairiai interpretuojamas) teiktų specializuotos kompleksinės pagalbos centrai, tačiau nenustatoma, kokiais kriterijais vadovaujantis būtų sprendžiama dėl pagalbos smurto artimoje aplinkoje pavojų patiriantiems asmenims ar smurtą patyrusiems asmenims poreikio, pagalbos apimties ir trukmės, bendradarbiavimo su kitais pagalbą teikiančiais subjektais koordinavimo ir pan. Nesureguliuojama, kuri iš valstybės institucijų būtų atsakinga už pagalbos smurto artimoje aplinkoje patiriančiam ar patyrusiam asmeniui valdymą, nes valdymas, kaip apibrėžiama Įstatymo projekto 10 straipsnyje apima priemonių planavimą, administravimą, organizavimą, atsakomybės jas įgyvendinant paskirstymą ir jų finansavimo užtikrinimą bei įgyvendinimo stebėseną. Šiame kontekste pastebime, kad Įstatymo projekto 6 straipsnio nuostatas dėl apsaugos nuo smurto artimoje aplinkoje politikos įgyvendinimo koordinavimo reikia tikslinti, įvertinant tai, kad vadovaujantis  Lietuvos Respublikos Vyriausybės įstatymo 29 straipsnio 1 dalimi, ministerija steigiama formuoti valstybės politiką, taip pat organizuoti, koordinuoti ir kontroliuoti jos įgyvendinimą ministrui pavestose valdymo srityse, tad tokios funkcijos perdavimas Smurto artimoje aplinkoje prevencijos ir apsaugos nuo smurto tarybai (toliau - Taryba) nesuderinamas su Vyriausybės įstatymo nuostatomis. Todėl tikslinant  Įstatymo projektą, siūlytume įvertinti nurodytas aplinkybes.</w:t>
            </w:r>
          </w:p>
        </w:tc>
        <w:tc>
          <w:tcPr>
            <w:tcW w:w="4819" w:type="dxa"/>
          </w:tcPr>
          <w:p w14:paraId="5F8580DD" w14:textId="15203577" w:rsidR="008838CB" w:rsidRPr="00602D1F" w:rsidRDefault="008838CB" w:rsidP="00602D1F">
            <w:pPr>
              <w:rPr>
                <w:rFonts w:ascii="Times New Roman" w:eastAsia="Calibri" w:hAnsi="Times New Roman" w:cs="Times New Roman"/>
                <w:b/>
                <w:sz w:val="24"/>
                <w:szCs w:val="24"/>
              </w:rPr>
            </w:pPr>
            <w:r w:rsidRPr="00602D1F">
              <w:rPr>
                <w:rFonts w:ascii="Times New Roman" w:eastAsia="Calibri" w:hAnsi="Times New Roman" w:cs="Times New Roman"/>
                <w:b/>
                <w:sz w:val="24"/>
                <w:szCs w:val="24"/>
              </w:rPr>
              <w:lastRenderedPageBreak/>
              <w:t>Atsižvelgta iš dalies.</w:t>
            </w:r>
          </w:p>
          <w:p w14:paraId="10C2CE95" w14:textId="77777777" w:rsidR="008838CB" w:rsidRPr="00602D1F" w:rsidRDefault="008838CB" w:rsidP="00602D1F">
            <w:pPr>
              <w:jc w:val="both"/>
              <w:rPr>
                <w:rFonts w:ascii="Times New Roman" w:eastAsia="Calibri" w:hAnsi="Times New Roman" w:cs="Times New Roman"/>
                <w:bCs/>
                <w:sz w:val="24"/>
                <w:szCs w:val="24"/>
              </w:rPr>
            </w:pPr>
            <w:r w:rsidRPr="00602D1F">
              <w:rPr>
                <w:rFonts w:ascii="Times New Roman" w:eastAsia="Calibri" w:hAnsi="Times New Roman" w:cs="Times New Roman"/>
                <w:bCs/>
                <w:sz w:val="24"/>
                <w:szCs w:val="24"/>
              </w:rPr>
              <w:t xml:space="preserve">Įstatymo projekte ne visuose teisės normose egzistuoja galimybė patikslinti ir susiaurinti pagalbos sąvoka, atsižvelgiant į tai, kad specializuotos kompleksinės pagalbos teikėjai </w:t>
            </w:r>
            <w:r w:rsidRPr="00602D1F">
              <w:rPr>
                <w:rFonts w:ascii="Times New Roman" w:eastAsia="Calibri" w:hAnsi="Times New Roman" w:cs="Times New Roman"/>
                <w:bCs/>
                <w:sz w:val="24"/>
                <w:szCs w:val="24"/>
              </w:rPr>
              <w:lastRenderedPageBreak/>
              <w:t xml:space="preserve">turi atvejo vadybos funkciją ir, esant poreikiui, ieško visos reikalingos pagalbos (pvz., sveikatos priežiūros, užimtumo, socialinių paslaugų, apgyvendinimo ir kita). </w:t>
            </w:r>
          </w:p>
          <w:p w14:paraId="58054890" w14:textId="77777777" w:rsidR="008838CB" w:rsidRPr="00602D1F" w:rsidRDefault="008838CB" w:rsidP="00602D1F">
            <w:pPr>
              <w:jc w:val="both"/>
              <w:rPr>
                <w:rFonts w:ascii="Times New Roman" w:eastAsia="Calibri" w:hAnsi="Times New Roman" w:cs="Times New Roman"/>
                <w:bCs/>
                <w:sz w:val="24"/>
                <w:szCs w:val="24"/>
              </w:rPr>
            </w:pPr>
          </w:p>
          <w:p w14:paraId="211DA914" w14:textId="4FCE74AD" w:rsidR="008838CB" w:rsidRPr="00602D1F" w:rsidRDefault="008838CB" w:rsidP="00602D1F">
            <w:pPr>
              <w:jc w:val="both"/>
              <w:rPr>
                <w:rFonts w:ascii="Times New Roman" w:eastAsia="Calibri" w:hAnsi="Times New Roman" w:cs="Times New Roman"/>
                <w:bCs/>
                <w:sz w:val="24"/>
                <w:szCs w:val="24"/>
              </w:rPr>
            </w:pPr>
            <w:r w:rsidRPr="00602D1F">
              <w:rPr>
                <w:rFonts w:ascii="Times New Roman" w:eastAsia="Calibri" w:hAnsi="Times New Roman" w:cs="Times New Roman"/>
                <w:bCs/>
                <w:sz w:val="24"/>
                <w:szCs w:val="24"/>
              </w:rPr>
              <w:t>Taip pat Tarybos ir savivaldybių komisijas reglamentuojančios nuostatose neturėtų būti nustatytas ribojimas nagrinėti tik tam tikras pagalbos rūšis dėl nuolat kintančio smurto artimoje aplinkoje reiškinio ir skirtingų nukentėjusiųjų poreikių.</w:t>
            </w:r>
          </w:p>
        </w:tc>
      </w:tr>
      <w:tr w:rsidR="008838CB" w:rsidRPr="00602D1F" w14:paraId="05837FFF" w14:textId="77777777" w:rsidTr="00D5157C">
        <w:tc>
          <w:tcPr>
            <w:tcW w:w="1271" w:type="dxa"/>
          </w:tcPr>
          <w:p w14:paraId="18C3EEF0" w14:textId="77777777" w:rsidR="008838CB" w:rsidRPr="00602D1F" w:rsidRDefault="008838CB" w:rsidP="00602D1F">
            <w:pPr>
              <w:rPr>
                <w:rFonts w:ascii="Times New Roman" w:hAnsi="Times New Roman" w:cs="Times New Roman"/>
                <w:sz w:val="24"/>
                <w:szCs w:val="24"/>
              </w:rPr>
            </w:pPr>
          </w:p>
        </w:tc>
        <w:tc>
          <w:tcPr>
            <w:tcW w:w="8567" w:type="dxa"/>
          </w:tcPr>
          <w:p w14:paraId="2FB21F8A" w14:textId="1C0B4A4A"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t>2. Įstatymo projekto 1 straipsnio pavadinimas neatitinka straipsnio turinio, nes jame nėra minimas tikslas, kaip šio straipsnio reguliavimo dalykas, kuris dėstomas šio straipsnio 1 dalyje. Todėl jei šiame straipsnyje nustatoma ne tik Įstatymo projekto paskirtis, bet ir tikslas, tai ir turėtų būti nurodyta straipsnio pavadinime. Tikslą siūlome formuluoti kaip siekį užtikrinti pažeidžiamų asmenų apsaugą, atsisakant neapibrėžtumą sąlygojančių nuostatų (lieka neaišku, kas būtų laikytina „tinkama“) vartojimo. Be to, pastebime, kad vertinamo 1 straipsnio 2 dalies pirmasis sakinys neatitinka Įstatymo projekto 1 straipsnio pavadinimo ir  savo turiniu iš esmės yra smurto artimoje aplinkoje apibrėžties dalis, todėl siūlome įvertinti, ar jis neturėtų būti perkeltas (inkorporuotas) į Įstatymo 2 straipsnio 3 dalį.</w:t>
            </w:r>
          </w:p>
        </w:tc>
        <w:tc>
          <w:tcPr>
            <w:tcW w:w="4819" w:type="dxa"/>
          </w:tcPr>
          <w:p w14:paraId="2A3B774C" w14:textId="77777777" w:rsidR="008838CB" w:rsidRPr="00602D1F" w:rsidRDefault="008838CB" w:rsidP="00602D1F">
            <w:pPr>
              <w:rPr>
                <w:rFonts w:ascii="Times New Roman" w:eastAsia="Calibri" w:hAnsi="Times New Roman" w:cs="Times New Roman"/>
                <w:b/>
                <w:sz w:val="24"/>
                <w:szCs w:val="24"/>
              </w:rPr>
            </w:pPr>
            <w:r w:rsidRPr="00602D1F">
              <w:rPr>
                <w:rFonts w:ascii="Times New Roman" w:eastAsia="Calibri" w:hAnsi="Times New Roman" w:cs="Times New Roman"/>
                <w:b/>
                <w:sz w:val="24"/>
                <w:szCs w:val="24"/>
              </w:rPr>
              <w:t>Atsižvelgta iš dalies.</w:t>
            </w:r>
          </w:p>
          <w:p w14:paraId="5F70CD5E" w14:textId="465C6C76" w:rsidR="008838CB" w:rsidRPr="00602D1F" w:rsidRDefault="008838CB" w:rsidP="00602D1F">
            <w:pPr>
              <w:jc w:val="both"/>
              <w:rPr>
                <w:rFonts w:ascii="Times New Roman" w:hAnsi="Times New Roman" w:cs="Times New Roman"/>
                <w:b/>
                <w:bCs/>
                <w:sz w:val="24"/>
                <w:szCs w:val="24"/>
              </w:rPr>
            </w:pPr>
            <w:r w:rsidRPr="00602D1F">
              <w:rPr>
                <w:rFonts w:ascii="Times New Roman" w:eastAsia="Calibri" w:hAnsi="Times New Roman" w:cs="Times New Roman"/>
                <w:bCs/>
                <w:sz w:val="24"/>
                <w:szCs w:val="24"/>
              </w:rPr>
              <w:t>Perkelti 1 str. 2 d. nuostata prie sąvokų nėra tikslinga atsižvelgiant į tai, kad sąvokos dažnai naudojamos teismų praktikoje aiškinant nusikalstamos veikos sudėties elementus ir juos praktiškai taikant. Šiuo atveju, žmogaus teisių pažeidimas yra objektyvus reiškinys smurto artimoje aplinkoje atvejais atsižvelgiant į Europos Žmogaus Teisių Teismo praktiką (</w:t>
            </w:r>
            <w:r w:rsidRPr="00602D1F">
              <w:rPr>
                <w:rFonts w:ascii="Times New Roman" w:eastAsia="Calibri" w:hAnsi="Times New Roman" w:cs="Times New Roman"/>
                <w:bCs/>
                <w:i/>
                <w:iCs/>
                <w:sz w:val="24"/>
                <w:szCs w:val="24"/>
              </w:rPr>
              <w:t>inter alia,</w:t>
            </w:r>
            <w:r w:rsidRPr="00602D1F">
              <w:rPr>
                <w:rFonts w:ascii="Times New Roman" w:eastAsia="Calibri" w:hAnsi="Times New Roman" w:cs="Times New Roman"/>
                <w:bCs/>
                <w:sz w:val="24"/>
                <w:szCs w:val="24"/>
              </w:rPr>
              <w:t xml:space="preserve"> Opuz prieš Turkiją, Eremia ir kiti prieš Moldovą), tačiau neturėtų būti esminis elementas smurto faktui konstatuoti (apibrėžti).</w:t>
            </w:r>
          </w:p>
        </w:tc>
      </w:tr>
      <w:tr w:rsidR="008838CB" w:rsidRPr="00602D1F" w14:paraId="0915B4E7" w14:textId="77777777" w:rsidTr="00D5157C">
        <w:tc>
          <w:tcPr>
            <w:tcW w:w="1271" w:type="dxa"/>
          </w:tcPr>
          <w:p w14:paraId="3C4F081D" w14:textId="77777777" w:rsidR="008838CB" w:rsidRPr="00602D1F" w:rsidRDefault="008838CB" w:rsidP="00602D1F">
            <w:pPr>
              <w:rPr>
                <w:rFonts w:ascii="Times New Roman" w:hAnsi="Times New Roman" w:cs="Times New Roman"/>
                <w:sz w:val="24"/>
                <w:szCs w:val="24"/>
              </w:rPr>
            </w:pPr>
          </w:p>
        </w:tc>
        <w:tc>
          <w:tcPr>
            <w:tcW w:w="8567" w:type="dxa"/>
          </w:tcPr>
          <w:p w14:paraId="3EF71056" w14:textId="333793CA"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t xml:space="preserve">4. Siekiant teisinio apibrėžtumo, siūlome pakartotinai įvertinti galimybę apibrėžti Įstatymo projekte vartojamą sąvoką „pagalba smurtą artimoje aplinkoje patiriantiems ar patyrusiems asmenims“, nustatant, kokia pagalba šiuo atveju turima mintyje, koks jos turinys arba kur jis yra apibrėžtas. Priešingu atveju, susiduriama su Įstatymo projekto nuostatų interpretavimo galimybe bei neaiškumu jų taikymo kontekste, pavyzdžiui, kokie subjektai būtų priskiriami pagalbos smurto artimoje aplinkoje </w:t>
            </w:r>
            <w:r w:rsidRPr="00602D1F">
              <w:rPr>
                <w:rFonts w:ascii="Times New Roman" w:eastAsia="DejaVu Sans" w:hAnsi="Times New Roman" w:cs="Times New Roman"/>
                <w:iCs/>
                <w:kern w:val="1"/>
                <w:sz w:val="24"/>
                <w:szCs w:val="24"/>
                <w:lang w:eastAsia="ar-SA"/>
              </w:rPr>
              <w:lastRenderedPageBreak/>
              <w:t>pavojų patiriantiems ar smurtą patyrusiems asmenims teikėjams (Įstatymo projekto 3 straipsnio 4 punktas), kokios pagalbos organizavimui taikytinas kompleksiškumo principas (Įstatymo projekto 3 straipsnio 3 punktas), ar nuostatoje „imantis bet kokių veiksmų, susijusių su pagalbos, reikalingų paslaugų smurto artimoje aplinkoje pavojų patiriančiam asmeniui ar smurtą patyrusiam asmeniui teikimu“ pagalbos ir paslaugų išskyrimas reiškia, kad pagalba neapimtų paslaugų (Įstatymo projekto 3 straipsnio 7 punktas), koks Įstatymo projekte nurodytos pagalbos santykis su specializuota kompleksine pagalba, ar galėtų būti teikiamos kartu ir pan.</w:t>
            </w:r>
          </w:p>
        </w:tc>
        <w:tc>
          <w:tcPr>
            <w:tcW w:w="4819" w:type="dxa"/>
          </w:tcPr>
          <w:p w14:paraId="75D4AE95" w14:textId="77777777" w:rsidR="008838CB" w:rsidRPr="00602D1F" w:rsidRDefault="008838CB" w:rsidP="00602D1F">
            <w:pPr>
              <w:rPr>
                <w:rFonts w:ascii="Times New Roman" w:eastAsia="Calibri" w:hAnsi="Times New Roman" w:cs="Times New Roman"/>
                <w:bCs/>
                <w:sz w:val="24"/>
                <w:szCs w:val="24"/>
              </w:rPr>
            </w:pPr>
            <w:r w:rsidRPr="00602D1F">
              <w:rPr>
                <w:rFonts w:ascii="Times New Roman" w:eastAsia="Calibri" w:hAnsi="Times New Roman" w:cs="Times New Roman"/>
                <w:b/>
                <w:sz w:val="24"/>
                <w:szCs w:val="24"/>
              </w:rPr>
              <w:lastRenderedPageBreak/>
              <w:t>Atsižvelgta iš dalies</w:t>
            </w:r>
            <w:r w:rsidRPr="00602D1F">
              <w:rPr>
                <w:rFonts w:ascii="Times New Roman" w:eastAsia="Calibri" w:hAnsi="Times New Roman" w:cs="Times New Roman"/>
                <w:bCs/>
                <w:sz w:val="24"/>
                <w:szCs w:val="24"/>
              </w:rPr>
              <w:t>.</w:t>
            </w:r>
          </w:p>
          <w:p w14:paraId="273A77E1" w14:textId="55004CCD" w:rsidR="008838CB" w:rsidRPr="00602D1F" w:rsidRDefault="008838CB" w:rsidP="00602D1F">
            <w:pPr>
              <w:jc w:val="both"/>
              <w:rPr>
                <w:rFonts w:ascii="Times New Roman" w:hAnsi="Times New Roman" w:cs="Times New Roman"/>
                <w:b/>
                <w:bCs/>
                <w:sz w:val="24"/>
                <w:szCs w:val="24"/>
              </w:rPr>
            </w:pPr>
            <w:r w:rsidRPr="00602D1F">
              <w:rPr>
                <w:rFonts w:ascii="Times New Roman" w:eastAsia="Calibri" w:hAnsi="Times New Roman" w:cs="Times New Roman"/>
                <w:bCs/>
                <w:sz w:val="24"/>
                <w:szCs w:val="24"/>
              </w:rPr>
              <w:t>Žr. argumentus prie LRVK Teisės grupės pastabos Nr. 1.</w:t>
            </w:r>
          </w:p>
        </w:tc>
      </w:tr>
      <w:tr w:rsidR="008838CB" w:rsidRPr="00602D1F" w14:paraId="7946B2B5" w14:textId="77777777" w:rsidTr="00D5157C">
        <w:tc>
          <w:tcPr>
            <w:tcW w:w="1271" w:type="dxa"/>
          </w:tcPr>
          <w:p w14:paraId="107311E5" w14:textId="77777777" w:rsidR="008838CB" w:rsidRPr="00602D1F" w:rsidRDefault="008838CB" w:rsidP="00602D1F">
            <w:pPr>
              <w:rPr>
                <w:rFonts w:ascii="Times New Roman" w:hAnsi="Times New Roman" w:cs="Times New Roman"/>
                <w:sz w:val="24"/>
                <w:szCs w:val="24"/>
              </w:rPr>
            </w:pPr>
          </w:p>
        </w:tc>
        <w:tc>
          <w:tcPr>
            <w:tcW w:w="8567" w:type="dxa"/>
          </w:tcPr>
          <w:p w14:paraId="679EC312" w14:textId="77777777"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t xml:space="preserve">8. Įstatymo projekto 3 straipsnio pavadinime nurodoma „apsaugos &lt;...&gt; teikimo principai“, tuo tarpu šio straipsnio tekste – jau „apsauga &lt;...&gt; įgyvendinama, pagalba &lt;...&gt; teikiama, vadovauja šiais principais“. Formuluojant principus turėtų būti nustatoma bendro pobūdžio tam tikro elgesio standartas, pamatinės teisės normos, kurias po to sukonkretina kitos, detalizuojančios normos. Atsižvelgiant į tai, siūlytume šio straipsnio 1 punktą formuluoti nustatant, kokie subjektai bendradarbiauja ir teikia tarpusavio pagalbą, įvertinant ir tai, ar bendradarbiavimo principas savo esme neapima ir dalyvavimo principo, ar jo nebūtų tikslinga atsisakyti kaip perteklinio, nes liečia tuos pačius subjektus (prieš tai įvertinant ir  vartojamų sąvokų suderinamumą, pavyzdžiui, asmuo ir šeima, asmuo ir (ar) jo atstovai, kaip šios sąvokos suprantamos, kur tai yra apibrėžta). Šio straipsnio 4 punkte tikslingiau būtų nustatyti, kad visi smurto artimoje aplinkoje pavojų patiriantys asmenys ar smurtą patyrę asmenys, nepaisant jų lyties, rasės, tautybės, kalbos, kilmės, socialinės ir turtinės padėties, išsilavinimo, religinių ar politinių pažiūrų, veiklos rūšies ir pobūdžio, gyvenamosios vietos ir kitų aplinkybių turi lygias teises gauti šiame įstatyme nustatytą pagalbą.  </w:t>
            </w:r>
          </w:p>
          <w:p w14:paraId="29822DD9" w14:textId="50AE6A32"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t>Be to, siūlome tikslinti ir šio straipsnio 5 punkte teikiamo principo formuluotę, tikslinant nuostatą „turi būti atsižvelgiama į lyčių lygybės aspekto integravimą &lt;...&gt; mokymų organizavimo etapuose“, aiškiai apibrėžiant, kaip lyčių lygybės principas turėtų būti realizuojamas šio Įstatymo projekto kontekste. Teikiamoje formuluotėje vartojamą sąvoką „pedagogas“ keičiant pagal kontekstą tinkamomis Lietuvos Respublikos švietimo įstatyme vartojamomis sąvokomis mokytojas ar specialusis pedagogas, socialinis pedagogas ar pan.</w:t>
            </w:r>
          </w:p>
        </w:tc>
        <w:tc>
          <w:tcPr>
            <w:tcW w:w="4819" w:type="dxa"/>
          </w:tcPr>
          <w:p w14:paraId="0910FA4C"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b/>
                <w:bCs/>
                <w:sz w:val="24"/>
                <w:szCs w:val="24"/>
              </w:rPr>
              <w:t>Atsižvelgta iš dalies.</w:t>
            </w:r>
          </w:p>
          <w:p w14:paraId="6B5EDAC6" w14:textId="77777777" w:rsidR="008838CB" w:rsidRPr="00602D1F" w:rsidRDefault="008838CB" w:rsidP="00602D1F">
            <w:pPr>
              <w:jc w:val="both"/>
              <w:rPr>
                <w:rFonts w:ascii="Times New Roman" w:hAnsi="Times New Roman" w:cs="Times New Roman"/>
                <w:sz w:val="24"/>
                <w:szCs w:val="24"/>
              </w:rPr>
            </w:pPr>
          </w:p>
          <w:p w14:paraId="0225A565" w14:textId="663115D0" w:rsidR="008838CB" w:rsidRPr="00602D1F" w:rsidRDefault="008838CB" w:rsidP="00602D1F">
            <w:pPr>
              <w:jc w:val="both"/>
              <w:rPr>
                <w:rFonts w:ascii="Times New Roman" w:hAnsi="Times New Roman" w:cs="Times New Roman"/>
                <w:b/>
                <w:bCs/>
                <w:sz w:val="24"/>
                <w:szCs w:val="24"/>
              </w:rPr>
            </w:pPr>
            <w:r w:rsidRPr="00602D1F">
              <w:rPr>
                <w:rFonts w:ascii="Times New Roman" w:hAnsi="Times New Roman" w:cs="Times New Roman"/>
                <w:sz w:val="24"/>
                <w:szCs w:val="24"/>
              </w:rPr>
              <w:t>Bendradarbiavimo ir dalyvavimo principų apjungimas nėra tikslingas, atsižvelgiant į tai, kad jie savo turiniu nurodo skirtingas bendrąsias elgesio taisykles – t. y. bendradarbiavimo principas nurodo elgesio taisyklę santykyje juridinis asmuo – juridinis asmuo. Kitaip, dalyvavimo principas nurodo, kad visuose procesuose turi dalyvauti nukentėjęs asmuo ar jo (interesų) atstovas.</w:t>
            </w:r>
          </w:p>
        </w:tc>
      </w:tr>
      <w:tr w:rsidR="008838CB" w:rsidRPr="00602D1F" w14:paraId="34752E05" w14:textId="77777777" w:rsidTr="00D5157C">
        <w:tc>
          <w:tcPr>
            <w:tcW w:w="1271" w:type="dxa"/>
          </w:tcPr>
          <w:p w14:paraId="74A7C78F" w14:textId="77777777" w:rsidR="008838CB" w:rsidRPr="00602D1F" w:rsidRDefault="008838CB" w:rsidP="00602D1F">
            <w:pPr>
              <w:rPr>
                <w:rFonts w:ascii="Times New Roman" w:hAnsi="Times New Roman" w:cs="Times New Roman"/>
                <w:sz w:val="24"/>
                <w:szCs w:val="24"/>
              </w:rPr>
            </w:pPr>
          </w:p>
        </w:tc>
        <w:tc>
          <w:tcPr>
            <w:tcW w:w="8567" w:type="dxa"/>
          </w:tcPr>
          <w:p w14:paraId="639F9D34" w14:textId="574E1B6B"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t xml:space="preserve">9.1. Lietuvos Respublikos Konstitucijos 94 straipsnyje numatyta, kad Vyriausybė koordinuoja ministerijų ir kitų Vyriausybės įstaigų veiklą. Lietuvos Respublikos Vyriausybės įstatymo 22 straipsnio 9 punkte Vyriausybei pavesta tvirtinti ministerijų, Vyriausybės įstaigų ir įstaigų prie ministerijų nuostatus. Vyriausybė, įgyvendindama minėtus Konstitucijoje ir Vyriausybės įstatyme numatytus įgaliojimus, yra kompetentinga nustatyti ministerijų, Vyriausybės įstaigų, įstaigų prie ministerijų veiklos sritis ir funkcijas, spręsti su Vyriausybės ir jai atskaitingų įstaigų veiklos organizavimu susijusius klausimus. Siekiant užtikrinti tinkamą Konstitucijos 94 </w:t>
            </w:r>
            <w:r w:rsidRPr="00602D1F">
              <w:rPr>
                <w:rFonts w:ascii="Times New Roman" w:eastAsia="DejaVu Sans" w:hAnsi="Times New Roman" w:cs="Times New Roman"/>
                <w:iCs/>
                <w:kern w:val="1"/>
                <w:sz w:val="24"/>
                <w:szCs w:val="24"/>
                <w:lang w:eastAsia="ar-SA"/>
              </w:rPr>
              <w:lastRenderedPageBreak/>
              <w:t xml:space="preserve">straipsnio 3 punkte įtvirtintų Vyriausybės įgaliojimų koordinuoti ministerijų ir kitų Vyriausybės įstaigų veiklą įgyvendinimą, taip pat Vyriausybės įstatymo 22 straipsnio 8 ir 9 punktų realizavimą, paprastai (t. y. išskyrus išimtinius, pagrįstus atvejus) įstatymuose neturėtų būti dėstomos  ministerijų,  Vyriausybės įstaigų,  įstaigų prie ministerijų veiklos funkcijos. Tokiu būdu būtų užtikrinta ir teisės aktų hierarchija, ir ekonomiškumo principą atitinkanti teisėkūra.  Todėl manome, kad Įstatymo projekto 4 straipsnis ir kiti straipsniai dėl šio aspekto turėtų būti iš esmės koreguojami,  be kita ko, įvertinant ir dar vieną aspektą, kad įstatymuose reikėtų vengti nuorodų į konkrečias Vyriausybės įstaigas ar įstaigas prie  ministerijų; </w:t>
            </w:r>
          </w:p>
        </w:tc>
        <w:tc>
          <w:tcPr>
            <w:tcW w:w="4819" w:type="dxa"/>
          </w:tcPr>
          <w:p w14:paraId="1F044DC4"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b/>
                <w:bCs/>
                <w:sz w:val="24"/>
                <w:szCs w:val="24"/>
              </w:rPr>
              <w:lastRenderedPageBreak/>
              <w:t>Neatsižvelgta.</w:t>
            </w:r>
          </w:p>
          <w:p w14:paraId="03280DA2" w14:textId="1D4131A5"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Vadovaujantis aiškumo ir sistemiškumo principais, vienas iš Įstatymo projekto tikslu – aiškiai įtvirtinti visų apsaugos nuo smurto artimoje aplinkoje sistemos subjektų kompetencijas įtvirtinti ir aprašyti įstatymo projekte.</w:t>
            </w:r>
          </w:p>
          <w:p w14:paraId="691A5517" w14:textId="77777777" w:rsidR="008838CB" w:rsidRPr="00602D1F" w:rsidRDefault="008838CB" w:rsidP="00602D1F">
            <w:pPr>
              <w:jc w:val="both"/>
              <w:rPr>
                <w:rFonts w:ascii="Times New Roman" w:hAnsi="Times New Roman" w:cs="Times New Roman"/>
                <w:sz w:val="24"/>
                <w:szCs w:val="24"/>
              </w:rPr>
            </w:pPr>
          </w:p>
          <w:p w14:paraId="7D5EAF3A" w14:textId="329FA085" w:rsidR="008838CB" w:rsidRPr="00602D1F" w:rsidRDefault="008838CB" w:rsidP="00602D1F">
            <w:pPr>
              <w:jc w:val="both"/>
              <w:rPr>
                <w:rFonts w:ascii="Times New Roman" w:hAnsi="Times New Roman" w:cs="Times New Roman"/>
                <w:b/>
                <w:bCs/>
                <w:sz w:val="24"/>
                <w:szCs w:val="24"/>
              </w:rPr>
            </w:pPr>
            <w:r w:rsidRPr="00602D1F">
              <w:rPr>
                <w:rFonts w:ascii="Times New Roman" w:hAnsi="Times New Roman" w:cs="Times New Roman"/>
                <w:sz w:val="24"/>
                <w:szCs w:val="24"/>
              </w:rPr>
              <w:lastRenderedPageBreak/>
              <w:t>Galiojant dabartiniam reglamentavimui susiduriama su praktinėmis problemomis dėl kompetencijų padalijimo tarp institucijų.</w:t>
            </w:r>
          </w:p>
        </w:tc>
      </w:tr>
      <w:tr w:rsidR="008838CB" w:rsidRPr="00602D1F" w14:paraId="048C102A" w14:textId="77777777" w:rsidTr="00D5157C">
        <w:tc>
          <w:tcPr>
            <w:tcW w:w="1271" w:type="dxa"/>
          </w:tcPr>
          <w:p w14:paraId="071D94EA" w14:textId="77777777" w:rsidR="008838CB" w:rsidRPr="00602D1F" w:rsidRDefault="008838CB" w:rsidP="00602D1F">
            <w:pPr>
              <w:rPr>
                <w:rFonts w:ascii="Times New Roman" w:hAnsi="Times New Roman" w:cs="Times New Roman"/>
                <w:sz w:val="24"/>
                <w:szCs w:val="24"/>
              </w:rPr>
            </w:pPr>
          </w:p>
        </w:tc>
        <w:tc>
          <w:tcPr>
            <w:tcW w:w="8567" w:type="dxa"/>
          </w:tcPr>
          <w:p w14:paraId="14E69380" w14:textId="4006687F"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t>10. Įstatymo projekto 5 straipsnio pavadinimas yra per platus palyginti su straipsnio turiniu ir jame nurodytomis priemonėmis, todėl siūlome peržiūrėti teikiamą reguliavimą, išgryninti prevencijos ir pagalbos priemones, įvertinti galimybę šio straipsnio  nuostatas integruoti į kitus Įstatymo projekto straipsnius, pavyzdžiui, nuostatas integruoti į 4 straipsnį, kuriame taip pat nustatoma institucijų kompetencija prevencijos srityje, išplečiant šio straipsnio reguliavimo sritį, 3 dalis  galėtų  būti perkelta į  9 straipsnį ar pan. Taip pat pastebime, kad turėtų būti vengiama deklaratyvių, aiškių taisyklių nenustatančių nuostatų, neapibrėžtumą sąlygojančių nuostatų, pavyzdžiui, „nevyriausybinės organizacijos skatinamos įgyvendinti ir dalyvauti įgyvendinant“ (ar skatinimas sietinas tik su finansavimu?); neapibrėžta kas šiuo atveju laikytina „projektu“ (toks trumpinys nėra įvedamas tekste, nors toliau ši nuostata yra vartojama 6 straipsnio 3, 5 dalyse). Šiame kontekste pastebime, kad šio straipsnio 3 dalyje siūloma pakartotinio smurto artimoje aplinkoje rizikos veiksnių vertinimo atlikimą sieti ne tik su smurtu artimoje aplinkoje, bet apsaugant asmenį ir nuo kitų rizikų (bauginimo, keršto, pavojaus gyvybei ir (ar sveikatai), todėl toks platus traktavimas laikytinas ne šio teisės akto reguliavimo dalyku ir  perteklinių nuostatų būtų tikslinga atsisakyti.</w:t>
            </w:r>
          </w:p>
        </w:tc>
        <w:tc>
          <w:tcPr>
            <w:tcW w:w="4819" w:type="dxa"/>
          </w:tcPr>
          <w:p w14:paraId="466D4AFA" w14:textId="77777777" w:rsidR="008838CB" w:rsidRPr="00602D1F" w:rsidRDefault="008838CB" w:rsidP="00602D1F">
            <w:pPr>
              <w:jc w:val="both"/>
              <w:rPr>
                <w:rFonts w:ascii="Times New Roman" w:hAnsi="Times New Roman" w:cs="Times New Roman"/>
                <w:b/>
                <w:sz w:val="24"/>
                <w:szCs w:val="24"/>
              </w:rPr>
            </w:pPr>
            <w:r w:rsidRPr="00602D1F">
              <w:rPr>
                <w:rFonts w:ascii="Times New Roman" w:hAnsi="Times New Roman" w:cs="Times New Roman"/>
                <w:b/>
                <w:sz w:val="24"/>
                <w:szCs w:val="24"/>
              </w:rPr>
              <w:t>Atsižvelgta iš dalies.</w:t>
            </w:r>
          </w:p>
          <w:p w14:paraId="77CC52C7" w14:textId="77777777" w:rsidR="008838CB" w:rsidRPr="00602D1F" w:rsidRDefault="008838CB" w:rsidP="00602D1F">
            <w:pPr>
              <w:rPr>
                <w:rFonts w:ascii="Times New Roman" w:hAnsi="Times New Roman" w:cs="Times New Roman"/>
                <w:b/>
                <w:bCs/>
                <w:sz w:val="24"/>
                <w:szCs w:val="24"/>
              </w:rPr>
            </w:pPr>
          </w:p>
          <w:p w14:paraId="6B1B4285" w14:textId="77777777" w:rsidR="008838CB" w:rsidRPr="00602D1F" w:rsidRDefault="008838CB" w:rsidP="00602D1F">
            <w:pPr>
              <w:jc w:val="both"/>
              <w:rPr>
                <w:rFonts w:ascii="Times New Roman" w:hAnsi="Times New Roman" w:cs="Times New Roman"/>
                <w:bCs/>
                <w:sz w:val="24"/>
                <w:szCs w:val="24"/>
              </w:rPr>
            </w:pPr>
            <w:r w:rsidRPr="00602D1F">
              <w:rPr>
                <w:rFonts w:ascii="Times New Roman" w:hAnsi="Times New Roman" w:cs="Times New Roman"/>
                <w:bCs/>
                <w:sz w:val="24"/>
                <w:szCs w:val="24"/>
              </w:rPr>
              <w:t>Nurodytas Įstatymo projekto straipsnis yra skirtas strateginiam planavimui apibrėžti, todėl jo dalykas nėra tapatus 4 str.</w:t>
            </w:r>
          </w:p>
          <w:p w14:paraId="6A12779B" w14:textId="77777777" w:rsidR="008838CB" w:rsidRPr="00602D1F" w:rsidRDefault="008838CB" w:rsidP="00602D1F">
            <w:pPr>
              <w:rPr>
                <w:rFonts w:ascii="Times New Roman" w:hAnsi="Times New Roman" w:cs="Times New Roman"/>
                <w:b/>
                <w:bCs/>
                <w:sz w:val="24"/>
                <w:szCs w:val="24"/>
              </w:rPr>
            </w:pPr>
          </w:p>
          <w:p w14:paraId="0A4B9F42" w14:textId="04C5175A" w:rsidR="008838CB" w:rsidRPr="00602D1F" w:rsidRDefault="008838CB" w:rsidP="00602D1F">
            <w:pPr>
              <w:jc w:val="both"/>
              <w:rPr>
                <w:rFonts w:ascii="Times New Roman" w:hAnsi="Times New Roman" w:cs="Times New Roman"/>
                <w:bCs/>
                <w:sz w:val="24"/>
                <w:szCs w:val="24"/>
              </w:rPr>
            </w:pPr>
            <w:r w:rsidRPr="00602D1F">
              <w:rPr>
                <w:rFonts w:ascii="Times New Roman" w:hAnsi="Times New Roman" w:cs="Times New Roman"/>
                <w:bCs/>
                <w:sz w:val="24"/>
                <w:szCs w:val="24"/>
              </w:rPr>
              <w:t>Imperatyvi teisės norma negali būti suformuota, nes tai pažeistų asociacijos laisvės principą. Įstatymo projekto rengėjų nuomone, skatinimas nebūtinai yra sietinas tik su finansavimu.</w:t>
            </w:r>
          </w:p>
          <w:p w14:paraId="6CB55BB5" w14:textId="4EA6A4F0" w:rsidR="008838CB" w:rsidRPr="00602D1F" w:rsidRDefault="008838CB" w:rsidP="00602D1F">
            <w:pPr>
              <w:rPr>
                <w:rFonts w:ascii="Times New Roman" w:hAnsi="Times New Roman" w:cs="Times New Roman"/>
                <w:b/>
                <w:bCs/>
                <w:sz w:val="24"/>
                <w:szCs w:val="24"/>
              </w:rPr>
            </w:pPr>
          </w:p>
        </w:tc>
      </w:tr>
      <w:tr w:rsidR="008838CB" w:rsidRPr="00602D1F" w14:paraId="0353B60B" w14:textId="77777777" w:rsidTr="00D5157C">
        <w:tc>
          <w:tcPr>
            <w:tcW w:w="1271" w:type="dxa"/>
          </w:tcPr>
          <w:p w14:paraId="73C94AA7" w14:textId="77777777" w:rsidR="008838CB" w:rsidRPr="00602D1F" w:rsidRDefault="008838CB" w:rsidP="00602D1F">
            <w:pPr>
              <w:rPr>
                <w:rFonts w:ascii="Times New Roman" w:hAnsi="Times New Roman" w:cs="Times New Roman"/>
                <w:sz w:val="24"/>
                <w:szCs w:val="24"/>
              </w:rPr>
            </w:pPr>
          </w:p>
        </w:tc>
        <w:tc>
          <w:tcPr>
            <w:tcW w:w="8567" w:type="dxa"/>
          </w:tcPr>
          <w:p w14:paraId="0C41D0BF" w14:textId="30AE92D6"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t>36. Įstatymo projekto 17 straipsnyje, siekiant aiškumo, siūlome nurodyti, kokia kita atsakomybė turima mintyje šiuo atveju, pavyzdžiui, ar nebūtų tikslinga papildomai nurodyti, kad šiame įstatyme nustatyto apsaugos nuo smurto artimoje aplinkoje orderio nustatytų įpareigojimų pažeidimai užtraukia administracinę atsakomybę.</w:t>
            </w:r>
          </w:p>
        </w:tc>
        <w:tc>
          <w:tcPr>
            <w:tcW w:w="4819" w:type="dxa"/>
          </w:tcPr>
          <w:p w14:paraId="4AF76F6D" w14:textId="77777777" w:rsidR="008838CB" w:rsidRPr="00602D1F" w:rsidRDefault="008838CB" w:rsidP="00602D1F">
            <w:pPr>
              <w:jc w:val="both"/>
              <w:rPr>
                <w:rFonts w:ascii="Times New Roman" w:hAnsi="Times New Roman" w:cs="Times New Roman"/>
                <w:b/>
                <w:sz w:val="24"/>
                <w:szCs w:val="24"/>
              </w:rPr>
            </w:pPr>
            <w:r w:rsidRPr="00602D1F">
              <w:rPr>
                <w:rFonts w:ascii="Times New Roman" w:hAnsi="Times New Roman" w:cs="Times New Roman"/>
                <w:b/>
                <w:sz w:val="24"/>
                <w:szCs w:val="24"/>
              </w:rPr>
              <w:t>Atsižvelgta iš dalies.</w:t>
            </w:r>
          </w:p>
          <w:p w14:paraId="53F1EE67" w14:textId="3AB800B3" w:rsidR="008838CB" w:rsidRPr="00602D1F" w:rsidRDefault="008838CB" w:rsidP="00602D1F">
            <w:pPr>
              <w:jc w:val="both"/>
              <w:rPr>
                <w:rFonts w:ascii="Times New Roman" w:hAnsi="Times New Roman" w:cs="Times New Roman"/>
                <w:bCs/>
                <w:sz w:val="24"/>
                <w:szCs w:val="24"/>
              </w:rPr>
            </w:pPr>
            <w:r w:rsidRPr="00602D1F">
              <w:rPr>
                <w:rFonts w:ascii="Times New Roman" w:hAnsi="Times New Roman" w:cs="Times New Roman"/>
                <w:bCs/>
                <w:sz w:val="24"/>
                <w:szCs w:val="24"/>
              </w:rPr>
              <w:t>Papildomai nurodyti administracinės atsakomybės taikymo galimybę nėra tikslinga, nes tai jau yra nurodoma Įstatymo projekto 8 str. 14 d. ir 18 str.</w:t>
            </w:r>
          </w:p>
        </w:tc>
      </w:tr>
      <w:tr w:rsidR="008838CB" w:rsidRPr="00602D1F" w14:paraId="48CFF037" w14:textId="77777777" w:rsidTr="00D5157C">
        <w:tc>
          <w:tcPr>
            <w:tcW w:w="1271" w:type="dxa"/>
          </w:tcPr>
          <w:p w14:paraId="513F10D0" w14:textId="4F263027" w:rsidR="008838CB" w:rsidRPr="00602D1F" w:rsidRDefault="008838CB" w:rsidP="00602D1F">
            <w:pPr>
              <w:rPr>
                <w:rFonts w:ascii="Times New Roman" w:hAnsi="Times New Roman" w:cs="Times New Roman"/>
                <w:sz w:val="24"/>
                <w:szCs w:val="24"/>
              </w:rPr>
            </w:pPr>
            <w:r w:rsidRPr="00602D1F">
              <w:rPr>
                <w:rFonts w:ascii="Times New Roman" w:hAnsi="Times New Roman" w:cs="Times New Roman"/>
                <w:sz w:val="24"/>
                <w:szCs w:val="24"/>
              </w:rPr>
              <w:t xml:space="preserve">Vyriausybės kanceliarijos Socialinės politikos grupės 2021-06-28 </w:t>
            </w:r>
            <w:r w:rsidRPr="00602D1F">
              <w:rPr>
                <w:rFonts w:ascii="Times New Roman" w:hAnsi="Times New Roman" w:cs="Times New Roman"/>
                <w:sz w:val="24"/>
                <w:szCs w:val="24"/>
              </w:rPr>
              <w:lastRenderedPageBreak/>
              <w:t>pažyma Nr. NV-1526</w:t>
            </w:r>
          </w:p>
        </w:tc>
        <w:tc>
          <w:tcPr>
            <w:tcW w:w="8567" w:type="dxa"/>
          </w:tcPr>
          <w:p w14:paraId="7B74D672" w14:textId="40EFCEF2"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lastRenderedPageBreak/>
              <w:t>5) Įstatymo projekte (4 str. 1 d. 8 p., 5 str. 2 d.) siūloma atsisakyti nuostatų, kad nevyriausybinių organizacijų vykdomos prevencijos ir pagalbos veiklos finansuojamos konkurso būdu (Valstybės kontrolės rekomendacijose taip pat buvo atkreiptas dėmesys, kad projektinio finansavimo būdu valstybės biudžeto lėšas skiriamos nuolatinio pobūdžio veiklai, toks finansavimo mechanizmas neužtikrina paslaugų efektyvaus teikimo ir yra netinkamas).</w:t>
            </w:r>
          </w:p>
        </w:tc>
        <w:tc>
          <w:tcPr>
            <w:tcW w:w="4819" w:type="dxa"/>
          </w:tcPr>
          <w:p w14:paraId="20DBC734" w14:textId="77777777" w:rsidR="008838CB" w:rsidRPr="00602D1F" w:rsidRDefault="008838CB" w:rsidP="00602D1F">
            <w:pPr>
              <w:jc w:val="both"/>
              <w:rPr>
                <w:rFonts w:ascii="Times New Roman" w:hAnsi="Times New Roman" w:cs="Times New Roman"/>
                <w:b/>
                <w:bCs/>
                <w:sz w:val="24"/>
                <w:szCs w:val="24"/>
              </w:rPr>
            </w:pPr>
            <w:r w:rsidRPr="00602D1F">
              <w:rPr>
                <w:rFonts w:ascii="Times New Roman" w:hAnsi="Times New Roman" w:cs="Times New Roman"/>
                <w:b/>
                <w:bCs/>
                <w:sz w:val="24"/>
                <w:szCs w:val="24"/>
              </w:rPr>
              <w:t>Atsižvelgta iš dalies.</w:t>
            </w:r>
          </w:p>
          <w:p w14:paraId="32FA0324" w14:textId="77777777" w:rsidR="008838CB" w:rsidRPr="00602D1F" w:rsidRDefault="008838CB" w:rsidP="00602D1F">
            <w:pPr>
              <w:jc w:val="both"/>
              <w:rPr>
                <w:rFonts w:ascii="Times New Roman" w:hAnsi="Times New Roman" w:cs="Times New Roman"/>
                <w:sz w:val="24"/>
                <w:szCs w:val="24"/>
              </w:rPr>
            </w:pPr>
            <w:r w:rsidRPr="00602D1F">
              <w:rPr>
                <w:rFonts w:ascii="Times New Roman" w:hAnsi="Times New Roman" w:cs="Times New Roman"/>
                <w:sz w:val="24"/>
                <w:szCs w:val="24"/>
              </w:rPr>
              <w:t xml:space="preserve">Straipsnių formuluotės patikslintos atsižvelgiant į Nevyriausybinių organizacijų plėtros įstatymo 7 str. nuostatas. </w:t>
            </w:r>
          </w:p>
          <w:p w14:paraId="4C53E047" w14:textId="7CB7D1D6" w:rsidR="008838CB" w:rsidRPr="00602D1F" w:rsidRDefault="008838CB" w:rsidP="00602D1F">
            <w:pPr>
              <w:jc w:val="both"/>
              <w:rPr>
                <w:rFonts w:ascii="Times New Roman" w:hAnsi="Times New Roman" w:cs="Times New Roman"/>
                <w:b/>
                <w:sz w:val="24"/>
                <w:szCs w:val="24"/>
              </w:rPr>
            </w:pPr>
            <w:r w:rsidRPr="00602D1F">
              <w:rPr>
                <w:rFonts w:ascii="Times New Roman" w:hAnsi="Times New Roman" w:cs="Times New Roman"/>
                <w:sz w:val="24"/>
                <w:szCs w:val="24"/>
              </w:rPr>
              <w:t xml:space="preserve">Pastebėtina, kad prevencijos projektai yra tiksliniai projektai, kurie savo esme neturėtų būti laikoma nuolatinio pobūdžio veikla, </w:t>
            </w:r>
            <w:r w:rsidRPr="00602D1F">
              <w:rPr>
                <w:rFonts w:ascii="Times New Roman" w:hAnsi="Times New Roman" w:cs="Times New Roman"/>
                <w:sz w:val="24"/>
                <w:szCs w:val="24"/>
              </w:rPr>
              <w:lastRenderedPageBreak/>
              <w:t>atsižvelgiant į šių projektų poreikį lemiančių veiksnių ir projektų veiklų pobūdžio kaitą.</w:t>
            </w:r>
          </w:p>
        </w:tc>
      </w:tr>
      <w:tr w:rsidR="008838CB" w:rsidRPr="00602D1F" w14:paraId="003C6EA2" w14:textId="77777777" w:rsidTr="00D5157C">
        <w:tc>
          <w:tcPr>
            <w:tcW w:w="1271" w:type="dxa"/>
          </w:tcPr>
          <w:p w14:paraId="22089713" w14:textId="77777777" w:rsidR="008838CB" w:rsidRPr="00602D1F" w:rsidRDefault="008838CB" w:rsidP="00602D1F">
            <w:pPr>
              <w:rPr>
                <w:rFonts w:ascii="Times New Roman" w:hAnsi="Times New Roman" w:cs="Times New Roman"/>
                <w:sz w:val="24"/>
                <w:szCs w:val="24"/>
              </w:rPr>
            </w:pPr>
          </w:p>
        </w:tc>
        <w:tc>
          <w:tcPr>
            <w:tcW w:w="8567" w:type="dxa"/>
          </w:tcPr>
          <w:p w14:paraId="3E986907" w14:textId="7477244D" w:rsidR="008838CB" w:rsidRPr="00602D1F" w:rsidRDefault="008838CB" w:rsidP="00602D1F">
            <w:pPr>
              <w:widowControl w:val="0"/>
              <w:suppressAutoHyphens/>
              <w:jc w:val="both"/>
              <w:rPr>
                <w:rFonts w:ascii="Times New Roman" w:eastAsia="DejaVu Sans" w:hAnsi="Times New Roman" w:cs="Times New Roman"/>
                <w:iCs/>
                <w:kern w:val="1"/>
                <w:sz w:val="24"/>
                <w:szCs w:val="24"/>
                <w:lang w:eastAsia="ar-SA"/>
              </w:rPr>
            </w:pPr>
            <w:r w:rsidRPr="00602D1F">
              <w:rPr>
                <w:rFonts w:ascii="Times New Roman" w:eastAsia="DejaVu Sans" w:hAnsi="Times New Roman" w:cs="Times New Roman"/>
                <w:iCs/>
                <w:kern w:val="1"/>
                <w:sz w:val="24"/>
                <w:szCs w:val="24"/>
                <w:lang w:eastAsia="ar-SA"/>
              </w:rPr>
              <w:t>12) Siūloma atsisakyti Įstatymo 10 str. kaip perteklinio, dubliuojančio 4 str. nuostatas.</w:t>
            </w:r>
          </w:p>
        </w:tc>
        <w:tc>
          <w:tcPr>
            <w:tcW w:w="4819" w:type="dxa"/>
          </w:tcPr>
          <w:p w14:paraId="48B76F0A" w14:textId="77777777" w:rsidR="008838CB" w:rsidRPr="00602D1F" w:rsidRDefault="008838CB" w:rsidP="00602D1F">
            <w:pPr>
              <w:jc w:val="both"/>
              <w:rPr>
                <w:rFonts w:ascii="Times New Roman" w:hAnsi="Times New Roman" w:cs="Times New Roman"/>
                <w:b/>
                <w:bCs/>
                <w:sz w:val="24"/>
                <w:szCs w:val="24"/>
              </w:rPr>
            </w:pPr>
            <w:r w:rsidRPr="00602D1F">
              <w:rPr>
                <w:rFonts w:ascii="Times New Roman" w:hAnsi="Times New Roman" w:cs="Times New Roman"/>
                <w:b/>
                <w:bCs/>
                <w:sz w:val="24"/>
                <w:szCs w:val="24"/>
              </w:rPr>
              <w:t>Neatsižvelgta.</w:t>
            </w:r>
          </w:p>
          <w:p w14:paraId="6F49D901" w14:textId="77777777" w:rsidR="008838CB" w:rsidRPr="00602D1F" w:rsidRDefault="008838CB" w:rsidP="00602D1F">
            <w:pPr>
              <w:jc w:val="both"/>
              <w:rPr>
                <w:rFonts w:ascii="Times New Roman" w:hAnsi="Times New Roman" w:cs="Times New Roman"/>
                <w:b/>
                <w:bCs/>
                <w:sz w:val="24"/>
                <w:szCs w:val="24"/>
              </w:rPr>
            </w:pPr>
          </w:p>
          <w:p w14:paraId="78020310" w14:textId="40D485E3" w:rsidR="008838CB" w:rsidRPr="00602D1F" w:rsidRDefault="008838CB" w:rsidP="00602D1F">
            <w:pPr>
              <w:jc w:val="both"/>
              <w:rPr>
                <w:rFonts w:ascii="Times New Roman" w:hAnsi="Times New Roman" w:cs="Times New Roman"/>
                <w:bCs/>
                <w:sz w:val="24"/>
                <w:szCs w:val="24"/>
              </w:rPr>
            </w:pPr>
            <w:r w:rsidRPr="00602D1F">
              <w:rPr>
                <w:rFonts w:ascii="Times New Roman" w:hAnsi="Times New Roman" w:cs="Times New Roman"/>
                <w:bCs/>
                <w:sz w:val="24"/>
                <w:szCs w:val="24"/>
              </w:rPr>
              <w:t>Nurodytas Įstatymo projekto straipsnis yra skirtas strateginiam planavimui apibrėžti, todėl jo dalykas nėra tapatus 4 str.</w:t>
            </w:r>
          </w:p>
        </w:tc>
      </w:tr>
    </w:tbl>
    <w:p w14:paraId="7BB61D3C" w14:textId="77777777" w:rsidR="00045B6A" w:rsidRDefault="00045B6A" w:rsidP="00CB1EF9">
      <w:pPr>
        <w:spacing w:after="0" w:line="240" w:lineRule="auto"/>
        <w:jc w:val="center"/>
        <w:rPr>
          <w:rFonts w:ascii="Times New Roman" w:hAnsi="Times New Roman" w:cs="Times New Roman"/>
          <w:sz w:val="24"/>
          <w:szCs w:val="24"/>
        </w:rPr>
      </w:pPr>
    </w:p>
    <w:p w14:paraId="5BCC1AC9" w14:textId="3E5FC930" w:rsidR="00CB1EF9" w:rsidRPr="00487873" w:rsidRDefault="00CB1EF9" w:rsidP="00CB1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2047E4E2" w14:textId="77777777" w:rsidR="00565EF2" w:rsidRPr="00F82D94" w:rsidRDefault="00565EF2">
      <w:pPr>
        <w:rPr>
          <w:rFonts w:ascii="Times New Roman" w:hAnsi="Times New Roman" w:cs="Times New Roman"/>
          <w:sz w:val="24"/>
          <w:szCs w:val="24"/>
        </w:rPr>
      </w:pPr>
    </w:p>
    <w:sectPr w:rsidR="00565EF2" w:rsidRPr="00F82D94" w:rsidSect="00D5157C">
      <w:headerReference w:type="default" r:id="rId8"/>
      <w:pgSz w:w="15840" w:h="12240" w:orient="landscape"/>
      <w:pgMar w:top="567" w:right="720" w:bottom="4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C79DE" w14:textId="77777777" w:rsidR="00FB0AF5" w:rsidRDefault="00FB0AF5" w:rsidP="00CC578B">
      <w:pPr>
        <w:spacing w:after="0" w:line="240" w:lineRule="auto"/>
      </w:pPr>
      <w:r>
        <w:separator/>
      </w:r>
    </w:p>
  </w:endnote>
  <w:endnote w:type="continuationSeparator" w:id="0">
    <w:p w14:paraId="42525D35" w14:textId="77777777" w:rsidR="00FB0AF5" w:rsidRDefault="00FB0AF5" w:rsidP="00CC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w:altName w:val="Arial"/>
    <w:charset w:val="BA"/>
    <w:family w:val="swiss"/>
    <w:pitch w:val="variable"/>
    <w:sig w:usb0="00000000" w:usb1="D200F5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4907B" w14:textId="77777777" w:rsidR="00FB0AF5" w:rsidRDefault="00FB0AF5" w:rsidP="00CC578B">
      <w:pPr>
        <w:spacing w:after="0" w:line="240" w:lineRule="auto"/>
      </w:pPr>
      <w:r>
        <w:separator/>
      </w:r>
    </w:p>
  </w:footnote>
  <w:footnote w:type="continuationSeparator" w:id="0">
    <w:p w14:paraId="6D129DB8" w14:textId="77777777" w:rsidR="00FB0AF5" w:rsidRDefault="00FB0AF5" w:rsidP="00CC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418367"/>
      <w:docPartObj>
        <w:docPartGallery w:val="Page Numbers (Top of Page)"/>
        <w:docPartUnique/>
      </w:docPartObj>
    </w:sdtPr>
    <w:sdtEndPr/>
    <w:sdtContent>
      <w:p w14:paraId="3BD81F95" w14:textId="5A2123F3" w:rsidR="007E658B" w:rsidRDefault="007E658B">
        <w:pPr>
          <w:pStyle w:val="Antrats"/>
          <w:jc w:val="center"/>
        </w:pPr>
        <w:r>
          <w:fldChar w:fldCharType="begin"/>
        </w:r>
        <w:r>
          <w:instrText>PAGE   \* MERGEFORMAT</w:instrText>
        </w:r>
        <w:r>
          <w:fldChar w:fldCharType="separate"/>
        </w:r>
        <w:r>
          <w:t>2</w:t>
        </w:r>
        <w:r>
          <w:fldChar w:fldCharType="end"/>
        </w:r>
      </w:p>
    </w:sdtContent>
  </w:sdt>
  <w:p w14:paraId="2759F1AA" w14:textId="77777777" w:rsidR="007E658B" w:rsidRDefault="007E65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646099"/>
    <w:multiLevelType w:val="multilevel"/>
    <w:tmpl w:val="32646099"/>
    <w:lvl w:ilvl="0">
      <w:start w:val="1"/>
      <w:numFmt w:val="decimal"/>
      <w:lvlText w:val="%1."/>
      <w:lvlJc w:val="left"/>
      <w:pPr>
        <w:ind w:left="1211"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1" w15:restartNumberingAfterBreak="0">
    <w:nsid w:val="3C0F3EDE"/>
    <w:multiLevelType w:val="hybridMultilevel"/>
    <w:tmpl w:val="FBF6A4EE"/>
    <w:lvl w:ilvl="0" w:tplc="491E61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34247"/>
    <w:multiLevelType w:val="hybridMultilevel"/>
    <w:tmpl w:val="B3926E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66"/>
    <w:rsid w:val="00002C19"/>
    <w:rsid w:val="0003373E"/>
    <w:rsid w:val="00045B6A"/>
    <w:rsid w:val="00055DF6"/>
    <w:rsid w:val="00056CE2"/>
    <w:rsid w:val="00062D4B"/>
    <w:rsid w:val="00141C81"/>
    <w:rsid w:val="001805B1"/>
    <w:rsid w:val="0018202C"/>
    <w:rsid w:val="001945E6"/>
    <w:rsid w:val="001A018B"/>
    <w:rsid w:val="00206AFA"/>
    <w:rsid w:val="00223DEF"/>
    <w:rsid w:val="00233D63"/>
    <w:rsid w:val="00243CAC"/>
    <w:rsid w:val="00247166"/>
    <w:rsid w:val="002501DA"/>
    <w:rsid w:val="002613FF"/>
    <w:rsid w:val="0027641F"/>
    <w:rsid w:val="00285ABF"/>
    <w:rsid w:val="00290289"/>
    <w:rsid w:val="00291B28"/>
    <w:rsid w:val="002A0D43"/>
    <w:rsid w:val="00301F6C"/>
    <w:rsid w:val="00301FB8"/>
    <w:rsid w:val="003105C1"/>
    <w:rsid w:val="003403A6"/>
    <w:rsid w:val="003D18CE"/>
    <w:rsid w:val="003E2107"/>
    <w:rsid w:val="003E508D"/>
    <w:rsid w:val="003F373D"/>
    <w:rsid w:val="004240AB"/>
    <w:rsid w:val="004659D7"/>
    <w:rsid w:val="004867E3"/>
    <w:rsid w:val="0048703F"/>
    <w:rsid w:val="00494B2C"/>
    <w:rsid w:val="0049550B"/>
    <w:rsid w:val="004A2866"/>
    <w:rsid w:val="004D6E04"/>
    <w:rsid w:val="004F79F8"/>
    <w:rsid w:val="00516BE8"/>
    <w:rsid w:val="00530F57"/>
    <w:rsid w:val="0054071B"/>
    <w:rsid w:val="00565EF2"/>
    <w:rsid w:val="005676B6"/>
    <w:rsid w:val="005C144A"/>
    <w:rsid w:val="005D095A"/>
    <w:rsid w:val="005E1E6C"/>
    <w:rsid w:val="00602D1F"/>
    <w:rsid w:val="0062098F"/>
    <w:rsid w:val="00636D1B"/>
    <w:rsid w:val="00645FDA"/>
    <w:rsid w:val="006718CC"/>
    <w:rsid w:val="006D4F01"/>
    <w:rsid w:val="00700EA3"/>
    <w:rsid w:val="00704C66"/>
    <w:rsid w:val="00715DF1"/>
    <w:rsid w:val="00721BDD"/>
    <w:rsid w:val="00733EA6"/>
    <w:rsid w:val="00740E79"/>
    <w:rsid w:val="007E2DB9"/>
    <w:rsid w:val="007E351F"/>
    <w:rsid w:val="007E658B"/>
    <w:rsid w:val="008504B5"/>
    <w:rsid w:val="00852AF6"/>
    <w:rsid w:val="00862173"/>
    <w:rsid w:val="00870F89"/>
    <w:rsid w:val="008838CB"/>
    <w:rsid w:val="0088434A"/>
    <w:rsid w:val="00886FED"/>
    <w:rsid w:val="008930FC"/>
    <w:rsid w:val="008D7D86"/>
    <w:rsid w:val="008E5579"/>
    <w:rsid w:val="008F20CC"/>
    <w:rsid w:val="00912908"/>
    <w:rsid w:val="00915224"/>
    <w:rsid w:val="00931668"/>
    <w:rsid w:val="0097539D"/>
    <w:rsid w:val="0098405F"/>
    <w:rsid w:val="009C09F2"/>
    <w:rsid w:val="009C4FB2"/>
    <w:rsid w:val="009D709E"/>
    <w:rsid w:val="009E2FDE"/>
    <w:rsid w:val="009F5056"/>
    <w:rsid w:val="009F5B67"/>
    <w:rsid w:val="00A02385"/>
    <w:rsid w:val="00A36176"/>
    <w:rsid w:val="00A467CD"/>
    <w:rsid w:val="00B0169B"/>
    <w:rsid w:val="00B02A38"/>
    <w:rsid w:val="00B04AEC"/>
    <w:rsid w:val="00B41BC3"/>
    <w:rsid w:val="00B56BE5"/>
    <w:rsid w:val="00B65930"/>
    <w:rsid w:val="00B7527E"/>
    <w:rsid w:val="00B75650"/>
    <w:rsid w:val="00BE54AB"/>
    <w:rsid w:val="00BE7E2A"/>
    <w:rsid w:val="00BF55E7"/>
    <w:rsid w:val="00C220E4"/>
    <w:rsid w:val="00C3149F"/>
    <w:rsid w:val="00C744C7"/>
    <w:rsid w:val="00CB1AD5"/>
    <w:rsid w:val="00CB1EF9"/>
    <w:rsid w:val="00CC578B"/>
    <w:rsid w:val="00D45672"/>
    <w:rsid w:val="00D47380"/>
    <w:rsid w:val="00D5157C"/>
    <w:rsid w:val="00D73B96"/>
    <w:rsid w:val="00DA352F"/>
    <w:rsid w:val="00DC1CA3"/>
    <w:rsid w:val="00DD6202"/>
    <w:rsid w:val="00E03BA3"/>
    <w:rsid w:val="00E52246"/>
    <w:rsid w:val="00E62F33"/>
    <w:rsid w:val="00E73672"/>
    <w:rsid w:val="00E91606"/>
    <w:rsid w:val="00EC469F"/>
    <w:rsid w:val="00EF3DC8"/>
    <w:rsid w:val="00F04FB4"/>
    <w:rsid w:val="00F35000"/>
    <w:rsid w:val="00F3657E"/>
    <w:rsid w:val="00F36A65"/>
    <w:rsid w:val="00F82D94"/>
    <w:rsid w:val="00F8701C"/>
    <w:rsid w:val="00FB0AF5"/>
    <w:rsid w:val="00FB7CA6"/>
    <w:rsid w:val="00FC59E5"/>
    <w:rsid w:val="00FC6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A8B1"/>
  <w15:chartTrackingRefBased/>
  <w15:docId w15:val="{F1F4DA9E-6C92-4721-9F53-7FD9FC91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CB1EF9"/>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8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8405F"/>
    <w:pPr>
      <w:ind w:left="720"/>
      <w:contextualSpacing/>
    </w:pPr>
  </w:style>
  <w:style w:type="paragraph" w:customStyle="1" w:styleId="Antrats1">
    <w:name w:val="Antraštės1"/>
    <w:basedOn w:val="prastasis"/>
    <w:rsid w:val="00E62F33"/>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E62F33"/>
  </w:style>
  <w:style w:type="paragraph" w:customStyle="1" w:styleId="Standard">
    <w:name w:val="Standard"/>
    <w:rsid w:val="00E62F33"/>
    <w:pPr>
      <w:autoSpaceDN w:val="0"/>
      <w:spacing w:after="0" w:line="240" w:lineRule="auto"/>
      <w:textAlignment w:val="baseline"/>
    </w:pPr>
    <w:rPr>
      <w:rFonts w:ascii="Times New Roman" w:eastAsia="Times New Roman" w:hAnsi="Times New Roman" w:cs="Times New Roman"/>
      <w:sz w:val="20"/>
      <w:szCs w:val="20"/>
      <w:lang w:eastAsia="lt-LT"/>
    </w:rPr>
  </w:style>
  <w:style w:type="character" w:styleId="Puslapioinaosnuoroda">
    <w:name w:val="footnote reference"/>
    <w:rsid w:val="00CC578B"/>
    <w:rPr>
      <w:rFonts w:cs="Times New Roman"/>
      <w:vertAlign w:val="superscript"/>
    </w:rPr>
  </w:style>
  <w:style w:type="paragraph" w:styleId="Pagrindiniotekstotrauka">
    <w:name w:val="Body Text Indent"/>
    <w:basedOn w:val="prastasis"/>
    <w:link w:val="PagrindiniotekstotraukaDiagrama"/>
    <w:uiPriority w:val="99"/>
    <w:rsid w:val="00CC578B"/>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uiPriority w:val="99"/>
    <w:qFormat/>
    <w:rsid w:val="00CC578B"/>
    <w:rPr>
      <w:rFonts w:ascii="Times New Roman" w:eastAsia="Times New Roman" w:hAnsi="Times New Roman" w:cs="Times New Roman"/>
      <w:sz w:val="24"/>
      <w:szCs w:val="20"/>
      <w:lang w:eastAsia="lt-LT"/>
    </w:rPr>
  </w:style>
  <w:style w:type="character" w:styleId="Hipersaitas">
    <w:name w:val="Hyperlink"/>
    <w:uiPriority w:val="99"/>
    <w:rsid w:val="00CC578B"/>
    <w:rPr>
      <w:rFonts w:ascii="Times New Roman" w:hAnsi="Times New Roman" w:cs="Times New Roman"/>
      <w:color w:val="0000FF"/>
      <w:u w:val="single"/>
    </w:rPr>
  </w:style>
  <w:style w:type="paragraph" w:styleId="Puslapioinaostekstas">
    <w:name w:val="footnote text"/>
    <w:basedOn w:val="prastasis"/>
    <w:link w:val="PuslapioinaostekstasDiagrama"/>
    <w:rsid w:val="00CC578B"/>
    <w:pPr>
      <w:spacing w:after="0" w:line="240" w:lineRule="auto"/>
    </w:pPr>
    <w:rPr>
      <w:rFonts w:ascii="Arial" w:eastAsia="Calibri" w:hAnsi="Arial" w:cs="Times New Roman"/>
      <w:sz w:val="20"/>
      <w:szCs w:val="20"/>
      <w:lang w:eastAsia="lt-LT"/>
    </w:rPr>
  </w:style>
  <w:style w:type="character" w:customStyle="1" w:styleId="PuslapioinaostekstasDiagrama">
    <w:name w:val="Puslapio išnašos tekstas Diagrama"/>
    <w:basedOn w:val="Numatytasispastraiposriftas"/>
    <w:link w:val="Puslapioinaostekstas"/>
    <w:rsid w:val="00CC578B"/>
    <w:rPr>
      <w:rFonts w:ascii="Arial" w:eastAsia="Calibri" w:hAnsi="Arial" w:cs="Times New Roman"/>
      <w:sz w:val="20"/>
      <w:szCs w:val="20"/>
      <w:lang w:eastAsia="lt-LT"/>
    </w:rPr>
  </w:style>
  <w:style w:type="paragraph" w:styleId="prastasiniatinklio">
    <w:name w:val="Normal (Web)"/>
    <w:basedOn w:val="prastasis"/>
    <w:uiPriority w:val="99"/>
    <w:unhideWhenUsed/>
    <w:rsid w:val="006718C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DD6202"/>
    <w:rPr>
      <w:sz w:val="16"/>
      <w:szCs w:val="16"/>
    </w:rPr>
  </w:style>
  <w:style w:type="paragraph" w:styleId="Komentarotekstas">
    <w:name w:val="annotation text"/>
    <w:basedOn w:val="prastasis"/>
    <w:link w:val="KomentarotekstasDiagrama"/>
    <w:unhideWhenUsed/>
    <w:qFormat/>
    <w:rsid w:val="00DD6202"/>
    <w:pPr>
      <w:spacing w:line="240" w:lineRule="auto"/>
    </w:pPr>
    <w:rPr>
      <w:sz w:val="20"/>
      <w:szCs w:val="20"/>
    </w:rPr>
  </w:style>
  <w:style w:type="character" w:customStyle="1" w:styleId="KomentarotekstasDiagrama">
    <w:name w:val="Komentaro tekstas Diagrama"/>
    <w:basedOn w:val="Numatytasispastraiposriftas"/>
    <w:link w:val="Komentarotekstas"/>
    <w:qFormat/>
    <w:rsid w:val="00DD6202"/>
    <w:rPr>
      <w:sz w:val="20"/>
      <w:szCs w:val="20"/>
    </w:rPr>
  </w:style>
  <w:style w:type="paragraph" w:styleId="Komentarotema">
    <w:name w:val="annotation subject"/>
    <w:basedOn w:val="Komentarotekstas"/>
    <w:next w:val="Komentarotekstas"/>
    <w:link w:val="KomentarotemaDiagrama"/>
    <w:uiPriority w:val="99"/>
    <w:semiHidden/>
    <w:unhideWhenUsed/>
    <w:rsid w:val="00DD6202"/>
    <w:rPr>
      <w:b/>
      <w:bCs/>
    </w:rPr>
  </w:style>
  <w:style w:type="character" w:customStyle="1" w:styleId="KomentarotemaDiagrama">
    <w:name w:val="Komentaro tema Diagrama"/>
    <w:basedOn w:val="KomentarotekstasDiagrama"/>
    <w:link w:val="Komentarotema"/>
    <w:uiPriority w:val="99"/>
    <w:semiHidden/>
    <w:rsid w:val="00DD6202"/>
    <w:rPr>
      <w:b/>
      <w:bCs/>
      <w:sz w:val="20"/>
      <w:szCs w:val="20"/>
    </w:rPr>
  </w:style>
  <w:style w:type="paragraph" w:styleId="Antrats">
    <w:name w:val="header"/>
    <w:aliases w:val="Char,Diagrama,Diagrama Diagrama Diagrama"/>
    <w:basedOn w:val="prastasis"/>
    <w:link w:val="AntratsDiagrama"/>
    <w:uiPriority w:val="99"/>
    <w:rsid w:val="00F82D9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aliases w:val="Char Diagrama,Diagrama Diagrama,Diagrama Diagrama Diagrama Diagrama"/>
    <w:basedOn w:val="Numatytasispastraiposriftas"/>
    <w:link w:val="Antrats"/>
    <w:uiPriority w:val="99"/>
    <w:rsid w:val="00F82D94"/>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B65930"/>
    <w:rPr>
      <w:color w:val="605E5C"/>
      <w:shd w:val="clear" w:color="auto" w:fill="E1DFDD"/>
    </w:rPr>
  </w:style>
  <w:style w:type="character" w:customStyle="1" w:styleId="Antrat2Diagrama">
    <w:name w:val="Antraštė 2 Diagrama"/>
    <w:basedOn w:val="Numatytasispastraiposriftas"/>
    <w:link w:val="Antrat2"/>
    <w:rsid w:val="00CB1EF9"/>
    <w:rPr>
      <w:rFonts w:ascii="Times New Roman" w:eastAsia="Times New Roman" w:hAnsi="Times New Roman" w:cs="Times New Roman"/>
      <w:b/>
      <w:caps/>
      <w:sz w:val="24"/>
      <w:szCs w:val="20"/>
      <w:lang w:val="x-none" w:eastAsia="x-none"/>
    </w:rPr>
  </w:style>
  <w:style w:type="paragraph" w:styleId="Porat">
    <w:name w:val="footer"/>
    <w:basedOn w:val="prastasis"/>
    <w:link w:val="PoratDiagrama"/>
    <w:uiPriority w:val="99"/>
    <w:unhideWhenUsed/>
    <w:rsid w:val="007E65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76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04BC-C52F-4106-99DB-02F73E8F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18</Pages>
  <Words>34548</Words>
  <Characters>19693</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2021-08-13T12:10:00Z</dcterms:created>
  <dc:creator>Eitvydas Zurba</dc:creator>
  <cp:lastModifiedBy>Lina Charašauskaitė</cp:lastModifiedBy>
  <dcterms:modified xsi:type="dcterms:W3CDTF">2021-09-10T10:57:00Z</dcterms:modified>
  <cp:revision>74</cp:revision>
</cp:coreProperties>
</file>