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FE0" w:rsidRPr="00EC68C1" w:rsidRDefault="002925FE" w:rsidP="00CA3F2B">
      <w:pPr>
        <w:ind w:firstLine="567"/>
        <w:jc w:val="center"/>
        <w:rPr>
          <w:b/>
        </w:rPr>
      </w:pPr>
      <w:r w:rsidRPr="00CA3F2B">
        <w:rPr>
          <w:b/>
        </w:rPr>
        <w:t>REGLAMENTO (ES) NR.</w:t>
      </w:r>
      <w:r w:rsidR="00EC68C1" w:rsidRPr="00EC68C1">
        <w:rPr>
          <w:b/>
        </w:rPr>
        <w:t xml:space="preserve"> 2018/1999 </w:t>
      </w:r>
      <w:r w:rsidRPr="002925FE">
        <w:rPr>
          <w:b/>
        </w:rPr>
        <w:t xml:space="preserve">IR </w:t>
      </w:r>
      <w:r w:rsidR="00EC68C1" w:rsidRPr="00EC68C1">
        <w:rPr>
          <w:rFonts w:eastAsia="Times New Roman"/>
          <w:b/>
        </w:rPr>
        <w:t xml:space="preserve">LIETUVOS RESPUBLIKOS VYRIAUSYBĖS 2011 M. LIEPOS 8 D. NUTARIMO NR. 683 „DĖL NACIONALINĖS IŠMETAMŲ Į ATMOSFERĄ ŠILTNAMIO EFEKTĄ SUKELIANČIŲ DUJŲ APSKAITOS ATASKAITOS RENGIMO KOMISIJOS SUDARYMO“ </w:t>
      </w:r>
      <w:r w:rsidR="00EC68C1" w:rsidRPr="00EC68C1">
        <w:rPr>
          <w:b/>
        </w:rPr>
        <w:t>PAKEITIMO PROJEKTO ATITIKTIES LENTELĖ</w:t>
      </w:r>
    </w:p>
    <w:p w:rsidR="004B71AB" w:rsidRDefault="004B71AB" w:rsidP="00CA3F2B">
      <w:pPr>
        <w:ind w:firstLine="567"/>
        <w:jc w:val="center"/>
        <w:rPr>
          <w:b/>
        </w:rPr>
      </w:pPr>
    </w:p>
    <w:p w:rsidR="002925FE" w:rsidRDefault="002925FE" w:rsidP="00CA3F2B">
      <w:pPr>
        <w:ind w:firstLine="567"/>
        <w:jc w:val="center"/>
        <w:rPr>
          <w:rFonts w:eastAsia="Times New Roman"/>
          <w:b/>
          <w:lang w:val="de-DE" w:eastAsia="ar-SA"/>
        </w:rPr>
      </w:pPr>
    </w:p>
    <w:tbl>
      <w:tblPr>
        <w:tblW w:w="14175" w:type="dxa"/>
        <w:tblInd w:w="392" w:type="dxa"/>
        <w:tblLayout w:type="fixed"/>
        <w:tblLook w:val="0000" w:firstRow="0" w:lastRow="0" w:firstColumn="0" w:lastColumn="0" w:noHBand="0" w:noVBand="0"/>
      </w:tblPr>
      <w:tblGrid>
        <w:gridCol w:w="5670"/>
        <w:gridCol w:w="5953"/>
        <w:gridCol w:w="2552"/>
      </w:tblGrid>
      <w:tr w:rsidR="00F0598D" w:rsidRPr="001B1D1F" w:rsidTr="000167D9">
        <w:tc>
          <w:tcPr>
            <w:tcW w:w="5670" w:type="dxa"/>
            <w:tcBorders>
              <w:top w:val="single" w:sz="4" w:space="0" w:color="000000"/>
              <w:left w:val="single" w:sz="4" w:space="0" w:color="000000"/>
              <w:bottom w:val="single" w:sz="4" w:space="0" w:color="000000"/>
            </w:tcBorders>
          </w:tcPr>
          <w:p w:rsidR="00335E02" w:rsidRPr="00200603" w:rsidRDefault="00EC68C1" w:rsidP="00816A2A">
            <w:pPr>
              <w:pStyle w:val="BodyText"/>
              <w:jc w:val="both"/>
              <w:rPr>
                <w:b/>
                <w:bCs/>
              </w:rPr>
            </w:pPr>
            <w:r w:rsidRPr="00EC68C1">
              <w:rPr>
                <w:b/>
                <w:bCs/>
              </w:rPr>
              <w:t xml:space="preserve">2018 m. gruodžio 11 d. Europos </w:t>
            </w:r>
            <w:r>
              <w:rPr>
                <w:b/>
                <w:bCs/>
              </w:rPr>
              <w:t>Parlamento ir Tarybos reglamentas</w:t>
            </w:r>
            <w:r w:rsidRPr="00EC68C1">
              <w:rPr>
                <w:b/>
                <w:bCs/>
              </w:rPr>
              <w:t xml:space="preserve"> (ES) 2018/1999 dėl energetikos sąjungos ir klimato politikos veiksmų valdymo, kuriuo iš dalies keičiami Europos Parlamento ir Tarybos reglamentai (EB) Nr. 663/2009 ir (EB) Nr. 715/2009, Europos Parlamento ir Tarybos direktyvos 94/22/EB, 98/70/EB, 2009/31/EB, 2009/73/EB, 2010/31/ES, 2012/27/ES ir 2013/30/ES, Tarybos direktyvos 2009/119/EB ir (ES) 2015/652 ir panaikinamas Europos Parlamento ir Tarybos reglamentas (ES) Nr. 525/2013</w:t>
            </w:r>
          </w:p>
        </w:tc>
        <w:tc>
          <w:tcPr>
            <w:tcW w:w="5953" w:type="dxa"/>
            <w:tcBorders>
              <w:top w:val="single" w:sz="4" w:space="0" w:color="000000"/>
              <w:left w:val="single" w:sz="4" w:space="0" w:color="000000"/>
              <w:bottom w:val="single" w:sz="4" w:space="0" w:color="000000"/>
            </w:tcBorders>
          </w:tcPr>
          <w:p w:rsidR="002925FE" w:rsidRPr="00323332" w:rsidRDefault="00EC68C1" w:rsidP="00D530AF">
            <w:pPr>
              <w:jc w:val="both"/>
              <w:rPr>
                <w:rFonts w:eastAsia="Andale Sans UI" w:cs="Tahoma"/>
                <w:b/>
                <w:lang w:eastAsia="en-US" w:bidi="en-US"/>
              </w:rPr>
            </w:pPr>
            <w:r w:rsidRPr="00EC68C1">
              <w:rPr>
                <w:b/>
              </w:rPr>
              <w:t xml:space="preserve">Lietuvos Respublikos Vyriausybės 2011 m. liepos 8 d. nutarimo Nr. 683 „Dėl Nacionalinės išmetamų į atmosferą šiltnamio efektą sukeliančių dujų apskaitos ataskaitos rengimo komisijos sudarymo“ </w:t>
            </w:r>
            <w:r w:rsidR="008763D7" w:rsidRPr="00EC68C1">
              <w:rPr>
                <w:b/>
              </w:rPr>
              <w:t>pakeitimo</w:t>
            </w:r>
            <w:r w:rsidR="008763D7">
              <w:rPr>
                <w:b/>
                <w:bCs/>
              </w:rPr>
              <w:t xml:space="preserve"> projektas</w:t>
            </w:r>
          </w:p>
        </w:tc>
        <w:tc>
          <w:tcPr>
            <w:tcW w:w="2552" w:type="dxa"/>
            <w:tcBorders>
              <w:top w:val="single" w:sz="4" w:space="0" w:color="000000"/>
              <w:left w:val="single" w:sz="4" w:space="0" w:color="000000"/>
              <w:bottom w:val="single" w:sz="4" w:space="0" w:color="000000"/>
              <w:right w:val="single" w:sz="4" w:space="0" w:color="000000"/>
            </w:tcBorders>
          </w:tcPr>
          <w:p w:rsidR="00F0598D" w:rsidRPr="008763D7" w:rsidRDefault="00AB1D7F" w:rsidP="00DC7755">
            <w:pPr>
              <w:snapToGrid w:val="0"/>
              <w:jc w:val="both"/>
              <w:rPr>
                <w:rFonts w:eastAsia="Times New Roman"/>
                <w:b/>
                <w:lang w:eastAsia="ar-SA"/>
              </w:rPr>
            </w:pPr>
            <w:r w:rsidRPr="008763D7">
              <w:rPr>
                <w:rFonts w:eastAsia="Times New Roman"/>
                <w:b/>
                <w:lang w:eastAsia="ar-SA"/>
              </w:rPr>
              <w:t xml:space="preserve">ES teisės akto </w:t>
            </w:r>
          </w:p>
          <w:p w:rsidR="00F0598D" w:rsidRPr="001B1D1F" w:rsidRDefault="00F0598D" w:rsidP="006E77D7">
            <w:pPr>
              <w:snapToGrid w:val="0"/>
              <w:jc w:val="both"/>
              <w:rPr>
                <w:rFonts w:eastAsia="Times New Roman"/>
                <w:b/>
                <w:lang w:val="fr-FR" w:eastAsia="ar-SA"/>
              </w:rPr>
            </w:pPr>
            <w:r w:rsidRPr="00335E02">
              <w:rPr>
                <w:rFonts w:eastAsia="Times New Roman"/>
                <w:b/>
                <w:lang w:eastAsia="ar-SA"/>
              </w:rPr>
              <w:t>įgyvendinimo</w:t>
            </w:r>
            <w:r w:rsidRPr="001B1D1F">
              <w:rPr>
                <w:rFonts w:eastAsia="Times New Roman"/>
                <w:b/>
                <w:lang w:val="fr-FR" w:eastAsia="ar-SA"/>
              </w:rPr>
              <w:t xml:space="preserve"> </w:t>
            </w:r>
            <w:r w:rsidRPr="00335E02">
              <w:rPr>
                <w:rFonts w:eastAsia="Times New Roman"/>
                <w:b/>
                <w:lang w:eastAsia="ar-SA"/>
              </w:rPr>
              <w:t>lygis</w:t>
            </w:r>
            <w:r w:rsidRPr="001B1D1F">
              <w:rPr>
                <w:rFonts w:eastAsia="Times New Roman"/>
                <w:b/>
                <w:lang w:val="fr-FR" w:eastAsia="ar-SA"/>
              </w:rPr>
              <w:t xml:space="preserve"> </w:t>
            </w:r>
          </w:p>
        </w:tc>
      </w:tr>
      <w:tr w:rsidR="002E3B98" w:rsidRPr="001B1D1F" w:rsidTr="000167D9">
        <w:tc>
          <w:tcPr>
            <w:tcW w:w="5670" w:type="dxa"/>
            <w:tcBorders>
              <w:top w:val="single" w:sz="4" w:space="0" w:color="000000"/>
              <w:left w:val="single" w:sz="4" w:space="0" w:color="000000"/>
              <w:bottom w:val="single" w:sz="4" w:space="0" w:color="000000"/>
            </w:tcBorders>
          </w:tcPr>
          <w:p w:rsidR="004C29CB" w:rsidRPr="004C29CB" w:rsidRDefault="004C29CB" w:rsidP="004C29CB">
            <w:pPr>
              <w:pStyle w:val="ti-art"/>
              <w:shd w:val="clear" w:color="auto" w:fill="FFFFFF"/>
              <w:spacing w:before="360" w:beforeAutospacing="0" w:after="120" w:afterAutospacing="0" w:line="312" w:lineRule="atLeast"/>
              <w:jc w:val="center"/>
              <w:rPr>
                <w:i/>
                <w:iCs/>
              </w:rPr>
            </w:pPr>
            <w:r w:rsidRPr="004C29CB">
              <w:rPr>
                <w:i/>
                <w:iCs/>
              </w:rPr>
              <w:t>26 straipsnis</w:t>
            </w:r>
          </w:p>
          <w:p w:rsidR="004C29CB" w:rsidRPr="004C29CB" w:rsidRDefault="004C29CB" w:rsidP="004C29CB">
            <w:pPr>
              <w:pStyle w:val="sti-art"/>
              <w:shd w:val="clear" w:color="auto" w:fill="FFFFFF"/>
              <w:spacing w:before="60" w:beforeAutospacing="0" w:after="120" w:afterAutospacing="0" w:line="312" w:lineRule="atLeast"/>
              <w:jc w:val="center"/>
              <w:rPr>
                <w:b/>
                <w:bCs/>
              </w:rPr>
            </w:pPr>
            <w:r w:rsidRPr="004C29CB">
              <w:rPr>
                <w:b/>
                <w:bCs/>
              </w:rPr>
              <w:t>Metinių ataskaitų teikimas</w:t>
            </w:r>
          </w:p>
          <w:p w:rsidR="004C29CB" w:rsidRPr="004C29CB" w:rsidRDefault="004C29CB" w:rsidP="004C29CB">
            <w:pPr>
              <w:widowControl/>
              <w:shd w:val="clear" w:color="auto" w:fill="FFFFFF"/>
              <w:suppressAutoHyphens w:val="0"/>
              <w:spacing w:before="120" w:line="312" w:lineRule="atLeast"/>
              <w:jc w:val="both"/>
              <w:rPr>
                <w:rFonts w:eastAsia="Times New Roman"/>
              </w:rPr>
            </w:pPr>
            <w:r w:rsidRPr="004C29CB">
              <w:rPr>
                <w:rFonts w:eastAsia="Times New Roman"/>
              </w:rPr>
              <w:t>3.   Pradedant nuo 2023 m., iki kiekvienų metų (X metai) sausio 15 d. valstybės narės nustato ir Komisijai pateikia preliminarius, o iki kovo 15 d. – galutinius ŠESD apskaitos duomenis, įskaitant ŠESD ir apskaitos informaciją, nurodytą V priede. Į galutinių ŠESD apskaitos duomenų ataskaitą įtraukiama ir išsami naujausia nacionalinės apskaitos ataskaita. Gavusi ataskaitas, Komisija per tris mėnesius 44 straipsnio 1 dalies a punkte nurodytam Klimato kaitos komitetui pateikia V priedo 1 dalies n punkte nurodytą informaciją.</w:t>
            </w:r>
          </w:p>
          <w:p w:rsidR="004C29CB" w:rsidRPr="004C29CB" w:rsidRDefault="004C29CB" w:rsidP="004C29CB">
            <w:pPr>
              <w:widowControl/>
              <w:shd w:val="clear" w:color="auto" w:fill="FFFFFF"/>
              <w:suppressAutoHyphens w:val="0"/>
              <w:spacing w:before="120" w:line="312" w:lineRule="atLeast"/>
              <w:jc w:val="both"/>
              <w:rPr>
                <w:rFonts w:eastAsia="Times New Roman"/>
              </w:rPr>
            </w:pPr>
            <w:r w:rsidRPr="004C29CB">
              <w:rPr>
                <w:rFonts w:eastAsia="Times New Roman"/>
              </w:rPr>
              <w:t xml:space="preserve">4.   Iki kiekvienų metų balandžio 15 d. valstybės narės </w:t>
            </w:r>
            <w:r w:rsidRPr="004C29CB">
              <w:rPr>
                <w:rFonts w:eastAsia="Times New Roman"/>
              </w:rPr>
              <w:lastRenderedPageBreak/>
              <w:t>nacionalinės apskaitos duomenis, apimančius Komisijai pagal 3 dalį pateiktą informaciją apie galutinius ŠESD apskaitos duomenis, pateikia UNFCCC sekretoriatui. Bendradarbiaudama su valstybėmis narėmis, Komisija kasmet surenka Sąjungos ŠESD apskaitos duomenis, parengia Sąjungos ŠESD apskaitos ataskaitą ir iki balandžio 15 d. pateikia juos UNFCCC sekretoriatui.</w:t>
            </w:r>
          </w:p>
          <w:p w:rsidR="004C29CB" w:rsidRPr="004C29CB" w:rsidRDefault="004C29CB" w:rsidP="004C29CB">
            <w:pPr>
              <w:pStyle w:val="sti-art"/>
              <w:shd w:val="clear" w:color="auto" w:fill="FFFFFF"/>
              <w:spacing w:before="60" w:beforeAutospacing="0" w:after="120" w:afterAutospacing="0" w:line="312" w:lineRule="atLeast"/>
              <w:rPr>
                <w:b/>
                <w:bCs/>
              </w:rPr>
            </w:pPr>
          </w:p>
          <w:p w:rsidR="00F23A12" w:rsidRPr="004C29CB" w:rsidRDefault="00F23A12" w:rsidP="002E3B98">
            <w:pPr>
              <w:pStyle w:val="BodyText"/>
              <w:jc w:val="both"/>
              <w:rPr>
                <w:bCs/>
              </w:rPr>
            </w:pPr>
          </w:p>
        </w:tc>
        <w:tc>
          <w:tcPr>
            <w:tcW w:w="5953" w:type="dxa"/>
            <w:tcBorders>
              <w:top w:val="single" w:sz="4" w:space="0" w:color="000000"/>
              <w:left w:val="single" w:sz="4" w:space="0" w:color="000000"/>
              <w:bottom w:val="single" w:sz="4" w:space="0" w:color="000000"/>
            </w:tcBorders>
          </w:tcPr>
          <w:p w:rsidR="005927DB" w:rsidRPr="00E952CF" w:rsidRDefault="005927DB" w:rsidP="005927DB">
            <w:pPr>
              <w:ind w:firstLine="720"/>
              <w:rPr>
                <w:color w:val="000000"/>
              </w:rPr>
            </w:pPr>
            <w:r w:rsidRPr="00E952CF">
              <w:rPr>
                <w:color w:val="000000"/>
              </w:rPr>
              <w:lastRenderedPageBreak/>
              <w:t>Lietuvos Respublikos Vyriausybė n u t a r i a:</w:t>
            </w:r>
          </w:p>
          <w:p w:rsidR="005927DB" w:rsidRPr="00E952CF" w:rsidRDefault="005927DB" w:rsidP="005927DB">
            <w:pPr>
              <w:ind w:firstLine="720"/>
              <w:jc w:val="both"/>
              <w:rPr>
                <w:color w:val="000000"/>
              </w:rPr>
            </w:pPr>
            <w:r w:rsidRPr="00E952CF">
              <w:rPr>
                <w:color w:val="000000"/>
              </w:rPr>
              <w:t xml:space="preserve">Pakeisti Lietuvos Respublikos Vyriausybės </w:t>
            </w:r>
            <w:r w:rsidRPr="00E952CF">
              <w:t xml:space="preserve">2011 m. birželio 8 d. nutarimą Nr. 683 „Dėl </w:t>
            </w:r>
            <w:r w:rsidRPr="00E952CF">
              <w:rPr>
                <w:bCs/>
              </w:rPr>
              <w:t>Nacionalinės išmetamų į atmosferą šiltnamio efektą sukeliančių dujų apskaitos ataskaitos rengimo komisijos sudarymo</w:t>
            </w:r>
            <w:r w:rsidRPr="00E952CF">
              <w:t>“</w:t>
            </w:r>
            <w:r w:rsidRPr="00E952CF">
              <w:rPr>
                <w:color w:val="000000"/>
              </w:rPr>
              <w:t>:</w:t>
            </w:r>
          </w:p>
          <w:p w:rsidR="005927DB" w:rsidRPr="00E952CF" w:rsidRDefault="005927DB" w:rsidP="005927DB">
            <w:pPr>
              <w:spacing w:line="360" w:lineRule="atLeast"/>
              <w:ind w:firstLine="720"/>
              <w:jc w:val="both"/>
            </w:pPr>
            <w:r w:rsidRPr="00E952CF">
              <w:rPr>
                <w:color w:val="000000"/>
              </w:rPr>
              <w:t>1. Pakeisti</w:t>
            </w:r>
            <w:bookmarkStart w:id="0" w:name="part_3b3fe1308bcd4edb951363f4d08436dd"/>
            <w:bookmarkEnd w:id="0"/>
            <w:r w:rsidRPr="00E952CF">
              <w:t xml:space="preserve"> preambulę ir ją išdėstyti taip:</w:t>
            </w:r>
            <w:bookmarkStart w:id="1" w:name="part_228b723eb28545da83d1eeac111688c4"/>
            <w:bookmarkEnd w:id="1"/>
          </w:p>
          <w:p w:rsidR="009947F6" w:rsidRDefault="005927DB" w:rsidP="005927DB">
            <w:pPr>
              <w:jc w:val="both"/>
              <w:rPr>
                <w:rFonts w:eastAsia="Andale Sans UI" w:cs="Tahoma"/>
                <w:b/>
                <w:lang w:eastAsia="en-US" w:bidi="en-US"/>
              </w:rPr>
            </w:pPr>
            <w:r w:rsidRPr="00E952CF">
              <w:rPr>
                <w:rFonts w:eastAsia="Times New Roman"/>
                <w:color w:val="000000"/>
              </w:rPr>
              <w:t xml:space="preserve">„Vadovaudamasi Lietuvos Respublikos Vyriausybės įstatymo 27 straipsniu, įgyvendindama Jungtinių Tautų bendrosios klimato kaitos konvencijos, ratifikuotos Lietuvos Respublikos Seimo 1995 m. vasario 23 d. nutarimu Nr. I-812 „Dėl Jungtinių Tautų bendrosios klimato kaitos konvencijos ratifikavimo“, jos </w:t>
            </w:r>
            <w:proofErr w:type="spellStart"/>
            <w:r w:rsidRPr="00E952CF">
              <w:rPr>
                <w:rFonts w:eastAsia="Times New Roman"/>
                <w:color w:val="000000"/>
              </w:rPr>
              <w:t>Kioto</w:t>
            </w:r>
            <w:proofErr w:type="spellEnd"/>
            <w:r w:rsidRPr="00E952CF">
              <w:rPr>
                <w:rFonts w:eastAsia="Times New Roman"/>
                <w:color w:val="000000"/>
              </w:rPr>
              <w:t xml:space="preserve"> protokolo, ratifikuoto Lietuvos Respublikos įstatymu „Dėl Jungtinių Tautų bendrosios klimato kaitos konvencijos </w:t>
            </w:r>
            <w:proofErr w:type="spellStart"/>
            <w:r w:rsidRPr="00E952CF">
              <w:rPr>
                <w:rFonts w:eastAsia="Times New Roman"/>
                <w:color w:val="000000"/>
              </w:rPr>
              <w:t>Kioto</w:t>
            </w:r>
            <w:proofErr w:type="spellEnd"/>
            <w:r w:rsidRPr="00E952CF">
              <w:rPr>
                <w:rFonts w:eastAsia="Times New Roman"/>
                <w:color w:val="000000"/>
              </w:rPr>
              <w:t xml:space="preserve"> protokolo ratifikavimo“,</w:t>
            </w:r>
            <w:r w:rsidRPr="00E952CF">
              <w:t xml:space="preserve"> Paryžiaus susitarimo, priimto pagal Jungtinių Tautų bendrąją klimato kaitos konvenciją, ratifikuoto Lietuvos Respublikos Seimo įstatymu dėl Paryžiaus susitarimo, priimto pagal Jungtinių </w:t>
            </w:r>
            <w:r w:rsidRPr="00E952CF">
              <w:lastRenderedPageBreak/>
              <w:t>Tautų bendrąją klimato kaitos konvenciją, ratifikavimo</w:t>
            </w:r>
            <w:r w:rsidRPr="00E952CF">
              <w:rPr>
                <w:rFonts w:eastAsia="Times New Roman"/>
                <w:color w:val="000000"/>
              </w:rPr>
              <w:t>, 2009 m. balandžio 23 d. Europos Parlamento ir Tarybos sprendimo Nr. 406/2009/EB dėl valstybių narių pastangų mažinti jų išmetamų šiltnamio efektą sukeliančių dujų emisijas, Bendrijai siekiant įvykdyti įsipareigojimus iki 2020 m. sumažinti išmetamų šiltnamio efektą sukeliančių dujų kiekį, 6 straipsnio 1 dalies reikalavimus,</w:t>
            </w:r>
            <w:r w:rsidRPr="00E952CF">
              <w:rPr>
                <w:color w:val="000000"/>
                <w:shd w:val="clear" w:color="auto" w:fill="FFFFFF"/>
              </w:rPr>
              <w:t xml:space="preserve"> </w:t>
            </w:r>
            <w:r w:rsidRPr="00E952CF">
              <w:rPr>
                <w:rFonts w:eastAsia="Times New Roman"/>
                <w:color w:val="000000"/>
              </w:rPr>
              <w:t xml:space="preserve">2013 m. gegužės 21 d. Europos Parlamento ir Tarybos reglamento (ES) Nr. 525/2013 dėl šiltnamio efektą sukeliančių dujų </w:t>
            </w:r>
            <w:proofErr w:type="spellStart"/>
            <w:r w:rsidRPr="00E952CF">
              <w:rPr>
                <w:rFonts w:eastAsia="Times New Roman"/>
                <w:color w:val="000000"/>
              </w:rPr>
              <w:t>stebėsenos</w:t>
            </w:r>
            <w:proofErr w:type="spellEnd"/>
            <w:r w:rsidRPr="00E952CF">
              <w:rPr>
                <w:rFonts w:eastAsia="Times New Roman"/>
                <w:color w:val="000000"/>
              </w:rPr>
              <w:t xml:space="preserve"> bei ataskaitų ir kitos su klimato kaita susijusios nacionalinio bei Sąjungos lygmens informacijos teikimo mechanizmo ir kuriuo panaikinamas Sprendimas Nr. 280/2004/EB, su paskutiniais pakeitimais, padarytais 2018 m. gruodžio 11 d. Europos Parlamento ir Tarybos reglamentu (ES) 2018/1999,</w:t>
            </w:r>
            <w:r w:rsidRPr="00E952CF">
              <w:rPr>
                <w:rFonts w:eastAsia="Times New Roman"/>
                <w:b/>
                <w:color w:val="000000"/>
              </w:rPr>
              <w:t xml:space="preserve"> </w:t>
            </w:r>
            <w:r w:rsidRPr="00E952CF">
              <w:rPr>
                <w:color w:val="000000"/>
                <w:shd w:val="clear" w:color="auto" w:fill="FFFFFF"/>
              </w:rPr>
              <w:t>2018 m. gruodžio 11 d. Europos Parlamento ir Tarybos reglamento (ES) 2018/1999 dėl energetikos sąjungos ir klimato politikos veiksmų valdymo, kuriuo iš dalies keičiami Europos Parlamento ir Tarybos reglamentai (EB) Nr. 663/2009 ir (EB) Nr. 715/2009, Europos Parlamento ir Tarybos direktyvos 94/22/EB, 98/70/EB, 2009/31/EB, 2009/73/EB, 2010/31/ES, 2012/27/ES ir 2013/30/ES, Tarybos direktyvos 2009/119/EB ir (ES) 2015/652 ir panaikinamas Europos Parlamento ir Tarybos reglamentas (ES) Nr. 525/2013, reikalavimus</w:t>
            </w:r>
            <w:r w:rsidRPr="00E952CF">
              <w:rPr>
                <w:rFonts w:eastAsia="Times New Roman"/>
                <w:color w:val="000000"/>
              </w:rPr>
              <w:t>, Lietuvos Respublikos Vyriausybė</w:t>
            </w:r>
            <w:r w:rsidRPr="00E952CF">
              <w:rPr>
                <w:rFonts w:eastAsia="Times New Roman"/>
                <w:color w:val="000000"/>
                <w:spacing w:val="100"/>
              </w:rPr>
              <w:t> nutari</w:t>
            </w:r>
            <w:r w:rsidRPr="00E952CF">
              <w:rPr>
                <w:rFonts w:eastAsia="Times New Roman"/>
                <w:color w:val="000000"/>
              </w:rPr>
              <w:t>a:</w:t>
            </w:r>
            <w:r w:rsidR="00B1232E">
              <w:rPr>
                <w:rFonts w:eastAsia="Times New Roman"/>
                <w:color w:val="000000"/>
              </w:rPr>
              <w:t>“.</w:t>
            </w:r>
          </w:p>
          <w:p w:rsidR="00A8166B" w:rsidRPr="00E952CF" w:rsidRDefault="00A8166B" w:rsidP="00A8166B">
            <w:pPr>
              <w:ind w:firstLine="720"/>
              <w:jc w:val="both"/>
            </w:pPr>
            <w:r w:rsidRPr="00E952CF">
              <w:rPr>
                <w:color w:val="000000"/>
              </w:rPr>
              <w:t>3. Pakeisti</w:t>
            </w:r>
            <w:r w:rsidRPr="00E952CF">
              <w:t xml:space="preserve"> 2.1 papunktį ir jį išdėstyti taip:</w:t>
            </w:r>
          </w:p>
          <w:p w:rsidR="00A8166B" w:rsidRPr="00E952CF" w:rsidRDefault="00A8166B" w:rsidP="00A8166B">
            <w:pPr>
              <w:ind w:firstLine="720"/>
              <w:jc w:val="both"/>
              <w:rPr>
                <w:rFonts w:eastAsia="Times New Roman"/>
                <w:color w:val="000000"/>
              </w:rPr>
            </w:pPr>
            <w:r w:rsidRPr="00E952CF">
              <w:rPr>
                <w:rFonts w:eastAsia="Times New Roman"/>
                <w:color w:val="000000"/>
              </w:rPr>
              <w:t xml:space="preserve">„2.1. atlikti ekspertines duomenų analizes, apskaičiuoti išmetamų ir absorbuojamų šiltnamio efektą sukeliančių dujų kiekį atskiruose energetikos, transporto, pramonės procesų ir produktų naudojimo, žemės ūkio, atliekų, žemės naudojimo, žemės naudojimo keitimo ir miškininkystės sektoriuose, kasmet rengti nacionalinės išmetamų į atmosferą šiltnamio efektą sukeliančių dujų kiekio apskaitos ataskaitos projektą ir teikti šią informaciją </w:t>
            </w:r>
            <w:r w:rsidRPr="00E952CF">
              <w:rPr>
                <w:rFonts w:eastAsia="Times New Roman"/>
                <w:color w:val="000000"/>
              </w:rPr>
              <w:lastRenderedPageBreak/>
              <w:t>Aplinkos ministerijai ir (ar) jos įgaliotai įstaigai;“</w:t>
            </w:r>
            <w:r w:rsidR="00B1232E">
              <w:rPr>
                <w:rFonts w:eastAsia="Times New Roman"/>
                <w:color w:val="000000"/>
              </w:rPr>
              <w:t>.</w:t>
            </w:r>
          </w:p>
          <w:p w:rsidR="00A8166B" w:rsidRPr="00E952CF" w:rsidRDefault="00A8166B" w:rsidP="00A8166B">
            <w:pPr>
              <w:ind w:firstLine="720"/>
              <w:jc w:val="both"/>
            </w:pPr>
            <w:r w:rsidRPr="00E952CF">
              <w:rPr>
                <w:color w:val="000000"/>
              </w:rPr>
              <w:t>4. Pakeisti</w:t>
            </w:r>
            <w:r w:rsidRPr="00E952CF">
              <w:t xml:space="preserve"> 2.2 papunktį ir jį išdėstyti taip:</w:t>
            </w:r>
          </w:p>
          <w:p w:rsidR="00A8166B" w:rsidRDefault="00A8166B" w:rsidP="00A8166B">
            <w:pPr>
              <w:ind w:firstLine="720"/>
              <w:jc w:val="both"/>
              <w:rPr>
                <w:rFonts w:eastAsia="Times New Roman"/>
                <w:color w:val="000000"/>
              </w:rPr>
            </w:pPr>
            <w:r w:rsidRPr="00E952CF">
              <w:rPr>
                <w:rFonts w:eastAsia="Times New Roman"/>
                <w:color w:val="000000"/>
              </w:rPr>
              <w:t xml:space="preserve">„2.2. teikti Aplinkos ministerijai ir (ar) jos įgaliotai įstaigai informaciją ir duomenis apie išmetamų ir absorbuojamų šiltnamio efektą sukeliančių dujų kiekį atskiruose energetikos, transporto, pramonės procesų ir produktų naudojimo, </w:t>
            </w:r>
            <w:bookmarkStart w:id="2" w:name="_GoBack"/>
            <w:bookmarkEnd w:id="2"/>
            <w:r w:rsidRPr="00E952CF">
              <w:rPr>
                <w:rFonts w:eastAsia="Times New Roman"/>
                <w:color w:val="000000"/>
              </w:rPr>
              <w:t>žemės ūkio, atliekų, žemės naudojimo, žemės naudojimo keitimo ir miškininkystės sektoriuose, kai yra gauta Europos Komisijos ir jos įgaliotų institucijų, Jungtinių Tautų bendrosios klimato kaitos konvencijos sekretoriato paklausimų dėl išmetamų šiltnamio efektą sukeliančių dujų kiekio apskaitos;“</w:t>
            </w:r>
            <w:r>
              <w:rPr>
                <w:rFonts w:eastAsia="Times New Roman"/>
                <w:color w:val="000000"/>
              </w:rPr>
              <w:t>.</w:t>
            </w:r>
          </w:p>
          <w:p w:rsidR="00A8166B" w:rsidRPr="00335E02" w:rsidRDefault="00A8166B" w:rsidP="00910B19">
            <w:pPr>
              <w:jc w:val="both"/>
              <w:rPr>
                <w:rFonts w:eastAsia="Andale Sans UI" w:cs="Tahoma"/>
                <w:b/>
                <w:lang w:eastAsia="en-US" w:bidi="en-US"/>
              </w:rPr>
            </w:pPr>
          </w:p>
        </w:tc>
        <w:tc>
          <w:tcPr>
            <w:tcW w:w="2552" w:type="dxa"/>
            <w:tcBorders>
              <w:top w:val="single" w:sz="4" w:space="0" w:color="000000"/>
              <w:left w:val="single" w:sz="4" w:space="0" w:color="000000"/>
              <w:bottom w:val="single" w:sz="4" w:space="0" w:color="000000"/>
              <w:right w:val="single" w:sz="4" w:space="0" w:color="000000"/>
            </w:tcBorders>
          </w:tcPr>
          <w:p w:rsidR="002E3B98" w:rsidRPr="008763D7" w:rsidRDefault="00EC68C1" w:rsidP="00DC7755">
            <w:pPr>
              <w:snapToGrid w:val="0"/>
              <w:jc w:val="both"/>
              <w:rPr>
                <w:rFonts w:eastAsia="Times New Roman"/>
                <w:b/>
                <w:lang w:eastAsia="ar-SA"/>
              </w:rPr>
            </w:pPr>
            <w:r>
              <w:rPr>
                <w:rFonts w:eastAsia="Times New Roman"/>
                <w:b/>
                <w:lang w:eastAsia="ar-SA"/>
              </w:rPr>
              <w:lastRenderedPageBreak/>
              <w:t>Dalinis</w:t>
            </w:r>
          </w:p>
        </w:tc>
      </w:tr>
      <w:tr w:rsidR="000B22BD" w:rsidRPr="001B1D1F" w:rsidTr="000167D9">
        <w:tc>
          <w:tcPr>
            <w:tcW w:w="5670" w:type="dxa"/>
            <w:tcBorders>
              <w:top w:val="single" w:sz="4" w:space="0" w:color="000000"/>
              <w:left w:val="single" w:sz="4" w:space="0" w:color="000000"/>
              <w:bottom w:val="single" w:sz="4" w:space="0" w:color="000000"/>
            </w:tcBorders>
          </w:tcPr>
          <w:p w:rsidR="000B22BD" w:rsidRPr="000B22BD" w:rsidRDefault="000B22BD" w:rsidP="000B22BD">
            <w:pPr>
              <w:pStyle w:val="ti-art"/>
              <w:shd w:val="clear" w:color="auto" w:fill="FFFFFF"/>
              <w:spacing w:before="360" w:beforeAutospacing="0" w:after="120" w:afterAutospacing="0" w:line="312" w:lineRule="atLeast"/>
              <w:jc w:val="center"/>
              <w:rPr>
                <w:i/>
                <w:iCs/>
              </w:rPr>
            </w:pPr>
            <w:r w:rsidRPr="000B22BD">
              <w:rPr>
                <w:i/>
                <w:iCs/>
              </w:rPr>
              <w:lastRenderedPageBreak/>
              <w:t>37 straipsnis</w:t>
            </w:r>
          </w:p>
          <w:p w:rsidR="000B22BD" w:rsidRPr="000B22BD" w:rsidRDefault="000B22BD" w:rsidP="000B22BD">
            <w:pPr>
              <w:pStyle w:val="sti-art"/>
              <w:shd w:val="clear" w:color="auto" w:fill="FFFFFF"/>
              <w:spacing w:before="60" w:beforeAutospacing="0" w:after="120" w:afterAutospacing="0" w:line="312" w:lineRule="atLeast"/>
              <w:jc w:val="center"/>
              <w:rPr>
                <w:b/>
                <w:bCs/>
              </w:rPr>
            </w:pPr>
            <w:r w:rsidRPr="000B22BD">
              <w:rPr>
                <w:b/>
                <w:bCs/>
              </w:rPr>
              <w:t>Sąjungos ir nacionalinės apskaitos sistemos</w:t>
            </w:r>
          </w:p>
          <w:p w:rsidR="000B22BD" w:rsidRPr="000B22BD" w:rsidRDefault="000B22BD" w:rsidP="000B22BD">
            <w:pPr>
              <w:pStyle w:val="Normal2"/>
              <w:shd w:val="clear" w:color="auto" w:fill="FFFFFF"/>
              <w:spacing w:before="120" w:beforeAutospacing="0" w:after="0" w:afterAutospacing="0" w:line="312" w:lineRule="atLeast"/>
              <w:jc w:val="both"/>
            </w:pPr>
            <w:r w:rsidRPr="000B22BD">
              <w:t>1.   Iki 2021 m. sausio 1 d. valstybės narės sukuria, veda ir nuolat tobulina nacionalines apskaitos sistemas, kurių paskirtis – įvertinti atskirų šaltinių dėl žmogaus veiklos išmetamą ir absorbentais pašalinamą V priedo 2 dalyje nurodytų ŠESD kiekį, taip pat užtikrina ŠESD apskaitos duomenų parengimą laiku, skaidrumą, tikslumą, nuoseklumą, palyginamumą ir išsamumą.</w:t>
            </w:r>
          </w:p>
          <w:p w:rsidR="000B22BD" w:rsidRPr="000B22BD" w:rsidRDefault="000B22BD" w:rsidP="000B22BD">
            <w:pPr>
              <w:pStyle w:val="Normal2"/>
              <w:shd w:val="clear" w:color="auto" w:fill="FFFFFF"/>
              <w:spacing w:before="120" w:beforeAutospacing="0" w:after="0" w:afterAutospacing="0" w:line="312" w:lineRule="atLeast"/>
              <w:jc w:val="both"/>
            </w:pPr>
            <w:r w:rsidRPr="000B22BD">
              <w:t xml:space="preserve">2.   Valstybės narės užtikrina, kad jų kompetentingos už apskaitą atsakingos institucijos galėtų susipažinti su šio reglamento XII priede nurodyta informacija, naudotųsi ataskaitų teikimo sistemomis, įdiegtomis pagal Reglamento (ES) Nr. 517/2014 20 straipsnį, kad būtų galima patobulinti nacionalinėje ŠESD apskaitoje pateikiamo </w:t>
            </w:r>
            <w:proofErr w:type="spellStart"/>
            <w:r w:rsidRPr="000B22BD">
              <w:t>fluorintų</w:t>
            </w:r>
            <w:proofErr w:type="spellEnd"/>
            <w:r w:rsidRPr="000B22BD">
              <w:t xml:space="preserve"> dujų kiekio skaičiavimą, ir galėtų atlikti metines atitikties patikras, nurodytas šio </w:t>
            </w:r>
            <w:r w:rsidRPr="000B22BD">
              <w:lastRenderedPageBreak/>
              <w:t>reglamento V priedo 1 dalies i ir j punktuose.</w:t>
            </w:r>
          </w:p>
          <w:p w:rsidR="000B22BD" w:rsidRPr="000B22BD" w:rsidRDefault="000B22BD" w:rsidP="000B22BD">
            <w:pPr>
              <w:pStyle w:val="Normal2"/>
              <w:shd w:val="clear" w:color="auto" w:fill="FFFFFF"/>
              <w:spacing w:before="120" w:beforeAutospacing="0" w:after="0" w:afterAutospacing="0" w:line="312" w:lineRule="atLeast"/>
              <w:jc w:val="both"/>
            </w:pPr>
            <w:r w:rsidRPr="000B22BD">
              <w:t>3.   Šiuo straipsniu sukuriama Sąjungos apskaitos sistema, siekiant užtikrinti nacionalinės apskaitos duomenų parengimą laiku, skaidrumą, tikslumą, nuoseklumą, palyginamumą ir išsamumą, atsižvelgiant į Sąjungos ŠESD apskaitą. Komisija tvarko, prižiūri ir nuolat tobulina tą sistemą, o tai apima šiuos veiksmus: kokybės užtikrinimo ir kokybės kontrolės programų sudarymą, kokybės tikslų nustatymą, apskaitos kokybės užtikrinimo ir kokybės kontrolės plano rengimą, Sąjungos apskaitos ataskaitai sudaryti reikalingų išmetamo teršalų kiekio įverčių apskaičiavimo procedūras pagal šio straipsnio 5 dalį ir 38 straipsnyje nurodytas peržiūras.</w:t>
            </w:r>
          </w:p>
          <w:p w:rsidR="000B22BD" w:rsidRPr="000B22BD" w:rsidRDefault="000B22BD" w:rsidP="000B22BD">
            <w:pPr>
              <w:pStyle w:val="Normal2"/>
              <w:shd w:val="clear" w:color="auto" w:fill="FFFFFF"/>
              <w:spacing w:before="120" w:beforeAutospacing="0" w:after="0" w:afterAutospacing="0" w:line="312" w:lineRule="atLeast"/>
              <w:jc w:val="both"/>
            </w:pPr>
            <w:r w:rsidRPr="000B22BD">
              <w:t>4.   Komisija atlieka pradinę preliminarių ŠESD apskaitos duomenų, kuriuos valstybės narės turi pateikti pagal 26 straipsnio 3 dalį, tikslumo patikrą. Tos patikros rezultatus valstybėms narėms ji perduoda per šešias savaites po pateikimo termino. Valstybės narės iki kovo 15 d. pateikia atsakymus į visus svarbius pradinėje patikroje iškeltus klausimus ir sykiu pateikia X-2 metų galutinę apskaitos ataskaitą.</w:t>
            </w:r>
          </w:p>
        </w:tc>
        <w:tc>
          <w:tcPr>
            <w:tcW w:w="5953" w:type="dxa"/>
            <w:tcBorders>
              <w:top w:val="single" w:sz="4" w:space="0" w:color="000000"/>
              <w:left w:val="single" w:sz="4" w:space="0" w:color="000000"/>
              <w:bottom w:val="single" w:sz="4" w:space="0" w:color="000000"/>
            </w:tcBorders>
          </w:tcPr>
          <w:p w:rsidR="00A87582" w:rsidRPr="00E952CF" w:rsidRDefault="00A87582" w:rsidP="00A87582">
            <w:pPr>
              <w:ind w:firstLine="720"/>
              <w:jc w:val="both"/>
            </w:pPr>
            <w:r w:rsidRPr="00E952CF">
              <w:rPr>
                <w:color w:val="000000"/>
              </w:rPr>
              <w:lastRenderedPageBreak/>
              <w:t>2. Pakeisti</w:t>
            </w:r>
            <w:r w:rsidRPr="00E952CF">
              <w:t xml:space="preserve"> 1 punktą ir jį išdėstyti taip:</w:t>
            </w:r>
          </w:p>
          <w:p w:rsidR="00A87582" w:rsidRPr="00E952CF" w:rsidRDefault="00A87582" w:rsidP="00A87582">
            <w:pPr>
              <w:ind w:firstLine="720"/>
              <w:rPr>
                <w:rFonts w:eastAsia="Times New Roman"/>
                <w:color w:val="000000"/>
              </w:rPr>
            </w:pPr>
            <w:r w:rsidRPr="00E952CF">
              <w:t>„</w:t>
            </w:r>
            <w:bookmarkStart w:id="3" w:name="part_4bd80164d9f5455bb390df62f238142e"/>
            <w:bookmarkEnd w:id="3"/>
            <w:r w:rsidRPr="00E952CF">
              <w:rPr>
                <w:rFonts w:eastAsia="Times New Roman"/>
                <w:color w:val="000000"/>
              </w:rPr>
              <w:t>1. Sudaryti Nacionalinės išmetamų į atmosferą šiltnamio efektą sukeliančių dujų apskaitos ataskaitos rengimo komisiją (toliau – Komisija):</w:t>
            </w:r>
          </w:p>
          <w:p w:rsidR="00A87582" w:rsidRPr="00E952CF" w:rsidRDefault="00A87582" w:rsidP="00A87582">
            <w:pPr>
              <w:ind w:firstLine="709"/>
              <w:jc w:val="both"/>
              <w:rPr>
                <w:rFonts w:eastAsia="Times New Roman"/>
                <w:color w:val="000000"/>
              </w:rPr>
            </w:pPr>
            <w:r w:rsidRPr="00E952CF">
              <w:rPr>
                <w:rFonts w:eastAsia="Times New Roman"/>
                <w:color w:val="000000"/>
              </w:rPr>
              <w:t>Aplinkos ministerijos atstovas, Komisijos pirmininkas;</w:t>
            </w:r>
          </w:p>
          <w:p w:rsidR="00A87582" w:rsidRPr="00E952CF" w:rsidRDefault="00A87582" w:rsidP="00A87582">
            <w:pPr>
              <w:ind w:firstLine="709"/>
              <w:jc w:val="both"/>
              <w:rPr>
                <w:rFonts w:eastAsia="Times New Roman"/>
                <w:color w:val="000000"/>
              </w:rPr>
            </w:pPr>
            <w:r w:rsidRPr="00E952CF">
              <w:rPr>
                <w:rFonts w:eastAsia="Times New Roman"/>
                <w:color w:val="000000"/>
              </w:rPr>
              <w:t>Aplinkos apsaugos agentūros atstovas, Komisijos pirmininko pavaduotojas.</w:t>
            </w:r>
          </w:p>
          <w:p w:rsidR="00A87582" w:rsidRPr="00E952CF" w:rsidRDefault="00A87582" w:rsidP="00A87582">
            <w:pPr>
              <w:ind w:firstLine="709"/>
              <w:jc w:val="both"/>
              <w:rPr>
                <w:rFonts w:eastAsia="Times New Roman"/>
                <w:color w:val="000000"/>
              </w:rPr>
            </w:pPr>
            <w:r w:rsidRPr="00E952CF">
              <w:rPr>
                <w:rFonts w:eastAsia="Times New Roman"/>
                <w:color w:val="000000"/>
              </w:rPr>
              <w:t>Komisijos nariai:</w:t>
            </w:r>
          </w:p>
          <w:p w:rsidR="00A87582" w:rsidRPr="00E952CF" w:rsidRDefault="00A87582" w:rsidP="00A87582">
            <w:pPr>
              <w:ind w:firstLine="709"/>
              <w:jc w:val="both"/>
              <w:rPr>
                <w:rFonts w:eastAsia="Times New Roman"/>
                <w:color w:val="000000"/>
              </w:rPr>
            </w:pPr>
            <w:r w:rsidRPr="00E952CF">
              <w:rPr>
                <w:rFonts w:eastAsia="Times New Roman"/>
              </w:rPr>
              <w:t>Valstybinio mokslinių tyrimų instituto</w:t>
            </w:r>
            <w:r w:rsidRPr="00E952CF">
              <w:rPr>
                <w:rFonts w:ascii="Arial" w:hAnsi="Arial" w:cs="Arial"/>
                <w:sz w:val="21"/>
                <w:szCs w:val="21"/>
                <w:shd w:val="clear" w:color="auto" w:fill="FFFFFF"/>
              </w:rPr>
              <w:t xml:space="preserve"> </w:t>
            </w:r>
            <w:r w:rsidRPr="00E952CF">
              <w:rPr>
                <w:rFonts w:eastAsia="Times New Roman"/>
              </w:rPr>
              <w:t xml:space="preserve">Fizinių ir technologijos mokslų centro </w:t>
            </w:r>
            <w:r w:rsidRPr="00E952CF">
              <w:rPr>
                <w:rFonts w:eastAsia="Times New Roman"/>
                <w:color w:val="000000"/>
              </w:rPr>
              <w:t>atstovas;</w:t>
            </w:r>
          </w:p>
          <w:p w:rsidR="00A87582" w:rsidRPr="00E952CF" w:rsidRDefault="00A87582" w:rsidP="00A87582">
            <w:pPr>
              <w:ind w:firstLine="709"/>
              <w:jc w:val="both"/>
              <w:rPr>
                <w:rFonts w:eastAsia="Times New Roman"/>
                <w:color w:val="000000"/>
              </w:rPr>
            </w:pPr>
            <w:r w:rsidRPr="00E952CF">
              <w:rPr>
                <w:rFonts w:eastAsia="Times New Roman"/>
                <w:color w:val="000000"/>
              </w:rPr>
              <w:t>Lietuvos agrarinių ir miškų mokslų centro atstovas;</w:t>
            </w:r>
          </w:p>
          <w:p w:rsidR="00A87582" w:rsidRPr="00E952CF" w:rsidRDefault="00A87582" w:rsidP="00A87582">
            <w:pPr>
              <w:ind w:firstLine="709"/>
              <w:jc w:val="both"/>
              <w:rPr>
                <w:rFonts w:eastAsia="Times New Roman"/>
                <w:color w:val="000000"/>
              </w:rPr>
            </w:pPr>
            <w:r w:rsidRPr="00E952CF">
              <w:rPr>
                <w:rFonts w:eastAsia="Times New Roman"/>
                <w:color w:val="000000"/>
              </w:rPr>
              <w:t>Lietuvos energetikos instituto atstovas;</w:t>
            </w:r>
          </w:p>
          <w:p w:rsidR="00A87582" w:rsidRPr="00E952CF" w:rsidRDefault="00A87582" w:rsidP="00A87582">
            <w:pPr>
              <w:ind w:firstLine="709"/>
              <w:jc w:val="both"/>
              <w:rPr>
                <w:rFonts w:eastAsia="Times New Roman"/>
                <w:color w:val="000000"/>
              </w:rPr>
            </w:pPr>
            <w:r w:rsidRPr="00E952CF">
              <w:rPr>
                <w:rFonts w:eastAsia="Times New Roman"/>
                <w:color w:val="000000"/>
              </w:rPr>
              <w:t xml:space="preserve">Lietuvos sveikatos mokslų universiteto </w:t>
            </w:r>
            <w:r w:rsidR="00827DD4">
              <w:rPr>
                <w:rFonts w:eastAsia="Times New Roman"/>
                <w:color w:val="000000"/>
              </w:rPr>
              <w:t>(</w:t>
            </w:r>
            <w:r w:rsidRPr="00E952CF">
              <w:rPr>
                <w:rFonts w:eastAsia="Times New Roman"/>
                <w:color w:val="000000"/>
              </w:rPr>
              <w:t>Gyvulininkystės instituto</w:t>
            </w:r>
            <w:r w:rsidR="00827DD4">
              <w:rPr>
                <w:rFonts w:eastAsia="Times New Roman"/>
                <w:color w:val="000000"/>
              </w:rPr>
              <w:t>)</w:t>
            </w:r>
            <w:r w:rsidRPr="00E952CF">
              <w:rPr>
                <w:rFonts w:eastAsia="Times New Roman"/>
                <w:color w:val="000000"/>
              </w:rPr>
              <w:t xml:space="preserve"> atstovas;</w:t>
            </w:r>
          </w:p>
          <w:p w:rsidR="00A87582" w:rsidRPr="00E952CF" w:rsidRDefault="00A87582" w:rsidP="00A87582">
            <w:pPr>
              <w:ind w:firstLine="709"/>
              <w:jc w:val="both"/>
              <w:rPr>
                <w:rFonts w:eastAsia="Times New Roman"/>
                <w:color w:val="000000"/>
              </w:rPr>
            </w:pPr>
            <w:r w:rsidRPr="00E952CF">
              <w:rPr>
                <w:rFonts w:eastAsia="Times New Roman"/>
                <w:color w:val="000000"/>
              </w:rPr>
              <w:t>Valstybinės miškų tarnybos atstovas;</w:t>
            </w:r>
          </w:p>
          <w:p w:rsidR="00A87582" w:rsidRPr="00E952CF" w:rsidRDefault="00A87582" w:rsidP="00A87582">
            <w:pPr>
              <w:ind w:firstLine="709"/>
              <w:jc w:val="both"/>
              <w:rPr>
                <w:rFonts w:eastAsia="Times New Roman"/>
                <w:color w:val="000000"/>
              </w:rPr>
            </w:pPr>
            <w:r w:rsidRPr="00E952CF">
              <w:rPr>
                <w:rFonts w:eastAsia="Times New Roman"/>
                <w:color w:val="000000"/>
              </w:rPr>
              <w:t>viešosios įstaigos Aplinkos apsaugos politikos centro atstovas.“</w:t>
            </w:r>
            <w:r w:rsidR="00B1232E">
              <w:rPr>
                <w:rFonts w:eastAsia="Times New Roman"/>
                <w:color w:val="000000"/>
              </w:rPr>
              <w:t>.</w:t>
            </w:r>
          </w:p>
          <w:p w:rsidR="00A87582" w:rsidRPr="00E952CF" w:rsidRDefault="00A87582" w:rsidP="00A87582">
            <w:pPr>
              <w:ind w:firstLine="720"/>
              <w:jc w:val="both"/>
            </w:pPr>
            <w:r w:rsidRPr="00E952CF">
              <w:rPr>
                <w:color w:val="000000"/>
              </w:rPr>
              <w:t>3. Pakeisti</w:t>
            </w:r>
            <w:r w:rsidRPr="00E952CF">
              <w:t xml:space="preserve"> 2.1 papunktį ir jį išdėstyti taip:</w:t>
            </w:r>
          </w:p>
          <w:p w:rsidR="00A87582" w:rsidRPr="00E952CF" w:rsidRDefault="00A87582" w:rsidP="00A87582">
            <w:pPr>
              <w:ind w:firstLine="720"/>
              <w:jc w:val="both"/>
              <w:rPr>
                <w:rFonts w:eastAsia="Times New Roman"/>
                <w:color w:val="000000"/>
              </w:rPr>
            </w:pPr>
            <w:r w:rsidRPr="00E952CF">
              <w:rPr>
                <w:rFonts w:eastAsia="Times New Roman"/>
                <w:color w:val="000000"/>
              </w:rPr>
              <w:t xml:space="preserve">„2.1. atlikti ekspertines duomenų analizes, apskaičiuoti išmetamų ir absorbuojamų šiltnamio efektą sukeliančių dujų kiekį atskiruose energetikos, transporto, </w:t>
            </w:r>
            <w:r w:rsidRPr="00E952CF">
              <w:rPr>
                <w:rFonts w:eastAsia="Times New Roman"/>
                <w:color w:val="000000"/>
              </w:rPr>
              <w:lastRenderedPageBreak/>
              <w:t>pramonės procesų ir produktų naudojimo, žemės ūkio, atliekų, žemės naudojimo, žemės naudojimo keitimo ir miškininkystės sektoriuose, kasmet rengti nacionalinės išmetamų į atmosferą šiltnamio efektą sukeliančių dujų kiekio apskaitos ataskaitos projektą ir teikti šią informaciją Aplinkos ministerijai ir (ar) jos įgaliotai įstaigai;“</w:t>
            </w:r>
            <w:r w:rsidR="00B1232E">
              <w:rPr>
                <w:rFonts w:eastAsia="Times New Roman"/>
                <w:color w:val="000000"/>
              </w:rPr>
              <w:t>.</w:t>
            </w:r>
          </w:p>
          <w:p w:rsidR="00A87582" w:rsidRPr="00E952CF" w:rsidRDefault="00A87582" w:rsidP="00A87582">
            <w:pPr>
              <w:ind w:firstLine="720"/>
              <w:jc w:val="both"/>
            </w:pPr>
            <w:r w:rsidRPr="00E952CF">
              <w:rPr>
                <w:color w:val="000000"/>
              </w:rPr>
              <w:t>4. Pakeisti</w:t>
            </w:r>
            <w:r w:rsidRPr="00E952CF">
              <w:t xml:space="preserve"> 2.2 papunktį ir jį išdėstyti taip:</w:t>
            </w:r>
          </w:p>
          <w:p w:rsidR="00A87582" w:rsidRDefault="00A87582" w:rsidP="00A87582">
            <w:pPr>
              <w:ind w:firstLine="720"/>
              <w:jc w:val="both"/>
              <w:rPr>
                <w:rFonts w:eastAsia="Times New Roman"/>
                <w:color w:val="000000"/>
              </w:rPr>
            </w:pPr>
            <w:r w:rsidRPr="00E952CF">
              <w:rPr>
                <w:rFonts w:eastAsia="Times New Roman"/>
                <w:color w:val="000000"/>
              </w:rPr>
              <w:t>„2.2. teikti Aplinkos ministerijai ir (ar) jos įgaliotai įstaigai informaciją ir duomenis apie išmetamų ir absorbuojamų šiltnamio efektą sukeliančių dujų kiekį atskiruose energetikos, transporto, pramonės procesų ir produktų naudojimo, žemės ūkio, atliekų, žemės naudojimo, žemės naudojimo keitimo ir miškininkystės sektoriuose, kai yra gauta Europos Komisijos ir jos įgaliotų institucijų, Jungtinių Tautų bendrosios klimato kaitos konvencijos sekretoriato paklausimų dėl išmetamų šiltnamio efektą sukeliančių dujų kiekio apskaitos;“</w:t>
            </w:r>
            <w:r>
              <w:rPr>
                <w:rFonts w:eastAsia="Times New Roman"/>
                <w:color w:val="000000"/>
              </w:rPr>
              <w:t>.</w:t>
            </w:r>
          </w:p>
          <w:p w:rsidR="00A8166B" w:rsidRPr="00E952CF" w:rsidRDefault="00A8166B" w:rsidP="00A87582">
            <w:pPr>
              <w:ind w:firstLine="720"/>
              <w:jc w:val="both"/>
              <w:rPr>
                <w:rFonts w:eastAsia="Times New Roman"/>
                <w:color w:val="000000"/>
              </w:rPr>
            </w:pPr>
            <w:r>
              <w:rPr>
                <w:color w:val="000000"/>
              </w:rPr>
              <w:t>3. Pavesti aplinkos ministrui patvirtinti Komisijos personalinę sudėtį ir darbo reglamentą.</w:t>
            </w:r>
          </w:p>
          <w:p w:rsidR="000B22BD" w:rsidRPr="00335E02" w:rsidRDefault="000B22BD" w:rsidP="00A87582">
            <w:pPr>
              <w:jc w:val="both"/>
              <w:rPr>
                <w:rFonts w:eastAsia="Andale Sans UI" w:cs="Tahoma"/>
                <w:b/>
                <w:lang w:eastAsia="en-US" w:bidi="en-US"/>
              </w:rPr>
            </w:pPr>
          </w:p>
        </w:tc>
        <w:tc>
          <w:tcPr>
            <w:tcW w:w="2552" w:type="dxa"/>
            <w:tcBorders>
              <w:top w:val="single" w:sz="4" w:space="0" w:color="000000"/>
              <w:left w:val="single" w:sz="4" w:space="0" w:color="000000"/>
              <w:bottom w:val="single" w:sz="4" w:space="0" w:color="000000"/>
              <w:right w:val="single" w:sz="4" w:space="0" w:color="000000"/>
            </w:tcBorders>
          </w:tcPr>
          <w:p w:rsidR="000B22BD" w:rsidRDefault="000B22BD" w:rsidP="00DC7755">
            <w:pPr>
              <w:snapToGrid w:val="0"/>
              <w:jc w:val="both"/>
              <w:rPr>
                <w:rFonts w:eastAsia="Times New Roman"/>
                <w:b/>
                <w:lang w:eastAsia="ar-SA"/>
              </w:rPr>
            </w:pPr>
            <w:r>
              <w:rPr>
                <w:rFonts w:eastAsia="Times New Roman"/>
                <w:b/>
                <w:lang w:eastAsia="ar-SA"/>
              </w:rPr>
              <w:lastRenderedPageBreak/>
              <w:t>Dalinis</w:t>
            </w:r>
          </w:p>
        </w:tc>
      </w:tr>
      <w:tr w:rsidR="000B22BD" w:rsidRPr="001B1D1F" w:rsidTr="000167D9">
        <w:tc>
          <w:tcPr>
            <w:tcW w:w="5670" w:type="dxa"/>
            <w:tcBorders>
              <w:top w:val="single" w:sz="4" w:space="0" w:color="000000"/>
              <w:left w:val="single" w:sz="4" w:space="0" w:color="000000"/>
              <w:bottom w:val="single" w:sz="4" w:space="0" w:color="000000"/>
            </w:tcBorders>
          </w:tcPr>
          <w:p w:rsidR="000B22BD" w:rsidRPr="000B22BD" w:rsidRDefault="000B22BD" w:rsidP="000B22BD">
            <w:pPr>
              <w:widowControl/>
              <w:shd w:val="clear" w:color="auto" w:fill="FFFFFF"/>
              <w:suppressAutoHyphens w:val="0"/>
              <w:spacing w:before="360" w:after="120" w:line="312" w:lineRule="atLeast"/>
              <w:jc w:val="center"/>
              <w:rPr>
                <w:rFonts w:eastAsia="Times New Roman"/>
                <w:i/>
                <w:iCs/>
              </w:rPr>
            </w:pPr>
            <w:r w:rsidRPr="000B22BD">
              <w:rPr>
                <w:rFonts w:eastAsia="Times New Roman"/>
                <w:i/>
                <w:iCs/>
              </w:rPr>
              <w:lastRenderedPageBreak/>
              <w:t>38 straipsnis</w:t>
            </w:r>
          </w:p>
          <w:p w:rsidR="000B22BD" w:rsidRPr="000B22BD" w:rsidRDefault="000B22BD" w:rsidP="000B22BD">
            <w:pPr>
              <w:widowControl/>
              <w:shd w:val="clear" w:color="auto" w:fill="FFFFFF"/>
              <w:suppressAutoHyphens w:val="0"/>
              <w:spacing w:before="60" w:after="120" w:line="312" w:lineRule="atLeast"/>
              <w:jc w:val="center"/>
              <w:rPr>
                <w:rFonts w:eastAsia="Times New Roman"/>
                <w:b/>
                <w:bCs/>
              </w:rPr>
            </w:pPr>
            <w:r w:rsidRPr="000B22BD">
              <w:rPr>
                <w:rFonts w:eastAsia="Times New Roman"/>
                <w:b/>
                <w:bCs/>
              </w:rPr>
              <w:t>Apskaitos ataskaitų peržiūra</w:t>
            </w:r>
          </w:p>
          <w:p w:rsidR="000B22BD" w:rsidRPr="000B22BD" w:rsidRDefault="000B22BD" w:rsidP="000B22BD">
            <w:pPr>
              <w:widowControl/>
              <w:shd w:val="clear" w:color="auto" w:fill="FFFFFF"/>
              <w:suppressAutoHyphens w:val="0"/>
              <w:spacing w:before="120" w:line="312" w:lineRule="atLeast"/>
              <w:jc w:val="both"/>
              <w:rPr>
                <w:rFonts w:eastAsia="Times New Roman"/>
              </w:rPr>
            </w:pPr>
            <w:r w:rsidRPr="000B22BD">
              <w:rPr>
                <w:rFonts w:eastAsia="Times New Roman"/>
              </w:rPr>
              <w:t xml:space="preserve">1.   Kad galėtų stebėti, kaip valstybės narės mažina arba riboja išmetamą ŠESD kiekį pagal Reglamento (ES) 2018/842 4, 9 ir 10 straipsnius, mažina išmetamų teršalų ir didina absorbentais pašalinamų teršalų kiekį pagal </w:t>
            </w:r>
            <w:r w:rsidRPr="000B22BD">
              <w:rPr>
                <w:rFonts w:eastAsia="Times New Roman"/>
              </w:rPr>
              <w:lastRenderedPageBreak/>
              <w:t>Reglamento (ES) 2018/841 4 ir 14 straipsnius ir vykdo visus kitus Sąjungos teisės aktuose nustatytus išmetamo ŠESD kiekio mažinimo ar ribojimo tikslus, Komisija 2027 ir 2032 m. atlieka išsamią nacionalinių apskaitų duomenų, kuriuos valstybės narės pateikė pagal šio reglamento 26 straipsnio 4 dalį, peržiūrą. Tame procese visapusiškai dalyvauja valstybės narės.</w:t>
            </w:r>
          </w:p>
          <w:p w:rsidR="000B22BD" w:rsidRPr="000B22BD" w:rsidRDefault="000B22BD" w:rsidP="000B22BD">
            <w:pPr>
              <w:widowControl/>
              <w:shd w:val="clear" w:color="auto" w:fill="FFFFFF"/>
              <w:suppressAutoHyphens w:val="0"/>
              <w:spacing w:before="120" w:line="312" w:lineRule="atLeast"/>
              <w:jc w:val="both"/>
              <w:rPr>
                <w:rFonts w:eastAsia="Times New Roman"/>
              </w:rPr>
            </w:pPr>
            <w:r w:rsidRPr="000B22BD">
              <w:rPr>
                <w:rFonts w:eastAsia="Times New Roman"/>
              </w:rPr>
              <w:t>2.   1 dalyje nurodyta išsami peržiūra apima:</w:t>
            </w:r>
          </w:p>
          <w:tbl>
            <w:tblPr>
              <w:tblW w:w="5000" w:type="pct"/>
              <w:tblLayout w:type="fixed"/>
              <w:tblCellMar>
                <w:left w:w="0" w:type="dxa"/>
                <w:right w:w="0" w:type="dxa"/>
              </w:tblCellMar>
              <w:tblLook w:val="04A0" w:firstRow="1" w:lastRow="0" w:firstColumn="1" w:lastColumn="0" w:noHBand="0" w:noVBand="1"/>
            </w:tblPr>
            <w:tblGrid>
              <w:gridCol w:w="111"/>
              <w:gridCol w:w="5343"/>
            </w:tblGrid>
            <w:tr w:rsidR="000B22BD" w:rsidRPr="000B22BD" w:rsidTr="000B22BD">
              <w:tc>
                <w:tcPr>
                  <w:tcW w:w="187" w:type="dxa"/>
                  <w:shd w:val="clear" w:color="auto" w:fill="auto"/>
                  <w:hideMark/>
                </w:tcPr>
                <w:p w:rsidR="000B22BD" w:rsidRPr="000B22BD" w:rsidRDefault="000B22BD" w:rsidP="000B22BD">
                  <w:pPr>
                    <w:widowControl/>
                    <w:suppressAutoHyphens w:val="0"/>
                    <w:spacing w:before="120" w:line="312" w:lineRule="atLeast"/>
                    <w:jc w:val="both"/>
                    <w:rPr>
                      <w:rFonts w:eastAsia="Times New Roman"/>
                    </w:rPr>
                  </w:pPr>
                  <w:r>
                    <w:rPr>
                      <w:rFonts w:eastAsia="Times New Roman"/>
                    </w:rPr>
                    <w:t>a</w:t>
                  </w:r>
                </w:p>
              </w:tc>
              <w:tc>
                <w:tcPr>
                  <w:tcW w:w="9785" w:type="dxa"/>
                  <w:shd w:val="clear" w:color="auto" w:fill="auto"/>
                  <w:hideMark/>
                </w:tcPr>
                <w:p w:rsidR="000B22BD" w:rsidRPr="000B22BD" w:rsidRDefault="000B22BD" w:rsidP="000B22BD">
                  <w:pPr>
                    <w:widowControl/>
                    <w:suppressAutoHyphens w:val="0"/>
                    <w:spacing w:before="120" w:line="312" w:lineRule="atLeast"/>
                    <w:jc w:val="both"/>
                    <w:rPr>
                      <w:rFonts w:eastAsia="Times New Roman"/>
                    </w:rPr>
                  </w:pPr>
                  <w:r>
                    <w:rPr>
                      <w:rFonts w:eastAsia="Times New Roman"/>
                    </w:rPr>
                    <w:t xml:space="preserve">) </w:t>
                  </w:r>
                  <w:r w:rsidRPr="000B22BD">
                    <w:rPr>
                      <w:rFonts w:eastAsia="Times New Roman"/>
                    </w:rPr>
                    <w:t>patikras, kuriomis siekiama patikrinti pateiktos informacijos skaidrumą, tikslumą, nuoseklumą, palyginamumą ir išsamumą;</w:t>
                  </w:r>
                </w:p>
              </w:tc>
            </w:tr>
          </w:tbl>
          <w:p w:rsidR="000B22BD" w:rsidRPr="000B22BD" w:rsidRDefault="000B22BD" w:rsidP="000B22BD">
            <w:pPr>
              <w:widowControl/>
              <w:shd w:val="clear" w:color="auto" w:fill="FFFFFF"/>
              <w:suppressAutoHyphens w:val="0"/>
              <w:rPr>
                <w:rFonts w:eastAsia="Times New Roman"/>
                <w:vanish/>
              </w:rPr>
            </w:pPr>
          </w:p>
          <w:p w:rsidR="000B22BD" w:rsidRPr="000B22BD" w:rsidRDefault="000B22BD" w:rsidP="000B22BD">
            <w:pPr>
              <w:widowControl/>
              <w:suppressAutoHyphens w:val="0"/>
              <w:spacing w:before="120" w:line="312" w:lineRule="atLeast"/>
              <w:jc w:val="both"/>
              <w:rPr>
                <w:rFonts w:eastAsia="Times New Roman"/>
              </w:rPr>
            </w:pPr>
            <w:r>
              <w:rPr>
                <w:rFonts w:eastAsia="Times New Roman"/>
              </w:rPr>
              <w:t xml:space="preserve">b) </w:t>
            </w:r>
            <w:r w:rsidRPr="000B22BD">
              <w:rPr>
                <w:rFonts w:eastAsia="Times New Roman"/>
              </w:rPr>
              <w:t>patikras, kuriomis siekiama nustatyti atvejus, kai apskaitos duomenys parengti nesilaikant UNFCCC rekomendacinių dokumentų arba Sąjungos taisyklių;</w:t>
            </w:r>
          </w:p>
          <w:p w:rsidR="000B22BD" w:rsidRDefault="000B22BD" w:rsidP="000B22BD">
            <w:pPr>
              <w:widowControl/>
              <w:suppressAutoHyphens w:val="0"/>
              <w:spacing w:before="120" w:line="312" w:lineRule="atLeast"/>
              <w:jc w:val="both"/>
              <w:rPr>
                <w:rFonts w:eastAsia="Times New Roman"/>
              </w:rPr>
            </w:pPr>
            <w:r>
              <w:rPr>
                <w:rFonts w:eastAsia="Times New Roman"/>
              </w:rPr>
              <w:t xml:space="preserve">c) </w:t>
            </w:r>
            <w:r w:rsidRPr="000B22BD">
              <w:rPr>
                <w:rFonts w:eastAsia="Times New Roman"/>
              </w:rPr>
              <w:t>patikras, kuriomis siekiama nustatyti atvejus, kai žemės naudojimo, žemės naudojimo keitimo ir miškininkystės apskaita atliekama nesilaikant UNFCCC rekomendacinių dokumentų arba Sąjungos taisyklių;</w:t>
            </w:r>
          </w:p>
          <w:p w:rsidR="000B22BD" w:rsidRPr="000B22BD" w:rsidRDefault="000B22BD" w:rsidP="000B22BD">
            <w:pPr>
              <w:widowControl/>
              <w:suppressAutoHyphens w:val="0"/>
              <w:spacing w:before="120" w:line="312" w:lineRule="atLeast"/>
              <w:jc w:val="both"/>
              <w:rPr>
                <w:i/>
                <w:iCs/>
              </w:rPr>
            </w:pPr>
            <w:r>
              <w:t xml:space="preserve">d) </w:t>
            </w:r>
            <w:r w:rsidRPr="000B22BD">
              <w:rPr>
                <w:rFonts w:eastAsia="Times New Roman"/>
              </w:rPr>
              <w:t>atitinkamais atvejais būtinų atitinkamų techninių pataisų apskaičiavimą konsultuojantis su valstybėmis narėmis.</w:t>
            </w:r>
          </w:p>
        </w:tc>
        <w:tc>
          <w:tcPr>
            <w:tcW w:w="5953" w:type="dxa"/>
            <w:tcBorders>
              <w:top w:val="single" w:sz="4" w:space="0" w:color="000000"/>
              <w:left w:val="single" w:sz="4" w:space="0" w:color="000000"/>
              <w:bottom w:val="single" w:sz="4" w:space="0" w:color="000000"/>
            </w:tcBorders>
          </w:tcPr>
          <w:p w:rsidR="00A87582" w:rsidRDefault="00A87582" w:rsidP="00A87582">
            <w:pPr>
              <w:jc w:val="both"/>
              <w:rPr>
                <w:color w:val="000000"/>
              </w:rPr>
            </w:pPr>
            <w:r>
              <w:rPr>
                <w:color w:val="000000"/>
              </w:rPr>
              <w:lastRenderedPageBreak/>
              <w:t>2. Pavesti Komisijai:</w:t>
            </w:r>
          </w:p>
          <w:p w:rsidR="000B22BD" w:rsidRPr="00335E02" w:rsidRDefault="00A87582" w:rsidP="00A87582">
            <w:pPr>
              <w:jc w:val="both"/>
              <w:rPr>
                <w:rFonts w:eastAsia="Andale Sans UI" w:cs="Tahoma"/>
                <w:b/>
                <w:lang w:eastAsia="en-US" w:bidi="en-US"/>
              </w:rPr>
            </w:pPr>
            <w:r>
              <w:rPr>
                <w:color w:val="000000"/>
              </w:rPr>
              <w:t>2.3. rengti Aplinkos ministerijai ir (ar) jos įgaliotai įstaigai pranešimų projektus ir teikti informaciją, susijusią su Europos Komisijos ir jos įgaliotų institucijų, Jungtinių Tautų bendrosios klimato kaitos konvencijos sekretoriato ekspertų nacionalinės išmetamų į atmosferą šiltnamio efektą sukeliančių dujų kiekio apskaitos ataskaitos vertinimo vizitų metu pateikiamais klausimais.</w:t>
            </w:r>
          </w:p>
        </w:tc>
        <w:tc>
          <w:tcPr>
            <w:tcW w:w="2552" w:type="dxa"/>
            <w:tcBorders>
              <w:top w:val="single" w:sz="4" w:space="0" w:color="000000"/>
              <w:left w:val="single" w:sz="4" w:space="0" w:color="000000"/>
              <w:bottom w:val="single" w:sz="4" w:space="0" w:color="000000"/>
              <w:right w:val="single" w:sz="4" w:space="0" w:color="000000"/>
            </w:tcBorders>
          </w:tcPr>
          <w:p w:rsidR="000B22BD" w:rsidRDefault="000B22BD" w:rsidP="00DC7755">
            <w:pPr>
              <w:snapToGrid w:val="0"/>
              <w:jc w:val="both"/>
              <w:rPr>
                <w:rFonts w:eastAsia="Times New Roman"/>
                <w:b/>
                <w:lang w:eastAsia="ar-SA"/>
              </w:rPr>
            </w:pPr>
            <w:r>
              <w:rPr>
                <w:rFonts w:eastAsia="Times New Roman"/>
                <w:b/>
                <w:lang w:eastAsia="ar-SA"/>
              </w:rPr>
              <w:t>Dalinis</w:t>
            </w:r>
          </w:p>
        </w:tc>
      </w:tr>
      <w:tr w:rsidR="005927DB" w:rsidRPr="001B1D1F" w:rsidTr="000167D9">
        <w:tc>
          <w:tcPr>
            <w:tcW w:w="5670" w:type="dxa"/>
            <w:tcBorders>
              <w:top w:val="single" w:sz="4" w:space="0" w:color="000000"/>
              <w:left w:val="single" w:sz="4" w:space="0" w:color="000000"/>
              <w:bottom w:val="single" w:sz="4" w:space="0" w:color="000000"/>
            </w:tcBorders>
          </w:tcPr>
          <w:p w:rsidR="005927DB" w:rsidRPr="000B22BD" w:rsidRDefault="005927DB" w:rsidP="000B22BD">
            <w:pPr>
              <w:pStyle w:val="ti-art"/>
              <w:shd w:val="clear" w:color="auto" w:fill="FFFFFF"/>
              <w:spacing w:before="360" w:beforeAutospacing="0" w:after="120" w:afterAutospacing="0" w:line="312" w:lineRule="atLeast"/>
              <w:jc w:val="center"/>
              <w:rPr>
                <w:i/>
                <w:iCs/>
              </w:rPr>
            </w:pPr>
            <w:r w:rsidRPr="000B22BD">
              <w:rPr>
                <w:i/>
                <w:iCs/>
              </w:rPr>
              <w:lastRenderedPageBreak/>
              <w:t>57 straipsnis</w:t>
            </w:r>
          </w:p>
          <w:p w:rsidR="005927DB" w:rsidRPr="000B22BD" w:rsidRDefault="005927DB" w:rsidP="000B22BD">
            <w:pPr>
              <w:pStyle w:val="sti-art"/>
              <w:shd w:val="clear" w:color="auto" w:fill="FFFFFF"/>
              <w:spacing w:before="60" w:beforeAutospacing="0" w:after="120" w:afterAutospacing="0" w:line="312" w:lineRule="atLeast"/>
              <w:jc w:val="center"/>
              <w:rPr>
                <w:b/>
                <w:bCs/>
              </w:rPr>
            </w:pPr>
            <w:r w:rsidRPr="000B22BD">
              <w:rPr>
                <w:b/>
                <w:bCs/>
              </w:rPr>
              <w:t>Panaikinimas</w:t>
            </w:r>
          </w:p>
          <w:p w:rsidR="005927DB" w:rsidRDefault="005927DB" w:rsidP="000B22BD">
            <w:pPr>
              <w:pStyle w:val="Normal2"/>
              <w:shd w:val="clear" w:color="auto" w:fill="FFFFFF"/>
              <w:spacing w:before="120" w:beforeAutospacing="0" w:after="0" w:afterAutospacing="0" w:line="312" w:lineRule="atLeast"/>
              <w:jc w:val="both"/>
            </w:pPr>
            <w:r w:rsidRPr="000B22BD">
              <w:t xml:space="preserve">Reglamentas (ES) Nr. 525/2013 panaikinamas nuo 2021 m. sausio 1 d., atsižvelgiant į šio reglamento 58 straipsnio 1 dalyje nustatytas pereinamojo laikotarpio nuostatas, išskyrus Reglamento (ES) </w:t>
            </w:r>
            <w:r w:rsidRPr="000B22BD">
              <w:lastRenderedPageBreak/>
              <w:t>Nr. 525/2013 26 straipsnio 1 dalį, kuri panaikinama nuo 2018 m. gruodžio 24 d. Nuorodos į panaikintą reglamentą laikomos nuorodomis į šį reglamentą ir skaitomos pagal XIII priede pateiktą atitikties lentelę.</w:t>
            </w:r>
          </w:p>
          <w:p w:rsidR="005927DB" w:rsidRPr="006F07C0" w:rsidRDefault="005927DB" w:rsidP="006F07C0">
            <w:pPr>
              <w:pStyle w:val="ti-art"/>
              <w:shd w:val="clear" w:color="auto" w:fill="FFFFFF"/>
              <w:spacing w:before="360" w:beforeAutospacing="0" w:after="120" w:afterAutospacing="0" w:line="312" w:lineRule="atLeast"/>
              <w:jc w:val="center"/>
              <w:rPr>
                <w:i/>
                <w:iCs/>
              </w:rPr>
            </w:pPr>
            <w:r w:rsidRPr="006F07C0">
              <w:rPr>
                <w:i/>
                <w:iCs/>
              </w:rPr>
              <w:t>58 straipsnis</w:t>
            </w:r>
          </w:p>
          <w:p w:rsidR="005927DB" w:rsidRPr="006F07C0" w:rsidRDefault="005927DB" w:rsidP="006F07C0">
            <w:pPr>
              <w:pStyle w:val="sti-art"/>
              <w:shd w:val="clear" w:color="auto" w:fill="FFFFFF"/>
              <w:spacing w:before="60" w:beforeAutospacing="0" w:after="120" w:afterAutospacing="0" w:line="312" w:lineRule="atLeast"/>
              <w:jc w:val="center"/>
              <w:rPr>
                <w:b/>
                <w:bCs/>
              </w:rPr>
            </w:pPr>
            <w:r w:rsidRPr="006F07C0">
              <w:rPr>
                <w:b/>
                <w:bCs/>
              </w:rPr>
              <w:t>Pereinamojo laikotarpio nuostatos</w:t>
            </w:r>
          </w:p>
          <w:p w:rsidR="005927DB" w:rsidRPr="006F07C0" w:rsidRDefault="005927DB" w:rsidP="006F07C0">
            <w:pPr>
              <w:pStyle w:val="Normal2"/>
              <w:shd w:val="clear" w:color="auto" w:fill="FFFFFF"/>
              <w:spacing w:before="120" w:beforeAutospacing="0" w:after="0" w:afterAutospacing="0" w:line="312" w:lineRule="atLeast"/>
              <w:jc w:val="both"/>
            </w:pPr>
            <w:r w:rsidRPr="006F07C0">
              <w:t>Nukrypstant nuo šio reglamento 57 straipsnio, Reglamento (ES) Nr. 525/2013 7 straipsnis ir 17 straipsnio 1 dalies a ir d punktai toliau taikomi ataskaitoms, kuriose pateikiami pagal tuos straipsnius reikalaujami 2018, 2019 ir 2020 m. duomenys.</w:t>
            </w:r>
          </w:p>
          <w:p w:rsidR="005927DB" w:rsidRPr="006F07C0" w:rsidRDefault="005927DB" w:rsidP="006F07C0">
            <w:pPr>
              <w:pStyle w:val="Normal2"/>
              <w:shd w:val="clear" w:color="auto" w:fill="FFFFFF"/>
              <w:spacing w:before="120" w:beforeAutospacing="0" w:after="0" w:afterAutospacing="0" w:line="312" w:lineRule="atLeast"/>
              <w:jc w:val="both"/>
            </w:pPr>
            <w:r w:rsidRPr="006F07C0">
              <w:t xml:space="preserve">Reglamento (ES) Nr. 525/2013 11 straipsnio 3 dalis toliau taikoma </w:t>
            </w:r>
            <w:proofErr w:type="spellStart"/>
            <w:r w:rsidRPr="006F07C0">
              <w:t>Kioto</w:t>
            </w:r>
            <w:proofErr w:type="spellEnd"/>
            <w:r w:rsidRPr="006F07C0">
              <w:t xml:space="preserve"> protokolo antrajam įsipareigojimų laikotarpiui.</w:t>
            </w:r>
          </w:p>
          <w:p w:rsidR="005927DB" w:rsidRPr="006F07C0" w:rsidRDefault="005927DB" w:rsidP="006F07C0">
            <w:pPr>
              <w:pStyle w:val="Normal2"/>
              <w:shd w:val="clear" w:color="auto" w:fill="FFFFFF"/>
              <w:spacing w:before="120" w:beforeAutospacing="0" w:after="0" w:afterAutospacing="0" w:line="312" w:lineRule="atLeast"/>
              <w:jc w:val="both"/>
            </w:pPr>
            <w:r w:rsidRPr="006F07C0">
              <w:t>Reglamento (ES) Nr. 525/2013 19 straipsnis ir toliau taikomas peržiūrint 2018, 2019 ir 2020 m. ŠESD apskaitos duomenis.</w:t>
            </w:r>
          </w:p>
          <w:p w:rsidR="005927DB" w:rsidRPr="006F07C0" w:rsidRDefault="005927DB" w:rsidP="006F07C0">
            <w:pPr>
              <w:pStyle w:val="Normal2"/>
              <w:shd w:val="clear" w:color="auto" w:fill="FFFFFF"/>
              <w:spacing w:before="120" w:beforeAutospacing="0" w:after="0" w:afterAutospacing="0" w:line="312" w:lineRule="atLeast"/>
              <w:jc w:val="both"/>
            </w:pPr>
            <w:r w:rsidRPr="006F07C0">
              <w:t>Reglamento (ES) Nr. 525/2013 22 straipsnis toliau taikomas teikiant pagal tą straipsnį reikalaujamą ataskaitą.</w:t>
            </w:r>
          </w:p>
          <w:p w:rsidR="005927DB" w:rsidRPr="006F07C0" w:rsidRDefault="005927DB" w:rsidP="006F07C0">
            <w:pPr>
              <w:pStyle w:val="Normal2"/>
              <w:shd w:val="clear" w:color="auto" w:fill="FFFFFF"/>
              <w:spacing w:before="120" w:beforeAutospacing="0" w:after="0" w:afterAutospacing="0" w:line="312" w:lineRule="atLeast"/>
              <w:jc w:val="both"/>
            </w:pPr>
            <w:r w:rsidRPr="006F07C0">
              <w:t>Siekiant nuoseklumo ir teisinio tikrumo, nė viena šio reglamento nuostata nedraudžia taikyti nukrypti leidžiančių nuostatų pagal atitinkamus Sąjungos sektorių teisės aktus elektros energijos ir pasirengimo valdyti elektros energijos sektoriaus riziką srityje.</w:t>
            </w:r>
          </w:p>
          <w:p w:rsidR="005927DB" w:rsidRPr="006F07C0" w:rsidRDefault="005927DB" w:rsidP="000B22BD">
            <w:pPr>
              <w:pStyle w:val="Normal2"/>
              <w:shd w:val="clear" w:color="auto" w:fill="FFFFFF"/>
              <w:spacing w:before="120" w:beforeAutospacing="0" w:after="0" w:afterAutospacing="0" w:line="312" w:lineRule="atLeast"/>
              <w:jc w:val="both"/>
            </w:pPr>
          </w:p>
          <w:p w:rsidR="005927DB" w:rsidRPr="000B22BD" w:rsidRDefault="005927DB" w:rsidP="000B22BD">
            <w:pPr>
              <w:widowControl/>
              <w:shd w:val="clear" w:color="auto" w:fill="FFFFFF"/>
              <w:suppressAutoHyphens w:val="0"/>
              <w:spacing w:before="360" w:after="120" w:line="312" w:lineRule="atLeast"/>
              <w:jc w:val="center"/>
              <w:rPr>
                <w:rFonts w:eastAsia="Times New Roman"/>
                <w:i/>
                <w:iCs/>
              </w:rPr>
            </w:pPr>
          </w:p>
        </w:tc>
        <w:tc>
          <w:tcPr>
            <w:tcW w:w="5953" w:type="dxa"/>
            <w:tcBorders>
              <w:top w:val="single" w:sz="4" w:space="0" w:color="000000"/>
              <w:left w:val="single" w:sz="4" w:space="0" w:color="000000"/>
              <w:bottom w:val="single" w:sz="4" w:space="0" w:color="000000"/>
            </w:tcBorders>
          </w:tcPr>
          <w:p w:rsidR="005927DB" w:rsidRPr="00E952CF" w:rsidRDefault="005927DB" w:rsidP="00104C3E">
            <w:pPr>
              <w:ind w:firstLine="720"/>
              <w:rPr>
                <w:color w:val="000000"/>
              </w:rPr>
            </w:pPr>
            <w:r w:rsidRPr="00E952CF">
              <w:rPr>
                <w:color w:val="000000"/>
              </w:rPr>
              <w:lastRenderedPageBreak/>
              <w:t>Lietuvos Respublikos Vyriausybė n u t a r i a:</w:t>
            </w:r>
          </w:p>
          <w:p w:rsidR="005927DB" w:rsidRPr="00E952CF" w:rsidRDefault="005927DB" w:rsidP="00104C3E">
            <w:pPr>
              <w:ind w:firstLine="720"/>
              <w:jc w:val="both"/>
              <w:rPr>
                <w:color w:val="000000"/>
              </w:rPr>
            </w:pPr>
            <w:r w:rsidRPr="00E952CF">
              <w:rPr>
                <w:color w:val="000000"/>
              </w:rPr>
              <w:t xml:space="preserve">Pakeisti Lietuvos Respublikos Vyriausybės </w:t>
            </w:r>
            <w:r w:rsidRPr="00E952CF">
              <w:t xml:space="preserve">2011 m. birželio 8 d. nutarimą Nr. 683 „Dėl </w:t>
            </w:r>
            <w:r w:rsidRPr="00E952CF">
              <w:rPr>
                <w:bCs/>
              </w:rPr>
              <w:t>Nacionalinės išmetamų į atmosferą šiltnamio efektą sukeliančių dujų apskaitos ataskaitos rengimo komisijos sudarymo</w:t>
            </w:r>
            <w:r w:rsidRPr="00E952CF">
              <w:t>“</w:t>
            </w:r>
            <w:r w:rsidRPr="00E952CF">
              <w:rPr>
                <w:color w:val="000000"/>
              </w:rPr>
              <w:t>:</w:t>
            </w:r>
          </w:p>
          <w:p w:rsidR="005927DB" w:rsidRPr="00E952CF" w:rsidRDefault="005927DB" w:rsidP="00104C3E">
            <w:pPr>
              <w:spacing w:line="360" w:lineRule="atLeast"/>
              <w:ind w:firstLine="720"/>
              <w:jc w:val="both"/>
            </w:pPr>
            <w:r w:rsidRPr="00E952CF">
              <w:rPr>
                <w:color w:val="000000"/>
              </w:rPr>
              <w:t>1. Pakeisti</w:t>
            </w:r>
            <w:r w:rsidRPr="00E952CF">
              <w:t xml:space="preserve"> preambulę ir ją išdėstyti taip:</w:t>
            </w:r>
          </w:p>
          <w:p w:rsidR="005927DB" w:rsidRPr="00335E02" w:rsidRDefault="005927DB" w:rsidP="005927DB">
            <w:pPr>
              <w:jc w:val="both"/>
              <w:rPr>
                <w:rFonts w:eastAsia="Andale Sans UI" w:cs="Tahoma"/>
                <w:b/>
                <w:lang w:eastAsia="en-US" w:bidi="en-US"/>
              </w:rPr>
            </w:pPr>
            <w:r w:rsidRPr="00E952CF">
              <w:rPr>
                <w:rFonts w:eastAsia="Times New Roman"/>
                <w:color w:val="000000"/>
              </w:rPr>
              <w:t xml:space="preserve">„Vadovaudamasi Lietuvos Respublikos Vyriausybės įstatymo 27 straipsniu, įgyvendindama Jungtinių Tautų bendrosios klimato kaitos konvencijos, ratifikuotos </w:t>
            </w:r>
            <w:r w:rsidRPr="00E952CF">
              <w:rPr>
                <w:rFonts w:eastAsia="Times New Roman"/>
                <w:color w:val="000000"/>
              </w:rPr>
              <w:lastRenderedPageBreak/>
              <w:t xml:space="preserve">Lietuvos Respublikos Seimo 1995 m. vasario 23 d. nutarimu Nr. I-812 „Dėl Jungtinių Tautų bendrosios klimato kaitos konvencijos ratifikavimo“, jos </w:t>
            </w:r>
            <w:proofErr w:type="spellStart"/>
            <w:r w:rsidRPr="00E952CF">
              <w:rPr>
                <w:rFonts w:eastAsia="Times New Roman"/>
                <w:color w:val="000000"/>
              </w:rPr>
              <w:t>Kioto</w:t>
            </w:r>
            <w:proofErr w:type="spellEnd"/>
            <w:r w:rsidRPr="00E952CF">
              <w:rPr>
                <w:rFonts w:eastAsia="Times New Roman"/>
                <w:color w:val="000000"/>
              </w:rPr>
              <w:t xml:space="preserve"> protokolo, ratifikuoto Lietuvos Respublikos įstatymu „Dėl Jungtinių Tautų bendrosios klimato kaitos konvencijos </w:t>
            </w:r>
            <w:proofErr w:type="spellStart"/>
            <w:r w:rsidRPr="00E952CF">
              <w:rPr>
                <w:rFonts w:eastAsia="Times New Roman"/>
                <w:color w:val="000000"/>
              </w:rPr>
              <w:t>Kioto</w:t>
            </w:r>
            <w:proofErr w:type="spellEnd"/>
            <w:r w:rsidRPr="00E952CF">
              <w:rPr>
                <w:rFonts w:eastAsia="Times New Roman"/>
                <w:color w:val="000000"/>
              </w:rPr>
              <w:t xml:space="preserve"> protokolo ratifikavimo“,</w:t>
            </w:r>
            <w:r w:rsidRPr="00E952CF">
              <w:t xml:space="preserve"> Paryžiaus susitarimo, priimto pagal Jungtinių Tautų bendrąją klimato kaitos konvenciją, ratifikuoto Lietuvos Respublikos Seimo įstatymu dėl Paryžiaus susitarimo, priimto pagal Jungtinių Tautų bendrąją klimato kaitos konvenciją, ratifikavimo</w:t>
            </w:r>
            <w:r w:rsidRPr="00E952CF">
              <w:rPr>
                <w:rFonts w:eastAsia="Times New Roman"/>
                <w:color w:val="000000"/>
              </w:rPr>
              <w:t>, 2009 m. balandžio 23 d. Europos Parlamento ir Tarybos sprendimo Nr. 406/2009/EB dėl valstybių narių pastangų mažinti jų išmetamų šiltnamio efektą sukeliančių dujų emisijas, Bendrijai siekiant įvykdyti įsipareigojimus iki 2020 m. sumažinti išmetamų šiltnamio efektą sukeliančių dujų kiekį, 6 straipsnio 1 dalies reikalavimus,</w:t>
            </w:r>
            <w:r w:rsidRPr="00E952CF">
              <w:rPr>
                <w:color w:val="000000"/>
                <w:shd w:val="clear" w:color="auto" w:fill="FFFFFF"/>
              </w:rPr>
              <w:t xml:space="preserve"> </w:t>
            </w:r>
            <w:r w:rsidRPr="00E952CF">
              <w:rPr>
                <w:rFonts w:eastAsia="Times New Roman"/>
                <w:color w:val="000000"/>
              </w:rPr>
              <w:t xml:space="preserve">2013 m. gegužės 21 d. Europos Parlamento ir Tarybos reglamento (ES) Nr. 525/2013 dėl šiltnamio efektą sukeliančių dujų </w:t>
            </w:r>
            <w:proofErr w:type="spellStart"/>
            <w:r w:rsidRPr="00E952CF">
              <w:rPr>
                <w:rFonts w:eastAsia="Times New Roman"/>
                <w:color w:val="000000"/>
              </w:rPr>
              <w:t>stebėsenos</w:t>
            </w:r>
            <w:proofErr w:type="spellEnd"/>
            <w:r w:rsidRPr="00E952CF">
              <w:rPr>
                <w:rFonts w:eastAsia="Times New Roman"/>
                <w:color w:val="000000"/>
              </w:rPr>
              <w:t xml:space="preserve"> bei ataskaitų ir kitos su klimato kaita susijusios nacionalinio bei Sąjungos lygmens informacijos teikimo mechanizmo ir kuriuo panaikinamas Sprendimas Nr. 280/2004/EB, su paskutiniais pakeitimais, padarytais 2018 m. gruodžio 11 d. Europos Parlamento ir Tarybos reglamentu (ES) 2018/1999,</w:t>
            </w:r>
            <w:r w:rsidRPr="00E952CF">
              <w:rPr>
                <w:rFonts w:eastAsia="Times New Roman"/>
                <w:b/>
                <w:color w:val="000000"/>
              </w:rPr>
              <w:t xml:space="preserve"> </w:t>
            </w:r>
            <w:r w:rsidRPr="00E952CF">
              <w:rPr>
                <w:color w:val="000000"/>
                <w:shd w:val="clear" w:color="auto" w:fill="FFFFFF"/>
              </w:rPr>
              <w:t>2018 m. gruodžio 11 d. Europos Parlamento ir Tarybos reglamento (ES) 2018/1999 dėl energetikos sąjungos ir klimato politikos veiksmų valdymo, kuriuo iš dalies keičiami Europos Parlamento ir Tarybos reglamentai (EB) Nr. 663/2009 ir (EB) Nr. 715/2009, Europos Parlamento ir Tarybos direktyvos 94/22/EB, 98/70/EB, 2009/31/EB, 2009/73/EB, 2010/31/ES, 2012/27/ES ir 2013/30/ES, Tarybos direktyvos 2009/119/EB ir (ES) 2015/652 ir panaikinamas Europos Parlamento ir Tarybos reglamentas (ES) Nr. 525/2013, reikalavimus</w:t>
            </w:r>
            <w:r w:rsidRPr="00E952CF">
              <w:rPr>
                <w:rFonts w:eastAsia="Times New Roman"/>
                <w:color w:val="000000"/>
              </w:rPr>
              <w:t>, Lietuvos Respublikos Vyriausybė</w:t>
            </w:r>
            <w:r w:rsidRPr="00E952CF">
              <w:rPr>
                <w:rFonts w:eastAsia="Times New Roman"/>
                <w:color w:val="000000"/>
                <w:spacing w:val="100"/>
              </w:rPr>
              <w:t> nutari</w:t>
            </w:r>
            <w:r>
              <w:rPr>
                <w:rFonts w:eastAsia="Times New Roman"/>
                <w:color w:val="000000"/>
              </w:rPr>
              <w:t>a:</w:t>
            </w:r>
            <w:r w:rsidR="00B1232E">
              <w:rPr>
                <w:rFonts w:eastAsia="Times New Roman"/>
                <w:color w:val="000000"/>
              </w:rPr>
              <w:t>“.</w:t>
            </w:r>
          </w:p>
        </w:tc>
        <w:tc>
          <w:tcPr>
            <w:tcW w:w="2552" w:type="dxa"/>
            <w:tcBorders>
              <w:top w:val="single" w:sz="4" w:space="0" w:color="000000"/>
              <w:left w:val="single" w:sz="4" w:space="0" w:color="000000"/>
              <w:bottom w:val="single" w:sz="4" w:space="0" w:color="000000"/>
              <w:right w:val="single" w:sz="4" w:space="0" w:color="000000"/>
            </w:tcBorders>
          </w:tcPr>
          <w:p w:rsidR="005927DB" w:rsidRDefault="005927DB" w:rsidP="00DC7755">
            <w:pPr>
              <w:snapToGrid w:val="0"/>
              <w:jc w:val="both"/>
              <w:rPr>
                <w:rFonts w:eastAsia="Times New Roman"/>
                <w:b/>
                <w:lang w:eastAsia="ar-SA"/>
              </w:rPr>
            </w:pPr>
            <w:r>
              <w:rPr>
                <w:rFonts w:eastAsia="Times New Roman"/>
                <w:b/>
                <w:lang w:eastAsia="ar-SA"/>
              </w:rPr>
              <w:lastRenderedPageBreak/>
              <w:t>Dalinis</w:t>
            </w:r>
          </w:p>
        </w:tc>
      </w:tr>
    </w:tbl>
    <w:p w:rsidR="00A738A8" w:rsidRDefault="00A738A8" w:rsidP="00CA3F2B">
      <w:pPr>
        <w:ind w:firstLine="567"/>
      </w:pPr>
    </w:p>
    <w:sectPr w:rsidR="00A738A8" w:rsidSect="00544CC9">
      <w:headerReference w:type="default" r:id="rId9"/>
      <w:pgSz w:w="16838" w:h="11906" w:orient="landscape"/>
      <w:pgMar w:top="1701" w:right="1134" w:bottom="424"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5B4" w:rsidRDefault="000135B4" w:rsidP="0085430F">
      <w:r>
        <w:separator/>
      </w:r>
    </w:p>
  </w:endnote>
  <w:endnote w:type="continuationSeparator" w:id="0">
    <w:p w:rsidR="000135B4" w:rsidRDefault="000135B4" w:rsidP="00854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w:charset w:val="BA"/>
    <w:family w:val="swiss"/>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5B4" w:rsidRDefault="000135B4" w:rsidP="0085430F">
      <w:r>
        <w:separator/>
      </w:r>
    </w:p>
  </w:footnote>
  <w:footnote w:type="continuationSeparator" w:id="0">
    <w:p w:rsidR="000135B4" w:rsidRDefault="000135B4" w:rsidP="00854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CC4" w:rsidRDefault="00F11F46">
    <w:pPr>
      <w:pStyle w:val="Header"/>
      <w:jc w:val="center"/>
    </w:pPr>
    <w:r>
      <w:fldChar w:fldCharType="begin"/>
    </w:r>
    <w:r w:rsidR="00C84B19">
      <w:instrText xml:space="preserve"> PAGE   \* MERGEFORMAT </w:instrText>
    </w:r>
    <w:r>
      <w:fldChar w:fldCharType="separate"/>
    </w:r>
    <w:r w:rsidR="00827DD4">
      <w:rPr>
        <w:noProof/>
      </w:rPr>
      <w:t>3</w:t>
    </w:r>
    <w:r>
      <w:rPr>
        <w:noProof/>
      </w:rPr>
      <w:fldChar w:fldCharType="end"/>
    </w:r>
  </w:p>
  <w:p w:rsidR="00CD3CC4" w:rsidRDefault="00CD3C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7171A"/>
    <w:multiLevelType w:val="hybridMultilevel"/>
    <w:tmpl w:val="CCBCFBB4"/>
    <w:lvl w:ilvl="0" w:tplc="7DA460B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27D3EF2"/>
    <w:multiLevelType w:val="hybridMultilevel"/>
    <w:tmpl w:val="044ACEB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nsid w:val="2D3805C7"/>
    <w:multiLevelType w:val="hybridMultilevel"/>
    <w:tmpl w:val="7B90BEC4"/>
    <w:lvl w:ilvl="0" w:tplc="1996EC5E">
      <w:start w:val="1"/>
      <w:numFmt w:val="decimal"/>
      <w:lvlText w:val="%1."/>
      <w:lvlJc w:val="left"/>
      <w:pPr>
        <w:ind w:left="1747" w:hanging="1005"/>
      </w:pPr>
      <w:rPr>
        <w:rFonts w:hint="default"/>
      </w:rPr>
    </w:lvl>
    <w:lvl w:ilvl="1" w:tplc="04270019" w:tentative="1">
      <w:start w:val="1"/>
      <w:numFmt w:val="lowerLetter"/>
      <w:lvlText w:val="%2."/>
      <w:lvlJc w:val="left"/>
      <w:pPr>
        <w:ind w:left="1822" w:hanging="360"/>
      </w:pPr>
    </w:lvl>
    <w:lvl w:ilvl="2" w:tplc="0427001B" w:tentative="1">
      <w:start w:val="1"/>
      <w:numFmt w:val="lowerRoman"/>
      <w:lvlText w:val="%3."/>
      <w:lvlJc w:val="right"/>
      <w:pPr>
        <w:ind w:left="2542" w:hanging="180"/>
      </w:pPr>
    </w:lvl>
    <w:lvl w:ilvl="3" w:tplc="0427000F" w:tentative="1">
      <w:start w:val="1"/>
      <w:numFmt w:val="decimal"/>
      <w:lvlText w:val="%4."/>
      <w:lvlJc w:val="left"/>
      <w:pPr>
        <w:ind w:left="3262" w:hanging="360"/>
      </w:pPr>
    </w:lvl>
    <w:lvl w:ilvl="4" w:tplc="04270019" w:tentative="1">
      <w:start w:val="1"/>
      <w:numFmt w:val="lowerLetter"/>
      <w:lvlText w:val="%5."/>
      <w:lvlJc w:val="left"/>
      <w:pPr>
        <w:ind w:left="3982" w:hanging="360"/>
      </w:pPr>
    </w:lvl>
    <w:lvl w:ilvl="5" w:tplc="0427001B" w:tentative="1">
      <w:start w:val="1"/>
      <w:numFmt w:val="lowerRoman"/>
      <w:lvlText w:val="%6."/>
      <w:lvlJc w:val="right"/>
      <w:pPr>
        <w:ind w:left="4702" w:hanging="180"/>
      </w:pPr>
    </w:lvl>
    <w:lvl w:ilvl="6" w:tplc="0427000F" w:tentative="1">
      <w:start w:val="1"/>
      <w:numFmt w:val="decimal"/>
      <w:lvlText w:val="%7."/>
      <w:lvlJc w:val="left"/>
      <w:pPr>
        <w:ind w:left="5422" w:hanging="360"/>
      </w:pPr>
    </w:lvl>
    <w:lvl w:ilvl="7" w:tplc="04270019" w:tentative="1">
      <w:start w:val="1"/>
      <w:numFmt w:val="lowerLetter"/>
      <w:lvlText w:val="%8."/>
      <w:lvlJc w:val="left"/>
      <w:pPr>
        <w:ind w:left="6142" w:hanging="360"/>
      </w:pPr>
    </w:lvl>
    <w:lvl w:ilvl="8" w:tplc="0427001B" w:tentative="1">
      <w:start w:val="1"/>
      <w:numFmt w:val="lowerRoman"/>
      <w:lvlText w:val="%9."/>
      <w:lvlJc w:val="right"/>
      <w:pPr>
        <w:ind w:left="6862" w:hanging="180"/>
      </w:pPr>
    </w:lvl>
  </w:abstractNum>
  <w:abstractNum w:abstractNumId="3">
    <w:nsid w:val="46FE44E2"/>
    <w:multiLevelType w:val="hybridMultilevel"/>
    <w:tmpl w:val="13A4F98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nsid w:val="4FF51E97"/>
    <w:multiLevelType w:val="hybridMultilevel"/>
    <w:tmpl w:val="7ED404BC"/>
    <w:lvl w:ilvl="0" w:tplc="0E54FEA0">
      <w:start w:val="1"/>
      <w:numFmt w:val="decimal"/>
      <w:lvlText w:val="%1."/>
      <w:lvlJc w:val="left"/>
      <w:pPr>
        <w:ind w:left="720" w:hanging="360"/>
      </w:pPr>
      <w:rPr>
        <w:rFonts w:eastAsia="Arial Unicode MS" w:cs="EUAlbertina"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78B2ACE"/>
    <w:multiLevelType w:val="hybridMultilevel"/>
    <w:tmpl w:val="E92E41A0"/>
    <w:lvl w:ilvl="0" w:tplc="A3600CCA">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58213D83"/>
    <w:multiLevelType w:val="hybridMultilevel"/>
    <w:tmpl w:val="5E4E65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DAF5437"/>
    <w:multiLevelType w:val="hybridMultilevel"/>
    <w:tmpl w:val="F452914A"/>
    <w:lvl w:ilvl="0" w:tplc="3A02C646">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67377D04"/>
    <w:multiLevelType w:val="hybridMultilevel"/>
    <w:tmpl w:val="27DEF7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E5C1112"/>
    <w:multiLevelType w:val="hybridMultilevel"/>
    <w:tmpl w:val="3C3E7EB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nsid w:val="767256D8"/>
    <w:multiLevelType w:val="hybridMultilevel"/>
    <w:tmpl w:val="A468BB9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6"/>
  </w:num>
  <w:num w:numId="3">
    <w:abstractNumId w:val="1"/>
  </w:num>
  <w:num w:numId="4">
    <w:abstractNumId w:val="9"/>
  </w:num>
  <w:num w:numId="5">
    <w:abstractNumId w:val="3"/>
  </w:num>
  <w:num w:numId="6">
    <w:abstractNumId w:val="8"/>
  </w:num>
  <w:num w:numId="7">
    <w:abstractNumId w:val="4"/>
  </w:num>
  <w:num w:numId="8">
    <w:abstractNumId w:val="10"/>
  </w:num>
  <w:num w:numId="9">
    <w:abstractNumId w:val="7"/>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3BC"/>
    <w:rsid w:val="000135B4"/>
    <w:rsid w:val="000167D9"/>
    <w:rsid w:val="0002694F"/>
    <w:rsid w:val="0003106E"/>
    <w:rsid w:val="00054B1B"/>
    <w:rsid w:val="00074D24"/>
    <w:rsid w:val="00075C66"/>
    <w:rsid w:val="00091036"/>
    <w:rsid w:val="000A4FF4"/>
    <w:rsid w:val="000B22BD"/>
    <w:rsid w:val="000B4640"/>
    <w:rsid w:val="000C5652"/>
    <w:rsid w:val="000C6EE4"/>
    <w:rsid w:val="000D16BC"/>
    <w:rsid w:val="00101B35"/>
    <w:rsid w:val="00125D22"/>
    <w:rsid w:val="00130BEF"/>
    <w:rsid w:val="00134FC4"/>
    <w:rsid w:val="00150E06"/>
    <w:rsid w:val="001636A7"/>
    <w:rsid w:val="00172FE0"/>
    <w:rsid w:val="001969BA"/>
    <w:rsid w:val="001C35E4"/>
    <w:rsid w:val="001C4954"/>
    <w:rsid w:val="001C741B"/>
    <w:rsid w:val="001D4045"/>
    <w:rsid w:val="001D488D"/>
    <w:rsid w:val="001E49F0"/>
    <w:rsid w:val="00200603"/>
    <w:rsid w:val="00206778"/>
    <w:rsid w:val="00217D0D"/>
    <w:rsid w:val="00230E53"/>
    <w:rsid w:val="00237777"/>
    <w:rsid w:val="0025787E"/>
    <w:rsid w:val="00260543"/>
    <w:rsid w:val="00261FAC"/>
    <w:rsid w:val="00264B04"/>
    <w:rsid w:val="0026624E"/>
    <w:rsid w:val="002841A2"/>
    <w:rsid w:val="002925FE"/>
    <w:rsid w:val="002A233D"/>
    <w:rsid w:val="002A7E56"/>
    <w:rsid w:val="002E3B98"/>
    <w:rsid w:val="002E3F53"/>
    <w:rsid w:val="002F2A70"/>
    <w:rsid w:val="002F6E8B"/>
    <w:rsid w:val="00323508"/>
    <w:rsid w:val="00335E02"/>
    <w:rsid w:val="00350311"/>
    <w:rsid w:val="00350352"/>
    <w:rsid w:val="00356B45"/>
    <w:rsid w:val="00371097"/>
    <w:rsid w:val="00373C84"/>
    <w:rsid w:val="003858A5"/>
    <w:rsid w:val="003861A4"/>
    <w:rsid w:val="00397FDE"/>
    <w:rsid w:val="003A52C6"/>
    <w:rsid w:val="003B17D7"/>
    <w:rsid w:val="00400F82"/>
    <w:rsid w:val="004821C2"/>
    <w:rsid w:val="00482BB1"/>
    <w:rsid w:val="00485063"/>
    <w:rsid w:val="0049105C"/>
    <w:rsid w:val="004A37E6"/>
    <w:rsid w:val="004B5851"/>
    <w:rsid w:val="004B71AB"/>
    <w:rsid w:val="004C24AA"/>
    <w:rsid w:val="004C29CB"/>
    <w:rsid w:val="004C2BD3"/>
    <w:rsid w:val="004E2BC5"/>
    <w:rsid w:val="00500421"/>
    <w:rsid w:val="00512E22"/>
    <w:rsid w:val="0052375F"/>
    <w:rsid w:val="0052715F"/>
    <w:rsid w:val="005333C7"/>
    <w:rsid w:val="00544CC9"/>
    <w:rsid w:val="005544AB"/>
    <w:rsid w:val="00556CD6"/>
    <w:rsid w:val="00564CFB"/>
    <w:rsid w:val="00577416"/>
    <w:rsid w:val="005927DB"/>
    <w:rsid w:val="005B2769"/>
    <w:rsid w:val="005D70E5"/>
    <w:rsid w:val="005E31F2"/>
    <w:rsid w:val="005E5E24"/>
    <w:rsid w:val="006019E7"/>
    <w:rsid w:val="00613F78"/>
    <w:rsid w:val="00616D9E"/>
    <w:rsid w:val="00631A02"/>
    <w:rsid w:val="00631E68"/>
    <w:rsid w:val="0063470C"/>
    <w:rsid w:val="0064100A"/>
    <w:rsid w:val="00641D15"/>
    <w:rsid w:val="006454D9"/>
    <w:rsid w:val="00675964"/>
    <w:rsid w:val="00686C08"/>
    <w:rsid w:val="006B240E"/>
    <w:rsid w:val="006D5B97"/>
    <w:rsid w:val="006D7BFF"/>
    <w:rsid w:val="006E4B94"/>
    <w:rsid w:val="006E6AF5"/>
    <w:rsid w:val="006E77D7"/>
    <w:rsid w:val="006F07C0"/>
    <w:rsid w:val="007062A1"/>
    <w:rsid w:val="007211DF"/>
    <w:rsid w:val="007402A9"/>
    <w:rsid w:val="00775835"/>
    <w:rsid w:val="007968E8"/>
    <w:rsid w:val="007A0D3F"/>
    <w:rsid w:val="007B09B8"/>
    <w:rsid w:val="007C1E1B"/>
    <w:rsid w:val="007E0169"/>
    <w:rsid w:val="007E42AB"/>
    <w:rsid w:val="00816A2A"/>
    <w:rsid w:val="00827DD4"/>
    <w:rsid w:val="00853236"/>
    <w:rsid w:val="0085430F"/>
    <w:rsid w:val="008554B7"/>
    <w:rsid w:val="008639CC"/>
    <w:rsid w:val="00874151"/>
    <w:rsid w:val="008763D7"/>
    <w:rsid w:val="0088299D"/>
    <w:rsid w:val="00891BA9"/>
    <w:rsid w:val="008A1D0B"/>
    <w:rsid w:val="008A3CFB"/>
    <w:rsid w:val="008B3F5F"/>
    <w:rsid w:val="00910B19"/>
    <w:rsid w:val="0091551C"/>
    <w:rsid w:val="00920BA4"/>
    <w:rsid w:val="0092212D"/>
    <w:rsid w:val="0094289A"/>
    <w:rsid w:val="00947D7A"/>
    <w:rsid w:val="00964079"/>
    <w:rsid w:val="0096617C"/>
    <w:rsid w:val="00975E58"/>
    <w:rsid w:val="009806BD"/>
    <w:rsid w:val="009947F6"/>
    <w:rsid w:val="009A6DE0"/>
    <w:rsid w:val="009C38B9"/>
    <w:rsid w:val="009E0A8D"/>
    <w:rsid w:val="009F365F"/>
    <w:rsid w:val="00A02060"/>
    <w:rsid w:val="00A02F95"/>
    <w:rsid w:val="00A45088"/>
    <w:rsid w:val="00A46F65"/>
    <w:rsid w:val="00A525A2"/>
    <w:rsid w:val="00A52952"/>
    <w:rsid w:val="00A53966"/>
    <w:rsid w:val="00A738A8"/>
    <w:rsid w:val="00A8166B"/>
    <w:rsid w:val="00A87582"/>
    <w:rsid w:val="00AB1D7F"/>
    <w:rsid w:val="00AB6E4F"/>
    <w:rsid w:val="00AD35C0"/>
    <w:rsid w:val="00AE5F2B"/>
    <w:rsid w:val="00AE5FF7"/>
    <w:rsid w:val="00B1232E"/>
    <w:rsid w:val="00B2431C"/>
    <w:rsid w:val="00B24FEB"/>
    <w:rsid w:val="00B35D00"/>
    <w:rsid w:val="00B54734"/>
    <w:rsid w:val="00B80855"/>
    <w:rsid w:val="00B84E65"/>
    <w:rsid w:val="00BA6A52"/>
    <w:rsid w:val="00BB0649"/>
    <w:rsid w:val="00BC2AF6"/>
    <w:rsid w:val="00BD5B44"/>
    <w:rsid w:val="00BE0074"/>
    <w:rsid w:val="00BE2656"/>
    <w:rsid w:val="00BF6B19"/>
    <w:rsid w:val="00C05925"/>
    <w:rsid w:val="00C2583E"/>
    <w:rsid w:val="00C379D9"/>
    <w:rsid w:val="00C57FFA"/>
    <w:rsid w:val="00C60B96"/>
    <w:rsid w:val="00C66BD8"/>
    <w:rsid w:val="00C72862"/>
    <w:rsid w:val="00C84B19"/>
    <w:rsid w:val="00C93267"/>
    <w:rsid w:val="00CA3F2B"/>
    <w:rsid w:val="00CB36C6"/>
    <w:rsid w:val="00CC374F"/>
    <w:rsid w:val="00CC42FA"/>
    <w:rsid w:val="00CD3CC4"/>
    <w:rsid w:val="00CE71EF"/>
    <w:rsid w:val="00CF2DF9"/>
    <w:rsid w:val="00CF6DD2"/>
    <w:rsid w:val="00D01B6E"/>
    <w:rsid w:val="00D22CF9"/>
    <w:rsid w:val="00D40056"/>
    <w:rsid w:val="00D530AF"/>
    <w:rsid w:val="00D7235C"/>
    <w:rsid w:val="00D740A5"/>
    <w:rsid w:val="00D87668"/>
    <w:rsid w:val="00DA122B"/>
    <w:rsid w:val="00DA4B2C"/>
    <w:rsid w:val="00DC5C14"/>
    <w:rsid w:val="00DC7755"/>
    <w:rsid w:val="00DD0E20"/>
    <w:rsid w:val="00DE4B84"/>
    <w:rsid w:val="00E01077"/>
    <w:rsid w:val="00E17DE2"/>
    <w:rsid w:val="00E65983"/>
    <w:rsid w:val="00E67667"/>
    <w:rsid w:val="00E94C96"/>
    <w:rsid w:val="00E9614F"/>
    <w:rsid w:val="00EB4C15"/>
    <w:rsid w:val="00EC68C1"/>
    <w:rsid w:val="00ED1122"/>
    <w:rsid w:val="00EE0536"/>
    <w:rsid w:val="00EE57F8"/>
    <w:rsid w:val="00F0495E"/>
    <w:rsid w:val="00F04ED1"/>
    <w:rsid w:val="00F0598D"/>
    <w:rsid w:val="00F11F46"/>
    <w:rsid w:val="00F20FBE"/>
    <w:rsid w:val="00F23A12"/>
    <w:rsid w:val="00F24A52"/>
    <w:rsid w:val="00F70AD1"/>
    <w:rsid w:val="00FB1809"/>
    <w:rsid w:val="00FB3562"/>
    <w:rsid w:val="00FC63BC"/>
    <w:rsid w:val="00FD0760"/>
    <w:rsid w:val="00FD1E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3BC"/>
    <w:pPr>
      <w:widowControl w:val="0"/>
      <w:suppressAutoHyphens/>
    </w:pPr>
    <w:rPr>
      <w:rFonts w:ascii="Times New Roman" w:eastAsia="Arial Unicode M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598D"/>
    <w:pPr>
      <w:spacing w:after="120"/>
    </w:pPr>
  </w:style>
  <w:style w:type="character" w:customStyle="1" w:styleId="BodyTextChar">
    <w:name w:val="Body Text Char"/>
    <w:basedOn w:val="DefaultParagraphFont"/>
    <w:link w:val="BodyText"/>
    <w:rsid w:val="00F0598D"/>
    <w:rPr>
      <w:rFonts w:ascii="Times New Roman" w:eastAsia="Arial Unicode MS" w:hAnsi="Times New Roman" w:cs="Times New Roman"/>
      <w:sz w:val="24"/>
      <w:szCs w:val="24"/>
    </w:rPr>
  </w:style>
  <w:style w:type="paragraph" w:customStyle="1" w:styleId="PreformattedText">
    <w:name w:val="Preformatted Text"/>
    <w:basedOn w:val="Normal"/>
    <w:uiPriority w:val="99"/>
    <w:rsid w:val="00C66BD8"/>
    <w:rPr>
      <w:rFonts w:ascii="Courier New" w:eastAsia="Courier New" w:hAnsi="Courier New" w:cs="Courier New"/>
      <w:sz w:val="20"/>
      <w:szCs w:val="20"/>
    </w:rPr>
  </w:style>
  <w:style w:type="paragraph" w:styleId="Header">
    <w:name w:val="header"/>
    <w:basedOn w:val="Normal"/>
    <w:link w:val="HeaderChar"/>
    <w:uiPriority w:val="99"/>
    <w:unhideWhenUsed/>
    <w:rsid w:val="0085430F"/>
    <w:pPr>
      <w:tabs>
        <w:tab w:val="center" w:pos="4819"/>
        <w:tab w:val="right" w:pos="9638"/>
      </w:tabs>
    </w:pPr>
  </w:style>
  <w:style w:type="character" w:customStyle="1" w:styleId="HeaderChar">
    <w:name w:val="Header Char"/>
    <w:basedOn w:val="DefaultParagraphFont"/>
    <w:link w:val="Header"/>
    <w:uiPriority w:val="99"/>
    <w:rsid w:val="0085430F"/>
    <w:rPr>
      <w:rFonts w:ascii="Times New Roman" w:eastAsia="Arial Unicode MS" w:hAnsi="Times New Roman"/>
      <w:sz w:val="24"/>
      <w:szCs w:val="24"/>
    </w:rPr>
  </w:style>
  <w:style w:type="paragraph" w:styleId="Footer">
    <w:name w:val="footer"/>
    <w:basedOn w:val="Normal"/>
    <w:link w:val="FooterChar"/>
    <w:uiPriority w:val="99"/>
    <w:semiHidden/>
    <w:unhideWhenUsed/>
    <w:rsid w:val="0085430F"/>
    <w:pPr>
      <w:tabs>
        <w:tab w:val="center" w:pos="4819"/>
        <w:tab w:val="right" w:pos="9638"/>
      </w:tabs>
    </w:pPr>
  </w:style>
  <w:style w:type="character" w:customStyle="1" w:styleId="FooterChar">
    <w:name w:val="Footer Char"/>
    <w:basedOn w:val="DefaultParagraphFont"/>
    <w:link w:val="Footer"/>
    <w:uiPriority w:val="99"/>
    <w:semiHidden/>
    <w:rsid w:val="0085430F"/>
    <w:rPr>
      <w:rFonts w:ascii="Times New Roman" w:eastAsia="Arial Unicode MS" w:hAnsi="Times New Roman"/>
      <w:sz w:val="24"/>
      <w:szCs w:val="24"/>
    </w:rPr>
  </w:style>
  <w:style w:type="character" w:customStyle="1" w:styleId="Absatz-Standardschriftart">
    <w:name w:val="Absatz-Standardschriftart"/>
    <w:rsid w:val="009806BD"/>
  </w:style>
  <w:style w:type="paragraph" w:styleId="BalloonText">
    <w:name w:val="Balloon Text"/>
    <w:basedOn w:val="Normal"/>
    <w:link w:val="BalloonTextChar"/>
    <w:uiPriority w:val="99"/>
    <w:semiHidden/>
    <w:unhideWhenUsed/>
    <w:rsid w:val="00D87668"/>
    <w:rPr>
      <w:rFonts w:ascii="Tahoma" w:hAnsi="Tahoma" w:cs="Tahoma"/>
      <w:sz w:val="16"/>
      <w:szCs w:val="16"/>
    </w:rPr>
  </w:style>
  <w:style w:type="character" w:customStyle="1" w:styleId="BalloonTextChar">
    <w:name w:val="Balloon Text Char"/>
    <w:basedOn w:val="DefaultParagraphFont"/>
    <w:link w:val="BalloonText"/>
    <w:uiPriority w:val="99"/>
    <w:semiHidden/>
    <w:rsid w:val="00D87668"/>
    <w:rPr>
      <w:rFonts w:ascii="Tahoma" w:eastAsia="Arial Unicode MS" w:hAnsi="Tahoma" w:cs="Tahoma"/>
      <w:sz w:val="16"/>
      <w:szCs w:val="16"/>
    </w:rPr>
  </w:style>
  <w:style w:type="character" w:styleId="CommentReference">
    <w:name w:val="annotation reference"/>
    <w:semiHidden/>
    <w:rsid w:val="00335E02"/>
    <w:rPr>
      <w:sz w:val="16"/>
      <w:szCs w:val="16"/>
    </w:rPr>
  </w:style>
  <w:style w:type="paragraph" w:styleId="CommentText">
    <w:name w:val="annotation text"/>
    <w:basedOn w:val="Normal"/>
    <w:link w:val="CommentTextChar"/>
    <w:semiHidden/>
    <w:rsid w:val="00335E02"/>
    <w:pPr>
      <w:widowControl/>
      <w:suppressAutoHyphens w:val="0"/>
      <w:spacing w:after="200" w:line="276" w:lineRule="auto"/>
    </w:pPr>
    <w:rPr>
      <w:rFonts w:ascii="Calibri" w:eastAsia="Calibri" w:hAnsi="Calibri"/>
      <w:sz w:val="20"/>
      <w:szCs w:val="20"/>
      <w:lang w:eastAsia="en-US"/>
    </w:rPr>
  </w:style>
  <w:style w:type="character" w:customStyle="1" w:styleId="CommentTextChar">
    <w:name w:val="Comment Text Char"/>
    <w:basedOn w:val="DefaultParagraphFont"/>
    <w:link w:val="CommentText"/>
    <w:semiHidden/>
    <w:rsid w:val="00335E02"/>
    <w:rPr>
      <w:lang w:eastAsia="en-US"/>
    </w:rPr>
  </w:style>
  <w:style w:type="paragraph" w:styleId="CommentSubject">
    <w:name w:val="annotation subject"/>
    <w:basedOn w:val="CommentText"/>
    <w:next w:val="CommentText"/>
    <w:link w:val="CommentSubjectChar"/>
    <w:uiPriority w:val="99"/>
    <w:semiHidden/>
    <w:unhideWhenUsed/>
    <w:rsid w:val="00335E02"/>
    <w:pPr>
      <w:widowControl w:val="0"/>
      <w:suppressAutoHyphens/>
      <w:spacing w:after="0" w:line="240" w:lineRule="auto"/>
    </w:pPr>
    <w:rPr>
      <w:rFonts w:ascii="Times New Roman" w:eastAsia="Arial Unicode MS" w:hAnsi="Times New Roman"/>
      <w:b/>
      <w:bCs/>
      <w:lang w:eastAsia="lt-LT"/>
    </w:rPr>
  </w:style>
  <w:style w:type="character" w:customStyle="1" w:styleId="CommentSubjectChar">
    <w:name w:val="Comment Subject Char"/>
    <w:basedOn w:val="CommentTextChar"/>
    <w:link w:val="CommentSubject"/>
    <w:uiPriority w:val="99"/>
    <w:semiHidden/>
    <w:rsid w:val="00335E02"/>
    <w:rPr>
      <w:rFonts w:ascii="Times New Roman" w:eastAsia="Arial Unicode MS" w:hAnsi="Times New Roman"/>
      <w:b/>
      <w:bCs/>
      <w:lang w:eastAsia="en-US"/>
    </w:rPr>
  </w:style>
  <w:style w:type="paragraph" w:customStyle="1" w:styleId="Default">
    <w:name w:val="Default"/>
    <w:rsid w:val="002841A2"/>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2841A2"/>
    <w:rPr>
      <w:rFonts w:cs="Times New Roman"/>
      <w:color w:val="auto"/>
    </w:rPr>
  </w:style>
  <w:style w:type="paragraph" w:customStyle="1" w:styleId="CM3">
    <w:name w:val="CM3"/>
    <w:basedOn w:val="Default"/>
    <w:next w:val="Default"/>
    <w:uiPriority w:val="99"/>
    <w:rsid w:val="002841A2"/>
    <w:rPr>
      <w:rFonts w:cs="Times New Roman"/>
      <w:color w:val="auto"/>
    </w:rPr>
  </w:style>
  <w:style w:type="paragraph" w:customStyle="1" w:styleId="CM4">
    <w:name w:val="CM4"/>
    <w:basedOn w:val="Default"/>
    <w:next w:val="Default"/>
    <w:uiPriority w:val="99"/>
    <w:rsid w:val="00631E68"/>
    <w:rPr>
      <w:rFonts w:cs="Times New Roman"/>
      <w:color w:val="auto"/>
    </w:rPr>
  </w:style>
  <w:style w:type="character" w:styleId="Hyperlink">
    <w:name w:val="Hyperlink"/>
    <w:basedOn w:val="DefaultParagraphFont"/>
    <w:uiPriority w:val="99"/>
    <w:rsid w:val="008763D7"/>
    <w:rPr>
      <w:rFonts w:cs="Times New Roman"/>
      <w:color w:val="0000FF"/>
      <w:u w:val="single"/>
    </w:rPr>
  </w:style>
  <w:style w:type="paragraph" w:customStyle="1" w:styleId="Normal1">
    <w:name w:val="Normal1"/>
    <w:uiPriority w:val="99"/>
    <w:rsid w:val="00FD0760"/>
    <w:pPr>
      <w:ind w:firstLine="680"/>
      <w:jc w:val="both"/>
    </w:pPr>
    <w:rPr>
      <w:rFonts w:ascii="Times New Roman" w:eastAsia="Times New Roman" w:hAnsi="Times New Roman"/>
      <w:bCs/>
    </w:rPr>
  </w:style>
  <w:style w:type="paragraph" w:customStyle="1" w:styleId="lygis3">
    <w:name w:val="lygis 3"/>
    <w:basedOn w:val="Normal"/>
    <w:uiPriority w:val="99"/>
    <w:rsid w:val="00FD0760"/>
    <w:pPr>
      <w:widowControl/>
      <w:tabs>
        <w:tab w:val="num" w:pos="360"/>
      </w:tabs>
      <w:spacing w:line="360" w:lineRule="auto"/>
      <w:ind w:left="5760"/>
      <w:jc w:val="both"/>
    </w:pPr>
    <w:rPr>
      <w:rFonts w:eastAsia="Times New Roman"/>
      <w:szCs w:val="20"/>
    </w:rPr>
  </w:style>
  <w:style w:type="paragraph" w:styleId="ListParagraph">
    <w:name w:val="List Paragraph"/>
    <w:basedOn w:val="Normal"/>
    <w:uiPriority w:val="34"/>
    <w:qFormat/>
    <w:rsid w:val="004C24AA"/>
    <w:pPr>
      <w:ind w:left="720"/>
      <w:contextualSpacing/>
    </w:pPr>
  </w:style>
  <w:style w:type="paragraph" w:customStyle="1" w:styleId="ti-section-1">
    <w:name w:val="ti-section-1"/>
    <w:basedOn w:val="Normal"/>
    <w:rsid w:val="004C29CB"/>
    <w:pPr>
      <w:widowControl/>
      <w:suppressAutoHyphens w:val="0"/>
      <w:spacing w:before="100" w:beforeAutospacing="1" w:after="100" w:afterAutospacing="1"/>
    </w:pPr>
    <w:rPr>
      <w:rFonts w:eastAsia="Times New Roman"/>
    </w:rPr>
  </w:style>
  <w:style w:type="character" w:customStyle="1" w:styleId="expanded">
    <w:name w:val="expanded"/>
    <w:basedOn w:val="DefaultParagraphFont"/>
    <w:rsid w:val="004C29CB"/>
  </w:style>
  <w:style w:type="paragraph" w:customStyle="1" w:styleId="ti-section-2">
    <w:name w:val="ti-section-2"/>
    <w:basedOn w:val="Normal"/>
    <w:rsid w:val="004C29CB"/>
    <w:pPr>
      <w:widowControl/>
      <w:suppressAutoHyphens w:val="0"/>
      <w:spacing w:before="100" w:beforeAutospacing="1" w:after="100" w:afterAutospacing="1"/>
    </w:pPr>
    <w:rPr>
      <w:rFonts w:eastAsia="Times New Roman"/>
    </w:rPr>
  </w:style>
  <w:style w:type="paragraph" w:customStyle="1" w:styleId="ti-art">
    <w:name w:val="ti-art"/>
    <w:basedOn w:val="Normal"/>
    <w:rsid w:val="004C29CB"/>
    <w:pPr>
      <w:widowControl/>
      <w:suppressAutoHyphens w:val="0"/>
      <w:spacing w:before="100" w:beforeAutospacing="1" w:after="100" w:afterAutospacing="1"/>
    </w:pPr>
    <w:rPr>
      <w:rFonts w:eastAsia="Times New Roman"/>
    </w:rPr>
  </w:style>
  <w:style w:type="paragraph" w:customStyle="1" w:styleId="sti-art">
    <w:name w:val="sti-art"/>
    <w:basedOn w:val="Normal"/>
    <w:rsid w:val="004C29CB"/>
    <w:pPr>
      <w:widowControl/>
      <w:suppressAutoHyphens w:val="0"/>
      <w:spacing w:before="100" w:beforeAutospacing="1" w:after="100" w:afterAutospacing="1"/>
    </w:pPr>
    <w:rPr>
      <w:rFonts w:eastAsia="Times New Roman"/>
    </w:rPr>
  </w:style>
  <w:style w:type="paragraph" w:customStyle="1" w:styleId="Normal2">
    <w:name w:val="Normal2"/>
    <w:basedOn w:val="Normal"/>
    <w:rsid w:val="004C29CB"/>
    <w:pPr>
      <w:widowControl/>
      <w:suppressAutoHyphens w:val="0"/>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3BC"/>
    <w:pPr>
      <w:widowControl w:val="0"/>
      <w:suppressAutoHyphens/>
    </w:pPr>
    <w:rPr>
      <w:rFonts w:ascii="Times New Roman" w:eastAsia="Arial Unicode M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598D"/>
    <w:pPr>
      <w:spacing w:after="120"/>
    </w:pPr>
  </w:style>
  <w:style w:type="character" w:customStyle="1" w:styleId="BodyTextChar">
    <w:name w:val="Body Text Char"/>
    <w:basedOn w:val="DefaultParagraphFont"/>
    <w:link w:val="BodyText"/>
    <w:rsid w:val="00F0598D"/>
    <w:rPr>
      <w:rFonts w:ascii="Times New Roman" w:eastAsia="Arial Unicode MS" w:hAnsi="Times New Roman" w:cs="Times New Roman"/>
      <w:sz w:val="24"/>
      <w:szCs w:val="24"/>
    </w:rPr>
  </w:style>
  <w:style w:type="paragraph" w:customStyle="1" w:styleId="PreformattedText">
    <w:name w:val="Preformatted Text"/>
    <w:basedOn w:val="Normal"/>
    <w:uiPriority w:val="99"/>
    <w:rsid w:val="00C66BD8"/>
    <w:rPr>
      <w:rFonts w:ascii="Courier New" w:eastAsia="Courier New" w:hAnsi="Courier New" w:cs="Courier New"/>
      <w:sz w:val="20"/>
      <w:szCs w:val="20"/>
    </w:rPr>
  </w:style>
  <w:style w:type="paragraph" w:styleId="Header">
    <w:name w:val="header"/>
    <w:basedOn w:val="Normal"/>
    <w:link w:val="HeaderChar"/>
    <w:uiPriority w:val="99"/>
    <w:unhideWhenUsed/>
    <w:rsid w:val="0085430F"/>
    <w:pPr>
      <w:tabs>
        <w:tab w:val="center" w:pos="4819"/>
        <w:tab w:val="right" w:pos="9638"/>
      </w:tabs>
    </w:pPr>
  </w:style>
  <w:style w:type="character" w:customStyle="1" w:styleId="HeaderChar">
    <w:name w:val="Header Char"/>
    <w:basedOn w:val="DefaultParagraphFont"/>
    <w:link w:val="Header"/>
    <w:uiPriority w:val="99"/>
    <w:rsid w:val="0085430F"/>
    <w:rPr>
      <w:rFonts w:ascii="Times New Roman" w:eastAsia="Arial Unicode MS" w:hAnsi="Times New Roman"/>
      <w:sz w:val="24"/>
      <w:szCs w:val="24"/>
    </w:rPr>
  </w:style>
  <w:style w:type="paragraph" w:styleId="Footer">
    <w:name w:val="footer"/>
    <w:basedOn w:val="Normal"/>
    <w:link w:val="FooterChar"/>
    <w:uiPriority w:val="99"/>
    <w:semiHidden/>
    <w:unhideWhenUsed/>
    <w:rsid w:val="0085430F"/>
    <w:pPr>
      <w:tabs>
        <w:tab w:val="center" w:pos="4819"/>
        <w:tab w:val="right" w:pos="9638"/>
      </w:tabs>
    </w:pPr>
  </w:style>
  <w:style w:type="character" w:customStyle="1" w:styleId="FooterChar">
    <w:name w:val="Footer Char"/>
    <w:basedOn w:val="DefaultParagraphFont"/>
    <w:link w:val="Footer"/>
    <w:uiPriority w:val="99"/>
    <w:semiHidden/>
    <w:rsid w:val="0085430F"/>
    <w:rPr>
      <w:rFonts w:ascii="Times New Roman" w:eastAsia="Arial Unicode MS" w:hAnsi="Times New Roman"/>
      <w:sz w:val="24"/>
      <w:szCs w:val="24"/>
    </w:rPr>
  </w:style>
  <w:style w:type="character" w:customStyle="1" w:styleId="Absatz-Standardschriftart">
    <w:name w:val="Absatz-Standardschriftart"/>
    <w:rsid w:val="009806BD"/>
  </w:style>
  <w:style w:type="paragraph" w:styleId="BalloonText">
    <w:name w:val="Balloon Text"/>
    <w:basedOn w:val="Normal"/>
    <w:link w:val="BalloonTextChar"/>
    <w:uiPriority w:val="99"/>
    <w:semiHidden/>
    <w:unhideWhenUsed/>
    <w:rsid w:val="00D87668"/>
    <w:rPr>
      <w:rFonts w:ascii="Tahoma" w:hAnsi="Tahoma" w:cs="Tahoma"/>
      <w:sz w:val="16"/>
      <w:szCs w:val="16"/>
    </w:rPr>
  </w:style>
  <w:style w:type="character" w:customStyle="1" w:styleId="BalloonTextChar">
    <w:name w:val="Balloon Text Char"/>
    <w:basedOn w:val="DefaultParagraphFont"/>
    <w:link w:val="BalloonText"/>
    <w:uiPriority w:val="99"/>
    <w:semiHidden/>
    <w:rsid w:val="00D87668"/>
    <w:rPr>
      <w:rFonts w:ascii="Tahoma" w:eastAsia="Arial Unicode MS" w:hAnsi="Tahoma" w:cs="Tahoma"/>
      <w:sz w:val="16"/>
      <w:szCs w:val="16"/>
    </w:rPr>
  </w:style>
  <w:style w:type="character" w:styleId="CommentReference">
    <w:name w:val="annotation reference"/>
    <w:semiHidden/>
    <w:rsid w:val="00335E02"/>
    <w:rPr>
      <w:sz w:val="16"/>
      <w:szCs w:val="16"/>
    </w:rPr>
  </w:style>
  <w:style w:type="paragraph" w:styleId="CommentText">
    <w:name w:val="annotation text"/>
    <w:basedOn w:val="Normal"/>
    <w:link w:val="CommentTextChar"/>
    <w:semiHidden/>
    <w:rsid w:val="00335E02"/>
    <w:pPr>
      <w:widowControl/>
      <w:suppressAutoHyphens w:val="0"/>
      <w:spacing w:after="200" w:line="276" w:lineRule="auto"/>
    </w:pPr>
    <w:rPr>
      <w:rFonts w:ascii="Calibri" w:eastAsia="Calibri" w:hAnsi="Calibri"/>
      <w:sz w:val="20"/>
      <w:szCs w:val="20"/>
      <w:lang w:eastAsia="en-US"/>
    </w:rPr>
  </w:style>
  <w:style w:type="character" w:customStyle="1" w:styleId="CommentTextChar">
    <w:name w:val="Comment Text Char"/>
    <w:basedOn w:val="DefaultParagraphFont"/>
    <w:link w:val="CommentText"/>
    <w:semiHidden/>
    <w:rsid w:val="00335E02"/>
    <w:rPr>
      <w:lang w:eastAsia="en-US"/>
    </w:rPr>
  </w:style>
  <w:style w:type="paragraph" w:styleId="CommentSubject">
    <w:name w:val="annotation subject"/>
    <w:basedOn w:val="CommentText"/>
    <w:next w:val="CommentText"/>
    <w:link w:val="CommentSubjectChar"/>
    <w:uiPriority w:val="99"/>
    <w:semiHidden/>
    <w:unhideWhenUsed/>
    <w:rsid w:val="00335E02"/>
    <w:pPr>
      <w:widowControl w:val="0"/>
      <w:suppressAutoHyphens/>
      <w:spacing w:after="0" w:line="240" w:lineRule="auto"/>
    </w:pPr>
    <w:rPr>
      <w:rFonts w:ascii="Times New Roman" w:eastAsia="Arial Unicode MS" w:hAnsi="Times New Roman"/>
      <w:b/>
      <w:bCs/>
      <w:lang w:eastAsia="lt-LT"/>
    </w:rPr>
  </w:style>
  <w:style w:type="character" w:customStyle="1" w:styleId="CommentSubjectChar">
    <w:name w:val="Comment Subject Char"/>
    <w:basedOn w:val="CommentTextChar"/>
    <w:link w:val="CommentSubject"/>
    <w:uiPriority w:val="99"/>
    <w:semiHidden/>
    <w:rsid w:val="00335E02"/>
    <w:rPr>
      <w:rFonts w:ascii="Times New Roman" w:eastAsia="Arial Unicode MS" w:hAnsi="Times New Roman"/>
      <w:b/>
      <w:bCs/>
      <w:lang w:eastAsia="en-US"/>
    </w:rPr>
  </w:style>
  <w:style w:type="paragraph" w:customStyle="1" w:styleId="Default">
    <w:name w:val="Default"/>
    <w:rsid w:val="002841A2"/>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2841A2"/>
    <w:rPr>
      <w:rFonts w:cs="Times New Roman"/>
      <w:color w:val="auto"/>
    </w:rPr>
  </w:style>
  <w:style w:type="paragraph" w:customStyle="1" w:styleId="CM3">
    <w:name w:val="CM3"/>
    <w:basedOn w:val="Default"/>
    <w:next w:val="Default"/>
    <w:uiPriority w:val="99"/>
    <w:rsid w:val="002841A2"/>
    <w:rPr>
      <w:rFonts w:cs="Times New Roman"/>
      <w:color w:val="auto"/>
    </w:rPr>
  </w:style>
  <w:style w:type="paragraph" w:customStyle="1" w:styleId="CM4">
    <w:name w:val="CM4"/>
    <w:basedOn w:val="Default"/>
    <w:next w:val="Default"/>
    <w:uiPriority w:val="99"/>
    <w:rsid w:val="00631E68"/>
    <w:rPr>
      <w:rFonts w:cs="Times New Roman"/>
      <w:color w:val="auto"/>
    </w:rPr>
  </w:style>
  <w:style w:type="character" w:styleId="Hyperlink">
    <w:name w:val="Hyperlink"/>
    <w:basedOn w:val="DefaultParagraphFont"/>
    <w:uiPriority w:val="99"/>
    <w:rsid w:val="008763D7"/>
    <w:rPr>
      <w:rFonts w:cs="Times New Roman"/>
      <w:color w:val="0000FF"/>
      <w:u w:val="single"/>
    </w:rPr>
  </w:style>
  <w:style w:type="paragraph" w:customStyle="1" w:styleId="Normal1">
    <w:name w:val="Normal1"/>
    <w:uiPriority w:val="99"/>
    <w:rsid w:val="00FD0760"/>
    <w:pPr>
      <w:ind w:firstLine="680"/>
      <w:jc w:val="both"/>
    </w:pPr>
    <w:rPr>
      <w:rFonts w:ascii="Times New Roman" w:eastAsia="Times New Roman" w:hAnsi="Times New Roman"/>
      <w:bCs/>
    </w:rPr>
  </w:style>
  <w:style w:type="paragraph" w:customStyle="1" w:styleId="lygis3">
    <w:name w:val="lygis 3"/>
    <w:basedOn w:val="Normal"/>
    <w:uiPriority w:val="99"/>
    <w:rsid w:val="00FD0760"/>
    <w:pPr>
      <w:widowControl/>
      <w:tabs>
        <w:tab w:val="num" w:pos="360"/>
      </w:tabs>
      <w:spacing w:line="360" w:lineRule="auto"/>
      <w:ind w:left="5760"/>
      <w:jc w:val="both"/>
    </w:pPr>
    <w:rPr>
      <w:rFonts w:eastAsia="Times New Roman"/>
      <w:szCs w:val="20"/>
    </w:rPr>
  </w:style>
  <w:style w:type="paragraph" w:styleId="ListParagraph">
    <w:name w:val="List Paragraph"/>
    <w:basedOn w:val="Normal"/>
    <w:uiPriority w:val="34"/>
    <w:qFormat/>
    <w:rsid w:val="004C24AA"/>
    <w:pPr>
      <w:ind w:left="720"/>
      <w:contextualSpacing/>
    </w:pPr>
  </w:style>
  <w:style w:type="paragraph" w:customStyle="1" w:styleId="ti-section-1">
    <w:name w:val="ti-section-1"/>
    <w:basedOn w:val="Normal"/>
    <w:rsid w:val="004C29CB"/>
    <w:pPr>
      <w:widowControl/>
      <w:suppressAutoHyphens w:val="0"/>
      <w:spacing w:before="100" w:beforeAutospacing="1" w:after="100" w:afterAutospacing="1"/>
    </w:pPr>
    <w:rPr>
      <w:rFonts w:eastAsia="Times New Roman"/>
    </w:rPr>
  </w:style>
  <w:style w:type="character" w:customStyle="1" w:styleId="expanded">
    <w:name w:val="expanded"/>
    <w:basedOn w:val="DefaultParagraphFont"/>
    <w:rsid w:val="004C29CB"/>
  </w:style>
  <w:style w:type="paragraph" w:customStyle="1" w:styleId="ti-section-2">
    <w:name w:val="ti-section-2"/>
    <w:basedOn w:val="Normal"/>
    <w:rsid w:val="004C29CB"/>
    <w:pPr>
      <w:widowControl/>
      <w:suppressAutoHyphens w:val="0"/>
      <w:spacing w:before="100" w:beforeAutospacing="1" w:after="100" w:afterAutospacing="1"/>
    </w:pPr>
    <w:rPr>
      <w:rFonts w:eastAsia="Times New Roman"/>
    </w:rPr>
  </w:style>
  <w:style w:type="paragraph" w:customStyle="1" w:styleId="ti-art">
    <w:name w:val="ti-art"/>
    <w:basedOn w:val="Normal"/>
    <w:rsid w:val="004C29CB"/>
    <w:pPr>
      <w:widowControl/>
      <w:suppressAutoHyphens w:val="0"/>
      <w:spacing w:before="100" w:beforeAutospacing="1" w:after="100" w:afterAutospacing="1"/>
    </w:pPr>
    <w:rPr>
      <w:rFonts w:eastAsia="Times New Roman"/>
    </w:rPr>
  </w:style>
  <w:style w:type="paragraph" w:customStyle="1" w:styleId="sti-art">
    <w:name w:val="sti-art"/>
    <w:basedOn w:val="Normal"/>
    <w:rsid w:val="004C29CB"/>
    <w:pPr>
      <w:widowControl/>
      <w:suppressAutoHyphens w:val="0"/>
      <w:spacing w:before="100" w:beforeAutospacing="1" w:after="100" w:afterAutospacing="1"/>
    </w:pPr>
    <w:rPr>
      <w:rFonts w:eastAsia="Times New Roman"/>
    </w:rPr>
  </w:style>
  <w:style w:type="paragraph" w:customStyle="1" w:styleId="Normal2">
    <w:name w:val="Normal2"/>
    <w:basedOn w:val="Normal"/>
    <w:rsid w:val="004C29CB"/>
    <w:pPr>
      <w:widowControl/>
      <w:suppressAutoHyphens w:val="0"/>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797">
      <w:bodyDiv w:val="1"/>
      <w:marLeft w:val="0"/>
      <w:marRight w:val="0"/>
      <w:marTop w:val="0"/>
      <w:marBottom w:val="0"/>
      <w:divBdr>
        <w:top w:val="none" w:sz="0" w:space="0" w:color="auto"/>
        <w:left w:val="none" w:sz="0" w:space="0" w:color="auto"/>
        <w:bottom w:val="none" w:sz="0" w:space="0" w:color="auto"/>
        <w:right w:val="none" w:sz="0" w:space="0" w:color="auto"/>
      </w:divBdr>
      <w:divsChild>
        <w:div w:id="1778720621">
          <w:marLeft w:val="0"/>
          <w:marRight w:val="0"/>
          <w:marTop w:val="0"/>
          <w:marBottom w:val="0"/>
          <w:divBdr>
            <w:top w:val="none" w:sz="0" w:space="0" w:color="auto"/>
            <w:left w:val="none" w:sz="0" w:space="0" w:color="auto"/>
            <w:bottom w:val="none" w:sz="0" w:space="0" w:color="auto"/>
            <w:right w:val="none" w:sz="0" w:space="0" w:color="auto"/>
          </w:divBdr>
        </w:div>
        <w:div w:id="853953645">
          <w:marLeft w:val="0"/>
          <w:marRight w:val="0"/>
          <w:marTop w:val="0"/>
          <w:marBottom w:val="0"/>
          <w:divBdr>
            <w:top w:val="none" w:sz="0" w:space="0" w:color="auto"/>
            <w:left w:val="none" w:sz="0" w:space="0" w:color="auto"/>
            <w:bottom w:val="none" w:sz="0" w:space="0" w:color="auto"/>
            <w:right w:val="none" w:sz="0" w:space="0" w:color="auto"/>
          </w:divBdr>
        </w:div>
        <w:div w:id="158927521">
          <w:marLeft w:val="0"/>
          <w:marRight w:val="0"/>
          <w:marTop w:val="0"/>
          <w:marBottom w:val="0"/>
          <w:divBdr>
            <w:top w:val="none" w:sz="0" w:space="0" w:color="auto"/>
            <w:left w:val="none" w:sz="0" w:space="0" w:color="auto"/>
            <w:bottom w:val="none" w:sz="0" w:space="0" w:color="auto"/>
            <w:right w:val="none" w:sz="0" w:space="0" w:color="auto"/>
          </w:divBdr>
        </w:div>
        <w:div w:id="1462575014">
          <w:marLeft w:val="0"/>
          <w:marRight w:val="0"/>
          <w:marTop w:val="0"/>
          <w:marBottom w:val="0"/>
          <w:divBdr>
            <w:top w:val="none" w:sz="0" w:space="0" w:color="auto"/>
            <w:left w:val="none" w:sz="0" w:space="0" w:color="auto"/>
            <w:bottom w:val="none" w:sz="0" w:space="0" w:color="auto"/>
            <w:right w:val="none" w:sz="0" w:space="0" w:color="auto"/>
          </w:divBdr>
        </w:div>
        <w:div w:id="684746262">
          <w:marLeft w:val="0"/>
          <w:marRight w:val="0"/>
          <w:marTop w:val="0"/>
          <w:marBottom w:val="0"/>
          <w:divBdr>
            <w:top w:val="none" w:sz="0" w:space="0" w:color="auto"/>
            <w:left w:val="none" w:sz="0" w:space="0" w:color="auto"/>
            <w:bottom w:val="none" w:sz="0" w:space="0" w:color="auto"/>
            <w:right w:val="none" w:sz="0" w:space="0" w:color="auto"/>
          </w:divBdr>
        </w:div>
      </w:divsChild>
    </w:div>
    <w:div w:id="35860173">
      <w:bodyDiv w:val="1"/>
      <w:marLeft w:val="0"/>
      <w:marRight w:val="0"/>
      <w:marTop w:val="0"/>
      <w:marBottom w:val="0"/>
      <w:divBdr>
        <w:top w:val="none" w:sz="0" w:space="0" w:color="auto"/>
        <w:left w:val="none" w:sz="0" w:space="0" w:color="auto"/>
        <w:bottom w:val="none" w:sz="0" w:space="0" w:color="auto"/>
        <w:right w:val="none" w:sz="0" w:space="0" w:color="auto"/>
      </w:divBdr>
      <w:divsChild>
        <w:div w:id="501315217">
          <w:marLeft w:val="0"/>
          <w:marRight w:val="0"/>
          <w:marTop w:val="0"/>
          <w:marBottom w:val="0"/>
          <w:divBdr>
            <w:top w:val="none" w:sz="0" w:space="0" w:color="auto"/>
            <w:left w:val="none" w:sz="0" w:space="0" w:color="auto"/>
            <w:bottom w:val="none" w:sz="0" w:space="0" w:color="auto"/>
            <w:right w:val="none" w:sz="0" w:space="0" w:color="auto"/>
          </w:divBdr>
        </w:div>
        <w:div w:id="1300112076">
          <w:marLeft w:val="0"/>
          <w:marRight w:val="0"/>
          <w:marTop w:val="0"/>
          <w:marBottom w:val="0"/>
          <w:divBdr>
            <w:top w:val="none" w:sz="0" w:space="0" w:color="auto"/>
            <w:left w:val="none" w:sz="0" w:space="0" w:color="auto"/>
            <w:bottom w:val="none" w:sz="0" w:space="0" w:color="auto"/>
            <w:right w:val="none" w:sz="0" w:space="0" w:color="auto"/>
          </w:divBdr>
        </w:div>
      </w:divsChild>
    </w:div>
    <w:div w:id="190804641">
      <w:bodyDiv w:val="1"/>
      <w:marLeft w:val="0"/>
      <w:marRight w:val="0"/>
      <w:marTop w:val="0"/>
      <w:marBottom w:val="0"/>
      <w:divBdr>
        <w:top w:val="none" w:sz="0" w:space="0" w:color="auto"/>
        <w:left w:val="none" w:sz="0" w:space="0" w:color="auto"/>
        <w:bottom w:val="none" w:sz="0" w:space="0" w:color="auto"/>
        <w:right w:val="none" w:sz="0" w:space="0" w:color="auto"/>
      </w:divBdr>
      <w:divsChild>
        <w:div w:id="338653449">
          <w:marLeft w:val="0"/>
          <w:marRight w:val="0"/>
          <w:marTop w:val="0"/>
          <w:marBottom w:val="0"/>
          <w:divBdr>
            <w:top w:val="none" w:sz="0" w:space="0" w:color="auto"/>
            <w:left w:val="none" w:sz="0" w:space="0" w:color="auto"/>
            <w:bottom w:val="none" w:sz="0" w:space="0" w:color="auto"/>
            <w:right w:val="none" w:sz="0" w:space="0" w:color="auto"/>
          </w:divBdr>
        </w:div>
        <w:div w:id="491331791">
          <w:marLeft w:val="0"/>
          <w:marRight w:val="0"/>
          <w:marTop w:val="0"/>
          <w:marBottom w:val="0"/>
          <w:divBdr>
            <w:top w:val="none" w:sz="0" w:space="0" w:color="auto"/>
            <w:left w:val="none" w:sz="0" w:space="0" w:color="auto"/>
            <w:bottom w:val="none" w:sz="0" w:space="0" w:color="auto"/>
            <w:right w:val="none" w:sz="0" w:space="0" w:color="auto"/>
          </w:divBdr>
        </w:div>
        <w:div w:id="779837713">
          <w:marLeft w:val="0"/>
          <w:marRight w:val="0"/>
          <w:marTop w:val="0"/>
          <w:marBottom w:val="0"/>
          <w:divBdr>
            <w:top w:val="none" w:sz="0" w:space="0" w:color="auto"/>
            <w:left w:val="none" w:sz="0" w:space="0" w:color="auto"/>
            <w:bottom w:val="none" w:sz="0" w:space="0" w:color="auto"/>
            <w:right w:val="none" w:sz="0" w:space="0" w:color="auto"/>
          </w:divBdr>
        </w:div>
        <w:div w:id="1868710354">
          <w:marLeft w:val="0"/>
          <w:marRight w:val="0"/>
          <w:marTop w:val="0"/>
          <w:marBottom w:val="0"/>
          <w:divBdr>
            <w:top w:val="none" w:sz="0" w:space="0" w:color="auto"/>
            <w:left w:val="none" w:sz="0" w:space="0" w:color="auto"/>
            <w:bottom w:val="none" w:sz="0" w:space="0" w:color="auto"/>
            <w:right w:val="none" w:sz="0" w:space="0" w:color="auto"/>
          </w:divBdr>
        </w:div>
        <w:div w:id="758217815">
          <w:marLeft w:val="0"/>
          <w:marRight w:val="0"/>
          <w:marTop w:val="0"/>
          <w:marBottom w:val="0"/>
          <w:divBdr>
            <w:top w:val="none" w:sz="0" w:space="0" w:color="auto"/>
            <w:left w:val="none" w:sz="0" w:space="0" w:color="auto"/>
            <w:bottom w:val="none" w:sz="0" w:space="0" w:color="auto"/>
            <w:right w:val="none" w:sz="0" w:space="0" w:color="auto"/>
          </w:divBdr>
        </w:div>
        <w:div w:id="1191802619">
          <w:marLeft w:val="0"/>
          <w:marRight w:val="0"/>
          <w:marTop w:val="0"/>
          <w:marBottom w:val="0"/>
          <w:divBdr>
            <w:top w:val="none" w:sz="0" w:space="0" w:color="auto"/>
            <w:left w:val="none" w:sz="0" w:space="0" w:color="auto"/>
            <w:bottom w:val="none" w:sz="0" w:space="0" w:color="auto"/>
            <w:right w:val="none" w:sz="0" w:space="0" w:color="auto"/>
          </w:divBdr>
        </w:div>
        <w:div w:id="779570982">
          <w:marLeft w:val="0"/>
          <w:marRight w:val="0"/>
          <w:marTop w:val="0"/>
          <w:marBottom w:val="0"/>
          <w:divBdr>
            <w:top w:val="none" w:sz="0" w:space="0" w:color="auto"/>
            <w:left w:val="none" w:sz="0" w:space="0" w:color="auto"/>
            <w:bottom w:val="none" w:sz="0" w:space="0" w:color="auto"/>
            <w:right w:val="none" w:sz="0" w:space="0" w:color="auto"/>
          </w:divBdr>
        </w:div>
      </w:divsChild>
    </w:div>
    <w:div w:id="771512925">
      <w:bodyDiv w:val="1"/>
      <w:marLeft w:val="0"/>
      <w:marRight w:val="0"/>
      <w:marTop w:val="0"/>
      <w:marBottom w:val="0"/>
      <w:divBdr>
        <w:top w:val="none" w:sz="0" w:space="0" w:color="auto"/>
        <w:left w:val="none" w:sz="0" w:space="0" w:color="auto"/>
        <w:bottom w:val="none" w:sz="0" w:space="0" w:color="auto"/>
        <w:right w:val="none" w:sz="0" w:space="0" w:color="auto"/>
      </w:divBdr>
    </w:div>
    <w:div w:id="1215392108">
      <w:bodyDiv w:val="1"/>
      <w:marLeft w:val="0"/>
      <w:marRight w:val="0"/>
      <w:marTop w:val="0"/>
      <w:marBottom w:val="0"/>
      <w:divBdr>
        <w:top w:val="none" w:sz="0" w:space="0" w:color="auto"/>
        <w:left w:val="none" w:sz="0" w:space="0" w:color="auto"/>
        <w:bottom w:val="none" w:sz="0" w:space="0" w:color="auto"/>
        <w:right w:val="none" w:sz="0" w:space="0" w:color="auto"/>
      </w:divBdr>
      <w:divsChild>
        <w:div w:id="1058436316">
          <w:marLeft w:val="0"/>
          <w:marRight w:val="0"/>
          <w:marTop w:val="0"/>
          <w:marBottom w:val="0"/>
          <w:divBdr>
            <w:top w:val="none" w:sz="0" w:space="0" w:color="auto"/>
            <w:left w:val="none" w:sz="0" w:space="0" w:color="auto"/>
            <w:bottom w:val="none" w:sz="0" w:space="0" w:color="auto"/>
            <w:right w:val="none" w:sz="0" w:space="0" w:color="auto"/>
          </w:divBdr>
        </w:div>
      </w:divsChild>
    </w:div>
    <w:div w:id="1230262446">
      <w:bodyDiv w:val="1"/>
      <w:marLeft w:val="0"/>
      <w:marRight w:val="0"/>
      <w:marTop w:val="0"/>
      <w:marBottom w:val="0"/>
      <w:divBdr>
        <w:top w:val="none" w:sz="0" w:space="0" w:color="auto"/>
        <w:left w:val="none" w:sz="0" w:space="0" w:color="auto"/>
        <w:bottom w:val="none" w:sz="0" w:space="0" w:color="auto"/>
        <w:right w:val="none" w:sz="0" w:space="0" w:color="auto"/>
      </w:divBdr>
      <w:divsChild>
        <w:div w:id="2006399503">
          <w:marLeft w:val="0"/>
          <w:marRight w:val="0"/>
          <w:marTop w:val="0"/>
          <w:marBottom w:val="0"/>
          <w:divBdr>
            <w:top w:val="none" w:sz="0" w:space="0" w:color="auto"/>
            <w:left w:val="none" w:sz="0" w:space="0" w:color="auto"/>
            <w:bottom w:val="none" w:sz="0" w:space="0" w:color="auto"/>
            <w:right w:val="none" w:sz="0" w:space="0" w:color="auto"/>
          </w:divBdr>
        </w:div>
        <w:div w:id="2023194226">
          <w:marLeft w:val="0"/>
          <w:marRight w:val="0"/>
          <w:marTop w:val="0"/>
          <w:marBottom w:val="0"/>
          <w:divBdr>
            <w:top w:val="none" w:sz="0" w:space="0" w:color="auto"/>
            <w:left w:val="none" w:sz="0" w:space="0" w:color="auto"/>
            <w:bottom w:val="none" w:sz="0" w:space="0" w:color="auto"/>
            <w:right w:val="none" w:sz="0" w:space="0" w:color="auto"/>
          </w:divBdr>
        </w:div>
        <w:div w:id="2144150959">
          <w:marLeft w:val="0"/>
          <w:marRight w:val="0"/>
          <w:marTop w:val="0"/>
          <w:marBottom w:val="0"/>
          <w:divBdr>
            <w:top w:val="none" w:sz="0" w:space="0" w:color="auto"/>
            <w:left w:val="none" w:sz="0" w:space="0" w:color="auto"/>
            <w:bottom w:val="none" w:sz="0" w:space="0" w:color="auto"/>
            <w:right w:val="none" w:sz="0" w:space="0" w:color="auto"/>
          </w:divBdr>
        </w:div>
        <w:div w:id="757873874">
          <w:marLeft w:val="0"/>
          <w:marRight w:val="0"/>
          <w:marTop w:val="0"/>
          <w:marBottom w:val="0"/>
          <w:divBdr>
            <w:top w:val="none" w:sz="0" w:space="0" w:color="auto"/>
            <w:left w:val="none" w:sz="0" w:space="0" w:color="auto"/>
            <w:bottom w:val="none" w:sz="0" w:space="0" w:color="auto"/>
            <w:right w:val="none" w:sz="0" w:space="0" w:color="auto"/>
          </w:divBdr>
        </w:div>
        <w:div w:id="1695183625">
          <w:marLeft w:val="0"/>
          <w:marRight w:val="0"/>
          <w:marTop w:val="0"/>
          <w:marBottom w:val="0"/>
          <w:divBdr>
            <w:top w:val="none" w:sz="0" w:space="0" w:color="auto"/>
            <w:left w:val="none" w:sz="0" w:space="0" w:color="auto"/>
            <w:bottom w:val="none" w:sz="0" w:space="0" w:color="auto"/>
            <w:right w:val="none" w:sz="0" w:space="0" w:color="auto"/>
          </w:divBdr>
        </w:div>
      </w:divsChild>
    </w:div>
    <w:div w:id="1396003317">
      <w:bodyDiv w:val="1"/>
      <w:marLeft w:val="0"/>
      <w:marRight w:val="0"/>
      <w:marTop w:val="0"/>
      <w:marBottom w:val="0"/>
      <w:divBdr>
        <w:top w:val="none" w:sz="0" w:space="0" w:color="auto"/>
        <w:left w:val="none" w:sz="0" w:space="0" w:color="auto"/>
        <w:bottom w:val="none" w:sz="0" w:space="0" w:color="auto"/>
        <w:right w:val="none" w:sz="0" w:space="0" w:color="auto"/>
      </w:divBdr>
      <w:divsChild>
        <w:div w:id="389697193">
          <w:marLeft w:val="0"/>
          <w:marRight w:val="0"/>
          <w:marTop w:val="0"/>
          <w:marBottom w:val="0"/>
          <w:divBdr>
            <w:top w:val="none" w:sz="0" w:space="0" w:color="auto"/>
            <w:left w:val="none" w:sz="0" w:space="0" w:color="auto"/>
            <w:bottom w:val="none" w:sz="0" w:space="0" w:color="auto"/>
            <w:right w:val="none" w:sz="0" w:space="0" w:color="auto"/>
          </w:divBdr>
        </w:div>
      </w:divsChild>
    </w:div>
    <w:div w:id="19121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74CF8-2AD5-49B7-9CA0-DA2CBCCE2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9287</Words>
  <Characters>5295</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AM</Company>
  <LinksUpToDate>false</LinksUpToDate>
  <CharactersWithSpaces>14553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j.naujekaite</dc:creator>
  <cp:lastModifiedBy>Jolanta Merkelienė</cp:lastModifiedBy>
  <cp:revision>12</cp:revision>
  <cp:lastPrinted>2013-10-23T12:15:00Z</cp:lastPrinted>
  <dcterms:created xsi:type="dcterms:W3CDTF">2020-10-08T08:15:00Z</dcterms:created>
  <dcterms:modified xsi:type="dcterms:W3CDTF">2020-12-21T13:38:00Z</dcterms:modified>
</cp:coreProperties>
</file>