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BA501" w14:textId="1781B682" w:rsidR="00E86BD3" w:rsidRPr="006C6F40" w:rsidRDefault="00E86BD3" w:rsidP="006C6F40">
      <w:pPr>
        <w:spacing w:before="120" w:line="240" w:lineRule="auto"/>
        <w:jc w:val="center"/>
        <w:rPr>
          <w:b/>
          <w:szCs w:val="24"/>
          <w:lang w:val="lt-LT"/>
        </w:rPr>
      </w:pPr>
      <w:r w:rsidRPr="006C6F40">
        <w:rPr>
          <w:b/>
          <w:szCs w:val="24"/>
          <w:lang w:val="lt-LT"/>
        </w:rPr>
        <w:t>PAŽYMA</w:t>
      </w:r>
    </w:p>
    <w:p w14:paraId="7D15EBF4" w14:textId="7D3EE5F5" w:rsidR="00E86BD3" w:rsidRPr="006C6F40" w:rsidRDefault="00E86BD3" w:rsidP="00A77082">
      <w:pPr>
        <w:spacing w:before="120" w:line="240" w:lineRule="auto"/>
        <w:jc w:val="center"/>
        <w:rPr>
          <w:b/>
          <w:szCs w:val="24"/>
          <w:lang w:val="lt-LT"/>
        </w:rPr>
      </w:pPr>
      <w:r w:rsidRPr="006C6F40">
        <w:rPr>
          <w:b/>
          <w:szCs w:val="24"/>
          <w:lang w:val="lt-LT"/>
        </w:rPr>
        <w:t xml:space="preserve">Dėl š. m. lapkričio </w:t>
      </w:r>
      <w:r w:rsidR="003908CF" w:rsidRPr="006C6F40">
        <w:rPr>
          <w:b/>
          <w:szCs w:val="24"/>
          <w:lang w:val="lt-LT"/>
        </w:rPr>
        <w:t>12</w:t>
      </w:r>
      <w:r w:rsidRPr="006C6F40">
        <w:rPr>
          <w:b/>
          <w:szCs w:val="24"/>
          <w:lang w:val="lt-LT"/>
        </w:rPr>
        <w:t xml:space="preserve"> d. Ekonomikos ir finansų reikalų taryboje (Biudžetas) svarstomų klausimų</w:t>
      </w:r>
    </w:p>
    <w:p w14:paraId="4D09F29D" w14:textId="77777777" w:rsidR="00E86BD3" w:rsidRPr="006C6F40" w:rsidRDefault="00E86BD3" w:rsidP="00A77082">
      <w:pPr>
        <w:suppressAutoHyphens/>
        <w:spacing w:line="240" w:lineRule="auto"/>
        <w:jc w:val="center"/>
        <w:rPr>
          <w:rFonts w:cs="Times New Roman"/>
          <w:b/>
          <w:bCs/>
          <w:szCs w:val="24"/>
          <w:u w:val="single"/>
          <w:lang w:val="lt-LT"/>
        </w:rPr>
      </w:pPr>
    </w:p>
    <w:p w14:paraId="46D0306A" w14:textId="1AB02E35" w:rsidR="00485624" w:rsidRDefault="00485624" w:rsidP="00E86B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spacing w:line="240" w:lineRule="auto"/>
        <w:jc w:val="both"/>
        <w:rPr>
          <w:rFonts w:eastAsia="Times New Roman" w:cs="Times New Roman"/>
          <w:b/>
          <w:color w:val="000000"/>
          <w:szCs w:val="24"/>
          <w:lang w:val="lt-LT" w:eastAsia="lt-LT"/>
        </w:rPr>
      </w:pPr>
      <w:r>
        <w:rPr>
          <w:rFonts w:eastAsia="Times New Roman" w:cs="Times New Roman"/>
          <w:b/>
          <w:color w:val="000000"/>
          <w:szCs w:val="24"/>
          <w:lang w:val="lt-LT" w:eastAsia="lt-LT"/>
        </w:rPr>
        <w:t>Darbotvarkės klausimai:</w:t>
      </w:r>
    </w:p>
    <w:p w14:paraId="11AD5E5C" w14:textId="77777777" w:rsidR="00E86BD3" w:rsidRPr="00485624" w:rsidRDefault="00E86BD3" w:rsidP="00E86B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/>
        </w:rPr>
      </w:pPr>
      <w:r w:rsidRPr="00485624">
        <w:rPr>
          <w:rFonts w:eastAsia="Times New Roman" w:cs="Times New Roman"/>
          <w:color w:val="000000"/>
          <w:szCs w:val="24"/>
          <w:lang w:val="lt-LT" w:eastAsia="lt-LT"/>
        </w:rPr>
        <w:t>1) Pasirengimas Taikinimo komiteto posėdžiui su Europos Parlamentu</w:t>
      </w:r>
    </w:p>
    <w:p w14:paraId="4309A36C" w14:textId="4B077A33" w:rsidR="00E86BD3" w:rsidRPr="00485624" w:rsidRDefault="00E86BD3" w:rsidP="00E86B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42"/>
          <w:tab w:val="left" w:pos="709"/>
        </w:tabs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/>
        </w:rPr>
      </w:pPr>
      <w:r w:rsidRPr="00485624">
        <w:rPr>
          <w:rFonts w:eastAsia="Times New Roman" w:cs="Times New Roman"/>
          <w:color w:val="000000"/>
          <w:szCs w:val="24"/>
          <w:lang w:val="lt-LT" w:eastAsia="lt-LT"/>
        </w:rPr>
        <w:t xml:space="preserve">2) Taikinimo komiteto posėdžio </w:t>
      </w:r>
      <w:r w:rsidR="00485624" w:rsidRPr="00485624">
        <w:rPr>
          <w:rFonts w:eastAsia="Times New Roman" w:cs="Times New Roman"/>
          <w:color w:val="000000"/>
          <w:szCs w:val="24"/>
          <w:lang w:val="lt-LT" w:eastAsia="lt-LT"/>
        </w:rPr>
        <w:t>su Europos Parlamentu rezultatų aptarimas</w:t>
      </w:r>
    </w:p>
    <w:p w14:paraId="63CF4252" w14:textId="77777777" w:rsidR="00E86BD3" w:rsidRDefault="00E86BD3" w:rsidP="00985631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/>
        </w:rPr>
      </w:pPr>
    </w:p>
    <w:p w14:paraId="73E96272" w14:textId="5E77A22B" w:rsidR="00485624" w:rsidRPr="00485624" w:rsidRDefault="00485624" w:rsidP="00985631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</w:pPr>
      <w:r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>Derybos</w:t>
      </w:r>
      <w:r w:rsidRPr="00485624"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 xml:space="preserve"> dėl 2022 m. ES biudžeto: </w:t>
      </w:r>
    </w:p>
    <w:p w14:paraId="532E11C9" w14:textId="130BE613" w:rsidR="00F16D02" w:rsidRPr="006C6F40" w:rsidRDefault="00F16D02" w:rsidP="00CE7A08">
      <w:pPr>
        <w:spacing w:before="120" w:line="240" w:lineRule="auto"/>
        <w:jc w:val="both"/>
        <w:rPr>
          <w:rFonts w:cs="Times New Roman"/>
          <w:szCs w:val="24"/>
          <w:lang w:val="lt-LT"/>
        </w:rPr>
      </w:pPr>
      <w:r w:rsidRPr="006C6F40">
        <w:rPr>
          <w:rFonts w:cs="Times New Roman"/>
          <w:szCs w:val="24"/>
          <w:lang w:val="lt-LT"/>
        </w:rPr>
        <w:t xml:space="preserve">Š. m. </w:t>
      </w:r>
      <w:r w:rsidR="00D856CE" w:rsidRPr="006C6F40">
        <w:rPr>
          <w:rFonts w:cs="Times New Roman"/>
          <w:szCs w:val="24"/>
          <w:lang w:val="lt-LT"/>
        </w:rPr>
        <w:t>birželio 8</w:t>
      </w:r>
      <w:r w:rsidR="00441DFB" w:rsidRPr="006C6F40">
        <w:rPr>
          <w:rFonts w:cs="Times New Roman"/>
          <w:szCs w:val="24"/>
          <w:lang w:val="lt-LT"/>
        </w:rPr>
        <w:t> </w:t>
      </w:r>
      <w:r w:rsidRPr="006C6F40">
        <w:rPr>
          <w:rFonts w:cs="Times New Roman"/>
          <w:szCs w:val="24"/>
          <w:lang w:val="lt-LT"/>
        </w:rPr>
        <w:t xml:space="preserve">d. </w:t>
      </w:r>
      <w:r w:rsidR="00441DFB" w:rsidRPr="00485624">
        <w:rPr>
          <w:rFonts w:cs="Times New Roman"/>
          <w:b/>
          <w:szCs w:val="24"/>
          <w:u w:val="single"/>
          <w:lang w:val="lt-LT"/>
        </w:rPr>
        <w:t xml:space="preserve">Europos </w:t>
      </w:r>
      <w:r w:rsidR="00700BC3" w:rsidRPr="00485624">
        <w:rPr>
          <w:rFonts w:cs="Times New Roman"/>
          <w:b/>
          <w:szCs w:val="24"/>
          <w:u w:val="single"/>
          <w:lang w:val="lt-LT"/>
        </w:rPr>
        <w:t>Komisija</w:t>
      </w:r>
      <w:r w:rsidR="00441DFB" w:rsidRPr="00485624">
        <w:rPr>
          <w:rFonts w:cs="Times New Roman"/>
          <w:b/>
          <w:szCs w:val="24"/>
          <w:u w:val="single"/>
          <w:lang w:val="lt-LT"/>
        </w:rPr>
        <w:t xml:space="preserve"> (</w:t>
      </w:r>
      <w:r w:rsidRPr="00485624">
        <w:rPr>
          <w:rFonts w:cs="Times New Roman"/>
          <w:b/>
          <w:szCs w:val="24"/>
          <w:u w:val="single"/>
          <w:lang w:val="lt-LT"/>
        </w:rPr>
        <w:t>EK</w:t>
      </w:r>
      <w:r w:rsidR="00441DFB" w:rsidRPr="00485624">
        <w:rPr>
          <w:rFonts w:cs="Times New Roman"/>
          <w:b/>
          <w:szCs w:val="24"/>
          <w:u w:val="single"/>
          <w:lang w:val="lt-LT"/>
        </w:rPr>
        <w:t>)</w:t>
      </w:r>
      <w:r w:rsidRPr="00485624">
        <w:rPr>
          <w:rFonts w:cs="Times New Roman"/>
          <w:b/>
          <w:szCs w:val="24"/>
          <w:u w:val="single"/>
          <w:lang w:val="lt-LT"/>
        </w:rPr>
        <w:t xml:space="preserve"> </w:t>
      </w:r>
      <w:r w:rsidR="00485624" w:rsidRPr="00485624">
        <w:rPr>
          <w:rFonts w:cs="Times New Roman"/>
          <w:b/>
          <w:szCs w:val="24"/>
          <w:u w:val="single"/>
          <w:lang w:val="lt-LT"/>
        </w:rPr>
        <w:t>pateikė</w:t>
      </w:r>
      <w:r w:rsidRPr="00485624">
        <w:rPr>
          <w:rFonts w:cs="Times New Roman"/>
          <w:b/>
          <w:szCs w:val="24"/>
          <w:u w:val="single"/>
          <w:lang w:val="lt-LT"/>
        </w:rPr>
        <w:t xml:space="preserve"> 20</w:t>
      </w:r>
      <w:r w:rsidR="00D856CE" w:rsidRPr="00485624">
        <w:rPr>
          <w:rFonts w:cs="Times New Roman"/>
          <w:b/>
          <w:szCs w:val="24"/>
          <w:u w:val="single"/>
          <w:lang w:val="lt-LT"/>
        </w:rPr>
        <w:t>22</w:t>
      </w:r>
      <w:r w:rsidR="00441DFB" w:rsidRPr="00485624">
        <w:rPr>
          <w:rFonts w:cs="Times New Roman"/>
          <w:b/>
          <w:szCs w:val="24"/>
          <w:u w:val="single"/>
          <w:lang w:val="lt-LT"/>
        </w:rPr>
        <w:t> </w:t>
      </w:r>
      <w:r w:rsidRPr="00485624">
        <w:rPr>
          <w:rFonts w:cs="Times New Roman"/>
          <w:b/>
          <w:szCs w:val="24"/>
          <w:u w:val="single"/>
          <w:lang w:val="lt-LT"/>
        </w:rPr>
        <w:t>m. ES biudžeto projektą</w:t>
      </w:r>
      <w:r w:rsidR="00347384" w:rsidRPr="006C6F40">
        <w:rPr>
          <w:rFonts w:cs="Times New Roman"/>
          <w:szCs w:val="24"/>
          <w:lang w:val="lt-LT"/>
        </w:rPr>
        <w:t xml:space="preserve"> (toliau – EK pasiūlymas)</w:t>
      </w:r>
      <w:r w:rsidRPr="006C6F40">
        <w:rPr>
          <w:rFonts w:cs="Times New Roman"/>
          <w:szCs w:val="24"/>
          <w:lang w:val="lt-LT"/>
        </w:rPr>
        <w:t>, kuriame</w:t>
      </w:r>
      <w:r w:rsidR="006D40D5" w:rsidRPr="006C6F40">
        <w:rPr>
          <w:rFonts w:cs="Times New Roman"/>
          <w:szCs w:val="24"/>
          <w:lang w:val="lt-LT"/>
        </w:rPr>
        <w:t xml:space="preserve"> be specialiųjų instrumentų</w:t>
      </w:r>
      <w:r w:rsidR="006D40D5" w:rsidRPr="006C6F40">
        <w:rPr>
          <w:rStyle w:val="Puslapioinaosnuoroda"/>
          <w:rFonts w:cs="Times New Roman"/>
          <w:szCs w:val="24"/>
          <w:lang w:val="lt-LT"/>
        </w:rPr>
        <w:footnoteReference w:id="1"/>
      </w:r>
      <w:r w:rsidRPr="006C6F40">
        <w:rPr>
          <w:rFonts w:cs="Times New Roman"/>
          <w:szCs w:val="24"/>
          <w:lang w:val="lt-LT"/>
        </w:rPr>
        <w:t xml:space="preserve"> </w:t>
      </w:r>
      <w:r w:rsidRPr="006C6F40">
        <w:rPr>
          <w:rFonts w:cs="Times New Roman"/>
          <w:b/>
          <w:szCs w:val="24"/>
          <w:lang w:val="lt-LT"/>
        </w:rPr>
        <w:t xml:space="preserve">įsipareigojimų asignavimai (toliau – ĮA) siekia </w:t>
      </w:r>
      <w:r w:rsidR="006D40D5" w:rsidRPr="006C6F40">
        <w:rPr>
          <w:rFonts w:cs="Times New Roman"/>
          <w:b/>
          <w:szCs w:val="24"/>
          <w:lang w:val="lt-LT"/>
        </w:rPr>
        <w:t>166</w:t>
      </w:r>
      <w:r w:rsidRPr="006C6F40">
        <w:rPr>
          <w:rFonts w:cs="Times New Roman"/>
          <w:b/>
          <w:szCs w:val="24"/>
          <w:lang w:val="lt-LT"/>
        </w:rPr>
        <w:t>,</w:t>
      </w:r>
      <w:r w:rsidR="006D40D5" w:rsidRPr="006C6F40">
        <w:rPr>
          <w:rFonts w:cs="Times New Roman"/>
          <w:b/>
          <w:szCs w:val="24"/>
          <w:lang w:val="lt-LT"/>
        </w:rPr>
        <w:t>2</w:t>
      </w:r>
      <w:r w:rsidR="00A359CB" w:rsidRPr="006C6F40">
        <w:rPr>
          <w:rFonts w:cs="Times New Roman"/>
          <w:b/>
          <w:szCs w:val="24"/>
          <w:lang w:val="lt-LT"/>
        </w:rPr>
        <w:t>9</w:t>
      </w:r>
      <w:r w:rsidRPr="006C6F40">
        <w:rPr>
          <w:rFonts w:cs="Times New Roman"/>
          <w:b/>
          <w:szCs w:val="24"/>
          <w:lang w:val="lt-LT"/>
        </w:rPr>
        <w:t> mlrd. eurų</w:t>
      </w:r>
      <w:r w:rsidR="002F7A9D" w:rsidRPr="006C6F40">
        <w:rPr>
          <w:rFonts w:cs="Times New Roman"/>
          <w:b/>
          <w:szCs w:val="24"/>
          <w:lang w:val="lt-LT"/>
        </w:rPr>
        <w:t>, o</w:t>
      </w:r>
      <w:r w:rsidRPr="006C6F40">
        <w:rPr>
          <w:rFonts w:cs="Times New Roman"/>
          <w:b/>
          <w:szCs w:val="24"/>
          <w:lang w:val="lt-LT"/>
        </w:rPr>
        <w:t xml:space="preserve"> mokėjimų asignavimai (toliau – MA) – </w:t>
      </w:r>
      <w:r w:rsidR="006D40D5" w:rsidRPr="006C6F40">
        <w:rPr>
          <w:rFonts w:cs="Times New Roman"/>
          <w:b/>
          <w:szCs w:val="24"/>
          <w:lang w:val="lt-LT"/>
        </w:rPr>
        <w:t>168,06</w:t>
      </w:r>
      <w:r w:rsidRPr="006C6F40">
        <w:rPr>
          <w:rFonts w:cs="Times New Roman"/>
          <w:b/>
          <w:szCs w:val="24"/>
          <w:lang w:val="lt-LT"/>
        </w:rPr>
        <w:t xml:space="preserve"> mlrd. eurų</w:t>
      </w:r>
      <w:r w:rsidR="002F7A9D" w:rsidRPr="006C6F40">
        <w:rPr>
          <w:rFonts w:cs="Times New Roman"/>
          <w:szCs w:val="24"/>
          <w:lang w:val="lt-LT"/>
        </w:rPr>
        <w:t xml:space="preserve">. </w:t>
      </w:r>
      <w:r w:rsidR="006D40D5" w:rsidRPr="006C6F40">
        <w:rPr>
          <w:rFonts w:cs="Times New Roman"/>
          <w:szCs w:val="24"/>
          <w:lang w:val="lt-LT"/>
        </w:rPr>
        <w:t>S</w:t>
      </w:r>
      <w:r w:rsidR="0012075F" w:rsidRPr="006C6F40">
        <w:rPr>
          <w:rFonts w:cs="Times New Roman"/>
          <w:szCs w:val="24"/>
          <w:lang w:val="lt-LT"/>
        </w:rPr>
        <w:t>iūlomas s</w:t>
      </w:r>
      <w:r w:rsidR="00194FE1" w:rsidRPr="006C6F40">
        <w:rPr>
          <w:rFonts w:cs="Times New Roman"/>
          <w:szCs w:val="24"/>
          <w:lang w:val="lt-LT"/>
        </w:rPr>
        <w:t>pecialiųjų instrumentų finansavimas</w:t>
      </w:r>
      <w:r w:rsidR="002F7A9D" w:rsidRPr="006C6F40">
        <w:rPr>
          <w:rFonts w:cs="Times New Roman"/>
          <w:szCs w:val="24"/>
          <w:lang w:val="lt-LT"/>
        </w:rPr>
        <w:t xml:space="preserve"> </w:t>
      </w:r>
      <w:r w:rsidR="00A359CB" w:rsidRPr="006C6F40">
        <w:rPr>
          <w:rFonts w:cs="Times New Roman"/>
          <w:szCs w:val="24"/>
          <w:lang w:val="lt-LT"/>
        </w:rPr>
        <w:t>1,5 mlrd. eurų ĮA ir 1,32 mlrd</w:t>
      </w:r>
      <w:r w:rsidR="00194FE1" w:rsidRPr="006C6F40">
        <w:rPr>
          <w:rFonts w:cs="Times New Roman"/>
          <w:szCs w:val="24"/>
          <w:lang w:val="lt-LT"/>
        </w:rPr>
        <w:t>. eurų MA.</w:t>
      </w:r>
      <w:r w:rsidR="009343FF" w:rsidRPr="006C6F40">
        <w:rPr>
          <w:rFonts w:cs="Times New Roman"/>
          <w:szCs w:val="24"/>
          <w:lang w:val="lt-LT"/>
        </w:rPr>
        <w:t xml:space="preserve"> </w:t>
      </w:r>
      <w:r w:rsidR="0012075F" w:rsidRPr="006C6F40">
        <w:rPr>
          <w:rFonts w:cs="Times New Roman"/>
          <w:szCs w:val="24"/>
          <w:lang w:val="lt-LT"/>
        </w:rPr>
        <w:t xml:space="preserve">Su specialiaisiais instrumentais ĮA sudarytų 167,79 mlrd. eurų, o MA – 169,39 mlrd. eurų. </w:t>
      </w:r>
      <w:r w:rsidR="008C4295" w:rsidRPr="006C6F40">
        <w:rPr>
          <w:rFonts w:cs="Times New Roman"/>
          <w:szCs w:val="24"/>
          <w:lang w:val="lt-LT"/>
        </w:rPr>
        <w:t xml:space="preserve">Pažymėtina, kad 2021 m. spalio </w:t>
      </w:r>
      <w:r w:rsidR="009343FF" w:rsidRPr="006C6F40">
        <w:rPr>
          <w:rFonts w:cs="Times New Roman"/>
          <w:szCs w:val="24"/>
          <w:lang w:val="lt-LT"/>
        </w:rPr>
        <w:t xml:space="preserve">12 </w:t>
      </w:r>
      <w:r w:rsidR="008C4295" w:rsidRPr="006C6F40">
        <w:rPr>
          <w:rFonts w:cs="Times New Roman"/>
          <w:szCs w:val="24"/>
          <w:lang w:val="lt-LT"/>
        </w:rPr>
        <w:t xml:space="preserve">d. taisomuoju raštu specialiųjų instrumentų tiek ĮA, tiek MA </w:t>
      </w:r>
      <w:r w:rsidR="009343FF" w:rsidRPr="006C6F40">
        <w:rPr>
          <w:rFonts w:cs="Times New Roman"/>
          <w:szCs w:val="24"/>
          <w:lang w:val="lt-LT"/>
        </w:rPr>
        <w:t>EK pasiūlė</w:t>
      </w:r>
      <w:r w:rsidR="008C4295" w:rsidRPr="006C6F40">
        <w:rPr>
          <w:rFonts w:cs="Times New Roman"/>
          <w:szCs w:val="24"/>
          <w:lang w:val="lt-LT"/>
        </w:rPr>
        <w:t xml:space="preserve"> padidinti po 1,2 mlrd. eurų, t.y. tiek kiek reikės </w:t>
      </w:r>
      <w:r w:rsidR="009343FF" w:rsidRPr="006C6F40">
        <w:rPr>
          <w:rFonts w:cs="Times New Roman"/>
          <w:szCs w:val="24"/>
          <w:lang w:val="lt-LT"/>
        </w:rPr>
        <w:t xml:space="preserve">Prisitaikymo prie Brexit rezervo avansiniams mokėjimams (šiems padidinimams savo pozicijose pritarė tiek Taryba, tiek Europos Parlamentas). </w:t>
      </w:r>
    </w:p>
    <w:p w14:paraId="48A36B00" w14:textId="77777777" w:rsidR="00B07D0F" w:rsidRPr="006C6F40" w:rsidRDefault="00B07D0F" w:rsidP="002B418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</w:pPr>
    </w:p>
    <w:p w14:paraId="178F97EA" w14:textId="5D3F47A9" w:rsidR="00CD4FD0" w:rsidRPr="006C6F40" w:rsidRDefault="00485624" w:rsidP="00262752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b/>
          <w:color w:val="000000"/>
          <w:szCs w:val="24"/>
          <w:lang w:val="lt-LT" w:eastAsia="lt-LT"/>
        </w:rPr>
      </w:pPr>
      <w:r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 xml:space="preserve">2021 m. </w:t>
      </w:r>
      <w:r w:rsidR="0057469D"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>rugsėjo 6</w:t>
      </w:r>
      <w:r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 xml:space="preserve"> d. </w:t>
      </w:r>
      <w:r w:rsidR="0057469D"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 xml:space="preserve">buvo patvirtintas ES valstybių narių susitarimas </w:t>
      </w:r>
      <w:r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 xml:space="preserve">dėl </w:t>
      </w:r>
      <w:r w:rsidR="00CB3761"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>2022 m. ES biudžeto</w:t>
      </w:r>
      <w:r w:rsidR="00262752" w:rsidRPr="006C6F40">
        <w:rPr>
          <w:rFonts w:eastAsia="Times New Roman" w:cs="Times New Roman"/>
          <w:b/>
          <w:color w:val="000000"/>
          <w:szCs w:val="24"/>
          <w:lang w:val="lt-LT" w:eastAsia="lt-LT"/>
        </w:rPr>
        <w:t>.</w:t>
      </w:r>
      <w:r>
        <w:rPr>
          <w:rFonts w:eastAsia="Times New Roman" w:cs="Times New Roman"/>
          <w:b/>
          <w:color w:val="000000"/>
          <w:szCs w:val="24"/>
          <w:lang w:val="lt-LT" w:eastAsia="lt-LT"/>
        </w:rPr>
        <w:t xml:space="preserve"> 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 xml:space="preserve">Siekdama realistiško ES biudžeto planavimo, Taryba </w:t>
      </w:r>
      <w:r w:rsidR="0057469D">
        <w:rPr>
          <w:rFonts w:eastAsia="Times New Roman" w:cs="Times New Roman"/>
          <w:color w:val="000000"/>
          <w:szCs w:val="24"/>
          <w:lang w:val="lt-LT" w:eastAsia="lt-LT"/>
        </w:rPr>
        <w:t>nutarė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 xml:space="preserve"> sumažinti ES biudžeto apimtis ir 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>(</w:t>
      </w:r>
      <w:r w:rsidR="00C92893" w:rsidRPr="006C6F40">
        <w:rPr>
          <w:rFonts w:eastAsia="Times New Roman" w:cs="Times New Roman"/>
          <w:color w:val="000000"/>
          <w:szCs w:val="24"/>
          <w:lang w:val="lt-LT" w:eastAsia="lt-LT" w:bidi="lt-LT"/>
        </w:rPr>
        <w:t>be spec. instrumentų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) </w:t>
      </w:r>
      <w:r w:rsidR="00CB3761">
        <w:rPr>
          <w:rFonts w:eastAsia="Times New Roman" w:cs="Times New Roman"/>
          <w:color w:val="000000"/>
          <w:szCs w:val="24"/>
          <w:lang w:val="lt-LT" w:eastAsia="lt-LT" w:bidi="lt-LT"/>
        </w:rPr>
        <w:t>pasiūlė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</w:t>
      </w:r>
      <w:r w:rsidR="00C92893" w:rsidRPr="006C6F40">
        <w:rPr>
          <w:rFonts w:eastAsia="Times New Roman" w:cs="Times New Roman"/>
          <w:color w:val="000000"/>
          <w:szCs w:val="24"/>
          <w:lang w:val="lt-LT" w:eastAsia="lt-LT" w:bidi="lt-LT"/>
        </w:rPr>
        <w:t>2022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 m. ES biudžeto ĮA numatyti </w:t>
      </w:r>
      <w:r w:rsidR="002B4182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16</w:t>
      </w:r>
      <w:r w:rsidR="00C92893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4</w:t>
      </w:r>
      <w:r w:rsidR="002B4182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,</w:t>
      </w:r>
      <w:r w:rsidR="009D157F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86</w:t>
      </w:r>
      <w:r w:rsidR="002B4182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 mlrd. eurų</w:t>
      </w:r>
      <w:r w:rsidR="00C92893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(-1 430,3 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 mln. eurų  mažiau lyginant su EK pasiūlymu), o MA – </w:t>
      </w:r>
      <w:r w:rsidR="00C92893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167</w:t>
      </w:r>
      <w:r w:rsidR="000306C0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,</w:t>
      </w:r>
      <w:r w:rsidR="00C92893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3</w:t>
      </w:r>
      <w:r w:rsidR="009D157F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4</w:t>
      </w:r>
      <w:r w:rsidR="000306C0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 </w:t>
      </w:r>
      <w:r w:rsidR="002B4182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mlrd. eurų</w:t>
      </w:r>
      <w:r w:rsidR="00C92893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(-724,4</w:t>
      </w:r>
      <w:r w:rsidR="002B4182" w:rsidRPr="006C6F40">
        <w:rPr>
          <w:rFonts w:eastAsia="Times New Roman" w:cs="Times New Roman"/>
          <w:color w:val="000000"/>
          <w:szCs w:val="24"/>
          <w:lang w:val="lt-LT" w:eastAsia="lt-LT" w:bidi="lt-LT"/>
        </w:rPr>
        <w:t> mln. eurų mažiau lyginant su EK pasiūlymu).</w:t>
      </w:r>
      <w:r w:rsidR="0078361B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 xml:space="preserve">Svarbus Tarybos pozicijos elementas – 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 xml:space="preserve">administracinių išlaidų 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>„užšaldymas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>“</w:t>
      </w:r>
      <w:r w:rsidR="00CB3761">
        <w:rPr>
          <w:rFonts w:eastAsia="Times New Roman" w:cs="Times New Roman"/>
          <w:color w:val="000000"/>
          <w:szCs w:val="24"/>
          <w:lang w:val="lt-LT" w:eastAsia="lt-LT"/>
        </w:rPr>
        <w:t xml:space="preserve">, t.y. atsisakyta didinti finansavimą ES institucijų ir agentūrų personalui. </w:t>
      </w:r>
    </w:p>
    <w:p w14:paraId="70BDF3C6" w14:textId="77777777" w:rsidR="002B4182" w:rsidRPr="006C6F40" w:rsidRDefault="002B4182" w:rsidP="002B418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szCs w:val="24"/>
          <w:lang w:val="lt-LT"/>
        </w:rPr>
      </w:pPr>
    </w:p>
    <w:p w14:paraId="7243D817" w14:textId="77777777" w:rsidR="00E6787C" w:rsidRDefault="002B4182" w:rsidP="0026275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 w:bidi="lt-LT"/>
        </w:rPr>
      </w:pPr>
      <w:r w:rsidRPr="006C6F40">
        <w:rPr>
          <w:rFonts w:cs="Times New Roman"/>
          <w:b/>
          <w:szCs w:val="24"/>
          <w:u w:val="single"/>
          <w:lang w:val="lt-LT"/>
        </w:rPr>
        <w:t>E</w:t>
      </w:r>
      <w:r w:rsidR="00262752" w:rsidRPr="006C6F40">
        <w:rPr>
          <w:rFonts w:cs="Times New Roman"/>
          <w:b/>
          <w:szCs w:val="24"/>
          <w:u w:val="single"/>
          <w:lang w:val="lt-LT"/>
        </w:rPr>
        <w:t xml:space="preserve">uropos </w:t>
      </w:r>
      <w:r w:rsidRPr="006C6F40">
        <w:rPr>
          <w:rFonts w:cs="Times New Roman"/>
          <w:b/>
          <w:szCs w:val="24"/>
          <w:u w:val="single"/>
          <w:lang w:val="lt-LT"/>
        </w:rPr>
        <w:t>P</w:t>
      </w:r>
      <w:r w:rsidR="00262752" w:rsidRPr="006C6F40">
        <w:rPr>
          <w:rFonts w:cs="Times New Roman"/>
          <w:b/>
          <w:szCs w:val="24"/>
          <w:u w:val="single"/>
          <w:lang w:val="lt-LT"/>
        </w:rPr>
        <w:t>arlamento (EP)</w:t>
      </w:r>
      <w:r w:rsidRPr="006C6F40">
        <w:rPr>
          <w:rFonts w:cs="Times New Roman"/>
          <w:b/>
          <w:szCs w:val="24"/>
          <w:u w:val="single"/>
          <w:lang w:val="lt-LT"/>
        </w:rPr>
        <w:t xml:space="preserve"> pozicija </w:t>
      </w:r>
      <w:r w:rsidRPr="006C6F40">
        <w:rPr>
          <w:rFonts w:eastAsia="Times New Roman" w:cs="Times New Roman"/>
          <w:b/>
          <w:color w:val="000000"/>
          <w:szCs w:val="24"/>
          <w:u w:val="single"/>
          <w:lang w:val="lt-LT" w:eastAsia="lt-LT"/>
        </w:rPr>
        <w:t>dėl EK pasiūlymo</w:t>
      </w:r>
      <w:r w:rsidR="00262752" w:rsidRPr="006C6F40">
        <w:rPr>
          <w:rFonts w:cs="Times New Roman"/>
          <w:b/>
          <w:szCs w:val="24"/>
          <w:u w:val="single"/>
          <w:lang w:val="lt-LT"/>
        </w:rPr>
        <w:t xml:space="preserve">. </w:t>
      </w:r>
      <w:r w:rsidR="00911665" w:rsidRPr="006C6F40">
        <w:rPr>
          <w:rFonts w:eastAsia="Times New Roman" w:cs="Times New Roman"/>
          <w:color w:val="000000"/>
          <w:szCs w:val="24"/>
          <w:lang w:val="lt-LT" w:eastAsia="lt-LT" w:bidi="lt-LT"/>
        </w:rPr>
        <w:t>Š. m. spalio 20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> d. plenarinės sesijos metu EP patvirtino s</w:t>
      </w:r>
      <w:r w:rsidR="00CB3761">
        <w:rPr>
          <w:rFonts w:eastAsia="Times New Roman" w:cs="Times New Roman"/>
          <w:color w:val="000000"/>
          <w:szCs w:val="24"/>
          <w:lang w:val="lt-LT" w:eastAsia="lt-LT" w:bidi="lt-LT"/>
        </w:rPr>
        <w:t>avo poziciją, kurioje nepritarė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Tarybos pasiūlytam ES</w:t>
      </w:r>
      <w:r w:rsidR="00F055F0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biudžeto išlaidų mažinimui, 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ir </w:t>
      </w:r>
      <w:r w:rsidR="00CB3761">
        <w:rPr>
          <w:rFonts w:eastAsia="Times New Roman" w:cs="Times New Roman"/>
          <w:color w:val="000000"/>
          <w:szCs w:val="24"/>
          <w:lang w:val="lt-LT" w:eastAsia="lt-LT" w:bidi="lt-LT"/>
        </w:rPr>
        <w:t>pasiūlė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didinti EK pasiūlyme numatytas jų ribas. </w:t>
      </w:r>
      <w:r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Lyginant su pradiniu EK pasiūlymu,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EP pozicijoje (</w:t>
      </w:r>
      <w:r w:rsidR="00911665" w:rsidRPr="006C6F40">
        <w:rPr>
          <w:rFonts w:eastAsia="Times New Roman" w:cs="Times New Roman"/>
          <w:color w:val="000000"/>
          <w:szCs w:val="24"/>
          <w:lang w:val="lt-LT" w:eastAsia="lt-LT" w:bidi="lt-LT"/>
        </w:rPr>
        <w:t>be spec. instrumentų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) </w:t>
      </w:r>
      <w:r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ĮA didėja +</w:t>
      </w:r>
      <w:r w:rsidR="0066449B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2 709,8</w:t>
      </w:r>
      <w:r w:rsidR="000257F8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 mln. eurų</w:t>
      </w:r>
      <w:r w:rsidR="0066449B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(iki 169</w:t>
      </w:r>
      <w:r w:rsidR="00B07D0F"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 mlrd. eurų), o MA –  </w:t>
      </w:r>
      <w:r w:rsidR="0066449B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+1 776,8</w:t>
      </w:r>
      <w:r w:rsidR="00B07D0F"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 </w:t>
      </w:r>
      <w:r w:rsidRPr="006C6F40">
        <w:rPr>
          <w:rFonts w:eastAsia="Times New Roman" w:cs="Times New Roman"/>
          <w:b/>
          <w:color w:val="000000"/>
          <w:szCs w:val="24"/>
          <w:lang w:val="lt-LT" w:eastAsia="lt-LT" w:bidi="lt-LT"/>
        </w:rPr>
        <w:t>mln. eurų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(iki </w:t>
      </w:r>
      <w:r w:rsidR="0066449B" w:rsidRPr="006C6F40">
        <w:rPr>
          <w:rFonts w:eastAsia="Times New Roman" w:cs="Times New Roman"/>
          <w:color w:val="000000"/>
          <w:szCs w:val="24"/>
          <w:lang w:val="lt-LT" w:eastAsia="lt-LT" w:bidi="lt-LT"/>
        </w:rPr>
        <w:t>169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>,</w:t>
      </w:r>
      <w:r w:rsidR="0066449B" w:rsidRPr="006C6F40">
        <w:rPr>
          <w:rFonts w:eastAsia="Times New Roman" w:cs="Times New Roman"/>
          <w:color w:val="000000"/>
          <w:szCs w:val="24"/>
          <w:lang w:val="lt-LT" w:eastAsia="lt-LT" w:bidi="lt-LT"/>
        </w:rPr>
        <w:t>8</w:t>
      </w:r>
      <w:r w:rsidRPr="006C6F40">
        <w:rPr>
          <w:rFonts w:eastAsia="Times New Roman" w:cs="Times New Roman"/>
          <w:color w:val="000000"/>
          <w:szCs w:val="24"/>
          <w:lang w:val="lt-LT" w:eastAsia="lt-LT" w:bidi="lt-LT"/>
        </w:rPr>
        <w:t xml:space="preserve"> mlrd. eurų). </w:t>
      </w:r>
    </w:p>
    <w:p w14:paraId="64E16C99" w14:textId="1A69DB46" w:rsidR="001D636A" w:rsidRDefault="00CB3761" w:rsidP="00262752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 w:bidi="lt-LT"/>
        </w:rPr>
      </w:pPr>
      <w:r>
        <w:rPr>
          <w:rFonts w:eastAsia="Times New Roman" w:cs="Times New Roman"/>
          <w:color w:val="000000"/>
          <w:szCs w:val="24"/>
          <w:lang w:val="lt-LT" w:eastAsia="lt-LT" w:bidi="lt-LT"/>
        </w:rPr>
        <w:t xml:space="preserve">EP siūlo didinti </w:t>
      </w:r>
      <w:r w:rsidR="00E6787C">
        <w:rPr>
          <w:rFonts w:eastAsia="Times New Roman" w:cs="Times New Roman"/>
          <w:color w:val="000000"/>
          <w:szCs w:val="24"/>
          <w:lang w:val="lt-LT" w:eastAsia="lt-LT" w:bidi="lt-LT"/>
        </w:rPr>
        <w:t>išlaidas</w:t>
      </w:r>
      <w:r>
        <w:rPr>
          <w:rFonts w:eastAsia="Times New Roman" w:cs="Times New Roman"/>
          <w:color w:val="000000"/>
          <w:szCs w:val="24"/>
          <w:lang w:val="lt-LT" w:eastAsia="lt-LT" w:bidi="lt-LT"/>
        </w:rPr>
        <w:t xml:space="preserve"> šioms ES biudžeto programoms: „Europos horizontas“, Europos infrastruktūros tinklų priemonės (CEF)  transporto daliai, „Erasmus+“</w:t>
      </w:r>
      <w:r w:rsidR="00E6787C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ir</w:t>
      </w:r>
      <w:r>
        <w:rPr>
          <w:rFonts w:eastAsia="Times New Roman" w:cs="Times New Roman"/>
          <w:color w:val="000000"/>
          <w:szCs w:val="24"/>
          <w:lang w:val="lt-LT" w:eastAsia="lt-LT" w:bidi="lt-LT"/>
        </w:rPr>
        <w:t xml:space="preserve"> </w:t>
      </w:r>
      <w:r w:rsidR="00E6787C">
        <w:rPr>
          <w:rFonts w:eastAsia="Times New Roman" w:cs="Times New Roman"/>
          <w:color w:val="000000"/>
          <w:szCs w:val="24"/>
          <w:lang w:val="lt-LT" w:eastAsia="lt-LT" w:bidi="lt-LT"/>
        </w:rPr>
        <w:t>„Life“ programoms, Kaimynystės, vystomojo ir tarptautinio bendradarbiavimo priemonei, Europos vaikų garantijai</w:t>
      </w:r>
      <w:r w:rsidR="00FC47FE">
        <w:rPr>
          <w:rFonts w:eastAsia="Times New Roman" w:cs="Times New Roman"/>
          <w:color w:val="000000"/>
          <w:szCs w:val="24"/>
          <w:lang w:val="lt-LT" w:eastAsia="lt-LT" w:bidi="lt-LT"/>
        </w:rPr>
        <w:t>, kariniam mobilumui ir pan.</w:t>
      </w:r>
      <w:r w:rsidR="00E6787C">
        <w:rPr>
          <w:rFonts w:eastAsia="Times New Roman" w:cs="Times New Roman"/>
          <w:color w:val="000000"/>
          <w:szCs w:val="24"/>
          <w:lang w:val="lt-LT" w:eastAsia="lt-LT" w:bidi="lt-LT"/>
        </w:rPr>
        <w:t xml:space="preserve"> </w:t>
      </w:r>
    </w:p>
    <w:p w14:paraId="35365A66" w14:textId="607E7B22" w:rsidR="00E6787C" w:rsidRPr="00E6787C" w:rsidRDefault="00E6787C" w:rsidP="00E6787C">
      <w:pPr>
        <w:tabs>
          <w:tab w:val="left" w:pos="2694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Cs w:val="24"/>
          <w:lang w:val="lt-LT" w:eastAsia="lt-LT" w:bidi="lt-LT"/>
        </w:rPr>
      </w:pPr>
      <w:r>
        <w:rPr>
          <w:rFonts w:eastAsia="Times New Roman" w:cs="Times New Roman"/>
          <w:color w:val="000000"/>
          <w:szCs w:val="24"/>
          <w:lang w:val="lt-LT" w:eastAsia="lt-LT" w:bidi="lt-LT"/>
        </w:rPr>
        <w:t xml:space="preserve">Kadangi ES biudžeto maržų šiems padidinimams finansuoti 2022 m. ES biudžete nėra, EP siūlo tam naudoti spec. instrumentų lėšas. </w:t>
      </w:r>
    </w:p>
    <w:p w14:paraId="4093559C" w14:textId="77777777" w:rsidR="00262752" w:rsidRPr="006C6F40" w:rsidRDefault="00262752" w:rsidP="0050746A">
      <w:pPr>
        <w:spacing w:line="240" w:lineRule="auto"/>
        <w:jc w:val="both"/>
        <w:rPr>
          <w:rFonts w:cs="Times New Roman"/>
          <w:b/>
          <w:szCs w:val="24"/>
          <w:lang w:val="lt-LT"/>
        </w:rPr>
      </w:pPr>
    </w:p>
    <w:p w14:paraId="24D7ECF4" w14:textId="72E49268" w:rsidR="00485624" w:rsidRPr="00485624" w:rsidRDefault="00485624" w:rsidP="00485624">
      <w:pPr>
        <w:spacing w:line="240" w:lineRule="auto"/>
        <w:jc w:val="both"/>
        <w:rPr>
          <w:rFonts w:cs="Times New Roman"/>
          <w:szCs w:val="24"/>
          <w:lang w:val="lt-LT"/>
        </w:rPr>
      </w:pPr>
      <w:r w:rsidRPr="00485624">
        <w:rPr>
          <w:rFonts w:cs="Times New Roman"/>
          <w:b/>
          <w:szCs w:val="24"/>
          <w:lang w:val="lt-LT"/>
        </w:rPr>
        <w:t>Institucijų pozicijoms nesutapus</w:t>
      </w:r>
      <w:r w:rsidRPr="00485624">
        <w:rPr>
          <w:rFonts w:cs="Times New Roman"/>
          <w:szCs w:val="24"/>
          <w:lang w:val="lt-LT"/>
        </w:rPr>
        <w:t xml:space="preserve">, </w:t>
      </w:r>
      <w:r>
        <w:rPr>
          <w:rFonts w:cs="Times New Roman"/>
          <w:szCs w:val="24"/>
          <w:lang w:val="lt-LT"/>
        </w:rPr>
        <w:t xml:space="preserve">šiuo metu vyksta taip </w:t>
      </w:r>
      <w:r w:rsidRPr="00485624">
        <w:rPr>
          <w:rFonts w:cs="Times New Roman"/>
          <w:b/>
          <w:szCs w:val="24"/>
          <w:u w:val="single"/>
          <w:lang w:val="lt-LT"/>
        </w:rPr>
        <w:t>vadinama Taikinimo procedūra</w:t>
      </w:r>
      <w:r w:rsidRPr="00485624">
        <w:rPr>
          <w:rFonts w:cs="Times New Roman"/>
          <w:szCs w:val="24"/>
          <w:lang w:val="lt-LT"/>
        </w:rPr>
        <w:t xml:space="preserve">, kuri </w:t>
      </w:r>
      <w:r>
        <w:rPr>
          <w:rFonts w:cs="Times New Roman"/>
          <w:szCs w:val="24"/>
          <w:lang w:val="lt-LT"/>
        </w:rPr>
        <w:t xml:space="preserve">užtrunka 21 dieną ir šiemet </w:t>
      </w:r>
      <w:r w:rsidRPr="00485624">
        <w:rPr>
          <w:rFonts w:cs="Times New Roman"/>
          <w:szCs w:val="24"/>
          <w:lang w:val="lt-LT"/>
        </w:rPr>
        <w:t xml:space="preserve">baigsis </w:t>
      </w:r>
      <w:r>
        <w:rPr>
          <w:rFonts w:cs="Times New Roman"/>
          <w:szCs w:val="24"/>
          <w:lang w:val="lt-LT"/>
        </w:rPr>
        <w:t>lapkričio 15 dieną.</w:t>
      </w:r>
      <w:r w:rsidRPr="00485624">
        <w:rPr>
          <w:rFonts w:cs="Times New Roman"/>
          <w:szCs w:val="24"/>
          <w:lang w:val="lt-LT"/>
        </w:rPr>
        <w:t xml:space="preserve"> </w:t>
      </w:r>
    </w:p>
    <w:p w14:paraId="0AAA0BE2" w14:textId="135A8D9D" w:rsidR="00485624" w:rsidRPr="00485624" w:rsidRDefault="00485624" w:rsidP="00485624">
      <w:pPr>
        <w:spacing w:line="240" w:lineRule="auto"/>
        <w:jc w:val="both"/>
        <w:rPr>
          <w:rFonts w:cs="Times New Roman"/>
          <w:szCs w:val="24"/>
          <w:lang w:val="lt-LT"/>
        </w:rPr>
      </w:pPr>
      <w:r w:rsidRPr="00485624">
        <w:rPr>
          <w:rFonts w:cs="Times New Roman"/>
          <w:szCs w:val="24"/>
          <w:lang w:val="lt-LT"/>
        </w:rPr>
        <w:t xml:space="preserve">Vienas iš Taikinimo komiteto </w:t>
      </w:r>
      <w:r>
        <w:rPr>
          <w:rFonts w:cs="Times New Roman"/>
          <w:szCs w:val="24"/>
          <w:lang w:val="lt-LT"/>
        </w:rPr>
        <w:t>susitikimų</w:t>
      </w:r>
      <w:r w:rsidRPr="00485624">
        <w:rPr>
          <w:rFonts w:cs="Times New Roman"/>
          <w:szCs w:val="24"/>
          <w:lang w:val="lt-LT"/>
        </w:rPr>
        <w:t xml:space="preserve"> </w:t>
      </w:r>
      <w:r w:rsidRPr="00485624">
        <w:rPr>
          <w:rFonts w:cs="Times New Roman"/>
          <w:szCs w:val="24"/>
          <w:lang w:val="lt-LT"/>
        </w:rPr>
        <w:t>(įprastai šiame posėdyje ir pasiekiamas sutarimas)</w:t>
      </w:r>
      <w:r>
        <w:rPr>
          <w:rFonts w:cs="Times New Roman"/>
          <w:szCs w:val="24"/>
          <w:lang w:val="lt-LT"/>
        </w:rPr>
        <w:t xml:space="preserve"> </w:t>
      </w:r>
      <w:r w:rsidRPr="00485624">
        <w:rPr>
          <w:rFonts w:cs="Times New Roman"/>
          <w:szCs w:val="24"/>
          <w:lang w:val="lt-LT"/>
        </w:rPr>
        <w:t xml:space="preserve">numatytas lapkričio 12 d. </w:t>
      </w:r>
      <w:r>
        <w:rPr>
          <w:rFonts w:cs="Times New Roman"/>
          <w:szCs w:val="24"/>
          <w:lang w:val="lt-LT"/>
        </w:rPr>
        <w:t xml:space="preserve">iškart po </w:t>
      </w:r>
      <w:r w:rsidRPr="00485624">
        <w:rPr>
          <w:rFonts w:cs="Times New Roman"/>
          <w:szCs w:val="24"/>
          <w:lang w:val="lt-LT"/>
        </w:rPr>
        <w:t>ECOFIN Tarybos</w:t>
      </w:r>
      <w:r>
        <w:rPr>
          <w:rFonts w:cs="Times New Roman"/>
          <w:szCs w:val="24"/>
          <w:lang w:val="lt-LT"/>
        </w:rPr>
        <w:t xml:space="preserve">, kurioje </w:t>
      </w:r>
      <w:r w:rsidR="00CB3761">
        <w:rPr>
          <w:rFonts w:cs="Times New Roman"/>
          <w:szCs w:val="24"/>
          <w:lang w:val="lt-LT"/>
        </w:rPr>
        <w:t>ir bus regiamasi deryboms su EP</w:t>
      </w:r>
      <w:r>
        <w:rPr>
          <w:rFonts w:cs="Times New Roman"/>
          <w:szCs w:val="24"/>
          <w:lang w:val="lt-LT"/>
        </w:rPr>
        <w:t xml:space="preserve">. </w:t>
      </w:r>
    </w:p>
    <w:p w14:paraId="38969C44" w14:textId="45E95D45" w:rsidR="00485624" w:rsidRPr="00485624" w:rsidRDefault="00485624" w:rsidP="00485624">
      <w:pPr>
        <w:spacing w:line="240" w:lineRule="auto"/>
        <w:jc w:val="both"/>
        <w:rPr>
          <w:rFonts w:cs="Times New Roman"/>
          <w:szCs w:val="24"/>
          <w:lang w:val="lt-LT"/>
        </w:rPr>
      </w:pPr>
      <w:r w:rsidRPr="00485624">
        <w:rPr>
          <w:rFonts w:cs="Times New Roman"/>
          <w:szCs w:val="24"/>
          <w:lang w:val="lt-LT"/>
        </w:rPr>
        <w:t>Jeigu per šį laikotarpį Tarybai ir EP sutarti nepavyktų, EK būtų įpareigota parengti naują</w:t>
      </w:r>
      <w:r w:rsidR="0057469D">
        <w:rPr>
          <w:rFonts w:cs="Times New Roman"/>
          <w:szCs w:val="24"/>
          <w:lang w:val="lt-LT"/>
        </w:rPr>
        <w:t xml:space="preserve"> ES</w:t>
      </w:r>
      <w:r w:rsidRPr="00485624">
        <w:rPr>
          <w:rFonts w:cs="Times New Roman"/>
          <w:szCs w:val="24"/>
          <w:lang w:val="lt-LT"/>
        </w:rPr>
        <w:t xml:space="preserve"> biudžeto projektą. </w:t>
      </w:r>
      <w:r w:rsidR="00CB3761">
        <w:rPr>
          <w:rFonts w:cs="Times New Roman"/>
          <w:szCs w:val="24"/>
          <w:lang w:val="lt-LT"/>
        </w:rPr>
        <w:t xml:space="preserve">Tokiu atveju, </w:t>
      </w:r>
      <w:r w:rsidR="0057469D">
        <w:rPr>
          <w:rFonts w:cs="Times New Roman"/>
          <w:szCs w:val="24"/>
          <w:lang w:val="lt-LT"/>
        </w:rPr>
        <w:t xml:space="preserve">derybos prasidėtų iš naujo ir </w:t>
      </w:r>
      <w:r w:rsidR="00CB3761">
        <w:rPr>
          <w:rFonts w:cs="Times New Roman"/>
          <w:szCs w:val="24"/>
          <w:lang w:val="lt-LT"/>
        </w:rPr>
        <w:t xml:space="preserve">sutarimas turėtų būti pasiektas iki 2021 m. gruodžio vidurio. </w:t>
      </w:r>
    </w:p>
    <w:p w14:paraId="791539B4" w14:textId="77777777" w:rsidR="00485624" w:rsidRDefault="00485624" w:rsidP="00262752">
      <w:pPr>
        <w:spacing w:line="240" w:lineRule="auto"/>
        <w:jc w:val="both"/>
        <w:rPr>
          <w:rFonts w:cs="Times New Roman"/>
          <w:b/>
          <w:szCs w:val="24"/>
          <w:u w:val="single"/>
          <w:lang w:val="lt-LT"/>
        </w:rPr>
      </w:pPr>
    </w:p>
    <w:p w14:paraId="7CF2A8C0" w14:textId="77777777" w:rsidR="00FC47FE" w:rsidRDefault="00262752" w:rsidP="00E6787C">
      <w:pPr>
        <w:spacing w:line="240" w:lineRule="auto"/>
        <w:jc w:val="both"/>
        <w:rPr>
          <w:rFonts w:eastAsia="Times New Roman" w:cs="Times New Roman"/>
          <w:color w:val="000000"/>
          <w:szCs w:val="24"/>
          <w:lang w:val="lt-LT"/>
        </w:rPr>
      </w:pPr>
      <w:r w:rsidRPr="006C6F40">
        <w:rPr>
          <w:rFonts w:cs="Times New Roman"/>
          <w:b/>
          <w:szCs w:val="24"/>
          <w:u w:val="single"/>
          <w:lang w:val="lt-LT"/>
        </w:rPr>
        <w:t>Poveikio vertinimas.</w:t>
      </w:r>
      <w:r w:rsidRPr="006C6F40">
        <w:rPr>
          <w:rFonts w:eastAsia="Times New Roman" w:cs="Times New Roman"/>
          <w:color w:val="000000"/>
          <w:szCs w:val="24"/>
          <w:lang w:val="lt-LT"/>
        </w:rPr>
        <w:t xml:space="preserve"> </w:t>
      </w:r>
    </w:p>
    <w:p w14:paraId="3356A5BD" w14:textId="1DC69C89" w:rsidR="001F0911" w:rsidRPr="006C6F40" w:rsidRDefault="00262752" w:rsidP="00E6787C">
      <w:pPr>
        <w:spacing w:line="240" w:lineRule="auto"/>
        <w:jc w:val="both"/>
        <w:rPr>
          <w:szCs w:val="24"/>
          <w:lang w:val="lt-LT"/>
        </w:rPr>
      </w:pPr>
      <w:r w:rsidRPr="006C6F40">
        <w:rPr>
          <w:szCs w:val="24"/>
          <w:lang w:val="lt-LT"/>
        </w:rPr>
        <w:t>2022</w:t>
      </w:r>
      <w:r w:rsidR="00E96688" w:rsidRPr="006C6F40">
        <w:rPr>
          <w:szCs w:val="24"/>
          <w:lang w:val="lt-LT"/>
        </w:rPr>
        <w:t xml:space="preserve"> m. </w:t>
      </w:r>
      <w:r w:rsidR="00E6787C">
        <w:rPr>
          <w:szCs w:val="24"/>
          <w:lang w:val="lt-LT"/>
        </w:rPr>
        <w:t xml:space="preserve">Lietuva </w:t>
      </w:r>
      <w:r w:rsidR="004E79EC" w:rsidRPr="006C6F40">
        <w:rPr>
          <w:szCs w:val="24"/>
          <w:lang w:val="lt-LT"/>
        </w:rPr>
        <w:t xml:space="preserve">iš ES sanglaudos politikos fondų </w:t>
      </w:r>
      <w:r w:rsidR="00E6787C">
        <w:rPr>
          <w:szCs w:val="24"/>
          <w:lang w:val="lt-LT"/>
        </w:rPr>
        <w:t>planuoja</w:t>
      </w:r>
      <w:r w:rsidR="004E79EC" w:rsidRPr="006C6F40">
        <w:rPr>
          <w:szCs w:val="24"/>
          <w:lang w:val="lt-LT"/>
        </w:rPr>
        <w:t xml:space="preserve"> gauti apie 1,33 mlrd. eurų, ES bendrosios žemės ūkio politikos fondų – apie 0,92 mlrd. eurų, </w:t>
      </w:r>
      <w:r w:rsidR="00E6787C">
        <w:rPr>
          <w:szCs w:val="24"/>
          <w:lang w:val="lt-LT"/>
        </w:rPr>
        <w:t>CEF</w:t>
      </w:r>
      <w:r w:rsidR="004E79EC" w:rsidRPr="006C6F40">
        <w:rPr>
          <w:szCs w:val="24"/>
          <w:lang w:val="lt-LT"/>
        </w:rPr>
        <w:t xml:space="preserve"> transporto dalies – apie 144 mln. eurų, </w:t>
      </w:r>
      <w:r w:rsidR="004E79EC" w:rsidRPr="006C6F40">
        <w:rPr>
          <w:szCs w:val="24"/>
          <w:lang w:val="lt-LT"/>
        </w:rPr>
        <w:lastRenderedPageBreak/>
        <w:t xml:space="preserve">Ignalinos AE uždarymui – apie 40 mln. eurų.  </w:t>
      </w:r>
      <w:r w:rsidR="0057469D">
        <w:rPr>
          <w:szCs w:val="24"/>
          <w:lang w:val="lt-LT"/>
        </w:rPr>
        <w:t>Planuojama, kad i</w:t>
      </w:r>
      <w:r w:rsidR="00E6787C">
        <w:rPr>
          <w:szCs w:val="24"/>
          <w:lang w:val="lt-LT"/>
        </w:rPr>
        <w:t xml:space="preserve">š viso </w:t>
      </w:r>
      <w:r w:rsidR="001828DB" w:rsidRPr="006C6F40">
        <w:rPr>
          <w:szCs w:val="24"/>
          <w:lang w:val="lt-LT"/>
        </w:rPr>
        <w:t>2022</w:t>
      </w:r>
      <w:r w:rsidR="0050746A" w:rsidRPr="006C6F40">
        <w:rPr>
          <w:szCs w:val="24"/>
          <w:lang w:val="lt-LT"/>
        </w:rPr>
        <w:t xml:space="preserve"> m. </w:t>
      </w:r>
      <w:r w:rsidR="0050746A" w:rsidRPr="006C6F40">
        <w:rPr>
          <w:b/>
          <w:szCs w:val="24"/>
          <w:lang w:val="lt-LT"/>
        </w:rPr>
        <w:t xml:space="preserve">Lietuvos </w:t>
      </w:r>
      <w:r w:rsidR="000E77FD" w:rsidRPr="006C6F40">
        <w:rPr>
          <w:b/>
          <w:szCs w:val="24"/>
          <w:lang w:val="lt-LT"/>
        </w:rPr>
        <w:t>gautos lėšos</w:t>
      </w:r>
      <w:r w:rsidR="0050746A" w:rsidRPr="006C6F40">
        <w:rPr>
          <w:szCs w:val="24"/>
          <w:lang w:val="lt-LT"/>
        </w:rPr>
        <w:t xml:space="preserve"> iš ES </w:t>
      </w:r>
      <w:r w:rsidR="00207CC2" w:rsidRPr="006C6F40">
        <w:rPr>
          <w:szCs w:val="24"/>
          <w:lang w:val="lt-LT"/>
        </w:rPr>
        <w:t xml:space="preserve">sudarys </w:t>
      </w:r>
      <w:r w:rsidR="00B907AB" w:rsidRPr="006C6F40">
        <w:rPr>
          <w:b/>
          <w:szCs w:val="24"/>
          <w:lang w:val="lt-LT"/>
        </w:rPr>
        <w:t>apie</w:t>
      </w:r>
      <w:r w:rsidR="0050746A" w:rsidRPr="006C6F40">
        <w:rPr>
          <w:b/>
          <w:szCs w:val="24"/>
          <w:lang w:val="lt-LT"/>
        </w:rPr>
        <w:t xml:space="preserve"> 2</w:t>
      </w:r>
      <w:r w:rsidR="004E79EC" w:rsidRPr="006C6F40">
        <w:rPr>
          <w:b/>
          <w:szCs w:val="24"/>
          <w:lang w:val="lt-LT"/>
        </w:rPr>
        <w:t>,43</w:t>
      </w:r>
      <w:r w:rsidR="0050746A" w:rsidRPr="006C6F40">
        <w:rPr>
          <w:b/>
          <w:szCs w:val="24"/>
          <w:lang w:val="lt-LT"/>
        </w:rPr>
        <w:t> mlrd. eurų</w:t>
      </w:r>
      <w:r w:rsidR="000E77FD" w:rsidRPr="006C6F40">
        <w:rPr>
          <w:szCs w:val="24"/>
          <w:lang w:val="lt-LT"/>
        </w:rPr>
        <w:t xml:space="preserve">, o </w:t>
      </w:r>
      <w:r w:rsidR="0050746A" w:rsidRPr="006C6F40">
        <w:rPr>
          <w:b/>
          <w:szCs w:val="24"/>
          <w:lang w:val="lt-LT"/>
        </w:rPr>
        <w:t xml:space="preserve">Lietuvos įmoka į ES biudžetą </w:t>
      </w:r>
      <w:r w:rsidR="00E6787C">
        <w:rPr>
          <w:szCs w:val="24"/>
          <w:lang w:val="lt-LT"/>
        </w:rPr>
        <w:t>–</w:t>
      </w:r>
      <w:r w:rsidR="0050746A" w:rsidRPr="006C6F40">
        <w:rPr>
          <w:szCs w:val="24"/>
          <w:lang w:val="lt-LT"/>
        </w:rPr>
        <w:t xml:space="preserve"> apie</w:t>
      </w:r>
      <w:r w:rsidR="001828DB" w:rsidRPr="006C6F40">
        <w:rPr>
          <w:b/>
          <w:szCs w:val="24"/>
          <w:lang w:val="lt-LT"/>
        </w:rPr>
        <w:t xml:space="preserve"> 627</w:t>
      </w:r>
      <w:r w:rsidR="0050746A" w:rsidRPr="006C6F40">
        <w:rPr>
          <w:b/>
          <w:szCs w:val="24"/>
          <w:lang w:val="lt-LT"/>
        </w:rPr>
        <w:t>,4 mln. eurų</w:t>
      </w:r>
      <w:r w:rsidR="00BA48C9" w:rsidRPr="006C6F40">
        <w:rPr>
          <w:szCs w:val="24"/>
          <w:lang w:val="lt-LT"/>
        </w:rPr>
        <w:t>.</w:t>
      </w:r>
    </w:p>
    <w:p w14:paraId="1D35EAEF" w14:textId="77777777" w:rsidR="00BB74A1" w:rsidRPr="00F63B17" w:rsidRDefault="00BB74A1" w:rsidP="006C6273">
      <w:pPr>
        <w:spacing w:line="240" w:lineRule="auto"/>
        <w:rPr>
          <w:highlight w:val="lightGray"/>
          <w:lang w:val="lt-LT" w:eastAsia="fr-BE"/>
        </w:rPr>
      </w:pPr>
    </w:p>
    <w:p w14:paraId="5B1AD1AB" w14:textId="58B17CDF" w:rsidR="00E6787C" w:rsidRPr="00E6787C" w:rsidRDefault="00E6787C" w:rsidP="006C6273">
      <w:pPr>
        <w:spacing w:line="240" w:lineRule="auto"/>
        <w:jc w:val="both"/>
        <w:rPr>
          <w:rFonts w:cs="Times New Roman"/>
          <w:b/>
          <w:szCs w:val="24"/>
          <w:u w:val="single"/>
          <w:lang w:val="lt-LT"/>
        </w:rPr>
      </w:pPr>
      <w:r w:rsidRPr="00E6787C">
        <w:rPr>
          <w:rFonts w:cs="Times New Roman"/>
          <w:b/>
          <w:szCs w:val="24"/>
          <w:u w:val="single"/>
          <w:lang w:val="lt-LT"/>
        </w:rPr>
        <w:t>Siūloma Lietuvos pozicija (gali būti tikslinama, atsižvelgiant į derybų su EP eigą):</w:t>
      </w:r>
    </w:p>
    <w:p w14:paraId="2EEA72E0" w14:textId="6BFA9878" w:rsidR="00E6787C" w:rsidRPr="00E6787C" w:rsidRDefault="00E6787C" w:rsidP="00215005">
      <w:pPr>
        <w:pStyle w:val="Sraopastraip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87C">
        <w:rPr>
          <w:rFonts w:ascii="Times New Roman" w:hAnsi="Times New Roman" w:cs="Times New Roman"/>
          <w:sz w:val="24"/>
          <w:szCs w:val="24"/>
        </w:rPr>
        <w:t>Derybose dėl 2022 m. ES biudžeto  būtina užtikrinti, kad nebūtų mažinamas sanglaudos politikos</w:t>
      </w:r>
      <w:r w:rsidRPr="00E6787C">
        <w:rPr>
          <w:rFonts w:ascii="Times New Roman" w:hAnsi="Times New Roman" w:cs="Times New Roman"/>
          <w:sz w:val="24"/>
          <w:szCs w:val="24"/>
        </w:rPr>
        <w:t xml:space="preserve">, žemės ūkio politikos, </w:t>
      </w:r>
      <w:r w:rsidRPr="00E6787C">
        <w:rPr>
          <w:rFonts w:ascii="Times New Roman" w:hAnsi="Times New Roman" w:cs="Times New Roman"/>
          <w:sz w:val="24"/>
          <w:szCs w:val="24"/>
        </w:rPr>
        <w:t>CEF bei Ignalinos AE uždarymui skirtas finansavimas.</w:t>
      </w:r>
    </w:p>
    <w:p w14:paraId="7345C879" w14:textId="311CC430" w:rsidR="00E6787C" w:rsidRPr="00E6787C" w:rsidRDefault="00E6787C" w:rsidP="00215005">
      <w:pPr>
        <w:pStyle w:val="Sraopastraipa"/>
        <w:numPr>
          <w:ilvl w:val="0"/>
          <w:numId w:val="2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6787C">
        <w:rPr>
          <w:rFonts w:ascii="Times New Roman" w:hAnsi="Times New Roman" w:cs="Times New Roman"/>
          <w:sz w:val="24"/>
          <w:szCs w:val="24"/>
        </w:rPr>
        <w:t>Kalbant apie EP poziciją, galėtumėme parodyti lankstumą derybose dėl EP siūlo</w:t>
      </w:r>
      <w:r>
        <w:rPr>
          <w:rFonts w:ascii="Times New Roman" w:hAnsi="Times New Roman" w:cs="Times New Roman"/>
          <w:sz w:val="24"/>
          <w:szCs w:val="24"/>
        </w:rPr>
        <w:t>mų papildomų lėšų CEF priemonei</w:t>
      </w:r>
      <w:r w:rsidRPr="00E6787C">
        <w:rPr>
          <w:rFonts w:ascii="Times New Roman" w:hAnsi="Times New Roman" w:cs="Times New Roman"/>
          <w:sz w:val="24"/>
          <w:szCs w:val="24"/>
        </w:rPr>
        <w:t xml:space="preserve"> (ypač EP pasiūlymui skirti papildomus +100 mln. eurų ĮA transporto dalyje), kariniam mobilumui (+34 mln. eurų) ir strateginei komunikacijai. Taip pat galime palaikyti EP pasiūlymą skirti daugiau </w:t>
      </w:r>
      <w:r w:rsidR="00A57A75">
        <w:rPr>
          <w:rFonts w:ascii="Times New Roman" w:hAnsi="Times New Roman" w:cs="Times New Roman"/>
          <w:sz w:val="24"/>
          <w:szCs w:val="24"/>
        </w:rPr>
        <w:t>lėšų</w:t>
      </w:r>
      <w:r w:rsidRPr="00E6787C">
        <w:rPr>
          <w:rFonts w:ascii="Times New Roman" w:hAnsi="Times New Roman" w:cs="Times New Roman"/>
          <w:sz w:val="24"/>
          <w:szCs w:val="24"/>
        </w:rPr>
        <w:t xml:space="preserve"> Europos prieglobsčio paramos biuro žmogiškiesiems ištekliams. Šis biuras padeda Lietuvai tvarkytis su valstybės sieną kertančiais nelegaliais migrantais ir prieglobsčio prašytojais. </w:t>
      </w:r>
    </w:p>
    <w:p w14:paraId="1DC42A3F" w14:textId="74370DDB" w:rsidR="003552A5" w:rsidRPr="00665691" w:rsidRDefault="00E6787C" w:rsidP="009F03DE">
      <w:pPr>
        <w:pStyle w:val="Sraopastraipa"/>
        <w:numPr>
          <w:ilvl w:val="0"/>
          <w:numId w:val="26"/>
        </w:numPr>
        <w:ind w:left="426" w:hanging="426"/>
        <w:jc w:val="both"/>
        <w:rPr>
          <w:rFonts w:cs="Times New Roman"/>
          <w:szCs w:val="24"/>
        </w:rPr>
      </w:pPr>
      <w:r w:rsidRPr="00665691">
        <w:rPr>
          <w:rFonts w:ascii="Times New Roman" w:hAnsi="Times New Roman" w:cs="Times New Roman"/>
          <w:sz w:val="24"/>
          <w:szCs w:val="24"/>
        </w:rPr>
        <w:t xml:space="preserve">Vis dėlto, </w:t>
      </w:r>
      <w:r w:rsidR="00665691">
        <w:rPr>
          <w:rFonts w:ascii="Times New Roman" w:hAnsi="Times New Roman" w:cs="Times New Roman"/>
          <w:sz w:val="24"/>
          <w:szCs w:val="24"/>
        </w:rPr>
        <w:t xml:space="preserve">atsižvelgdami į ribotus finansinius išteklius, </w:t>
      </w:r>
      <w:r w:rsidRPr="00665691">
        <w:rPr>
          <w:rFonts w:ascii="Times New Roman" w:hAnsi="Times New Roman" w:cs="Times New Roman"/>
          <w:sz w:val="24"/>
          <w:szCs w:val="24"/>
        </w:rPr>
        <w:t>kritiškai vertiname EP prašymą kitų metų ES biudžete skirti finansavimą papildomoms 322 darbo vietoms Europos Parlamente</w:t>
      </w:r>
      <w:bookmarkStart w:id="0" w:name="_GoBack"/>
      <w:bookmarkEnd w:id="0"/>
      <w:r w:rsidRPr="00665691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552A5" w:rsidRPr="00665691" w:rsidSect="003E7DAD">
      <w:headerReference w:type="default" r:id="rId9"/>
      <w:footerReference w:type="default" r:id="rId10"/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F88AE59" w15:done="0"/>
  <w15:commentEx w15:paraId="299550F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ABFDE" w14:textId="77777777" w:rsidR="00E425FF" w:rsidRDefault="00E425FF" w:rsidP="004B7074">
      <w:pPr>
        <w:spacing w:line="240" w:lineRule="auto"/>
      </w:pPr>
      <w:r>
        <w:separator/>
      </w:r>
    </w:p>
  </w:endnote>
  <w:endnote w:type="continuationSeparator" w:id="0">
    <w:p w14:paraId="1374EFF7" w14:textId="77777777" w:rsidR="00E425FF" w:rsidRDefault="00E425FF" w:rsidP="004B7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637020"/>
      <w:docPartObj>
        <w:docPartGallery w:val="Page Numbers (Bottom of Page)"/>
        <w:docPartUnique/>
      </w:docPartObj>
    </w:sdtPr>
    <w:sdtContent>
      <w:p w14:paraId="4DF1C3F6" w14:textId="0B61EA0F" w:rsidR="0057469D" w:rsidRDefault="0057469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A75" w:rsidRPr="00A57A75">
          <w:rPr>
            <w:noProof/>
            <w:lang w:val="lt-LT"/>
          </w:rPr>
          <w:t>2</w:t>
        </w:r>
        <w:r>
          <w:fldChar w:fldCharType="end"/>
        </w:r>
      </w:p>
    </w:sdtContent>
  </w:sdt>
  <w:p w14:paraId="01311209" w14:textId="77777777" w:rsidR="0057469D" w:rsidRDefault="0057469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CE16D" w14:textId="77777777" w:rsidR="00E425FF" w:rsidRDefault="00E425FF" w:rsidP="004B7074">
      <w:pPr>
        <w:spacing w:line="240" w:lineRule="auto"/>
      </w:pPr>
      <w:r>
        <w:separator/>
      </w:r>
    </w:p>
  </w:footnote>
  <w:footnote w:type="continuationSeparator" w:id="0">
    <w:p w14:paraId="0E51927C" w14:textId="77777777" w:rsidR="00E425FF" w:rsidRDefault="00E425FF" w:rsidP="004B7074">
      <w:pPr>
        <w:spacing w:line="240" w:lineRule="auto"/>
      </w:pPr>
      <w:r>
        <w:continuationSeparator/>
      </w:r>
    </w:p>
  </w:footnote>
  <w:footnote w:id="1">
    <w:p w14:paraId="1C78660B" w14:textId="2F663984" w:rsidR="006D40D5" w:rsidRPr="006C6F40" w:rsidRDefault="006D40D5" w:rsidP="006D40D5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color w:val="000000"/>
          <w:sz w:val="20"/>
          <w:szCs w:val="20"/>
          <w:lang w:val="lt-LT" w:eastAsia="lt-LT"/>
        </w:rPr>
      </w:pPr>
      <w:r w:rsidRPr="006C6F40">
        <w:rPr>
          <w:rStyle w:val="Puslapioinaosnuoroda"/>
          <w:sz w:val="20"/>
          <w:szCs w:val="20"/>
        </w:rPr>
        <w:footnoteRef/>
      </w:r>
      <w:r w:rsidRPr="006C6F40">
        <w:rPr>
          <w:sz w:val="20"/>
          <w:szCs w:val="20"/>
        </w:rPr>
        <w:t xml:space="preserve"> 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>2021–2027 m. ES daugiametės finansinės programos specialieji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 instrument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ai: 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>Europos prisitaikymo prie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 globalizacijos padarinių fondas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, 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>ES  solidarumo fondas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, 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>Prisitaikymo prie Brexit rezervas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>, Neatidėli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>otinos pagalbos rezervas, Bendroji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 įsipare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>igojimų marža (Sąjungos rezervas</w:t>
      </w:r>
      <w:r w:rsidRPr="006C6F40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), Lankstumo priemonė ir </w:t>
      </w:r>
      <w:r w:rsidR="00E6787C">
        <w:rPr>
          <w:rFonts w:eastAsia="Times New Roman" w:cs="Times New Roman"/>
          <w:color w:val="000000"/>
          <w:sz w:val="20"/>
          <w:szCs w:val="20"/>
          <w:lang w:val="lt-LT" w:eastAsia="lt-LT"/>
        </w:rPr>
        <w:t xml:space="preserve">Nenumatytų atvejų rezervas.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5BCF5" w14:textId="2C4C53D1" w:rsidR="006C6F40" w:rsidRDefault="006C6F40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420A025" wp14:editId="62AC8D25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475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0EAB9" w14:textId="4275334A" w:rsidR="006C6F40" w:rsidRPr="006C6F40" w:rsidRDefault="006C6F40">
                          <w:pPr>
                            <w:spacing w:line="240" w:lineRule="auto"/>
                            <w:jc w:val="right"/>
                            <w:rPr>
                              <w:lang w:val="lt-LT"/>
                            </w:rPr>
                          </w:pPr>
                          <w:r>
                            <w:rPr>
                              <w:lang w:val="lt-LT"/>
                            </w:rPr>
                            <w:t>Finansų ministerijos ES ir tarptautinių reikalų departamentas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75 teksto laukas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" o:allowincell="f" filled="f" stroked="f">
              <v:textbox style="mso-fit-shape-to-text:t" inset=",0,,0">
                <w:txbxContent>
                  <w:p w14:paraId="4ED0EAB9" w14:textId="4275334A" w:rsidR="006C6F40" w:rsidRPr="006C6F40" w:rsidRDefault="006C6F40">
                    <w:pPr>
                      <w:spacing w:line="240" w:lineRule="auto"/>
                      <w:jc w:val="right"/>
                      <w:rPr>
                        <w:lang w:val="lt-LT"/>
                      </w:rPr>
                    </w:pPr>
                    <w:r>
                      <w:rPr>
                        <w:lang w:val="lt-LT"/>
                      </w:rPr>
                      <w:t>Finansų ministerijos ES ir tarptautinių reikalų departamentas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A68"/>
    <w:multiLevelType w:val="hybridMultilevel"/>
    <w:tmpl w:val="867CE9B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7B46A3"/>
    <w:multiLevelType w:val="hybridMultilevel"/>
    <w:tmpl w:val="52A01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56081"/>
    <w:multiLevelType w:val="hybridMultilevel"/>
    <w:tmpl w:val="B31263FE"/>
    <w:lvl w:ilvl="0" w:tplc="04270011">
      <w:start w:val="1"/>
      <w:numFmt w:val="decimal"/>
      <w:lvlText w:val="%1)"/>
      <w:lvlJc w:val="left"/>
      <w:pPr>
        <w:ind w:left="567" w:hanging="20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F4E67"/>
    <w:multiLevelType w:val="hybridMultilevel"/>
    <w:tmpl w:val="C3925F64"/>
    <w:lvl w:ilvl="0" w:tplc="374A82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1B06"/>
    <w:multiLevelType w:val="hybridMultilevel"/>
    <w:tmpl w:val="CE1480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0632C"/>
    <w:multiLevelType w:val="hybridMultilevel"/>
    <w:tmpl w:val="FEBAC8AA"/>
    <w:lvl w:ilvl="0" w:tplc="A566D0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16539"/>
    <w:multiLevelType w:val="hybridMultilevel"/>
    <w:tmpl w:val="3AFE7CF6"/>
    <w:lvl w:ilvl="0" w:tplc="FDF0A1D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72567E4"/>
    <w:multiLevelType w:val="hybridMultilevel"/>
    <w:tmpl w:val="69985FB4"/>
    <w:lvl w:ilvl="0" w:tplc="6A9202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800B1"/>
    <w:multiLevelType w:val="hybridMultilevel"/>
    <w:tmpl w:val="531CB0E2"/>
    <w:lvl w:ilvl="0" w:tplc="2BDCF6D8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4636A8"/>
    <w:multiLevelType w:val="hybridMultilevel"/>
    <w:tmpl w:val="347E49E4"/>
    <w:lvl w:ilvl="0" w:tplc="2B60896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710DC"/>
    <w:multiLevelType w:val="hybridMultilevel"/>
    <w:tmpl w:val="EFB22E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678C2"/>
    <w:multiLevelType w:val="hybridMultilevel"/>
    <w:tmpl w:val="58622D50"/>
    <w:lvl w:ilvl="0" w:tplc="266A105A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b/>
        <w:color w:val="000000"/>
        <w:sz w:val="23"/>
      </w:rPr>
    </w:lvl>
    <w:lvl w:ilvl="1" w:tplc="E60E25F2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sz w:val="22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77284"/>
    <w:multiLevelType w:val="hybridMultilevel"/>
    <w:tmpl w:val="05F62976"/>
    <w:lvl w:ilvl="0" w:tplc="A80AF8B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B326F7C"/>
    <w:multiLevelType w:val="hybridMultilevel"/>
    <w:tmpl w:val="6780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A22D6"/>
    <w:multiLevelType w:val="hybridMultilevel"/>
    <w:tmpl w:val="6C186DFE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58BB443C"/>
    <w:multiLevelType w:val="hybridMultilevel"/>
    <w:tmpl w:val="E6BA06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23607"/>
    <w:multiLevelType w:val="hybridMultilevel"/>
    <w:tmpl w:val="025A788C"/>
    <w:lvl w:ilvl="0" w:tplc="1E98ED24">
      <w:start w:val="12"/>
      <w:numFmt w:val="bullet"/>
      <w:lvlText w:val="-"/>
      <w:lvlJc w:val="left"/>
      <w:pPr>
        <w:ind w:left="1069" w:hanging="360"/>
      </w:pPr>
      <w:rPr>
        <w:rFonts w:ascii="TimesNewRoman,Bold" w:eastAsia="Calibri" w:hAnsi="TimesNewRoman,Bold" w:cs="TimesNewRoman,Bold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01251DF"/>
    <w:multiLevelType w:val="hybridMultilevel"/>
    <w:tmpl w:val="BE50747A"/>
    <w:lvl w:ilvl="0" w:tplc="D3841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77252"/>
    <w:multiLevelType w:val="hybridMultilevel"/>
    <w:tmpl w:val="C3925F64"/>
    <w:lvl w:ilvl="0" w:tplc="374A820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A54C9"/>
    <w:multiLevelType w:val="hybridMultilevel"/>
    <w:tmpl w:val="DD80218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1674AD8"/>
    <w:multiLevelType w:val="hybridMultilevel"/>
    <w:tmpl w:val="ED081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C682E"/>
    <w:multiLevelType w:val="hybridMultilevel"/>
    <w:tmpl w:val="2BBE5E2E"/>
    <w:lvl w:ilvl="0" w:tplc="6A9202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150B0"/>
    <w:multiLevelType w:val="hybridMultilevel"/>
    <w:tmpl w:val="64BCF6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166CA6"/>
    <w:multiLevelType w:val="hybridMultilevel"/>
    <w:tmpl w:val="DD8AB3BE"/>
    <w:lvl w:ilvl="0" w:tplc="323A5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2EA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B63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9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CF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BCD8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A8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02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3C3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3A129D"/>
    <w:multiLevelType w:val="hybridMultilevel"/>
    <w:tmpl w:val="21AC1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6"/>
  </w:num>
  <w:num w:numId="5">
    <w:abstractNumId w:val="17"/>
  </w:num>
  <w:num w:numId="6">
    <w:abstractNumId w:val="10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2"/>
  </w:num>
  <w:num w:numId="12">
    <w:abstractNumId w:val="21"/>
  </w:num>
  <w:num w:numId="13">
    <w:abstractNumId w:val="5"/>
  </w:num>
  <w:num w:numId="14">
    <w:abstractNumId w:val="3"/>
  </w:num>
  <w:num w:numId="15">
    <w:abstractNumId w:val="7"/>
  </w:num>
  <w:num w:numId="16">
    <w:abstractNumId w:val="18"/>
  </w:num>
  <w:num w:numId="17">
    <w:abstractNumId w:val="8"/>
  </w:num>
  <w:num w:numId="18">
    <w:abstractNumId w:val="22"/>
  </w:num>
  <w:num w:numId="19">
    <w:abstractNumId w:val="11"/>
  </w:num>
  <w:num w:numId="20">
    <w:abstractNumId w:val="14"/>
  </w:num>
  <w:num w:numId="21">
    <w:abstractNumId w:val="15"/>
  </w:num>
  <w:num w:numId="22">
    <w:abstractNumId w:val="23"/>
  </w:num>
  <w:num w:numId="23">
    <w:abstractNumId w:val="9"/>
  </w:num>
  <w:num w:numId="24">
    <w:abstractNumId w:val="0"/>
  </w:num>
  <w:num w:numId="25">
    <w:abstractNumId w:val="4"/>
  </w:num>
  <w:num w:numId="2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lia ULEVIČIŪTĖ">
    <w15:presenceInfo w15:providerId="AD" w15:userId="S-1-5-21-1547161642-1770027372-1417001333-13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6"/>
    <w:rsid w:val="000257F8"/>
    <w:rsid w:val="000306C0"/>
    <w:rsid w:val="00035527"/>
    <w:rsid w:val="00035CF1"/>
    <w:rsid w:val="0003657E"/>
    <w:rsid w:val="00042F78"/>
    <w:rsid w:val="000458B5"/>
    <w:rsid w:val="00070AA4"/>
    <w:rsid w:val="000716FC"/>
    <w:rsid w:val="0008389A"/>
    <w:rsid w:val="00090855"/>
    <w:rsid w:val="00097E7F"/>
    <w:rsid w:val="000A7300"/>
    <w:rsid w:val="000B3EB7"/>
    <w:rsid w:val="000D4986"/>
    <w:rsid w:val="000E0C46"/>
    <w:rsid w:val="000E2349"/>
    <w:rsid w:val="000E4705"/>
    <w:rsid w:val="000E77FD"/>
    <w:rsid w:val="000F061C"/>
    <w:rsid w:val="000F6B48"/>
    <w:rsid w:val="0010489F"/>
    <w:rsid w:val="001055A3"/>
    <w:rsid w:val="001058CA"/>
    <w:rsid w:val="00110181"/>
    <w:rsid w:val="001108BA"/>
    <w:rsid w:val="001118BC"/>
    <w:rsid w:val="0011469D"/>
    <w:rsid w:val="0012075F"/>
    <w:rsid w:val="00124FE2"/>
    <w:rsid w:val="00126233"/>
    <w:rsid w:val="001267F2"/>
    <w:rsid w:val="001271EA"/>
    <w:rsid w:val="00132174"/>
    <w:rsid w:val="00133F65"/>
    <w:rsid w:val="00134BDD"/>
    <w:rsid w:val="001618B5"/>
    <w:rsid w:val="00164CD4"/>
    <w:rsid w:val="001674A7"/>
    <w:rsid w:val="00167968"/>
    <w:rsid w:val="00171E85"/>
    <w:rsid w:val="001828DB"/>
    <w:rsid w:val="00190008"/>
    <w:rsid w:val="00194FE1"/>
    <w:rsid w:val="00197478"/>
    <w:rsid w:val="001A4ECB"/>
    <w:rsid w:val="001B1219"/>
    <w:rsid w:val="001B3408"/>
    <w:rsid w:val="001B5006"/>
    <w:rsid w:val="001C45C7"/>
    <w:rsid w:val="001C58BB"/>
    <w:rsid w:val="001C6D4A"/>
    <w:rsid w:val="001D5AC5"/>
    <w:rsid w:val="001D636A"/>
    <w:rsid w:val="001D7AAC"/>
    <w:rsid w:val="001F0911"/>
    <w:rsid w:val="001F4055"/>
    <w:rsid w:val="00207CC2"/>
    <w:rsid w:val="002125FE"/>
    <w:rsid w:val="00215005"/>
    <w:rsid w:val="002160B5"/>
    <w:rsid w:val="00220237"/>
    <w:rsid w:val="002243B5"/>
    <w:rsid w:val="0022654A"/>
    <w:rsid w:val="00231F6D"/>
    <w:rsid w:val="00236A01"/>
    <w:rsid w:val="002404E8"/>
    <w:rsid w:val="00242510"/>
    <w:rsid w:val="00246E58"/>
    <w:rsid w:val="00251C93"/>
    <w:rsid w:val="0025239B"/>
    <w:rsid w:val="00256F9F"/>
    <w:rsid w:val="00262752"/>
    <w:rsid w:val="0026318E"/>
    <w:rsid w:val="00265763"/>
    <w:rsid w:val="00273CF9"/>
    <w:rsid w:val="0028238C"/>
    <w:rsid w:val="00287756"/>
    <w:rsid w:val="002933E3"/>
    <w:rsid w:val="00295366"/>
    <w:rsid w:val="002A1F7B"/>
    <w:rsid w:val="002B1AF1"/>
    <w:rsid w:val="002B4182"/>
    <w:rsid w:val="002C3107"/>
    <w:rsid w:val="002D2384"/>
    <w:rsid w:val="002D4CA5"/>
    <w:rsid w:val="002E4633"/>
    <w:rsid w:val="002E7D77"/>
    <w:rsid w:val="002F178D"/>
    <w:rsid w:val="002F7A9D"/>
    <w:rsid w:val="00311173"/>
    <w:rsid w:val="0031445D"/>
    <w:rsid w:val="00316C85"/>
    <w:rsid w:val="00325AAE"/>
    <w:rsid w:val="00327687"/>
    <w:rsid w:val="003402E8"/>
    <w:rsid w:val="00345261"/>
    <w:rsid w:val="00347384"/>
    <w:rsid w:val="00347912"/>
    <w:rsid w:val="0035424B"/>
    <w:rsid w:val="003552A5"/>
    <w:rsid w:val="003606B6"/>
    <w:rsid w:val="0036226B"/>
    <w:rsid w:val="00363202"/>
    <w:rsid w:val="00363C9A"/>
    <w:rsid w:val="003723A6"/>
    <w:rsid w:val="003802DB"/>
    <w:rsid w:val="00386828"/>
    <w:rsid w:val="00387F7F"/>
    <w:rsid w:val="003908CF"/>
    <w:rsid w:val="003977C1"/>
    <w:rsid w:val="003A6C04"/>
    <w:rsid w:val="003A6ECE"/>
    <w:rsid w:val="003A78D0"/>
    <w:rsid w:val="003B2C0F"/>
    <w:rsid w:val="003B4788"/>
    <w:rsid w:val="003B690F"/>
    <w:rsid w:val="003B7BB4"/>
    <w:rsid w:val="003C41EC"/>
    <w:rsid w:val="003D3DB5"/>
    <w:rsid w:val="003E1352"/>
    <w:rsid w:val="003E7DAD"/>
    <w:rsid w:val="003F0796"/>
    <w:rsid w:val="003F282E"/>
    <w:rsid w:val="003F783F"/>
    <w:rsid w:val="00402DED"/>
    <w:rsid w:val="00404398"/>
    <w:rsid w:val="00406395"/>
    <w:rsid w:val="00407BAF"/>
    <w:rsid w:val="00414195"/>
    <w:rsid w:val="00415CBA"/>
    <w:rsid w:val="004160BA"/>
    <w:rsid w:val="00424588"/>
    <w:rsid w:val="0043154C"/>
    <w:rsid w:val="00441DFB"/>
    <w:rsid w:val="004430B4"/>
    <w:rsid w:val="00443F7B"/>
    <w:rsid w:val="0045298B"/>
    <w:rsid w:val="00454916"/>
    <w:rsid w:val="00462924"/>
    <w:rsid w:val="00463873"/>
    <w:rsid w:val="00463ED9"/>
    <w:rsid w:val="004658B1"/>
    <w:rsid w:val="00467769"/>
    <w:rsid w:val="00473D82"/>
    <w:rsid w:val="00474FD7"/>
    <w:rsid w:val="00482720"/>
    <w:rsid w:val="004830B6"/>
    <w:rsid w:val="00485624"/>
    <w:rsid w:val="0049799F"/>
    <w:rsid w:val="004B1BD7"/>
    <w:rsid w:val="004B40E8"/>
    <w:rsid w:val="004B4408"/>
    <w:rsid w:val="004B7074"/>
    <w:rsid w:val="004C503F"/>
    <w:rsid w:val="004D36C9"/>
    <w:rsid w:val="004E60FF"/>
    <w:rsid w:val="004E79EC"/>
    <w:rsid w:val="004E7D9F"/>
    <w:rsid w:val="004F4BA2"/>
    <w:rsid w:val="00500141"/>
    <w:rsid w:val="0050167A"/>
    <w:rsid w:val="005019BA"/>
    <w:rsid w:val="00506D97"/>
    <w:rsid w:val="0050746A"/>
    <w:rsid w:val="005117BF"/>
    <w:rsid w:val="0051736C"/>
    <w:rsid w:val="005228D3"/>
    <w:rsid w:val="00527C2C"/>
    <w:rsid w:val="00532B72"/>
    <w:rsid w:val="00547299"/>
    <w:rsid w:val="0055090E"/>
    <w:rsid w:val="00557091"/>
    <w:rsid w:val="005639BD"/>
    <w:rsid w:val="0057288D"/>
    <w:rsid w:val="00572AEB"/>
    <w:rsid w:val="0057469D"/>
    <w:rsid w:val="0057757A"/>
    <w:rsid w:val="005823A1"/>
    <w:rsid w:val="00590C80"/>
    <w:rsid w:val="00592C69"/>
    <w:rsid w:val="005967AF"/>
    <w:rsid w:val="005A0218"/>
    <w:rsid w:val="005A3F5A"/>
    <w:rsid w:val="005B1BA0"/>
    <w:rsid w:val="005B2B8B"/>
    <w:rsid w:val="005D1A1F"/>
    <w:rsid w:val="005D2A40"/>
    <w:rsid w:val="005D49BF"/>
    <w:rsid w:val="005E6198"/>
    <w:rsid w:val="005F3DD8"/>
    <w:rsid w:val="00605DBE"/>
    <w:rsid w:val="00605F3E"/>
    <w:rsid w:val="00610362"/>
    <w:rsid w:val="006200A0"/>
    <w:rsid w:val="006309E2"/>
    <w:rsid w:val="00630AEE"/>
    <w:rsid w:val="00632880"/>
    <w:rsid w:val="00632910"/>
    <w:rsid w:val="00636259"/>
    <w:rsid w:val="00644818"/>
    <w:rsid w:val="00645794"/>
    <w:rsid w:val="00647176"/>
    <w:rsid w:val="00650364"/>
    <w:rsid w:val="006506E5"/>
    <w:rsid w:val="00651FBF"/>
    <w:rsid w:val="00652330"/>
    <w:rsid w:val="00654ECC"/>
    <w:rsid w:val="0066054A"/>
    <w:rsid w:val="00663A93"/>
    <w:rsid w:val="0066449B"/>
    <w:rsid w:val="00665691"/>
    <w:rsid w:val="00667858"/>
    <w:rsid w:val="00686999"/>
    <w:rsid w:val="00686FE6"/>
    <w:rsid w:val="0069057A"/>
    <w:rsid w:val="00691D96"/>
    <w:rsid w:val="00694F8B"/>
    <w:rsid w:val="00695D82"/>
    <w:rsid w:val="006964FE"/>
    <w:rsid w:val="006A575A"/>
    <w:rsid w:val="006A5B3D"/>
    <w:rsid w:val="006A73A2"/>
    <w:rsid w:val="006A7B63"/>
    <w:rsid w:val="006B3795"/>
    <w:rsid w:val="006B3904"/>
    <w:rsid w:val="006B59BE"/>
    <w:rsid w:val="006C6273"/>
    <w:rsid w:val="006C6F40"/>
    <w:rsid w:val="006D0B02"/>
    <w:rsid w:val="006D2789"/>
    <w:rsid w:val="006D40D5"/>
    <w:rsid w:val="006D78FB"/>
    <w:rsid w:val="006F33D4"/>
    <w:rsid w:val="006F586C"/>
    <w:rsid w:val="006F6F2F"/>
    <w:rsid w:val="00700214"/>
    <w:rsid w:val="00700BC3"/>
    <w:rsid w:val="00702E37"/>
    <w:rsid w:val="00704EA4"/>
    <w:rsid w:val="00707C02"/>
    <w:rsid w:val="00730893"/>
    <w:rsid w:val="00733256"/>
    <w:rsid w:val="00737AA4"/>
    <w:rsid w:val="00740164"/>
    <w:rsid w:val="007430C4"/>
    <w:rsid w:val="00750A48"/>
    <w:rsid w:val="00755E49"/>
    <w:rsid w:val="00756344"/>
    <w:rsid w:val="007569A4"/>
    <w:rsid w:val="0075779A"/>
    <w:rsid w:val="00762911"/>
    <w:rsid w:val="0076369C"/>
    <w:rsid w:val="007644FD"/>
    <w:rsid w:val="0078361B"/>
    <w:rsid w:val="00783B26"/>
    <w:rsid w:val="007872C9"/>
    <w:rsid w:val="00790408"/>
    <w:rsid w:val="007960E2"/>
    <w:rsid w:val="007973AD"/>
    <w:rsid w:val="007A2626"/>
    <w:rsid w:val="007B5008"/>
    <w:rsid w:val="007B594F"/>
    <w:rsid w:val="007C0818"/>
    <w:rsid w:val="007C7870"/>
    <w:rsid w:val="007D44A2"/>
    <w:rsid w:val="007E48CD"/>
    <w:rsid w:val="007F0BB0"/>
    <w:rsid w:val="007F1EE4"/>
    <w:rsid w:val="0080392A"/>
    <w:rsid w:val="008206D8"/>
    <w:rsid w:val="00825B59"/>
    <w:rsid w:val="00857263"/>
    <w:rsid w:val="00857358"/>
    <w:rsid w:val="008625BC"/>
    <w:rsid w:val="00863FA4"/>
    <w:rsid w:val="008651C8"/>
    <w:rsid w:val="00881409"/>
    <w:rsid w:val="00881A1F"/>
    <w:rsid w:val="008970E4"/>
    <w:rsid w:val="008A0025"/>
    <w:rsid w:val="008C216D"/>
    <w:rsid w:val="008C4295"/>
    <w:rsid w:val="008C6C9E"/>
    <w:rsid w:val="008D238D"/>
    <w:rsid w:val="008D7784"/>
    <w:rsid w:val="008E2A2E"/>
    <w:rsid w:val="008E3665"/>
    <w:rsid w:val="008E666C"/>
    <w:rsid w:val="008F46CE"/>
    <w:rsid w:val="008F74D9"/>
    <w:rsid w:val="009030B3"/>
    <w:rsid w:val="00904E4B"/>
    <w:rsid w:val="00910976"/>
    <w:rsid w:val="00911665"/>
    <w:rsid w:val="00922CE9"/>
    <w:rsid w:val="00932B15"/>
    <w:rsid w:val="009343FF"/>
    <w:rsid w:val="00942CF2"/>
    <w:rsid w:val="00944431"/>
    <w:rsid w:val="0094692C"/>
    <w:rsid w:val="00954A65"/>
    <w:rsid w:val="00980DA9"/>
    <w:rsid w:val="00985631"/>
    <w:rsid w:val="009A3A85"/>
    <w:rsid w:val="009B032B"/>
    <w:rsid w:val="009C34B9"/>
    <w:rsid w:val="009D157F"/>
    <w:rsid w:val="009D1A6F"/>
    <w:rsid w:val="009D41E1"/>
    <w:rsid w:val="009D499E"/>
    <w:rsid w:val="009D60B5"/>
    <w:rsid w:val="009D733A"/>
    <w:rsid w:val="009D7AA1"/>
    <w:rsid w:val="009E7499"/>
    <w:rsid w:val="009E76FC"/>
    <w:rsid w:val="009F03DE"/>
    <w:rsid w:val="009F6E95"/>
    <w:rsid w:val="00A0160A"/>
    <w:rsid w:val="00A06D53"/>
    <w:rsid w:val="00A07A0D"/>
    <w:rsid w:val="00A11C79"/>
    <w:rsid w:val="00A131D0"/>
    <w:rsid w:val="00A14A40"/>
    <w:rsid w:val="00A166A0"/>
    <w:rsid w:val="00A25453"/>
    <w:rsid w:val="00A320B6"/>
    <w:rsid w:val="00A3321B"/>
    <w:rsid w:val="00A34EB9"/>
    <w:rsid w:val="00A359CB"/>
    <w:rsid w:val="00A453BA"/>
    <w:rsid w:val="00A55BE3"/>
    <w:rsid w:val="00A57A75"/>
    <w:rsid w:val="00A64275"/>
    <w:rsid w:val="00A76963"/>
    <w:rsid w:val="00A77082"/>
    <w:rsid w:val="00A81DDC"/>
    <w:rsid w:val="00AA6F63"/>
    <w:rsid w:val="00AB03B6"/>
    <w:rsid w:val="00AB4E85"/>
    <w:rsid w:val="00AC4A1E"/>
    <w:rsid w:val="00AC672C"/>
    <w:rsid w:val="00AD23B9"/>
    <w:rsid w:val="00AE1EA4"/>
    <w:rsid w:val="00AE3BC6"/>
    <w:rsid w:val="00AE5F55"/>
    <w:rsid w:val="00B07D0F"/>
    <w:rsid w:val="00B21E15"/>
    <w:rsid w:val="00B33A18"/>
    <w:rsid w:val="00B33D5F"/>
    <w:rsid w:val="00B46EB6"/>
    <w:rsid w:val="00B54E33"/>
    <w:rsid w:val="00B61D4E"/>
    <w:rsid w:val="00B71808"/>
    <w:rsid w:val="00B74B46"/>
    <w:rsid w:val="00B76E89"/>
    <w:rsid w:val="00B8292D"/>
    <w:rsid w:val="00B907AB"/>
    <w:rsid w:val="00B94F52"/>
    <w:rsid w:val="00BA01A7"/>
    <w:rsid w:val="00BA48C9"/>
    <w:rsid w:val="00BB74A1"/>
    <w:rsid w:val="00BC6D4A"/>
    <w:rsid w:val="00BD7F3B"/>
    <w:rsid w:val="00BE271A"/>
    <w:rsid w:val="00BE5C1D"/>
    <w:rsid w:val="00BE60C3"/>
    <w:rsid w:val="00BF13E0"/>
    <w:rsid w:val="00BF4B75"/>
    <w:rsid w:val="00C03558"/>
    <w:rsid w:val="00C13CE4"/>
    <w:rsid w:val="00C16751"/>
    <w:rsid w:val="00C229E6"/>
    <w:rsid w:val="00C51039"/>
    <w:rsid w:val="00C531FA"/>
    <w:rsid w:val="00C7302F"/>
    <w:rsid w:val="00C87C10"/>
    <w:rsid w:val="00C92893"/>
    <w:rsid w:val="00CA5776"/>
    <w:rsid w:val="00CB0C8C"/>
    <w:rsid w:val="00CB3761"/>
    <w:rsid w:val="00CC2291"/>
    <w:rsid w:val="00CD4FD0"/>
    <w:rsid w:val="00CE7A08"/>
    <w:rsid w:val="00CF6040"/>
    <w:rsid w:val="00D02583"/>
    <w:rsid w:val="00D0633E"/>
    <w:rsid w:val="00D158F3"/>
    <w:rsid w:val="00D231D1"/>
    <w:rsid w:val="00D24464"/>
    <w:rsid w:val="00D275D6"/>
    <w:rsid w:val="00D44B8C"/>
    <w:rsid w:val="00D44E75"/>
    <w:rsid w:val="00D56BB2"/>
    <w:rsid w:val="00D63BA3"/>
    <w:rsid w:val="00D64107"/>
    <w:rsid w:val="00D674C6"/>
    <w:rsid w:val="00D805FC"/>
    <w:rsid w:val="00D856CE"/>
    <w:rsid w:val="00D87551"/>
    <w:rsid w:val="00D90983"/>
    <w:rsid w:val="00D9109E"/>
    <w:rsid w:val="00DA61C5"/>
    <w:rsid w:val="00DB601C"/>
    <w:rsid w:val="00DB6C54"/>
    <w:rsid w:val="00DC644F"/>
    <w:rsid w:val="00DD52A9"/>
    <w:rsid w:val="00DE2C67"/>
    <w:rsid w:val="00DF6FC3"/>
    <w:rsid w:val="00E10A36"/>
    <w:rsid w:val="00E1508C"/>
    <w:rsid w:val="00E171E4"/>
    <w:rsid w:val="00E25166"/>
    <w:rsid w:val="00E304DB"/>
    <w:rsid w:val="00E35D4D"/>
    <w:rsid w:val="00E3688F"/>
    <w:rsid w:val="00E40109"/>
    <w:rsid w:val="00E425FF"/>
    <w:rsid w:val="00E427C1"/>
    <w:rsid w:val="00E50484"/>
    <w:rsid w:val="00E514CB"/>
    <w:rsid w:val="00E623F6"/>
    <w:rsid w:val="00E63169"/>
    <w:rsid w:val="00E6787C"/>
    <w:rsid w:val="00E67EB8"/>
    <w:rsid w:val="00E7025B"/>
    <w:rsid w:val="00E805B4"/>
    <w:rsid w:val="00E82421"/>
    <w:rsid w:val="00E8683A"/>
    <w:rsid w:val="00E86BD3"/>
    <w:rsid w:val="00E96688"/>
    <w:rsid w:val="00EA0207"/>
    <w:rsid w:val="00EA248F"/>
    <w:rsid w:val="00EA5517"/>
    <w:rsid w:val="00EB01FF"/>
    <w:rsid w:val="00EC492F"/>
    <w:rsid w:val="00ED2A71"/>
    <w:rsid w:val="00ED5A95"/>
    <w:rsid w:val="00EF1946"/>
    <w:rsid w:val="00F012F2"/>
    <w:rsid w:val="00F055F0"/>
    <w:rsid w:val="00F059D7"/>
    <w:rsid w:val="00F11DF9"/>
    <w:rsid w:val="00F1474E"/>
    <w:rsid w:val="00F16D02"/>
    <w:rsid w:val="00F241EA"/>
    <w:rsid w:val="00F323D1"/>
    <w:rsid w:val="00F36B5D"/>
    <w:rsid w:val="00F4139F"/>
    <w:rsid w:val="00F414D2"/>
    <w:rsid w:val="00F41A98"/>
    <w:rsid w:val="00F434A3"/>
    <w:rsid w:val="00F52DA1"/>
    <w:rsid w:val="00F55360"/>
    <w:rsid w:val="00F55723"/>
    <w:rsid w:val="00F63B17"/>
    <w:rsid w:val="00F640E5"/>
    <w:rsid w:val="00F718E4"/>
    <w:rsid w:val="00F7560A"/>
    <w:rsid w:val="00F759FC"/>
    <w:rsid w:val="00F81192"/>
    <w:rsid w:val="00F9424A"/>
    <w:rsid w:val="00F96200"/>
    <w:rsid w:val="00FA3EF4"/>
    <w:rsid w:val="00FB37CA"/>
    <w:rsid w:val="00FC20F2"/>
    <w:rsid w:val="00FC3734"/>
    <w:rsid w:val="00FC47FE"/>
    <w:rsid w:val="00FF02AC"/>
    <w:rsid w:val="00FF3DDA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A3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EB6"/>
    <w:pPr>
      <w:spacing w:after="0" w:line="360" w:lineRule="auto"/>
    </w:pPr>
    <w:rPr>
      <w:rFonts w:ascii="Times New Roman" w:eastAsia="Calibri" w:hAnsi="Times New Roman" w:cs="Arial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A5776"/>
    <w:pPr>
      <w:widowControl w:val="0"/>
      <w:tabs>
        <w:tab w:val="num" w:pos="567"/>
      </w:tabs>
      <w:ind w:left="567" w:hanging="567"/>
      <w:outlineLvl w:val="0"/>
    </w:pPr>
    <w:rPr>
      <w:rFonts w:eastAsia="Times New Roman" w:cs="Times New Roman"/>
      <w:b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30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3CharCharChar">
    <w:name w:val="Char Char3 Char Char Char"/>
    <w:basedOn w:val="prastasis"/>
    <w:rsid w:val="004B70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PointManual">
    <w:name w:val="Point Manual"/>
    <w:basedOn w:val="prastasis"/>
    <w:rsid w:val="004B7074"/>
    <w:pPr>
      <w:spacing w:before="200" w:line="240" w:lineRule="auto"/>
      <w:ind w:left="567" w:hanging="567"/>
    </w:pPr>
    <w:rPr>
      <w:rFonts w:eastAsia="Times New Roman" w:cs="Times New Roman"/>
      <w:szCs w:val="24"/>
      <w:lang w:val="en-GB"/>
    </w:rPr>
  </w:style>
  <w:style w:type="paragraph" w:customStyle="1" w:styleId="PointManual1">
    <w:name w:val="Point Manual (1)"/>
    <w:basedOn w:val="prastasis"/>
    <w:rsid w:val="004B7074"/>
    <w:pPr>
      <w:spacing w:line="240" w:lineRule="auto"/>
      <w:ind w:left="1134" w:hanging="567"/>
      <w:outlineLvl w:val="0"/>
    </w:pPr>
    <w:rPr>
      <w:rFonts w:eastAsia="Times New Roman" w:cs="Times New Roman"/>
      <w:szCs w:val="24"/>
      <w:lang w:val="en-GB"/>
    </w:rPr>
  </w:style>
  <w:style w:type="paragraph" w:customStyle="1" w:styleId="PointManual2">
    <w:name w:val="Point Manual (2)"/>
    <w:basedOn w:val="prastasis"/>
    <w:rsid w:val="004B7074"/>
    <w:pPr>
      <w:spacing w:line="240" w:lineRule="auto"/>
      <w:ind w:left="1701" w:hanging="567"/>
      <w:outlineLvl w:val="1"/>
    </w:pPr>
    <w:rPr>
      <w:rFonts w:eastAsia="Times New Roman" w:cs="Times New Roman"/>
      <w:szCs w:val="24"/>
      <w:lang w:val="en-GB"/>
    </w:rPr>
  </w:style>
  <w:style w:type="paragraph" w:styleId="Puslapioinaostekstas">
    <w:name w:val="footnote text"/>
    <w:aliases w:val="Footnote Text Char Char,Footnote,Fußnote,FSR footnote,lábléc,Carattere1,Footnote Text Char1 Char,Footnote Text Char2 Char Char Char,Footnote Text Char1 Char Char Char Char,Footnote Text Char Char Char Char Char Char,fn,f"/>
    <w:basedOn w:val="prastasis"/>
    <w:link w:val="PuslapioinaostekstasDiagrama"/>
    <w:semiHidden/>
    <w:unhideWhenUsed/>
    <w:rsid w:val="004B7074"/>
    <w:pPr>
      <w:spacing w:line="24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aliases w:val="Footnote Text Char Char Diagrama,Footnote Diagrama,Fußnote Diagrama,FSR footnote Diagrama,lábléc Diagrama,Carattere1 Diagrama,Footnote Text Char1 Char Diagrama,Footnote Text Char2 Char Char Char Diagrama,fn Diagrama"/>
    <w:basedOn w:val="Numatytasispastraiposriftas"/>
    <w:link w:val="Puslapioinaostekstas"/>
    <w:semiHidden/>
    <w:rsid w:val="004B707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,16 Point"/>
    <w:semiHidden/>
    <w:unhideWhenUsed/>
    <w:rsid w:val="004B7074"/>
    <w:rPr>
      <w:vertAlign w:val="superscript"/>
    </w:rPr>
  </w:style>
  <w:style w:type="paragraph" w:customStyle="1" w:styleId="DiagramaCharCharCharDiagramaCharDiagramaCharChar">
    <w:name w:val="Diagrama Char Char Char Diagrama Char Diagrama Char Char"/>
    <w:basedOn w:val="prastasis"/>
    <w:rsid w:val="00A320B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38C"/>
    <w:rPr>
      <w:rFonts w:ascii="Tahoma" w:eastAsia="Calibri" w:hAnsi="Tahoma" w:cs="Tahoma"/>
      <w:sz w:val="16"/>
      <w:szCs w:val="16"/>
      <w:lang w:val="en-US"/>
    </w:rPr>
  </w:style>
  <w:style w:type="paragraph" w:customStyle="1" w:styleId="Statut">
    <w:name w:val="Statut"/>
    <w:basedOn w:val="prastasis"/>
    <w:next w:val="prastasis"/>
    <w:rsid w:val="00651FBF"/>
    <w:pPr>
      <w:spacing w:before="360" w:line="240" w:lineRule="auto"/>
      <w:jc w:val="center"/>
    </w:pPr>
    <w:rPr>
      <w:rFonts w:cs="Times New Roman"/>
      <w:szCs w:val="20"/>
      <w:lang w:val="lt-LT" w:eastAsia="en-GB"/>
    </w:rPr>
  </w:style>
  <w:style w:type="paragraph" w:customStyle="1" w:styleId="astandard3520normal">
    <w:name w:val="a_standard__35__20_normal"/>
    <w:basedOn w:val="prastasis"/>
    <w:rsid w:val="000E0C46"/>
    <w:pPr>
      <w:spacing w:after="120" w:line="240" w:lineRule="auto"/>
      <w:ind w:right="57"/>
      <w:jc w:val="both"/>
    </w:pPr>
    <w:rPr>
      <w:rFonts w:eastAsia="Times New Roman" w:cs="Times New Roman"/>
      <w:szCs w:val="24"/>
      <w:lang w:val="lt-LT" w:eastAsia="lt-LT"/>
    </w:rPr>
  </w:style>
  <w:style w:type="character" w:customStyle="1" w:styleId="aa5f5ft1">
    <w:name w:val="a__a_5f__5f_t1"/>
    <w:rsid w:val="000E0C46"/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,列出段落"/>
    <w:basedOn w:val="prastasis"/>
    <w:link w:val="SraopastraipaDiagrama"/>
    <w:uiPriority w:val="34"/>
    <w:qFormat/>
    <w:rsid w:val="00AE5F55"/>
    <w:pPr>
      <w:spacing w:line="240" w:lineRule="auto"/>
      <w:ind w:left="720"/>
    </w:pPr>
    <w:rPr>
      <w:rFonts w:ascii="Calibri" w:hAnsi="Calibri" w:cs="Calibri"/>
      <w:sz w:val="22"/>
      <w:lang w:val="lt-LT" w:eastAsia="lt-LT"/>
    </w:rPr>
  </w:style>
  <w:style w:type="paragraph" w:customStyle="1" w:styleId="EntRefer">
    <w:name w:val="EntRefer"/>
    <w:basedOn w:val="prastasis"/>
    <w:rsid w:val="0050167A"/>
    <w:pPr>
      <w:spacing w:line="240" w:lineRule="auto"/>
    </w:pPr>
    <w:rPr>
      <w:rFonts w:eastAsia="Times New Roman" w:cs="Times New Roman"/>
      <w:b/>
      <w:szCs w:val="20"/>
      <w:lang w:val="lt-LT"/>
    </w:rPr>
  </w:style>
  <w:style w:type="paragraph" w:customStyle="1" w:styleId="CharDiagramaCharDiagramaChar">
    <w:name w:val="Char Diagrama Char Diagrama Char"/>
    <w:basedOn w:val="prastasis"/>
    <w:rsid w:val="0076369C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B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E5C1D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1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1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1E15"/>
    <w:rPr>
      <w:rFonts w:ascii="Times New Roman" w:eastAsia="Calibri" w:hAnsi="Times New Roman" w:cs="Arial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E15"/>
    <w:rPr>
      <w:rFonts w:ascii="Times New Roman" w:eastAsia="Calibri" w:hAnsi="Times New Roman" w:cs="Arial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21E15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CA5776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customStyle="1" w:styleId="CharChar1CharCharCharCharDiagramaCharChar">
    <w:name w:val="Char Char1 Char Char Char Char Diagrama Char Char"/>
    <w:basedOn w:val="prastasis"/>
    <w:rsid w:val="001267F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1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Paprasta1">
    <w:name w:val="Table Simple 1"/>
    <w:basedOn w:val="prastojilentel"/>
    <w:rsid w:val="00FF3DD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704EA4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A359C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lt-LT" w:eastAsia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1D636A"/>
    <w:rPr>
      <w:rFonts w:ascii="Calibri" w:eastAsia="Calibr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C6F4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6F40"/>
    <w:rPr>
      <w:rFonts w:ascii="Times New Roman" w:eastAsia="Calibri" w:hAnsi="Times New Roman" w:cs="Arial"/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C6F4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F40"/>
    <w:rPr>
      <w:rFonts w:ascii="Times New Roman" w:eastAsia="Calibri" w:hAnsi="Times New Roman" w:cs="Arial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6EB6"/>
    <w:pPr>
      <w:spacing w:after="0" w:line="360" w:lineRule="auto"/>
    </w:pPr>
    <w:rPr>
      <w:rFonts w:ascii="Times New Roman" w:eastAsia="Calibri" w:hAnsi="Times New Roman" w:cs="Arial"/>
      <w:sz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CA5776"/>
    <w:pPr>
      <w:widowControl w:val="0"/>
      <w:tabs>
        <w:tab w:val="num" w:pos="567"/>
      </w:tabs>
      <w:ind w:left="567" w:hanging="567"/>
      <w:outlineLvl w:val="0"/>
    </w:pPr>
    <w:rPr>
      <w:rFonts w:eastAsia="Times New Roman" w:cs="Times New Roman"/>
      <w:b/>
      <w:szCs w:val="20"/>
      <w:u w:val="single"/>
      <w:lang w:val="en-GB" w:eastAsia="fr-B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30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3CharCharChar">
    <w:name w:val="Char Char3 Char Char Char"/>
    <w:basedOn w:val="prastasis"/>
    <w:rsid w:val="004B707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PointManual">
    <w:name w:val="Point Manual"/>
    <w:basedOn w:val="prastasis"/>
    <w:rsid w:val="004B7074"/>
    <w:pPr>
      <w:spacing w:before="200" w:line="240" w:lineRule="auto"/>
      <w:ind w:left="567" w:hanging="567"/>
    </w:pPr>
    <w:rPr>
      <w:rFonts w:eastAsia="Times New Roman" w:cs="Times New Roman"/>
      <w:szCs w:val="24"/>
      <w:lang w:val="en-GB"/>
    </w:rPr>
  </w:style>
  <w:style w:type="paragraph" w:customStyle="1" w:styleId="PointManual1">
    <w:name w:val="Point Manual (1)"/>
    <w:basedOn w:val="prastasis"/>
    <w:rsid w:val="004B7074"/>
    <w:pPr>
      <w:spacing w:line="240" w:lineRule="auto"/>
      <w:ind w:left="1134" w:hanging="567"/>
      <w:outlineLvl w:val="0"/>
    </w:pPr>
    <w:rPr>
      <w:rFonts w:eastAsia="Times New Roman" w:cs="Times New Roman"/>
      <w:szCs w:val="24"/>
      <w:lang w:val="en-GB"/>
    </w:rPr>
  </w:style>
  <w:style w:type="paragraph" w:customStyle="1" w:styleId="PointManual2">
    <w:name w:val="Point Manual (2)"/>
    <w:basedOn w:val="prastasis"/>
    <w:rsid w:val="004B7074"/>
    <w:pPr>
      <w:spacing w:line="240" w:lineRule="auto"/>
      <w:ind w:left="1701" w:hanging="567"/>
      <w:outlineLvl w:val="1"/>
    </w:pPr>
    <w:rPr>
      <w:rFonts w:eastAsia="Times New Roman" w:cs="Times New Roman"/>
      <w:szCs w:val="24"/>
      <w:lang w:val="en-GB"/>
    </w:rPr>
  </w:style>
  <w:style w:type="paragraph" w:styleId="Puslapioinaostekstas">
    <w:name w:val="footnote text"/>
    <w:aliases w:val="Footnote Text Char Char,Footnote,Fußnote,FSR footnote,lábléc,Carattere1,Footnote Text Char1 Char,Footnote Text Char2 Char Char Char,Footnote Text Char1 Char Char Char Char,Footnote Text Char Char Char Char Char Char,fn,f"/>
    <w:basedOn w:val="prastasis"/>
    <w:link w:val="PuslapioinaostekstasDiagrama"/>
    <w:semiHidden/>
    <w:unhideWhenUsed/>
    <w:rsid w:val="004B7074"/>
    <w:pPr>
      <w:spacing w:line="240" w:lineRule="auto"/>
    </w:pPr>
    <w:rPr>
      <w:rFonts w:eastAsia="Times New Roman" w:cs="Times New Roman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aliases w:val="Footnote Text Char Char Diagrama,Footnote Diagrama,Fußnote Diagrama,FSR footnote Diagrama,lábléc Diagrama,Carattere1 Diagrama,Footnote Text Char1 Char Diagrama,Footnote Text Char2 Char Char Char Diagrama,fn Diagrama"/>
    <w:basedOn w:val="Numatytasispastraiposriftas"/>
    <w:link w:val="Puslapioinaostekstas"/>
    <w:semiHidden/>
    <w:rsid w:val="004B707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aliases w:val="Footnote Reference Number,Footnote Reference_LVL6,Footnote Reference_LVL61,Footnote Reference_LVL62,Footnote Reference_LVL63,Footnote Reference_LVL64,Footnote symbol,Footnote reference number,Fußnotenzeichen3,Char1,16 Point"/>
    <w:semiHidden/>
    <w:unhideWhenUsed/>
    <w:rsid w:val="004B7074"/>
    <w:rPr>
      <w:vertAlign w:val="superscript"/>
    </w:rPr>
  </w:style>
  <w:style w:type="paragraph" w:customStyle="1" w:styleId="DiagramaCharCharCharDiagramaCharDiagramaCharChar">
    <w:name w:val="Diagrama Char Char Char Diagrama Char Diagrama Char Char"/>
    <w:basedOn w:val="prastasis"/>
    <w:rsid w:val="00A320B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2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238C"/>
    <w:rPr>
      <w:rFonts w:ascii="Tahoma" w:eastAsia="Calibri" w:hAnsi="Tahoma" w:cs="Tahoma"/>
      <w:sz w:val="16"/>
      <w:szCs w:val="16"/>
      <w:lang w:val="en-US"/>
    </w:rPr>
  </w:style>
  <w:style w:type="paragraph" w:customStyle="1" w:styleId="Statut">
    <w:name w:val="Statut"/>
    <w:basedOn w:val="prastasis"/>
    <w:next w:val="prastasis"/>
    <w:rsid w:val="00651FBF"/>
    <w:pPr>
      <w:spacing w:before="360" w:line="240" w:lineRule="auto"/>
      <w:jc w:val="center"/>
    </w:pPr>
    <w:rPr>
      <w:rFonts w:cs="Times New Roman"/>
      <w:szCs w:val="20"/>
      <w:lang w:val="lt-LT" w:eastAsia="en-GB"/>
    </w:rPr>
  </w:style>
  <w:style w:type="paragraph" w:customStyle="1" w:styleId="astandard3520normal">
    <w:name w:val="a_standard__35__20_normal"/>
    <w:basedOn w:val="prastasis"/>
    <w:rsid w:val="000E0C46"/>
    <w:pPr>
      <w:spacing w:after="120" w:line="240" w:lineRule="auto"/>
      <w:ind w:right="57"/>
      <w:jc w:val="both"/>
    </w:pPr>
    <w:rPr>
      <w:rFonts w:eastAsia="Times New Roman" w:cs="Times New Roman"/>
      <w:szCs w:val="24"/>
      <w:lang w:val="lt-LT" w:eastAsia="lt-LT"/>
    </w:rPr>
  </w:style>
  <w:style w:type="character" w:customStyle="1" w:styleId="aa5f5ft1">
    <w:name w:val="a__a_5f__5f_t1"/>
    <w:rsid w:val="000E0C46"/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,列出段落"/>
    <w:basedOn w:val="prastasis"/>
    <w:link w:val="SraopastraipaDiagrama"/>
    <w:uiPriority w:val="34"/>
    <w:qFormat/>
    <w:rsid w:val="00AE5F55"/>
    <w:pPr>
      <w:spacing w:line="240" w:lineRule="auto"/>
      <w:ind w:left="720"/>
    </w:pPr>
    <w:rPr>
      <w:rFonts w:ascii="Calibri" w:hAnsi="Calibri" w:cs="Calibri"/>
      <w:sz w:val="22"/>
      <w:lang w:val="lt-LT" w:eastAsia="lt-LT"/>
    </w:rPr>
  </w:style>
  <w:style w:type="paragraph" w:customStyle="1" w:styleId="EntRefer">
    <w:name w:val="EntRefer"/>
    <w:basedOn w:val="prastasis"/>
    <w:rsid w:val="0050167A"/>
    <w:pPr>
      <w:spacing w:line="240" w:lineRule="auto"/>
    </w:pPr>
    <w:rPr>
      <w:rFonts w:eastAsia="Times New Roman" w:cs="Times New Roman"/>
      <w:b/>
      <w:szCs w:val="20"/>
      <w:lang w:val="lt-LT"/>
    </w:rPr>
  </w:style>
  <w:style w:type="paragraph" w:customStyle="1" w:styleId="CharDiagramaCharDiagramaChar">
    <w:name w:val="Char Diagrama Char Diagrama Char"/>
    <w:basedOn w:val="prastasis"/>
    <w:rsid w:val="0076369C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B7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E5C1D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1E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1E1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1E15"/>
    <w:rPr>
      <w:rFonts w:ascii="Times New Roman" w:eastAsia="Calibri" w:hAnsi="Times New Roman" w:cs="Arial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1E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1E15"/>
    <w:rPr>
      <w:rFonts w:ascii="Times New Roman" w:eastAsia="Calibri" w:hAnsi="Times New Roman" w:cs="Arial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B21E15"/>
    <w:pPr>
      <w:spacing w:after="0" w:line="240" w:lineRule="auto"/>
    </w:pPr>
    <w:rPr>
      <w:rFonts w:ascii="Times New Roman" w:eastAsia="Calibri" w:hAnsi="Times New Roman" w:cs="Arial"/>
      <w:sz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CA5776"/>
    <w:rPr>
      <w:rFonts w:ascii="Times New Roman" w:eastAsia="Times New Roman" w:hAnsi="Times New Roman" w:cs="Times New Roman"/>
      <w:b/>
      <w:sz w:val="24"/>
      <w:szCs w:val="20"/>
      <w:u w:val="single"/>
      <w:lang w:val="en-GB" w:eastAsia="fr-BE"/>
    </w:rPr>
  </w:style>
  <w:style w:type="paragraph" w:customStyle="1" w:styleId="CharChar1CharCharCharCharDiagramaCharChar">
    <w:name w:val="Char Char1 Char Char Char Char Diagrama Char Char"/>
    <w:basedOn w:val="prastasis"/>
    <w:rsid w:val="001267F2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10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Paprasta1">
    <w:name w:val="Table Simple 1"/>
    <w:basedOn w:val="prastojilentel"/>
    <w:rsid w:val="00FF3DD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lt-LT" w:bidi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Grietas">
    <w:name w:val="Strong"/>
    <w:basedOn w:val="Numatytasispastraiposriftas"/>
    <w:uiPriority w:val="22"/>
    <w:qFormat/>
    <w:rsid w:val="00704EA4"/>
    <w:rPr>
      <w:b/>
      <w:bCs/>
    </w:rPr>
  </w:style>
  <w:style w:type="paragraph" w:styleId="prastasistinklapis">
    <w:name w:val="Normal (Web)"/>
    <w:basedOn w:val="prastasis"/>
    <w:uiPriority w:val="99"/>
    <w:semiHidden/>
    <w:unhideWhenUsed/>
    <w:rsid w:val="00A359C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lt-LT" w:eastAsia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1D636A"/>
    <w:rPr>
      <w:rFonts w:ascii="Calibri" w:eastAsia="Calibr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6C6F40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6F40"/>
    <w:rPr>
      <w:rFonts w:ascii="Times New Roman" w:eastAsia="Calibri" w:hAnsi="Times New Roman" w:cs="Arial"/>
      <w:sz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6C6F40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F40"/>
    <w:rPr>
      <w:rFonts w:ascii="Times New Roman" w:eastAsia="Calibri" w:hAnsi="Times New Roman" w:cs="Arial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7174-3849-40C2-9840-DAF61ED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Jonušas</dc:creator>
  <cp:lastModifiedBy>Vaida Vilimaitė</cp:lastModifiedBy>
  <cp:revision>5</cp:revision>
  <cp:lastPrinted>2019-11-11T08:58:00Z</cp:lastPrinted>
  <dcterms:created xsi:type="dcterms:W3CDTF">2021-11-07T18:52:00Z</dcterms:created>
  <dcterms:modified xsi:type="dcterms:W3CDTF">2021-11-07T18:58:00Z</dcterms:modified>
</cp:coreProperties>
</file>