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ayout w:type="fixed"/>
        <w:tblLook w:val="0000" w:firstRow="0" w:lastRow="0" w:firstColumn="0" w:lastColumn="0" w:noHBand="0" w:noVBand="0"/>
      </w:tblPr>
      <w:tblGrid>
        <w:gridCol w:w="4068"/>
        <w:gridCol w:w="16"/>
      </w:tblGrid>
      <w:tr w:rsidR="00033F22" w:rsidRPr="00A014E2" w:rsidTr="00D22A39">
        <w:trPr>
          <w:cantSplit/>
          <w:trHeight w:val="340"/>
        </w:trPr>
        <w:tc>
          <w:tcPr>
            <w:tcW w:w="4084" w:type="dxa"/>
            <w:gridSpan w:val="2"/>
          </w:tcPr>
          <w:p w:rsidR="00033F22" w:rsidRPr="00A014E2" w:rsidRDefault="006F330D" w:rsidP="0004746A">
            <w:pPr>
              <w:framePr w:hSpace="180" w:wrap="around" w:vAnchor="text" w:hAnchor="page" w:x="7286" w:y="12"/>
              <w:ind w:right="24"/>
            </w:pPr>
            <w:r w:rsidRPr="00A014E2">
              <w:t xml:space="preserve">  </w:t>
            </w:r>
            <w:r w:rsidR="00033F22" w:rsidRPr="00A014E2">
              <w:t>20</w:t>
            </w:r>
            <w:r w:rsidR="00477775" w:rsidRPr="00A014E2">
              <w:t>20</w:t>
            </w:r>
            <w:r w:rsidR="00033F22" w:rsidRPr="00A014E2">
              <w:t>-</w:t>
            </w:r>
            <w:r w:rsidR="008338A8" w:rsidRPr="00A014E2">
              <w:t>10</w:t>
            </w:r>
            <w:r w:rsidR="009B725C" w:rsidRPr="00A014E2">
              <w:t xml:space="preserve">- </w:t>
            </w:r>
            <w:r w:rsidR="00BB6FD9">
              <w:t>20</w:t>
            </w:r>
            <w:r w:rsidR="009B725C" w:rsidRPr="00A014E2">
              <w:t xml:space="preserve">   </w:t>
            </w:r>
            <w:r w:rsidR="00E75D83" w:rsidRPr="00A014E2">
              <w:t xml:space="preserve"> </w:t>
            </w:r>
            <w:r w:rsidR="00033F22" w:rsidRPr="00A014E2">
              <w:t xml:space="preserve">Nr. </w:t>
            </w:r>
            <w:r w:rsidR="00BB6FD9">
              <w:rPr>
                <w:rFonts w:ascii="Tahoma" w:hAnsi="Tahoma" w:cs="Tahoma"/>
                <w:color w:val="4F4F4F"/>
                <w:sz w:val="18"/>
                <w:szCs w:val="18"/>
              </w:rPr>
              <w:t>20-13541</w:t>
            </w:r>
            <w:bookmarkStart w:id="0" w:name="_GoBack"/>
            <w:bookmarkEnd w:id="0"/>
          </w:p>
        </w:tc>
      </w:tr>
      <w:tr w:rsidR="00033F22" w:rsidRPr="00A014E2" w:rsidTr="00D22A39">
        <w:trPr>
          <w:gridAfter w:val="1"/>
          <w:wAfter w:w="16" w:type="dxa"/>
          <w:cantSplit/>
          <w:trHeight w:val="340"/>
        </w:trPr>
        <w:tc>
          <w:tcPr>
            <w:tcW w:w="4068" w:type="dxa"/>
          </w:tcPr>
          <w:p w:rsidR="00033F22" w:rsidRPr="00A014E2" w:rsidRDefault="00477775" w:rsidP="0004746A">
            <w:pPr>
              <w:framePr w:hSpace="180" w:wrap="around" w:vAnchor="text" w:hAnchor="page" w:x="7286" w:y="12"/>
              <w:ind w:right="24"/>
            </w:pPr>
            <w:r w:rsidRPr="00A014E2">
              <w:t>Į 2020</w:t>
            </w:r>
            <w:r w:rsidR="00E75D83" w:rsidRPr="00A014E2">
              <w:t>-</w:t>
            </w:r>
            <w:r w:rsidR="008338A8" w:rsidRPr="00A014E2">
              <w:t>10</w:t>
            </w:r>
            <w:r w:rsidR="009B725C" w:rsidRPr="00A014E2">
              <w:t>-</w:t>
            </w:r>
            <w:r w:rsidR="003C4274" w:rsidRPr="00A014E2">
              <w:t>09</w:t>
            </w:r>
            <w:r w:rsidR="00E75D83" w:rsidRPr="00A014E2">
              <w:t xml:space="preserve"> Nr.</w:t>
            </w:r>
            <w:r w:rsidR="00E15768" w:rsidRPr="00A014E2">
              <w:t xml:space="preserve"> </w:t>
            </w:r>
            <w:r w:rsidR="003C4274" w:rsidRPr="00A014E2">
              <w:rPr>
                <w:color w:val="000000"/>
                <w:shd w:val="clear" w:color="auto" w:fill="FFFFFF"/>
              </w:rPr>
              <w:t>2D-3039 (11.22 E)</w:t>
            </w:r>
          </w:p>
        </w:tc>
      </w:tr>
    </w:tbl>
    <w:p w:rsidR="00E75D83" w:rsidRPr="00A014E2" w:rsidRDefault="0004746A" w:rsidP="0004746A">
      <w:pPr>
        <w:pStyle w:val="Adresas"/>
      </w:pPr>
      <w:r>
        <w:t>Lietuvos Respublikos žemės ūkio</w:t>
      </w:r>
      <w:r w:rsidR="00DF0277" w:rsidRPr="00A014E2">
        <w:t xml:space="preserve"> ministerijai</w:t>
      </w:r>
    </w:p>
    <w:p w:rsidR="00E75D83" w:rsidRPr="00A014E2" w:rsidRDefault="00E75D83" w:rsidP="0004746A">
      <w:pPr>
        <w:pStyle w:val="Adresas"/>
      </w:pPr>
    </w:p>
    <w:p w:rsidR="00E75D83" w:rsidRPr="00A014E2" w:rsidRDefault="00E75D83" w:rsidP="0004746A">
      <w:pPr>
        <w:pStyle w:val="Adresas"/>
      </w:pPr>
    </w:p>
    <w:p w:rsidR="00E75D83" w:rsidRPr="00A014E2" w:rsidRDefault="00E75D83" w:rsidP="0004746A">
      <w:pPr>
        <w:pStyle w:val="Adresas"/>
      </w:pPr>
    </w:p>
    <w:p w:rsidR="008F4B10" w:rsidRDefault="008F4B10" w:rsidP="008F4B10">
      <w:pPr>
        <w:jc w:val="both"/>
      </w:pPr>
      <w:r>
        <w:rPr>
          <w:b/>
          <w:caps/>
        </w:rPr>
        <w:t>DĖL</w:t>
      </w:r>
      <w:r>
        <w:rPr>
          <w:b/>
        </w:rPr>
        <w:t xml:space="preserve"> </w:t>
      </w:r>
      <w:r>
        <w:rPr>
          <w:b/>
          <w:bCs/>
        </w:rPr>
        <w:t>LIETUVOS RESPUBLIKOS VYRIAUSYBĖS NUTARIMO „DĖL LIETUVOS RESPUBLIKOS GYVŪNŲ GEROVĖS IR APSAUGOS ĮSTATYMO NR. VIII-500 2, 4, 10 IR 12 STRAIPSNIŲ PAKEITIMO ĮSTATYMO PROJEKTO NR. XIIIP-5169, LIETUVOS RESPUBLIKOS GYVŪNŲ GEROVĖS IR APSAUGOS ĮSTATYMO NR. VIII-500 2, 4, 10 IR 12 STRAIPSNIŲ PAKEITIMO ĮSTATYMO PROJEKTO NR. XIIIP-5174, LIETUVOS RESPUBLIKOS BAUDŽIAMOJO KODEKSO 310 STRAIPSNIO PAKEITIMO ĮSTATYMO PROJEKTO NR. XIIIP-5171 IR LIETUVOS RESPUBLIKOS ADMINISTRACINIŲ NUSIŽENGIMŲ KODEKSO 127 IR 346 STRAIPSNIŲ PAKEITIMO ĮSTATYMO PROJEKTO NR. XIIIP-5170“ PROJEKTO</w:t>
      </w:r>
    </w:p>
    <w:p w:rsidR="008F4B10" w:rsidRDefault="008F4B10" w:rsidP="008F4B10">
      <w:pPr>
        <w:ind w:firstLine="720"/>
        <w:jc w:val="both"/>
      </w:pPr>
    </w:p>
    <w:p w:rsidR="008F4B10" w:rsidRDefault="008F4B10" w:rsidP="008F4B10">
      <w:pPr>
        <w:ind w:firstLine="720"/>
        <w:jc w:val="both"/>
        <w:rPr>
          <w:bCs/>
        </w:rPr>
      </w:pPr>
      <w:r>
        <w:rPr>
          <w:lang w:eastAsia="lt-LT"/>
        </w:rPr>
        <w:t xml:space="preserve">Lietuvos Respublikos teisingumo ministerija, pagal kompetenciją įvertinusi derinimui pateiktą </w:t>
      </w:r>
      <w:hyperlink r:id="rId8">
        <w:r>
          <w:rPr>
            <w:rStyle w:val="Hipersaitas"/>
            <w:bCs/>
          </w:rPr>
          <w:t xml:space="preserve">Lietuvos Respublikos Vyriausybės nutarimo „Dėl Lietuvos Respublikos gyvūnų gerovės ir apsaugos įstatymo Nr. VIII-500 2, 4, 10 ir 12 straipsnių pakeitimo įstatymo projekto         Nr. XIIIP-5169, Lietuvos Respublikos gyvūnų gerovės ir apsaugos įstatymo Nr. VIII-500 2, 4, 10 ir 12 straipsnių pakeitimo įstatymo projekto Nr. XIIIP-5174, Lietuvos Respublikos baudžiamojo kodekso 310 straipsnio pakeitimo įstatymo projekto Nr. XIIIP-5171 ir </w:t>
        </w:r>
        <w:bookmarkStart w:id="1" w:name="_Hlk52975330"/>
        <w:r>
          <w:rPr>
            <w:rStyle w:val="Hipersaitas"/>
            <w:bCs/>
          </w:rPr>
          <w:t>Lietuvos Respublikos administracinių nusižengimų kodekso 127 ir 346 straipsnių pakeitimo įstatymo projekto                   Nr. XIIIP-5170</w:t>
        </w:r>
        <w:bookmarkEnd w:id="1"/>
        <w:r>
          <w:rPr>
            <w:rStyle w:val="Hipersaitas"/>
            <w:bCs/>
          </w:rPr>
          <w:t>“</w:t>
        </w:r>
      </w:hyperlink>
      <w:r>
        <w:rPr>
          <w:bCs/>
        </w:rPr>
        <w:t xml:space="preserve"> projektą (toliau – Nutarimo projektas)</w:t>
      </w:r>
      <w:r>
        <w:t>,</w:t>
      </w:r>
      <w:r>
        <w:rPr>
          <w:bCs/>
        </w:rPr>
        <w:t xml:space="preserve"> teikia šias pastabas ir pasiūlymus:</w:t>
      </w:r>
    </w:p>
    <w:p w:rsidR="008F4B10" w:rsidRDefault="008F4B10" w:rsidP="008F4B10">
      <w:pPr>
        <w:pStyle w:val="Adresas"/>
        <w:numPr>
          <w:ilvl w:val="0"/>
          <w:numId w:val="18"/>
        </w:numPr>
        <w:tabs>
          <w:tab w:val="clear" w:pos="720"/>
          <w:tab w:val="left" w:pos="1418"/>
          <w:tab w:val="left" w:pos="1814"/>
        </w:tabs>
        <w:ind w:left="0" w:right="0" w:firstLine="720"/>
        <w:jc w:val="both"/>
        <w:rPr>
          <w:color w:val="000000"/>
        </w:rPr>
      </w:pPr>
      <w:r>
        <w:rPr>
          <w:color w:val="000000"/>
        </w:rPr>
        <w:t>Nutarimo projekto 1 punkto pirmojoje pastraipoje vietoj „pakeitimo įstatymas“ įrašytina „pakeitimo įstatymo“. Nutarimo projekto 1.2-1.5 papunkčiuose prieš cituojamas straipsnių dalių/punktų nuostatas nebereikia pakartotinai nurodyti cituojamų straipsnių dalių/punktų numerių. Visas Nutarimo projekto tekstas peržiūrėtinas redakciniu/kalbiniu aspektu. Nutarimo projekto 1.5 papunktyje, kuriame teikiama nuoroda į aiškinamąjį raštą, nesilaikoma Nutarimo projekto 1 p. nurodyto trumpinio „(toliau – projektas Nr. 1)“.</w:t>
      </w:r>
    </w:p>
    <w:p w:rsidR="008F4B10" w:rsidRDefault="008F4B10" w:rsidP="008F4B10">
      <w:pPr>
        <w:pStyle w:val="Adresas"/>
        <w:numPr>
          <w:ilvl w:val="0"/>
          <w:numId w:val="18"/>
        </w:numPr>
        <w:tabs>
          <w:tab w:val="clear" w:pos="720"/>
          <w:tab w:val="left" w:pos="1418"/>
          <w:tab w:val="left" w:pos="1814"/>
        </w:tabs>
        <w:ind w:left="0" w:right="0" w:firstLine="720"/>
        <w:jc w:val="both"/>
        <w:rPr>
          <w:color w:val="000000"/>
        </w:rPr>
      </w:pPr>
      <w:r>
        <w:rPr>
          <w:color w:val="000000"/>
        </w:rPr>
        <w:t xml:space="preserve">Nutarimo projekto 1.1 papunktyje neįvertinama, kad esama verslinio gyvūnų augintinių veisimo sąvoka gali neapimti atvejų, kai patinai auginami patelių apvaisinimui, o patino ir patelės savininkas skiriasi, t. y. ji gali neapimti atskiros veiklos srities, kai patinai auginami ir toliau naudojami (pavyzdžiui, teikiami panaudai, nuomojami) patelių apvaisinimui verslo tikslais. Tačiau tokia veiklos sritis veikiausiai taip pat turėtų būti reglamentuota. </w:t>
      </w:r>
    </w:p>
    <w:p w:rsidR="008F4B10" w:rsidRDefault="008F4B10" w:rsidP="008F4B10">
      <w:pPr>
        <w:pStyle w:val="Adresas"/>
        <w:numPr>
          <w:ilvl w:val="0"/>
          <w:numId w:val="18"/>
        </w:numPr>
        <w:tabs>
          <w:tab w:val="clear" w:pos="720"/>
          <w:tab w:val="left" w:pos="1418"/>
          <w:tab w:val="left" w:pos="1814"/>
        </w:tabs>
        <w:ind w:left="0" w:right="0" w:firstLine="720"/>
        <w:jc w:val="both"/>
        <w:rPr>
          <w:color w:val="000000"/>
        </w:rPr>
      </w:pPr>
      <w:r>
        <w:rPr>
          <w:color w:val="000000"/>
        </w:rPr>
        <w:t>Nutarimo projekto 1.2 papunktyje kaip nepritarimo argumentas nurodomas tas, kad įstatymuose nėra veterinarijos paslaugų teikėjo sąvokos, tačiau, pastebėtina, kad tai galėtų būti ne kaip nepritarimo argumentas, o kaip pasiūlymas tobulinti įstatyminį reguliavimą, nes veterinarijos paslaugų teikėjo sąvoka arba bent veterinarijos paslaugų sąvoka galėtų būti papildomai įtvirtinama įstatymo projektu Nr. XIIIP-5169 keičiamame įstatyme arba, pavyzdžiui, Veterinarijos įstatyme.</w:t>
      </w:r>
    </w:p>
    <w:p w:rsidR="008F4B10" w:rsidRDefault="008F4B10" w:rsidP="008F4B10">
      <w:pPr>
        <w:pStyle w:val="Adresas"/>
        <w:numPr>
          <w:ilvl w:val="0"/>
          <w:numId w:val="18"/>
        </w:numPr>
        <w:tabs>
          <w:tab w:val="clear" w:pos="720"/>
          <w:tab w:val="left" w:pos="1418"/>
          <w:tab w:val="left" w:pos="1814"/>
        </w:tabs>
        <w:ind w:left="0" w:right="0" w:firstLine="720"/>
        <w:jc w:val="both"/>
        <w:rPr>
          <w:color w:val="000000"/>
        </w:rPr>
      </w:pPr>
      <w:r>
        <w:rPr>
          <w:color w:val="000000"/>
        </w:rPr>
        <w:lastRenderedPageBreak/>
        <w:t>Atitinkamai ir dėl Nutarimo projekto 1.2 papunkčio antrosios pastraipos teiginio, kad teisės aktai nenumato privačių veterinarijos gydytojų pareigos teikti rekomendacijas gyvūnų laikytojams gyvūnų gerovės klausimais, pastebėtina, kad tokia pareiga galėtų būti nustatoma keičiamame įstatyme ar kituose teisės aktuose. Svarbu tai, ar Vyriausybė iš esmės pritartų, kad tokio reikalavimo nustatymas būtų tikslingas, arba argumentuotai tokį teisinio reguliavimo siūlymą paneigtų. Turėtų būti atkreiptas dėmesys ir į tai, kad atitinkamų subjektų duodamos rekomendacijos yra ne privalomojo, o patariamojo pobūdžio, todėl jų nesilaikymas (jeigu neatsirado reali žala gyvūnui) savaime neturėtų ir negalėtų būti neigiamai vertinamas, skirtingai nei imperatyvių teisės normų ar institucijų duodamų privalomų nurodymų nesilaikymas, todėl tuo atveju, jeigu būtų siekiama suteikti teisę privatiems veterinarijos gydytojams duoti privalomus vykdyti nurodymus, tai turėtų būti aiškiai reglamentuota įstatymuose.</w:t>
      </w:r>
    </w:p>
    <w:p w:rsidR="008F4B10" w:rsidRDefault="008F4B10" w:rsidP="008F4B10">
      <w:pPr>
        <w:pStyle w:val="Adresas"/>
        <w:tabs>
          <w:tab w:val="left" w:pos="1418"/>
          <w:tab w:val="left" w:pos="1477"/>
        </w:tabs>
        <w:ind w:right="0" w:firstLine="720"/>
        <w:jc w:val="both"/>
        <w:rPr>
          <w:color w:val="000000"/>
        </w:rPr>
      </w:pPr>
      <w:r>
        <w:rPr>
          <w:color w:val="000000"/>
        </w:rPr>
        <w:t xml:space="preserve">Tuo pačiu turėtų būti įvertinama, kad nepranešimas apie teisės pažeidimą  neturėtų būti prilyginamas pačiam pažeidimui ir turėtų būti traktuojamas kaip savarankiška (mažiau pavojinga visuomenei) veika, už kurią dažnu atveju numatoma savarankiška atsakomybė. Atsižvelgiant į tai, manome, kad nepranešimas apie teisės pažeidimą galėtų būti vertinamas kaip nepriimtina ir baudžiama veika, galinti sukelti neigiamas teisines pasekmes tik tuo atveju, jeigu pareiga pranešti būtų aiškiai įtvirtinta įstatymo lygmeniu, aiškiai apibrėžti subjektai, kuriems taikoma ši pareiga, ir pareigos įgyvendinimo esminės nuostatos (įskaitant terminus). Nutarimo projekto 1.3 papunkčio atveju tikslinga pasisakyti ir dėl Projekto Nr. 1 dėstomos Įstatymo 4 straipsnio 2 dalies naujo 27 punkto nuostatos, pagal kurią žiauriu elgesiu su gyvūnais, jų kankinimu būtų laikomas </w:t>
      </w:r>
      <w:r>
        <w:rPr>
          <w:bCs/>
          <w:lang w:eastAsia="lt-LT"/>
        </w:rPr>
        <w:t>informacijos apie gyvūnų gerovę, sveikatingumą, gyvūno buvimo vietą ar kitos reikalingos informacijos nesuteikimas įstatymo vykdymą kontroliuojančių institucijų pareigūnams. Pats informacijos nepateikimas, kai dėl to neatsirastų reali žala gyvūnui, savaime neturėtų būti laikomas žiauriu elgesiu, o turėtų būti laikomas tik savarankiškos pareigos pateikti atitinkamą informaciją, nevykdymu. Atsakomybės už šios pareigos nesilaikymą nustatymo ar neigiamų pasekmių peržiūrėjimo klausimas turėtų būti sprendžiamas atskirai nuo atsakomybės už patį žiaurų elgesį.</w:t>
      </w:r>
    </w:p>
    <w:p w:rsidR="008F4B10" w:rsidRDefault="008F4B10" w:rsidP="008F4B10">
      <w:pPr>
        <w:pStyle w:val="Adresas"/>
        <w:numPr>
          <w:ilvl w:val="0"/>
          <w:numId w:val="18"/>
        </w:numPr>
        <w:tabs>
          <w:tab w:val="clear" w:pos="720"/>
          <w:tab w:val="left" w:pos="1418"/>
          <w:tab w:val="left" w:pos="1814"/>
        </w:tabs>
        <w:ind w:left="0" w:right="0" w:firstLine="720"/>
        <w:jc w:val="both"/>
        <w:rPr>
          <w:color w:val="000000"/>
        </w:rPr>
      </w:pPr>
      <w:r>
        <w:rPr>
          <w:color w:val="000000"/>
        </w:rPr>
        <w:t>Nutarimo projekto 1.4 papunkčio pirmosios pastraipos teiginys, kad keičiamo įstatymo 10 straipsnio 7 dalies nuostatos iškreiptų ir susiaurintų galiojantį reglamentavimą, nėra teisingas, nes įstatymo projektu Nr. XIIIP-5169 nėra siūloma panaikinti pareigos ženklinti mikroschema perduodant kitam savininkui nurodomus gyvūnus, kuri numatyta galiojančio įstatymo 10 straipsnio 4 dalyje.</w:t>
      </w:r>
    </w:p>
    <w:p w:rsidR="008F4B10" w:rsidRDefault="008F4B10" w:rsidP="008F4B10">
      <w:pPr>
        <w:pStyle w:val="Adresas"/>
        <w:numPr>
          <w:ilvl w:val="0"/>
          <w:numId w:val="18"/>
        </w:numPr>
        <w:tabs>
          <w:tab w:val="clear" w:pos="720"/>
          <w:tab w:val="left" w:pos="1418"/>
          <w:tab w:val="left" w:pos="1814"/>
        </w:tabs>
        <w:ind w:left="0" w:right="0" w:firstLine="720"/>
        <w:jc w:val="both"/>
        <w:rPr>
          <w:color w:val="000000"/>
        </w:rPr>
      </w:pPr>
      <w:r>
        <w:rPr>
          <w:color w:val="000000"/>
        </w:rPr>
        <w:t>Nutarimo projekto 1.4 papunkčio trečiąją pastraipą siūlytina peržiūrėti iš esmės, kadangi įstatymų įgyvendinamųjų teisės aktų nuostatomis, formuluojant nepritarimą tam tikroms siūlomoms įstatyminio teisinio reguliavimo nuostatoms, būtų galima remtis labai rezervuotai, nebent kaip tam tikrų visuomeninių santykių teisinio reguliavimo tradicijos atskleidimą. Be to, Nutarimo projekto 1.4 papunkčio trečiojoje pastraipoje nurodoma, kad atitinkamą informaciją galima rasti veterinarinės kontrolės subjektų sąraše, tačiau svarbu akcentuoti, ar apskritai tokia pareiga yra (įvertinant, kad tokios pareigos nustatymas turėtų būti įstatyminio reguliavimo dalyku).</w:t>
      </w:r>
    </w:p>
    <w:p w:rsidR="008F4B10" w:rsidRDefault="008F4B10" w:rsidP="008F4B10">
      <w:pPr>
        <w:pStyle w:val="Adresas"/>
        <w:numPr>
          <w:ilvl w:val="0"/>
          <w:numId w:val="18"/>
        </w:numPr>
        <w:tabs>
          <w:tab w:val="clear" w:pos="720"/>
          <w:tab w:val="left" w:pos="1418"/>
          <w:tab w:val="left" w:pos="1814"/>
        </w:tabs>
        <w:ind w:left="0" w:right="0" w:firstLine="720"/>
        <w:jc w:val="both"/>
        <w:rPr>
          <w:color w:val="000000"/>
        </w:rPr>
      </w:pPr>
      <w:r>
        <w:rPr>
          <w:color w:val="000000"/>
        </w:rPr>
        <w:t xml:space="preserve">Nutarimo projekto 1.4 papunkčio trečiosios pastraipos pabaigoje teigiama, kad keičiamo įstatymo 10 straipsnio 4 dalies nuostata būtų perteklinė, tačiau keičiamo įstatymo formuluotė „registruoja savo veiklą“ galėtų būti suprantama ir plačiau. Atsižvelgiant į tai, Vyriausybė galėtų pateikti siūlymą dėl tokios formuluotės turinio atskleidimo (detalizavimo). </w:t>
      </w:r>
    </w:p>
    <w:p w:rsidR="008F4B10" w:rsidRDefault="008F4B10" w:rsidP="008F4B10">
      <w:pPr>
        <w:pStyle w:val="Adresas"/>
        <w:numPr>
          <w:ilvl w:val="0"/>
          <w:numId w:val="18"/>
        </w:numPr>
        <w:tabs>
          <w:tab w:val="clear" w:pos="720"/>
          <w:tab w:val="left" w:pos="1418"/>
          <w:tab w:val="left" w:pos="1814"/>
        </w:tabs>
        <w:ind w:left="0" w:right="0" w:firstLine="720"/>
        <w:jc w:val="both"/>
        <w:rPr>
          <w:color w:val="000000"/>
        </w:rPr>
      </w:pPr>
      <w:r>
        <w:rPr>
          <w:color w:val="000000"/>
        </w:rPr>
        <w:t xml:space="preserve">Nutarimo projekto 1.4 papunkčio trečiojoje pastraipoje nenurodomas tikslus teisės akto, patvirtinto Valstybinės maisto ir veterinarijos tarnybos direktoriaus 2005 m. kovo 1 d. įsakymu Nr. B1-146, pavadinimas. </w:t>
      </w:r>
    </w:p>
    <w:p w:rsidR="008F4B10" w:rsidRDefault="008F4B10" w:rsidP="008F4B10">
      <w:pPr>
        <w:pStyle w:val="Adresas"/>
        <w:numPr>
          <w:ilvl w:val="0"/>
          <w:numId w:val="18"/>
        </w:numPr>
        <w:tabs>
          <w:tab w:val="clear" w:pos="720"/>
          <w:tab w:val="left" w:pos="1418"/>
          <w:tab w:val="left" w:pos="1814"/>
        </w:tabs>
        <w:ind w:left="0" w:right="0" w:firstLine="720"/>
        <w:jc w:val="both"/>
      </w:pPr>
      <w:r>
        <w:rPr>
          <w:color w:val="000000"/>
        </w:rPr>
        <w:t xml:space="preserve">Nutarimo projekto 1.5 papunktis pildytinas, atkreipiant dėmesį į tai, kad nustatomas absoliutus ūkinės veiklos lauko prekyboje ir turgavietėse gyvūnų augintiniais ribojimas gali būti vertinamas kaip nepagrįstas ir neproporcingas siekiamiems tikslams, bei </w:t>
      </w:r>
      <w:r>
        <w:rPr>
          <w:color w:val="000000"/>
        </w:rPr>
        <w:lastRenderedPageBreak/>
        <w:t xml:space="preserve">neatitinkantis Lietuvos Respublikos teisėkūros pagrindų įstatymo 3 straipsnio 2 dalies 2 ir 5 punktuose įtvirtintų teisėkūros proporcingumo ir efektyvumo principų, o aiškinamajame rašte nurodomi tikslai galėtų būti pasiekti, pavyzdžiui, detaliau reglamentuojant lauko prekybos ir prekybos turgavietėse gyvūnais ir šios veiklos priežiūros tvarką, bei užtikrinant tokios prekybos </w:t>
      </w:r>
      <w:r>
        <w:t>priežiūrą.</w:t>
      </w:r>
    </w:p>
    <w:p w:rsidR="008F4B10" w:rsidRDefault="008F4B10" w:rsidP="008F4B10">
      <w:pPr>
        <w:pStyle w:val="Adresas"/>
        <w:numPr>
          <w:ilvl w:val="0"/>
          <w:numId w:val="18"/>
        </w:numPr>
        <w:tabs>
          <w:tab w:val="clear" w:pos="720"/>
          <w:tab w:val="left" w:pos="1418"/>
          <w:tab w:val="left" w:pos="1814"/>
        </w:tabs>
        <w:ind w:left="0" w:right="0" w:firstLine="720"/>
        <w:jc w:val="both"/>
      </w:pPr>
      <w:r>
        <w:t>Siūlytina Nutarimo projekto 3 punktą išdėstyti taip:</w:t>
      </w:r>
    </w:p>
    <w:p w:rsidR="008F4B10" w:rsidRDefault="008F4B10" w:rsidP="008F4B10">
      <w:pPr>
        <w:pStyle w:val="Antrats"/>
        <w:ind w:firstLine="720"/>
        <w:jc w:val="both"/>
      </w:pPr>
      <w:r>
        <w:t>„3. Nepritarti Lietuvos Respublikos baudžiamojo kodekso 310 straipsnio pakeitimo įstatymo projektui Nr. XIIIP-5171 (toliau – projektas Nr. 3) dėl šių priežasčių:</w:t>
      </w:r>
    </w:p>
    <w:p w:rsidR="008F4B10" w:rsidRDefault="008F4B10" w:rsidP="008F4B10">
      <w:pPr>
        <w:pStyle w:val="Antrats"/>
        <w:ind w:firstLine="720"/>
        <w:jc w:val="both"/>
      </w:pPr>
      <w:r>
        <w:t>3.1. Projektu Nr. 3 siūloma papildyti Baudžiamojo kodekso (toliau – BK) 310 straipsnio 1 dalį, nustatant, kad už žiaurių elgesį su gyvūnais baudžiamoji atsakomybė kiltų ir tam, kuris nuslėpė tokį elgesį. Projekto Nr. 3 aiškinamajame rašte teikiamas siūlymas argumentuojamas tuo, kad šiuo metu galiojanti BK redakcija nenumato atsakomybės asmeniui, kuris nuslepia žiaurių elgesį su gyvūnais. Toks teiginys vertintinas kaip nepagrįstas, nes galiojančiame BK jau šiuo metu yra numatyta baudžiamoji atsakomybė už iš anksto pažadėtą nusikalstamos veikos ar su jos padarymu susijusių įrankių, priemonių ir pan. slėpimą. Atsižvelgiant į tai, projektu Nr. 3</w:t>
      </w:r>
      <w:r>
        <w:rPr>
          <w:color w:val="FF0000"/>
        </w:rPr>
        <w:t xml:space="preserve"> </w:t>
      </w:r>
      <w:r>
        <w:t>nėra įvertintos baudžiamojo įstatymo nuostatos, susijusios su bendrininkavimo instituto teisiniu reguliavimu. BK 24 straipsnio 6 dalyje nurodyta, jog padėjėjas yra asmuo, be kita ko, iš anksto pažadėjęs paslėpti nusikaltėlį, nusikalstamos veikos darymo įrankius ar priemones, šios veikos pėdsakus ar nusikalstamu būdu įgytus daiktus, taip pat asmuo iš anksto pažadėjęs realizuoti iš nusikalstamos veikos įgytus ar pagamintus daiktus. Tai reiškia, kad asmuo, iš anksto pažadėjęs nuslėpti BK 310 straipsnyje numatytą nusikaltimą, būtų traukiamas baudžiamojon atsakomybėn kaip bendrininkas, padėjęs įvykdyti žiauraus elgesio su gyvūnais nusikalstamą veiką. Tokiu atveju vykdytojo veiksmai būtų kvalifikuojami pagal BK 310 straipsnį, o padėjėjo, t. y. asmens, padėjusio nuslėpti žiaurų elgesį su gyvūnais, pagal BK 24 straipsnio 6 dalį ir BK 310 straipsnį.</w:t>
      </w:r>
    </w:p>
    <w:p w:rsidR="008F4B10" w:rsidRDefault="008F4B10" w:rsidP="008F4B10">
      <w:pPr>
        <w:ind w:firstLine="720"/>
        <w:jc w:val="both"/>
        <w:rPr>
          <w:lang w:eastAsia="lt-LT"/>
        </w:rPr>
      </w:pPr>
      <w:r>
        <w:t>3.2. Projektu Nr. 3 siūloma formuluotė sistemiškai nedera su BK 237 straipsniu, nustatančiu baudžiamąją atsakomybę už nusikaltimo ar nusikaltimą padariusio asmens slėpimą, ir su BK 238 straipsniu, kuriame numatyta baudžiamoji atsakomybė už nepranešimą apie labai sunkų nusikaltimą. Pagal BK 237 straipsnį, baudžiamoji atsakomybė kyla tam, kas iš anksto nepažadėjęs paslėpė, sunaikino ar sugadino kito asmens padaryto sunkaus ar labai sunkaus nusikaltimo pėdsakus, įrankius ar priemones, nusikalstamu būdu įgytus daiktus, kitus su slepiamu nusikaltimu susijusius dalykus, turinčius įrodomosios reikšmės, arba slėpė nusikaltimą padariusį asmenį. Tai reiškia, kad įstatymų leidėjas, tais atvejais, kai nėra išankstinio susitarimo, numato baudžiamąją atsakomybę tik už sunkaus ir labai sunkaus nusikaltimo slėpimą. Pagal BK 238 straipsnį, baudžiamoji atsakomybė numatyta tik tais atvejais, kai be išankstinio susitarimo nepranešama apie daromą ar padarytą labai sunkų nusikaltimą. Todėl baudžiamosios atsakomybės nustatymas už atskirų, mažesnio pavojingumo nusikalstamų veikų (pavyzdžiui, nesunkių) slėpimą arba nepranešimą apie jas nesant išankstinio susitarimo būtų vertintinas kaip neproporcingas, neadekvačiai praplečiantis baudžiamosios atsakomybės taikymo ribas ir neatitinkantis baudžiamosios teisės, kaip kraštutinės priemonės (</w:t>
      </w:r>
      <w:r>
        <w:rPr>
          <w:i/>
          <w:lang w:val="la"/>
        </w:rPr>
        <w:t>ultima ratio</w:t>
      </w:r>
      <w:r>
        <w:t>), principo įgyvendinimo.“</w:t>
      </w:r>
    </w:p>
    <w:p w:rsidR="008F4B10" w:rsidRDefault="008F4B10" w:rsidP="008F4B10">
      <w:pPr>
        <w:ind w:firstLine="720"/>
        <w:jc w:val="both"/>
        <w:rPr>
          <w:lang w:eastAsia="lt-LT"/>
        </w:rPr>
      </w:pPr>
      <w:r>
        <w:rPr>
          <w:lang w:val="en-US" w:eastAsia="lt-LT"/>
        </w:rPr>
        <w:t xml:space="preserve">11. </w:t>
      </w:r>
      <w:r>
        <w:rPr>
          <w:lang w:eastAsia="lt-LT"/>
        </w:rPr>
        <w:t xml:space="preserve">Siūlytina nepritarimo Lietuvos Respublikos administracinių nusižengimų kodekso </w:t>
      </w:r>
      <w:r>
        <w:rPr>
          <w:color w:val="000000"/>
          <w:lang w:eastAsia="lt-LT"/>
        </w:rPr>
        <w:t xml:space="preserve">(toliau – ANK) </w:t>
      </w:r>
      <w:r>
        <w:rPr>
          <w:lang w:eastAsia="lt-LT"/>
        </w:rPr>
        <w:t>127 straipsnio pakeitimui argumentus dėstyti taip:</w:t>
      </w:r>
    </w:p>
    <w:p w:rsidR="008F4B10" w:rsidRDefault="008F4B10" w:rsidP="008F4B10">
      <w:pPr>
        <w:pStyle w:val="Sraopastraipa"/>
        <w:ind w:left="0" w:firstLine="720"/>
        <w:jc w:val="both"/>
        <w:rPr>
          <w:lang w:eastAsia="lt-LT"/>
        </w:rPr>
      </w:pPr>
      <w:r>
        <w:rPr>
          <w:lang w:eastAsia="lt-LT"/>
        </w:rPr>
        <w:t xml:space="preserve">„Projektu Nr. 4 siūloma </w:t>
      </w:r>
      <w:r>
        <w:rPr>
          <w:color w:val="000000"/>
          <w:lang w:eastAsia="lt-LT"/>
        </w:rPr>
        <w:t xml:space="preserve">papildyti ANK 127 straipsnį ,,Neteisėtas vertimasis komercine, ūkine, finansine, ar profesine veikla“, įtraukiant neteisėtą gyvūnų veisimą, taip pat siūloma papildyti ANK 127 straipsnio 4 dalį, už šio straipsnio 1, 2, 3 dalyse numatytus administracinius nusižengimus skiriant ir priemonių bei veisimui naudojamų gyvūnų, jų jauniklių konfiskavimą. Argumentuojant šį pakeitimą teigiama, kad </w:t>
      </w:r>
      <w:r>
        <w:rPr>
          <w:color w:val="000000"/>
        </w:rPr>
        <w:t xml:space="preserve">šiuo metu ANK nenumato galimybės konfiskuoti veisimui naudojamų gyvūnų ir jų jauniklių, taip pat, kad </w:t>
      </w:r>
      <w:r>
        <w:rPr>
          <w:color w:val="000000"/>
          <w:lang w:eastAsia="lt-LT"/>
        </w:rPr>
        <w:t xml:space="preserve">ANK </w:t>
      </w:r>
      <w:r>
        <w:rPr>
          <w:color w:val="000000"/>
        </w:rPr>
        <w:t>127 straipsnis, numatantis neteisėtą vertimąsi komercine, ūkine, finansine, ar profesine veikla</w:t>
      </w:r>
      <w:r>
        <w:t>, nors teoriškai ir apima neteisėtą gyvūnų veisimą, tačiau praktikoje juo nesivadovaujama.</w:t>
      </w:r>
      <w:r>
        <w:rPr>
          <w:color w:val="000000"/>
          <w:lang w:eastAsia="lt-LT"/>
        </w:rPr>
        <w:t xml:space="preserve"> </w:t>
      </w:r>
      <w:r>
        <w:rPr>
          <w:lang w:eastAsia="lt-LT"/>
        </w:rPr>
        <w:t>Pastebėtina, kad ANK 127 straipsnyje įtvirtinta administracinė atsakomybė ne tik už v</w:t>
      </w:r>
      <w:r>
        <w:t xml:space="preserve">ertimąsi komercine, ūkine, finansine ar profesine </w:t>
      </w:r>
      <w:r>
        <w:lastRenderedPageBreak/>
        <w:t xml:space="preserve">veikla neturint licencijos (leidimo) veiklai, kuriai reikalinga licencija (leidimas), bet ir už </w:t>
      </w:r>
      <w:r>
        <w:rPr>
          <w:lang w:eastAsia="lt-LT"/>
        </w:rPr>
        <w:t>v</w:t>
      </w:r>
      <w:r>
        <w:t xml:space="preserve">ertimąsi komercine, ūkine, finansine ar profesine veikla kitokiu neteisėtu būdu. Atkreiptinas dėmesys į tai, kad šiame ANK straipsnyje nėra įvardijamos konkrečios komercinės, ūkinės, finansinės ar profesinės veiklos. Gyvūnų gerovės ir apsaugos įstatymo 2 straipsnio 14 dalyje apibrėžiama gyvūnų </w:t>
      </w:r>
      <w:r>
        <w:rPr>
          <w:bCs/>
        </w:rPr>
        <w:t xml:space="preserve">augintinių veisėjo sąvoka, pagal kurią gyvūnų augintinių veisėju laikomas </w:t>
      </w:r>
      <w:r>
        <w:t>asmuo, turintis Valstybinės maisto ir veterinarijos tarnybos nustatyta tvarka išduotą leidimą veisti gyvūnus augintinius verslo tikslais. Gyvūnų gerovės ir apsaugos įstatymo 10 straipsnio, reguliuojančio gyvūnų veisimą, 2 dalyje įtvirtinta, kad gyvūnų augintinių veisimui teisės aktuose nustatytais atvejais reikalingas veterinarinis patvirtinimas, todėl neteisėtas (neturint veterinarinio patvirtinimo) vertimasis gyvūnų augintinių veisimu užtraukia administracinę atsakomybę pagal ANK straipsnį. Be to, pažymėtina, kad, vadovaujantis šiuo metu galiojančio ANK 127 straipsnio 4 dalimi, privalomas pagamintos produkcijos, įrankių, žaliavos ir iš šios veiklos gautų pajamų konfiskavimas, t. y. tais atvejais, kai gyvūnai veisiami neteisėtai, išveistus gyvūnų jauniklius ir suaugusius gyvūnus augintinius privaloma konfiskuoti. Todėl siūlymas keisti ANK 127 straipsnį yra nepagrįstas ir perteklinis. Taip pat, pažymėtina, kad, vadovaujantis ANK 589 straipsniu, administracinių nusižengimų teiseną dėl ANK 127 straipsnio 1 ir 2 dalyse numatytų administracinių nusižengimų pradeda, administracinių nusižengimų tyrimą atlieka ir administracinių nusižengimų protokolus, be kita ko, surašo ir Valstybinės maisto ir veterinarijos tarnybos pareigūnai (ANK 589 straipsnio 28 punktas). Pastebėtina, kad galiojantis teisinis reguliavimas užtikrina galimybes šiems pareigūnams pradėti administracinių nusižengimų teiseną dėl neteisėto vertimosi gyvūnų augintinių veisimu. Todėl, manytina, kad ne įstatymo nuostatų keitimas, kuris yra perteklinis ir nesukuria pridėtinės teisinės vertės, o tinkamas įstatymo taikymas užtikrins atsakomybės už neteisėtą gyvūnų augintinių veisimą neišvengiamumą.“</w:t>
      </w:r>
    </w:p>
    <w:p w:rsidR="008F4B10" w:rsidRDefault="008F4B10" w:rsidP="008F4B10">
      <w:pPr>
        <w:ind w:firstLine="720"/>
        <w:jc w:val="both"/>
      </w:pPr>
    </w:p>
    <w:p w:rsidR="008F4B10" w:rsidRDefault="008F4B10" w:rsidP="008F4B10">
      <w:pPr>
        <w:ind w:firstLine="720"/>
        <w:jc w:val="both"/>
      </w:pPr>
    </w:p>
    <w:p w:rsidR="008F4B10" w:rsidRDefault="008F4B10" w:rsidP="008F4B10">
      <w:pPr>
        <w:ind w:firstLine="720"/>
        <w:jc w:val="both"/>
      </w:pPr>
    </w:p>
    <w:p w:rsidR="008F4B10" w:rsidRDefault="008F4B10" w:rsidP="008F4B10">
      <w:pPr>
        <w:ind w:firstLine="720"/>
        <w:jc w:val="both"/>
      </w:pPr>
    </w:p>
    <w:p w:rsidR="008F4B10" w:rsidRDefault="008F4B10" w:rsidP="008F4B10">
      <w:r>
        <w:t xml:space="preserve">Teisingumo ministras </w:t>
      </w:r>
      <w:r>
        <w:tab/>
      </w:r>
      <w:r>
        <w:tab/>
      </w:r>
      <w:r>
        <w:tab/>
      </w:r>
      <w:r>
        <w:tab/>
      </w:r>
      <w:r>
        <w:tab/>
      </w:r>
      <w:r>
        <w:tab/>
      </w:r>
      <w:r>
        <w:tab/>
      </w:r>
      <w:r>
        <w:tab/>
        <w:t xml:space="preserve">      Elvinas Jankevičius</w:t>
      </w: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Default="008F4B10" w:rsidP="008F4B10">
      <w:pPr>
        <w:ind w:firstLine="720"/>
      </w:pPr>
    </w:p>
    <w:p w:rsidR="008F4B10" w:rsidRPr="00964D78" w:rsidRDefault="008F4B10" w:rsidP="008F4B10">
      <w:pPr>
        <w:ind w:firstLine="720"/>
      </w:pPr>
    </w:p>
    <w:p w:rsidR="008F4B10" w:rsidRPr="00964D78" w:rsidRDefault="008F4B10" w:rsidP="008F4B10">
      <w:pPr>
        <w:tabs>
          <w:tab w:val="decimal" w:pos="9638"/>
        </w:tabs>
        <w:rPr>
          <w:sz w:val="20"/>
          <w:szCs w:val="20"/>
          <w:u w:val="single"/>
        </w:rPr>
      </w:pPr>
      <w:r w:rsidRPr="00964D78">
        <w:rPr>
          <w:sz w:val="20"/>
          <w:szCs w:val="20"/>
        </w:rPr>
        <w:t xml:space="preserve">Sonata Gendvilaitė, (8 5) 2662950, el. p. </w:t>
      </w:r>
      <w:hyperlink r:id="rId9" w:history="1">
        <w:r w:rsidRPr="00964D78">
          <w:rPr>
            <w:rStyle w:val="Hipersaitas"/>
            <w:color w:val="auto"/>
            <w:sz w:val="20"/>
            <w:szCs w:val="20"/>
          </w:rPr>
          <w:t>sonata.gendvilaite@tm.lt</w:t>
        </w:r>
      </w:hyperlink>
    </w:p>
    <w:p w:rsidR="008F4B10" w:rsidRPr="00964D78" w:rsidRDefault="008F4B10" w:rsidP="008F4B10">
      <w:pPr>
        <w:tabs>
          <w:tab w:val="decimal" w:pos="9638"/>
        </w:tabs>
        <w:rPr>
          <w:sz w:val="20"/>
          <w:szCs w:val="20"/>
          <w:u w:val="single"/>
        </w:rPr>
      </w:pPr>
      <w:r w:rsidRPr="00964D78">
        <w:rPr>
          <w:sz w:val="20"/>
          <w:szCs w:val="20"/>
        </w:rPr>
        <w:t>Tautvydas Žėkas, (8 5) 2191880, el. p. </w:t>
      </w:r>
      <w:hyperlink r:id="rId10" w:history="1">
        <w:r w:rsidRPr="00964D78">
          <w:rPr>
            <w:rStyle w:val="Hipersaitas"/>
            <w:color w:val="auto"/>
            <w:sz w:val="20"/>
            <w:szCs w:val="20"/>
          </w:rPr>
          <w:t>tautvydas.zekas@tm.lt</w:t>
        </w:r>
      </w:hyperlink>
    </w:p>
    <w:p w:rsidR="008F4B10" w:rsidRPr="00964D78" w:rsidRDefault="008F4B10" w:rsidP="008F4B10">
      <w:pPr>
        <w:tabs>
          <w:tab w:val="left" w:pos="709"/>
          <w:tab w:val="left" w:pos="993"/>
          <w:tab w:val="left" w:pos="1134"/>
        </w:tabs>
        <w:textAlignment w:val="top"/>
        <w:rPr>
          <w:sz w:val="20"/>
          <w:szCs w:val="20"/>
        </w:rPr>
      </w:pPr>
      <w:r w:rsidRPr="00964D78">
        <w:rPr>
          <w:sz w:val="20"/>
          <w:szCs w:val="20"/>
        </w:rPr>
        <w:t xml:space="preserve">Andrius Miliūnas, (8 5) 2662906, el. p. </w:t>
      </w:r>
      <w:hyperlink r:id="rId11">
        <w:r w:rsidRPr="00964D78">
          <w:rPr>
            <w:sz w:val="20"/>
            <w:szCs w:val="20"/>
            <w:u w:val="single"/>
          </w:rPr>
          <w:t>andrius.miliunas@tm.lt</w:t>
        </w:r>
      </w:hyperlink>
    </w:p>
    <w:p w:rsidR="008F4B10" w:rsidRPr="00A014E2" w:rsidRDefault="008F4B10" w:rsidP="008F4B10">
      <w:pPr>
        <w:jc w:val="both"/>
        <w:rPr>
          <w:color w:val="0000FF"/>
          <w:sz w:val="20"/>
          <w:szCs w:val="20"/>
          <w:u w:val="single"/>
        </w:rPr>
      </w:pPr>
    </w:p>
    <w:sectPr w:rsidR="008F4B10" w:rsidRPr="00A014E2" w:rsidSect="00137EFF">
      <w:headerReference w:type="default" r:id="rId12"/>
      <w:headerReference w:type="first" r:id="rId13"/>
      <w:footerReference w:type="first" r:id="rId14"/>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14E" w:rsidRDefault="0075414E">
      <w:r>
        <w:separator/>
      </w:r>
    </w:p>
  </w:endnote>
  <w:endnote w:type="continuationSeparator" w:id="0">
    <w:p w:rsidR="0075414E" w:rsidRDefault="0075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940" w:rsidRDefault="00137EFF" w:rsidP="00137EFF">
    <w:pPr>
      <w:pStyle w:val="Porat"/>
      <w:tabs>
        <w:tab w:val="clear" w:pos="8306"/>
        <w:tab w:val="left" w:pos="8080"/>
        <w:tab w:val="right" w:pos="9356"/>
      </w:tabs>
    </w:pPr>
    <w:r>
      <w:rPr>
        <w:noProof/>
        <w:lang w:val="en-US" w:eastAsia="en-US"/>
      </w:rPr>
      <w:drawing>
        <wp:inline distT="0" distB="0" distL="0" distR="0" wp14:anchorId="2ABDB08B">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14E" w:rsidRDefault="0075414E">
      <w:r>
        <w:separator/>
      </w:r>
    </w:p>
  </w:footnote>
  <w:footnote w:type="continuationSeparator" w:id="0">
    <w:p w:rsidR="0075414E" w:rsidRDefault="00754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258273"/>
      <w:docPartObj>
        <w:docPartGallery w:val="Page Numbers (Top of Page)"/>
        <w:docPartUnique/>
      </w:docPartObj>
    </w:sdtPr>
    <w:sdtEndPr/>
    <w:sdtContent>
      <w:p w:rsidR="00417B1F" w:rsidRDefault="00417B1F">
        <w:pPr>
          <w:pStyle w:val="Antrats"/>
          <w:jc w:val="center"/>
        </w:pPr>
        <w:r>
          <w:fldChar w:fldCharType="begin"/>
        </w:r>
        <w:r>
          <w:instrText>PAGE   \* MERGEFORMAT</w:instrText>
        </w:r>
        <w:r>
          <w:fldChar w:fldCharType="separate"/>
        </w:r>
        <w:r w:rsidR="008F4B10">
          <w:rPr>
            <w:noProof/>
          </w:rPr>
          <w:t>4</w:t>
        </w:r>
        <w:r>
          <w:fldChar w:fldCharType="end"/>
        </w:r>
      </w:p>
    </w:sdtContent>
  </w:sdt>
  <w:p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169" w:rsidRPr="00095F50" w:rsidRDefault="00095F50"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5EE6432D" wp14:editId="5D53A472">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D22358" w:rsidRDefault="00D22358" w:rsidP="00D22358">
    <w:pPr>
      <w:pBdr>
        <w:bottom w:val="single" w:sz="4" w:space="1" w:color="auto"/>
      </w:pBdr>
      <w:suppressAutoHyphens w:val="0"/>
      <w:jc w:val="center"/>
      <w:rPr>
        <w:sz w:val="20"/>
        <w:lang w:eastAsia="en-US"/>
      </w:rPr>
    </w:pPr>
    <w:r>
      <w:rPr>
        <w:sz w:val="20"/>
        <w:lang w:eastAsia="en-US"/>
      </w:rPr>
      <w:t>tel. (8 5) 266 2984, faks. (8 5) 262 5940, el. p. rastine@tm.lt,</w:t>
    </w:r>
  </w:p>
  <w:p w:rsidR="00D22358" w:rsidRDefault="00D22358" w:rsidP="00D22358">
    <w:pPr>
      <w:pBdr>
        <w:bottom w:val="single" w:sz="4" w:space="1" w:color="auto"/>
      </w:pBdr>
      <w:suppressAutoHyphens w:val="0"/>
      <w:jc w:val="center"/>
      <w:rPr>
        <w:sz w:val="20"/>
        <w:szCs w:val="20"/>
        <w:lang w:eastAsia="en-US"/>
      </w:rPr>
    </w:pPr>
    <w:r>
      <w:rPr>
        <w:sz w:val="20"/>
        <w:lang w:eastAsia="en-US"/>
      </w:rPr>
      <w:t xml:space="preserve">atsisk. sąskaita </w:t>
    </w:r>
    <w:r w:rsidR="00ED73D6">
      <w:rPr>
        <w:sz w:val="20"/>
        <w:szCs w:val="20"/>
        <w:lang w:eastAsia="en-US"/>
      </w:rPr>
      <w:t>LT574</w:t>
    </w:r>
    <w:r>
      <w:rPr>
        <w:sz w:val="20"/>
        <w:szCs w:val="20"/>
        <w:lang w:eastAsia="en-US"/>
      </w:rPr>
      <w:t>010051004670211</w:t>
    </w:r>
    <w:r>
      <w:rPr>
        <w:sz w:val="20"/>
        <w:lang w:eastAsia="en-US"/>
      </w:rPr>
      <w:t xml:space="preserve"> Luminor Bank AS</w:t>
    </w:r>
    <w:r>
      <w:rPr>
        <w:sz w:val="20"/>
        <w:szCs w:val="20"/>
        <w:lang w:eastAsia="en-US"/>
      </w:rPr>
      <w:t>, banko kodas 40100.</w:t>
    </w:r>
  </w:p>
  <w:p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6A0169" w:rsidRPr="006A0169" w:rsidRDefault="006A0169" w:rsidP="006A0169">
    <w:pPr>
      <w:tabs>
        <w:tab w:val="right" w:pos="8306"/>
      </w:tabs>
      <w:suppressAutoHyphens w:val="0"/>
      <w:jc w:val="center"/>
      <w:rPr>
        <w:sz w:val="20"/>
        <w:lang w:eastAsia="en-US"/>
      </w:rPr>
    </w:pPr>
  </w:p>
  <w:p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59193D"/>
    <w:multiLevelType w:val="hybridMultilevel"/>
    <w:tmpl w:val="A704F82A"/>
    <w:lvl w:ilvl="0" w:tplc="1DEC5C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0855F53"/>
    <w:multiLevelType w:val="multilevel"/>
    <w:tmpl w:val="6C88FD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5" w15:restartNumberingAfterBreak="0">
    <w:nsid w:val="2756550F"/>
    <w:multiLevelType w:val="hybridMultilevel"/>
    <w:tmpl w:val="CF9E91C0"/>
    <w:lvl w:ilvl="0" w:tplc="4094DC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15:restartNumberingAfterBreak="0">
    <w:nsid w:val="38183ED0"/>
    <w:multiLevelType w:val="hybridMultilevel"/>
    <w:tmpl w:val="16123892"/>
    <w:lvl w:ilvl="0" w:tplc="B48ABE4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4ABD08D5"/>
    <w:multiLevelType w:val="hybridMultilevel"/>
    <w:tmpl w:val="181658B2"/>
    <w:lvl w:ilvl="0" w:tplc="AA086AAE">
      <w:start w:val="1"/>
      <w:numFmt w:val="decimal"/>
      <w:lvlText w:val="%1."/>
      <w:lvlJc w:val="left"/>
      <w:pPr>
        <w:ind w:left="2488" w:hanging="360"/>
      </w:pPr>
      <w:rPr>
        <w:rFonts w:hint="default"/>
      </w:rPr>
    </w:lvl>
    <w:lvl w:ilvl="1" w:tplc="04270019" w:tentative="1">
      <w:start w:val="1"/>
      <w:numFmt w:val="lowerLetter"/>
      <w:lvlText w:val="%2."/>
      <w:lvlJc w:val="left"/>
      <w:pPr>
        <w:ind w:left="3208" w:hanging="360"/>
      </w:pPr>
    </w:lvl>
    <w:lvl w:ilvl="2" w:tplc="0427001B" w:tentative="1">
      <w:start w:val="1"/>
      <w:numFmt w:val="lowerRoman"/>
      <w:lvlText w:val="%3."/>
      <w:lvlJc w:val="right"/>
      <w:pPr>
        <w:ind w:left="3928" w:hanging="180"/>
      </w:pPr>
    </w:lvl>
    <w:lvl w:ilvl="3" w:tplc="0427000F" w:tentative="1">
      <w:start w:val="1"/>
      <w:numFmt w:val="decimal"/>
      <w:lvlText w:val="%4."/>
      <w:lvlJc w:val="left"/>
      <w:pPr>
        <w:ind w:left="4648" w:hanging="360"/>
      </w:pPr>
    </w:lvl>
    <w:lvl w:ilvl="4" w:tplc="04270019" w:tentative="1">
      <w:start w:val="1"/>
      <w:numFmt w:val="lowerLetter"/>
      <w:lvlText w:val="%5."/>
      <w:lvlJc w:val="left"/>
      <w:pPr>
        <w:ind w:left="5368" w:hanging="360"/>
      </w:pPr>
    </w:lvl>
    <w:lvl w:ilvl="5" w:tplc="0427001B" w:tentative="1">
      <w:start w:val="1"/>
      <w:numFmt w:val="lowerRoman"/>
      <w:lvlText w:val="%6."/>
      <w:lvlJc w:val="right"/>
      <w:pPr>
        <w:ind w:left="6088" w:hanging="180"/>
      </w:pPr>
    </w:lvl>
    <w:lvl w:ilvl="6" w:tplc="0427000F" w:tentative="1">
      <w:start w:val="1"/>
      <w:numFmt w:val="decimal"/>
      <w:lvlText w:val="%7."/>
      <w:lvlJc w:val="left"/>
      <w:pPr>
        <w:ind w:left="6808" w:hanging="360"/>
      </w:pPr>
    </w:lvl>
    <w:lvl w:ilvl="7" w:tplc="04270019" w:tentative="1">
      <w:start w:val="1"/>
      <w:numFmt w:val="lowerLetter"/>
      <w:lvlText w:val="%8."/>
      <w:lvlJc w:val="left"/>
      <w:pPr>
        <w:ind w:left="7528" w:hanging="360"/>
      </w:pPr>
    </w:lvl>
    <w:lvl w:ilvl="8" w:tplc="0427001B" w:tentative="1">
      <w:start w:val="1"/>
      <w:numFmt w:val="lowerRoman"/>
      <w:lvlText w:val="%9."/>
      <w:lvlJc w:val="right"/>
      <w:pPr>
        <w:ind w:left="8248" w:hanging="180"/>
      </w:pPr>
    </w:lvl>
  </w:abstractNum>
  <w:abstractNum w:abstractNumId="13"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4" w15:restartNumberingAfterBreak="0">
    <w:nsid w:val="50EF2B03"/>
    <w:multiLevelType w:val="hybridMultilevel"/>
    <w:tmpl w:val="00424382"/>
    <w:lvl w:ilvl="0" w:tplc="76C867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7E403410"/>
    <w:multiLevelType w:val="multilevel"/>
    <w:tmpl w:val="1DA493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3"/>
  </w:num>
  <w:num w:numId="3">
    <w:abstractNumId w:val="3"/>
  </w:num>
  <w:num w:numId="4">
    <w:abstractNumId w:val="15"/>
  </w:num>
  <w:num w:numId="5">
    <w:abstractNumId w:val="10"/>
  </w:num>
  <w:num w:numId="6">
    <w:abstractNumId w:val="9"/>
  </w:num>
  <w:num w:numId="7">
    <w:abstractNumId w:val="4"/>
  </w:num>
  <w:num w:numId="8">
    <w:abstractNumId w:val="6"/>
  </w:num>
  <w:num w:numId="9">
    <w:abstractNumId w:val="8"/>
  </w:num>
  <w:num w:numId="10">
    <w:abstractNumId w:val="11"/>
  </w:num>
  <w:num w:numId="11">
    <w:abstractNumId w:val="13"/>
  </w:num>
  <w:num w:numId="12">
    <w:abstractNumId w:val="5"/>
  </w:num>
  <w:num w:numId="13">
    <w:abstractNumId w:val="1"/>
  </w:num>
  <w:num w:numId="14">
    <w:abstractNumId w:val="14"/>
  </w:num>
  <w:num w:numId="15">
    <w:abstractNumId w:val="7"/>
  </w:num>
  <w:num w:numId="16">
    <w:abstractNumId w:val="12"/>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2A"/>
    <w:rsid w:val="000126A3"/>
    <w:rsid w:val="000203F3"/>
    <w:rsid w:val="00022E3C"/>
    <w:rsid w:val="00033087"/>
    <w:rsid w:val="00033F22"/>
    <w:rsid w:val="000356BD"/>
    <w:rsid w:val="0004405D"/>
    <w:rsid w:val="00045F11"/>
    <w:rsid w:val="0004746A"/>
    <w:rsid w:val="00052A4F"/>
    <w:rsid w:val="0006186E"/>
    <w:rsid w:val="000627B0"/>
    <w:rsid w:val="00066B0C"/>
    <w:rsid w:val="00072919"/>
    <w:rsid w:val="000756A8"/>
    <w:rsid w:val="00093791"/>
    <w:rsid w:val="00095F50"/>
    <w:rsid w:val="000B0D10"/>
    <w:rsid w:val="000B1ECA"/>
    <w:rsid w:val="000B67D8"/>
    <w:rsid w:val="000D0B1C"/>
    <w:rsid w:val="000D3171"/>
    <w:rsid w:val="000E34D4"/>
    <w:rsid w:val="000E6E4F"/>
    <w:rsid w:val="000E7556"/>
    <w:rsid w:val="00102F2A"/>
    <w:rsid w:val="00106269"/>
    <w:rsid w:val="00110A05"/>
    <w:rsid w:val="00114B2F"/>
    <w:rsid w:val="00133358"/>
    <w:rsid w:val="00137EFF"/>
    <w:rsid w:val="001425F4"/>
    <w:rsid w:val="00163C9F"/>
    <w:rsid w:val="00175E7D"/>
    <w:rsid w:val="00190B04"/>
    <w:rsid w:val="00197F2E"/>
    <w:rsid w:val="001A07FC"/>
    <w:rsid w:val="001A2BEB"/>
    <w:rsid w:val="001B28DE"/>
    <w:rsid w:val="001C1840"/>
    <w:rsid w:val="001E0731"/>
    <w:rsid w:val="001E192A"/>
    <w:rsid w:val="001E213B"/>
    <w:rsid w:val="001E6F39"/>
    <w:rsid w:val="001F4940"/>
    <w:rsid w:val="001F59DA"/>
    <w:rsid w:val="001F633E"/>
    <w:rsid w:val="00216724"/>
    <w:rsid w:val="00221C4A"/>
    <w:rsid w:val="00224C7E"/>
    <w:rsid w:val="00225009"/>
    <w:rsid w:val="002305A0"/>
    <w:rsid w:val="00247655"/>
    <w:rsid w:val="00271BCA"/>
    <w:rsid w:val="0027526A"/>
    <w:rsid w:val="002C0406"/>
    <w:rsid w:val="002D24DA"/>
    <w:rsid w:val="002E7A7A"/>
    <w:rsid w:val="002F357E"/>
    <w:rsid w:val="00314884"/>
    <w:rsid w:val="0031547F"/>
    <w:rsid w:val="00335E75"/>
    <w:rsid w:val="00345C41"/>
    <w:rsid w:val="00350171"/>
    <w:rsid w:val="0035263F"/>
    <w:rsid w:val="00357B11"/>
    <w:rsid w:val="00374572"/>
    <w:rsid w:val="00377E2F"/>
    <w:rsid w:val="003867B2"/>
    <w:rsid w:val="00392BAA"/>
    <w:rsid w:val="003A0D57"/>
    <w:rsid w:val="003A403B"/>
    <w:rsid w:val="003A5F92"/>
    <w:rsid w:val="003A6CAA"/>
    <w:rsid w:val="003C1BC9"/>
    <w:rsid w:val="003C4274"/>
    <w:rsid w:val="003C76FB"/>
    <w:rsid w:val="003D6766"/>
    <w:rsid w:val="00401284"/>
    <w:rsid w:val="00417B1F"/>
    <w:rsid w:val="00422F55"/>
    <w:rsid w:val="004400C5"/>
    <w:rsid w:val="00444D3C"/>
    <w:rsid w:val="004473FF"/>
    <w:rsid w:val="004704E7"/>
    <w:rsid w:val="00471EAB"/>
    <w:rsid w:val="00477775"/>
    <w:rsid w:val="00492A13"/>
    <w:rsid w:val="004C157C"/>
    <w:rsid w:val="004D2792"/>
    <w:rsid w:val="004E0354"/>
    <w:rsid w:val="004E4C97"/>
    <w:rsid w:val="004F7E5E"/>
    <w:rsid w:val="00503401"/>
    <w:rsid w:val="0051548F"/>
    <w:rsid w:val="00526983"/>
    <w:rsid w:val="005468FA"/>
    <w:rsid w:val="005934F7"/>
    <w:rsid w:val="005A2039"/>
    <w:rsid w:val="005A32E3"/>
    <w:rsid w:val="005A6681"/>
    <w:rsid w:val="005B22EF"/>
    <w:rsid w:val="005B71DB"/>
    <w:rsid w:val="005D0A33"/>
    <w:rsid w:val="005D608B"/>
    <w:rsid w:val="005E7F01"/>
    <w:rsid w:val="005F3756"/>
    <w:rsid w:val="005F6849"/>
    <w:rsid w:val="005F70CA"/>
    <w:rsid w:val="006202AA"/>
    <w:rsid w:val="00631354"/>
    <w:rsid w:val="00632C30"/>
    <w:rsid w:val="0064120A"/>
    <w:rsid w:val="00674F0A"/>
    <w:rsid w:val="00685024"/>
    <w:rsid w:val="0069247F"/>
    <w:rsid w:val="00692B0B"/>
    <w:rsid w:val="006A0169"/>
    <w:rsid w:val="006A3AEE"/>
    <w:rsid w:val="006B1C5D"/>
    <w:rsid w:val="006E2FF8"/>
    <w:rsid w:val="006E3B8B"/>
    <w:rsid w:val="006F330D"/>
    <w:rsid w:val="0070100A"/>
    <w:rsid w:val="007155A1"/>
    <w:rsid w:val="00735C7F"/>
    <w:rsid w:val="0074745C"/>
    <w:rsid w:val="00747D69"/>
    <w:rsid w:val="0075414E"/>
    <w:rsid w:val="00755247"/>
    <w:rsid w:val="0075689A"/>
    <w:rsid w:val="00775BDF"/>
    <w:rsid w:val="00780EF6"/>
    <w:rsid w:val="007B1F82"/>
    <w:rsid w:val="007B3C8C"/>
    <w:rsid w:val="007B4A13"/>
    <w:rsid w:val="007D24A3"/>
    <w:rsid w:val="007F49A5"/>
    <w:rsid w:val="007F7B9B"/>
    <w:rsid w:val="00807523"/>
    <w:rsid w:val="00807EF6"/>
    <w:rsid w:val="008161E6"/>
    <w:rsid w:val="00820E13"/>
    <w:rsid w:val="008309E8"/>
    <w:rsid w:val="008338A8"/>
    <w:rsid w:val="00842614"/>
    <w:rsid w:val="00865665"/>
    <w:rsid w:val="00892F59"/>
    <w:rsid w:val="00894FD0"/>
    <w:rsid w:val="008A5254"/>
    <w:rsid w:val="008C162A"/>
    <w:rsid w:val="008C4B86"/>
    <w:rsid w:val="008F4B10"/>
    <w:rsid w:val="00921A20"/>
    <w:rsid w:val="00921C18"/>
    <w:rsid w:val="009249E5"/>
    <w:rsid w:val="009258D1"/>
    <w:rsid w:val="00925A18"/>
    <w:rsid w:val="00926C15"/>
    <w:rsid w:val="00935287"/>
    <w:rsid w:val="00943D92"/>
    <w:rsid w:val="00947C24"/>
    <w:rsid w:val="0095253A"/>
    <w:rsid w:val="00967916"/>
    <w:rsid w:val="00977F51"/>
    <w:rsid w:val="009A11A6"/>
    <w:rsid w:val="009B0944"/>
    <w:rsid w:val="009B4576"/>
    <w:rsid w:val="009B725C"/>
    <w:rsid w:val="009C4110"/>
    <w:rsid w:val="009D5D3E"/>
    <w:rsid w:val="009E11EE"/>
    <w:rsid w:val="009E135C"/>
    <w:rsid w:val="00A014E2"/>
    <w:rsid w:val="00A17E41"/>
    <w:rsid w:val="00A36467"/>
    <w:rsid w:val="00A40CD2"/>
    <w:rsid w:val="00A41256"/>
    <w:rsid w:val="00A43DDD"/>
    <w:rsid w:val="00A45A83"/>
    <w:rsid w:val="00A500C7"/>
    <w:rsid w:val="00A5068D"/>
    <w:rsid w:val="00A51241"/>
    <w:rsid w:val="00A66740"/>
    <w:rsid w:val="00A6702B"/>
    <w:rsid w:val="00A67635"/>
    <w:rsid w:val="00A8473B"/>
    <w:rsid w:val="00A94549"/>
    <w:rsid w:val="00AC27D6"/>
    <w:rsid w:val="00AD37E3"/>
    <w:rsid w:val="00AE0614"/>
    <w:rsid w:val="00AE3511"/>
    <w:rsid w:val="00AE4572"/>
    <w:rsid w:val="00AE542B"/>
    <w:rsid w:val="00B21CE8"/>
    <w:rsid w:val="00B40D2F"/>
    <w:rsid w:val="00B47AD3"/>
    <w:rsid w:val="00B47D41"/>
    <w:rsid w:val="00B7339D"/>
    <w:rsid w:val="00B86686"/>
    <w:rsid w:val="00B942CE"/>
    <w:rsid w:val="00BA1452"/>
    <w:rsid w:val="00BA60D3"/>
    <w:rsid w:val="00BA78F9"/>
    <w:rsid w:val="00BB1BC1"/>
    <w:rsid w:val="00BB6FD9"/>
    <w:rsid w:val="00BD01B6"/>
    <w:rsid w:val="00BD587A"/>
    <w:rsid w:val="00BD62CA"/>
    <w:rsid w:val="00BF4400"/>
    <w:rsid w:val="00C2360C"/>
    <w:rsid w:val="00C26D5D"/>
    <w:rsid w:val="00C41341"/>
    <w:rsid w:val="00C43A57"/>
    <w:rsid w:val="00C5017E"/>
    <w:rsid w:val="00C52D99"/>
    <w:rsid w:val="00C575BB"/>
    <w:rsid w:val="00C80F7F"/>
    <w:rsid w:val="00C843F3"/>
    <w:rsid w:val="00CB1D28"/>
    <w:rsid w:val="00CC742A"/>
    <w:rsid w:val="00CC7EBC"/>
    <w:rsid w:val="00CD660D"/>
    <w:rsid w:val="00D1089F"/>
    <w:rsid w:val="00D2173F"/>
    <w:rsid w:val="00D22358"/>
    <w:rsid w:val="00D22A39"/>
    <w:rsid w:val="00D519E9"/>
    <w:rsid w:val="00D553A0"/>
    <w:rsid w:val="00D6461F"/>
    <w:rsid w:val="00D7128B"/>
    <w:rsid w:val="00D9324E"/>
    <w:rsid w:val="00DA10E1"/>
    <w:rsid w:val="00DA16FD"/>
    <w:rsid w:val="00DE1F30"/>
    <w:rsid w:val="00DF0277"/>
    <w:rsid w:val="00E03B24"/>
    <w:rsid w:val="00E04931"/>
    <w:rsid w:val="00E15768"/>
    <w:rsid w:val="00E214C4"/>
    <w:rsid w:val="00E32D88"/>
    <w:rsid w:val="00E35543"/>
    <w:rsid w:val="00E36636"/>
    <w:rsid w:val="00E50E73"/>
    <w:rsid w:val="00E63465"/>
    <w:rsid w:val="00E75D83"/>
    <w:rsid w:val="00E81F28"/>
    <w:rsid w:val="00E843B1"/>
    <w:rsid w:val="00E96B50"/>
    <w:rsid w:val="00EA3009"/>
    <w:rsid w:val="00EA53AA"/>
    <w:rsid w:val="00EB2E56"/>
    <w:rsid w:val="00ED73D6"/>
    <w:rsid w:val="00EE5859"/>
    <w:rsid w:val="00EF07A0"/>
    <w:rsid w:val="00EF5630"/>
    <w:rsid w:val="00EF739A"/>
    <w:rsid w:val="00F0199B"/>
    <w:rsid w:val="00F05FB4"/>
    <w:rsid w:val="00F353AF"/>
    <w:rsid w:val="00F5303C"/>
    <w:rsid w:val="00F6147E"/>
    <w:rsid w:val="00F62B9E"/>
    <w:rsid w:val="00F72078"/>
    <w:rsid w:val="00F73A02"/>
    <w:rsid w:val="00F85A80"/>
    <w:rsid w:val="00F947AC"/>
    <w:rsid w:val="00FB183B"/>
    <w:rsid w:val="00FB295F"/>
    <w:rsid w:val="00FB41D3"/>
    <w:rsid w:val="00FB5D01"/>
    <w:rsid w:val="00FC0237"/>
    <w:rsid w:val="00FC0E93"/>
    <w:rsid w:val="00FD2FDD"/>
    <w:rsid w:val="00FE2B69"/>
    <w:rsid w:val="00FF3BA2"/>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2C19E"/>
  <w15:docId w15:val="{DA1C6BEF-9610-4A10-97B8-354C3F65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aliases w:val="Char,Diagrama"/>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175E7D"/>
    <w:pPr>
      <w:ind w:left="720"/>
      <w:contextualSpacing/>
    </w:pPr>
  </w:style>
  <w:style w:type="paragraph" w:styleId="Puslapioinaostekstas">
    <w:name w:val="footnote text"/>
    <w:basedOn w:val="prastasis"/>
    <w:link w:val="PuslapioinaostekstasDiagrama"/>
    <w:semiHidden/>
    <w:unhideWhenUsed/>
    <w:rsid w:val="003867B2"/>
    <w:rPr>
      <w:sz w:val="20"/>
      <w:szCs w:val="20"/>
    </w:rPr>
  </w:style>
  <w:style w:type="character" w:customStyle="1" w:styleId="PuslapioinaostekstasDiagrama">
    <w:name w:val="Puslapio išnašos tekstas Diagrama"/>
    <w:basedOn w:val="Numatytasispastraiposriftas"/>
    <w:link w:val="Puslapioinaostekstas"/>
    <w:semiHidden/>
    <w:rsid w:val="003867B2"/>
    <w:rPr>
      <w:lang w:eastAsia="ar-SA"/>
    </w:rPr>
  </w:style>
  <w:style w:type="character" w:styleId="Puslapioinaosnuoroda">
    <w:name w:val="footnote reference"/>
    <w:basedOn w:val="Numatytasispastraiposriftas"/>
    <w:semiHidden/>
    <w:unhideWhenUsed/>
    <w:rsid w:val="003867B2"/>
    <w:rPr>
      <w:vertAlign w:val="superscript"/>
    </w:rPr>
  </w:style>
  <w:style w:type="character" w:customStyle="1" w:styleId="AntratsDiagrama">
    <w:name w:val="Antraštės Diagrama"/>
    <w:aliases w:val="Char Diagrama,Diagrama Diagrama"/>
    <w:basedOn w:val="Numatytasispastraiposriftas"/>
    <w:link w:val="Antrats"/>
    <w:uiPriority w:val="99"/>
    <w:qFormat/>
    <w:rsid w:val="008338A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669088979">
      <w:bodyDiv w:val="1"/>
      <w:marLeft w:val="0"/>
      <w:marRight w:val="0"/>
      <w:marTop w:val="0"/>
      <w:marBottom w:val="0"/>
      <w:divBdr>
        <w:top w:val="none" w:sz="0" w:space="0" w:color="auto"/>
        <w:left w:val="none" w:sz="0" w:space="0" w:color="auto"/>
        <w:bottom w:val="none" w:sz="0" w:space="0" w:color="auto"/>
        <w:right w:val="none" w:sz="0" w:space="0" w:color="auto"/>
      </w:divBdr>
    </w:div>
    <w:div w:id="208976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ae1272400a0911ebbedbd456d2fb030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us.miliunas@t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utvydas.zekas@tm.lt" TargetMode="External"/><Relationship Id="rId4" Type="http://schemas.openxmlformats.org/officeDocument/2006/relationships/settings" Target="settings.xml"/><Relationship Id="rId9" Type="http://schemas.openxmlformats.org/officeDocument/2006/relationships/hyperlink" Target="mailto:sonata.gendvilaite@tm.l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52619-E866-4FE8-BF6F-3D3D0327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9087</Words>
  <Characters>5180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Saulius Kunickis</cp:lastModifiedBy>
  <cp:revision>2</cp:revision>
  <cp:lastPrinted>2020-07-28T08:08:00Z</cp:lastPrinted>
  <dcterms:created xsi:type="dcterms:W3CDTF">2020-10-20T13:17:00Z</dcterms:created>
  <dcterms:modified xsi:type="dcterms:W3CDTF">2020-10-20T13:17:00Z</dcterms:modified>
</cp:coreProperties>
</file>