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C6" w:rsidRPr="000306DC" w:rsidRDefault="007A1EC6" w:rsidP="007A1EC6">
      <w:pPr>
        <w:jc w:val="center"/>
        <w:rPr>
          <w:b/>
          <w:szCs w:val="24"/>
          <w:lang w:eastAsia="lt-LT"/>
        </w:rPr>
      </w:pPr>
      <w:r w:rsidRPr="000306DC">
        <w:rPr>
          <w:b/>
          <w:szCs w:val="24"/>
          <w:lang w:eastAsia="lt-LT"/>
        </w:rPr>
        <w:t>TEISĖS AKTŲ PROJEKTŲ ANTIKORUPCINIO VERTINIMO PAŽYMA</w:t>
      </w:r>
    </w:p>
    <w:p w:rsidR="007A1EC6" w:rsidRPr="000306DC" w:rsidRDefault="007A1EC6" w:rsidP="007A1EC6">
      <w:pPr>
        <w:rPr>
          <w:szCs w:val="24"/>
          <w:lang w:eastAsia="lt-LT"/>
        </w:rPr>
      </w:pPr>
    </w:p>
    <w:p w:rsidR="007A1EC6" w:rsidRPr="000306DC" w:rsidRDefault="007A1EC6" w:rsidP="00E43A9E">
      <w:pPr>
        <w:ind w:firstLine="720"/>
        <w:jc w:val="both"/>
        <w:rPr>
          <w:szCs w:val="24"/>
        </w:rPr>
      </w:pPr>
      <w:r w:rsidRPr="000306DC">
        <w:rPr>
          <w:szCs w:val="24"/>
        </w:rPr>
        <w:t xml:space="preserve">Teisės akto projekto pavadinimas: </w:t>
      </w:r>
      <w:r w:rsidR="00E43A9E">
        <w:rPr>
          <w:szCs w:val="24"/>
        </w:rPr>
        <w:t>Lietuvos Respublikos finansinio tvarumo įstatymo Nr. XI</w:t>
      </w:r>
      <w:r w:rsidR="00E43A9E" w:rsidRPr="00E43A9E">
        <w:rPr>
          <w:szCs w:val="24"/>
        </w:rPr>
        <w:t xml:space="preserve">-393 1, 2, 3, 12, 13, 16, 18, 19, 21, 22, 23, 24, 25, 26, 28, 42, 46, 48, 50, 51, 52, 53, 54, 55, 58, 59, 60, </w:t>
      </w:r>
      <w:r w:rsidR="002A02F0">
        <w:rPr>
          <w:szCs w:val="24"/>
        </w:rPr>
        <w:t>66, 77, 78, 80, 81, 82, 87,</w:t>
      </w:r>
      <w:r w:rsidR="00E43A9E" w:rsidRPr="00E43A9E">
        <w:rPr>
          <w:szCs w:val="24"/>
        </w:rPr>
        <w:t xml:space="preserve"> 10</w:t>
      </w:r>
      <w:r w:rsidR="00E43A9E">
        <w:rPr>
          <w:szCs w:val="24"/>
        </w:rPr>
        <w:t>7, 108, 113, 116</w:t>
      </w:r>
      <w:r w:rsidR="002A02F0">
        <w:rPr>
          <w:szCs w:val="24"/>
        </w:rPr>
        <w:t>, 128</w:t>
      </w:r>
      <w:r w:rsidR="00E43A9E">
        <w:rPr>
          <w:szCs w:val="24"/>
        </w:rPr>
        <w:t xml:space="preserve"> straipsnių, III</w:t>
      </w:r>
      <w:r w:rsidR="00E43A9E" w:rsidRPr="00E43A9E">
        <w:rPr>
          <w:szCs w:val="24"/>
        </w:rPr>
        <w:t xml:space="preserve"> skyriaus ketvirtojo skirsnio pavadinimo, priedo pakeitimo,</w:t>
      </w:r>
      <w:r w:rsidR="00E43A9E">
        <w:rPr>
          <w:szCs w:val="24"/>
        </w:rPr>
        <w:t xml:space="preserve"> </w:t>
      </w:r>
      <w:r w:rsidR="00E43A9E" w:rsidRPr="00E43A9E">
        <w:rPr>
          <w:szCs w:val="24"/>
        </w:rPr>
        <w:t>įstatymo papildymo 21</w:t>
      </w:r>
      <w:r w:rsidR="00E43A9E" w:rsidRPr="00A91D77">
        <w:rPr>
          <w:szCs w:val="24"/>
          <w:vertAlign w:val="superscript"/>
        </w:rPr>
        <w:t>1</w:t>
      </w:r>
      <w:r w:rsidR="00E43A9E" w:rsidRPr="00E43A9E">
        <w:rPr>
          <w:szCs w:val="24"/>
        </w:rPr>
        <w:t>, 25</w:t>
      </w:r>
      <w:r w:rsidR="00E43A9E" w:rsidRPr="00A91D77">
        <w:rPr>
          <w:szCs w:val="24"/>
          <w:vertAlign w:val="superscript"/>
        </w:rPr>
        <w:t>1</w:t>
      </w:r>
      <w:r w:rsidR="00E43A9E" w:rsidRPr="00E43A9E">
        <w:rPr>
          <w:szCs w:val="24"/>
        </w:rPr>
        <w:t>, 25</w:t>
      </w:r>
      <w:r w:rsidR="00E43A9E" w:rsidRPr="00A91D77">
        <w:rPr>
          <w:szCs w:val="24"/>
          <w:vertAlign w:val="superscript"/>
        </w:rPr>
        <w:t>2</w:t>
      </w:r>
      <w:r w:rsidR="00E43A9E" w:rsidRPr="00E43A9E">
        <w:rPr>
          <w:szCs w:val="24"/>
        </w:rPr>
        <w:t>, 25</w:t>
      </w:r>
      <w:r w:rsidR="00E43A9E" w:rsidRPr="00A91D77">
        <w:rPr>
          <w:szCs w:val="24"/>
          <w:vertAlign w:val="superscript"/>
        </w:rPr>
        <w:t>3</w:t>
      </w:r>
      <w:r w:rsidR="00E43A9E" w:rsidRPr="00E43A9E">
        <w:rPr>
          <w:szCs w:val="24"/>
        </w:rPr>
        <w:t>, 25</w:t>
      </w:r>
      <w:r w:rsidR="00E43A9E" w:rsidRPr="00A91D77">
        <w:rPr>
          <w:szCs w:val="24"/>
          <w:vertAlign w:val="superscript"/>
        </w:rPr>
        <w:t>4</w:t>
      </w:r>
      <w:r w:rsidR="00E43A9E" w:rsidRPr="00E43A9E">
        <w:rPr>
          <w:szCs w:val="24"/>
        </w:rPr>
        <w:t>, 26</w:t>
      </w:r>
      <w:r w:rsidR="00E43A9E" w:rsidRPr="00A91D77">
        <w:rPr>
          <w:szCs w:val="24"/>
          <w:vertAlign w:val="superscript"/>
        </w:rPr>
        <w:t>1</w:t>
      </w:r>
      <w:r w:rsidR="00E43A9E" w:rsidRPr="00E43A9E">
        <w:rPr>
          <w:szCs w:val="24"/>
        </w:rPr>
        <w:t>, 26</w:t>
      </w:r>
      <w:r w:rsidR="00E43A9E" w:rsidRPr="00A91D77">
        <w:rPr>
          <w:szCs w:val="24"/>
          <w:vertAlign w:val="superscript"/>
        </w:rPr>
        <w:t>2</w:t>
      </w:r>
      <w:r w:rsidR="00E43A9E" w:rsidRPr="00E43A9E">
        <w:rPr>
          <w:szCs w:val="24"/>
        </w:rPr>
        <w:t>, 26</w:t>
      </w:r>
      <w:r w:rsidR="00E43A9E" w:rsidRPr="00A91D77">
        <w:rPr>
          <w:szCs w:val="24"/>
          <w:vertAlign w:val="superscript"/>
        </w:rPr>
        <w:t>3</w:t>
      </w:r>
      <w:r w:rsidR="00E43A9E" w:rsidRPr="00E43A9E">
        <w:rPr>
          <w:szCs w:val="24"/>
        </w:rPr>
        <w:t>, 26</w:t>
      </w:r>
      <w:r w:rsidR="00E43A9E" w:rsidRPr="00A91D77">
        <w:rPr>
          <w:szCs w:val="24"/>
          <w:vertAlign w:val="superscript"/>
        </w:rPr>
        <w:t>4</w:t>
      </w:r>
      <w:r w:rsidR="00E43A9E" w:rsidRPr="00E43A9E">
        <w:rPr>
          <w:szCs w:val="24"/>
        </w:rPr>
        <w:t>, 26</w:t>
      </w:r>
      <w:r w:rsidR="00E43A9E" w:rsidRPr="00A91D77">
        <w:rPr>
          <w:szCs w:val="24"/>
          <w:vertAlign w:val="superscript"/>
        </w:rPr>
        <w:t>5</w:t>
      </w:r>
      <w:r w:rsidR="00E43A9E" w:rsidRPr="00E43A9E">
        <w:rPr>
          <w:szCs w:val="24"/>
        </w:rPr>
        <w:t>, 26</w:t>
      </w:r>
      <w:r w:rsidR="00E43A9E" w:rsidRPr="00A91D77">
        <w:rPr>
          <w:szCs w:val="24"/>
          <w:vertAlign w:val="superscript"/>
        </w:rPr>
        <w:t>6</w:t>
      </w:r>
      <w:r w:rsidR="00E43A9E" w:rsidRPr="00E43A9E">
        <w:rPr>
          <w:szCs w:val="24"/>
        </w:rPr>
        <w:t>, 49</w:t>
      </w:r>
      <w:r w:rsidR="00E43A9E" w:rsidRPr="00A91D77">
        <w:rPr>
          <w:szCs w:val="24"/>
          <w:vertAlign w:val="superscript"/>
        </w:rPr>
        <w:t>1</w:t>
      </w:r>
      <w:r w:rsidR="00E43A9E" w:rsidRPr="00E43A9E">
        <w:rPr>
          <w:szCs w:val="24"/>
        </w:rPr>
        <w:t>, 52</w:t>
      </w:r>
      <w:r w:rsidR="00E43A9E" w:rsidRPr="00A91D77">
        <w:rPr>
          <w:szCs w:val="24"/>
          <w:vertAlign w:val="superscript"/>
        </w:rPr>
        <w:t>1</w:t>
      </w:r>
      <w:r w:rsidR="00D16101">
        <w:rPr>
          <w:szCs w:val="24"/>
        </w:rPr>
        <w:t>,</w:t>
      </w:r>
      <w:bookmarkStart w:id="0" w:name="_GoBack"/>
      <w:bookmarkEnd w:id="0"/>
      <w:r w:rsidR="00E43A9E" w:rsidRPr="00E43A9E">
        <w:rPr>
          <w:szCs w:val="24"/>
        </w:rPr>
        <w:t xml:space="preserve"> 101</w:t>
      </w:r>
      <w:r w:rsidR="00E43A9E" w:rsidRPr="00A91D77">
        <w:rPr>
          <w:szCs w:val="24"/>
          <w:vertAlign w:val="superscript"/>
        </w:rPr>
        <w:t>1</w:t>
      </w:r>
      <w:r w:rsidR="00E43A9E" w:rsidRPr="00E43A9E">
        <w:rPr>
          <w:szCs w:val="24"/>
        </w:rPr>
        <w:t xml:space="preserve"> straipsniais ir 27 straipsnio pripažinimo netekusiu galios</w:t>
      </w:r>
      <w:r w:rsidR="00C92878">
        <w:rPr>
          <w:szCs w:val="24"/>
        </w:rPr>
        <w:t xml:space="preserve"> įstatymo projektas</w:t>
      </w:r>
      <w:r w:rsidR="00265BC9" w:rsidRPr="000306DC">
        <w:rPr>
          <w:szCs w:val="24"/>
        </w:rPr>
        <w:t xml:space="preserve"> </w:t>
      </w:r>
      <w:r w:rsidR="004147D3" w:rsidRPr="000306DC">
        <w:rPr>
          <w:szCs w:val="24"/>
        </w:rPr>
        <w:t>(toliau – Įstatymo projektas).</w:t>
      </w:r>
    </w:p>
    <w:p w:rsidR="007A1EC6" w:rsidRPr="000306DC" w:rsidRDefault="007A1EC6" w:rsidP="007A1EC6">
      <w:pPr>
        <w:ind w:firstLine="720"/>
        <w:jc w:val="both"/>
        <w:rPr>
          <w:szCs w:val="24"/>
        </w:rPr>
      </w:pPr>
      <w:r w:rsidRPr="000306DC">
        <w:rPr>
          <w:szCs w:val="24"/>
        </w:rPr>
        <w:t>Teisės akto projekto tiesioginis rengėjas: Finansų ministerijos Finansų rinkų politikos departamento Kredito ir mok</w:t>
      </w:r>
      <w:r w:rsidR="00E43A9E">
        <w:rPr>
          <w:szCs w:val="24"/>
        </w:rPr>
        <w:t>ėjimo rinkų skyriaus vyriausiasis specialistas</w:t>
      </w:r>
      <w:r w:rsidRPr="000306DC">
        <w:rPr>
          <w:szCs w:val="24"/>
        </w:rPr>
        <w:t xml:space="preserve"> </w:t>
      </w:r>
      <w:r w:rsidR="00E43A9E">
        <w:rPr>
          <w:szCs w:val="24"/>
        </w:rPr>
        <w:t>Paulius Mačionis</w:t>
      </w:r>
      <w:r w:rsidRPr="000306DC">
        <w:rPr>
          <w:szCs w:val="24"/>
        </w:rPr>
        <w:t>.</w:t>
      </w:r>
    </w:p>
    <w:p w:rsidR="007A1EC6" w:rsidRPr="000306DC" w:rsidRDefault="007A1EC6" w:rsidP="007A1EC6">
      <w:pPr>
        <w:ind w:firstLine="720"/>
        <w:jc w:val="both"/>
        <w:rPr>
          <w:szCs w:val="24"/>
        </w:rPr>
      </w:pPr>
      <w:r w:rsidRPr="00EC3772">
        <w:rPr>
          <w:szCs w:val="24"/>
        </w:rPr>
        <w:t>Antikorupciniu požiūriu rizikingos teisės akto projekto nuostatos</w:t>
      </w:r>
      <w:r w:rsidRPr="00EC3772">
        <w:rPr>
          <w:b/>
          <w:szCs w:val="24"/>
        </w:rPr>
        <w:t xml:space="preserve"> </w:t>
      </w:r>
      <w:r w:rsidRPr="00EC3772">
        <w:rPr>
          <w:i/>
          <w:szCs w:val="24"/>
        </w:rPr>
        <w:t>(nurodyti kriterijaus numerį, kurį taikant nustatytai korupcijos rizikai šalinti ar valdyti teisės akto projekte nenumatyta priemonių)</w:t>
      </w:r>
      <w:r w:rsidRPr="00EC3772">
        <w:rPr>
          <w:szCs w:val="24"/>
        </w:rPr>
        <w:t>: nėra.</w:t>
      </w:r>
    </w:p>
    <w:p w:rsidR="007A1EC6" w:rsidRPr="000306DC" w:rsidRDefault="007A1EC6" w:rsidP="007A1EC6">
      <w:pPr>
        <w:ind w:firstLine="720"/>
        <w:jc w:val="both"/>
        <w:rPr>
          <w:szCs w:val="24"/>
        </w:rPr>
      </w:pPr>
      <w:r w:rsidRPr="000306DC">
        <w:rPr>
          <w:szCs w:val="24"/>
        </w:rPr>
        <w:t xml:space="preserve">Antikorupciniu požiūriu rizikingos teisės akto projekto nuostatos, nustatytos atliekant antikorupcinį vertinimą po </w:t>
      </w:r>
      <w:proofErr w:type="spellStart"/>
      <w:r w:rsidRPr="000306DC">
        <w:rPr>
          <w:szCs w:val="24"/>
        </w:rPr>
        <w:t>tarpinstitucinio</w:t>
      </w:r>
      <w:proofErr w:type="spellEnd"/>
      <w:r w:rsidRPr="000306DC">
        <w:rPr>
          <w:szCs w:val="24"/>
        </w:rPr>
        <w:t xml:space="preserve"> derinimo</w:t>
      </w:r>
      <w:r w:rsidRPr="000306DC">
        <w:rPr>
          <w:b/>
          <w:szCs w:val="24"/>
        </w:rPr>
        <w:t xml:space="preserve"> </w:t>
      </w:r>
      <w:r w:rsidRPr="000306DC">
        <w:rPr>
          <w:i/>
          <w:szCs w:val="24"/>
        </w:rPr>
        <w:t>(nurodyti kriterijaus numerį, kurį taikant nustatytai korupcijos rizikai šalinti ar valdyti teisės akto projekte nenumatyta priemonių)</w:t>
      </w:r>
      <w:r w:rsidRPr="000306DC">
        <w:rPr>
          <w:szCs w:val="24"/>
        </w:rPr>
        <w:t>:</w:t>
      </w:r>
    </w:p>
    <w:p w:rsidR="0030259E" w:rsidRPr="000306DC" w:rsidRDefault="0030259E" w:rsidP="0030259E">
      <w:pPr>
        <w:jc w:val="both"/>
        <w:rPr>
          <w:szCs w:val="24"/>
          <w:lang w:eastAsia="lt-LT"/>
        </w:rPr>
      </w:pPr>
    </w:p>
    <w:tbl>
      <w:tblPr>
        <w:tblStyle w:val="Lentelstinklelis"/>
        <w:tblW w:w="14555" w:type="dxa"/>
        <w:tblLook w:val="06A0" w:firstRow="1" w:lastRow="0" w:firstColumn="1" w:lastColumn="0" w:noHBand="1" w:noVBand="1"/>
      </w:tblPr>
      <w:tblGrid>
        <w:gridCol w:w="699"/>
        <w:gridCol w:w="3662"/>
        <w:gridCol w:w="4730"/>
        <w:gridCol w:w="3827"/>
        <w:gridCol w:w="1637"/>
      </w:tblGrid>
      <w:tr w:rsidR="0030259E" w:rsidRPr="00F00789" w:rsidTr="00FB2827">
        <w:trPr>
          <w:trHeight w:val="23"/>
        </w:trPr>
        <w:tc>
          <w:tcPr>
            <w:tcW w:w="699" w:type="dxa"/>
          </w:tcPr>
          <w:p w:rsidR="0030259E" w:rsidRPr="00F00789" w:rsidRDefault="0030259E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62" w:type="dxa"/>
          </w:tcPr>
          <w:p w:rsidR="0030259E" w:rsidRPr="00F00789" w:rsidRDefault="0030259E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Kriterijus</w:t>
            </w:r>
          </w:p>
        </w:tc>
        <w:tc>
          <w:tcPr>
            <w:tcW w:w="4730" w:type="dxa"/>
          </w:tcPr>
          <w:p w:rsidR="0030259E" w:rsidRPr="00F00789" w:rsidRDefault="0030259E" w:rsidP="00366AC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</w:tcPr>
          <w:p w:rsidR="0030259E" w:rsidRPr="00F00789" w:rsidRDefault="0030259E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1637" w:type="dxa"/>
          </w:tcPr>
          <w:p w:rsidR="0030259E" w:rsidRPr="00F00789" w:rsidRDefault="0030259E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Išvada dėl teisės akto projekto pakeitimų arba argumentų, kodėl neatsižvelgta į pastabą</w:t>
            </w:r>
          </w:p>
        </w:tc>
      </w:tr>
      <w:tr w:rsidR="0030259E" w:rsidRPr="00F00789" w:rsidTr="00FB2827">
        <w:trPr>
          <w:trHeight w:val="23"/>
        </w:trPr>
        <w:tc>
          <w:tcPr>
            <w:tcW w:w="699" w:type="dxa"/>
          </w:tcPr>
          <w:p w:rsidR="0030259E" w:rsidRPr="00F00789" w:rsidRDefault="0030259E" w:rsidP="00366AC4">
            <w:pPr>
              <w:jc w:val="center"/>
              <w:rPr>
                <w:i/>
                <w:sz w:val="22"/>
                <w:szCs w:val="22"/>
                <w:lang w:eastAsia="lt-LT"/>
              </w:rPr>
            </w:pPr>
          </w:p>
        </w:tc>
        <w:tc>
          <w:tcPr>
            <w:tcW w:w="3662" w:type="dxa"/>
          </w:tcPr>
          <w:p w:rsidR="0030259E" w:rsidRPr="00F00789" w:rsidRDefault="0030259E" w:rsidP="00366AC4">
            <w:pPr>
              <w:rPr>
                <w:i/>
                <w:sz w:val="22"/>
                <w:szCs w:val="22"/>
                <w:lang w:eastAsia="lt-LT"/>
              </w:rPr>
            </w:pPr>
          </w:p>
        </w:tc>
        <w:tc>
          <w:tcPr>
            <w:tcW w:w="4730" w:type="dxa"/>
          </w:tcPr>
          <w:p w:rsidR="0030259E" w:rsidRPr="00F00789" w:rsidRDefault="0030259E" w:rsidP="00366AC4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 w:rsidRPr="00F00789">
              <w:rPr>
                <w:i/>
                <w:sz w:val="22"/>
                <w:szCs w:val="22"/>
                <w:lang w:eastAsia="lt-LT"/>
              </w:rPr>
              <w:t>pildo teisės akto projekto vertintojas</w:t>
            </w:r>
          </w:p>
        </w:tc>
        <w:tc>
          <w:tcPr>
            <w:tcW w:w="3827" w:type="dxa"/>
          </w:tcPr>
          <w:p w:rsidR="0030259E" w:rsidRPr="00F00789" w:rsidRDefault="0030259E" w:rsidP="00366AC4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 w:rsidRPr="00F00789">
              <w:rPr>
                <w:i/>
                <w:sz w:val="22"/>
                <w:szCs w:val="22"/>
                <w:lang w:eastAsia="lt-LT"/>
              </w:rPr>
              <w:t>pildo teisės akto projekto tiesioginis rengėjas</w:t>
            </w:r>
          </w:p>
        </w:tc>
        <w:tc>
          <w:tcPr>
            <w:tcW w:w="1637" w:type="dxa"/>
          </w:tcPr>
          <w:p w:rsidR="0030259E" w:rsidRPr="00F00789" w:rsidRDefault="0030259E" w:rsidP="00366AC4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 w:rsidRPr="00F00789">
              <w:rPr>
                <w:i/>
                <w:sz w:val="22"/>
                <w:szCs w:val="22"/>
                <w:lang w:eastAsia="lt-LT"/>
              </w:rPr>
              <w:t>pildo teisės akto projekto vertintojas</w:t>
            </w:r>
          </w:p>
        </w:tc>
      </w:tr>
      <w:tr w:rsidR="0030259E" w:rsidRPr="00F00789" w:rsidTr="00FB2827">
        <w:trPr>
          <w:trHeight w:val="23"/>
        </w:trPr>
        <w:tc>
          <w:tcPr>
            <w:tcW w:w="699" w:type="dxa"/>
          </w:tcPr>
          <w:p w:rsidR="0030259E" w:rsidRPr="00F00789" w:rsidRDefault="0030259E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662" w:type="dxa"/>
          </w:tcPr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730" w:type="dxa"/>
          </w:tcPr>
          <w:p w:rsidR="0030259E" w:rsidRPr="00E43A9E" w:rsidRDefault="00516D1D" w:rsidP="000F2E84">
            <w:pPr>
              <w:ind w:firstLine="228"/>
              <w:jc w:val="both"/>
              <w:rPr>
                <w:sz w:val="22"/>
                <w:szCs w:val="22"/>
              </w:rPr>
            </w:pPr>
            <w:r w:rsidRPr="00F00789">
              <w:rPr>
                <w:sz w:val="22"/>
                <w:szCs w:val="22"/>
              </w:rPr>
              <w:t>Įstatymo projektu siūlomas reglamentavimas nesudaro išskirtinių ar nevienodų sąlygų</w:t>
            </w:r>
            <w:r w:rsidR="00E43A9E">
              <w:rPr>
                <w:sz w:val="22"/>
                <w:szCs w:val="22"/>
              </w:rPr>
              <w:t xml:space="preserve"> </w:t>
            </w:r>
            <w:r w:rsidR="000F2E84">
              <w:rPr>
                <w:sz w:val="22"/>
                <w:szCs w:val="22"/>
              </w:rPr>
              <w:t>subjektams, su kuriais susijęs teisės akto įgyvendinimas.</w:t>
            </w:r>
          </w:p>
        </w:tc>
        <w:tc>
          <w:tcPr>
            <w:tcW w:w="3827" w:type="dxa"/>
          </w:tcPr>
          <w:p w:rsidR="0030259E" w:rsidRPr="00F00789" w:rsidRDefault="0030259E" w:rsidP="00366AC4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30259E" w:rsidRPr="00F00789" w:rsidTr="00FB2827">
        <w:trPr>
          <w:trHeight w:val="23"/>
        </w:trPr>
        <w:tc>
          <w:tcPr>
            <w:tcW w:w="699" w:type="dxa"/>
          </w:tcPr>
          <w:p w:rsidR="0030259E" w:rsidRPr="00F00789" w:rsidRDefault="0030259E" w:rsidP="00366AC4">
            <w:pPr>
              <w:keepNext/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662" w:type="dxa"/>
          </w:tcPr>
          <w:p w:rsidR="0030259E" w:rsidRPr="00F00789" w:rsidRDefault="0030259E" w:rsidP="00366AC4">
            <w:pPr>
              <w:keepNext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4730" w:type="dxa"/>
          </w:tcPr>
          <w:p w:rsidR="0030259E" w:rsidRPr="00F00789" w:rsidRDefault="00516D1D" w:rsidP="00F949B3">
            <w:pPr>
              <w:keepNext/>
              <w:ind w:firstLine="228"/>
              <w:jc w:val="both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</w:rPr>
              <w:t>Spragų ar nuostatų, leisiančių dviprasmiškai aiškinti ir taikyti įstatymą, nenustatyta.</w:t>
            </w:r>
          </w:p>
        </w:tc>
        <w:tc>
          <w:tcPr>
            <w:tcW w:w="3827" w:type="dxa"/>
          </w:tcPr>
          <w:p w:rsidR="0030259E" w:rsidRPr="00F00789" w:rsidRDefault="0030259E" w:rsidP="00366AC4">
            <w:pPr>
              <w:keepNext/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30259E" w:rsidRPr="00F00789" w:rsidRDefault="0030259E" w:rsidP="00366AC4">
            <w:pPr>
              <w:keepNext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30259E" w:rsidRPr="00F00789" w:rsidRDefault="0030259E" w:rsidP="00366AC4">
            <w:pPr>
              <w:keepNext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30259E" w:rsidRPr="00F00789" w:rsidTr="00FB2827">
        <w:trPr>
          <w:trHeight w:val="23"/>
        </w:trPr>
        <w:tc>
          <w:tcPr>
            <w:tcW w:w="699" w:type="dxa"/>
          </w:tcPr>
          <w:p w:rsidR="0030259E" w:rsidRPr="00F00789" w:rsidRDefault="0030259E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662" w:type="dxa"/>
          </w:tcPr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 xml:space="preserve">Teisės akto projekte nustatyta, kad sprendimą dėl teisių suteikimo, apribojimų nustatymo, sankcijų taikymo ir panašiai priimantis subjektas atskirtas nuo šių sprendimų </w:t>
            </w:r>
            <w:r w:rsidRPr="00F00789">
              <w:rPr>
                <w:sz w:val="22"/>
                <w:szCs w:val="22"/>
                <w:lang w:eastAsia="lt-LT"/>
              </w:rPr>
              <w:lastRenderedPageBreak/>
              <w:t>teisėtumą ir įgyvendinimą kontroliuojančio (prižiūrinčio) subjekto</w:t>
            </w:r>
          </w:p>
        </w:tc>
        <w:tc>
          <w:tcPr>
            <w:tcW w:w="4730" w:type="dxa"/>
          </w:tcPr>
          <w:p w:rsidR="00F949B3" w:rsidRPr="000F2E84" w:rsidRDefault="00516D1D" w:rsidP="000F2E84">
            <w:pPr>
              <w:ind w:firstLine="228"/>
              <w:jc w:val="both"/>
              <w:rPr>
                <w:sz w:val="22"/>
                <w:szCs w:val="22"/>
                <w:highlight w:val="yellow"/>
              </w:rPr>
            </w:pPr>
            <w:r w:rsidRPr="000F2E84">
              <w:rPr>
                <w:sz w:val="22"/>
                <w:szCs w:val="22"/>
              </w:rPr>
              <w:lastRenderedPageBreak/>
              <w:t xml:space="preserve">Sprendimą </w:t>
            </w:r>
            <w:r w:rsidR="00F86D3F" w:rsidRPr="000F2E84">
              <w:rPr>
                <w:sz w:val="22"/>
                <w:szCs w:val="22"/>
              </w:rPr>
              <w:t>sutikimo išdavimo</w:t>
            </w:r>
            <w:r w:rsidR="003A6D38" w:rsidRPr="000F2E84">
              <w:rPr>
                <w:sz w:val="22"/>
                <w:szCs w:val="22"/>
              </w:rPr>
              <w:t xml:space="preserve"> </w:t>
            </w:r>
            <w:r w:rsidRPr="000F2E84">
              <w:rPr>
                <w:sz w:val="22"/>
                <w:szCs w:val="22"/>
              </w:rPr>
              <w:t xml:space="preserve">priimantis subjektas yra atskirtas nuo šių sprendimų </w:t>
            </w:r>
            <w:r w:rsidR="00C92878" w:rsidRPr="000F2E84">
              <w:rPr>
                <w:sz w:val="22"/>
                <w:szCs w:val="22"/>
              </w:rPr>
              <w:t>teisėtumą</w:t>
            </w:r>
            <w:r w:rsidRPr="000F2E84">
              <w:rPr>
                <w:sz w:val="22"/>
                <w:szCs w:val="22"/>
              </w:rPr>
              <w:t xml:space="preserve"> prižiūrinčio subjekto.</w:t>
            </w:r>
            <w:r w:rsidR="000F2E84" w:rsidRPr="000F2E84">
              <w:rPr>
                <w:sz w:val="22"/>
                <w:szCs w:val="22"/>
              </w:rPr>
              <w:t xml:space="preserve"> Įstatymo projekte numatomas pertvarkymo institucijos funkcijas atlieka Lietuvos bankas, priežiūros institucijos </w:t>
            </w:r>
            <w:r w:rsidR="000F2E84" w:rsidRPr="000F2E84">
              <w:rPr>
                <w:sz w:val="22"/>
                <w:szCs w:val="22"/>
              </w:rPr>
              <w:lastRenderedPageBreak/>
              <w:t xml:space="preserve">funkcijas – Lietuvos banko priežiūros taryba. </w:t>
            </w:r>
            <w:r w:rsidR="000F2E84" w:rsidRPr="000F2E84">
              <w:rPr>
                <w:sz w:val="22"/>
                <w:szCs w:val="22"/>
                <w:lang w:eastAsia="lt-LT"/>
              </w:rPr>
              <w:t>Priežiūros institucijos veiksmai ar neveikimas skundžiami Lietuvos Respublikos administracinių bylų teisenos įstatymo nustatyta tvarka.</w:t>
            </w:r>
          </w:p>
        </w:tc>
        <w:tc>
          <w:tcPr>
            <w:tcW w:w="3827" w:type="dxa"/>
          </w:tcPr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30259E" w:rsidRPr="00F00789" w:rsidTr="00F86D3F">
        <w:trPr>
          <w:trHeight w:val="1144"/>
        </w:trPr>
        <w:tc>
          <w:tcPr>
            <w:tcW w:w="699" w:type="dxa"/>
          </w:tcPr>
          <w:p w:rsidR="0030259E" w:rsidRPr="00F00789" w:rsidRDefault="0030259E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lastRenderedPageBreak/>
              <w:t>4.</w:t>
            </w:r>
          </w:p>
        </w:tc>
        <w:tc>
          <w:tcPr>
            <w:tcW w:w="3662" w:type="dxa"/>
          </w:tcPr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projekte nustatyti subjekto įgaliojimai (teisės) atitinka subjekto atliekamas funkcijas (pareigas)</w:t>
            </w:r>
          </w:p>
        </w:tc>
        <w:tc>
          <w:tcPr>
            <w:tcW w:w="4730" w:type="dxa"/>
          </w:tcPr>
          <w:p w:rsidR="0030259E" w:rsidRPr="00F00789" w:rsidRDefault="00C92878" w:rsidP="000F2E84">
            <w:pPr>
              <w:ind w:firstLine="228"/>
              <w:jc w:val="both"/>
              <w:rPr>
                <w:sz w:val="22"/>
                <w:szCs w:val="22"/>
                <w:lang w:eastAsia="lt-LT"/>
              </w:rPr>
            </w:pPr>
            <w:r w:rsidRPr="000F2E84">
              <w:rPr>
                <w:sz w:val="22"/>
                <w:szCs w:val="22"/>
              </w:rPr>
              <w:t xml:space="preserve">Įstatymo projekte nustatyti priežiūros institucijos įgaliojimai atitinka Lietuvos banko </w:t>
            </w:r>
            <w:r w:rsidR="000F2E84">
              <w:rPr>
                <w:sz w:val="22"/>
                <w:szCs w:val="22"/>
              </w:rPr>
              <w:t>įstatyme</w:t>
            </w:r>
            <w:r w:rsidRPr="000F2E84">
              <w:rPr>
                <w:sz w:val="22"/>
                <w:szCs w:val="22"/>
              </w:rPr>
              <w:t xml:space="preserve"> nustatytas </w:t>
            </w:r>
            <w:r w:rsidR="00175EC7" w:rsidRPr="000F2E84">
              <w:rPr>
                <w:sz w:val="22"/>
                <w:szCs w:val="22"/>
              </w:rPr>
              <w:t>funkcijas.</w:t>
            </w:r>
            <w:r w:rsidRPr="00F007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30259E" w:rsidRPr="00F00789" w:rsidTr="00FB2827">
        <w:trPr>
          <w:trHeight w:val="23"/>
        </w:trPr>
        <w:tc>
          <w:tcPr>
            <w:tcW w:w="699" w:type="dxa"/>
          </w:tcPr>
          <w:p w:rsidR="0030259E" w:rsidRPr="00F00789" w:rsidRDefault="0030259E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662" w:type="dxa"/>
          </w:tcPr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151C60">
              <w:rPr>
                <w:sz w:val="22"/>
                <w:szCs w:val="22"/>
                <w:lang w:eastAsia="lt-LT"/>
              </w:rPr>
              <w:t>Teisės akto projekte nustatytas baigtinis sprendimo priėmimo kriterijų (atvejų) sąrašas</w:t>
            </w:r>
          </w:p>
        </w:tc>
        <w:tc>
          <w:tcPr>
            <w:tcW w:w="4730" w:type="dxa"/>
          </w:tcPr>
          <w:p w:rsidR="00E51193" w:rsidRDefault="000F2E84" w:rsidP="009D4594">
            <w:pPr>
              <w:ind w:firstLine="228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Įstatymo projekte nustatytas baigtinis sprendimo priėmimo kriterijų (atvejų) skaičius:</w:t>
            </w:r>
          </w:p>
          <w:p w:rsidR="000F2E84" w:rsidRPr="000F2E84" w:rsidRDefault="000F2E84" w:rsidP="000F2E84">
            <w:pPr>
              <w:pStyle w:val="Sraopastraipa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Sąlygos, kurioms pasireiškus pertvarkymo institucija turi teisę </w:t>
            </w:r>
            <w:r w:rsidRPr="000F2E84">
              <w:rPr>
                <w:sz w:val="22"/>
                <w:szCs w:val="22"/>
                <w:lang w:eastAsia="lt-LT"/>
              </w:rPr>
              <w:t>uždrausti subjektui paskirstyti didesnę nei didžiausią galimą paskirstyti sumą, susijusią su minimalaus nuosavų lėšų ir tinkamų įsipareigojimų dydžio reikalavimu</w:t>
            </w:r>
            <w:r>
              <w:rPr>
                <w:sz w:val="22"/>
                <w:szCs w:val="22"/>
                <w:lang w:eastAsia="lt-LT"/>
              </w:rPr>
              <w:t>, apskaičiuojamą pagal nustatytus kriterijus (10 straipsnis);</w:t>
            </w:r>
          </w:p>
          <w:p w:rsidR="000F2E84" w:rsidRPr="000F2E84" w:rsidRDefault="000F2E84" w:rsidP="000F2E84">
            <w:pPr>
              <w:pStyle w:val="Sraopastraipa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Kriterijai, kuriais remdamasi pertvarkymo institucija priima sprendimą, ar subjektai, su kuriais</w:t>
            </w:r>
            <w:r w:rsidRPr="00F00789">
              <w:rPr>
                <w:sz w:val="22"/>
                <w:szCs w:val="22"/>
                <w:lang w:eastAsia="lt-LT"/>
              </w:rPr>
              <w:t xml:space="preserve"> susijęs teisės akto įgyvendinimas</w:t>
            </w:r>
            <w:r>
              <w:rPr>
                <w:sz w:val="22"/>
                <w:szCs w:val="22"/>
                <w:lang w:eastAsia="lt-LT"/>
              </w:rPr>
              <w:t xml:space="preserve">, turi imtis priemonių dėl </w:t>
            </w:r>
            <w:r w:rsidRPr="000F2E84">
              <w:rPr>
                <w:sz w:val="22"/>
                <w:szCs w:val="22"/>
                <w:lang w:eastAsia="lt-LT"/>
              </w:rPr>
              <w:t>sėkmingo pertvarkymo kliūčių šalinimo</w:t>
            </w:r>
            <w:r>
              <w:rPr>
                <w:sz w:val="22"/>
                <w:szCs w:val="22"/>
                <w:lang w:eastAsia="lt-LT"/>
              </w:rPr>
              <w:t xml:space="preserve"> (11 ir 12 straipsniai)</w:t>
            </w:r>
          </w:p>
          <w:p w:rsidR="000F2E84" w:rsidRPr="000F2E84" w:rsidRDefault="000F2E84" w:rsidP="000F2E84">
            <w:pPr>
              <w:pStyle w:val="Sraopastraipa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Kriterijai, kuriais remdamasi pertvarkymo institucija subjektams, su kuriais susijęs teisės akto įgyvendinimas, nustato minimalaus nuosavų lėšų ir tinkamų įsipareigojimų dydžio reikalavimą (14 straipsnis);</w:t>
            </w:r>
          </w:p>
          <w:p w:rsidR="000F2E84" w:rsidRPr="000F2E84" w:rsidRDefault="000F2E84" w:rsidP="000F2E84">
            <w:pPr>
              <w:pStyle w:val="Sraopastraipa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Reikalavimai, taikomi pertvarkytinų subjektų tinkamiems įsipareigojimams (15 straipsnis);</w:t>
            </w:r>
          </w:p>
          <w:p w:rsidR="000F2E84" w:rsidRPr="00D91FD5" w:rsidRDefault="000F2E84" w:rsidP="000F2E84">
            <w:pPr>
              <w:pStyle w:val="Sraopastraipa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Minimalaus nuosavų lėšų ir tinkamų įsipareigojimų dydžio apskaičiavimo taisyklės (16, 17, 20 ir 21 straipsniai)</w:t>
            </w:r>
            <w:r w:rsidR="00D91FD5">
              <w:rPr>
                <w:sz w:val="22"/>
                <w:szCs w:val="22"/>
                <w:lang w:eastAsia="lt-LT"/>
              </w:rPr>
              <w:t>;</w:t>
            </w:r>
          </w:p>
          <w:p w:rsidR="00D91FD5" w:rsidRPr="00D91FD5" w:rsidRDefault="00D91FD5" w:rsidP="00D91FD5">
            <w:pPr>
              <w:pStyle w:val="Sraopastraipa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Kriterijai, kuriais remdamasi pertvarkymo institucija gali nustatyti ilgesnį pereinamąjį </w:t>
            </w:r>
            <w:r>
              <w:rPr>
                <w:sz w:val="22"/>
                <w:szCs w:val="22"/>
                <w:lang w:eastAsia="lt-LT"/>
              </w:rPr>
              <w:lastRenderedPageBreak/>
              <w:t>laikotarpį (25 straipsnis);</w:t>
            </w:r>
          </w:p>
          <w:p w:rsidR="00D91FD5" w:rsidRPr="00D91FD5" w:rsidRDefault="00D91FD5" w:rsidP="00D91FD5">
            <w:pPr>
              <w:pStyle w:val="Sraopastraipa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Sąlygos, kurioms pasireiškus pertvarkymo institucija turi teisę sustabdyti  tam tikrų įsipareigojimų vykdymą (31 straipsnis);</w:t>
            </w:r>
          </w:p>
          <w:p w:rsidR="00D91FD5" w:rsidRPr="00D91FD5" w:rsidRDefault="00D91FD5" w:rsidP="00D91FD5">
            <w:pPr>
              <w:pStyle w:val="Sraopastraipa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Sąlygos, kurioms pasireiškus tam tikrus subjektus galima pripažinti nemokiais (51 straipsnis)</w:t>
            </w:r>
            <w:r w:rsidR="00151C60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827" w:type="dxa"/>
          </w:tcPr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30259E" w:rsidRPr="00F00789" w:rsidRDefault="0030259E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lastRenderedPageBreak/>
              <w:t>6.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projekte nustatytas baigtinis sąrašas motyvuotų atvejų, kai priimant sprendimus taikomos išimtys</w:t>
            </w:r>
          </w:p>
        </w:tc>
        <w:tc>
          <w:tcPr>
            <w:tcW w:w="4730" w:type="dxa"/>
          </w:tcPr>
          <w:p w:rsidR="00E51193" w:rsidRPr="00F00789" w:rsidRDefault="000F2E84" w:rsidP="00E51193">
            <w:pPr>
              <w:ind w:firstLine="2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Įstatymo projekto 24,</w:t>
            </w:r>
            <w:r w:rsidR="00D91FD5">
              <w:rPr>
                <w:sz w:val="22"/>
                <w:szCs w:val="22"/>
              </w:rPr>
              <w:t xml:space="preserve"> 27</w:t>
            </w:r>
            <w:r>
              <w:rPr>
                <w:sz w:val="22"/>
                <w:szCs w:val="22"/>
              </w:rPr>
              <w:t xml:space="preserve"> straipsniuose numatytas baigtinis sąrašas motyvuotų atvejų, kai priimant sprendimus taikomos išimtys.</w:t>
            </w:r>
            <w:r w:rsidR="00E51193" w:rsidRPr="00F007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projekte nustatyta sprendimų priėmimo, įforminimo tvarka ir priimtų sprendimų viešinimas</w:t>
            </w:r>
          </w:p>
        </w:tc>
        <w:tc>
          <w:tcPr>
            <w:tcW w:w="4730" w:type="dxa"/>
          </w:tcPr>
          <w:p w:rsidR="00BB7D50" w:rsidRPr="00F00789" w:rsidRDefault="004A50A5" w:rsidP="00D61594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Įstatymo projekte nėra nuostatų, reglamentuojančių konkrečią sprendimų priėmimo ir įforminimo tvarką bei priimtų sprendimų viešinimą.</w:t>
            </w: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projekte nustatyta sprendimų dėl mažareikšmiškumo priėmimo tvarka</w:t>
            </w:r>
          </w:p>
        </w:tc>
        <w:tc>
          <w:tcPr>
            <w:tcW w:w="4730" w:type="dxa"/>
          </w:tcPr>
          <w:p w:rsidR="00E51193" w:rsidRPr="00F00789" w:rsidRDefault="00BB7D50" w:rsidP="00EE746D">
            <w:pPr>
              <w:ind w:firstLine="228"/>
              <w:jc w:val="both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Sprendimų dėl mažareikšmiškumo priėmimo tvarkos projekte nėra ir neturi būti.</w:t>
            </w: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Jeigu pagal numatomą reguliavimą sprendimus priima kolegialus subjektas, teisės akto projekte nustatyta kolegialaus sprendimus priimančio subjekto:</w:t>
            </w:r>
          </w:p>
          <w:p w:rsidR="00E51193" w:rsidRPr="00F00789" w:rsidRDefault="00E51193" w:rsidP="00366AC4">
            <w:pPr>
              <w:ind w:left="33"/>
              <w:rPr>
                <w:sz w:val="22"/>
                <w:szCs w:val="22"/>
              </w:rPr>
            </w:pPr>
            <w:r w:rsidRPr="00F00789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E51193" w:rsidRPr="00F00789" w:rsidRDefault="00E51193" w:rsidP="00366AC4">
            <w:pPr>
              <w:ind w:left="33"/>
              <w:rPr>
                <w:sz w:val="22"/>
                <w:szCs w:val="22"/>
              </w:rPr>
            </w:pPr>
            <w:r w:rsidRPr="00F00789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9.3</w:t>
            </w:r>
            <w:r w:rsidRPr="00F00789">
              <w:rPr>
                <w:spacing w:val="-4"/>
                <w:sz w:val="22"/>
                <w:szCs w:val="22"/>
                <w:lang w:eastAsia="lt-LT"/>
              </w:rPr>
              <w:t>. narių skyrimo mechanizmas;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9.4. narių rotacija ir kadencijų skaičius ir trukmė;</w:t>
            </w:r>
          </w:p>
          <w:p w:rsidR="00E51193" w:rsidRPr="00F00789" w:rsidRDefault="00E51193" w:rsidP="00366AC4">
            <w:pPr>
              <w:rPr>
                <w:sz w:val="22"/>
                <w:szCs w:val="22"/>
              </w:rPr>
            </w:pPr>
            <w:r w:rsidRPr="00F00789">
              <w:rPr>
                <w:sz w:val="22"/>
                <w:szCs w:val="22"/>
              </w:rPr>
              <w:t>9.5. veiklos pobūdis laiko atžvilgiu;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lastRenderedPageBreak/>
              <w:t>9.6. individuali narių atsakomybė</w:t>
            </w:r>
          </w:p>
        </w:tc>
        <w:tc>
          <w:tcPr>
            <w:tcW w:w="4730" w:type="dxa"/>
          </w:tcPr>
          <w:p w:rsidR="00E51193" w:rsidRPr="00F00789" w:rsidRDefault="00D91FD5" w:rsidP="00D91FD5">
            <w:pPr>
              <w:ind w:firstLine="228"/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lastRenderedPageBreak/>
              <w:t xml:space="preserve">Įstatymo projekto 53 straipsnis reglamentuoja Europos pertvarkymo kolegijos veiklą. </w:t>
            </w: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lastRenderedPageBreak/>
              <w:t>10.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 xml:space="preserve">Teisės akto projekto nuostatoms įgyvendinti numatytos administracinės procedūros yra </w:t>
            </w:r>
            <w:r w:rsidRPr="00F00789">
              <w:rPr>
                <w:sz w:val="22"/>
                <w:szCs w:val="22"/>
                <w:shd w:val="clear" w:color="auto" w:fill="FFFFFF"/>
                <w:lang w:eastAsia="lt-LT"/>
              </w:rPr>
              <w:t>būtinos,</w:t>
            </w:r>
            <w:r w:rsidRPr="00F00789">
              <w:rPr>
                <w:sz w:val="22"/>
                <w:szCs w:val="22"/>
                <w:lang w:eastAsia="lt-LT"/>
              </w:rPr>
              <w:t xml:space="preserve"> nustatyta išsami jų taikymo tvarka </w:t>
            </w:r>
          </w:p>
        </w:tc>
        <w:tc>
          <w:tcPr>
            <w:tcW w:w="4730" w:type="dxa"/>
          </w:tcPr>
          <w:p w:rsidR="00EE746D" w:rsidRPr="00F00789" w:rsidRDefault="00EE746D" w:rsidP="00EE746D">
            <w:pPr>
              <w:ind w:firstLine="228"/>
              <w:jc w:val="both"/>
              <w:rPr>
                <w:rFonts w:ascii="Calibri" w:hAnsi="Calibri"/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</w:rPr>
              <w:t xml:space="preserve">Įstatymo </w:t>
            </w:r>
            <w:r w:rsidRPr="00F00789">
              <w:rPr>
                <w:sz w:val="22"/>
                <w:szCs w:val="22"/>
                <w:lang w:eastAsia="lt-LT"/>
              </w:rPr>
              <w:t>projekte nėra nuostatų, numatančių administracinę procedūrą, kaip tai apibrėžta Lietuvos Respublikos viešojo administravimo įstatyme.</w:t>
            </w:r>
          </w:p>
          <w:p w:rsidR="00E51193" w:rsidRPr="00F00789" w:rsidRDefault="00E51193" w:rsidP="008A7AE4">
            <w:pPr>
              <w:ind w:firstLine="228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keepNext/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keepNext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projekte nustatytas baigtinis sąrašas motyvuotų atvejų, kai administracinė procedūra netaikoma</w:t>
            </w:r>
          </w:p>
        </w:tc>
        <w:tc>
          <w:tcPr>
            <w:tcW w:w="4730" w:type="dxa"/>
          </w:tcPr>
          <w:p w:rsidR="00E51193" w:rsidRPr="00DC6643" w:rsidRDefault="00DC6643" w:rsidP="00DC6643">
            <w:pPr>
              <w:ind w:firstLine="228"/>
              <w:jc w:val="both"/>
              <w:rPr>
                <w:rFonts w:ascii="Calibri" w:hAnsi="Calibri"/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</w:rPr>
              <w:t xml:space="preserve">Įstatymo </w:t>
            </w:r>
            <w:r w:rsidRPr="00F00789">
              <w:rPr>
                <w:sz w:val="22"/>
                <w:szCs w:val="22"/>
                <w:lang w:eastAsia="lt-LT"/>
              </w:rPr>
              <w:t>projekte nėra nuostatų, numatančių administracinę procedūrą, kaip tai apibrėžta Lietuvos Respublikos viešojo administravimo įstatyme.</w:t>
            </w:r>
          </w:p>
        </w:tc>
        <w:tc>
          <w:tcPr>
            <w:tcW w:w="3827" w:type="dxa"/>
          </w:tcPr>
          <w:p w:rsidR="00E51193" w:rsidRPr="00F00789" w:rsidRDefault="00E51193" w:rsidP="00366AC4">
            <w:pPr>
              <w:keepNext/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keepNext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keepNext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4730" w:type="dxa"/>
          </w:tcPr>
          <w:p w:rsidR="00DC6643" w:rsidRPr="00F00789" w:rsidRDefault="00DC6643" w:rsidP="00DC6643">
            <w:pPr>
              <w:ind w:firstLine="228"/>
              <w:jc w:val="both"/>
              <w:rPr>
                <w:rFonts w:ascii="Calibri" w:hAnsi="Calibri"/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</w:rPr>
              <w:t xml:space="preserve">Įstatymo </w:t>
            </w:r>
            <w:r w:rsidRPr="00F00789">
              <w:rPr>
                <w:sz w:val="22"/>
                <w:szCs w:val="22"/>
                <w:lang w:eastAsia="lt-LT"/>
              </w:rPr>
              <w:t>projekte nėra nuostatų, numatančių administracinę procedūrą, kaip tai apibrėžta Lietuvos Respublikos viešojo administravimo įstatyme.</w:t>
            </w:r>
          </w:p>
          <w:p w:rsidR="00DC6643" w:rsidRDefault="00DC6643" w:rsidP="00EE746D">
            <w:pPr>
              <w:ind w:firstLine="228"/>
              <w:jc w:val="both"/>
              <w:rPr>
                <w:sz w:val="22"/>
                <w:szCs w:val="22"/>
              </w:rPr>
            </w:pPr>
          </w:p>
          <w:p w:rsidR="00EE746D" w:rsidRPr="00F00789" w:rsidRDefault="000F2E84" w:rsidP="00DC6643">
            <w:pPr>
              <w:jc w:val="both"/>
              <w:rPr>
                <w:rFonts w:ascii="Calibri" w:hAnsi="Calibr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Įstatymo projekte numatyti</w:t>
            </w:r>
            <w:r w:rsidR="00DC6643">
              <w:rPr>
                <w:sz w:val="22"/>
                <w:szCs w:val="22"/>
              </w:rPr>
              <w:t xml:space="preserve"> kitų</w:t>
            </w:r>
            <w:r>
              <w:rPr>
                <w:sz w:val="22"/>
                <w:szCs w:val="22"/>
              </w:rPr>
              <w:t xml:space="preserve"> sprendimų priėmimo terminai (22, 23</w:t>
            </w:r>
            <w:r w:rsidR="00D91FD5">
              <w:rPr>
                <w:sz w:val="22"/>
                <w:szCs w:val="22"/>
              </w:rPr>
              <w:t>, 25, 42</w:t>
            </w:r>
            <w:r>
              <w:rPr>
                <w:sz w:val="22"/>
                <w:szCs w:val="22"/>
              </w:rPr>
              <w:t xml:space="preserve"> straipsniai</w:t>
            </w:r>
            <w:r w:rsidR="00DC6643">
              <w:rPr>
                <w:sz w:val="22"/>
                <w:szCs w:val="22"/>
              </w:rPr>
              <w:t>).</w:t>
            </w:r>
          </w:p>
          <w:p w:rsidR="00E51193" w:rsidRPr="00F00789" w:rsidRDefault="00E51193" w:rsidP="008A7AE4">
            <w:pPr>
              <w:ind w:firstLine="228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projektas nustato motyvuotas terminų sustabdymo ir pratęsimo galimybes</w:t>
            </w:r>
          </w:p>
        </w:tc>
        <w:tc>
          <w:tcPr>
            <w:tcW w:w="4730" w:type="dxa"/>
          </w:tcPr>
          <w:p w:rsidR="00EE746D" w:rsidRPr="00F00789" w:rsidRDefault="00D91FD5" w:rsidP="00EE746D">
            <w:pPr>
              <w:ind w:firstLine="228"/>
              <w:jc w:val="both"/>
              <w:rPr>
                <w:rFonts w:ascii="Calibri" w:hAnsi="Calibr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Įstatymo projekto 25 straipsnis nustato motyvuotas terminų pratęsimo galimybes</w:t>
            </w:r>
          </w:p>
          <w:p w:rsidR="00E51193" w:rsidRPr="00F00789" w:rsidRDefault="00E51193" w:rsidP="008A7AE4">
            <w:pPr>
              <w:ind w:firstLine="228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projektas nustato administracinių procedūrų viešinimo tvarką</w:t>
            </w:r>
          </w:p>
        </w:tc>
        <w:tc>
          <w:tcPr>
            <w:tcW w:w="4730" w:type="dxa"/>
          </w:tcPr>
          <w:p w:rsidR="00E51193" w:rsidRPr="00DC6643" w:rsidRDefault="00DC6643" w:rsidP="00DC6643">
            <w:pPr>
              <w:ind w:firstLine="228"/>
              <w:jc w:val="both"/>
              <w:rPr>
                <w:rFonts w:ascii="Calibri" w:hAnsi="Calibri"/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</w:rPr>
              <w:t xml:space="preserve">Įstatymo </w:t>
            </w:r>
            <w:r w:rsidRPr="00F00789">
              <w:rPr>
                <w:sz w:val="22"/>
                <w:szCs w:val="22"/>
                <w:lang w:eastAsia="lt-LT"/>
              </w:rPr>
              <w:t>projekte nėra nuostatų, numatančių administracinę procedūrą, kaip tai apibrėžta Lietuvos Respublikos viešojo administravimo įstatyme.</w:t>
            </w: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4730" w:type="dxa"/>
          </w:tcPr>
          <w:p w:rsidR="009E5078" w:rsidRPr="00F00789" w:rsidRDefault="00EC0573" w:rsidP="000F2E84">
            <w:pPr>
              <w:ind w:firstLine="228"/>
              <w:jc w:val="both"/>
              <w:rPr>
                <w:sz w:val="22"/>
                <w:szCs w:val="22"/>
              </w:rPr>
            </w:pPr>
            <w:r w:rsidRPr="00EC0573">
              <w:rPr>
                <w:sz w:val="22"/>
                <w:szCs w:val="22"/>
              </w:rPr>
              <w:t>Įstatymo projekte nustatyti reikalavimai, kurių turi laikytis prižiūrimi subjektai ir kurių laikymąsi prižiūri Lietuvos bankas.</w:t>
            </w: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3662" w:type="dxa"/>
          </w:tcPr>
          <w:p w:rsidR="00E51193" w:rsidRPr="00F00789" w:rsidRDefault="00E51193" w:rsidP="0030259E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projekte nustatytos kontrolės (priežiūros) skaidrumo ir objektyvumo užtikrinimo priemonės</w:t>
            </w:r>
          </w:p>
        </w:tc>
        <w:tc>
          <w:tcPr>
            <w:tcW w:w="4730" w:type="dxa"/>
          </w:tcPr>
          <w:p w:rsidR="000306DC" w:rsidRPr="00F00789" w:rsidRDefault="000F2E84" w:rsidP="000F2E84">
            <w:pPr>
              <w:ind w:firstLine="228"/>
              <w:jc w:val="both"/>
              <w:rPr>
                <w:sz w:val="22"/>
                <w:szCs w:val="22"/>
                <w:lang w:eastAsia="lt-LT"/>
              </w:rPr>
            </w:pPr>
            <w:r w:rsidRPr="000F2E84">
              <w:rPr>
                <w:sz w:val="22"/>
                <w:szCs w:val="22"/>
                <w:lang w:eastAsia="lt-LT"/>
              </w:rPr>
              <w:t>Numatytos poveikio priemonės, kurios taikom</w:t>
            </w:r>
            <w:r>
              <w:rPr>
                <w:sz w:val="22"/>
                <w:szCs w:val="22"/>
                <w:lang w:eastAsia="lt-LT"/>
              </w:rPr>
              <w:t>os, kad būtų užtikrintas reikalavimų laikymasis</w:t>
            </w:r>
            <w:r w:rsidRPr="000F2E84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(</w:t>
            </w:r>
            <w:r w:rsidR="00DC6643">
              <w:rPr>
                <w:sz w:val="22"/>
                <w:szCs w:val="22"/>
                <w:lang w:eastAsia="lt-LT"/>
              </w:rPr>
              <w:t>11 ir 23 straipsniai</w:t>
            </w:r>
            <w:r w:rsidR="00DC6643" w:rsidRPr="00DC6643">
              <w:rPr>
                <w:sz w:val="22"/>
                <w:szCs w:val="22"/>
                <w:lang w:eastAsia="lt-LT"/>
              </w:rPr>
              <w:t>)</w:t>
            </w:r>
            <w:r w:rsidRPr="00DC6643">
              <w:rPr>
                <w:sz w:val="22"/>
                <w:szCs w:val="22"/>
                <w:lang w:eastAsia="lt-LT"/>
              </w:rPr>
              <w:t xml:space="preserve">. </w:t>
            </w:r>
            <w:r w:rsidRPr="000F2E84">
              <w:rPr>
                <w:sz w:val="22"/>
                <w:szCs w:val="22"/>
                <w:lang w:eastAsia="lt-LT"/>
              </w:rPr>
              <w:t>Objektyvumą užtikrina tai, kad Lietuvos bankas taiko poveikio priemones įstatyme nustatytais pagrindais.</w:t>
            </w: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keepNext/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lastRenderedPageBreak/>
              <w:t>17.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keepNext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  <w:p w:rsidR="000306DC" w:rsidRPr="00F00789" w:rsidRDefault="000306DC" w:rsidP="00366AC4">
            <w:pPr>
              <w:keepNext/>
              <w:rPr>
                <w:sz w:val="22"/>
                <w:szCs w:val="22"/>
                <w:lang w:eastAsia="lt-LT"/>
              </w:rPr>
            </w:pPr>
          </w:p>
          <w:p w:rsidR="000306DC" w:rsidRPr="00F00789" w:rsidRDefault="000306DC" w:rsidP="00366AC4">
            <w:pPr>
              <w:keepNext/>
              <w:rPr>
                <w:sz w:val="22"/>
                <w:szCs w:val="22"/>
                <w:lang w:eastAsia="lt-LT"/>
              </w:rPr>
            </w:pPr>
          </w:p>
        </w:tc>
        <w:tc>
          <w:tcPr>
            <w:tcW w:w="4730" w:type="dxa"/>
          </w:tcPr>
          <w:p w:rsidR="00E51193" w:rsidRPr="00F00789" w:rsidRDefault="00D04249" w:rsidP="008A7AE4">
            <w:pPr>
              <w:keepNext/>
              <w:ind w:firstLine="228"/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Įstatymo projekte nėra nuostatų, reglamentuojančių </w:t>
            </w:r>
            <w:r w:rsidRPr="00D04249">
              <w:rPr>
                <w:sz w:val="22"/>
                <w:szCs w:val="22"/>
                <w:lang w:eastAsia="lt-LT"/>
              </w:rPr>
              <w:t xml:space="preserve">subjektų, su kuriais susijęs teisės akto projekto nuostatų </w:t>
            </w:r>
            <w:r>
              <w:rPr>
                <w:sz w:val="22"/>
                <w:szCs w:val="22"/>
                <w:lang w:eastAsia="lt-LT"/>
              </w:rPr>
              <w:t>įgyvendinimas, atsakomybės rūšį.</w:t>
            </w:r>
          </w:p>
        </w:tc>
        <w:tc>
          <w:tcPr>
            <w:tcW w:w="3827" w:type="dxa"/>
          </w:tcPr>
          <w:p w:rsidR="00E51193" w:rsidRPr="00F00789" w:rsidRDefault="00E51193" w:rsidP="00366AC4">
            <w:pPr>
              <w:keepNext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keepNext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keepNext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4730" w:type="dxa"/>
          </w:tcPr>
          <w:p w:rsidR="00E51193" w:rsidRPr="00F00789" w:rsidRDefault="005D0B48" w:rsidP="005D0B48">
            <w:pPr>
              <w:ind w:firstLine="228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Įstatymo projekte numatytos priemonės, kurių gali imtis priežiūros institucija. Įstatymo projekte nėra nuostatų, reglamentuojančių konkrečių nuobaudų (sankcijų) skyrimą už įstatymo projekte nustatytų nurodymų nevykdymą.</w:t>
            </w: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  <w:tr w:rsidR="00E51193" w:rsidRPr="00F00789" w:rsidTr="00FB2827">
        <w:trPr>
          <w:trHeight w:val="23"/>
        </w:trPr>
        <w:tc>
          <w:tcPr>
            <w:tcW w:w="699" w:type="dxa"/>
          </w:tcPr>
          <w:p w:rsidR="00E51193" w:rsidRPr="00F00789" w:rsidRDefault="00E51193" w:rsidP="00366AC4">
            <w:pPr>
              <w:jc w:val="center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3662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Kiti svarbūs kriterijai</w:t>
            </w:r>
          </w:p>
        </w:tc>
        <w:tc>
          <w:tcPr>
            <w:tcW w:w="4730" w:type="dxa"/>
          </w:tcPr>
          <w:p w:rsidR="00E51193" w:rsidRPr="00F00789" w:rsidRDefault="009105B6" w:rsidP="008A7AE4">
            <w:pPr>
              <w:ind w:firstLine="228"/>
              <w:jc w:val="both"/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Nėra.</w:t>
            </w:r>
          </w:p>
        </w:tc>
        <w:tc>
          <w:tcPr>
            <w:tcW w:w="382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</w:tcPr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tenkina</w:t>
            </w:r>
          </w:p>
          <w:p w:rsidR="00E51193" w:rsidRPr="00F00789" w:rsidRDefault="00E51193" w:rsidP="00366AC4">
            <w:pPr>
              <w:rPr>
                <w:sz w:val="22"/>
                <w:szCs w:val="22"/>
                <w:lang w:eastAsia="lt-LT"/>
              </w:rPr>
            </w:pPr>
            <w:r w:rsidRPr="00F00789">
              <w:rPr>
                <w:sz w:val="22"/>
                <w:szCs w:val="22"/>
                <w:lang w:eastAsia="lt-LT"/>
              </w:rPr>
              <w:t>□ netenkina</w:t>
            </w:r>
          </w:p>
        </w:tc>
      </w:tr>
    </w:tbl>
    <w:p w:rsidR="0030259E" w:rsidRPr="000306DC" w:rsidRDefault="0030259E" w:rsidP="0030259E">
      <w:pPr>
        <w:tabs>
          <w:tab w:val="left" w:pos="6237"/>
        </w:tabs>
        <w:rPr>
          <w:color w:val="000000"/>
          <w:szCs w:val="24"/>
          <w:lang w:eastAsia="lt-L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88"/>
        <w:gridCol w:w="4594"/>
        <w:gridCol w:w="2371"/>
        <w:gridCol w:w="4758"/>
      </w:tblGrid>
      <w:tr w:rsidR="0030259E" w:rsidRPr="000306DC" w:rsidTr="00366AC4">
        <w:trPr>
          <w:trHeight w:val="23"/>
        </w:trPr>
        <w:tc>
          <w:tcPr>
            <w:tcW w:w="2457" w:type="dxa"/>
            <w:shd w:val="clear" w:color="auto" w:fill="auto"/>
          </w:tcPr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</w:p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  <w:r w:rsidRPr="000306DC">
              <w:rPr>
                <w:szCs w:val="24"/>
                <w:lang w:eastAsia="lt-LT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</w:p>
          <w:p w:rsidR="006133AE" w:rsidRPr="000306DC" w:rsidRDefault="006133AE" w:rsidP="006133AE">
            <w:pPr>
              <w:jc w:val="both"/>
              <w:rPr>
                <w:szCs w:val="24"/>
              </w:rPr>
            </w:pPr>
            <w:r w:rsidRPr="000306DC">
              <w:rPr>
                <w:szCs w:val="24"/>
              </w:rPr>
              <w:t xml:space="preserve">Finansų ministerijos Finansų rinkų </w:t>
            </w:r>
          </w:p>
          <w:p w:rsidR="0030259E" w:rsidRPr="000306DC" w:rsidRDefault="006133AE" w:rsidP="006133AE">
            <w:pPr>
              <w:rPr>
                <w:szCs w:val="24"/>
                <w:lang w:eastAsia="lt-LT"/>
              </w:rPr>
            </w:pPr>
            <w:r w:rsidRPr="000306DC">
              <w:rPr>
                <w:szCs w:val="24"/>
              </w:rPr>
              <w:t>politikos departamento Kredito ir mok</w:t>
            </w:r>
            <w:r w:rsidR="005369D9">
              <w:rPr>
                <w:szCs w:val="24"/>
              </w:rPr>
              <w:t>ėjimų rinkų skyriaus vyriausiasis specialistas</w:t>
            </w:r>
            <w:r w:rsidRPr="000306DC">
              <w:rPr>
                <w:szCs w:val="24"/>
              </w:rPr>
              <w:t xml:space="preserve"> </w:t>
            </w:r>
            <w:r w:rsidR="005369D9">
              <w:rPr>
                <w:szCs w:val="24"/>
              </w:rPr>
              <w:t>Paulius Mačionis</w:t>
            </w:r>
          </w:p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</w:p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  <w:r w:rsidRPr="000306DC">
              <w:rPr>
                <w:szCs w:val="24"/>
                <w:lang w:eastAsia="lt-LT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9105B6" w:rsidRPr="000306DC" w:rsidRDefault="009105B6" w:rsidP="009105B6">
            <w:pPr>
              <w:jc w:val="both"/>
              <w:rPr>
                <w:szCs w:val="24"/>
              </w:rPr>
            </w:pPr>
          </w:p>
          <w:p w:rsidR="009105B6" w:rsidRPr="000306DC" w:rsidRDefault="009105B6" w:rsidP="009105B6">
            <w:pPr>
              <w:jc w:val="both"/>
              <w:rPr>
                <w:szCs w:val="24"/>
              </w:rPr>
            </w:pPr>
            <w:r w:rsidRPr="000306DC">
              <w:rPr>
                <w:szCs w:val="24"/>
              </w:rPr>
              <w:t xml:space="preserve">Finansų ministerijos Finansų rinkų </w:t>
            </w:r>
          </w:p>
          <w:p w:rsidR="0030259E" w:rsidRPr="000306DC" w:rsidRDefault="009105B6" w:rsidP="001D0D60">
            <w:pPr>
              <w:rPr>
                <w:szCs w:val="24"/>
                <w:lang w:eastAsia="lt-LT"/>
              </w:rPr>
            </w:pPr>
            <w:r w:rsidRPr="000306DC">
              <w:rPr>
                <w:szCs w:val="24"/>
              </w:rPr>
              <w:t>politikos departamento Kredito ir mok</w:t>
            </w:r>
            <w:r w:rsidR="00163D6C">
              <w:rPr>
                <w:szCs w:val="24"/>
              </w:rPr>
              <w:t xml:space="preserve">ėjimų rinkų skyriaus </w:t>
            </w:r>
            <w:r w:rsidR="001D0D60" w:rsidRPr="000306DC">
              <w:rPr>
                <w:szCs w:val="24"/>
              </w:rPr>
              <w:t xml:space="preserve">vyriausioji specialistė </w:t>
            </w:r>
            <w:r w:rsidR="001D0D60">
              <w:rPr>
                <w:szCs w:val="24"/>
              </w:rPr>
              <w:t>Greta Ranonytė</w:t>
            </w:r>
          </w:p>
        </w:tc>
      </w:tr>
      <w:tr w:rsidR="0030259E" w:rsidRPr="000306DC" w:rsidTr="00366AC4">
        <w:trPr>
          <w:trHeight w:val="23"/>
        </w:trPr>
        <w:tc>
          <w:tcPr>
            <w:tcW w:w="2457" w:type="dxa"/>
            <w:shd w:val="clear" w:color="auto" w:fill="auto"/>
          </w:tcPr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30259E" w:rsidRPr="000306DC" w:rsidRDefault="0030259E" w:rsidP="00366AC4">
            <w:pPr>
              <w:ind w:left="-11" w:firstLine="11"/>
              <w:rPr>
                <w:szCs w:val="24"/>
                <w:lang w:eastAsia="lt-LT"/>
              </w:rPr>
            </w:pPr>
            <w:r w:rsidRPr="000306DC">
              <w:rPr>
                <w:szCs w:val="24"/>
                <w:lang w:eastAsia="lt-LT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30259E" w:rsidRPr="000306DC" w:rsidRDefault="0030259E" w:rsidP="00366AC4">
            <w:pPr>
              <w:ind w:left="-11" w:firstLine="11"/>
              <w:rPr>
                <w:szCs w:val="24"/>
                <w:lang w:eastAsia="lt-LT"/>
              </w:rPr>
            </w:pPr>
            <w:r w:rsidRPr="000306DC">
              <w:rPr>
                <w:szCs w:val="24"/>
                <w:lang w:eastAsia="lt-LT"/>
              </w:rPr>
              <w:t>(pareigos)                                       (vardas ir pavardė)</w:t>
            </w:r>
          </w:p>
        </w:tc>
      </w:tr>
      <w:tr w:rsidR="0030259E" w:rsidRPr="000306DC" w:rsidTr="00366AC4">
        <w:trPr>
          <w:trHeight w:val="23"/>
        </w:trPr>
        <w:tc>
          <w:tcPr>
            <w:tcW w:w="2457" w:type="dxa"/>
            <w:shd w:val="clear" w:color="auto" w:fill="auto"/>
          </w:tcPr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30259E" w:rsidRPr="000306DC" w:rsidRDefault="0030259E" w:rsidP="00366AC4">
            <w:pPr>
              <w:ind w:left="-11" w:firstLine="11"/>
              <w:rPr>
                <w:szCs w:val="24"/>
                <w:lang w:eastAsia="lt-LT"/>
              </w:rPr>
            </w:pPr>
          </w:p>
        </w:tc>
      </w:tr>
      <w:tr w:rsidR="0030259E" w:rsidRPr="000306DC" w:rsidTr="00366AC4">
        <w:trPr>
          <w:trHeight w:val="23"/>
        </w:trPr>
        <w:tc>
          <w:tcPr>
            <w:tcW w:w="2457" w:type="dxa"/>
            <w:shd w:val="clear" w:color="auto" w:fill="auto"/>
          </w:tcPr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:rsidR="0030259E" w:rsidRPr="000306DC" w:rsidRDefault="0030259E" w:rsidP="00366AC4">
            <w:pPr>
              <w:ind w:left="-11" w:firstLine="11"/>
              <w:rPr>
                <w:szCs w:val="24"/>
                <w:lang w:eastAsia="lt-LT"/>
              </w:rPr>
            </w:pPr>
            <w:r w:rsidRPr="000306DC">
              <w:rPr>
                <w:szCs w:val="24"/>
                <w:lang w:eastAsia="lt-LT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:rsidR="0030259E" w:rsidRPr="000306DC" w:rsidRDefault="0030259E" w:rsidP="00366AC4">
            <w:pPr>
              <w:rPr>
                <w:szCs w:val="24"/>
                <w:lang w:eastAsia="lt-LT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30259E" w:rsidRPr="000306DC" w:rsidRDefault="0030259E" w:rsidP="00366AC4">
            <w:pPr>
              <w:ind w:left="-11" w:firstLine="64"/>
              <w:rPr>
                <w:szCs w:val="24"/>
                <w:lang w:eastAsia="lt-LT"/>
              </w:rPr>
            </w:pPr>
            <w:r w:rsidRPr="000306DC">
              <w:rPr>
                <w:szCs w:val="24"/>
                <w:lang w:eastAsia="lt-LT"/>
              </w:rPr>
              <w:t>(parašas)                                                     (data)</w:t>
            </w:r>
          </w:p>
        </w:tc>
      </w:tr>
    </w:tbl>
    <w:p w:rsidR="0030259E" w:rsidRPr="000306DC" w:rsidRDefault="0030259E" w:rsidP="0030259E">
      <w:pPr>
        <w:tabs>
          <w:tab w:val="left" w:pos="6237"/>
        </w:tabs>
        <w:rPr>
          <w:color w:val="000000"/>
          <w:szCs w:val="24"/>
          <w:lang w:eastAsia="lt-LT"/>
        </w:rPr>
      </w:pPr>
    </w:p>
    <w:p w:rsidR="00971502" w:rsidRPr="000306DC" w:rsidRDefault="00971502" w:rsidP="0030259E">
      <w:pPr>
        <w:rPr>
          <w:szCs w:val="24"/>
        </w:rPr>
      </w:pPr>
    </w:p>
    <w:sectPr w:rsidR="00971502" w:rsidRPr="000306DC" w:rsidSect="00C56C88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959C11" w15:done="0"/>
  <w15:commentEx w15:paraId="7A90F637" w15:done="0"/>
  <w15:commentEx w15:paraId="60F930A7" w15:done="0"/>
  <w15:commentEx w15:paraId="52CC5A52" w15:done="0"/>
  <w15:commentEx w15:paraId="04B1EBF6" w15:done="0"/>
  <w15:commentEx w15:paraId="38B5EC9F" w15:paraIdParent="04B1EBF6" w15:done="0"/>
  <w15:commentEx w15:paraId="364368B4" w15:done="0"/>
  <w15:commentEx w15:paraId="53148C2B" w15:done="0"/>
  <w15:commentEx w15:paraId="56523219" w15:done="0"/>
  <w15:commentEx w15:paraId="2A58D92D" w15:done="0"/>
  <w15:commentEx w15:paraId="2D9062FF" w15:done="0"/>
  <w15:commentEx w15:paraId="1732ADB3" w15:done="0"/>
  <w15:commentEx w15:paraId="0E3E76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1C" w:rsidRDefault="00136E1C" w:rsidP="0030259E">
      <w:r>
        <w:separator/>
      </w:r>
    </w:p>
  </w:endnote>
  <w:endnote w:type="continuationSeparator" w:id="0">
    <w:p w:rsidR="00136E1C" w:rsidRDefault="00136E1C" w:rsidP="0030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1C" w:rsidRDefault="00136E1C" w:rsidP="0030259E">
      <w:r>
        <w:separator/>
      </w:r>
    </w:p>
  </w:footnote>
  <w:footnote w:type="continuationSeparator" w:id="0">
    <w:p w:rsidR="00136E1C" w:rsidRDefault="00136E1C" w:rsidP="00302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888287"/>
      <w:docPartObj>
        <w:docPartGallery w:val="Page Numbers (Top of Page)"/>
        <w:docPartUnique/>
      </w:docPartObj>
    </w:sdtPr>
    <w:sdtEndPr/>
    <w:sdtContent>
      <w:p w:rsidR="00C56C88" w:rsidRDefault="00C56C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101">
          <w:rPr>
            <w:noProof/>
          </w:rPr>
          <w:t>5</w:t>
        </w:r>
        <w:r>
          <w:fldChar w:fldCharType="end"/>
        </w:r>
      </w:p>
    </w:sdtContent>
  </w:sdt>
  <w:p w:rsidR="00C56C88" w:rsidRDefault="00C56C8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937"/>
    <w:multiLevelType w:val="hybridMultilevel"/>
    <w:tmpl w:val="5A7A51DE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19724FC5"/>
    <w:multiLevelType w:val="hybridMultilevel"/>
    <w:tmpl w:val="0022965C"/>
    <w:lvl w:ilvl="0" w:tplc="0427000F">
      <w:start w:val="1"/>
      <w:numFmt w:val="decimal"/>
      <w:lvlText w:val="%1."/>
      <w:lvlJc w:val="left"/>
      <w:pPr>
        <w:ind w:left="1008" w:hanging="360"/>
      </w:pPr>
    </w:lvl>
    <w:lvl w:ilvl="1" w:tplc="04270019" w:tentative="1">
      <w:start w:val="1"/>
      <w:numFmt w:val="lowerLetter"/>
      <w:lvlText w:val="%2."/>
      <w:lvlJc w:val="left"/>
      <w:pPr>
        <w:ind w:left="1728" w:hanging="360"/>
      </w:pPr>
    </w:lvl>
    <w:lvl w:ilvl="2" w:tplc="0427001B" w:tentative="1">
      <w:start w:val="1"/>
      <w:numFmt w:val="lowerRoman"/>
      <w:lvlText w:val="%3."/>
      <w:lvlJc w:val="right"/>
      <w:pPr>
        <w:ind w:left="2448" w:hanging="180"/>
      </w:pPr>
    </w:lvl>
    <w:lvl w:ilvl="3" w:tplc="0427000F" w:tentative="1">
      <w:start w:val="1"/>
      <w:numFmt w:val="decimal"/>
      <w:lvlText w:val="%4."/>
      <w:lvlJc w:val="left"/>
      <w:pPr>
        <w:ind w:left="3168" w:hanging="360"/>
      </w:pPr>
    </w:lvl>
    <w:lvl w:ilvl="4" w:tplc="04270019" w:tentative="1">
      <w:start w:val="1"/>
      <w:numFmt w:val="lowerLetter"/>
      <w:lvlText w:val="%5."/>
      <w:lvlJc w:val="left"/>
      <w:pPr>
        <w:ind w:left="3888" w:hanging="360"/>
      </w:pPr>
    </w:lvl>
    <w:lvl w:ilvl="5" w:tplc="0427001B" w:tentative="1">
      <w:start w:val="1"/>
      <w:numFmt w:val="lowerRoman"/>
      <w:lvlText w:val="%6."/>
      <w:lvlJc w:val="right"/>
      <w:pPr>
        <w:ind w:left="4608" w:hanging="180"/>
      </w:pPr>
    </w:lvl>
    <w:lvl w:ilvl="6" w:tplc="0427000F" w:tentative="1">
      <w:start w:val="1"/>
      <w:numFmt w:val="decimal"/>
      <w:lvlText w:val="%7."/>
      <w:lvlJc w:val="left"/>
      <w:pPr>
        <w:ind w:left="5328" w:hanging="360"/>
      </w:pPr>
    </w:lvl>
    <w:lvl w:ilvl="7" w:tplc="04270019" w:tentative="1">
      <w:start w:val="1"/>
      <w:numFmt w:val="lowerLetter"/>
      <w:lvlText w:val="%8."/>
      <w:lvlJc w:val="left"/>
      <w:pPr>
        <w:ind w:left="6048" w:hanging="360"/>
      </w:pPr>
    </w:lvl>
    <w:lvl w:ilvl="8" w:tplc="0427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7B997666"/>
    <w:multiLevelType w:val="hybridMultilevel"/>
    <w:tmpl w:val="236A1EFE"/>
    <w:lvl w:ilvl="0" w:tplc="16FC1230">
      <w:start w:val="1"/>
      <w:numFmt w:val="lowerLetter"/>
      <w:lvlText w:val="%1)"/>
      <w:lvlJc w:val="left"/>
      <w:pPr>
        <w:ind w:left="588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308" w:hanging="360"/>
      </w:pPr>
    </w:lvl>
    <w:lvl w:ilvl="2" w:tplc="0427001B" w:tentative="1">
      <w:start w:val="1"/>
      <w:numFmt w:val="lowerRoman"/>
      <w:lvlText w:val="%3."/>
      <w:lvlJc w:val="right"/>
      <w:pPr>
        <w:ind w:left="2028" w:hanging="180"/>
      </w:pPr>
    </w:lvl>
    <w:lvl w:ilvl="3" w:tplc="0427000F" w:tentative="1">
      <w:start w:val="1"/>
      <w:numFmt w:val="decimal"/>
      <w:lvlText w:val="%4."/>
      <w:lvlJc w:val="left"/>
      <w:pPr>
        <w:ind w:left="2748" w:hanging="360"/>
      </w:pPr>
    </w:lvl>
    <w:lvl w:ilvl="4" w:tplc="04270019" w:tentative="1">
      <w:start w:val="1"/>
      <w:numFmt w:val="lowerLetter"/>
      <w:lvlText w:val="%5."/>
      <w:lvlJc w:val="left"/>
      <w:pPr>
        <w:ind w:left="3468" w:hanging="360"/>
      </w:pPr>
    </w:lvl>
    <w:lvl w:ilvl="5" w:tplc="0427001B" w:tentative="1">
      <w:start w:val="1"/>
      <w:numFmt w:val="lowerRoman"/>
      <w:lvlText w:val="%6."/>
      <w:lvlJc w:val="right"/>
      <w:pPr>
        <w:ind w:left="4188" w:hanging="180"/>
      </w:pPr>
    </w:lvl>
    <w:lvl w:ilvl="6" w:tplc="0427000F" w:tentative="1">
      <w:start w:val="1"/>
      <w:numFmt w:val="decimal"/>
      <w:lvlText w:val="%7."/>
      <w:lvlJc w:val="left"/>
      <w:pPr>
        <w:ind w:left="4908" w:hanging="360"/>
      </w:pPr>
    </w:lvl>
    <w:lvl w:ilvl="7" w:tplc="04270019" w:tentative="1">
      <w:start w:val="1"/>
      <w:numFmt w:val="lowerLetter"/>
      <w:lvlText w:val="%8."/>
      <w:lvlJc w:val="left"/>
      <w:pPr>
        <w:ind w:left="5628" w:hanging="360"/>
      </w:pPr>
    </w:lvl>
    <w:lvl w:ilvl="8" w:tplc="0427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a Daukševič">
    <w15:presenceInfo w15:providerId="Windows Live" w15:userId="6c5dc4518492cb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9E"/>
    <w:rsid w:val="000306DC"/>
    <w:rsid w:val="000A0D8E"/>
    <w:rsid w:val="000A4154"/>
    <w:rsid w:val="000C50D5"/>
    <w:rsid w:val="000D6F13"/>
    <w:rsid w:val="000E3A77"/>
    <w:rsid w:val="000F2E84"/>
    <w:rsid w:val="00104378"/>
    <w:rsid w:val="00132180"/>
    <w:rsid w:val="00136E1C"/>
    <w:rsid w:val="001430D0"/>
    <w:rsid w:val="00147438"/>
    <w:rsid w:val="00151C60"/>
    <w:rsid w:val="0015467A"/>
    <w:rsid w:val="001557B0"/>
    <w:rsid w:val="00163D6C"/>
    <w:rsid w:val="00175EC7"/>
    <w:rsid w:val="001A58F6"/>
    <w:rsid w:val="001B0406"/>
    <w:rsid w:val="001D0D60"/>
    <w:rsid w:val="001E51B9"/>
    <w:rsid w:val="001F4922"/>
    <w:rsid w:val="002256B8"/>
    <w:rsid w:val="00265BC9"/>
    <w:rsid w:val="002A02F0"/>
    <w:rsid w:val="0030259E"/>
    <w:rsid w:val="00385CCC"/>
    <w:rsid w:val="00386621"/>
    <w:rsid w:val="003A3D17"/>
    <w:rsid w:val="003A6D38"/>
    <w:rsid w:val="003E606F"/>
    <w:rsid w:val="00413030"/>
    <w:rsid w:val="004147D3"/>
    <w:rsid w:val="004A50A5"/>
    <w:rsid w:val="00512F9F"/>
    <w:rsid w:val="00516D1D"/>
    <w:rsid w:val="00533BE7"/>
    <w:rsid w:val="005369D9"/>
    <w:rsid w:val="00537604"/>
    <w:rsid w:val="005473FF"/>
    <w:rsid w:val="0058066D"/>
    <w:rsid w:val="005D0B48"/>
    <w:rsid w:val="006133AE"/>
    <w:rsid w:val="00643B70"/>
    <w:rsid w:val="00657792"/>
    <w:rsid w:val="006F67F6"/>
    <w:rsid w:val="00726328"/>
    <w:rsid w:val="00776B17"/>
    <w:rsid w:val="007A1EC6"/>
    <w:rsid w:val="007C0552"/>
    <w:rsid w:val="008A7AE4"/>
    <w:rsid w:val="008B2395"/>
    <w:rsid w:val="008D1814"/>
    <w:rsid w:val="008F6C58"/>
    <w:rsid w:val="009105B6"/>
    <w:rsid w:val="00950D12"/>
    <w:rsid w:val="0096747F"/>
    <w:rsid w:val="00971502"/>
    <w:rsid w:val="00975E2A"/>
    <w:rsid w:val="0098178D"/>
    <w:rsid w:val="009C78F7"/>
    <w:rsid w:val="009D4594"/>
    <w:rsid w:val="009E5078"/>
    <w:rsid w:val="00A00F83"/>
    <w:rsid w:val="00A25888"/>
    <w:rsid w:val="00A30542"/>
    <w:rsid w:val="00A82649"/>
    <w:rsid w:val="00A91D77"/>
    <w:rsid w:val="00AB0A53"/>
    <w:rsid w:val="00AB5BBF"/>
    <w:rsid w:val="00AD6ADF"/>
    <w:rsid w:val="00AF1ED0"/>
    <w:rsid w:val="00B5627B"/>
    <w:rsid w:val="00B573F4"/>
    <w:rsid w:val="00B62323"/>
    <w:rsid w:val="00BB7D50"/>
    <w:rsid w:val="00BF61F0"/>
    <w:rsid w:val="00C56C88"/>
    <w:rsid w:val="00C92878"/>
    <w:rsid w:val="00D0084D"/>
    <w:rsid w:val="00D04249"/>
    <w:rsid w:val="00D16101"/>
    <w:rsid w:val="00D21BF4"/>
    <w:rsid w:val="00D474B7"/>
    <w:rsid w:val="00D61594"/>
    <w:rsid w:val="00D70BC1"/>
    <w:rsid w:val="00D77BFF"/>
    <w:rsid w:val="00D91FD5"/>
    <w:rsid w:val="00DA5FF0"/>
    <w:rsid w:val="00DC6643"/>
    <w:rsid w:val="00DF009F"/>
    <w:rsid w:val="00E0023B"/>
    <w:rsid w:val="00E26312"/>
    <w:rsid w:val="00E272FB"/>
    <w:rsid w:val="00E34D33"/>
    <w:rsid w:val="00E43A9E"/>
    <w:rsid w:val="00E51193"/>
    <w:rsid w:val="00E75316"/>
    <w:rsid w:val="00EA0C52"/>
    <w:rsid w:val="00EA70D9"/>
    <w:rsid w:val="00EB6ADE"/>
    <w:rsid w:val="00EC0573"/>
    <w:rsid w:val="00EC3772"/>
    <w:rsid w:val="00EC430F"/>
    <w:rsid w:val="00EE746D"/>
    <w:rsid w:val="00EF77EA"/>
    <w:rsid w:val="00F00789"/>
    <w:rsid w:val="00F2271B"/>
    <w:rsid w:val="00F82F27"/>
    <w:rsid w:val="00F86D3F"/>
    <w:rsid w:val="00F949B3"/>
    <w:rsid w:val="00FB2827"/>
    <w:rsid w:val="00F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2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025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259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025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259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30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B2827"/>
    <w:pPr>
      <w:ind w:left="720"/>
      <w:contextualSpacing/>
    </w:pPr>
  </w:style>
  <w:style w:type="character" w:styleId="Komentaronuoroda">
    <w:name w:val="annotation reference"/>
    <w:rsid w:val="00643B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43B7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43B70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3B7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3B70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53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531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2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025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259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025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259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30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B2827"/>
    <w:pPr>
      <w:ind w:left="720"/>
      <w:contextualSpacing/>
    </w:pPr>
  </w:style>
  <w:style w:type="character" w:styleId="Komentaronuoroda">
    <w:name w:val="annotation reference"/>
    <w:rsid w:val="00643B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43B7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43B70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3B7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3B70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53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531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73DF-B2FD-43F8-835C-BD6BD252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 Daukševič</dc:creator>
  <cp:lastModifiedBy>Joana Daukševič</cp:lastModifiedBy>
  <cp:revision>19</cp:revision>
  <cp:lastPrinted>2017-10-10T13:25:00Z</cp:lastPrinted>
  <dcterms:created xsi:type="dcterms:W3CDTF">2021-08-10T07:46:00Z</dcterms:created>
  <dcterms:modified xsi:type="dcterms:W3CDTF">2021-09-23T05:30:00Z</dcterms:modified>
</cp:coreProperties>
</file>