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6ACF9"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7196AE3C" w14:textId="77777777" w:rsidR="00676E45" w:rsidRDefault="00676E45">
      <w:pPr>
        <w:jc w:val="center"/>
      </w:pPr>
    </w:p>
    <w:p w14:paraId="3CA73593" w14:textId="77777777" w:rsidR="00676E45" w:rsidRDefault="00E4653D">
      <w:pPr>
        <w:jc w:val="center"/>
      </w:pPr>
      <w:r>
        <w:rPr>
          <w:noProof/>
        </w:rPr>
        <w:drawing>
          <wp:inline distT="0" distB="0" distL="0" distR="0" wp14:anchorId="7F494D23" wp14:editId="3A2144A8">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75BF12F4" w14:textId="77777777" w:rsidR="00676E45" w:rsidRDefault="00676E45">
      <w:pPr>
        <w:jc w:val="center"/>
        <w:rPr>
          <w:b/>
        </w:rPr>
      </w:pPr>
      <w:r>
        <w:rPr>
          <w:b/>
        </w:rPr>
        <w:t>LIETUVOS RESPUBLIKOS FINANSŲ MINISTERIJA</w:t>
      </w:r>
    </w:p>
    <w:p w14:paraId="3E471094" w14:textId="77777777" w:rsidR="00676E45" w:rsidRDefault="00676E45">
      <w:pPr>
        <w:jc w:val="center"/>
      </w:pPr>
    </w:p>
    <w:p w14:paraId="4753D402" w14:textId="77777777" w:rsidR="00676E45" w:rsidRDefault="00676E45">
      <w:pPr>
        <w:jc w:val="center"/>
      </w:pPr>
    </w:p>
    <w:p w14:paraId="75F92D2F" w14:textId="77777777" w:rsidR="00676E45" w:rsidRDefault="00676E45">
      <w:pPr>
        <w:jc w:val="center"/>
      </w:pPr>
    </w:p>
    <w:p w14:paraId="734769D2"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3119"/>
        <w:gridCol w:w="1701"/>
      </w:tblGrid>
      <w:tr w:rsidR="00676E45" w14:paraId="2AD66D63" w14:textId="77777777" w:rsidTr="00F24EC4">
        <w:tc>
          <w:tcPr>
            <w:tcW w:w="4927" w:type="dxa"/>
          </w:tcPr>
          <w:p w14:paraId="15B37FF9" w14:textId="77777777" w:rsidR="00676E45" w:rsidRDefault="006A6B1B" w:rsidP="00BA1ACC">
            <w:pPr>
              <w:spacing w:line="360" w:lineRule="auto"/>
            </w:pPr>
            <w:permStart w:id="2098622657" w:edGrp="everyone"/>
            <w:r>
              <w:t>Lietuvos Respublikos</w:t>
            </w:r>
            <w:r w:rsidR="0054765F">
              <w:t xml:space="preserve"> teisingumo ministerijai</w:t>
            </w:r>
          </w:p>
          <w:p w14:paraId="22412F7A" w14:textId="77777777" w:rsidR="00BA1ACC" w:rsidRDefault="00BA1ACC" w:rsidP="00BA1ACC">
            <w:pPr>
              <w:spacing w:line="360" w:lineRule="auto"/>
            </w:pPr>
          </w:p>
        </w:tc>
        <w:tc>
          <w:tcPr>
            <w:tcW w:w="4820" w:type="dxa"/>
            <w:gridSpan w:val="2"/>
          </w:tcPr>
          <w:p w14:paraId="39C721C1" w14:textId="77777777" w:rsidR="0077795D" w:rsidRDefault="0077795D" w:rsidP="008E163A">
            <w:pPr>
              <w:spacing w:line="360" w:lineRule="auto"/>
            </w:pPr>
          </w:p>
          <w:p w14:paraId="2766B910" w14:textId="77777777" w:rsidR="00657872" w:rsidRDefault="002E7E88" w:rsidP="003131A4">
            <w:pPr>
              <w:spacing w:line="360" w:lineRule="auto"/>
            </w:pPr>
            <w:r>
              <w:t xml:space="preserve">             </w:t>
            </w:r>
            <w:r w:rsidR="006A6B1B">
              <w:t>Į  20</w:t>
            </w:r>
            <w:r w:rsidR="0054765F">
              <w:t>2</w:t>
            </w:r>
            <w:r>
              <w:t>1</w:t>
            </w:r>
            <w:r w:rsidR="0054765F">
              <w:t>-</w:t>
            </w:r>
            <w:r w:rsidR="003131A4">
              <w:t>10-01</w:t>
            </w:r>
            <w:r w:rsidR="00A751FD">
              <w:t xml:space="preserve"> Nr. </w:t>
            </w:r>
            <w:r w:rsidRPr="002E7E88">
              <w:rPr>
                <w:color w:val="000000"/>
                <w:szCs w:val="24"/>
              </w:rPr>
              <w:t>(1.</w:t>
            </w:r>
            <w:r w:rsidR="003131A4">
              <w:rPr>
                <w:color w:val="000000"/>
                <w:szCs w:val="24"/>
              </w:rPr>
              <w:t>36</w:t>
            </w:r>
            <w:r w:rsidRPr="002E7E88">
              <w:rPr>
                <w:color w:val="000000"/>
                <w:szCs w:val="24"/>
              </w:rPr>
              <w:t>Mr) 2T-</w:t>
            </w:r>
            <w:r w:rsidR="003131A4">
              <w:rPr>
                <w:color w:val="000000"/>
                <w:szCs w:val="24"/>
              </w:rPr>
              <w:t>1050</w:t>
            </w:r>
          </w:p>
        </w:tc>
      </w:tr>
      <w:tr w:rsidR="00D86DAF" w14:paraId="713A9731" w14:textId="77777777" w:rsidTr="00F24EC4">
        <w:tc>
          <w:tcPr>
            <w:tcW w:w="4927" w:type="dxa"/>
          </w:tcPr>
          <w:p w14:paraId="7F2F28E2" w14:textId="77777777" w:rsidR="00F41B32" w:rsidRDefault="00F41B32" w:rsidP="0054765F">
            <w:pPr>
              <w:spacing w:line="360" w:lineRule="auto"/>
            </w:pPr>
          </w:p>
        </w:tc>
        <w:tc>
          <w:tcPr>
            <w:tcW w:w="4820" w:type="dxa"/>
            <w:gridSpan w:val="2"/>
          </w:tcPr>
          <w:p w14:paraId="4F404F9A" w14:textId="77777777" w:rsidR="00D86DAF" w:rsidRDefault="00D86DAF" w:rsidP="00BA1ACC">
            <w:pPr>
              <w:spacing w:line="360" w:lineRule="auto"/>
            </w:pPr>
          </w:p>
        </w:tc>
      </w:tr>
      <w:tr w:rsidR="001303BC" w:rsidRPr="00B62CC5" w14:paraId="25780D64" w14:textId="77777777" w:rsidTr="00F24EC4">
        <w:trPr>
          <w:cantSplit/>
          <w:trHeight w:val="629"/>
        </w:trPr>
        <w:tc>
          <w:tcPr>
            <w:tcW w:w="8046" w:type="dxa"/>
            <w:gridSpan w:val="2"/>
          </w:tcPr>
          <w:p w14:paraId="6FC7213E" w14:textId="77777777" w:rsidR="00BD3865" w:rsidRPr="0054765F" w:rsidRDefault="0054765F" w:rsidP="007A5235">
            <w:pPr>
              <w:spacing w:line="360" w:lineRule="auto"/>
              <w:rPr>
                <w:b/>
                <w:szCs w:val="24"/>
              </w:rPr>
            </w:pPr>
            <w:r w:rsidRPr="0054765F">
              <w:rPr>
                <w:b/>
                <w:bCs/>
                <w:color w:val="000000"/>
                <w:szCs w:val="24"/>
              </w:rPr>
              <w:t xml:space="preserve">DĖL </w:t>
            </w:r>
            <w:proofErr w:type="spellStart"/>
            <w:r w:rsidR="003131A4" w:rsidRPr="0054765F">
              <w:rPr>
                <w:b/>
                <w:bCs/>
                <w:color w:val="000000"/>
                <w:szCs w:val="24"/>
              </w:rPr>
              <w:t>DĖL</w:t>
            </w:r>
            <w:proofErr w:type="spellEnd"/>
            <w:r w:rsidR="003131A4" w:rsidRPr="0054765F">
              <w:rPr>
                <w:b/>
                <w:bCs/>
                <w:color w:val="000000"/>
                <w:szCs w:val="24"/>
              </w:rPr>
              <w:t xml:space="preserve"> </w:t>
            </w:r>
            <w:r w:rsidR="003131A4">
              <w:rPr>
                <w:b/>
                <w:bCs/>
                <w:color w:val="000000"/>
                <w:szCs w:val="24"/>
              </w:rPr>
              <w:t>BAUDŽIAMOJO KODEKSO, ADMINISTRACINIŲ NUSIŽENGIMŲ KODEKSO, BAUDŽIAMOJO PROCESO KODEKSO IR KRIMINALINĖS ŽVALGYBOS ĮSTATYM</w:t>
            </w:r>
            <w:r w:rsidR="007A5235">
              <w:rPr>
                <w:b/>
                <w:bCs/>
                <w:color w:val="000000"/>
                <w:szCs w:val="24"/>
              </w:rPr>
              <w:t>Ų</w:t>
            </w:r>
            <w:r w:rsidR="003131A4">
              <w:rPr>
                <w:b/>
                <w:bCs/>
                <w:color w:val="000000"/>
                <w:szCs w:val="24"/>
              </w:rPr>
              <w:t xml:space="preserve"> PAKEITIMO PROJEKTŲ</w:t>
            </w:r>
          </w:p>
        </w:tc>
        <w:tc>
          <w:tcPr>
            <w:tcW w:w="1701" w:type="dxa"/>
          </w:tcPr>
          <w:p w14:paraId="45533DD6" w14:textId="77777777" w:rsidR="00732BE0" w:rsidRPr="00B62CC5" w:rsidRDefault="00732BE0" w:rsidP="00D03034">
            <w:pPr>
              <w:spacing w:line="360" w:lineRule="auto"/>
              <w:rPr>
                <w:b/>
              </w:rPr>
            </w:pPr>
          </w:p>
        </w:tc>
      </w:tr>
    </w:tbl>
    <w:p w14:paraId="09A67638" w14:textId="77777777" w:rsidR="00676E45" w:rsidRDefault="00676E45" w:rsidP="00D03034">
      <w:pPr>
        <w:tabs>
          <w:tab w:val="center" w:pos="4153"/>
          <w:tab w:val="right" w:pos="8306"/>
        </w:tabs>
        <w:jc w:val="both"/>
      </w:pPr>
    </w:p>
    <w:p w14:paraId="5212015C" w14:textId="77777777" w:rsidR="00C731B5" w:rsidRDefault="00B37BE5" w:rsidP="00FD0972">
      <w:pPr>
        <w:autoSpaceDE w:val="0"/>
        <w:autoSpaceDN w:val="0"/>
        <w:adjustRightInd w:val="0"/>
        <w:jc w:val="both"/>
        <w:rPr>
          <w:szCs w:val="24"/>
        </w:rPr>
      </w:pPr>
      <w:r>
        <w:tab/>
      </w:r>
      <w:r w:rsidR="00304FC5" w:rsidRPr="008B7CCF">
        <w:rPr>
          <w:szCs w:val="24"/>
        </w:rPr>
        <w:t>Lietuvos Respublikos finansų ministerija</w:t>
      </w:r>
      <w:r w:rsidR="006D723C" w:rsidRPr="008B7CCF">
        <w:rPr>
          <w:szCs w:val="24"/>
        </w:rPr>
        <w:t>,</w:t>
      </w:r>
      <w:r w:rsidR="00304FC5" w:rsidRPr="008B7CCF">
        <w:rPr>
          <w:szCs w:val="24"/>
        </w:rPr>
        <w:t xml:space="preserve"> </w:t>
      </w:r>
      <w:r w:rsidR="00ED463E">
        <w:rPr>
          <w:szCs w:val="24"/>
        </w:rPr>
        <w:t>išnagrinėjusi</w:t>
      </w:r>
      <w:r w:rsidR="0077795D">
        <w:rPr>
          <w:szCs w:val="24"/>
        </w:rPr>
        <w:t xml:space="preserve"> </w:t>
      </w:r>
      <w:r w:rsidR="006A6B1B" w:rsidRPr="008B7CCF">
        <w:rPr>
          <w:szCs w:val="24"/>
        </w:rPr>
        <w:t xml:space="preserve">Lietuvos Respublikos </w:t>
      </w:r>
      <w:r w:rsidR="0054765F" w:rsidRPr="008B7CCF">
        <w:rPr>
          <w:szCs w:val="24"/>
        </w:rPr>
        <w:t xml:space="preserve">teisingumo ministerijos </w:t>
      </w:r>
      <w:r w:rsidR="003131A4">
        <w:rPr>
          <w:szCs w:val="24"/>
        </w:rPr>
        <w:t>pateikt</w:t>
      </w:r>
      <w:r w:rsidR="00ED463E">
        <w:rPr>
          <w:szCs w:val="24"/>
        </w:rPr>
        <w:t>us</w:t>
      </w:r>
      <w:r w:rsidR="0077795D">
        <w:rPr>
          <w:szCs w:val="24"/>
        </w:rPr>
        <w:t xml:space="preserve"> išvadoms gauti</w:t>
      </w:r>
      <w:r w:rsidR="003131A4">
        <w:rPr>
          <w:szCs w:val="24"/>
        </w:rPr>
        <w:t xml:space="preserve"> </w:t>
      </w:r>
      <w:r w:rsidR="003131A4" w:rsidRPr="00B22215">
        <w:rPr>
          <w:bCs/>
        </w:rPr>
        <w:t>Lietuvos Respublikos baudžiamojo kodekso 156, 176, 178, 180, 181, 182, 183, 184, 190, 192, 195, 196, 197, 199, 199</w:t>
      </w:r>
      <w:r w:rsidR="003131A4" w:rsidRPr="00B22215">
        <w:rPr>
          <w:bCs/>
          <w:vertAlign w:val="superscript"/>
        </w:rPr>
        <w:t>1</w:t>
      </w:r>
      <w:r w:rsidR="003131A4" w:rsidRPr="00B22215">
        <w:rPr>
          <w:bCs/>
        </w:rPr>
        <w:t>, 199</w:t>
      </w:r>
      <w:r w:rsidR="003131A4" w:rsidRPr="00B22215">
        <w:rPr>
          <w:bCs/>
          <w:vertAlign w:val="superscript"/>
        </w:rPr>
        <w:t>2</w:t>
      </w:r>
      <w:r w:rsidR="003131A4" w:rsidRPr="00B22215">
        <w:rPr>
          <w:bCs/>
        </w:rPr>
        <w:t>, 200, 201, 203, 204, 206, 208, 209, 212, 219, 220, 221,222, 223, 224, 224</w:t>
      </w:r>
      <w:r w:rsidR="003131A4" w:rsidRPr="00B22215">
        <w:rPr>
          <w:bCs/>
          <w:vertAlign w:val="superscript"/>
        </w:rPr>
        <w:t>1</w:t>
      </w:r>
      <w:r w:rsidR="003131A4" w:rsidRPr="00B22215">
        <w:rPr>
          <w:bCs/>
        </w:rPr>
        <w:t xml:space="preserve">, 246, 248, </w:t>
      </w:r>
      <w:r w:rsidR="003131A4" w:rsidRPr="00B22215">
        <w:t xml:space="preserve">253, </w:t>
      </w:r>
      <w:r w:rsidR="003131A4" w:rsidRPr="00B22215">
        <w:rPr>
          <w:bCs/>
        </w:rPr>
        <w:t xml:space="preserve">255, </w:t>
      </w:r>
      <w:r w:rsidR="003131A4" w:rsidRPr="00B22215">
        <w:t>256, 267, 267</w:t>
      </w:r>
      <w:r w:rsidR="003131A4" w:rsidRPr="00B22215">
        <w:rPr>
          <w:vertAlign w:val="superscript"/>
        </w:rPr>
        <w:t>1</w:t>
      </w:r>
      <w:r w:rsidR="003131A4" w:rsidRPr="00B22215">
        <w:t>,</w:t>
      </w:r>
      <w:r w:rsidR="003131A4" w:rsidRPr="00B22215">
        <w:rPr>
          <w:b/>
          <w:bCs/>
        </w:rPr>
        <w:t xml:space="preserve"> </w:t>
      </w:r>
      <w:r w:rsidR="003131A4" w:rsidRPr="00B22215">
        <w:rPr>
          <w:bCs/>
        </w:rPr>
        <w:t>270, 272, 277 ir 281 straipsnių pakeitimo, Kodekso papildymo 282</w:t>
      </w:r>
      <w:r w:rsidR="003131A4" w:rsidRPr="00B22215">
        <w:rPr>
          <w:bCs/>
          <w:vertAlign w:val="superscript"/>
        </w:rPr>
        <w:t>1</w:t>
      </w:r>
      <w:r w:rsidR="003131A4" w:rsidRPr="00B22215">
        <w:rPr>
          <w:bCs/>
        </w:rPr>
        <w:t xml:space="preserve"> straipsniu ir Kodekso 177, 186 ir 298 straipsnių pripažinimo netekusiais galios įstatymo, Lietuvos Respublikos administracinių nusižengimų kodekso 115, 122, 125, 137, 187 ir 589 straipsnių pakeitimo ir Kodekso papildymo 107</w:t>
      </w:r>
      <w:r w:rsidR="003131A4" w:rsidRPr="00B22215">
        <w:rPr>
          <w:bCs/>
          <w:vertAlign w:val="superscript"/>
        </w:rPr>
        <w:t>1</w:t>
      </w:r>
      <w:r w:rsidR="003131A4" w:rsidRPr="00B22215">
        <w:rPr>
          <w:bCs/>
        </w:rPr>
        <w:t>, 113</w:t>
      </w:r>
      <w:r w:rsidR="003131A4" w:rsidRPr="00B22215">
        <w:rPr>
          <w:bCs/>
          <w:vertAlign w:val="superscript"/>
        </w:rPr>
        <w:t>1</w:t>
      </w:r>
      <w:r w:rsidR="003131A4" w:rsidRPr="00B22215">
        <w:rPr>
          <w:bCs/>
        </w:rPr>
        <w:t>, 187</w:t>
      </w:r>
      <w:r w:rsidR="003131A4" w:rsidRPr="00B22215">
        <w:rPr>
          <w:bCs/>
          <w:vertAlign w:val="superscript"/>
        </w:rPr>
        <w:t>1</w:t>
      </w:r>
      <w:r w:rsidR="003131A4" w:rsidRPr="00B22215">
        <w:rPr>
          <w:bCs/>
        </w:rPr>
        <w:t>, 293</w:t>
      </w:r>
      <w:r w:rsidR="003131A4" w:rsidRPr="00B22215">
        <w:rPr>
          <w:bCs/>
          <w:vertAlign w:val="superscript"/>
        </w:rPr>
        <w:t>1</w:t>
      </w:r>
      <w:r w:rsidR="003131A4" w:rsidRPr="00B22215">
        <w:rPr>
          <w:bCs/>
        </w:rPr>
        <w:t xml:space="preserve"> ir 474</w:t>
      </w:r>
      <w:r w:rsidR="003131A4" w:rsidRPr="00B22215">
        <w:rPr>
          <w:bCs/>
          <w:vertAlign w:val="superscript"/>
        </w:rPr>
        <w:t>1</w:t>
      </w:r>
      <w:r w:rsidR="003131A4" w:rsidRPr="00B22215">
        <w:rPr>
          <w:bCs/>
        </w:rPr>
        <w:t xml:space="preserve"> straipsniais įstatymo, Lietuvos Respublikos baudžiamojo proceso kodekso 122, 167 ir 225 straipsnių pakeitimo įstatymo ir Lietuvos Respublikos kriminalinės žvalgybos įstatymo Nr. XI-2234 8 straipsnio pakeitimo įstatymo projekt</w:t>
      </w:r>
      <w:r w:rsidR="00ED463E">
        <w:rPr>
          <w:bCs/>
        </w:rPr>
        <w:t>us</w:t>
      </w:r>
      <w:r w:rsidR="00284524">
        <w:rPr>
          <w:szCs w:val="24"/>
        </w:rPr>
        <w:t xml:space="preserve">, </w:t>
      </w:r>
      <w:r w:rsidR="0077795D">
        <w:rPr>
          <w:szCs w:val="24"/>
        </w:rPr>
        <w:t>teikia  pastabas ir pasiūlymus</w:t>
      </w:r>
      <w:r w:rsidR="00ED463E">
        <w:rPr>
          <w:szCs w:val="24"/>
        </w:rPr>
        <w:t>.</w:t>
      </w:r>
    </w:p>
    <w:p w14:paraId="17CAF70C" w14:textId="77777777" w:rsidR="00FD0972" w:rsidRDefault="00FD0972" w:rsidP="00ED463E">
      <w:pPr>
        <w:ind w:firstLine="709"/>
        <w:jc w:val="both"/>
        <w:rPr>
          <w:szCs w:val="24"/>
        </w:rPr>
      </w:pPr>
    </w:p>
    <w:p w14:paraId="60744BEB" w14:textId="77777777" w:rsidR="00ED463E" w:rsidRDefault="00ED463E" w:rsidP="00ED463E">
      <w:pPr>
        <w:ind w:firstLine="709"/>
        <w:jc w:val="both"/>
        <w:rPr>
          <w:szCs w:val="24"/>
        </w:rPr>
      </w:pPr>
      <w:r w:rsidRPr="000B56A6">
        <w:rPr>
          <w:b/>
          <w:szCs w:val="24"/>
        </w:rPr>
        <w:t>1.</w:t>
      </w:r>
      <w:r>
        <w:rPr>
          <w:szCs w:val="24"/>
        </w:rPr>
        <w:t xml:space="preserve"> Dėl </w:t>
      </w:r>
      <w:r w:rsidRPr="00624146">
        <w:rPr>
          <w:bCs/>
        </w:rPr>
        <w:t>Lietuvos Respublikos baudžiamojo kodekso 156, 176, 178, 180, 181, 182, 183, 184, 190, 192, 195, 196, 197, 199, 199</w:t>
      </w:r>
      <w:r w:rsidRPr="00624146">
        <w:rPr>
          <w:bCs/>
          <w:vertAlign w:val="superscript"/>
        </w:rPr>
        <w:t>1</w:t>
      </w:r>
      <w:r w:rsidRPr="00624146">
        <w:rPr>
          <w:bCs/>
        </w:rPr>
        <w:t>, 199</w:t>
      </w:r>
      <w:r w:rsidRPr="00624146">
        <w:rPr>
          <w:bCs/>
          <w:vertAlign w:val="superscript"/>
        </w:rPr>
        <w:t>2</w:t>
      </w:r>
      <w:r w:rsidRPr="00624146">
        <w:rPr>
          <w:bCs/>
        </w:rPr>
        <w:t>, 200, 201, 203, 204, 206, 208, 209, 212, 219, 220, 221,222, 223, 224, 224</w:t>
      </w:r>
      <w:r w:rsidRPr="00624146">
        <w:rPr>
          <w:bCs/>
          <w:vertAlign w:val="superscript"/>
        </w:rPr>
        <w:t>1</w:t>
      </w:r>
      <w:r w:rsidRPr="00624146">
        <w:rPr>
          <w:bCs/>
        </w:rPr>
        <w:t xml:space="preserve">, 246, 248, </w:t>
      </w:r>
      <w:r w:rsidRPr="00624146">
        <w:t xml:space="preserve">253, </w:t>
      </w:r>
      <w:r w:rsidRPr="00624146">
        <w:rPr>
          <w:bCs/>
        </w:rPr>
        <w:t xml:space="preserve">255, </w:t>
      </w:r>
      <w:r w:rsidRPr="00624146">
        <w:t>256, 267, 267</w:t>
      </w:r>
      <w:r w:rsidRPr="00624146">
        <w:rPr>
          <w:vertAlign w:val="superscript"/>
        </w:rPr>
        <w:t>1</w:t>
      </w:r>
      <w:r w:rsidRPr="00624146">
        <w:t>,</w:t>
      </w:r>
      <w:r w:rsidRPr="00624146">
        <w:rPr>
          <w:bCs/>
        </w:rPr>
        <w:t xml:space="preserve"> 270, 272, 277 ir 281 straipsnių pakeitimo, Kodekso papildymo 282</w:t>
      </w:r>
      <w:r w:rsidRPr="00624146">
        <w:rPr>
          <w:bCs/>
          <w:vertAlign w:val="superscript"/>
        </w:rPr>
        <w:t>1</w:t>
      </w:r>
      <w:r w:rsidRPr="00624146">
        <w:rPr>
          <w:bCs/>
        </w:rPr>
        <w:t xml:space="preserve"> straipsniu ir Kodekso 177, 186 ir 298 straipsnių pripažinimo netekusiais galios įstatymo</w:t>
      </w:r>
      <w:r>
        <w:rPr>
          <w:bCs/>
        </w:rPr>
        <w:t xml:space="preserve"> projekto</w:t>
      </w:r>
      <w:r w:rsidR="009A653A">
        <w:rPr>
          <w:bCs/>
        </w:rPr>
        <w:t xml:space="preserve"> (toliau – BK projektas)</w:t>
      </w:r>
      <w:r>
        <w:rPr>
          <w:bCs/>
        </w:rPr>
        <w:t>:</w:t>
      </w:r>
    </w:p>
    <w:p w14:paraId="689157ED" w14:textId="77777777" w:rsidR="00ED463E" w:rsidRDefault="007B6DF2" w:rsidP="00ED463E">
      <w:pPr>
        <w:ind w:firstLine="709"/>
        <w:jc w:val="both"/>
        <w:rPr>
          <w:rFonts w:eastAsia="Calibri"/>
          <w:bCs/>
          <w:iCs/>
          <w:szCs w:val="24"/>
        </w:rPr>
      </w:pPr>
      <w:r w:rsidRPr="000B56A6">
        <w:rPr>
          <w:rFonts w:eastAsia="Calibri"/>
          <w:b/>
          <w:bCs/>
          <w:iCs/>
          <w:szCs w:val="24"/>
        </w:rPr>
        <w:t>1.1.</w:t>
      </w:r>
      <w:r>
        <w:rPr>
          <w:rFonts w:eastAsia="Calibri"/>
          <w:bCs/>
          <w:iCs/>
          <w:szCs w:val="24"/>
        </w:rPr>
        <w:t xml:space="preserve"> </w:t>
      </w:r>
      <w:r w:rsidR="00ED463E">
        <w:rPr>
          <w:rFonts w:eastAsia="Calibri"/>
          <w:bCs/>
          <w:iCs/>
          <w:szCs w:val="24"/>
        </w:rPr>
        <w:t xml:space="preserve">Kaip nurodyta </w:t>
      </w:r>
      <w:r w:rsidR="00ED463E" w:rsidRPr="00DB630B">
        <w:rPr>
          <w:rFonts w:eastAsia="Calibri"/>
          <w:bCs/>
          <w:iCs/>
          <w:szCs w:val="24"/>
        </w:rPr>
        <w:t xml:space="preserve">aiškinamajame rašte, </w:t>
      </w:r>
      <w:r w:rsidR="009A653A">
        <w:rPr>
          <w:rFonts w:eastAsia="Calibri"/>
          <w:bCs/>
          <w:iCs/>
          <w:szCs w:val="24"/>
        </w:rPr>
        <w:t>BK</w:t>
      </w:r>
      <w:r w:rsidR="00ED463E">
        <w:rPr>
          <w:bCs/>
        </w:rPr>
        <w:t xml:space="preserve"> </w:t>
      </w:r>
      <w:r w:rsidR="00ED463E" w:rsidRPr="00DB630B">
        <w:rPr>
          <w:rFonts w:eastAsia="Calibri"/>
          <w:bCs/>
          <w:iCs/>
          <w:szCs w:val="24"/>
        </w:rPr>
        <w:t xml:space="preserve">projektu </w:t>
      </w:r>
      <w:r w:rsidR="00ED463E" w:rsidRPr="00DB630B">
        <w:rPr>
          <w:rFonts w:eastAsia="Calibri"/>
          <w:bCs/>
          <w:szCs w:val="24"/>
        </w:rPr>
        <w:t>siūloma panaikinti</w:t>
      </w:r>
      <w:r w:rsidR="00ED463E" w:rsidRPr="00DB630B">
        <w:rPr>
          <w:rFonts w:eastAsia="Calibri"/>
          <w:bCs/>
          <w:iCs/>
          <w:szCs w:val="24"/>
        </w:rPr>
        <w:t xml:space="preserve"> perteklines, netinkamas bei nepagrįstai griežtas </w:t>
      </w:r>
      <w:r w:rsidR="00ED463E" w:rsidRPr="00B22215">
        <w:rPr>
          <w:bCs/>
        </w:rPr>
        <w:t xml:space="preserve">Lietuvos Respublikos </w:t>
      </w:r>
      <w:r w:rsidR="00ED463E">
        <w:rPr>
          <w:bCs/>
        </w:rPr>
        <w:t>b</w:t>
      </w:r>
      <w:r w:rsidR="00ED463E" w:rsidRPr="00DB630B">
        <w:rPr>
          <w:rFonts w:eastAsia="Calibri"/>
          <w:bCs/>
          <w:iCs/>
          <w:szCs w:val="24"/>
        </w:rPr>
        <w:t>audžiamojo kodekso (toliau – BK) 199 straipsnio 2 ir 4 dalis, kurias panaikinus</w:t>
      </w:r>
      <w:r w:rsidR="00ED463E">
        <w:rPr>
          <w:rFonts w:eastAsia="Calibri"/>
          <w:bCs/>
          <w:iCs/>
          <w:szCs w:val="24"/>
        </w:rPr>
        <w:t>,</w:t>
      </w:r>
      <w:r w:rsidR="00ED463E" w:rsidRPr="00DB630B">
        <w:rPr>
          <w:rFonts w:eastAsia="Calibri"/>
          <w:bCs/>
          <w:iCs/>
          <w:szCs w:val="24"/>
        </w:rPr>
        <w:t xml:space="preserve"> visi neteisėto disponavimo (įskaitant ir gabenimą per Lietuvos Respublikos sieną) narkotinėmis ar psichotropinėmis medžiagomis atvejai būtų nuosekliai kriminalizuoti ir kvalifikuojami (tuo pačiu tinkamai atsižvelgiant į gabenamų narkotinių ar psichotropinių medžiagų kiekius bei į tai, ar gabenama su tikslu platinti šias medžiagas</w:t>
      </w:r>
      <w:r w:rsidR="00ED463E">
        <w:rPr>
          <w:rFonts w:eastAsia="Calibri"/>
          <w:bCs/>
          <w:iCs/>
          <w:szCs w:val="24"/>
        </w:rPr>
        <w:t>,</w:t>
      </w:r>
      <w:r w:rsidR="00ED463E" w:rsidRPr="00DB630B">
        <w:rPr>
          <w:rFonts w:eastAsia="Calibri"/>
          <w:bCs/>
          <w:iCs/>
          <w:szCs w:val="24"/>
        </w:rPr>
        <w:t xml:space="preserve"> ar asmeniniam vartojimui) pagal BK XXXVII skyriaus 259</w:t>
      </w:r>
      <w:r w:rsidR="00403E9B" w:rsidRPr="00403E9B">
        <w:rPr>
          <w:rFonts w:eastAsia="Calibri"/>
          <w:bCs/>
          <w:iCs/>
          <w:szCs w:val="24"/>
          <w:vertAlign w:val="superscript"/>
        </w:rPr>
        <w:t>28</w:t>
      </w:r>
      <w:r w:rsidR="00ED463E" w:rsidRPr="00DB630B">
        <w:rPr>
          <w:rFonts w:eastAsia="Calibri"/>
          <w:bCs/>
          <w:iCs/>
          <w:szCs w:val="24"/>
        </w:rPr>
        <w:t xml:space="preserve"> – 260 straipsnius. </w:t>
      </w:r>
    </w:p>
    <w:p w14:paraId="2AE70BF8" w14:textId="77777777" w:rsidR="00ED463E" w:rsidRDefault="00ED463E" w:rsidP="00ED463E">
      <w:pPr>
        <w:ind w:firstLine="709"/>
        <w:jc w:val="both"/>
        <w:rPr>
          <w:bCs/>
          <w:color w:val="000000"/>
          <w:szCs w:val="24"/>
        </w:rPr>
      </w:pPr>
      <w:r w:rsidRPr="00DB630B">
        <w:rPr>
          <w:rFonts w:eastAsia="Calibri"/>
          <w:bCs/>
          <w:iCs/>
          <w:szCs w:val="24"/>
        </w:rPr>
        <w:t xml:space="preserve">BK 260 straipsnio 3 dalis nustato baudžiamąją atsakomybę už </w:t>
      </w:r>
      <w:r w:rsidRPr="00DB630B">
        <w:rPr>
          <w:bCs/>
          <w:color w:val="000000"/>
          <w:szCs w:val="24"/>
        </w:rPr>
        <w:t>neteisėtą disponavimą labai dideliu narkotinių ar psichotropinių medžiagų kiekiu (be tikslo jas platinti) ir tok</w:t>
      </w:r>
      <w:r>
        <w:rPr>
          <w:bCs/>
          <w:color w:val="000000"/>
          <w:szCs w:val="24"/>
        </w:rPr>
        <w:t>ią</w:t>
      </w:r>
      <w:r w:rsidRPr="00DB630B">
        <w:rPr>
          <w:bCs/>
          <w:color w:val="000000"/>
          <w:szCs w:val="24"/>
        </w:rPr>
        <w:t xml:space="preserve"> veiką laiko labai sunkiu nusikaltimu. Tuo tarpu disponavimas dideliu narkotinių ar psichotropinių medžiagų kiekiu be tikslo platinti būtų kvalifikuojamas pagal BK 259 straipsnio 1 dalį ir laikomas nesunkiu nusikaltimu. </w:t>
      </w:r>
      <w:r>
        <w:rPr>
          <w:bCs/>
          <w:color w:val="000000"/>
          <w:szCs w:val="24"/>
        </w:rPr>
        <w:t xml:space="preserve">Akivaizdu, kad asmenys, gabenantys ne tik labai didelius bet ir didelius narkotinių </w:t>
      </w:r>
      <w:r w:rsidRPr="00DB630B">
        <w:rPr>
          <w:bCs/>
          <w:color w:val="000000"/>
          <w:szCs w:val="24"/>
        </w:rPr>
        <w:t>ar psichotropinių medžiagų kiekiu</w:t>
      </w:r>
      <w:r>
        <w:rPr>
          <w:bCs/>
          <w:color w:val="000000"/>
          <w:szCs w:val="24"/>
        </w:rPr>
        <w:t xml:space="preserve">s, tai daro ne savo asmeninių poreikių tenkinimo, bet pardavimo, realizavimo tikslais, kuriuos ne visada pavyksta įrodyti, todėl už didelių narkotinių </w:t>
      </w:r>
      <w:r w:rsidRPr="00DB630B">
        <w:rPr>
          <w:bCs/>
          <w:color w:val="000000"/>
          <w:szCs w:val="24"/>
        </w:rPr>
        <w:t>ar psichotropinių medžiagų</w:t>
      </w:r>
      <w:r>
        <w:rPr>
          <w:bCs/>
          <w:color w:val="000000"/>
          <w:szCs w:val="24"/>
        </w:rPr>
        <w:t xml:space="preserve"> kiekių disponavimą be tikslo platinti, </w:t>
      </w:r>
      <w:r w:rsidRPr="0088388D">
        <w:rPr>
          <w:bCs/>
          <w:color w:val="000000"/>
          <w:szCs w:val="24"/>
        </w:rPr>
        <w:t>kaip darantį didelę</w:t>
      </w:r>
      <w:r w:rsidRPr="0088388D">
        <w:rPr>
          <w:rFonts w:eastAsia="Calibri"/>
          <w:bCs/>
          <w:szCs w:val="24"/>
        </w:rPr>
        <w:t xml:space="preserve"> žalą valstybei bei visuomenei</w:t>
      </w:r>
      <w:r>
        <w:rPr>
          <w:rFonts w:eastAsia="Calibri"/>
          <w:bCs/>
          <w:szCs w:val="24"/>
        </w:rPr>
        <w:t xml:space="preserve">, </w:t>
      </w:r>
      <w:r>
        <w:rPr>
          <w:bCs/>
          <w:color w:val="000000"/>
          <w:szCs w:val="24"/>
        </w:rPr>
        <w:t xml:space="preserve">turėtų būti numatyta griežtesnė baudžiamoji atsakomybė nei numatyta BK 259 straipsnio 1 dalyje. </w:t>
      </w:r>
      <w:r>
        <w:rPr>
          <w:bCs/>
          <w:color w:val="000000"/>
          <w:szCs w:val="24"/>
        </w:rPr>
        <w:lastRenderedPageBreak/>
        <w:t xml:space="preserve">Atsižvelgiant į tai, siūlytume BK 260 straipsnį papildyti </w:t>
      </w:r>
      <w:r w:rsidR="0022758E">
        <w:rPr>
          <w:bCs/>
          <w:color w:val="000000"/>
          <w:szCs w:val="24"/>
        </w:rPr>
        <w:t xml:space="preserve">nauja </w:t>
      </w:r>
      <w:r w:rsidR="009C1018">
        <w:rPr>
          <w:bCs/>
          <w:color w:val="000000"/>
          <w:szCs w:val="24"/>
        </w:rPr>
        <w:t>dispozicija</w:t>
      </w:r>
      <w:r w:rsidR="009A653A">
        <w:rPr>
          <w:bCs/>
          <w:color w:val="000000"/>
          <w:szCs w:val="24"/>
        </w:rPr>
        <w:t xml:space="preserve"> (atitinkamai papildant straipsnio pavadinimą)</w:t>
      </w:r>
      <w:r>
        <w:rPr>
          <w:bCs/>
          <w:color w:val="000000"/>
          <w:szCs w:val="24"/>
        </w:rPr>
        <w:t>:</w:t>
      </w:r>
    </w:p>
    <w:p w14:paraId="7CC30002" w14:textId="77777777" w:rsidR="0022758E" w:rsidRPr="0088388D" w:rsidRDefault="0022758E" w:rsidP="0022758E">
      <w:pPr>
        <w:ind w:firstLine="709"/>
        <w:jc w:val="both"/>
        <w:rPr>
          <w:szCs w:val="24"/>
        </w:rPr>
      </w:pPr>
      <w:r w:rsidRPr="0088388D">
        <w:rPr>
          <w:szCs w:val="24"/>
        </w:rPr>
        <w:t>„Tas, kas neteisėtai gamino, perdirbo, įgijo, laikė, gabeno, siuntė, pardavė ar kitaip platino didelį kiekį narkotinių ar psichotropinių medžiagų,</w:t>
      </w:r>
      <w:r>
        <w:rPr>
          <w:szCs w:val="24"/>
        </w:rPr>
        <w:t xml:space="preserve"> </w:t>
      </w:r>
    </w:p>
    <w:p w14:paraId="5FE4418A" w14:textId="77777777" w:rsidR="0022758E" w:rsidRPr="0088388D" w:rsidRDefault="0022758E" w:rsidP="0022758E">
      <w:pPr>
        <w:ind w:firstLine="709"/>
        <w:jc w:val="both"/>
        <w:rPr>
          <w:szCs w:val="24"/>
        </w:rPr>
      </w:pPr>
      <w:r w:rsidRPr="0088388D">
        <w:rPr>
          <w:szCs w:val="24"/>
        </w:rPr>
        <w:t>baudžiamas laisvės atėmimu nuo trijų iki dešimties metų“</w:t>
      </w:r>
      <w:r w:rsidR="007B6DF2">
        <w:rPr>
          <w:szCs w:val="24"/>
        </w:rPr>
        <w:t>.</w:t>
      </w:r>
    </w:p>
    <w:p w14:paraId="52B32BDD" w14:textId="77777777" w:rsidR="000B56A6" w:rsidRDefault="000B56A6" w:rsidP="007B6DF2">
      <w:pPr>
        <w:widowControl w:val="0"/>
        <w:suppressAutoHyphens/>
        <w:ind w:firstLine="720"/>
        <w:jc w:val="both"/>
        <w:rPr>
          <w:b/>
          <w:szCs w:val="24"/>
        </w:rPr>
      </w:pPr>
    </w:p>
    <w:p w14:paraId="3EA6AA3B" w14:textId="77777777" w:rsidR="007B6DF2" w:rsidRDefault="007B6DF2" w:rsidP="007B6DF2">
      <w:pPr>
        <w:widowControl w:val="0"/>
        <w:suppressAutoHyphens/>
        <w:ind w:firstLine="720"/>
        <w:jc w:val="both"/>
        <w:rPr>
          <w:color w:val="000000" w:themeColor="text1"/>
          <w:shd w:val="clear" w:color="auto" w:fill="FFFFFF"/>
        </w:rPr>
      </w:pPr>
      <w:r w:rsidRPr="000B56A6">
        <w:rPr>
          <w:b/>
          <w:szCs w:val="24"/>
        </w:rPr>
        <w:t>1.2.</w:t>
      </w:r>
      <w:r w:rsidRPr="007B6DF2">
        <w:rPr>
          <w:rFonts w:ascii="Times" w:hAnsi="Times" w:cs="Times"/>
        </w:rPr>
        <w:t xml:space="preserve"> </w:t>
      </w:r>
      <w:r>
        <w:rPr>
          <w:rFonts w:ascii="Times" w:hAnsi="Times" w:cs="Times"/>
        </w:rPr>
        <w:t>Atkreipiame dėmesį, kad Lietuvos Respublikos Seimui pateiktas Lietuvos Respublikos b</w:t>
      </w:r>
      <w:r w:rsidRPr="009573EE">
        <w:rPr>
          <w:szCs w:val="24"/>
        </w:rPr>
        <w:t xml:space="preserve">audžiamojo kodekso 222 ir 223 straipsnių pakeitimo įstatymo projektas </w:t>
      </w:r>
      <w:r w:rsidRPr="009573EE">
        <w:rPr>
          <w:bCs/>
          <w:szCs w:val="24"/>
        </w:rPr>
        <w:t xml:space="preserve">Nr. </w:t>
      </w:r>
      <w:r w:rsidRPr="009573EE">
        <w:t>XIVP-741</w:t>
      </w:r>
      <w:r>
        <w:t xml:space="preserve">, kuriuo </w:t>
      </w:r>
      <w:r w:rsidRPr="00871055">
        <w:rPr>
          <w:iCs/>
          <w:color w:val="000000"/>
          <w:szCs w:val="24"/>
        </w:rPr>
        <w:t>numatomos nuostatos dėl apskaitos organizavimo</w:t>
      </w:r>
      <w:r>
        <w:rPr>
          <w:iCs/>
          <w:color w:val="000000"/>
          <w:szCs w:val="24"/>
        </w:rPr>
        <w:t xml:space="preserve">, </w:t>
      </w:r>
      <w:r>
        <w:rPr>
          <w:color w:val="000000"/>
          <w:szCs w:val="24"/>
        </w:rPr>
        <w:t xml:space="preserve">tikslinama </w:t>
      </w:r>
      <w:r w:rsidRPr="00871055">
        <w:rPr>
          <w:color w:val="000000"/>
          <w:szCs w:val="24"/>
        </w:rPr>
        <w:t>nuoroda į finansinę apskaitą.</w:t>
      </w:r>
      <w:r>
        <w:rPr>
          <w:color w:val="000000"/>
          <w:szCs w:val="24"/>
        </w:rPr>
        <w:t xml:space="preserve"> </w:t>
      </w:r>
      <w:r w:rsidR="00D050B0">
        <w:rPr>
          <w:color w:val="000000"/>
          <w:szCs w:val="24"/>
        </w:rPr>
        <w:t>Seimui p</w:t>
      </w:r>
      <w:r w:rsidR="0087782E">
        <w:rPr>
          <w:color w:val="000000"/>
          <w:szCs w:val="24"/>
        </w:rPr>
        <w:t xml:space="preserve">riėmus </w:t>
      </w:r>
      <w:r>
        <w:rPr>
          <w:color w:val="000000"/>
          <w:szCs w:val="24"/>
        </w:rPr>
        <w:t>nurodyt</w:t>
      </w:r>
      <w:r w:rsidR="0087782E">
        <w:rPr>
          <w:color w:val="000000"/>
          <w:szCs w:val="24"/>
        </w:rPr>
        <w:t>ą</w:t>
      </w:r>
      <w:r>
        <w:rPr>
          <w:color w:val="000000"/>
          <w:szCs w:val="24"/>
        </w:rPr>
        <w:t xml:space="preserve"> </w:t>
      </w:r>
      <w:r w:rsidRPr="009573EE">
        <w:rPr>
          <w:szCs w:val="24"/>
        </w:rPr>
        <w:t>projek</w:t>
      </w:r>
      <w:r w:rsidR="0087782E">
        <w:rPr>
          <w:szCs w:val="24"/>
        </w:rPr>
        <w:t>tą</w:t>
      </w:r>
      <w:r w:rsidRPr="00250746">
        <w:rPr>
          <w:color w:val="000000" w:themeColor="text1"/>
          <w:shd w:val="clear" w:color="auto" w:fill="FFFFFF"/>
        </w:rPr>
        <w:t xml:space="preserve">, </w:t>
      </w:r>
      <w:r>
        <w:rPr>
          <w:color w:val="000000" w:themeColor="text1"/>
          <w:shd w:val="clear" w:color="auto" w:fill="FFFFFF"/>
        </w:rPr>
        <w:t>BK projekt</w:t>
      </w:r>
      <w:r w:rsidR="0087782E">
        <w:rPr>
          <w:color w:val="000000" w:themeColor="text1"/>
          <w:shd w:val="clear" w:color="auto" w:fill="FFFFFF"/>
        </w:rPr>
        <w:t>o 30 straipsniu</w:t>
      </w:r>
      <w:r>
        <w:t xml:space="preserve"> keičiamo BK 222 straipsnio 1 dalies nuostata </w:t>
      </w:r>
      <w:r w:rsidRPr="00250746">
        <w:rPr>
          <w:color w:val="000000" w:themeColor="text1"/>
          <w:shd w:val="clear" w:color="auto" w:fill="FFFFFF"/>
        </w:rPr>
        <w:t>turė</w:t>
      </w:r>
      <w:r>
        <w:rPr>
          <w:color w:val="000000" w:themeColor="text1"/>
          <w:shd w:val="clear" w:color="auto" w:fill="FFFFFF"/>
        </w:rPr>
        <w:t>tų</w:t>
      </w:r>
      <w:r w:rsidRPr="00250746">
        <w:rPr>
          <w:color w:val="000000" w:themeColor="text1"/>
          <w:shd w:val="clear" w:color="auto" w:fill="FFFFFF"/>
        </w:rPr>
        <w:t xml:space="preserve"> būti </w:t>
      </w:r>
      <w:r>
        <w:rPr>
          <w:color w:val="000000" w:themeColor="text1"/>
          <w:shd w:val="clear" w:color="auto" w:fill="FFFFFF"/>
        </w:rPr>
        <w:t xml:space="preserve">atitinkamai </w:t>
      </w:r>
      <w:r w:rsidRPr="00250746">
        <w:rPr>
          <w:color w:val="000000" w:themeColor="text1"/>
          <w:shd w:val="clear" w:color="auto" w:fill="FFFFFF"/>
        </w:rPr>
        <w:t>pakoreguot</w:t>
      </w:r>
      <w:r>
        <w:rPr>
          <w:color w:val="000000" w:themeColor="text1"/>
          <w:shd w:val="clear" w:color="auto" w:fill="FFFFFF"/>
        </w:rPr>
        <w:t>a</w:t>
      </w:r>
      <w:r w:rsidRPr="00250746">
        <w:rPr>
          <w:color w:val="000000" w:themeColor="text1"/>
          <w:shd w:val="clear" w:color="auto" w:fill="FFFFFF"/>
        </w:rPr>
        <w:t>.</w:t>
      </w:r>
    </w:p>
    <w:p w14:paraId="1ADD7752" w14:textId="77777777" w:rsidR="000B56A6" w:rsidRDefault="000B56A6" w:rsidP="007B6DF2">
      <w:pPr>
        <w:spacing w:before="60" w:after="60"/>
        <w:ind w:firstLine="720"/>
        <w:jc w:val="both"/>
        <w:rPr>
          <w:b/>
          <w:color w:val="000000" w:themeColor="text1"/>
          <w:shd w:val="clear" w:color="auto" w:fill="FFFFFF"/>
        </w:rPr>
      </w:pPr>
    </w:p>
    <w:p w14:paraId="3D374F1E" w14:textId="77777777" w:rsidR="00ED463E" w:rsidRDefault="007B6DF2" w:rsidP="007B6DF2">
      <w:pPr>
        <w:spacing w:before="60" w:after="60"/>
        <w:ind w:firstLine="720"/>
        <w:jc w:val="both"/>
        <w:rPr>
          <w:color w:val="000000" w:themeColor="text1"/>
          <w:shd w:val="clear" w:color="auto" w:fill="FFFFFF"/>
        </w:rPr>
      </w:pPr>
      <w:r w:rsidRPr="000B56A6">
        <w:rPr>
          <w:b/>
          <w:color w:val="000000" w:themeColor="text1"/>
          <w:shd w:val="clear" w:color="auto" w:fill="FFFFFF"/>
        </w:rPr>
        <w:t>1.3.</w:t>
      </w:r>
      <w:r>
        <w:rPr>
          <w:color w:val="000000" w:themeColor="text1"/>
          <w:shd w:val="clear" w:color="auto" w:fill="FFFFFF"/>
        </w:rPr>
        <w:t xml:space="preserve">  BK projekto 24 straipsni</w:t>
      </w:r>
      <w:r w:rsidR="0087782E">
        <w:rPr>
          <w:color w:val="000000" w:themeColor="text1"/>
          <w:shd w:val="clear" w:color="auto" w:fill="FFFFFF"/>
        </w:rPr>
        <w:t>u keičiamo</w:t>
      </w:r>
      <w:r>
        <w:rPr>
          <w:color w:val="000000" w:themeColor="text1"/>
          <w:shd w:val="clear" w:color="auto" w:fill="FFFFFF"/>
        </w:rPr>
        <w:t xml:space="preserve"> BK </w:t>
      </w:r>
      <w:r w:rsidR="0087782E">
        <w:rPr>
          <w:color w:val="000000" w:themeColor="text1"/>
          <w:shd w:val="clear" w:color="auto" w:fill="FFFFFF"/>
        </w:rPr>
        <w:t>208 straipsnio 1 dalies</w:t>
      </w:r>
      <w:r>
        <w:rPr>
          <w:color w:val="000000" w:themeColor="text1"/>
          <w:shd w:val="clear" w:color="auto" w:fill="FFFFFF"/>
        </w:rPr>
        <w:t xml:space="preserve"> formuluot</w:t>
      </w:r>
      <w:r w:rsidR="0087782E">
        <w:rPr>
          <w:color w:val="000000" w:themeColor="text1"/>
          <w:shd w:val="clear" w:color="auto" w:fill="FFFFFF"/>
        </w:rPr>
        <w:t>ė</w:t>
      </w:r>
      <w:r>
        <w:rPr>
          <w:color w:val="000000" w:themeColor="text1"/>
          <w:shd w:val="clear" w:color="auto" w:fill="FFFFFF"/>
        </w:rPr>
        <w:t xml:space="preserve"> „keli kreditoriai“ yra nepakankamai tiksli susidarius galimai situacijai, kada žalą patyrusių kreditorių skaičius sudaro </w:t>
      </w:r>
      <w:r w:rsidR="0087782E">
        <w:rPr>
          <w:color w:val="000000" w:themeColor="text1"/>
          <w:shd w:val="clear" w:color="auto" w:fill="FFFFFF"/>
        </w:rPr>
        <w:t xml:space="preserve">pvz. </w:t>
      </w:r>
      <w:r>
        <w:rPr>
          <w:color w:val="000000" w:themeColor="text1"/>
          <w:shd w:val="clear" w:color="auto" w:fill="FFFFFF"/>
        </w:rPr>
        <w:t>daugiau nei dešimt</w:t>
      </w:r>
      <w:r w:rsidR="0087782E">
        <w:rPr>
          <w:color w:val="000000" w:themeColor="text1"/>
          <w:shd w:val="clear" w:color="auto" w:fill="FFFFFF"/>
        </w:rPr>
        <w:t>.</w:t>
      </w:r>
      <w:r w:rsidR="000B56A6">
        <w:rPr>
          <w:color w:val="000000" w:themeColor="text1"/>
          <w:shd w:val="clear" w:color="auto" w:fill="FFFFFF"/>
        </w:rPr>
        <w:t xml:space="preserve"> Todėl siūlytina šį straipsnį patikslinti taip:</w:t>
      </w:r>
    </w:p>
    <w:p w14:paraId="0DE312EF" w14:textId="77777777" w:rsidR="000B56A6" w:rsidRPr="000B56A6" w:rsidRDefault="000B56A6" w:rsidP="000B56A6">
      <w:pPr>
        <w:ind w:firstLine="720"/>
        <w:jc w:val="both"/>
        <w:rPr>
          <w:color w:val="000000"/>
          <w:szCs w:val="24"/>
        </w:rPr>
      </w:pPr>
      <w:r w:rsidRPr="000B56A6">
        <w:rPr>
          <w:bCs/>
          <w:color w:val="000000"/>
          <w:szCs w:val="24"/>
        </w:rPr>
        <w:t>,,208 straipsnis. Skolininko nesąžiningumas</w:t>
      </w:r>
    </w:p>
    <w:p w14:paraId="5B5A16EA" w14:textId="77777777" w:rsidR="000B56A6" w:rsidRDefault="000B56A6" w:rsidP="000B56A6">
      <w:pPr>
        <w:tabs>
          <w:tab w:val="left" w:pos="-720"/>
          <w:tab w:val="left" w:pos="0"/>
          <w:tab w:val="left" w:pos="720"/>
          <w:tab w:val="left" w:pos="1440"/>
          <w:tab w:val="left" w:pos="2160"/>
          <w:tab w:val="left" w:pos="2880"/>
          <w:tab w:val="left" w:pos="3600"/>
          <w:tab w:val="left" w:pos="4320"/>
        </w:tabs>
        <w:autoSpaceDE w:val="0"/>
        <w:autoSpaceDN w:val="0"/>
        <w:adjustRightInd w:val="0"/>
        <w:rPr>
          <w:color w:val="FF0000"/>
          <w:szCs w:val="24"/>
        </w:rPr>
      </w:pPr>
      <w:bookmarkStart w:id="0" w:name="part_1ad8c08655d84393a1c720dd9617c7f6"/>
      <w:bookmarkEnd w:id="0"/>
      <w:r>
        <w:rPr>
          <w:color w:val="000000"/>
          <w:szCs w:val="24"/>
        </w:rPr>
        <w:tab/>
      </w:r>
      <w:r w:rsidRPr="000B56A6">
        <w:rPr>
          <w:color w:val="000000"/>
          <w:szCs w:val="24"/>
        </w:rPr>
        <w:t xml:space="preserve">1. Tas, kas dėl savo sunkios ekonominės padėties ar nemokumo, kai akivaizdžiai grėsė bankrotas, neturėdamas galimybės patenkinti visų kreditorių reikalavimų patenkino tik vieno ar keleto iš jų reikalavimus arba užtikrino vieno ar kelių kreditorių reikalavimus ir dėl to padarė didelės turtinės žalos </w:t>
      </w:r>
      <w:r w:rsidRPr="000B56A6">
        <w:rPr>
          <w:b/>
          <w:color w:val="000000"/>
          <w:szCs w:val="24"/>
        </w:rPr>
        <w:t>likusiems</w:t>
      </w:r>
      <w:r>
        <w:rPr>
          <w:color w:val="000000"/>
          <w:szCs w:val="24"/>
        </w:rPr>
        <w:t xml:space="preserve"> </w:t>
      </w:r>
      <w:r w:rsidRPr="000B56A6">
        <w:rPr>
          <w:color w:val="000000"/>
          <w:szCs w:val="24"/>
        </w:rPr>
        <w:t xml:space="preserve">vienam ar </w:t>
      </w:r>
      <w:r w:rsidRPr="000B56A6">
        <w:rPr>
          <w:strike/>
          <w:color w:val="000000"/>
          <w:szCs w:val="24"/>
        </w:rPr>
        <w:t>keliems likusiems kreditoriams</w:t>
      </w:r>
      <w:r>
        <w:rPr>
          <w:color w:val="000000"/>
          <w:szCs w:val="24"/>
        </w:rPr>
        <w:t xml:space="preserve"> </w:t>
      </w:r>
      <w:r w:rsidRPr="000B56A6">
        <w:rPr>
          <w:b/>
          <w:color w:val="000000"/>
          <w:szCs w:val="24"/>
        </w:rPr>
        <w:t>daugiau kreditorių</w:t>
      </w:r>
      <w:r>
        <w:rPr>
          <w:color w:val="000000"/>
          <w:szCs w:val="24"/>
        </w:rPr>
        <w:t>,</w:t>
      </w:r>
    </w:p>
    <w:p w14:paraId="2A2E02C6" w14:textId="77777777" w:rsidR="000B56A6" w:rsidRPr="000B56A6" w:rsidRDefault="000B56A6" w:rsidP="000B56A6">
      <w:pPr>
        <w:ind w:firstLine="720"/>
        <w:jc w:val="both"/>
        <w:rPr>
          <w:color w:val="000000"/>
          <w:szCs w:val="24"/>
        </w:rPr>
      </w:pPr>
      <w:r w:rsidRPr="000B56A6">
        <w:rPr>
          <w:color w:val="000000"/>
          <w:szCs w:val="24"/>
        </w:rPr>
        <w:t>baudžiamas bauda arba laisvės apribojimu, arba areštu, arba laisvės atėmimu iki dvejų metų.</w:t>
      </w:r>
    </w:p>
    <w:p w14:paraId="422D31C2" w14:textId="77777777" w:rsidR="000B56A6" w:rsidRPr="000B56A6" w:rsidRDefault="000B56A6" w:rsidP="000B56A6">
      <w:pPr>
        <w:ind w:firstLine="720"/>
        <w:jc w:val="both"/>
        <w:rPr>
          <w:color w:val="000000"/>
          <w:szCs w:val="24"/>
        </w:rPr>
      </w:pPr>
      <w:bookmarkStart w:id="1" w:name="part_0b4f488c9c214b379fc8482526d3a2ee"/>
      <w:bookmarkEnd w:id="1"/>
      <w:r w:rsidRPr="000B56A6">
        <w:rPr>
          <w:color w:val="000000"/>
          <w:szCs w:val="24"/>
        </w:rPr>
        <w:t xml:space="preserve">2. Tas, kas dėl savo sunkios ekonominės padėties ar nemokumo, kai akivaizdžiai grėsė bankrotas, paslėpė, iššvaistė, perleido, pervedė į užsienį ar nepateisinamai pigiai pardavė turtą, kuris galėjo būti pateiktas skoloms padengti, ir dėl to padarė didelės turtinės žalos vienam ar </w:t>
      </w:r>
      <w:r w:rsidRPr="000B56A6">
        <w:rPr>
          <w:strike/>
          <w:color w:val="000000"/>
          <w:szCs w:val="24"/>
        </w:rPr>
        <w:t>keliems kreditoriams</w:t>
      </w:r>
      <w:r>
        <w:rPr>
          <w:color w:val="000000"/>
          <w:szCs w:val="24"/>
        </w:rPr>
        <w:t xml:space="preserve"> </w:t>
      </w:r>
      <w:r w:rsidRPr="000B56A6">
        <w:rPr>
          <w:b/>
          <w:color w:val="000000"/>
          <w:szCs w:val="24"/>
        </w:rPr>
        <w:t>daugiau kredi</w:t>
      </w:r>
      <w:r>
        <w:rPr>
          <w:b/>
          <w:color w:val="000000"/>
          <w:szCs w:val="24"/>
        </w:rPr>
        <w:t>t</w:t>
      </w:r>
      <w:r w:rsidRPr="000B56A6">
        <w:rPr>
          <w:b/>
          <w:color w:val="000000"/>
          <w:szCs w:val="24"/>
        </w:rPr>
        <w:t>orių</w:t>
      </w:r>
      <w:r w:rsidRPr="000B56A6">
        <w:rPr>
          <w:color w:val="000000"/>
          <w:szCs w:val="24"/>
        </w:rPr>
        <w:t>,</w:t>
      </w:r>
    </w:p>
    <w:p w14:paraId="5ADAB26C" w14:textId="77777777" w:rsidR="000B56A6" w:rsidRPr="000B56A6" w:rsidRDefault="000B56A6" w:rsidP="000B56A6">
      <w:pPr>
        <w:ind w:firstLine="720"/>
        <w:jc w:val="both"/>
        <w:rPr>
          <w:color w:val="000000"/>
          <w:szCs w:val="24"/>
        </w:rPr>
      </w:pPr>
      <w:r w:rsidRPr="000B56A6">
        <w:rPr>
          <w:color w:val="000000"/>
          <w:szCs w:val="24"/>
        </w:rPr>
        <w:t>baudžiamas bauda arba laisvės apribojimu, arba areštu, arba laisvės atėmimu iki trejų metų.</w:t>
      </w:r>
    </w:p>
    <w:p w14:paraId="12FBB600" w14:textId="77777777" w:rsidR="000B56A6" w:rsidRPr="000B56A6" w:rsidRDefault="000B56A6" w:rsidP="000B56A6">
      <w:pPr>
        <w:ind w:firstLine="720"/>
        <w:jc w:val="both"/>
        <w:rPr>
          <w:color w:val="000000"/>
          <w:szCs w:val="24"/>
        </w:rPr>
      </w:pPr>
      <w:bookmarkStart w:id="2" w:name="part_e453f2b6d4d74c0bafe5022e650f4096"/>
      <w:bookmarkEnd w:id="2"/>
      <w:r w:rsidRPr="000B56A6">
        <w:rPr>
          <w:color w:val="000000"/>
          <w:szCs w:val="24"/>
        </w:rPr>
        <w:t>3. Už šiame straipsnyje numatytas veikas atsako ir juridinis asmuo.“</w:t>
      </w:r>
    </w:p>
    <w:p w14:paraId="5D81CC87" w14:textId="77777777" w:rsidR="000B56A6" w:rsidRDefault="000B56A6" w:rsidP="007B6DF2">
      <w:pPr>
        <w:spacing w:before="60" w:after="60"/>
        <w:ind w:firstLine="720"/>
        <w:jc w:val="both"/>
        <w:rPr>
          <w:szCs w:val="24"/>
        </w:rPr>
      </w:pPr>
      <w:r>
        <w:rPr>
          <w:szCs w:val="24"/>
        </w:rPr>
        <w:t>Analogiškai tikslintinas ir BK 209 straipsnis:</w:t>
      </w:r>
    </w:p>
    <w:p w14:paraId="57904F87" w14:textId="77777777" w:rsidR="000B56A6" w:rsidRPr="000B56A6" w:rsidRDefault="000B56A6" w:rsidP="000B56A6">
      <w:pPr>
        <w:ind w:firstLine="720"/>
        <w:jc w:val="both"/>
        <w:rPr>
          <w:color w:val="000000"/>
          <w:szCs w:val="24"/>
        </w:rPr>
      </w:pPr>
      <w:r w:rsidRPr="001A7768">
        <w:rPr>
          <w:bCs/>
          <w:color w:val="000000"/>
          <w:szCs w:val="24"/>
        </w:rPr>
        <w:t>,,</w:t>
      </w:r>
      <w:r w:rsidRPr="000B56A6">
        <w:rPr>
          <w:bCs/>
          <w:color w:val="000000"/>
          <w:szCs w:val="24"/>
        </w:rPr>
        <w:t>209 straipsnis. Nusikalstamas bankrotas</w:t>
      </w:r>
    </w:p>
    <w:p w14:paraId="5647CAE1" w14:textId="77777777" w:rsidR="000B56A6" w:rsidRPr="000B56A6" w:rsidRDefault="000B56A6" w:rsidP="000B56A6">
      <w:pPr>
        <w:ind w:firstLine="720"/>
        <w:jc w:val="both"/>
        <w:rPr>
          <w:color w:val="000000"/>
          <w:szCs w:val="24"/>
        </w:rPr>
      </w:pPr>
      <w:bookmarkStart w:id="3" w:name="part_07857ca44d3c4e3ead9f73c39fcbfac3"/>
      <w:bookmarkEnd w:id="3"/>
      <w:r w:rsidRPr="000B56A6">
        <w:rPr>
          <w:color w:val="000000"/>
          <w:szCs w:val="24"/>
        </w:rPr>
        <w:t xml:space="preserve">Tas, kas sąmoningai blogai valdydamas įmonę nulėmė jos bankrotą ir dėl to padarė didelės turtinės žalos vienam ar </w:t>
      </w:r>
      <w:r w:rsidRPr="000B56A6">
        <w:rPr>
          <w:strike/>
          <w:color w:val="000000"/>
          <w:szCs w:val="24"/>
        </w:rPr>
        <w:t>keliems kreditoriams</w:t>
      </w:r>
      <w:r>
        <w:rPr>
          <w:strike/>
          <w:color w:val="000000"/>
          <w:szCs w:val="24"/>
        </w:rPr>
        <w:t xml:space="preserve"> </w:t>
      </w:r>
      <w:r w:rsidRPr="000B56A6">
        <w:rPr>
          <w:b/>
          <w:color w:val="000000"/>
          <w:szCs w:val="24"/>
        </w:rPr>
        <w:t>daugiau kreditorių</w:t>
      </w:r>
      <w:r w:rsidRPr="000B56A6">
        <w:rPr>
          <w:color w:val="000000"/>
          <w:szCs w:val="24"/>
        </w:rPr>
        <w:t>,</w:t>
      </w:r>
    </w:p>
    <w:p w14:paraId="1B3EF59A" w14:textId="77777777" w:rsidR="000B56A6" w:rsidRPr="000B56A6" w:rsidRDefault="000B56A6" w:rsidP="000B56A6">
      <w:pPr>
        <w:ind w:firstLine="720"/>
        <w:jc w:val="both"/>
        <w:rPr>
          <w:color w:val="000000"/>
          <w:szCs w:val="24"/>
        </w:rPr>
      </w:pPr>
      <w:bookmarkStart w:id="4" w:name="part_30256d32ef5041baab4c7981ac68da41"/>
      <w:bookmarkEnd w:id="4"/>
      <w:r w:rsidRPr="000B56A6">
        <w:rPr>
          <w:color w:val="000000"/>
          <w:szCs w:val="24"/>
        </w:rPr>
        <w:t>baudžiamas bauda arba laisvės apribojimu, arba areštu, arba laisvės atėmimu iki trejų metų.“</w:t>
      </w:r>
    </w:p>
    <w:p w14:paraId="5960E2F2" w14:textId="77777777" w:rsidR="000B56A6" w:rsidRPr="000B56A6" w:rsidRDefault="000B56A6" w:rsidP="000B56A6">
      <w:pPr>
        <w:ind w:firstLine="720"/>
        <w:jc w:val="both"/>
        <w:rPr>
          <w:color w:val="000000"/>
          <w:szCs w:val="24"/>
        </w:rPr>
      </w:pPr>
      <w:r w:rsidRPr="000B56A6">
        <w:rPr>
          <w:b/>
          <w:bCs/>
          <w:color w:val="000000"/>
          <w:szCs w:val="24"/>
        </w:rPr>
        <w:t> </w:t>
      </w:r>
    </w:p>
    <w:p w14:paraId="74EF3B1F" w14:textId="77777777" w:rsidR="00ED463E" w:rsidRPr="0022758E" w:rsidRDefault="00ED463E" w:rsidP="00ED463E">
      <w:pPr>
        <w:jc w:val="both"/>
        <w:rPr>
          <w:bCs/>
        </w:rPr>
      </w:pPr>
      <w:r w:rsidRPr="00137102">
        <w:rPr>
          <w:szCs w:val="24"/>
        </w:rPr>
        <w:tab/>
      </w:r>
      <w:r w:rsidRPr="000B56A6">
        <w:rPr>
          <w:b/>
          <w:szCs w:val="24"/>
        </w:rPr>
        <w:t xml:space="preserve"> 2.</w:t>
      </w:r>
      <w:r>
        <w:rPr>
          <w:szCs w:val="24"/>
        </w:rPr>
        <w:t xml:space="preserve"> Dėl </w:t>
      </w:r>
      <w:r w:rsidRPr="00B22215">
        <w:rPr>
          <w:bCs/>
        </w:rPr>
        <w:t>Lietuvos Respublikos administracinių nusižengimų kodekso 115, 122, 125, 137, 187 ir 589 straipsnių pakeitimo ir Kodekso papildymo 107</w:t>
      </w:r>
      <w:r w:rsidRPr="00B22215">
        <w:rPr>
          <w:bCs/>
          <w:vertAlign w:val="superscript"/>
        </w:rPr>
        <w:t>1</w:t>
      </w:r>
      <w:r w:rsidRPr="00B22215">
        <w:rPr>
          <w:bCs/>
        </w:rPr>
        <w:t>, 113</w:t>
      </w:r>
      <w:r w:rsidRPr="00B22215">
        <w:rPr>
          <w:bCs/>
          <w:vertAlign w:val="superscript"/>
        </w:rPr>
        <w:t>1</w:t>
      </w:r>
      <w:r w:rsidRPr="00B22215">
        <w:rPr>
          <w:bCs/>
        </w:rPr>
        <w:t>, 187</w:t>
      </w:r>
      <w:r w:rsidRPr="00B22215">
        <w:rPr>
          <w:bCs/>
          <w:vertAlign w:val="superscript"/>
        </w:rPr>
        <w:t>1</w:t>
      </w:r>
      <w:r w:rsidRPr="00B22215">
        <w:rPr>
          <w:bCs/>
        </w:rPr>
        <w:t>, 293</w:t>
      </w:r>
      <w:r w:rsidRPr="00B22215">
        <w:rPr>
          <w:bCs/>
          <w:vertAlign w:val="superscript"/>
        </w:rPr>
        <w:t>1</w:t>
      </w:r>
      <w:r w:rsidRPr="00B22215">
        <w:rPr>
          <w:bCs/>
        </w:rPr>
        <w:t xml:space="preserve"> ir 474</w:t>
      </w:r>
      <w:r w:rsidRPr="00B22215">
        <w:rPr>
          <w:bCs/>
          <w:vertAlign w:val="superscript"/>
        </w:rPr>
        <w:t>1</w:t>
      </w:r>
      <w:r w:rsidRPr="00B22215">
        <w:rPr>
          <w:bCs/>
        </w:rPr>
        <w:t xml:space="preserve"> straipsniais įstatymo</w:t>
      </w:r>
      <w:r>
        <w:rPr>
          <w:bCs/>
        </w:rPr>
        <w:t xml:space="preserve"> projekto</w:t>
      </w:r>
      <w:r w:rsidR="007B6DF2">
        <w:rPr>
          <w:bCs/>
        </w:rPr>
        <w:t xml:space="preserve"> (toliau ANK projektas)</w:t>
      </w:r>
      <w:r>
        <w:rPr>
          <w:bCs/>
        </w:rPr>
        <w:t>:</w:t>
      </w:r>
    </w:p>
    <w:p w14:paraId="18BC12F8" w14:textId="77777777" w:rsidR="00ED463E" w:rsidRPr="00137102" w:rsidRDefault="00ED463E" w:rsidP="00ED463E">
      <w:pPr>
        <w:ind w:firstLine="709"/>
        <w:jc w:val="both"/>
        <w:rPr>
          <w:szCs w:val="24"/>
        </w:rPr>
      </w:pPr>
      <w:r>
        <w:rPr>
          <w:szCs w:val="24"/>
        </w:rPr>
        <w:t xml:space="preserve"> </w:t>
      </w:r>
      <w:r w:rsidRPr="000B56A6">
        <w:rPr>
          <w:b/>
          <w:szCs w:val="24"/>
        </w:rPr>
        <w:t>2.1.</w:t>
      </w:r>
      <w:r>
        <w:rPr>
          <w:szCs w:val="24"/>
        </w:rPr>
        <w:t xml:space="preserve"> </w:t>
      </w:r>
      <w:r w:rsidR="007B6DF2">
        <w:rPr>
          <w:szCs w:val="24"/>
        </w:rPr>
        <w:t xml:space="preserve">ANK projekto </w:t>
      </w:r>
      <w:r w:rsidR="00762F39">
        <w:rPr>
          <w:szCs w:val="24"/>
        </w:rPr>
        <w:t xml:space="preserve">8 </w:t>
      </w:r>
      <w:r w:rsidR="007B6DF2">
        <w:rPr>
          <w:szCs w:val="24"/>
        </w:rPr>
        <w:t xml:space="preserve">straipsniu </w:t>
      </w:r>
      <w:r w:rsidRPr="00B22215">
        <w:rPr>
          <w:bCs/>
        </w:rPr>
        <w:t>Lietuvos Respublikos administracinių nusižengimų kodeks</w:t>
      </w:r>
      <w:r>
        <w:rPr>
          <w:bCs/>
        </w:rPr>
        <w:t xml:space="preserve">as (toliau – </w:t>
      </w:r>
      <w:r w:rsidRPr="00137102">
        <w:rPr>
          <w:szCs w:val="24"/>
        </w:rPr>
        <w:t>ANK</w:t>
      </w:r>
      <w:r>
        <w:rPr>
          <w:szCs w:val="24"/>
        </w:rPr>
        <w:t>)</w:t>
      </w:r>
      <w:r w:rsidRPr="00137102">
        <w:rPr>
          <w:szCs w:val="24"/>
        </w:rPr>
        <w:t xml:space="preserve"> papildomas 187</w:t>
      </w:r>
      <w:r w:rsidRPr="00137102">
        <w:rPr>
          <w:szCs w:val="24"/>
          <w:vertAlign w:val="superscript"/>
        </w:rPr>
        <w:t>1</w:t>
      </w:r>
      <w:r w:rsidRPr="00137102">
        <w:rPr>
          <w:szCs w:val="24"/>
        </w:rPr>
        <w:t xml:space="preserve"> straipsniu, kuris numato atsakomybę už mokesčių nesumokėjimą, tačiau šiuo metu galiojančioje ANK redakcijoje 192 straipsnis</w:t>
      </w:r>
      <w:r>
        <w:rPr>
          <w:szCs w:val="24"/>
        </w:rPr>
        <w:t xml:space="preserve"> taip pat</w:t>
      </w:r>
      <w:r w:rsidRPr="00137102">
        <w:rPr>
          <w:szCs w:val="24"/>
        </w:rPr>
        <w:t xml:space="preserve"> numato atsakomybę už apmokestinamųjų pajamų apskaičiavimo arba mokesčių ar kitų įmokų apskaičiavimo, mokėjimo tvarkos pažeidimą</w:t>
      </w:r>
      <w:r>
        <w:rPr>
          <w:szCs w:val="24"/>
        </w:rPr>
        <w:t>, t</w:t>
      </w:r>
      <w:r w:rsidRPr="00137102">
        <w:rPr>
          <w:szCs w:val="24"/>
        </w:rPr>
        <w:t>odėl kyla abejonė</w:t>
      </w:r>
      <w:r>
        <w:rPr>
          <w:szCs w:val="24"/>
        </w:rPr>
        <w:t>,</w:t>
      </w:r>
      <w:r w:rsidRPr="00137102">
        <w:rPr>
          <w:szCs w:val="24"/>
        </w:rPr>
        <w:t xml:space="preserve"> ar šie straipsniai nekonkuruos tarpusavyje, kadangi iš esmės abi teisės normos reglamentuoja atsakomybę už mokėjimo tvarkos pažeidimą (nesavalaikį mokesčių sumokėjimą). </w:t>
      </w:r>
    </w:p>
    <w:p w14:paraId="02306D91" w14:textId="77777777" w:rsidR="00ED463E" w:rsidRPr="00137102" w:rsidRDefault="00ED463E" w:rsidP="00ED463E">
      <w:pPr>
        <w:ind w:firstLine="709"/>
        <w:jc w:val="both"/>
        <w:rPr>
          <w:szCs w:val="24"/>
        </w:rPr>
      </w:pPr>
      <w:r>
        <w:rPr>
          <w:szCs w:val="24"/>
        </w:rPr>
        <w:t xml:space="preserve"> </w:t>
      </w:r>
      <w:r w:rsidRPr="00137102">
        <w:rPr>
          <w:szCs w:val="24"/>
        </w:rPr>
        <w:t xml:space="preserve">Taip pat pažymime, kad </w:t>
      </w:r>
      <w:r w:rsidRPr="00137102">
        <w:rPr>
          <w:caps/>
          <w:szCs w:val="24"/>
        </w:rPr>
        <w:t>ANK 187</w:t>
      </w:r>
      <w:r w:rsidRPr="00137102">
        <w:rPr>
          <w:caps/>
          <w:szCs w:val="24"/>
          <w:vertAlign w:val="superscript"/>
        </w:rPr>
        <w:t>1</w:t>
      </w:r>
      <w:r>
        <w:rPr>
          <w:szCs w:val="24"/>
        </w:rPr>
        <w:t xml:space="preserve"> straipsnio dispozicija</w:t>
      </w:r>
      <w:r w:rsidRPr="00137102">
        <w:rPr>
          <w:szCs w:val="24"/>
        </w:rPr>
        <w:t xml:space="preserve"> </w:t>
      </w:r>
      <w:r>
        <w:rPr>
          <w:szCs w:val="24"/>
        </w:rPr>
        <w:t>yra</w:t>
      </w:r>
      <w:r w:rsidRPr="00137102">
        <w:rPr>
          <w:szCs w:val="24"/>
        </w:rPr>
        <w:t xml:space="preserve"> netiksli, kadangi pagal daba</w:t>
      </w:r>
      <w:r>
        <w:rPr>
          <w:szCs w:val="24"/>
        </w:rPr>
        <w:t>rtinę formuluotę suprastina, kad</w:t>
      </w:r>
      <w:r w:rsidRPr="00137102">
        <w:rPr>
          <w:szCs w:val="24"/>
        </w:rPr>
        <w:t xml:space="preserve"> nuostata galėtų būti taikoma tik tuomet, kai būtų nustatyta, kad mokestis nėra sumokėtas už tikrinamąjį laikotarpį, atitinkamai manytina, kad nuostata taikytina tik tuomet, kai būtų inicijuotas mokestinis patikrinimas. Atsižvelgiant į tai, siūlytina nuostatą koreguoti ir ją išdėstyti taip:</w:t>
      </w:r>
    </w:p>
    <w:p w14:paraId="16E8135E" w14:textId="77777777" w:rsidR="00ED463E" w:rsidRPr="0022758E" w:rsidRDefault="00530BD5" w:rsidP="00ED463E">
      <w:pPr>
        <w:ind w:firstLine="709"/>
        <w:jc w:val="both"/>
        <w:rPr>
          <w:szCs w:val="24"/>
        </w:rPr>
      </w:pPr>
      <w:r w:rsidRPr="0022758E">
        <w:rPr>
          <w:szCs w:val="24"/>
        </w:rPr>
        <w:t xml:space="preserve"> </w:t>
      </w:r>
      <w:r w:rsidR="00ED463E" w:rsidRPr="0022758E">
        <w:rPr>
          <w:szCs w:val="24"/>
        </w:rPr>
        <w:t>„187</w:t>
      </w:r>
      <w:r w:rsidR="00ED463E" w:rsidRPr="0022758E">
        <w:rPr>
          <w:szCs w:val="24"/>
          <w:vertAlign w:val="superscript"/>
        </w:rPr>
        <w:t xml:space="preserve">1 </w:t>
      </w:r>
      <w:r w:rsidR="00ED463E" w:rsidRPr="0022758E">
        <w:rPr>
          <w:szCs w:val="24"/>
        </w:rPr>
        <w:t>straipsnis. Mokesčių nesumokėjimas</w:t>
      </w:r>
    </w:p>
    <w:p w14:paraId="603BBFC3" w14:textId="77777777" w:rsidR="00ED463E" w:rsidRPr="0022758E" w:rsidRDefault="00ED463E" w:rsidP="00ED463E">
      <w:pPr>
        <w:ind w:firstLine="709"/>
        <w:jc w:val="both"/>
        <w:rPr>
          <w:szCs w:val="24"/>
        </w:rPr>
      </w:pPr>
      <w:r w:rsidRPr="0022758E">
        <w:rPr>
          <w:szCs w:val="24"/>
        </w:rPr>
        <w:t xml:space="preserve">Pagal pateiktą deklaraciją arba nustatyta tvarka patvirtintą ataskaitą ar kitą dokumentą apskaičiuotų ne daugiau kaip vieno šimto penkiasdešimt bazinių bausmių ir nuobaudų dydžių </w:t>
      </w:r>
      <w:r w:rsidRPr="0022758E">
        <w:rPr>
          <w:szCs w:val="24"/>
        </w:rPr>
        <w:lastRenderedPageBreak/>
        <w:t>mokesčių</w:t>
      </w:r>
      <w:r w:rsidRPr="0022758E">
        <w:rPr>
          <w:strike/>
          <w:szCs w:val="24"/>
        </w:rPr>
        <w:t>, kurie už tikrinamąjį laikotarpį turėjo būti sumokėti pagal įstatymus,</w:t>
      </w:r>
      <w:r w:rsidRPr="0022758E">
        <w:rPr>
          <w:szCs w:val="24"/>
        </w:rPr>
        <w:t xml:space="preserve"> nesumokėjimas po to, kai valstybės įgaliota institucija priminė apie pareigą sumokėti mokesčius, </w:t>
      </w:r>
    </w:p>
    <w:p w14:paraId="6F3878AC" w14:textId="77777777" w:rsidR="00ED463E" w:rsidRPr="0022758E" w:rsidRDefault="00ED463E" w:rsidP="00ED463E">
      <w:pPr>
        <w:ind w:firstLine="709"/>
        <w:jc w:val="both"/>
        <w:rPr>
          <w:szCs w:val="24"/>
        </w:rPr>
      </w:pPr>
      <w:r w:rsidRPr="0022758E">
        <w:rPr>
          <w:szCs w:val="24"/>
        </w:rPr>
        <w:t>užtraukia baudą pateikti deklaracijas, nustatyta tvarka patvirtintas ataskaitas ar kitus dokumentus privalantiems asmenims nuo trijų šimtų iki trijų tūkstančių eurų.“</w:t>
      </w:r>
    </w:p>
    <w:p w14:paraId="647A60B5" w14:textId="77777777" w:rsidR="00ED463E" w:rsidRPr="00C9797B" w:rsidRDefault="00ED463E" w:rsidP="00ED463E">
      <w:pPr>
        <w:jc w:val="both"/>
        <w:rPr>
          <w:sz w:val="16"/>
          <w:szCs w:val="16"/>
        </w:rPr>
      </w:pPr>
    </w:p>
    <w:p w14:paraId="45DCF444" w14:textId="77777777" w:rsidR="00ED463E" w:rsidRPr="00137102" w:rsidRDefault="00ED463E" w:rsidP="00ED463E">
      <w:pPr>
        <w:jc w:val="both"/>
        <w:rPr>
          <w:szCs w:val="24"/>
        </w:rPr>
      </w:pPr>
      <w:r w:rsidRPr="00137102">
        <w:rPr>
          <w:szCs w:val="24"/>
        </w:rPr>
        <w:tab/>
      </w:r>
      <w:r w:rsidRPr="000B56A6">
        <w:rPr>
          <w:b/>
          <w:szCs w:val="24"/>
        </w:rPr>
        <w:t xml:space="preserve"> 2.2.</w:t>
      </w:r>
      <w:r>
        <w:rPr>
          <w:szCs w:val="24"/>
        </w:rPr>
        <w:t xml:space="preserve"> </w:t>
      </w:r>
      <w:r w:rsidRPr="00137102">
        <w:rPr>
          <w:szCs w:val="24"/>
        </w:rPr>
        <w:t>ANK yra numatyta poveikio priemonė už deklaracijų, ataskaitų nepateikimą, t. y.</w:t>
      </w:r>
      <w:r>
        <w:rPr>
          <w:szCs w:val="24"/>
        </w:rPr>
        <w:t>,</w:t>
      </w:r>
      <w:r w:rsidRPr="00137102">
        <w:rPr>
          <w:szCs w:val="24"/>
        </w:rPr>
        <w:t xml:space="preserve"> mokesčių mokėtojui nepateikus privalomų teikti deklaracijų</w:t>
      </w:r>
      <w:r>
        <w:rPr>
          <w:szCs w:val="24"/>
        </w:rPr>
        <w:t>,</w:t>
      </w:r>
      <w:r w:rsidRPr="00137102">
        <w:rPr>
          <w:szCs w:val="24"/>
        </w:rPr>
        <w:t xml:space="preserve"> gali būti taikoma administracinė atsakomybė pagal ANK 187 straipsnio 1 ar 2 dalį. </w:t>
      </w:r>
      <w:r>
        <w:rPr>
          <w:szCs w:val="24"/>
        </w:rPr>
        <w:t>Valstybinė mokesčių inspekcija</w:t>
      </w:r>
      <w:r w:rsidRPr="00137102">
        <w:rPr>
          <w:szCs w:val="24"/>
        </w:rPr>
        <w:t xml:space="preserve"> susidūrė</w:t>
      </w:r>
      <w:r>
        <w:rPr>
          <w:szCs w:val="24"/>
        </w:rPr>
        <w:t xml:space="preserve"> su problema, kad</w:t>
      </w:r>
      <w:r w:rsidRPr="00137102">
        <w:rPr>
          <w:szCs w:val="24"/>
        </w:rPr>
        <w:t xml:space="preserve"> mokesčių mokėtojų laiku nepateikusių deklaracijų skaičius yra pakankamai didelis ir visiems</w:t>
      </w:r>
      <w:r>
        <w:rPr>
          <w:szCs w:val="24"/>
        </w:rPr>
        <w:t xml:space="preserve"> teisės pažeidėjams</w:t>
      </w:r>
      <w:r w:rsidRPr="00137102">
        <w:rPr>
          <w:szCs w:val="24"/>
        </w:rPr>
        <w:t xml:space="preserve"> dėl žmogiškųjų išteklių trūkumo nėra galimybės taikyti administracinę atsakomybę. Tuo tikslu bei siekiant taikyti administracinę atsakomybę visiems tinkamai mokestinių prievolių nevykdantiems mokesčių mokėtojams,</w:t>
      </w:r>
      <w:r>
        <w:rPr>
          <w:szCs w:val="24"/>
        </w:rPr>
        <w:t xml:space="preserve"> Valstybinėje mokesčių inspekcijoje</w:t>
      </w:r>
      <w:r w:rsidRPr="00137102">
        <w:rPr>
          <w:szCs w:val="24"/>
        </w:rPr>
        <w:t xml:space="preserve"> buvo pradėti administracinių nusižengimo nutarimų, kai protokolas nesurašomas bei administracinių nusižengimo protokolo surašymo pagal ANK 187 straipsnio 1 ar 2 dalis </w:t>
      </w:r>
      <w:proofErr w:type="spellStart"/>
      <w:r w:rsidRPr="00137102">
        <w:rPr>
          <w:szCs w:val="24"/>
        </w:rPr>
        <w:t>robotizavimo</w:t>
      </w:r>
      <w:proofErr w:type="spellEnd"/>
      <w:r w:rsidRPr="00137102">
        <w:rPr>
          <w:szCs w:val="24"/>
        </w:rPr>
        <w:t xml:space="preserve"> darbai</w:t>
      </w:r>
      <w:r>
        <w:rPr>
          <w:szCs w:val="24"/>
        </w:rPr>
        <w:t>, kuriais</w:t>
      </w:r>
      <w:r w:rsidRPr="00137102">
        <w:rPr>
          <w:szCs w:val="24"/>
        </w:rPr>
        <w:t xml:space="preserve"> siekiama pagreitinti protokolų surašymo mokesčių mokėtojams procesą, t. y. nutarimai bei protokolai bus suformuojami automatiškai </w:t>
      </w:r>
      <w:r>
        <w:rPr>
          <w:szCs w:val="24"/>
        </w:rPr>
        <w:t>(</w:t>
      </w:r>
      <w:r w:rsidRPr="00137102">
        <w:rPr>
          <w:szCs w:val="24"/>
        </w:rPr>
        <w:t>be žmogiškojo faktoriaus įsikišimo</w:t>
      </w:r>
      <w:r>
        <w:rPr>
          <w:szCs w:val="24"/>
        </w:rPr>
        <w:t>)</w:t>
      </w:r>
      <w:r w:rsidRPr="00137102">
        <w:rPr>
          <w:szCs w:val="24"/>
        </w:rPr>
        <w:t xml:space="preserve">, tačiau pasirašomi mokesčių administratoriaus darbuotojo. </w:t>
      </w:r>
    </w:p>
    <w:p w14:paraId="4893BFDA" w14:textId="77777777" w:rsidR="00ED463E" w:rsidRPr="00396879" w:rsidRDefault="00ED463E" w:rsidP="00ED463E">
      <w:pPr>
        <w:ind w:firstLine="720"/>
        <w:jc w:val="both"/>
        <w:rPr>
          <w:szCs w:val="24"/>
        </w:rPr>
      </w:pPr>
      <w:r>
        <w:rPr>
          <w:szCs w:val="24"/>
        </w:rPr>
        <w:t xml:space="preserve"> S</w:t>
      </w:r>
      <w:r w:rsidRPr="00137102">
        <w:rPr>
          <w:szCs w:val="24"/>
        </w:rPr>
        <w:t>iekiant efektyvesnio rezultato bei atsižvelgdami į tai, kad ANK yra numatyta galimybė už tam tikrus nusižengimus automatiniu būdu surašytus protokolus nepasirašinėti (</w:t>
      </w:r>
      <w:r>
        <w:rPr>
          <w:szCs w:val="24"/>
        </w:rPr>
        <w:t xml:space="preserve">pvz., </w:t>
      </w:r>
      <w:r w:rsidRPr="00137102">
        <w:rPr>
          <w:szCs w:val="24"/>
        </w:rPr>
        <w:t>tokią teisę turi Policija už kelių eismo taisyklių nusižengimus, kai nusižengimas užfiksuotas ne asmens, įtariamo administracinio nusižengimo padarymu, akivaizdoje), prašome</w:t>
      </w:r>
      <w:r>
        <w:rPr>
          <w:szCs w:val="24"/>
        </w:rPr>
        <w:t xml:space="preserve"> apsvarstyti atitinkamų</w:t>
      </w:r>
      <w:r w:rsidRPr="00137102">
        <w:rPr>
          <w:szCs w:val="24"/>
        </w:rPr>
        <w:t xml:space="preserve"> ANK 611 straipsni</w:t>
      </w:r>
      <w:r>
        <w:rPr>
          <w:szCs w:val="24"/>
        </w:rPr>
        <w:t>o 4 dalies pakeitimų tikslingumą (</w:t>
      </w:r>
      <w:r w:rsidRPr="00137102">
        <w:rPr>
          <w:szCs w:val="24"/>
        </w:rPr>
        <w:t xml:space="preserve">įtvirtinant mokesčių administratoriaus pareigūnui </w:t>
      </w:r>
      <w:r>
        <w:rPr>
          <w:szCs w:val="24"/>
        </w:rPr>
        <w:t xml:space="preserve">galimybes </w:t>
      </w:r>
      <w:r w:rsidRPr="00C9797B">
        <w:rPr>
          <w:i/>
          <w:szCs w:val="24"/>
        </w:rPr>
        <w:t>automatiniu būdu surašytus administracinių nusižengimo nutarimus</w:t>
      </w:r>
      <w:r w:rsidRPr="00137102">
        <w:rPr>
          <w:szCs w:val="24"/>
        </w:rPr>
        <w:t xml:space="preserve">, kai protokolas nesurašomas bei administracinių nusižengimo protokolus pagal ANK 187 straipsnį 1 ar 2 dalis </w:t>
      </w:r>
      <w:r w:rsidRPr="00C9797B">
        <w:rPr>
          <w:i/>
          <w:szCs w:val="24"/>
        </w:rPr>
        <w:t xml:space="preserve">nepasirašinėti ir išsiųsti </w:t>
      </w:r>
      <w:r w:rsidRPr="00396879">
        <w:rPr>
          <w:i/>
          <w:szCs w:val="24"/>
        </w:rPr>
        <w:t>mokesčių mokėtojams</w:t>
      </w:r>
      <w:r w:rsidRPr="00396879">
        <w:rPr>
          <w:szCs w:val="24"/>
        </w:rPr>
        <w:t xml:space="preserve">. Šis pakeitimas būtų ypatingai svarbus mokesčių administratoriui, siekiant efektyviai vykdyti savo funkcijas ir taupant žmogiškuosius išteklius. </w:t>
      </w:r>
    </w:p>
    <w:p w14:paraId="6733DE4B" w14:textId="77777777" w:rsidR="00ED463E" w:rsidRPr="00396879" w:rsidRDefault="00ED463E" w:rsidP="00ED463E">
      <w:pPr>
        <w:ind w:firstLine="720"/>
        <w:jc w:val="both"/>
        <w:rPr>
          <w:szCs w:val="24"/>
        </w:rPr>
      </w:pPr>
      <w:r w:rsidRPr="00396879">
        <w:rPr>
          <w:szCs w:val="24"/>
        </w:rPr>
        <w:t xml:space="preserve"> </w:t>
      </w:r>
      <w:r w:rsidR="00530BD5">
        <w:rPr>
          <w:szCs w:val="24"/>
        </w:rPr>
        <w:t xml:space="preserve">Atsižvelgus į tai siūlome </w:t>
      </w:r>
      <w:r w:rsidRPr="00396879">
        <w:rPr>
          <w:szCs w:val="24"/>
        </w:rPr>
        <w:t xml:space="preserve"> ANK </w:t>
      </w:r>
      <w:r w:rsidR="00530BD5">
        <w:rPr>
          <w:szCs w:val="24"/>
        </w:rPr>
        <w:t>611 straipsnį papildyti nauja 4 dalimi (buvusią 4 dalį laikyti 5 dalimi</w:t>
      </w:r>
      <w:r w:rsidR="007B6DF2">
        <w:rPr>
          <w:szCs w:val="24"/>
        </w:rPr>
        <w:t>,</w:t>
      </w:r>
      <w:r w:rsidR="00530BD5">
        <w:rPr>
          <w:szCs w:val="24"/>
        </w:rPr>
        <w:t xml:space="preserve"> j</w:t>
      </w:r>
      <w:r w:rsidR="007B6DF2">
        <w:rPr>
          <w:szCs w:val="24"/>
        </w:rPr>
        <w:t>ą papildant nuorod</w:t>
      </w:r>
      <w:r w:rsidR="00D050B0">
        <w:rPr>
          <w:szCs w:val="24"/>
        </w:rPr>
        <w:t xml:space="preserve">a ir į </w:t>
      </w:r>
      <w:r w:rsidR="00530BD5">
        <w:rPr>
          <w:szCs w:val="24"/>
        </w:rPr>
        <w:t xml:space="preserve"> 4 dalį</w:t>
      </w:r>
      <w:r w:rsidR="00F27E85">
        <w:rPr>
          <w:szCs w:val="24"/>
        </w:rPr>
        <w:t>)</w:t>
      </w:r>
      <w:r w:rsidRPr="00396879">
        <w:rPr>
          <w:szCs w:val="24"/>
        </w:rPr>
        <w:t>:</w:t>
      </w:r>
    </w:p>
    <w:p w14:paraId="4BE3C3C1" w14:textId="77777777" w:rsidR="00ED463E" w:rsidRPr="0022758E" w:rsidRDefault="00530BD5" w:rsidP="00ED463E">
      <w:pPr>
        <w:ind w:firstLine="720"/>
        <w:jc w:val="both"/>
        <w:rPr>
          <w:szCs w:val="24"/>
        </w:rPr>
      </w:pPr>
      <w:r w:rsidRPr="00396879">
        <w:rPr>
          <w:rStyle w:val="Komentaronuoroda"/>
          <w:szCs w:val="24"/>
        </w:rPr>
        <w:t xml:space="preserve"> </w:t>
      </w:r>
      <w:r w:rsidR="00ED463E" w:rsidRPr="0022758E">
        <w:rPr>
          <w:rStyle w:val="Komentaronuoroda"/>
          <w:sz w:val="24"/>
          <w:szCs w:val="24"/>
        </w:rPr>
        <w:t>„4</w:t>
      </w:r>
      <w:r w:rsidR="00ED463E" w:rsidRPr="0022758E">
        <w:rPr>
          <w:rStyle w:val="Komentaronuoroda"/>
          <w:szCs w:val="24"/>
        </w:rPr>
        <w:t xml:space="preserve">. </w:t>
      </w:r>
      <w:r w:rsidR="00ED463E" w:rsidRPr="0022758E">
        <w:rPr>
          <w:szCs w:val="24"/>
        </w:rPr>
        <w:t>Kai šio kodekso 187 straipsnio 1 ir 2 dalyse numatytas administracinis nusižengimas užfiksuotas ne asmens, įtariamo administracinio nusižengimo padarymu, akivaizdoje, administracinio nusižengimo protokolas su administraciniu nurodymu surašomas ir siunčiamas ataskaitas, deklaracijas ar kitus mokesčių administratoriaus funkcijoms įgyvendinti reikalingus dokumentus ir duomenis privalantiems pateikti asmenims.“</w:t>
      </w:r>
    </w:p>
    <w:p w14:paraId="7BD99B27" w14:textId="77777777" w:rsidR="00ED463E" w:rsidRDefault="00ED463E" w:rsidP="00D03034">
      <w:pPr>
        <w:autoSpaceDE w:val="0"/>
        <w:autoSpaceDN w:val="0"/>
        <w:adjustRightInd w:val="0"/>
        <w:spacing w:line="360" w:lineRule="auto"/>
        <w:jc w:val="both"/>
        <w:rPr>
          <w:szCs w:val="24"/>
        </w:rPr>
      </w:pPr>
    </w:p>
    <w:p w14:paraId="6622116A" w14:textId="77777777" w:rsidR="00F27E85" w:rsidRDefault="00F27E85" w:rsidP="00D03034">
      <w:pPr>
        <w:autoSpaceDE w:val="0"/>
        <w:autoSpaceDN w:val="0"/>
        <w:adjustRightInd w:val="0"/>
        <w:spacing w:line="360" w:lineRule="auto"/>
        <w:jc w:val="both"/>
        <w:rPr>
          <w:szCs w:val="24"/>
        </w:rPr>
      </w:pPr>
      <w:r>
        <w:rPr>
          <w:szCs w:val="24"/>
        </w:rPr>
        <w:tab/>
        <w:t>Dėl kitų įstatymų projektų pastabų ir pasiūlymų nėra.</w:t>
      </w:r>
    </w:p>
    <w:p w14:paraId="4402FF3A" w14:textId="77777777" w:rsidR="00317299" w:rsidRDefault="00317299" w:rsidP="00D03034">
      <w:pPr>
        <w:spacing w:line="360" w:lineRule="auto"/>
      </w:pPr>
    </w:p>
    <w:p w14:paraId="4206273E" w14:textId="77777777" w:rsidR="00317299" w:rsidRDefault="00317299" w:rsidP="00D03034">
      <w:pPr>
        <w:spacing w:line="360" w:lineRule="auto"/>
      </w:pPr>
    </w:p>
    <w:p w14:paraId="011C40D5" w14:textId="77777777" w:rsidR="00A751FD" w:rsidRDefault="0054765F" w:rsidP="00D03034">
      <w:pPr>
        <w:spacing w:line="360" w:lineRule="auto"/>
      </w:pPr>
      <w:r>
        <w:t>Ministerijos kancleris</w:t>
      </w:r>
      <w:r w:rsidR="007608A7">
        <w:t xml:space="preserve">  </w:t>
      </w:r>
      <w:r w:rsidR="00B37BE5">
        <w:tab/>
      </w:r>
      <w:r w:rsidR="00B37BE5">
        <w:tab/>
      </w:r>
      <w:r w:rsidR="00B37BE5">
        <w:tab/>
      </w:r>
      <w:r w:rsidR="00B37BE5">
        <w:tab/>
      </w:r>
      <w:r w:rsidR="00B37BE5">
        <w:tab/>
      </w:r>
      <w:r w:rsidR="00B37BE5">
        <w:tab/>
      </w:r>
    </w:p>
    <w:p w14:paraId="33EFCD8C" w14:textId="77777777" w:rsidR="00582B3F" w:rsidRDefault="00582B3F" w:rsidP="00D03034">
      <w:pPr>
        <w:spacing w:line="360" w:lineRule="auto"/>
      </w:pPr>
    </w:p>
    <w:p w14:paraId="11AD471C" w14:textId="77777777" w:rsidR="00317299" w:rsidRDefault="00317299" w:rsidP="00D03034">
      <w:pPr>
        <w:spacing w:line="360" w:lineRule="auto"/>
      </w:pPr>
    </w:p>
    <w:p w14:paraId="3F8DB495" w14:textId="77777777" w:rsidR="00582B3F" w:rsidRDefault="00582B3F" w:rsidP="00D03034">
      <w:pPr>
        <w:spacing w:line="360" w:lineRule="auto"/>
      </w:pPr>
    </w:p>
    <w:p w14:paraId="3A558B30" w14:textId="77777777" w:rsidR="009233A9" w:rsidRDefault="009233A9" w:rsidP="00D03034">
      <w:pPr>
        <w:spacing w:line="360" w:lineRule="auto"/>
      </w:pPr>
    </w:p>
    <w:p w14:paraId="7EC98481" w14:textId="77777777" w:rsidR="009233A9" w:rsidRDefault="009233A9" w:rsidP="00D03034">
      <w:pPr>
        <w:spacing w:line="360" w:lineRule="auto"/>
      </w:pPr>
    </w:p>
    <w:p w14:paraId="13ED416D" w14:textId="77777777" w:rsidR="00FD0972" w:rsidRDefault="00FD0972" w:rsidP="00317299">
      <w:pPr>
        <w:autoSpaceDE w:val="0"/>
        <w:autoSpaceDN w:val="0"/>
        <w:adjustRightInd w:val="0"/>
        <w:spacing w:line="360" w:lineRule="auto"/>
        <w:jc w:val="both"/>
        <w:rPr>
          <w:sz w:val="20"/>
        </w:rPr>
      </w:pPr>
      <w:proofErr w:type="spellStart"/>
      <w:r>
        <w:rPr>
          <w:sz w:val="20"/>
        </w:rPr>
        <w:t>E.Vizgirda</w:t>
      </w:r>
      <w:proofErr w:type="spellEnd"/>
      <w:r>
        <w:rPr>
          <w:sz w:val="20"/>
        </w:rPr>
        <w:t>, tel.</w:t>
      </w:r>
      <w:r w:rsidR="00E10771">
        <w:rPr>
          <w:sz w:val="20"/>
        </w:rPr>
        <w:t xml:space="preserve"> (8 5) 239 0228, el. p. </w:t>
      </w:r>
      <w:proofErr w:type="spellStart"/>
      <w:r w:rsidR="00E10771">
        <w:rPr>
          <w:sz w:val="20"/>
        </w:rPr>
        <w:t>e</w:t>
      </w:r>
      <w:hyperlink r:id="rId14" w:history="1">
        <w:r w:rsidR="00E10771" w:rsidRPr="00E835CB">
          <w:rPr>
            <w:rStyle w:val="Hipersaitas"/>
            <w:sz w:val="20"/>
          </w:rPr>
          <w:t>gidijus.vizgirda</w:t>
        </w:r>
        <w:proofErr w:type="spellEnd"/>
        <w:r w:rsidR="00E10771" w:rsidRPr="00E835CB">
          <w:rPr>
            <w:rStyle w:val="Hipersaitas"/>
            <w:sz w:val="20"/>
            <w:lang w:val="en-US"/>
          </w:rPr>
          <w:t>@</w:t>
        </w:r>
        <w:proofErr w:type="spellStart"/>
        <w:r w:rsidR="00E10771" w:rsidRPr="00E835CB">
          <w:rPr>
            <w:rStyle w:val="Hipersaitas"/>
            <w:sz w:val="20"/>
          </w:rPr>
          <w:t>finmin.lt</w:t>
        </w:r>
        <w:proofErr w:type="spellEnd"/>
      </w:hyperlink>
    </w:p>
    <w:p w14:paraId="0FF3B01E" w14:textId="77777777" w:rsidR="00E10771" w:rsidRDefault="00E10771" w:rsidP="00317299">
      <w:pPr>
        <w:autoSpaceDE w:val="0"/>
        <w:autoSpaceDN w:val="0"/>
        <w:adjustRightInd w:val="0"/>
        <w:spacing w:line="360" w:lineRule="auto"/>
        <w:jc w:val="both"/>
        <w:rPr>
          <w:sz w:val="20"/>
        </w:rPr>
      </w:pPr>
      <w:proofErr w:type="spellStart"/>
      <w:r>
        <w:rPr>
          <w:sz w:val="20"/>
        </w:rPr>
        <w:t>A.Nareckaitė</w:t>
      </w:r>
      <w:proofErr w:type="spellEnd"/>
      <w:r>
        <w:rPr>
          <w:sz w:val="20"/>
        </w:rPr>
        <w:t xml:space="preserve">, tel. ( 8 5) 239 0018, el. p. </w:t>
      </w:r>
      <w:proofErr w:type="spellStart"/>
      <w:r>
        <w:rPr>
          <w:sz w:val="20"/>
        </w:rPr>
        <w:t>asta</w:t>
      </w:r>
      <w:proofErr w:type="spellEnd"/>
      <w:r>
        <w:rPr>
          <w:sz w:val="20"/>
        </w:rPr>
        <w:t xml:space="preserve">. </w:t>
      </w:r>
      <w:proofErr w:type="spellStart"/>
      <w:r>
        <w:rPr>
          <w:sz w:val="20"/>
        </w:rPr>
        <w:t>nareckaite</w:t>
      </w:r>
      <w:proofErr w:type="spellEnd"/>
      <w:r>
        <w:rPr>
          <w:sz w:val="20"/>
          <w:lang w:val="en-US"/>
        </w:rPr>
        <w:t>@</w:t>
      </w:r>
      <w:proofErr w:type="spellStart"/>
      <w:r>
        <w:rPr>
          <w:sz w:val="20"/>
        </w:rPr>
        <w:t>finmin.lt</w:t>
      </w:r>
      <w:proofErr w:type="spellEnd"/>
      <w:r w:rsidRPr="00E10771">
        <w:rPr>
          <w:sz w:val="20"/>
        </w:rPr>
        <w:t xml:space="preserve"> </w:t>
      </w:r>
    </w:p>
    <w:p w14:paraId="12B8273F" w14:textId="77777777" w:rsidR="00E10771" w:rsidRPr="00E10771" w:rsidRDefault="00E10771" w:rsidP="00317299">
      <w:pPr>
        <w:autoSpaceDE w:val="0"/>
        <w:autoSpaceDN w:val="0"/>
        <w:adjustRightInd w:val="0"/>
        <w:spacing w:line="360" w:lineRule="auto"/>
        <w:jc w:val="both"/>
        <w:rPr>
          <w:sz w:val="20"/>
        </w:rPr>
      </w:pPr>
      <w:r>
        <w:rPr>
          <w:sz w:val="20"/>
        </w:rPr>
        <w:t>M. Rumšas, tel. ( 8 5) 239 0</w:t>
      </w:r>
      <w:r w:rsidR="00B6494A">
        <w:rPr>
          <w:sz w:val="20"/>
        </w:rPr>
        <w:t>0</w:t>
      </w:r>
      <w:r>
        <w:rPr>
          <w:sz w:val="20"/>
        </w:rPr>
        <w:t xml:space="preserve">76, el. p. </w:t>
      </w:r>
      <w:proofErr w:type="spellStart"/>
      <w:r>
        <w:rPr>
          <w:sz w:val="20"/>
        </w:rPr>
        <w:t>mindaugas.rumsas</w:t>
      </w:r>
      <w:proofErr w:type="spellEnd"/>
      <w:r w:rsidR="0009136C">
        <w:fldChar w:fldCharType="begin"/>
      </w:r>
      <w:r w:rsidR="0009136C">
        <w:instrText xml:space="preserve"> HYPERLINK "mailto:gidijus.vizgirda@finmin.lt" </w:instrText>
      </w:r>
      <w:r w:rsidR="0009136C">
        <w:fldChar w:fldCharType="separate"/>
      </w:r>
      <w:r w:rsidRPr="00E835CB">
        <w:rPr>
          <w:rStyle w:val="Hipersaitas"/>
          <w:sz w:val="20"/>
          <w:lang w:val="en-US"/>
        </w:rPr>
        <w:t>@</w:t>
      </w:r>
      <w:proofErr w:type="spellStart"/>
      <w:r w:rsidRPr="00E835CB">
        <w:rPr>
          <w:rStyle w:val="Hipersaitas"/>
          <w:sz w:val="20"/>
        </w:rPr>
        <w:t>finmin.lt</w:t>
      </w:r>
      <w:proofErr w:type="spellEnd"/>
      <w:r w:rsidR="0009136C">
        <w:rPr>
          <w:rStyle w:val="Hipersaitas"/>
          <w:sz w:val="20"/>
        </w:rPr>
        <w:fldChar w:fldCharType="end"/>
      </w:r>
    </w:p>
    <w:p w14:paraId="3DC66624" w14:textId="77777777" w:rsidR="0077795D" w:rsidRDefault="00B37BE5" w:rsidP="00317299">
      <w:pPr>
        <w:autoSpaceDE w:val="0"/>
        <w:autoSpaceDN w:val="0"/>
        <w:adjustRightInd w:val="0"/>
        <w:spacing w:line="360" w:lineRule="auto"/>
        <w:jc w:val="both"/>
        <w:rPr>
          <w:sz w:val="20"/>
          <w:lang w:val="en-US"/>
        </w:rPr>
      </w:pPr>
      <w:proofErr w:type="spellStart"/>
      <w:r>
        <w:rPr>
          <w:sz w:val="20"/>
        </w:rPr>
        <w:t>N.</w:t>
      </w:r>
      <w:r w:rsidR="00BB0E8B">
        <w:rPr>
          <w:sz w:val="20"/>
        </w:rPr>
        <w:t>Kukauskienė</w:t>
      </w:r>
      <w:proofErr w:type="spellEnd"/>
      <w:r w:rsidR="00E95573">
        <w:rPr>
          <w:sz w:val="20"/>
        </w:rPr>
        <w:t>, tel. (8 5) 239 0</w:t>
      </w:r>
      <w:r w:rsidR="00BB0E8B">
        <w:rPr>
          <w:sz w:val="20"/>
        </w:rPr>
        <w:t>203</w:t>
      </w:r>
      <w:r w:rsidR="00E95573">
        <w:rPr>
          <w:sz w:val="20"/>
        </w:rPr>
        <w:t xml:space="preserve">, el. p. </w:t>
      </w:r>
      <w:hyperlink r:id="rId15" w:history="1">
        <w:r w:rsidR="00E10771" w:rsidRPr="00E835CB">
          <w:rPr>
            <w:rStyle w:val="Hipersaitas"/>
            <w:sz w:val="20"/>
          </w:rPr>
          <w:t>nerija.kukauskiene</w:t>
        </w:r>
        <w:r w:rsidR="00E10771" w:rsidRPr="00E835CB">
          <w:rPr>
            <w:rStyle w:val="Hipersaitas"/>
            <w:sz w:val="20"/>
            <w:lang w:val="en-US"/>
          </w:rPr>
          <w:t>@finmin.lt</w:t>
        </w:r>
      </w:hyperlink>
      <w:permEnd w:id="2098622657"/>
    </w:p>
    <w:sectPr w:rsidR="0077795D" w:rsidSect="008B7CCF">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3D522" w14:textId="77777777" w:rsidR="00D53843" w:rsidRDefault="00D53843">
      <w:r>
        <w:separator/>
      </w:r>
    </w:p>
  </w:endnote>
  <w:endnote w:type="continuationSeparator" w:id="0">
    <w:p w14:paraId="13E6CAC9" w14:textId="77777777" w:rsidR="00D53843" w:rsidRDefault="00D5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BCB2"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823938">
      <w:rPr>
        <w:noProof/>
        <w:sz w:val="10"/>
      </w:rPr>
      <w:t>Atsakymas i KT teisejo paklausima</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335470B5" w14:textId="77777777">
      <w:tc>
        <w:tcPr>
          <w:tcW w:w="3119" w:type="dxa"/>
        </w:tcPr>
        <w:p w14:paraId="76C9AADD" w14:textId="77777777" w:rsidR="00676E45" w:rsidRDefault="00676E45">
          <w:pPr>
            <w:pStyle w:val="Porat"/>
            <w:rPr>
              <w:sz w:val="16"/>
            </w:rPr>
          </w:pPr>
          <w:r>
            <w:rPr>
              <w:sz w:val="16"/>
            </w:rPr>
            <w:t xml:space="preserve">Kodas 8860165 </w:t>
          </w:r>
        </w:p>
      </w:tc>
      <w:tc>
        <w:tcPr>
          <w:tcW w:w="1615" w:type="dxa"/>
        </w:tcPr>
        <w:p w14:paraId="31ACD4F3" w14:textId="77777777" w:rsidR="00676E45" w:rsidRDefault="00676E45">
          <w:pPr>
            <w:pStyle w:val="Porat"/>
            <w:rPr>
              <w:sz w:val="16"/>
            </w:rPr>
          </w:pPr>
          <w:r>
            <w:rPr>
              <w:sz w:val="16"/>
            </w:rPr>
            <w:t>Telefonas  39 00 05</w:t>
          </w:r>
        </w:p>
      </w:tc>
      <w:tc>
        <w:tcPr>
          <w:tcW w:w="2212" w:type="dxa"/>
        </w:tcPr>
        <w:p w14:paraId="4E724113" w14:textId="77777777" w:rsidR="00676E45" w:rsidRDefault="00676E45">
          <w:pPr>
            <w:pStyle w:val="Porat"/>
            <w:rPr>
              <w:sz w:val="16"/>
            </w:rPr>
          </w:pPr>
          <w:r>
            <w:rPr>
              <w:sz w:val="16"/>
            </w:rPr>
            <w:t>El. paštas: finmin@finmin.lt</w:t>
          </w:r>
        </w:p>
      </w:tc>
      <w:tc>
        <w:tcPr>
          <w:tcW w:w="2552" w:type="dxa"/>
        </w:tcPr>
        <w:p w14:paraId="103744BB" w14:textId="77777777" w:rsidR="00676E45" w:rsidRDefault="00676E45">
          <w:pPr>
            <w:pStyle w:val="Porat"/>
            <w:rPr>
              <w:sz w:val="16"/>
            </w:rPr>
          </w:pPr>
          <w:r>
            <w:rPr>
              <w:sz w:val="16"/>
            </w:rPr>
            <w:t>Atsiskait. sąsk. Nr. 253002007</w:t>
          </w:r>
        </w:p>
      </w:tc>
    </w:tr>
    <w:tr w:rsidR="00676E45" w14:paraId="5ACFDB2B" w14:textId="77777777">
      <w:tc>
        <w:tcPr>
          <w:tcW w:w="3119" w:type="dxa"/>
        </w:tcPr>
        <w:p w14:paraId="4974A120"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1A562C82" w14:textId="77777777" w:rsidR="00676E45" w:rsidRDefault="00676E45">
          <w:pPr>
            <w:pStyle w:val="Porat"/>
            <w:rPr>
              <w:sz w:val="16"/>
            </w:rPr>
          </w:pPr>
          <w:r>
            <w:rPr>
              <w:sz w:val="16"/>
            </w:rPr>
            <w:t>Faksas     79 14 81</w:t>
          </w:r>
        </w:p>
      </w:tc>
      <w:tc>
        <w:tcPr>
          <w:tcW w:w="2212" w:type="dxa"/>
        </w:tcPr>
        <w:p w14:paraId="76F62F92" w14:textId="77777777" w:rsidR="00676E45" w:rsidRDefault="00676E45">
          <w:pPr>
            <w:pStyle w:val="Porat"/>
            <w:rPr>
              <w:sz w:val="16"/>
            </w:rPr>
          </w:pPr>
          <w:r>
            <w:rPr>
              <w:sz w:val="16"/>
            </w:rPr>
            <w:t>http://www.finmin.lt</w:t>
          </w:r>
        </w:p>
      </w:tc>
      <w:tc>
        <w:tcPr>
          <w:tcW w:w="2552" w:type="dxa"/>
        </w:tcPr>
        <w:p w14:paraId="5D8BE4A8" w14:textId="77777777" w:rsidR="00676E45" w:rsidRDefault="00676E45">
          <w:pPr>
            <w:pStyle w:val="Porat"/>
            <w:rPr>
              <w:sz w:val="16"/>
            </w:rPr>
          </w:pPr>
          <w:r>
            <w:rPr>
              <w:sz w:val="16"/>
            </w:rPr>
            <w:t>LTB Sostinės skyrius, kodas 60111</w:t>
          </w:r>
        </w:p>
      </w:tc>
    </w:tr>
  </w:tbl>
  <w:p w14:paraId="7317EE2A"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AED8"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823938">
      <w:rPr>
        <w:noProof/>
        <w:sz w:val="10"/>
      </w:rPr>
      <w:t>Atsakymas i KT teisejo paklausima</w:t>
    </w:r>
    <w:r w:rsidRPr="00775CB5">
      <w:rPr>
        <w:sz w:val="10"/>
      </w:rPr>
      <w:fldChar w:fldCharType="end"/>
    </w:r>
  </w:p>
  <w:p w14:paraId="33B552BC"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6F06EAA5" w14:textId="77777777">
      <w:tc>
        <w:tcPr>
          <w:tcW w:w="3215" w:type="dxa"/>
        </w:tcPr>
        <w:p w14:paraId="4E33CDF6"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34714423"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784FD086" w14:textId="77777777" w:rsidR="00676E45" w:rsidRPr="00775CB5" w:rsidRDefault="00676E45">
          <w:pPr>
            <w:pStyle w:val="Porat"/>
            <w:rPr>
              <w:sz w:val="16"/>
            </w:rPr>
          </w:pPr>
          <w:r w:rsidRPr="00775CB5">
            <w:rPr>
              <w:sz w:val="16"/>
            </w:rPr>
            <w:t>El. paštas finmin@finmin.lt</w:t>
          </w:r>
        </w:p>
      </w:tc>
      <w:tc>
        <w:tcPr>
          <w:tcW w:w="2836" w:type="dxa"/>
        </w:tcPr>
        <w:p w14:paraId="28FF8E68"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2522C121" w14:textId="77777777">
      <w:tc>
        <w:tcPr>
          <w:tcW w:w="3215" w:type="dxa"/>
        </w:tcPr>
        <w:p w14:paraId="7764A4FD"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6B1A7139"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70768686" w14:textId="77777777" w:rsidR="00676E45" w:rsidRPr="00775CB5" w:rsidRDefault="00676E45">
          <w:pPr>
            <w:pStyle w:val="Porat"/>
            <w:rPr>
              <w:sz w:val="16"/>
            </w:rPr>
          </w:pPr>
          <w:r w:rsidRPr="00775CB5">
            <w:rPr>
              <w:sz w:val="16"/>
            </w:rPr>
            <w:t>http://www.finmin.lt</w:t>
          </w:r>
        </w:p>
      </w:tc>
      <w:tc>
        <w:tcPr>
          <w:tcW w:w="2836" w:type="dxa"/>
        </w:tcPr>
        <w:p w14:paraId="0E13B566"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4157D5DF"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38FD"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D610" w14:textId="77777777" w:rsidR="00D53843" w:rsidRDefault="00D53843">
      <w:r>
        <w:separator/>
      </w:r>
    </w:p>
  </w:footnote>
  <w:footnote w:type="continuationSeparator" w:id="0">
    <w:p w14:paraId="35ACF61B" w14:textId="77777777" w:rsidR="00D53843" w:rsidRDefault="00D5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D90A"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D432BF"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F2A6"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664F">
      <w:rPr>
        <w:rStyle w:val="Puslapionumeris"/>
        <w:noProof/>
      </w:rPr>
      <w:t>3</w:t>
    </w:r>
    <w:r>
      <w:rPr>
        <w:rStyle w:val="Puslapionumeris"/>
      </w:rPr>
      <w:fldChar w:fldCharType="end"/>
    </w:r>
  </w:p>
  <w:p w14:paraId="4C598785"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FAD7" w14:textId="77777777"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5831"/>
    <w:multiLevelType w:val="hybridMultilevel"/>
    <w:tmpl w:val="13785A1A"/>
    <w:lvl w:ilvl="0" w:tplc="6F84744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37840591"/>
    <w:multiLevelType w:val="hybridMultilevel"/>
    <w:tmpl w:val="161EF3EC"/>
    <w:lvl w:ilvl="0" w:tplc="9A80ABBE">
      <w:start w:val="2021"/>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3F3522D0"/>
    <w:multiLevelType w:val="hybridMultilevel"/>
    <w:tmpl w:val="7B562AF4"/>
    <w:lvl w:ilvl="0" w:tplc="D312EF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E403BEA"/>
    <w:multiLevelType w:val="hybridMultilevel"/>
    <w:tmpl w:val="47AE47FC"/>
    <w:lvl w:ilvl="0" w:tplc="0DACEE20">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024388"/>
    <w:multiLevelType w:val="multilevel"/>
    <w:tmpl w:val="EBFCD15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9J1MycO+4R29kBb1asky3e+bTU0=" w:salt="iQdP0PlGJRiKFTqU5+fvA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53D"/>
    <w:rsid w:val="000141E7"/>
    <w:rsid w:val="0001598B"/>
    <w:rsid w:val="000262DC"/>
    <w:rsid w:val="000371B1"/>
    <w:rsid w:val="00043095"/>
    <w:rsid w:val="00055C9C"/>
    <w:rsid w:val="00056310"/>
    <w:rsid w:val="00057C52"/>
    <w:rsid w:val="0006460C"/>
    <w:rsid w:val="00066BC1"/>
    <w:rsid w:val="00076760"/>
    <w:rsid w:val="0009136C"/>
    <w:rsid w:val="000B2DC8"/>
    <w:rsid w:val="000B56A6"/>
    <w:rsid w:val="000D0775"/>
    <w:rsid w:val="00106272"/>
    <w:rsid w:val="00127622"/>
    <w:rsid w:val="001303BC"/>
    <w:rsid w:val="001322D1"/>
    <w:rsid w:val="00144A3E"/>
    <w:rsid w:val="0016140F"/>
    <w:rsid w:val="001727FE"/>
    <w:rsid w:val="00176B98"/>
    <w:rsid w:val="001802F6"/>
    <w:rsid w:val="001809EC"/>
    <w:rsid w:val="00186896"/>
    <w:rsid w:val="001A1D75"/>
    <w:rsid w:val="001A7768"/>
    <w:rsid w:val="001B25B8"/>
    <w:rsid w:val="001E3756"/>
    <w:rsid w:val="00214CDC"/>
    <w:rsid w:val="00215B65"/>
    <w:rsid w:val="002244E1"/>
    <w:rsid w:val="0022758E"/>
    <w:rsid w:val="002334A7"/>
    <w:rsid w:val="002431B9"/>
    <w:rsid w:val="0025434A"/>
    <w:rsid w:val="00284524"/>
    <w:rsid w:val="00295EA5"/>
    <w:rsid w:val="002A277A"/>
    <w:rsid w:val="002A5AA9"/>
    <w:rsid w:val="002C118C"/>
    <w:rsid w:val="002D4B7A"/>
    <w:rsid w:val="002E7E88"/>
    <w:rsid w:val="002F003F"/>
    <w:rsid w:val="002F325D"/>
    <w:rsid w:val="00304FC5"/>
    <w:rsid w:val="0031027F"/>
    <w:rsid w:val="003103CC"/>
    <w:rsid w:val="003131A4"/>
    <w:rsid w:val="00313E32"/>
    <w:rsid w:val="00317299"/>
    <w:rsid w:val="00317D73"/>
    <w:rsid w:val="003877DE"/>
    <w:rsid w:val="00390EEB"/>
    <w:rsid w:val="003922D3"/>
    <w:rsid w:val="003D7384"/>
    <w:rsid w:val="003E664F"/>
    <w:rsid w:val="003F1A55"/>
    <w:rsid w:val="00403E9B"/>
    <w:rsid w:val="004550DE"/>
    <w:rsid w:val="00463CCB"/>
    <w:rsid w:val="00471A03"/>
    <w:rsid w:val="004738E2"/>
    <w:rsid w:val="00485F03"/>
    <w:rsid w:val="004A3A94"/>
    <w:rsid w:val="004C0A9A"/>
    <w:rsid w:val="004C3B5F"/>
    <w:rsid w:val="004E3A7D"/>
    <w:rsid w:val="004F04DF"/>
    <w:rsid w:val="004F1AE4"/>
    <w:rsid w:val="00502598"/>
    <w:rsid w:val="00506E5A"/>
    <w:rsid w:val="00530BD5"/>
    <w:rsid w:val="00536264"/>
    <w:rsid w:val="00543E8F"/>
    <w:rsid w:val="0054765F"/>
    <w:rsid w:val="005668FE"/>
    <w:rsid w:val="005803E4"/>
    <w:rsid w:val="00582B3F"/>
    <w:rsid w:val="00583B07"/>
    <w:rsid w:val="00592FC0"/>
    <w:rsid w:val="00595DF4"/>
    <w:rsid w:val="005F7A8D"/>
    <w:rsid w:val="00601215"/>
    <w:rsid w:val="00603861"/>
    <w:rsid w:val="00607612"/>
    <w:rsid w:val="00641F8B"/>
    <w:rsid w:val="00647706"/>
    <w:rsid w:val="00657872"/>
    <w:rsid w:val="00663BBB"/>
    <w:rsid w:val="006663AF"/>
    <w:rsid w:val="00676E45"/>
    <w:rsid w:val="00682C6A"/>
    <w:rsid w:val="00692B83"/>
    <w:rsid w:val="006A0E25"/>
    <w:rsid w:val="006A6B1B"/>
    <w:rsid w:val="006B706C"/>
    <w:rsid w:val="006C413C"/>
    <w:rsid w:val="006C4F7A"/>
    <w:rsid w:val="006D6D0E"/>
    <w:rsid w:val="006D723C"/>
    <w:rsid w:val="006E338E"/>
    <w:rsid w:val="006E5391"/>
    <w:rsid w:val="007134F0"/>
    <w:rsid w:val="00730E06"/>
    <w:rsid w:val="00732BE0"/>
    <w:rsid w:val="007400B1"/>
    <w:rsid w:val="00741C12"/>
    <w:rsid w:val="007608A7"/>
    <w:rsid w:val="00760E82"/>
    <w:rsid w:val="0076250E"/>
    <w:rsid w:val="00762F39"/>
    <w:rsid w:val="00775CB5"/>
    <w:rsid w:val="0077795D"/>
    <w:rsid w:val="007A5235"/>
    <w:rsid w:val="007A71C3"/>
    <w:rsid w:val="007B1827"/>
    <w:rsid w:val="007B6DF2"/>
    <w:rsid w:val="007C39E2"/>
    <w:rsid w:val="007D3DD9"/>
    <w:rsid w:val="007D77F6"/>
    <w:rsid w:val="0080493D"/>
    <w:rsid w:val="008151E8"/>
    <w:rsid w:val="00823938"/>
    <w:rsid w:val="008329C6"/>
    <w:rsid w:val="008360CF"/>
    <w:rsid w:val="008361AA"/>
    <w:rsid w:val="008464E4"/>
    <w:rsid w:val="00875376"/>
    <w:rsid w:val="0087782E"/>
    <w:rsid w:val="008859B9"/>
    <w:rsid w:val="008863F0"/>
    <w:rsid w:val="008B1C8C"/>
    <w:rsid w:val="008B7CCF"/>
    <w:rsid w:val="008D07AF"/>
    <w:rsid w:val="008E163A"/>
    <w:rsid w:val="008E3DCC"/>
    <w:rsid w:val="008F4481"/>
    <w:rsid w:val="009233A9"/>
    <w:rsid w:val="00932CC5"/>
    <w:rsid w:val="00935976"/>
    <w:rsid w:val="00953854"/>
    <w:rsid w:val="0096013A"/>
    <w:rsid w:val="009645B8"/>
    <w:rsid w:val="009A208E"/>
    <w:rsid w:val="009A653A"/>
    <w:rsid w:val="009B41DB"/>
    <w:rsid w:val="009C1018"/>
    <w:rsid w:val="009D7311"/>
    <w:rsid w:val="009E364D"/>
    <w:rsid w:val="00A41A91"/>
    <w:rsid w:val="00A751FD"/>
    <w:rsid w:val="00A7719D"/>
    <w:rsid w:val="00A872A2"/>
    <w:rsid w:val="00AC38CA"/>
    <w:rsid w:val="00AE35C4"/>
    <w:rsid w:val="00AF084A"/>
    <w:rsid w:val="00AF3198"/>
    <w:rsid w:val="00B14FE3"/>
    <w:rsid w:val="00B37BE5"/>
    <w:rsid w:val="00B617E2"/>
    <w:rsid w:val="00B62CC5"/>
    <w:rsid w:val="00B6408E"/>
    <w:rsid w:val="00B6494A"/>
    <w:rsid w:val="00B74B29"/>
    <w:rsid w:val="00B97FE2"/>
    <w:rsid w:val="00BA1ACC"/>
    <w:rsid w:val="00BB0E8B"/>
    <w:rsid w:val="00BB214D"/>
    <w:rsid w:val="00BD3865"/>
    <w:rsid w:val="00BD72CF"/>
    <w:rsid w:val="00C03CDF"/>
    <w:rsid w:val="00C12173"/>
    <w:rsid w:val="00C230C2"/>
    <w:rsid w:val="00C42950"/>
    <w:rsid w:val="00C52D5F"/>
    <w:rsid w:val="00C731B5"/>
    <w:rsid w:val="00C86BAB"/>
    <w:rsid w:val="00CA6BA9"/>
    <w:rsid w:val="00CA7055"/>
    <w:rsid w:val="00CC1D79"/>
    <w:rsid w:val="00CC704B"/>
    <w:rsid w:val="00CE679C"/>
    <w:rsid w:val="00CF662A"/>
    <w:rsid w:val="00D03034"/>
    <w:rsid w:val="00D050B0"/>
    <w:rsid w:val="00D53843"/>
    <w:rsid w:val="00D70AA7"/>
    <w:rsid w:val="00D750B5"/>
    <w:rsid w:val="00D81240"/>
    <w:rsid w:val="00D86DAF"/>
    <w:rsid w:val="00D925FB"/>
    <w:rsid w:val="00DA6D32"/>
    <w:rsid w:val="00DB7027"/>
    <w:rsid w:val="00DC269E"/>
    <w:rsid w:val="00DD5DFC"/>
    <w:rsid w:val="00DE2368"/>
    <w:rsid w:val="00DE2471"/>
    <w:rsid w:val="00E10771"/>
    <w:rsid w:val="00E37025"/>
    <w:rsid w:val="00E43B49"/>
    <w:rsid w:val="00E4653D"/>
    <w:rsid w:val="00E51820"/>
    <w:rsid w:val="00E61CDA"/>
    <w:rsid w:val="00E730D2"/>
    <w:rsid w:val="00E95573"/>
    <w:rsid w:val="00ED463E"/>
    <w:rsid w:val="00EE761B"/>
    <w:rsid w:val="00EF3322"/>
    <w:rsid w:val="00EF79F5"/>
    <w:rsid w:val="00F041F5"/>
    <w:rsid w:val="00F22C4A"/>
    <w:rsid w:val="00F23A6E"/>
    <w:rsid w:val="00F24EC4"/>
    <w:rsid w:val="00F27E85"/>
    <w:rsid w:val="00F41B32"/>
    <w:rsid w:val="00F47AD3"/>
    <w:rsid w:val="00F64FDA"/>
    <w:rsid w:val="00F66332"/>
    <w:rsid w:val="00F81889"/>
    <w:rsid w:val="00F82BF7"/>
    <w:rsid w:val="00F8420F"/>
    <w:rsid w:val="00F870C3"/>
    <w:rsid w:val="00FA05DB"/>
    <w:rsid w:val="00FD0972"/>
    <w:rsid w:val="00FE5BA6"/>
    <w:rsid w:val="00FE74C6"/>
    <w:rsid w:val="00FE7F6A"/>
    <w:rsid w:val="00FF5541"/>
    <w:rsid w:val="00FF6D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71DDF"/>
  <w15:docId w15:val="{2240421D-B37C-47C0-8084-4BCEF2FD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BA1ACC"/>
    <w:pPr>
      <w:spacing w:after="200" w:line="276" w:lineRule="auto"/>
      <w:ind w:left="720"/>
      <w:contextualSpacing/>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rsid w:val="00A751FD"/>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A751FD"/>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A751FD"/>
    <w:rPr>
      <w:vertAlign w:val="superscript"/>
    </w:rPr>
  </w:style>
  <w:style w:type="paragraph" w:customStyle="1" w:styleId="Char">
    <w:name w:val="Char"/>
    <w:basedOn w:val="prastasis"/>
    <w:rsid w:val="00E61CDA"/>
    <w:pPr>
      <w:spacing w:after="160" w:line="240" w:lineRule="exact"/>
    </w:pPr>
    <w:rPr>
      <w:rFonts w:ascii="Tahoma" w:hAnsi="Tahoma"/>
      <w:sz w:val="20"/>
      <w:lang w:val="en-US" w:eastAsia="en-US"/>
    </w:rPr>
  </w:style>
  <w:style w:type="character" w:styleId="Hipersaitas">
    <w:name w:val="Hyperlink"/>
    <w:basedOn w:val="Numatytasispastraiposriftas"/>
    <w:uiPriority w:val="99"/>
    <w:unhideWhenUsed/>
    <w:rsid w:val="00E730D2"/>
    <w:rPr>
      <w:color w:val="0000FF" w:themeColor="hyperlink"/>
      <w:u w:val="single"/>
    </w:rPr>
  </w:style>
  <w:style w:type="paragraph" w:customStyle="1" w:styleId="Char0">
    <w:name w:val="Char"/>
    <w:basedOn w:val="prastasis"/>
    <w:rsid w:val="007400B1"/>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unhideWhenUsed/>
    <w:rsid w:val="00592FC0"/>
    <w:rPr>
      <w:sz w:val="16"/>
      <w:szCs w:val="16"/>
    </w:rPr>
  </w:style>
  <w:style w:type="paragraph" w:styleId="Komentarotekstas">
    <w:name w:val="annotation text"/>
    <w:basedOn w:val="prastasis"/>
    <w:link w:val="KomentarotekstasDiagrama"/>
    <w:unhideWhenUsed/>
    <w:rsid w:val="00592FC0"/>
    <w:rPr>
      <w:sz w:val="20"/>
    </w:rPr>
  </w:style>
  <w:style w:type="character" w:customStyle="1" w:styleId="KomentarotekstasDiagrama">
    <w:name w:val="Komentaro tekstas Diagrama"/>
    <w:basedOn w:val="Numatytasispastraiposriftas"/>
    <w:link w:val="Komentarotekstas"/>
    <w:rsid w:val="00592FC0"/>
  </w:style>
  <w:style w:type="paragraph" w:styleId="Komentarotema">
    <w:name w:val="annotation subject"/>
    <w:basedOn w:val="Komentarotekstas"/>
    <w:next w:val="Komentarotekstas"/>
    <w:link w:val="KomentarotemaDiagrama"/>
    <w:uiPriority w:val="99"/>
    <w:semiHidden/>
    <w:unhideWhenUsed/>
    <w:rsid w:val="00592FC0"/>
    <w:rPr>
      <w:b/>
      <w:bCs/>
    </w:rPr>
  </w:style>
  <w:style w:type="character" w:customStyle="1" w:styleId="KomentarotemaDiagrama">
    <w:name w:val="Komentaro tema Diagrama"/>
    <w:basedOn w:val="KomentarotekstasDiagrama"/>
    <w:link w:val="Komentarotema"/>
    <w:uiPriority w:val="99"/>
    <w:semiHidden/>
    <w:rsid w:val="00592FC0"/>
    <w:rPr>
      <w:b/>
      <w:bCs/>
    </w:rPr>
  </w:style>
  <w:style w:type="paragraph" w:customStyle="1" w:styleId="tajtip">
    <w:name w:val="tajtip"/>
    <w:basedOn w:val="prastasis"/>
    <w:rsid w:val="00530BD5"/>
    <w:pPr>
      <w:spacing w:after="15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67500">
      <w:bodyDiv w:val="1"/>
      <w:marLeft w:val="0"/>
      <w:marRight w:val="0"/>
      <w:marTop w:val="0"/>
      <w:marBottom w:val="0"/>
      <w:divBdr>
        <w:top w:val="none" w:sz="0" w:space="0" w:color="auto"/>
        <w:left w:val="none" w:sz="0" w:space="0" w:color="auto"/>
        <w:bottom w:val="none" w:sz="0" w:space="0" w:color="auto"/>
        <w:right w:val="none" w:sz="0" w:space="0" w:color="auto"/>
      </w:divBdr>
      <w:divsChild>
        <w:div w:id="64299091">
          <w:marLeft w:val="0"/>
          <w:marRight w:val="0"/>
          <w:marTop w:val="0"/>
          <w:marBottom w:val="0"/>
          <w:divBdr>
            <w:top w:val="none" w:sz="0" w:space="0" w:color="auto"/>
            <w:left w:val="none" w:sz="0" w:space="0" w:color="auto"/>
            <w:bottom w:val="none" w:sz="0" w:space="0" w:color="auto"/>
            <w:right w:val="none" w:sz="0" w:space="0" w:color="auto"/>
          </w:divBdr>
          <w:divsChild>
            <w:div w:id="336540746">
              <w:marLeft w:val="0"/>
              <w:marRight w:val="0"/>
              <w:marTop w:val="0"/>
              <w:marBottom w:val="0"/>
              <w:divBdr>
                <w:top w:val="none" w:sz="0" w:space="0" w:color="auto"/>
                <w:left w:val="none" w:sz="0" w:space="0" w:color="auto"/>
                <w:bottom w:val="none" w:sz="0" w:space="0" w:color="auto"/>
                <w:right w:val="none" w:sz="0" w:space="0" w:color="auto"/>
              </w:divBdr>
              <w:divsChild>
                <w:div w:id="1287394736">
                  <w:marLeft w:val="0"/>
                  <w:marRight w:val="0"/>
                  <w:marTop w:val="0"/>
                  <w:marBottom w:val="0"/>
                  <w:divBdr>
                    <w:top w:val="none" w:sz="0" w:space="0" w:color="auto"/>
                    <w:left w:val="none" w:sz="0" w:space="0" w:color="auto"/>
                    <w:bottom w:val="none" w:sz="0" w:space="0" w:color="auto"/>
                    <w:right w:val="none" w:sz="0" w:space="0" w:color="auto"/>
                  </w:divBdr>
                  <w:divsChild>
                    <w:div w:id="738018130">
                      <w:marLeft w:val="0"/>
                      <w:marRight w:val="0"/>
                      <w:marTop w:val="0"/>
                      <w:marBottom w:val="0"/>
                      <w:divBdr>
                        <w:top w:val="none" w:sz="0" w:space="0" w:color="auto"/>
                        <w:left w:val="none" w:sz="0" w:space="0" w:color="auto"/>
                        <w:bottom w:val="none" w:sz="0" w:space="0" w:color="auto"/>
                        <w:right w:val="none" w:sz="0" w:space="0" w:color="auto"/>
                      </w:divBdr>
                      <w:divsChild>
                        <w:div w:id="1546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95530">
      <w:bodyDiv w:val="1"/>
      <w:marLeft w:val="0"/>
      <w:marRight w:val="0"/>
      <w:marTop w:val="0"/>
      <w:marBottom w:val="0"/>
      <w:divBdr>
        <w:top w:val="none" w:sz="0" w:space="0" w:color="auto"/>
        <w:left w:val="none" w:sz="0" w:space="0" w:color="auto"/>
        <w:bottom w:val="none" w:sz="0" w:space="0" w:color="auto"/>
        <w:right w:val="none" w:sz="0" w:space="0" w:color="auto"/>
      </w:divBdr>
    </w:div>
    <w:div w:id="1779183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3203">
          <w:marLeft w:val="0"/>
          <w:marRight w:val="0"/>
          <w:marTop w:val="0"/>
          <w:marBottom w:val="0"/>
          <w:divBdr>
            <w:top w:val="none" w:sz="0" w:space="0" w:color="auto"/>
            <w:left w:val="none" w:sz="0" w:space="0" w:color="auto"/>
            <w:bottom w:val="none" w:sz="0" w:space="0" w:color="auto"/>
            <w:right w:val="none" w:sz="0" w:space="0" w:color="auto"/>
          </w:divBdr>
        </w:div>
        <w:div w:id="421293865">
          <w:marLeft w:val="0"/>
          <w:marRight w:val="0"/>
          <w:marTop w:val="0"/>
          <w:marBottom w:val="0"/>
          <w:divBdr>
            <w:top w:val="none" w:sz="0" w:space="0" w:color="auto"/>
            <w:left w:val="none" w:sz="0" w:space="0" w:color="auto"/>
            <w:bottom w:val="none" w:sz="0" w:space="0" w:color="auto"/>
            <w:right w:val="none" w:sz="0" w:space="0" w:color="auto"/>
          </w:divBdr>
        </w:div>
        <w:div w:id="414516557">
          <w:marLeft w:val="0"/>
          <w:marRight w:val="0"/>
          <w:marTop w:val="0"/>
          <w:marBottom w:val="0"/>
          <w:divBdr>
            <w:top w:val="none" w:sz="0" w:space="0" w:color="auto"/>
            <w:left w:val="none" w:sz="0" w:space="0" w:color="auto"/>
            <w:bottom w:val="none" w:sz="0" w:space="0" w:color="auto"/>
            <w:right w:val="none" w:sz="0" w:space="0" w:color="auto"/>
          </w:divBdr>
        </w:div>
      </w:divsChild>
    </w:div>
    <w:div w:id="1783332093">
      <w:bodyDiv w:val="1"/>
      <w:marLeft w:val="0"/>
      <w:marRight w:val="0"/>
      <w:marTop w:val="0"/>
      <w:marBottom w:val="0"/>
      <w:divBdr>
        <w:top w:val="none" w:sz="0" w:space="0" w:color="auto"/>
        <w:left w:val="none" w:sz="0" w:space="0" w:color="auto"/>
        <w:bottom w:val="none" w:sz="0" w:space="0" w:color="auto"/>
        <w:right w:val="none" w:sz="0" w:space="0" w:color="auto"/>
      </w:divBdr>
      <w:divsChild>
        <w:div w:id="1856309665">
          <w:marLeft w:val="0"/>
          <w:marRight w:val="0"/>
          <w:marTop w:val="0"/>
          <w:marBottom w:val="0"/>
          <w:divBdr>
            <w:top w:val="none" w:sz="0" w:space="0" w:color="auto"/>
            <w:left w:val="none" w:sz="0" w:space="0" w:color="auto"/>
            <w:bottom w:val="none" w:sz="0" w:space="0" w:color="auto"/>
            <w:right w:val="none" w:sz="0" w:space="0" w:color="auto"/>
          </w:divBdr>
          <w:divsChild>
            <w:div w:id="1352609565">
              <w:marLeft w:val="0"/>
              <w:marRight w:val="0"/>
              <w:marTop w:val="0"/>
              <w:marBottom w:val="0"/>
              <w:divBdr>
                <w:top w:val="none" w:sz="0" w:space="0" w:color="auto"/>
                <w:left w:val="none" w:sz="0" w:space="0" w:color="auto"/>
                <w:bottom w:val="none" w:sz="0" w:space="0" w:color="auto"/>
                <w:right w:val="none" w:sz="0" w:space="0" w:color="auto"/>
              </w:divBdr>
              <w:divsChild>
                <w:div w:id="1723210299">
                  <w:marLeft w:val="0"/>
                  <w:marRight w:val="0"/>
                  <w:marTop w:val="0"/>
                  <w:marBottom w:val="0"/>
                  <w:divBdr>
                    <w:top w:val="none" w:sz="0" w:space="0" w:color="auto"/>
                    <w:left w:val="none" w:sz="0" w:space="0" w:color="auto"/>
                    <w:bottom w:val="none" w:sz="0" w:space="0" w:color="auto"/>
                    <w:right w:val="none" w:sz="0" w:space="0" w:color="auto"/>
                  </w:divBdr>
                  <w:divsChild>
                    <w:div w:id="2108579139">
                      <w:marLeft w:val="0"/>
                      <w:marRight w:val="0"/>
                      <w:marTop w:val="0"/>
                      <w:marBottom w:val="0"/>
                      <w:divBdr>
                        <w:top w:val="none" w:sz="0" w:space="0" w:color="auto"/>
                        <w:left w:val="none" w:sz="0" w:space="0" w:color="auto"/>
                        <w:bottom w:val="none" w:sz="0" w:space="0" w:color="auto"/>
                        <w:right w:val="none" w:sz="0" w:space="0" w:color="auto"/>
                      </w:divBdr>
                      <w:divsChild>
                        <w:div w:id="4488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438362">
      <w:bodyDiv w:val="1"/>
      <w:marLeft w:val="0"/>
      <w:marRight w:val="0"/>
      <w:marTop w:val="0"/>
      <w:marBottom w:val="0"/>
      <w:divBdr>
        <w:top w:val="none" w:sz="0" w:space="0" w:color="auto"/>
        <w:left w:val="none" w:sz="0" w:space="0" w:color="auto"/>
        <w:bottom w:val="none" w:sz="0" w:space="0" w:color="auto"/>
        <w:right w:val="none" w:sz="0" w:space="0" w:color="auto"/>
      </w:divBdr>
      <w:divsChild>
        <w:div w:id="896866469">
          <w:marLeft w:val="0"/>
          <w:marRight w:val="0"/>
          <w:marTop w:val="0"/>
          <w:marBottom w:val="0"/>
          <w:divBdr>
            <w:top w:val="none" w:sz="0" w:space="0" w:color="auto"/>
            <w:left w:val="none" w:sz="0" w:space="0" w:color="auto"/>
            <w:bottom w:val="none" w:sz="0" w:space="0" w:color="auto"/>
            <w:right w:val="none" w:sz="0" w:space="0" w:color="auto"/>
          </w:divBdr>
        </w:div>
        <w:div w:id="216823075">
          <w:marLeft w:val="0"/>
          <w:marRight w:val="0"/>
          <w:marTop w:val="0"/>
          <w:marBottom w:val="0"/>
          <w:divBdr>
            <w:top w:val="none" w:sz="0" w:space="0" w:color="auto"/>
            <w:left w:val="none" w:sz="0" w:space="0" w:color="auto"/>
            <w:bottom w:val="none" w:sz="0" w:space="0" w:color="auto"/>
            <w:right w:val="none" w:sz="0" w:space="0" w:color="auto"/>
          </w:divBdr>
        </w:div>
      </w:divsChild>
    </w:div>
    <w:div w:id="205279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ailto:gidijus.vizgirda@finmin.lt" TargetMode="External"
                 Type="http://schemas.openxmlformats.org/officeDocument/2006/relationships/hyperlink"/>
   <Relationship Id="rId15" Target="mailto:nerija.kukauskiene@finmin.lt" TargetMode="External"
                 Type="http://schemas.openxmlformats.org/officeDocument/2006/relationships/hyperlink"/>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6042E-A87D-4BDE-BBBB-0C411F7F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6569</Words>
  <Characters>3745</Characters>
  <Application>Microsoft Office Word</Application>
  <DocSecurity>8</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2021-10-13T08:06:00Z</dcterms:created>
  <dc:creator>Gintarė Grigaitė</dc:creator>
  <cp:lastModifiedBy>Jevgenijus Kuzma</cp:lastModifiedBy>
  <cp:lastPrinted>2019-09-04T07:07:00Z</cp:lastPrinted>
  <dcterms:modified xsi:type="dcterms:W3CDTF">2021-11-17T12:10:00Z</dcterms:modified>
  <cp:revision>20</cp:revision>
</cp:coreProperties>
</file>